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635B" w:rsidRDefault="00000000">
      <w:pPr>
        <w:pStyle w:val="Textoindependiente"/>
        <w:spacing w:before="0"/>
        <w:ind w:left="4394" w:firstLine="0"/>
        <w:jc w:val="left"/>
        <w:rPr>
          <w:rFonts w:ascii="Times New Roman"/>
        </w:rPr>
      </w:pPr>
      <w:r>
        <w:rPr>
          <w:rFonts w:ascii="Times New Roman"/>
          <w:noProof/>
        </w:rPr>
        <w:drawing>
          <wp:inline distT="0" distB="0" distL="0" distR="0">
            <wp:extent cx="1047749" cy="43691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47749" cy="436911"/>
                    </a:xfrm>
                    <a:prstGeom prst="rect">
                      <a:avLst/>
                    </a:prstGeom>
                  </pic:spPr>
                </pic:pic>
              </a:graphicData>
            </a:graphic>
          </wp:inline>
        </w:drawing>
      </w:r>
    </w:p>
    <w:p w:rsidR="0092635B" w:rsidRDefault="0092635B">
      <w:pPr>
        <w:pStyle w:val="Textoindependiente"/>
        <w:spacing w:before="14"/>
        <w:ind w:left="0" w:firstLine="0"/>
        <w:jc w:val="left"/>
        <w:rPr>
          <w:rFonts w:ascii="Times New Roman"/>
          <w:sz w:val="28"/>
        </w:rPr>
      </w:pPr>
    </w:p>
    <w:p w:rsidR="0092635B" w:rsidRDefault="00000000">
      <w:pPr>
        <w:pStyle w:val="Ttulo"/>
      </w:pPr>
      <w:r>
        <w:rPr>
          <w:noProof/>
        </w:rPr>
        <mc:AlternateContent>
          <mc:Choice Requires="wps">
            <w:drawing>
              <wp:anchor distT="0" distB="0" distL="0" distR="0" simplePos="0" relativeHeight="15729664" behindDoc="0" locked="0" layoutInCell="1" allowOverlap="1">
                <wp:simplePos x="0" y="0"/>
                <wp:positionH relativeFrom="page">
                  <wp:posOffset>360000</wp:posOffset>
                </wp:positionH>
                <wp:positionV relativeFrom="paragraph">
                  <wp:posOffset>350382</wp:posOffset>
                </wp:positionV>
                <wp:extent cx="684022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2951D68F" id="Graphic 4" o:spid="_x0000_s1026" style="position:absolute;margin-left:28.35pt;margin-top:27.6pt;width:538.6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" path="m,l6840001,e" filled="f" strokecolor="#004479" strokeweight="1pt">
                <v:path arrowok="t"/>
                <w10:wrap anchorx="page"/>
              </v:shape>
            </w:pict>
          </mc:Fallback>
        </mc:AlternateContent>
      </w:r>
      <w:r>
        <w:rPr>
          <w:color w:val="004479"/>
        </w:rPr>
        <w:t>LEGISLACIÓN</w:t>
      </w:r>
      <w:r>
        <w:rPr>
          <w:color w:val="004479"/>
          <w:spacing w:val="-10"/>
        </w:rPr>
        <w:t xml:space="preserve"> </w:t>
      </w:r>
      <w:r>
        <w:rPr>
          <w:color w:val="004479"/>
          <w:spacing w:val="-2"/>
        </w:rPr>
        <w:t>CONSOLIDADA</w:t>
      </w:r>
    </w:p>
    <w:p w:rsidR="0092635B" w:rsidRDefault="0092635B">
      <w:pPr>
        <w:pStyle w:val="Textoindependiente"/>
        <w:spacing w:before="0"/>
        <w:ind w:left="0" w:firstLine="0"/>
        <w:jc w:val="left"/>
        <w:rPr>
          <w:rFonts w:ascii="Arial"/>
          <w:b/>
          <w:sz w:val="28"/>
        </w:rPr>
      </w:pPr>
    </w:p>
    <w:p w:rsidR="0092635B" w:rsidRDefault="0092635B">
      <w:pPr>
        <w:pStyle w:val="Textoindependiente"/>
        <w:spacing w:before="0"/>
        <w:ind w:left="0" w:firstLine="0"/>
        <w:jc w:val="left"/>
        <w:rPr>
          <w:rFonts w:ascii="Arial"/>
          <w:b/>
          <w:sz w:val="28"/>
        </w:rPr>
      </w:pPr>
    </w:p>
    <w:p w:rsidR="0092635B" w:rsidRDefault="0092635B">
      <w:pPr>
        <w:pStyle w:val="Textoindependiente"/>
        <w:spacing w:before="214"/>
        <w:ind w:left="0" w:firstLine="0"/>
        <w:jc w:val="left"/>
        <w:rPr>
          <w:rFonts w:ascii="Arial"/>
          <w:b/>
          <w:sz w:val="28"/>
        </w:rPr>
      </w:pPr>
    </w:p>
    <w:p w:rsidR="0092635B" w:rsidRDefault="00000000">
      <w:pPr>
        <w:spacing w:before="1"/>
        <w:ind w:left="1446" w:right="1441"/>
        <w:jc w:val="center"/>
        <w:rPr>
          <w:sz w:val="28"/>
        </w:rPr>
      </w:pPr>
      <w:bookmarkStart w:id="0" w:name="Ley_9/2017,_de_8_de_noviembre,_de_Contra"/>
      <w:bookmarkEnd w:id="0"/>
      <w:r>
        <w:rPr>
          <w:w w:val="90"/>
          <w:sz w:val="28"/>
        </w:rPr>
        <w:t>Ley</w:t>
      </w:r>
      <w:r>
        <w:rPr>
          <w:spacing w:val="-9"/>
          <w:w w:val="90"/>
          <w:sz w:val="28"/>
        </w:rPr>
        <w:t xml:space="preserve"> </w:t>
      </w:r>
      <w:r>
        <w:rPr>
          <w:w w:val="90"/>
          <w:sz w:val="28"/>
        </w:rPr>
        <w:t>9/2017,</w:t>
      </w:r>
      <w:r>
        <w:rPr>
          <w:spacing w:val="-9"/>
          <w:w w:val="90"/>
          <w:sz w:val="28"/>
        </w:rPr>
        <w:t xml:space="preserve"> </w:t>
      </w:r>
      <w:r>
        <w:rPr>
          <w:w w:val="90"/>
          <w:sz w:val="28"/>
        </w:rPr>
        <w:t>de</w:t>
      </w:r>
      <w:r>
        <w:rPr>
          <w:spacing w:val="-9"/>
          <w:w w:val="90"/>
          <w:sz w:val="28"/>
        </w:rPr>
        <w:t xml:space="preserve"> </w:t>
      </w:r>
      <w:r>
        <w:rPr>
          <w:w w:val="90"/>
          <w:sz w:val="28"/>
        </w:rPr>
        <w:t>8</w:t>
      </w:r>
      <w:r>
        <w:rPr>
          <w:spacing w:val="-9"/>
          <w:w w:val="90"/>
          <w:sz w:val="28"/>
        </w:rPr>
        <w:t xml:space="preserve"> </w:t>
      </w:r>
      <w:r>
        <w:rPr>
          <w:w w:val="90"/>
          <w:sz w:val="28"/>
        </w:rPr>
        <w:t>de</w:t>
      </w:r>
      <w:r>
        <w:rPr>
          <w:spacing w:val="-9"/>
          <w:w w:val="90"/>
          <w:sz w:val="28"/>
        </w:rPr>
        <w:t xml:space="preserve"> </w:t>
      </w:r>
      <w:r>
        <w:rPr>
          <w:w w:val="90"/>
          <w:sz w:val="28"/>
        </w:rPr>
        <w:t>noviembre,</w:t>
      </w:r>
      <w:r>
        <w:rPr>
          <w:spacing w:val="-9"/>
          <w:w w:val="90"/>
          <w:sz w:val="28"/>
        </w:rPr>
        <w:t xml:space="preserve"> </w:t>
      </w:r>
      <w:r>
        <w:rPr>
          <w:w w:val="90"/>
          <w:sz w:val="28"/>
        </w:rPr>
        <w:t>de</w:t>
      </w:r>
      <w:r>
        <w:rPr>
          <w:spacing w:val="-9"/>
          <w:w w:val="90"/>
          <w:sz w:val="28"/>
        </w:rPr>
        <w:t xml:space="preserve"> </w:t>
      </w:r>
      <w:r>
        <w:rPr>
          <w:w w:val="90"/>
          <w:sz w:val="28"/>
        </w:rPr>
        <w:t>Contratos</w:t>
      </w:r>
      <w:r>
        <w:rPr>
          <w:spacing w:val="-9"/>
          <w:w w:val="90"/>
          <w:sz w:val="28"/>
        </w:rPr>
        <w:t xml:space="preserve"> </w:t>
      </w:r>
      <w:r>
        <w:rPr>
          <w:w w:val="90"/>
          <w:sz w:val="28"/>
        </w:rPr>
        <w:t>del</w:t>
      </w:r>
      <w:r>
        <w:rPr>
          <w:spacing w:val="-9"/>
          <w:w w:val="90"/>
          <w:sz w:val="28"/>
        </w:rPr>
        <w:t xml:space="preserve"> </w:t>
      </w:r>
      <w:r>
        <w:rPr>
          <w:w w:val="90"/>
          <w:sz w:val="28"/>
        </w:rPr>
        <w:t>Sector</w:t>
      </w:r>
      <w:r>
        <w:rPr>
          <w:spacing w:val="-9"/>
          <w:w w:val="90"/>
          <w:sz w:val="28"/>
        </w:rPr>
        <w:t xml:space="preserve"> </w:t>
      </w:r>
      <w:r>
        <w:rPr>
          <w:w w:val="90"/>
          <w:sz w:val="28"/>
        </w:rPr>
        <w:t>Público,</w:t>
      </w:r>
      <w:r>
        <w:rPr>
          <w:spacing w:val="-9"/>
          <w:w w:val="90"/>
          <w:sz w:val="28"/>
        </w:rPr>
        <w:t xml:space="preserve"> </w:t>
      </w:r>
      <w:r>
        <w:rPr>
          <w:w w:val="90"/>
          <w:sz w:val="28"/>
        </w:rPr>
        <w:t>por la</w:t>
      </w:r>
      <w:r>
        <w:rPr>
          <w:spacing w:val="-8"/>
          <w:w w:val="90"/>
          <w:sz w:val="28"/>
        </w:rPr>
        <w:t xml:space="preserve"> </w:t>
      </w:r>
      <w:r>
        <w:rPr>
          <w:w w:val="90"/>
          <w:sz w:val="28"/>
        </w:rPr>
        <w:t>que</w:t>
      </w:r>
      <w:r>
        <w:rPr>
          <w:spacing w:val="-8"/>
          <w:w w:val="90"/>
          <w:sz w:val="28"/>
        </w:rPr>
        <w:t xml:space="preserve"> </w:t>
      </w:r>
      <w:r>
        <w:rPr>
          <w:w w:val="90"/>
          <w:sz w:val="28"/>
        </w:rPr>
        <w:t>se</w:t>
      </w:r>
      <w:r>
        <w:rPr>
          <w:spacing w:val="-8"/>
          <w:w w:val="90"/>
          <w:sz w:val="28"/>
        </w:rPr>
        <w:t xml:space="preserve"> </w:t>
      </w:r>
      <w:r>
        <w:rPr>
          <w:w w:val="90"/>
          <w:sz w:val="28"/>
        </w:rPr>
        <w:t>transponen</w:t>
      </w:r>
      <w:r>
        <w:rPr>
          <w:spacing w:val="-8"/>
          <w:w w:val="90"/>
          <w:sz w:val="28"/>
        </w:rPr>
        <w:t xml:space="preserve"> </w:t>
      </w:r>
      <w:r>
        <w:rPr>
          <w:w w:val="90"/>
          <w:sz w:val="28"/>
        </w:rPr>
        <w:t>al</w:t>
      </w:r>
      <w:r>
        <w:rPr>
          <w:spacing w:val="-8"/>
          <w:w w:val="90"/>
          <w:sz w:val="28"/>
        </w:rPr>
        <w:t xml:space="preserve"> </w:t>
      </w:r>
      <w:r>
        <w:rPr>
          <w:w w:val="90"/>
          <w:sz w:val="28"/>
        </w:rPr>
        <w:t>ordenamiento</w:t>
      </w:r>
      <w:r>
        <w:rPr>
          <w:spacing w:val="-8"/>
          <w:w w:val="90"/>
          <w:sz w:val="28"/>
        </w:rPr>
        <w:t xml:space="preserve"> </w:t>
      </w:r>
      <w:r>
        <w:rPr>
          <w:w w:val="90"/>
          <w:sz w:val="28"/>
        </w:rPr>
        <w:t>jurídico</w:t>
      </w:r>
      <w:r>
        <w:rPr>
          <w:spacing w:val="-8"/>
          <w:w w:val="90"/>
          <w:sz w:val="28"/>
        </w:rPr>
        <w:t xml:space="preserve"> </w:t>
      </w:r>
      <w:r>
        <w:rPr>
          <w:w w:val="90"/>
          <w:sz w:val="28"/>
        </w:rPr>
        <w:t>español</w:t>
      </w:r>
      <w:r>
        <w:rPr>
          <w:spacing w:val="-8"/>
          <w:w w:val="90"/>
          <w:sz w:val="28"/>
        </w:rPr>
        <w:t xml:space="preserve"> </w:t>
      </w:r>
      <w:r>
        <w:rPr>
          <w:w w:val="90"/>
          <w:sz w:val="28"/>
        </w:rPr>
        <w:t>las</w:t>
      </w:r>
      <w:r>
        <w:rPr>
          <w:spacing w:val="-8"/>
          <w:w w:val="90"/>
          <w:sz w:val="28"/>
        </w:rPr>
        <w:t xml:space="preserve"> </w:t>
      </w:r>
      <w:r>
        <w:rPr>
          <w:w w:val="90"/>
          <w:sz w:val="28"/>
        </w:rPr>
        <w:t xml:space="preserve">Directivas </w:t>
      </w:r>
      <w:r>
        <w:rPr>
          <w:spacing w:val="-2"/>
          <w:w w:val="90"/>
          <w:sz w:val="28"/>
        </w:rPr>
        <w:t>del</w:t>
      </w:r>
      <w:r>
        <w:rPr>
          <w:spacing w:val="-7"/>
          <w:w w:val="90"/>
          <w:sz w:val="28"/>
        </w:rPr>
        <w:t xml:space="preserve"> </w:t>
      </w:r>
      <w:r>
        <w:rPr>
          <w:spacing w:val="-2"/>
          <w:w w:val="90"/>
          <w:sz w:val="28"/>
        </w:rPr>
        <w:t>Parlamento</w:t>
      </w:r>
      <w:r>
        <w:rPr>
          <w:spacing w:val="-7"/>
          <w:w w:val="90"/>
          <w:sz w:val="28"/>
        </w:rPr>
        <w:t xml:space="preserve"> </w:t>
      </w:r>
      <w:r>
        <w:rPr>
          <w:spacing w:val="-2"/>
          <w:w w:val="90"/>
          <w:sz w:val="28"/>
        </w:rPr>
        <w:t>Europeo</w:t>
      </w:r>
      <w:r>
        <w:rPr>
          <w:spacing w:val="-7"/>
          <w:w w:val="90"/>
          <w:sz w:val="28"/>
        </w:rPr>
        <w:t xml:space="preserve"> </w:t>
      </w:r>
      <w:r>
        <w:rPr>
          <w:spacing w:val="-2"/>
          <w:w w:val="90"/>
          <w:sz w:val="28"/>
        </w:rPr>
        <w:t>y</w:t>
      </w:r>
      <w:r>
        <w:rPr>
          <w:spacing w:val="-7"/>
          <w:w w:val="90"/>
          <w:sz w:val="28"/>
        </w:rPr>
        <w:t xml:space="preserve"> </w:t>
      </w:r>
      <w:r>
        <w:rPr>
          <w:spacing w:val="-2"/>
          <w:w w:val="90"/>
          <w:sz w:val="28"/>
        </w:rPr>
        <w:t>del</w:t>
      </w:r>
      <w:r>
        <w:rPr>
          <w:spacing w:val="-7"/>
          <w:w w:val="90"/>
          <w:sz w:val="28"/>
        </w:rPr>
        <w:t xml:space="preserve"> </w:t>
      </w:r>
      <w:r>
        <w:rPr>
          <w:spacing w:val="-2"/>
          <w:w w:val="90"/>
          <w:sz w:val="28"/>
        </w:rPr>
        <w:t>Consejo</w:t>
      </w:r>
      <w:r>
        <w:rPr>
          <w:spacing w:val="-7"/>
          <w:w w:val="90"/>
          <w:sz w:val="28"/>
        </w:rPr>
        <w:t xml:space="preserve"> </w:t>
      </w:r>
      <w:r>
        <w:rPr>
          <w:spacing w:val="-2"/>
          <w:w w:val="90"/>
          <w:sz w:val="28"/>
        </w:rPr>
        <w:t>2014/23/UE</w:t>
      </w:r>
      <w:r>
        <w:rPr>
          <w:spacing w:val="-7"/>
          <w:w w:val="90"/>
          <w:sz w:val="28"/>
        </w:rPr>
        <w:t xml:space="preserve"> </w:t>
      </w:r>
      <w:r>
        <w:rPr>
          <w:spacing w:val="-2"/>
          <w:w w:val="90"/>
          <w:sz w:val="28"/>
        </w:rPr>
        <w:t>y</w:t>
      </w:r>
      <w:r>
        <w:rPr>
          <w:spacing w:val="-7"/>
          <w:w w:val="90"/>
          <w:sz w:val="28"/>
        </w:rPr>
        <w:t xml:space="preserve"> </w:t>
      </w:r>
      <w:r>
        <w:rPr>
          <w:spacing w:val="-2"/>
          <w:w w:val="90"/>
          <w:sz w:val="28"/>
        </w:rPr>
        <w:t>2014/24/UE,</w:t>
      </w:r>
      <w:r>
        <w:rPr>
          <w:spacing w:val="-7"/>
          <w:w w:val="90"/>
          <w:sz w:val="28"/>
        </w:rPr>
        <w:t xml:space="preserve"> </w:t>
      </w:r>
      <w:r>
        <w:rPr>
          <w:spacing w:val="-2"/>
          <w:w w:val="90"/>
          <w:sz w:val="28"/>
        </w:rPr>
        <w:t xml:space="preserve">de </w:t>
      </w:r>
      <w:r>
        <w:rPr>
          <w:w w:val="95"/>
          <w:sz w:val="28"/>
        </w:rPr>
        <w:t>26</w:t>
      </w:r>
      <w:r>
        <w:rPr>
          <w:spacing w:val="-16"/>
          <w:w w:val="95"/>
          <w:sz w:val="28"/>
        </w:rPr>
        <w:t xml:space="preserve"> </w:t>
      </w:r>
      <w:r>
        <w:rPr>
          <w:w w:val="95"/>
          <w:sz w:val="28"/>
        </w:rPr>
        <w:t>de</w:t>
      </w:r>
      <w:r>
        <w:rPr>
          <w:spacing w:val="-16"/>
          <w:w w:val="95"/>
          <w:sz w:val="28"/>
        </w:rPr>
        <w:t xml:space="preserve"> </w:t>
      </w:r>
      <w:r>
        <w:rPr>
          <w:w w:val="95"/>
          <w:sz w:val="28"/>
        </w:rPr>
        <w:t>febrero</w:t>
      </w:r>
      <w:r>
        <w:rPr>
          <w:spacing w:val="-15"/>
          <w:w w:val="95"/>
          <w:sz w:val="28"/>
        </w:rPr>
        <w:t xml:space="preserve"> </w:t>
      </w:r>
      <w:r>
        <w:rPr>
          <w:w w:val="95"/>
          <w:sz w:val="28"/>
        </w:rPr>
        <w:t>de</w:t>
      </w:r>
      <w:r>
        <w:rPr>
          <w:spacing w:val="-16"/>
          <w:w w:val="95"/>
          <w:sz w:val="28"/>
        </w:rPr>
        <w:t xml:space="preserve"> </w:t>
      </w:r>
      <w:r>
        <w:rPr>
          <w:w w:val="95"/>
          <w:sz w:val="28"/>
        </w:rPr>
        <w:t>2014.</w:t>
      </w:r>
    </w:p>
    <w:p w:rsidR="0092635B" w:rsidRDefault="00000000">
      <w:pPr>
        <w:pStyle w:val="Textoindependiente"/>
        <w:spacing w:before="212"/>
        <w:ind w:left="0" w:firstLine="0"/>
        <w:jc w:val="left"/>
      </w:pPr>
      <w:r>
        <w:rPr>
          <w:noProof/>
        </w:rPr>
        <mc:AlternateContent>
          <mc:Choice Requires="wps">
            <w:drawing>
              <wp:anchor distT="0" distB="0" distL="0" distR="0" simplePos="0" relativeHeight="487587840" behindDoc="1" locked="0" layoutInCell="1" allowOverlap="1">
                <wp:simplePos x="0" y="0"/>
                <wp:positionH relativeFrom="page">
                  <wp:posOffset>3385800</wp:posOffset>
                </wp:positionH>
                <wp:positionV relativeFrom="paragraph">
                  <wp:posOffset>296524</wp:posOffset>
                </wp:positionV>
                <wp:extent cx="7886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510D33A3" id="Graphic 5" o:spid="_x0000_s1026" style="position:absolute;margin-left:266.6pt;margin-top:23.35pt;width:62.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" path="m,l788400,e" filled="f" strokecolor="#004479" strokeweight=".5pt">
                <v:path arrowok="t"/>
                <w10:wrap type="topAndBottom" anchorx="page"/>
              </v:shape>
            </w:pict>
          </mc:Fallback>
        </mc:AlternateContent>
      </w:r>
    </w:p>
    <w:p w:rsidR="0092635B" w:rsidRDefault="0092635B">
      <w:pPr>
        <w:pStyle w:val="Textoindependiente"/>
        <w:spacing w:before="44"/>
        <w:ind w:left="0" w:firstLine="0"/>
        <w:jc w:val="left"/>
      </w:pPr>
    </w:p>
    <w:p w:rsidR="0092635B" w:rsidRDefault="00000000">
      <w:pPr>
        <w:pStyle w:val="Textoindependiente"/>
        <w:spacing w:before="0"/>
        <w:ind w:left="0" w:firstLine="0"/>
        <w:jc w:val="center"/>
      </w:pPr>
      <w:r>
        <w:rPr>
          <w:color w:val="004479"/>
        </w:rPr>
        <w:t>Jefatura</w:t>
      </w:r>
      <w:r>
        <w:rPr>
          <w:color w:val="004479"/>
          <w:spacing w:val="-5"/>
        </w:rPr>
        <w:t xml:space="preserve"> </w:t>
      </w:r>
      <w:r>
        <w:rPr>
          <w:color w:val="004479"/>
        </w:rPr>
        <w:t>del</w:t>
      </w:r>
      <w:r>
        <w:rPr>
          <w:color w:val="004479"/>
          <w:spacing w:val="-4"/>
        </w:rPr>
        <w:t xml:space="preserve"> </w:t>
      </w:r>
      <w:r>
        <w:rPr>
          <w:color w:val="004479"/>
          <w:spacing w:val="-2"/>
        </w:rPr>
        <w:t>Estado</w:t>
      </w:r>
    </w:p>
    <w:p w:rsidR="0092635B" w:rsidRDefault="00000000">
      <w:pPr>
        <w:pStyle w:val="Textoindependiente"/>
        <w:spacing w:before="10" w:line="249" w:lineRule="auto"/>
        <w:ind w:left="2680" w:right="2679" w:firstLine="0"/>
        <w:jc w:val="center"/>
      </w:pPr>
      <w:r>
        <w:rPr>
          <w:color w:val="004479"/>
        </w:rPr>
        <w:t>«BOE»</w:t>
      </w:r>
      <w:r>
        <w:rPr>
          <w:color w:val="004479"/>
          <w:spacing w:val="-5"/>
        </w:rPr>
        <w:t xml:space="preserve"> </w:t>
      </w:r>
      <w:r>
        <w:rPr>
          <w:color w:val="004479"/>
        </w:rPr>
        <w:t>núm.</w:t>
      </w:r>
      <w:r>
        <w:rPr>
          <w:color w:val="004479"/>
          <w:spacing w:val="-5"/>
        </w:rPr>
        <w:t xml:space="preserve"> </w:t>
      </w:r>
      <w:r>
        <w:rPr>
          <w:color w:val="004479"/>
        </w:rPr>
        <w:t>272,</w:t>
      </w:r>
      <w:r>
        <w:rPr>
          <w:color w:val="004479"/>
          <w:spacing w:val="-5"/>
        </w:rPr>
        <w:t xml:space="preserve"> </w:t>
      </w:r>
      <w:r>
        <w:rPr>
          <w:color w:val="004479"/>
        </w:rPr>
        <w:t>de</w:t>
      </w:r>
      <w:r>
        <w:rPr>
          <w:color w:val="004479"/>
          <w:spacing w:val="-5"/>
        </w:rPr>
        <w:t xml:space="preserve"> </w:t>
      </w:r>
      <w:r>
        <w:rPr>
          <w:color w:val="004479"/>
        </w:rPr>
        <w:t>09</w:t>
      </w:r>
      <w:r>
        <w:rPr>
          <w:color w:val="004479"/>
          <w:spacing w:val="-5"/>
        </w:rPr>
        <w:t xml:space="preserve"> </w:t>
      </w:r>
      <w:r>
        <w:rPr>
          <w:color w:val="004479"/>
        </w:rPr>
        <w:t>de</w:t>
      </w:r>
      <w:r>
        <w:rPr>
          <w:color w:val="004479"/>
          <w:spacing w:val="-5"/>
        </w:rPr>
        <w:t xml:space="preserve"> </w:t>
      </w:r>
      <w:r>
        <w:rPr>
          <w:color w:val="004479"/>
        </w:rPr>
        <w:t>noviembre</w:t>
      </w:r>
      <w:r>
        <w:rPr>
          <w:color w:val="004479"/>
          <w:spacing w:val="-5"/>
        </w:rPr>
        <w:t xml:space="preserve"> </w:t>
      </w:r>
      <w:r>
        <w:rPr>
          <w:color w:val="004479"/>
        </w:rPr>
        <w:t>de</w:t>
      </w:r>
      <w:r>
        <w:rPr>
          <w:color w:val="004479"/>
          <w:spacing w:val="-5"/>
        </w:rPr>
        <w:t xml:space="preserve"> </w:t>
      </w:r>
      <w:r>
        <w:rPr>
          <w:color w:val="004479"/>
        </w:rPr>
        <w:t>2017 Referencia: BOE-A-2017-12902</w:t>
      </w:r>
    </w:p>
    <w:p w:rsidR="0092635B" w:rsidRDefault="00000000">
      <w:pPr>
        <w:pStyle w:val="Textoindependiente"/>
        <w:spacing w:before="48"/>
        <w:ind w:left="0" w:firstLine="0"/>
        <w:jc w:val="left"/>
      </w:pPr>
      <w:r>
        <w:rPr>
          <w:noProof/>
        </w:rPr>
        <mc:AlternateContent>
          <mc:Choice Requires="wps">
            <w:drawing>
              <wp:anchor distT="0" distB="0" distL="0" distR="0" simplePos="0" relativeHeight="487588352" behindDoc="1" locked="0" layoutInCell="1" allowOverlap="1">
                <wp:simplePos x="0" y="0"/>
                <wp:positionH relativeFrom="page">
                  <wp:posOffset>3385800</wp:posOffset>
                </wp:positionH>
                <wp:positionV relativeFrom="paragraph">
                  <wp:posOffset>192301</wp:posOffset>
                </wp:positionV>
                <wp:extent cx="7886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628720E1" id="Graphic 6" o:spid="_x0000_s1026" style="position:absolute;margin-left:266.6pt;margin-top:15.15pt;width:62.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" path="m,l788400,e" filled="f" strokecolor="#004479" strokeweight=".5pt">
                <v:path arrowok="t"/>
                <w10:wrap type="topAndBottom" anchorx="page"/>
              </v:shape>
            </w:pict>
          </mc:Fallback>
        </mc:AlternateContent>
      </w:r>
    </w:p>
    <w:p w:rsidR="0092635B" w:rsidRDefault="0092635B">
      <w:pPr>
        <w:pStyle w:val="Textoindependiente"/>
        <w:spacing w:before="191"/>
        <w:ind w:left="0" w:firstLine="0"/>
        <w:jc w:val="left"/>
        <w:rPr>
          <w:sz w:val="28"/>
        </w:rPr>
      </w:pPr>
    </w:p>
    <w:p w:rsidR="0092635B" w:rsidRDefault="00000000">
      <w:pPr>
        <w:jc w:val="center"/>
        <w:rPr>
          <w:sz w:val="28"/>
        </w:rPr>
      </w:pPr>
      <w:r>
        <w:rPr>
          <w:color w:val="004479"/>
          <w:spacing w:val="-2"/>
          <w:sz w:val="28"/>
        </w:rPr>
        <w:t>ÍNDICE</w:t>
      </w:r>
    </w:p>
    <w:p w:rsidR="0092635B" w:rsidRDefault="0092635B">
      <w:pPr>
        <w:pStyle w:val="Textoindependiente"/>
        <w:spacing w:before="0"/>
        <w:ind w:left="0" w:firstLine="0"/>
        <w:jc w:val="left"/>
      </w:pPr>
    </w:p>
    <w:p w:rsidR="0092635B" w:rsidRDefault="0092635B">
      <w:pPr>
        <w:pStyle w:val="Textoindependiente"/>
        <w:spacing w:before="0"/>
        <w:ind w:left="0" w:firstLine="0"/>
        <w:jc w:val="left"/>
      </w:pPr>
    </w:p>
    <w:p w:rsidR="0092635B" w:rsidRDefault="0092635B">
      <w:pPr>
        <w:pStyle w:val="Textoindependiente"/>
        <w:spacing w:before="0"/>
        <w:ind w:left="0" w:firstLine="0"/>
        <w:jc w:val="left"/>
      </w:pPr>
    </w:p>
    <w:p w:rsidR="0092635B" w:rsidRDefault="0092635B">
      <w:pPr>
        <w:pStyle w:val="Textoindependiente"/>
        <w:spacing w:before="86"/>
        <w:ind w:left="0" w:firstLine="0"/>
        <w:jc w:val="left"/>
      </w:pPr>
    </w:p>
    <w:tbl>
      <w:tblPr>
        <w:tblStyle w:val="TableNormal"/>
        <w:tblW w:w="0" w:type="auto"/>
        <w:tblInd w:w="893" w:type="dxa"/>
        <w:tblLayout w:type="fixed"/>
        <w:tblLook w:val="01E0" w:firstRow="1" w:lastRow="1" w:firstColumn="1" w:lastColumn="1" w:noHBand="0" w:noVBand="0"/>
      </w:tblPr>
      <w:tblGrid>
        <w:gridCol w:w="9117"/>
        <w:gridCol w:w="394"/>
      </w:tblGrid>
      <w:tr w:rsidR="0092635B">
        <w:trPr>
          <w:trHeight w:val="337"/>
        </w:trPr>
        <w:tc>
          <w:tcPr>
            <w:tcW w:w="9117" w:type="dxa"/>
          </w:tcPr>
          <w:p w:rsidR="0092635B" w:rsidRDefault="00000000">
            <w:pPr>
              <w:pStyle w:val="TableParagraph"/>
              <w:spacing w:line="194" w:lineRule="exact"/>
              <w:ind w:right="147"/>
              <w:jc w:val="right"/>
              <w:rPr>
                <w:rFonts w:ascii="Arial" w:hAnsi="Arial"/>
                <w:i/>
                <w:sz w:val="17"/>
              </w:rPr>
            </w:pPr>
            <w:hyperlink w:anchor="_bookmark0" w:history="1">
              <w:r>
                <w:rPr>
                  <w:rFonts w:ascii="Arial" w:hAnsi="Arial"/>
                  <w:i/>
                  <w:sz w:val="17"/>
                </w:rPr>
                <w:t>Preámbulo</w:t>
              </w:r>
              <w:r>
                <w:rPr>
                  <w:rFonts w:ascii="Arial" w:hAnsi="Arial"/>
                  <w:i/>
                  <w:spacing w:val="-18"/>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10"/>
                  <w:sz w:val="17"/>
                </w:rPr>
                <w:t>.</w:t>
              </w:r>
              <w:r>
                <w:rPr>
                  <w:rFonts w:ascii="Arial" w:hAnsi="Arial"/>
                  <w:i/>
                  <w:sz w:val="17"/>
                </w:rPr>
                <w:t xml:space="preserve"> </w:t>
              </w:r>
            </w:hyperlink>
          </w:p>
        </w:tc>
        <w:tc>
          <w:tcPr>
            <w:tcW w:w="394" w:type="dxa"/>
          </w:tcPr>
          <w:p w:rsidR="0092635B" w:rsidRDefault="00000000">
            <w:pPr>
              <w:pStyle w:val="TableParagraph"/>
              <w:spacing w:line="194" w:lineRule="exact"/>
              <w:ind w:right="48"/>
              <w:jc w:val="right"/>
              <w:rPr>
                <w:sz w:val="17"/>
              </w:rPr>
            </w:pPr>
            <w:hyperlink w:anchor="_bookmark0" w:history="1">
              <w:r>
                <w:rPr>
                  <w:spacing w:val="-10"/>
                  <w:sz w:val="17"/>
                </w:rPr>
                <w:t>6</w:t>
              </w:r>
            </w:hyperlink>
          </w:p>
        </w:tc>
      </w:tr>
      <w:tr w:rsidR="0092635B">
        <w:trPr>
          <w:trHeight w:val="462"/>
        </w:trPr>
        <w:tc>
          <w:tcPr>
            <w:tcW w:w="9117" w:type="dxa"/>
          </w:tcPr>
          <w:p w:rsidR="0092635B" w:rsidRDefault="00000000">
            <w:pPr>
              <w:pStyle w:val="TableParagraph"/>
              <w:spacing w:before="141"/>
              <w:ind w:right="148"/>
              <w:jc w:val="right"/>
              <w:rPr>
                <w:sz w:val="17"/>
              </w:rPr>
            </w:pPr>
            <w:hyperlink w:anchor="_bookmark1" w:history="1">
              <w:r>
                <w:rPr>
                  <w:sz w:val="17"/>
                </w:rPr>
                <w:t>TÍTULO</w:t>
              </w:r>
              <w:r>
                <w:rPr>
                  <w:spacing w:val="4"/>
                  <w:sz w:val="17"/>
                </w:rPr>
                <w:t xml:space="preserve"> </w:t>
              </w:r>
              <w:r>
                <w:rPr>
                  <w:sz w:val="17"/>
                </w:rPr>
                <w:t>PRELIMINAR.</w:t>
              </w:r>
              <w:r>
                <w:rPr>
                  <w:spacing w:val="4"/>
                  <w:sz w:val="17"/>
                </w:rPr>
                <w:t xml:space="preserve"> </w:t>
              </w:r>
              <w:r>
                <w:rPr>
                  <w:sz w:val="17"/>
                </w:rPr>
                <w:t>Disposiciones</w:t>
              </w:r>
              <w:r>
                <w:rPr>
                  <w:spacing w:val="5"/>
                  <w:sz w:val="17"/>
                </w:rPr>
                <w:t xml:space="preserve"> </w:t>
              </w:r>
              <w:r>
                <w:rPr>
                  <w:sz w:val="17"/>
                </w:rPr>
                <w:t>generales.</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46"/>
              <w:ind w:right="48"/>
              <w:jc w:val="right"/>
              <w:rPr>
                <w:sz w:val="17"/>
              </w:rPr>
            </w:pPr>
            <w:hyperlink w:anchor="_bookmark1" w:history="1">
              <w:r>
                <w:rPr>
                  <w:spacing w:val="-5"/>
                  <w:sz w:val="17"/>
                </w:rPr>
                <w:t>17</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 w:history="1">
              <w:r>
                <w:rPr>
                  <w:sz w:val="17"/>
                </w:rPr>
                <w:t>CAPÍTULO</w:t>
              </w:r>
              <w:r>
                <w:rPr>
                  <w:spacing w:val="2"/>
                  <w:sz w:val="17"/>
                </w:rPr>
                <w:t xml:space="preserve"> </w:t>
              </w:r>
              <w:r>
                <w:rPr>
                  <w:sz w:val="17"/>
                </w:rPr>
                <w:t>I.</w:t>
              </w:r>
              <w:r>
                <w:rPr>
                  <w:spacing w:val="3"/>
                  <w:sz w:val="17"/>
                </w:rPr>
                <w:t xml:space="preserve"> </w:t>
              </w:r>
              <w:r>
                <w:rPr>
                  <w:sz w:val="17"/>
                </w:rPr>
                <w:t>Objeto</w:t>
              </w:r>
              <w:r>
                <w:rPr>
                  <w:spacing w:val="3"/>
                  <w:sz w:val="17"/>
                </w:rPr>
                <w:t xml:space="preserve"> </w:t>
              </w:r>
              <w:r>
                <w:rPr>
                  <w:sz w:val="17"/>
                </w:rPr>
                <w:t>y</w:t>
              </w:r>
              <w:r>
                <w:rPr>
                  <w:spacing w:val="3"/>
                  <w:sz w:val="17"/>
                </w:rPr>
                <w:t xml:space="preserve"> </w:t>
              </w:r>
              <w:r>
                <w:rPr>
                  <w:sz w:val="17"/>
                </w:rPr>
                <w:t>ámbito</w:t>
              </w:r>
              <w:r>
                <w:rPr>
                  <w:spacing w:val="3"/>
                  <w:sz w:val="17"/>
                </w:rPr>
                <w:t xml:space="preserve"> </w:t>
              </w:r>
              <w:r>
                <w:rPr>
                  <w:sz w:val="17"/>
                </w:rPr>
                <w:t>de</w:t>
              </w:r>
              <w:r>
                <w:rPr>
                  <w:spacing w:val="3"/>
                  <w:sz w:val="17"/>
                </w:rPr>
                <w:t xml:space="preserve"> </w:t>
              </w:r>
              <w:r>
                <w:rPr>
                  <w:sz w:val="17"/>
                </w:rPr>
                <w:t>aplicación</w:t>
              </w:r>
              <w:r>
                <w:rPr>
                  <w:spacing w:val="2"/>
                  <w:sz w:val="17"/>
                </w:rPr>
                <w:t xml:space="preserve"> </w:t>
              </w:r>
              <w:r>
                <w:rPr>
                  <w:sz w:val="17"/>
                </w:rPr>
                <w:t>de</w:t>
              </w:r>
              <w:r>
                <w:rPr>
                  <w:spacing w:val="3"/>
                  <w:sz w:val="17"/>
                </w:rPr>
                <w:t xml:space="preserve"> </w:t>
              </w:r>
              <w:r>
                <w:rPr>
                  <w:sz w:val="17"/>
                </w:rPr>
                <w:t>la</w:t>
              </w:r>
              <w:r>
                <w:rPr>
                  <w:spacing w:val="3"/>
                  <w:sz w:val="17"/>
                </w:rPr>
                <w:t xml:space="preserve"> </w:t>
              </w:r>
              <w:r>
                <w:rPr>
                  <w:sz w:val="17"/>
                </w:rPr>
                <w:t>Ley</w:t>
              </w:r>
              <w:r>
                <w:rPr>
                  <w:spacing w:val="-1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2" w:history="1">
              <w:r>
                <w:rPr>
                  <w:spacing w:val="-5"/>
                  <w:sz w:val="17"/>
                </w:rPr>
                <w:t>17</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3" w:history="1">
              <w:r>
                <w:rPr>
                  <w:sz w:val="17"/>
                </w:rPr>
                <w:t>Sección</w:t>
              </w:r>
              <w:r>
                <w:rPr>
                  <w:spacing w:val="3"/>
                  <w:sz w:val="17"/>
                </w:rPr>
                <w:t xml:space="preserve"> </w:t>
              </w:r>
              <w:r>
                <w:rPr>
                  <w:sz w:val="17"/>
                </w:rPr>
                <w:t>1.ª</w:t>
              </w:r>
              <w:r>
                <w:rPr>
                  <w:spacing w:val="3"/>
                  <w:sz w:val="17"/>
                </w:rPr>
                <w:t xml:space="preserve"> </w:t>
              </w:r>
              <w:r>
                <w:rPr>
                  <w:sz w:val="17"/>
                </w:rPr>
                <w:t>Objeto</w:t>
              </w:r>
              <w:r>
                <w:rPr>
                  <w:spacing w:val="3"/>
                  <w:sz w:val="17"/>
                </w:rPr>
                <w:t xml:space="preserve"> </w:t>
              </w:r>
              <w:r>
                <w:rPr>
                  <w:sz w:val="17"/>
                </w:rPr>
                <w:t>y</w:t>
              </w:r>
              <w:r>
                <w:rPr>
                  <w:spacing w:val="3"/>
                  <w:sz w:val="17"/>
                </w:rPr>
                <w:t xml:space="preserve"> </w:t>
              </w:r>
              <w:r>
                <w:rPr>
                  <w:sz w:val="17"/>
                </w:rPr>
                <w:t>ámbito</w:t>
              </w:r>
              <w:r>
                <w:rPr>
                  <w:spacing w:val="3"/>
                  <w:sz w:val="17"/>
                </w:rPr>
                <w:t xml:space="preserve"> </w:t>
              </w:r>
              <w:r>
                <w:rPr>
                  <w:sz w:val="17"/>
                </w:rPr>
                <w:t>de</w:t>
              </w:r>
              <w:r>
                <w:rPr>
                  <w:spacing w:val="3"/>
                  <w:sz w:val="17"/>
                </w:rPr>
                <w:t xml:space="preserve"> </w:t>
              </w:r>
              <w:r>
                <w:rPr>
                  <w:sz w:val="17"/>
                </w:rPr>
                <w:t>aplicación.</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3" w:history="1">
              <w:r>
                <w:rPr>
                  <w:spacing w:val="-5"/>
                  <w:sz w:val="17"/>
                </w:rPr>
                <w:t>17</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4" w:history="1">
              <w:r>
                <w:rPr>
                  <w:sz w:val="17"/>
                </w:rPr>
                <w:t>Sección</w:t>
              </w:r>
              <w:r>
                <w:rPr>
                  <w:spacing w:val="3"/>
                  <w:sz w:val="17"/>
                </w:rPr>
                <w:t xml:space="preserve"> </w:t>
              </w:r>
              <w:r>
                <w:rPr>
                  <w:sz w:val="17"/>
                </w:rPr>
                <w:t>2.ª</w:t>
              </w:r>
              <w:r>
                <w:rPr>
                  <w:spacing w:val="4"/>
                  <w:sz w:val="17"/>
                </w:rPr>
                <w:t xml:space="preserve"> </w:t>
              </w:r>
              <w:r>
                <w:rPr>
                  <w:sz w:val="17"/>
                </w:rPr>
                <w:t>Negocios</w:t>
              </w:r>
              <w:r>
                <w:rPr>
                  <w:spacing w:val="4"/>
                  <w:sz w:val="17"/>
                </w:rPr>
                <w:t xml:space="preserve"> </w:t>
              </w:r>
              <w:r>
                <w:rPr>
                  <w:sz w:val="17"/>
                </w:rPr>
                <w:t>y</w:t>
              </w:r>
              <w:r>
                <w:rPr>
                  <w:spacing w:val="4"/>
                  <w:sz w:val="17"/>
                </w:rPr>
                <w:t xml:space="preserve"> </w:t>
              </w:r>
              <w:r>
                <w:rPr>
                  <w:sz w:val="17"/>
                </w:rPr>
                <w:t>contratos</w:t>
              </w:r>
              <w:r>
                <w:rPr>
                  <w:spacing w:val="3"/>
                  <w:sz w:val="17"/>
                </w:rPr>
                <w:t xml:space="preserve"> </w:t>
              </w:r>
              <w:r>
                <w:rPr>
                  <w:sz w:val="17"/>
                </w:rPr>
                <w:t>excluidos.</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4" w:history="1">
              <w:r>
                <w:rPr>
                  <w:spacing w:val="-5"/>
                  <w:sz w:val="17"/>
                </w:rPr>
                <w:t>20</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5" w:history="1">
              <w:r>
                <w:rPr>
                  <w:sz w:val="17"/>
                </w:rPr>
                <w:t>CAPÍTULO</w:t>
              </w:r>
              <w:r>
                <w:rPr>
                  <w:spacing w:val="2"/>
                  <w:sz w:val="17"/>
                </w:rPr>
                <w:t xml:space="preserve"> </w:t>
              </w:r>
              <w:r>
                <w:rPr>
                  <w:sz w:val="17"/>
                </w:rPr>
                <w:t>II.</w:t>
              </w:r>
              <w:r>
                <w:rPr>
                  <w:spacing w:val="3"/>
                  <w:sz w:val="17"/>
                </w:rPr>
                <w:t xml:space="preserve"> </w:t>
              </w:r>
              <w:r>
                <w:rPr>
                  <w:sz w:val="17"/>
                </w:rPr>
                <w:t>Contratos</w:t>
              </w:r>
              <w:r>
                <w:rPr>
                  <w:spacing w:val="3"/>
                  <w:sz w:val="17"/>
                </w:rPr>
                <w:t xml:space="preserve"> </w:t>
              </w:r>
              <w:r>
                <w:rPr>
                  <w:sz w:val="17"/>
                </w:rPr>
                <w:t>del</w:t>
              </w:r>
              <w:r>
                <w:rPr>
                  <w:spacing w:val="3"/>
                  <w:sz w:val="17"/>
                </w:rPr>
                <w:t xml:space="preserve"> </w:t>
              </w:r>
              <w:r>
                <w:rPr>
                  <w:sz w:val="17"/>
                </w:rPr>
                <w:t>sector</w:t>
              </w:r>
              <w:r>
                <w:rPr>
                  <w:spacing w:val="3"/>
                  <w:sz w:val="17"/>
                </w:rPr>
                <w:t xml:space="preserve"> </w:t>
              </w:r>
              <w:r>
                <w:rPr>
                  <w:sz w:val="17"/>
                </w:rPr>
                <w:t>público</w:t>
              </w:r>
              <w:r>
                <w:rPr>
                  <w:spacing w:val="-1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5" w:history="1">
              <w:r>
                <w:rPr>
                  <w:spacing w:val="-5"/>
                  <w:sz w:val="17"/>
                </w:rPr>
                <w:t>23</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6" w:history="1">
              <w:r>
                <w:rPr>
                  <w:sz w:val="17"/>
                </w:rPr>
                <w:t>Sección</w:t>
              </w:r>
              <w:r>
                <w:rPr>
                  <w:spacing w:val="2"/>
                  <w:sz w:val="17"/>
                </w:rPr>
                <w:t xml:space="preserve"> </w:t>
              </w:r>
              <w:r>
                <w:rPr>
                  <w:sz w:val="17"/>
                </w:rPr>
                <w:t>1.ª</w:t>
              </w:r>
              <w:r>
                <w:rPr>
                  <w:spacing w:val="3"/>
                  <w:sz w:val="17"/>
                </w:rPr>
                <w:t xml:space="preserve"> </w:t>
              </w:r>
              <w:r>
                <w:rPr>
                  <w:sz w:val="17"/>
                </w:rPr>
                <w:t>Delimitación</w:t>
              </w:r>
              <w:r>
                <w:rPr>
                  <w:spacing w:val="3"/>
                  <w:sz w:val="17"/>
                </w:rPr>
                <w:t xml:space="preserve"> </w:t>
              </w:r>
              <w:r>
                <w:rPr>
                  <w:sz w:val="17"/>
                </w:rPr>
                <w:t>de</w:t>
              </w:r>
              <w:r>
                <w:rPr>
                  <w:spacing w:val="3"/>
                  <w:sz w:val="17"/>
                </w:rPr>
                <w:t xml:space="preserve"> </w:t>
              </w:r>
              <w:r>
                <w:rPr>
                  <w:sz w:val="17"/>
                </w:rPr>
                <w:t>los</w:t>
              </w:r>
              <w:r>
                <w:rPr>
                  <w:spacing w:val="3"/>
                  <w:sz w:val="17"/>
                </w:rPr>
                <w:t xml:space="preserve"> </w:t>
              </w:r>
              <w:r>
                <w:rPr>
                  <w:sz w:val="17"/>
                </w:rPr>
                <w:t>tipos</w:t>
              </w:r>
              <w:r>
                <w:rPr>
                  <w:spacing w:val="3"/>
                  <w:sz w:val="17"/>
                </w:rPr>
                <w:t xml:space="preserve"> </w:t>
              </w:r>
              <w:r>
                <w:rPr>
                  <w:sz w:val="17"/>
                </w:rPr>
                <w:t>contractuales</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6" w:history="1">
              <w:r>
                <w:rPr>
                  <w:spacing w:val="-5"/>
                  <w:sz w:val="17"/>
                </w:rPr>
                <w:t>23</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7" w:history="1">
              <w:r>
                <w:rPr>
                  <w:sz w:val="17"/>
                </w:rPr>
                <w:t>Sección</w:t>
              </w:r>
              <w:r>
                <w:rPr>
                  <w:spacing w:val="3"/>
                  <w:sz w:val="17"/>
                </w:rPr>
                <w:t xml:space="preserve"> </w:t>
              </w:r>
              <w:r>
                <w:rPr>
                  <w:sz w:val="17"/>
                </w:rPr>
                <w:t>2.ª</w:t>
              </w:r>
              <w:r>
                <w:rPr>
                  <w:spacing w:val="3"/>
                  <w:sz w:val="17"/>
                </w:rPr>
                <w:t xml:space="preserve"> </w:t>
              </w:r>
              <w:r>
                <w:rPr>
                  <w:sz w:val="17"/>
                </w:rPr>
                <w:t>Contratos</w:t>
              </w:r>
              <w:r>
                <w:rPr>
                  <w:spacing w:val="3"/>
                  <w:sz w:val="17"/>
                </w:rPr>
                <w:t xml:space="preserve"> </w:t>
              </w:r>
              <w:r>
                <w:rPr>
                  <w:sz w:val="17"/>
                </w:rPr>
                <w:t>sujetos</w:t>
              </w:r>
              <w:r>
                <w:rPr>
                  <w:spacing w:val="3"/>
                  <w:sz w:val="17"/>
                </w:rPr>
                <w:t xml:space="preserve"> </w:t>
              </w:r>
              <w:r>
                <w:rPr>
                  <w:sz w:val="17"/>
                </w:rPr>
                <w:t>a</w:t>
              </w:r>
              <w:r>
                <w:rPr>
                  <w:spacing w:val="3"/>
                  <w:sz w:val="17"/>
                </w:rPr>
                <w:t xml:space="preserve"> </w:t>
              </w:r>
              <w:r>
                <w:rPr>
                  <w:sz w:val="17"/>
                </w:rPr>
                <w:t>una</w:t>
              </w:r>
              <w:r>
                <w:rPr>
                  <w:spacing w:val="3"/>
                  <w:sz w:val="17"/>
                </w:rPr>
                <w:t xml:space="preserve"> </w:t>
              </w:r>
              <w:r>
                <w:rPr>
                  <w:sz w:val="17"/>
                </w:rPr>
                <w:t>regulación</w:t>
              </w:r>
              <w:r>
                <w:rPr>
                  <w:spacing w:val="4"/>
                  <w:sz w:val="17"/>
                </w:rPr>
                <w:t xml:space="preserve"> </w:t>
              </w:r>
              <w:r>
                <w:rPr>
                  <w:sz w:val="17"/>
                </w:rPr>
                <w:t>armonizada</w:t>
              </w:r>
              <w:r>
                <w:rPr>
                  <w:spacing w:val="3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7" w:history="1">
              <w:r>
                <w:rPr>
                  <w:spacing w:val="-5"/>
                  <w:sz w:val="17"/>
                </w:rPr>
                <w:t>26</w:t>
              </w:r>
            </w:hyperlink>
          </w:p>
        </w:tc>
      </w:tr>
      <w:tr w:rsidR="0092635B">
        <w:trPr>
          <w:trHeight w:val="439"/>
        </w:trPr>
        <w:tc>
          <w:tcPr>
            <w:tcW w:w="9117" w:type="dxa"/>
          </w:tcPr>
          <w:p w:rsidR="0092635B" w:rsidRDefault="00000000">
            <w:pPr>
              <w:pStyle w:val="TableParagraph"/>
              <w:spacing w:before="118"/>
              <w:ind w:right="148"/>
              <w:jc w:val="right"/>
              <w:rPr>
                <w:sz w:val="17"/>
              </w:rPr>
            </w:pPr>
            <w:hyperlink w:anchor="_bookmark8" w:history="1">
              <w:r>
                <w:rPr>
                  <w:sz w:val="17"/>
                </w:rPr>
                <w:t>Sección</w:t>
              </w:r>
              <w:r>
                <w:rPr>
                  <w:spacing w:val="3"/>
                  <w:sz w:val="17"/>
                </w:rPr>
                <w:t xml:space="preserve"> </w:t>
              </w:r>
              <w:r>
                <w:rPr>
                  <w:sz w:val="17"/>
                </w:rPr>
                <w:t>3.ª</w:t>
              </w:r>
              <w:r>
                <w:rPr>
                  <w:spacing w:val="4"/>
                  <w:sz w:val="17"/>
                </w:rPr>
                <w:t xml:space="preserve"> </w:t>
              </w:r>
              <w:r>
                <w:rPr>
                  <w:sz w:val="17"/>
                </w:rPr>
                <w:t>Contratos</w:t>
              </w:r>
              <w:r>
                <w:rPr>
                  <w:spacing w:val="4"/>
                  <w:sz w:val="17"/>
                </w:rPr>
                <w:t xml:space="preserve"> </w:t>
              </w:r>
              <w:r>
                <w:rPr>
                  <w:sz w:val="17"/>
                </w:rPr>
                <w:t>administrativos</w:t>
              </w:r>
              <w:r>
                <w:rPr>
                  <w:spacing w:val="3"/>
                  <w:sz w:val="17"/>
                </w:rPr>
                <w:t xml:space="preserve"> </w:t>
              </w:r>
              <w:r>
                <w:rPr>
                  <w:sz w:val="17"/>
                </w:rPr>
                <w:t>y</w:t>
              </w:r>
              <w:r>
                <w:rPr>
                  <w:spacing w:val="4"/>
                  <w:sz w:val="17"/>
                </w:rPr>
                <w:t xml:space="preserve"> </w:t>
              </w:r>
              <w:r>
                <w:rPr>
                  <w:sz w:val="17"/>
                </w:rPr>
                <w:t>contratos</w:t>
              </w:r>
              <w:r>
                <w:rPr>
                  <w:spacing w:val="4"/>
                  <w:sz w:val="17"/>
                </w:rPr>
                <w:t xml:space="preserve"> </w:t>
              </w:r>
              <w:r>
                <w:rPr>
                  <w:sz w:val="17"/>
                </w:rPr>
                <w:t>privados</w:t>
              </w:r>
              <w:r>
                <w:rPr>
                  <w:spacing w:val="-10"/>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8" w:history="1">
              <w:r>
                <w:rPr>
                  <w:spacing w:val="-5"/>
                  <w:sz w:val="17"/>
                </w:rPr>
                <w:t>29</w:t>
              </w:r>
            </w:hyperlink>
          </w:p>
        </w:tc>
      </w:tr>
      <w:tr w:rsidR="0092635B">
        <w:trPr>
          <w:trHeight w:val="680"/>
        </w:trPr>
        <w:tc>
          <w:tcPr>
            <w:tcW w:w="9117" w:type="dxa"/>
          </w:tcPr>
          <w:p w:rsidR="0092635B" w:rsidRDefault="00000000">
            <w:pPr>
              <w:pStyle w:val="TableParagraph"/>
              <w:spacing w:before="118" w:line="295" w:lineRule="auto"/>
              <w:ind w:left="250" w:hanging="201"/>
              <w:rPr>
                <w:sz w:val="17"/>
              </w:rPr>
            </w:pPr>
            <w:hyperlink w:anchor="_bookmark9" w:history="1">
              <w:r>
                <w:rPr>
                  <w:sz w:val="17"/>
                </w:rPr>
                <w:t>LIBRO</w:t>
              </w:r>
              <w:r>
                <w:rPr>
                  <w:spacing w:val="37"/>
                  <w:sz w:val="17"/>
                </w:rPr>
                <w:t xml:space="preserve"> </w:t>
              </w:r>
              <w:r>
                <w:rPr>
                  <w:sz w:val="17"/>
                </w:rPr>
                <w:t>PRIMERO.</w:t>
              </w:r>
              <w:r>
                <w:rPr>
                  <w:spacing w:val="37"/>
                  <w:sz w:val="17"/>
                </w:rPr>
                <w:t xml:space="preserve"> </w:t>
              </w:r>
              <w:r>
                <w:rPr>
                  <w:sz w:val="17"/>
                </w:rPr>
                <w:t>Configuración</w:t>
              </w:r>
              <w:r>
                <w:rPr>
                  <w:spacing w:val="37"/>
                  <w:sz w:val="17"/>
                </w:rPr>
                <w:t xml:space="preserve"> </w:t>
              </w:r>
              <w:r>
                <w:rPr>
                  <w:sz w:val="17"/>
                </w:rPr>
                <w:t>general</w:t>
              </w:r>
              <w:r>
                <w:rPr>
                  <w:spacing w:val="37"/>
                  <w:sz w:val="17"/>
                </w:rPr>
                <w:t xml:space="preserve"> </w:t>
              </w:r>
              <w:r>
                <w:rPr>
                  <w:sz w:val="17"/>
                </w:rPr>
                <w:t>de</w:t>
              </w:r>
              <w:r>
                <w:rPr>
                  <w:spacing w:val="37"/>
                  <w:sz w:val="17"/>
                </w:rPr>
                <w:t xml:space="preserve"> </w:t>
              </w:r>
              <w:r>
                <w:rPr>
                  <w:sz w:val="17"/>
                </w:rPr>
                <w:t>la</w:t>
              </w:r>
              <w:r>
                <w:rPr>
                  <w:spacing w:val="37"/>
                  <w:sz w:val="17"/>
                </w:rPr>
                <w:t xml:space="preserve"> </w:t>
              </w:r>
              <w:r>
                <w:rPr>
                  <w:sz w:val="17"/>
                </w:rPr>
                <w:t>contratación</w:t>
              </w:r>
              <w:r>
                <w:rPr>
                  <w:spacing w:val="37"/>
                  <w:sz w:val="17"/>
                </w:rPr>
                <w:t xml:space="preserve"> </w:t>
              </w:r>
              <w:r>
                <w:rPr>
                  <w:sz w:val="17"/>
                </w:rPr>
                <w:t>del</w:t>
              </w:r>
              <w:r>
                <w:rPr>
                  <w:spacing w:val="37"/>
                  <w:sz w:val="17"/>
                </w:rPr>
                <w:t xml:space="preserve"> </w:t>
              </w:r>
              <w:r>
                <w:rPr>
                  <w:sz w:val="17"/>
                </w:rPr>
                <w:t>sector</w:t>
              </w:r>
              <w:r>
                <w:rPr>
                  <w:spacing w:val="37"/>
                  <w:sz w:val="17"/>
                </w:rPr>
                <w:t xml:space="preserve"> </w:t>
              </w:r>
              <w:r>
                <w:rPr>
                  <w:sz w:val="17"/>
                </w:rPr>
                <w:t>público</w:t>
              </w:r>
              <w:r>
                <w:rPr>
                  <w:spacing w:val="37"/>
                  <w:sz w:val="17"/>
                </w:rPr>
                <w:t xml:space="preserve"> </w:t>
              </w:r>
              <w:r>
                <w:rPr>
                  <w:sz w:val="17"/>
                </w:rPr>
                <w:t>y</w:t>
              </w:r>
              <w:r>
                <w:rPr>
                  <w:spacing w:val="37"/>
                  <w:sz w:val="17"/>
                </w:rPr>
                <w:t xml:space="preserve"> </w:t>
              </w:r>
              <w:r>
                <w:rPr>
                  <w:sz w:val="17"/>
                </w:rPr>
                <w:t>elementos</w:t>
              </w:r>
              <w:r>
                <w:rPr>
                  <w:spacing w:val="37"/>
                  <w:sz w:val="17"/>
                </w:rPr>
                <w:t xml:space="preserve"> </w:t>
              </w:r>
              <w:r>
                <w:rPr>
                  <w:sz w:val="17"/>
                </w:rPr>
                <w:t>estructurales</w:t>
              </w:r>
              <w:r>
                <w:rPr>
                  <w:spacing w:val="37"/>
                  <w:sz w:val="17"/>
                </w:rPr>
                <w:t xml:space="preserve"> </w:t>
              </w:r>
              <w:r>
                <w:rPr>
                  <w:sz w:val="17"/>
                </w:rPr>
                <w:t>de</w:t>
              </w:r>
              <w:r>
                <w:rPr>
                  <w:spacing w:val="37"/>
                  <w:sz w:val="17"/>
                </w:rPr>
                <w:t xml:space="preserve"> </w:t>
              </w:r>
              <w:r>
                <w:rPr>
                  <w:sz w:val="17"/>
                </w:rPr>
                <w:t>los</w:t>
              </w:r>
            </w:hyperlink>
            <w:r>
              <w:rPr>
                <w:sz w:val="17"/>
              </w:rPr>
              <w:t xml:space="preserve"> </w:t>
            </w:r>
            <w:hyperlink w:anchor="_bookmark9" w:history="1">
              <w:r>
                <w:rPr>
                  <w:sz w:val="17"/>
                </w:rPr>
                <w:t>contratos</w:t>
              </w:r>
              <w:r>
                <w:rPr>
                  <w:spacing w:val="24"/>
                  <w:sz w:val="17"/>
                </w:rPr>
                <w:t xml:space="preserve"> .</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z w:val="17"/>
                </w:rPr>
                <w:t xml:space="preserve">. </w:t>
              </w:r>
            </w:hyperlink>
          </w:p>
        </w:tc>
        <w:tc>
          <w:tcPr>
            <w:tcW w:w="394" w:type="dxa"/>
          </w:tcPr>
          <w:p w:rsidR="0092635B" w:rsidRDefault="0092635B">
            <w:pPr>
              <w:pStyle w:val="TableParagraph"/>
              <w:spacing w:before="168"/>
              <w:rPr>
                <w:sz w:val="17"/>
              </w:rPr>
            </w:pPr>
          </w:p>
          <w:p w:rsidR="0092635B" w:rsidRDefault="00000000">
            <w:pPr>
              <w:pStyle w:val="TableParagraph"/>
              <w:ind w:right="48"/>
              <w:jc w:val="right"/>
              <w:rPr>
                <w:sz w:val="17"/>
              </w:rPr>
            </w:pPr>
            <w:hyperlink w:anchor="_bookmark9" w:history="1">
              <w:r>
                <w:rPr>
                  <w:spacing w:val="-5"/>
                  <w:sz w:val="17"/>
                </w:rPr>
                <w:t>31</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0" w:history="1">
              <w:r>
                <w:rPr>
                  <w:sz w:val="17"/>
                </w:rPr>
                <w:t>TÍTULO</w:t>
              </w:r>
              <w:r>
                <w:rPr>
                  <w:spacing w:val="4"/>
                  <w:sz w:val="17"/>
                </w:rPr>
                <w:t xml:space="preserve"> </w:t>
              </w:r>
              <w:r>
                <w:rPr>
                  <w:sz w:val="17"/>
                </w:rPr>
                <w:t>I.</w:t>
              </w:r>
              <w:r>
                <w:rPr>
                  <w:spacing w:val="4"/>
                  <w:sz w:val="17"/>
                </w:rPr>
                <w:t xml:space="preserve"> </w:t>
              </w:r>
              <w:r>
                <w:rPr>
                  <w:sz w:val="17"/>
                </w:rPr>
                <w:t>Disposiciones</w:t>
              </w:r>
              <w:r>
                <w:rPr>
                  <w:spacing w:val="4"/>
                  <w:sz w:val="17"/>
                </w:rPr>
                <w:t xml:space="preserve"> </w:t>
              </w:r>
              <w:r>
                <w:rPr>
                  <w:sz w:val="17"/>
                </w:rPr>
                <w:t>generales</w:t>
              </w:r>
              <w:r>
                <w:rPr>
                  <w:spacing w:val="4"/>
                  <w:sz w:val="17"/>
                </w:rPr>
                <w:t xml:space="preserve"> </w:t>
              </w:r>
              <w:r>
                <w:rPr>
                  <w:sz w:val="17"/>
                </w:rPr>
                <w:t>sobre</w:t>
              </w:r>
              <w:r>
                <w:rPr>
                  <w:spacing w:val="4"/>
                  <w:sz w:val="17"/>
                </w:rPr>
                <w:t xml:space="preserve"> </w:t>
              </w:r>
              <w:r>
                <w:rPr>
                  <w:sz w:val="17"/>
                </w:rPr>
                <w:t>la</w:t>
              </w:r>
              <w:r>
                <w:rPr>
                  <w:spacing w:val="4"/>
                  <w:sz w:val="17"/>
                </w:rPr>
                <w:t xml:space="preserve"> </w:t>
              </w:r>
              <w:r>
                <w:rPr>
                  <w:sz w:val="17"/>
                </w:rPr>
                <w:t>contratación</w:t>
              </w:r>
              <w:r>
                <w:rPr>
                  <w:spacing w:val="5"/>
                  <w:sz w:val="17"/>
                </w:rPr>
                <w:t xml:space="preserve"> </w:t>
              </w:r>
              <w:r>
                <w:rPr>
                  <w:sz w:val="17"/>
                </w:rPr>
                <w:t>del</w:t>
              </w:r>
              <w:r>
                <w:rPr>
                  <w:spacing w:val="4"/>
                  <w:sz w:val="17"/>
                </w:rPr>
                <w:t xml:space="preserve"> </w:t>
              </w:r>
              <w:r>
                <w:rPr>
                  <w:sz w:val="17"/>
                </w:rPr>
                <w:t>sector</w:t>
              </w:r>
              <w:r>
                <w:rPr>
                  <w:spacing w:val="4"/>
                  <w:sz w:val="17"/>
                </w:rPr>
                <w:t xml:space="preserve"> </w:t>
              </w:r>
              <w:r>
                <w:rPr>
                  <w:sz w:val="17"/>
                </w:rPr>
                <w:t>público</w:t>
              </w:r>
              <w:r>
                <w:rPr>
                  <w:spacing w:val="-7"/>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10" w:history="1">
              <w:r>
                <w:rPr>
                  <w:spacing w:val="-5"/>
                  <w:sz w:val="17"/>
                </w:rPr>
                <w:t>31</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1" w:history="1">
              <w:r>
                <w:rPr>
                  <w:sz w:val="17"/>
                </w:rPr>
                <w:t>CAPÍTULO</w:t>
              </w:r>
              <w:r>
                <w:rPr>
                  <w:spacing w:val="3"/>
                  <w:sz w:val="17"/>
                </w:rPr>
                <w:t xml:space="preserve"> </w:t>
              </w:r>
              <w:r>
                <w:rPr>
                  <w:sz w:val="17"/>
                </w:rPr>
                <w:t>I.</w:t>
              </w:r>
              <w:r>
                <w:rPr>
                  <w:spacing w:val="4"/>
                  <w:sz w:val="17"/>
                </w:rPr>
                <w:t xml:space="preserve"> </w:t>
              </w:r>
              <w:r>
                <w:rPr>
                  <w:sz w:val="17"/>
                </w:rPr>
                <w:t>Racionalidad</w:t>
              </w:r>
              <w:r>
                <w:rPr>
                  <w:spacing w:val="4"/>
                  <w:sz w:val="17"/>
                </w:rPr>
                <w:t xml:space="preserve"> </w:t>
              </w:r>
              <w:r>
                <w:rPr>
                  <w:sz w:val="17"/>
                </w:rPr>
                <w:t>y</w:t>
              </w:r>
              <w:r>
                <w:rPr>
                  <w:spacing w:val="4"/>
                  <w:sz w:val="17"/>
                </w:rPr>
                <w:t xml:space="preserve"> </w:t>
              </w:r>
              <w:r>
                <w:rPr>
                  <w:sz w:val="17"/>
                </w:rPr>
                <w:t>consistencia</w:t>
              </w:r>
              <w:r>
                <w:rPr>
                  <w:spacing w:val="4"/>
                  <w:sz w:val="17"/>
                </w:rPr>
                <w:t xml:space="preserve"> </w:t>
              </w:r>
              <w:r>
                <w:rPr>
                  <w:sz w:val="17"/>
                </w:rPr>
                <w:t>de</w:t>
              </w:r>
              <w:r>
                <w:rPr>
                  <w:spacing w:val="3"/>
                  <w:sz w:val="17"/>
                </w:rPr>
                <w:t xml:space="preserve"> </w:t>
              </w:r>
              <w:r>
                <w:rPr>
                  <w:sz w:val="17"/>
                </w:rPr>
                <w:t>la</w:t>
              </w:r>
              <w:r>
                <w:rPr>
                  <w:spacing w:val="4"/>
                  <w:sz w:val="17"/>
                </w:rPr>
                <w:t xml:space="preserve"> </w:t>
              </w:r>
              <w:r>
                <w:rPr>
                  <w:sz w:val="17"/>
                </w:rPr>
                <w:t>contratación</w:t>
              </w:r>
              <w:r>
                <w:rPr>
                  <w:spacing w:val="4"/>
                  <w:sz w:val="17"/>
                </w:rPr>
                <w:t xml:space="preserve"> </w:t>
              </w:r>
              <w:r>
                <w:rPr>
                  <w:sz w:val="17"/>
                </w:rPr>
                <w:t>del</w:t>
              </w:r>
              <w:r>
                <w:rPr>
                  <w:spacing w:val="4"/>
                  <w:sz w:val="17"/>
                </w:rPr>
                <w:t xml:space="preserve"> </w:t>
              </w:r>
              <w:r>
                <w:rPr>
                  <w:sz w:val="17"/>
                </w:rPr>
                <w:t>sector</w:t>
              </w:r>
              <w:r>
                <w:rPr>
                  <w:spacing w:val="4"/>
                  <w:sz w:val="17"/>
                </w:rPr>
                <w:t xml:space="preserve"> </w:t>
              </w:r>
              <w:r>
                <w:rPr>
                  <w:sz w:val="17"/>
                </w:rPr>
                <w:t>público</w:t>
              </w:r>
              <w:r>
                <w:rPr>
                  <w:spacing w:val="1"/>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11" w:history="1">
              <w:r>
                <w:rPr>
                  <w:spacing w:val="-5"/>
                  <w:sz w:val="17"/>
                </w:rPr>
                <w:t>31</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2" w:history="1">
              <w:r>
                <w:rPr>
                  <w:sz w:val="17"/>
                </w:rPr>
                <w:t>CAPÍTULO</w:t>
              </w:r>
              <w:r>
                <w:rPr>
                  <w:spacing w:val="3"/>
                  <w:sz w:val="17"/>
                </w:rPr>
                <w:t xml:space="preserve"> </w:t>
              </w:r>
              <w:r>
                <w:rPr>
                  <w:sz w:val="17"/>
                </w:rPr>
                <w:t>II.</w:t>
              </w:r>
              <w:r>
                <w:rPr>
                  <w:spacing w:val="3"/>
                  <w:sz w:val="17"/>
                </w:rPr>
                <w:t xml:space="preserve"> </w:t>
              </w:r>
              <w:r>
                <w:rPr>
                  <w:sz w:val="17"/>
                </w:rPr>
                <w:t>Libertad</w:t>
              </w:r>
              <w:r>
                <w:rPr>
                  <w:spacing w:val="3"/>
                  <w:sz w:val="17"/>
                </w:rPr>
                <w:t xml:space="preserve"> </w:t>
              </w:r>
              <w:r>
                <w:rPr>
                  <w:sz w:val="17"/>
                </w:rPr>
                <w:t>de</w:t>
              </w:r>
              <w:r>
                <w:rPr>
                  <w:spacing w:val="4"/>
                  <w:sz w:val="17"/>
                </w:rPr>
                <w:t xml:space="preserve"> </w:t>
              </w:r>
              <w:r>
                <w:rPr>
                  <w:sz w:val="17"/>
                </w:rPr>
                <w:t>pactos</w:t>
              </w:r>
              <w:r>
                <w:rPr>
                  <w:spacing w:val="3"/>
                  <w:sz w:val="17"/>
                </w:rPr>
                <w:t xml:space="preserve"> </w:t>
              </w:r>
              <w:r>
                <w:rPr>
                  <w:sz w:val="17"/>
                </w:rPr>
                <w:t>y</w:t>
              </w:r>
              <w:r>
                <w:rPr>
                  <w:spacing w:val="3"/>
                  <w:sz w:val="17"/>
                </w:rPr>
                <w:t xml:space="preserve"> </w:t>
              </w:r>
              <w:r>
                <w:rPr>
                  <w:sz w:val="17"/>
                </w:rPr>
                <w:t>contenido</w:t>
              </w:r>
              <w:r>
                <w:rPr>
                  <w:spacing w:val="4"/>
                  <w:sz w:val="17"/>
                </w:rPr>
                <w:t xml:space="preserve"> </w:t>
              </w:r>
              <w:r>
                <w:rPr>
                  <w:sz w:val="17"/>
                </w:rPr>
                <w:t>mínimo</w:t>
              </w:r>
              <w:r>
                <w:rPr>
                  <w:spacing w:val="3"/>
                  <w:sz w:val="17"/>
                </w:rPr>
                <w:t xml:space="preserve"> </w:t>
              </w:r>
              <w:r>
                <w:rPr>
                  <w:sz w:val="17"/>
                </w:rPr>
                <w:t>del</w:t>
              </w:r>
              <w:r>
                <w:rPr>
                  <w:spacing w:val="3"/>
                  <w:sz w:val="17"/>
                </w:rPr>
                <w:t xml:space="preserve"> </w:t>
              </w:r>
              <w:r>
                <w:rPr>
                  <w:sz w:val="17"/>
                </w:rPr>
                <w:t>contrato</w:t>
              </w:r>
              <w:r>
                <w:rPr>
                  <w:spacing w:val="2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12" w:history="1">
              <w:r>
                <w:rPr>
                  <w:spacing w:val="-5"/>
                  <w:sz w:val="17"/>
                </w:rPr>
                <w:t>39</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3" w:history="1">
              <w:r>
                <w:rPr>
                  <w:sz w:val="17"/>
                </w:rPr>
                <w:t>CAPÍTULO</w:t>
              </w:r>
              <w:r>
                <w:rPr>
                  <w:spacing w:val="3"/>
                  <w:sz w:val="17"/>
                </w:rPr>
                <w:t xml:space="preserve"> </w:t>
              </w:r>
              <w:r>
                <w:rPr>
                  <w:sz w:val="17"/>
                </w:rPr>
                <w:t>III.</w:t>
              </w:r>
              <w:r>
                <w:rPr>
                  <w:spacing w:val="3"/>
                  <w:sz w:val="17"/>
                </w:rPr>
                <w:t xml:space="preserve"> </w:t>
              </w:r>
              <w:r>
                <w:rPr>
                  <w:sz w:val="17"/>
                </w:rPr>
                <w:t>Perfección</w:t>
              </w:r>
              <w:r>
                <w:rPr>
                  <w:spacing w:val="4"/>
                  <w:sz w:val="17"/>
                </w:rPr>
                <w:t xml:space="preserve"> </w:t>
              </w:r>
              <w:r>
                <w:rPr>
                  <w:sz w:val="17"/>
                </w:rPr>
                <w:t>y</w:t>
              </w:r>
              <w:r>
                <w:rPr>
                  <w:spacing w:val="3"/>
                  <w:sz w:val="17"/>
                </w:rPr>
                <w:t xml:space="preserve"> </w:t>
              </w:r>
              <w:r>
                <w:rPr>
                  <w:sz w:val="17"/>
                </w:rPr>
                <w:t>forma</w:t>
              </w:r>
              <w:r>
                <w:rPr>
                  <w:spacing w:val="4"/>
                  <w:sz w:val="17"/>
                </w:rPr>
                <w:t xml:space="preserve"> </w:t>
              </w:r>
              <w:r>
                <w:rPr>
                  <w:sz w:val="17"/>
                </w:rPr>
                <w:t>del</w:t>
              </w:r>
              <w:r>
                <w:rPr>
                  <w:spacing w:val="3"/>
                  <w:sz w:val="17"/>
                </w:rPr>
                <w:t xml:space="preserve"> </w:t>
              </w:r>
              <w:r>
                <w:rPr>
                  <w:sz w:val="17"/>
                </w:rPr>
                <w:t>contrato.</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13" w:history="1">
              <w:r>
                <w:rPr>
                  <w:spacing w:val="-5"/>
                  <w:sz w:val="17"/>
                </w:rPr>
                <w:t>40</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4" w:history="1">
              <w:r>
                <w:rPr>
                  <w:sz w:val="17"/>
                </w:rPr>
                <w:t>CAPÍTULO</w:t>
              </w:r>
              <w:r>
                <w:rPr>
                  <w:spacing w:val="2"/>
                  <w:sz w:val="17"/>
                </w:rPr>
                <w:t xml:space="preserve"> </w:t>
              </w:r>
              <w:r>
                <w:rPr>
                  <w:sz w:val="17"/>
                </w:rPr>
                <w:t>IV.</w:t>
              </w:r>
              <w:r>
                <w:rPr>
                  <w:spacing w:val="2"/>
                  <w:sz w:val="17"/>
                </w:rPr>
                <w:t xml:space="preserve"> </w:t>
              </w:r>
              <w:r>
                <w:rPr>
                  <w:sz w:val="17"/>
                </w:rPr>
                <w:t>Régimen</w:t>
              </w:r>
              <w:r>
                <w:rPr>
                  <w:spacing w:val="3"/>
                  <w:sz w:val="17"/>
                </w:rPr>
                <w:t xml:space="preserve"> </w:t>
              </w:r>
              <w:r>
                <w:rPr>
                  <w:sz w:val="17"/>
                </w:rPr>
                <w:t>de</w:t>
              </w:r>
              <w:r>
                <w:rPr>
                  <w:spacing w:val="2"/>
                  <w:sz w:val="17"/>
                </w:rPr>
                <w:t xml:space="preserve"> </w:t>
              </w:r>
              <w:r>
                <w:rPr>
                  <w:sz w:val="17"/>
                </w:rPr>
                <w:t>invalidez</w:t>
              </w:r>
              <w:r>
                <w:rPr>
                  <w:spacing w:val="-15"/>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ind w:right="48"/>
              <w:jc w:val="right"/>
              <w:rPr>
                <w:sz w:val="17"/>
              </w:rPr>
            </w:pPr>
            <w:hyperlink w:anchor="_bookmark14" w:history="1">
              <w:r>
                <w:rPr>
                  <w:spacing w:val="-5"/>
                  <w:sz w:val="17"/>
                </w:rPr>
                <w:t>40</w:t>
              </w:r>
            </w:hyperlink>
          </w:p>
        </w:tc>
      </w:tr>
      <w:tr w:rsidR="0092635B">
        <w:trPr>
          <w:trHeight w:val="320"/>
        </w:trPr>
        <w:tc>
          <w:tcPr>
            <w:tcW w:w="9117" w:type="dxa"/>
          </w:tcPr>
          <w:p w:rsidR="0092635B" w:rsidRDefault="00000000">
            <w:pPr>
              <w:pStyle w:val="TableParagraph"/>
              <w:spacing w:before="118" w:line="182" w:lineRule="exact"/>
              <w:ind w:right="148"/>
              <w:jc w:val="right"/>
              <w:rPr>
                <w:sz w:val="17"/>
              </w:rPr>
            </w:pPr>
            <w:hyperlink w:anchor="_bookmark15" w:history="1">
              <w:r>
                <w:rPr>
                  <w:sz w:val="17"/>
                </w:rPr>
                <w:t>CAPÍTULO</w:t>
              </w:r>
              <w:r>
                <w:rPr>
                  <w:spacing w:val="2"/>
                  <w:sz w:val="17"/>
                </w:rPr>
                <w:t xml:space="preserve"> </w:t>
              </w:r>
              <w:r>
                <w:rPr>
                  <w:sz w:val="17"/>
                </w:rPr>
                <w:t>V.</w:t>
              </w:r>
              <w:r>
                <w:rPr>
                  <w:spacing w:val="2"/>
                  <w:sz w:val="17"/>
                </w:rPr>
                <w:t xml:space="preserve"> </w:t>
              </w:r>
              <w:r>
                <w:rPr>
                  <w:sz w:val="17"/>
                </w:rPr>
                <w:t>Del</w:t>
              </w:r>
              <w:r>
                <w:rPr>
                  <w:spacing w:val="2"/>
                  <w:sz w:val="17"/>
                </w:rPr>
                <w:t xml:space="preserve"> </w:t>
              </w:r>
              <w:r>
                <w:rPr>
                  <w:sz w:val="17"/>
                </w:rPr>
                <w:t>recurso</w:t>
              </w:r>
              <w:r>
                <w:rPr>
                  <w:spacing w:val="2"/>
                  <w:sz w:val="17"/>
                </w:rPr>
                <w:t xml:space="preserve"> </w:t>
              </w:r>
              <w:r>
                <w:rPr>
                  <w:sz w:val="17"/>
                </w:rPr>
                <w:t>especial</w:t>
              </w:r>
              <w:r>
                <w:rPr>
                  <w:spacing w:val="3"/>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2635B" w:rsidRDefault="00000000">
            <w:pPr>
              <w:pStyle w:val="TableParagraph"/>
              <w:spacing w:before="123" w:line="177" w:lineRule="exact"/>
              <w:ind w:right="48"/>
              <w:jc w:val="right"/>
              <w:rPr>
                <w:sz w:val="17"/>
              </w:rPr>
            </w:pPr>
            <w:hyperlink w:anchor="_bookmark15" w:history="1">
              <w:r>
                <w:rPr>
                  <w:spacing w:val="-5"/>
                  <w:sz w:val="17"/>
                </w:rPr>
                <w:t>43</w:t>
              </w:r>
            </w:hyperlink>
          </w:p>
        </w:tc>
      </w:tr>
    </w:tbl>
    <w:p w:rsidR="0092635B" w:rsidRDefault="0092635B">
      <w:pPr>
        <w:pStyle w:val="TableParagraph"/>
        <w:spacing w:line="177" w:lineRule="exact"/>
        <w:jc w:val="right"/>
        <w:rPr>
          <w:sz w:val="17"/>
        </w:rPr>
        <w:sectPr w:rsidR="0092635B">
          <w:footerReference w:type="default" r:id="rId8"/>
          <w:type w:val="continuous"/>
          <w:pgSz w:w="11910" w:h="16840"/>
          <w:pgMar w:top="560" w:right="708" w:bottom="760" w:left="708" w:header="0" w:footer="570" w:gutter="0"/>
          <w:pgNumType w:start="1"/>
          <w:cols w:space="720"/>
        </w:sectPr>
      </w:pPr>
    </w:p>
    <w:p w:rsidR="0092635B" w:rsidRDefault="0092635B">
      <w:pPr>
        <w:pStyle w:val="Textoindependiente"/>
        <w:spacing w:before="0"/>
        <w:ind w:left="0" w:firstLine="0"/>
        <w:jc w:val="left"/>
      </w:pPr>
    </w:p>
    <w:p w:rsidR="0092635B" w:rsidRDefault="0092635B">
      <w:pPr>
        <w:pStyle w:val="Textoindependiente"/>
        <w:spacing w:before="47"/>
        <w:ind w:left="0" w:firstLine="0"/>
        <w:jc w:val="left"/>
      </w:pPr>
    </w:p>
    <w:tbl>
      <w:tblPr>
        <w:tblStyle w:val="TableNormal"/>
        <w:tblW w:w="0" w:type="auto"/>
        <w:tblInd w:w="893" w:type="dxa"/>
        <w:tblLayout w:type="fixed"/>
        <w:tblLook w:val="01E0" w:firstRow="1" w:lastRow="1" w:firstColumn="1" w:lastColumn="1" w:noHBand="0" w:noVBand="0"/>
      </w:tblPr>
      <w:tblGrid>
        <w:gridCol w:w="9117"/>
        <w:gridCol w:w="395"/>
      </w:tblGrid>
      <w:tr w:rsidR="0092635B">
        <w:trPr>
          <w:trHeight w:val="320"/>
        </w:trPr>
        <w:tc>
          <w:tcPr>
            <w:tcW w:w="9117" w:type="dxa"/>
          </w:tcPr>
          <w:p w:rsidR="0092635B" w:rsidRDefault="00000000">
            <w:pPr>
              <w:pStyle w:val="TableParagraph"/>
              <w:spacing w:line="194" w:lineRule="exact"/>
              <w:ind w:right="148"/>
              <w:jc w:val="right"/>
              <w:rPr>
                <w:sz w:val="17"/>
              </w:rPr>
            </w:pPr>
            <w:hyperlink w:anchor="_bookmark16" w:history="1">
              <w:r>
                <w:rPr>
                  <w:sz w:val="17"/>
                </w:rPr>
                <w:t>TÍTULO</w:t>
              </w:r>
              <w:r>
                <w:rPr>
                  <w:spacing w:val="2"/>
                  <w:sz w:val="17"/>
                </w:rPr>
                <w:t xml:space="preserve"> </w:t>
              </w:r>
              <w:r>
                <w:rPr>
                  <w:sz w:val="17"/>
                </w:rPr>
                <w:t>II.</w:t>
              </w:r>
              <w:r>
                <w:rPr>
                  <w:spacing w:val="2"/>
                  <w:sz w:val="17"/>
                </w:rPr>
                <w:t xml:space="preserve"> </w:t>
              </w:r>
              <w:r>
                <w:rPr>
                  <w:sz w:val="17"/>
                </w:rPr>
                <w:t>Partes</w:t>
              </w:r>
              <w:r>
                <w:rPr>
                  <w:spacing w:val="3"/>
                  <w:sz w:val="17"/>
                </w:rPr>
                <w:t xml:space="preserve"> </w:t>
              </w:r>
              <w:r>
                <w:rPr>
                  <w:sz w:val="17"/>
                </w:rPr>
                <w:t>en</w:t>
              </w:r>
              <w:r>
                <w:rPr>
                  <w:spacing w:val="2"/>
                  <w:sz w:val="17"/>
                </w:rPr>
                <w:t xml:space="preserve"> </w:t>
              </w:r>
              <w:r>
                <w:rPr>
                  <w:sz w:val="17"/>
                </w:rPr>
                <w:t>el</w:t>
              </w:r>
              <w:r>
                <w:rPr>
                  <w:spacing w:val="3"/>
                  <w:sz w:val="17"/>
                </w:rPr>
                <w:t xml:space="preserve"> </w:t>
              </w:r>
              <w:r>
                <w:rPr>
                  <w:sz w:val="17"/>
                </w:rPr>
                <w:t>contrato</w:t>
              </w:r>
              <w:r>
                <w:rPr>
                  <w:spacing w:val="70"/>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4"/>
              <w:ind w:left="98"/>
              <w:jc w:val="center"/>
              <w:rPr>
                <w:sz w:val="17"/>
              </w:rPr>
            </w:pPr>
            <w:hyperlink w:anchor="_bookmark16" w:history="1">
              <w:r>
                <w:rPr>
                  <w:spacing w:val="-5"/>
                  <w:sz w:val="17"/>
                </w:rPr>
                <w:t>52</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7" w:history="1">
              <w:r>
                <w:rPr>
                  <w:sz w:val="17"/>
                </w:rPr>
                <w:t>CAPÍTULO</w:t>
              </w:r>
              <w:r>
                <w:rPr>
                  <w:spacing w:val="2"/>
                  <w:sz w:val="17"/>
                </w:rPr>
                <w:t xml:space="preserve"> </w:t>
              </w:r>
              <w:r>
                <w:rPr>
                  <w:sz w:val="17"/>
                </w:rPr>
                <w:t>I.</w:t>
              </w:r>
              <w:r>
                <w:rPr>
                  <w:spacing w:val="3"/>
                  <w:sz w:val="17"/>
                </w:rPr>
                <w:t xml:space="preserve"> </w:t>
              </w:r>
              <w:r>
                <w:rPr>
                  <w:sz w:val="17"/>
                </w:rPr>
                <w:t>Órgano</w:t>
              </w:r>
              <w:r>
                <w:rPr>
                  <w:spacing w:val="2"/>
                  <w:sz w:val="17"/>
                </w:rPr>
                <w:t xml:space="preserve"> </w:t>
              </w:r>
              <w:r>
                <w:rPr>
                  <w:sz w:val="17"/>
                </w:rPr>
                <w:t>de</w:t>
              </w:r>
              <w:r>
                <w:rPr>
                  <w:spacing w:val="3"/>
                  <w:sz w:val="17"/>
                </w:rPr>
                <w:t xml:space="preserve"> </w:t>
              </w:r>
              <w:r>
                <w:rPr>
                  <w:sz w:val="17"/>
                </w:rPr>
                <w:t>contratación</w:t>
              </w:r>
              <w:r>
                <w:rPr>
                  <w:spacing w:val="5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17" w:history="1">
              <w:r>
                <w:rPr>
                  <w:spacing w:val="-5"/>
                  <w:sz w:val="17"/>
                </w:rPr>
                <w:t>52</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8" w:history="1">
              <w:r>
                <w:rPr>
                  <w:sz w:val="17"/>
                </w:rPr>
                <w:t>CAPÍTULO</w:t>
              </w:r>
              <w:r>
                <w:rPr>
                  <w:spacing w:val="3"/>
                  <w:sz w:val="17"/>
                </w:rPr>
                <w:t xml:space="preserve"> </w:t>
              </w:r>
              <w:r>
                <w:rPr>
                  <w:sz w:val="17"/>
                </w:rPr>
                <w:t>II.</w:t>
              </w:r>
              <w:r>
                <w:rPr>
                  <w:spacing w:val="4"/>
                  <w:sz w:val="17"/>
                </w:rPr>
                <w:t xml:space="preserve"> </w:t>
              </w:r>
              <w:r>
                <w:rPr>
                  <w:sz w:val="17"/>
                </w:rPr>
                <w:t>Capacidad</w:t>
              </w:r>
              <w:r>
                <w:rPr>
                  <w:spacing w:val="3"/>
                  <w:sz w:val="17"/>
                </w:rPr>
                <w:t xml:space="preserve"> </w:t>
              </w:r>
              <w:r>
                <w:rPr>
                  <w:sz w:val="17"/>
                </w:rPr>
                <w:t>y</w:t>
              </w:r>
              <w:r>
                <w:rPr>
                  <w:spacing w:val="4"/>
                  <w:sz w:val="17"/>
                </w:rPr>
                <w:t xml:space="preserve"> </w:t>
              </w:r>
              <w:r>
                <w:rPr>
                  <w:sz w:val="17"/>
                </w:rPr>
                <w:t>solvencia</w:t>
              </w:r>
              <w:r>
                <w:rPr>
                  <w:spacing w:val="3"/>
                  <w:sz w:val="17"/>
                </w:rPr>
                <w:t xml:space="preserve"> </w:t>
              </w:r>
              <w:r>
                <w:rPr>
                  <w:sz w:val="17"/>
                </w:rPr>
                <w:t>del</w:t>
              </w:r>
              <w:r>
                <w:rPr>
                  <w:spacing w:val="4"/>
                  <w:sz w:val="17"/>
                </w:rPr>
                <w:t xml:space="preserve"> </w:t>
              </w:r>
              <w:r>
                <w:rPr>
                  <w:sz w:val="17"/>
                </w:rPr>
                <w:t>empresario.</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18" w:history="1">
              <w:r>
                <w:rPr>
                  <w:spacing w:val="-5"/>
                  <w:sz w:val="17"/>
                </w:rPr>
                <w:t>55</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19" w:history="1">
              <w:r>
                <w:rPr>
                  <w:sz w:val="17"/>
                </w:rPr>
                <w:t>Sección</w:t>
              </w:r>
              <w:r>
                <w:rPr>
                  <w:spacing w:val="2"/>
                  <w:sz w:val="17"/>
                </w:rPr>
                <w:t xml:space="preserve"> </w:t>
              </w:r>
              <w:r>
                <w:rPr>
                  <w:sz w:val="17"/>
                </w:rPr>
                <w:t>1.ª</w:t>
              </w:r>
              <w:r>
                <w:rPr>
                  <w:spacing w:val="3"/>
                  <w:sz w:val="17"/>
                </w:rPr>
                <w:t xml:space="preserve"> </w:t>
              </w:r>
              <w:r>
                <w:rPr>
                  <w:sz w:val="17"/>
                </w:rPr>
                <w:t>Aptitud</w:t>
              </w:r>
              <w:r>
                <w:rPr>
                  <w:spacing w:val="3"/>
                  <w:sz w:val="17"/>
                </w:rPr>
                <w:t xml:space="preserve"> </w:t>
              </w:r>
              <w:r>
                <w:rPr>
                  <w:sz w:val="17"/>
                </w:rPr>
                <w:t>para</w:t>
              </w:r>
              <w:r>
                <w:rPr>
                  <w:spacing w:val="3"/>
                  <w:sz w:val="17"/>
                </w:rPr>
                <w:t xml:space="preserve"> </w:t>
              </w:r>
              <w:r>
                <w:rPr>
                  <w:sz w:val="17"/>
                </w:rPr>
                <w:t>contratar</w:t>
              </w:r>
              <w:r>
                <w:rPr>
                  <w:spacing w:val="3"/>
                  <w:sz w:val="17"/>
                </w:rPr>
                <w:t xml:space="preserve"> </w:t>
              </w:r>
              <w:r>
                <w:rPr>
                  <w:sz w:val="17"/>
                </w:rPr>
                <w:t>con</w:t>
              </w:r>
              <w:r>
                <w:rPr>
                  <w:spacing w:val="3"/>
                  <w:sz w:val="17"/>
                </w:rPr>
                <w:t xml:space="preserve"> </w:t>
              </w:r>
              <w:r>
                <w:rPr>
                  <w:sz w:val="17"/>
                </w:rPr>
                <w:t>el</w:t>
              </w:r>
              <w:r>
                <w:rPr>
                  <w:spacing w:val="3"/>
                  <w:sz w:val="17"/>
                </w:rPr>
                <w:t xml:space="preserve"> </w:t>
              </w:r>
              <w:r>
                <w:rPr>
                  <w:sz w:val="17"/>
                </w:rPr>
                <w:t>sector</w:t>
              </w:r>
              <w:r>
                <w:rPr>
                  <w:spacing w:val="3"/>
                  <w:sz w:val="17"/>
                </w:rPr>
                <w:t xml:space="preserve"> </w:t>
              </w:r>
              <w:r>
                <w:rPr>
                  <w:sz w:val="17"/>
                </w:rPr>
                <w:t>público</w:t>
              </w:r>
              <w:r>
                <w:rPr>
                  <w:spacing w:val="5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19" w:history="1">
              <w:r>
                <w:rPr>
                  <w:spacing w:val="-5"/>
                  <w:sz w:val="17"/>
                </w:rPr>
                <w:t>55</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0" w:history="1">
              <w:r>
                <w:rPr>
                  <w:sz w:val="17"/>
                </w:rPr>
                <w:t>Subsección</w:t>
              </w:r>
              <w:r>
                <w:rPr>
                  <w:spacing w:val="4"/>
                  <w:sz w:val="17"/>
                </w:rPr>
                <w:t xml:space="preserve"> </w:t>
              </w:r>
              <w:r>
                <w:rPr>
                  <w:sz w:val="17"/>
                </w:rPr>
                <w:t>1.ª</w:t>
              </w:r>
              <w:r>
                <w:rPr>
                  <w:spacing w:val="4"/>
                  <w:sz w:val="17"/>
                </w:rPr>
                <w:t xml:space="preserve"> </w:t>
              </w:r>
              <w:r>
                <w:rPr>
                  <w:sz w:val="17"/>
                </w:rPr>
                <w:t>Normas</w:t>
              </w:r>
              <w:r>
                <w:rPr>
                  <w:spacing w:val="5"/>
                  <w:sz w:val="17"/>
                </w:rPr>
                <w:t xml:space="preserve"> </w:t>
              </w:r>
              <w:r>
                <w:rPr>
                  <w:sz w:val="17"/>
                </w:rPr>
                <w:t>generales</w:t>
              </w:r>
              <w:r>
                <w:rPr>
                  <w:spacing w:val="4"/>
                  <w:sz w:val="17"/>
                </w:rPr>
                <w:t xml:space="preserve"> </w:t>
              </w:r>
              <w:r>
                <w:rPr>
                  <w:sz w:val="17"/>
                </w:rPr>
                <w:t>y</w:t>
              </w:r>
              <w:r>
                <w:rPr>
                  <w:spacing w:val="4"/>
                  <w:sz w:val="17"/>
                </w:rPr>
                <w:t xml:space="preserve"> </w:t>
              </w:r>
              <w:r>
                <w:rPr>
                  <w:sz w:val="17"/>
                </w:rPr>
                <w:t>normas</w:t>
              </w:r>
              <w:r>
                <w:rPr>
                  <w:spacing w:val="5"/>
                  <w:sz w:val="17"/>
                </w:rPr>
                <w:t xml:space="preserve"> </w:t>
              </w:r>
              <w:r>
                <w:rPr>
                  <w:sz w:val="17"/>
                </w:rPr>
                <w:t>especiales</w:t>
              </w:r>
              <w:r>
                <w:rPr>
                  <w:spacing w:val="4"/>
                  <w:sz w:val="17"/>
                </w:rPr>
                <w:t xml:space="preserve"> </w:t>
              </w:r>
              <w:r>
                <w:rPr>
                  <w:sz w:val="17"/>
                </w:rPr>
                <w:t>sobre</w:t>
              </w:r>
              <w:r>
                <w:rPr>
                  <w:spacing w:val="5"/>
                  <w:sz w:val="17"/>
                </w:rPr>
                <w:t xml:space="preserve"> </w:t>
              </w:r>
              <w:r>
                <w:rPr>
                  <w:sz w:val="17"/>
                </w:rPr>
                <w:t>capacidad</w:t>
              </w:r>
              <w:r>
                <w:rPr>
                  <w:spacing w:val="55"/>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0" w:history="1">
              <w:r>
                <w:rPr>
                  <w:spacing w:val="-5"/>
                  <w:sz w:val="17"/>
                </w:rPr>
                <w:t>55</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1" w:history="1">
              <w:r>
                <w:rPr>
                  <w:sz w:val="17"/>
                </w:rPr>
                <w:t>Subsección</w:t>
              </w:r>
              <w:r>
                <w:rPr>
                  <w:spacing w:val="2"/>
                  <w:sz w:val="17"/>
                </w:rPr>
                <w:t xml:space="preserve"> </w:t>
              </w:r>
              <w:r>
                <w:rPr>
                  <w:sz w:val="17"/>
                </w:rPr>
                <w:t>2.ª</w:t>
              </w:r>
              <w:r>
                <w:rPr>
                  <w:spacing w:val="3"/>
                  <w:sz w:val="17"/>
                </w:rPr>
                <w:t xml:space="preserve"> </w:t>
              </w:r>
              <w:r>
                <w:rPr>
                  <w:sz w:val="17"/>
                </w:rPr>
                <w:t>Prohibiciones</w:t>
              </w:r>
              <w:r>
                <w:rPr>
                  <w:spacing w:val="3"/>
                  <w:sz w:val="17"/>
                </w:rPr>
                <w:t xml:space="preserve"> </w:t>
              </w:r>
              <w:r>
                <w:rPr>
                  <w:sz w:val="17"/>
                </w:rPr>
                <w:t>de</w:t>
              </w:r>
              <w:r>
                <w:rPr>
                  <w:spacing w:val="3"/>
                  <w:sz w:val="17"/>
                </w:rPr>
                <w:t xml:space="preserve"> </w:t>
              </w:r>
              <w:r>
                <w:rPr>
                  <w:sz w:val="17"/>
                </w:rPr>
                <w:t>contratar</w:t>
              </w:r>
              <w:r>
                <w:rPr>
                  <w:spacing w:val="2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1" w:history="1">
              <w:r>
                <w:rPr>
                  <w:spacing w:val="-5"/>
                  <w:sz w:val="17"/>
                </w:rPr>
                <w:t>58</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2" w:history="1">
              <w:r>
                <w:rPr>
                  <w:sz w:val="17"/>
                </w:rPr>
                <w:t>Subsección</w:t>
              </w:r>
              <w:r>
                <w:rPr>
                  <w:spacing w:val="2"/>
                  <w:sz w:val="17"/>
                </w:rPr>
                <w:t xml:space="preserve"> </w:t>
              </w:r>
              <w:r>
                <w:rPr>
                  <w:sz w:val="17"/>
                </w:rPr>
                <w:t>3.ª</w:t>
              </w:r>
              <w:r>
                <w:rPr>
                  <w:spacing w:val="2"/>
                  <w:sz w:val="17"/>
                </w:rPr>
                <w:t xml:space="preserve"> </w:t>
              </w:r>
              <w:r>
                <w:rPr>
                  <w:sz w:val="17"/>
                </w:rPr>
                <w:t>Solvencia</w:t>
              </w:r>
              <w:r>
                <w:rPr>
                  <w:spacing w:val="-2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2" w:history="1">
              <w:r>
                <w:rPr>
                  <w:spacing w:val="-5"/>
                  <w:sz w:val="17"/>
                </w:rPr>
                <w:t>63</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3" w:history="1">
              <w:r>
                <w:rPr>
                  <w:sz w:val="17"/>
                </w:rPr>
                <w:t>Subsección</w:t>
              </w:r>
              <w:r>
                <w:rPr>
                  <w:spacing w:val="2"/>
                  <w:sz w:val="17"/>
                </w:rPr>
                <w:t xml:space="preserve"> </w:t>
              </w:r>
              <w:r>
                <w:rPr>
                  <w:sz w:val="17"/>
                </w:rPr>
                <w:t>4.ª</w:t>
              </w:r>
              <w:r>
                <w:rPr>
                  <w:spacing w:val="3"/>
                  <w:sz w:val="17"/>
                </w:rPr>
                <w:t xml:space="preserve"> </w:t>
              </w:r>
              <w:r>
                <w:rPr>
                  <w:sz w:val="17"/>
                </w:rPr>
                <w:t>Clasificación</w:t>
              </w:r>
              <w:r>
                <w:rPr>
                  <w:spacing w:val="3"/>
                  <w:sz w:val="17"/>
                </w:rPr>
                <w:t xml:space="preserve"> </w:t>
              </w:r>
              <w:r>
                <w:rPr>
                  <w:sz w:val="17"/>
                </w:rPr>
                <w:t>de</w:t>
              </w:r>
              <w:r>
                <w:rPr>
                  <w:spacing w:val="3"/>
                  <w:sz w:val="17"/>
                </w:rPr>
                <w:t xml:space="preserve"> </w:t>
              </w:r>
              <w:r>
                <w:rPr>
                  <w:sz w:val="17"/>
                </w:rPr>
                <w:t>las</w:t>
              </w:r>
              <w:r>
                <w:rPr>
                  <w:spacing w:val="2"/>
                  <w:sz w:val="17"/>
                </w:rPr>
                <w:t xml:space="preserve"> </w:t>
              </w:r>
              <w:r>
                <w:rPr>
                  <w:sz w:val="17"/>
                </w:rPr>
                <w:t>empresas</w:t>
              </w:r>
              <w:r>
                <w:rPr>
                  <w:spacing w:val="-18"/>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3" w:history="1">
              <w:r>
                <w:rPr>
                  <w:spacing w:val="-5"/>
                  <w:sz w:val="17"/>
                </w:rPr>
                <w:t>64</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4" w:history="1">
              <w:r>
                <w:rPr>
                  <w:sz w:val="17"/>
                </w:rPr>
                <w:t>Sección</w:t>
              </w:r>
              <w:r>
                <w:rPr>
                  <w:spacing w:val="2"/>
                  <w:sz w:val="17"/>
                </w:rPr>
                <w:t xml:space="preserve"> </w:t>
              </w:r>
              <w:r>
                <w:rPr>
                  <w:sz w:val="17"/>
                </w:rPr>
                <w:t>2.ª</w:t>
              </w:r>
              <w:r>
                <w:rPr>
                  <w:spacing w:val="3"/>
                  <w:sz w:val="17"/>
                </w:rPr>
                <w:t xml:space="preserve"> </w:t>
              </w:r>
              <w:r>
                <w:rPr>
                  <w:sz w:val="17"/>
                </w:rPr>
                <w:t>Acreditación</w:t>
              </w:r>
              <w:r>
                <w:rPr>
                  <w:spacing w:val="3"/>
                  <w:sz w:val="17"/>
                </w:rPr>
                <w:t xml:space="preserve"> </w:t>
              </w:r>
              <w:r>
                <w:rPr>
                  <w:sz w:val="17"/>
                </w:rPr>
                <w:t>de</w:t>
              </w:r>
              <w:r>
                <w:rPr>
                  <w:spacing w:val="3"/>
                  <w:sz w:val="17"/>
                </w:rPr>
                <w:t xml:space="preserve"> </w:t>
              </w:r>
              <w:r>
                <w:rPr>
                  <w:sz w:val="17"/>
                </w:rPr>
                <w:t>la</w:t>
              </w:r>
              <w:r>
                <w:rPr>
                  <w:spacing w:val="2"/>
                  <w:sz w:val="17"/>
                </w:rPr>
                <w:t xml:space="preserve"> </w:t>
              </w:r>
              <w:r>
                <w:rPr>
                  <w:sz w:val="17"/>
                </w:rPr>
                <w:t>aptitud</w:t>
              </w:r>
              <w:r>
                <w:rPr>
                  <w:spacing w:val="3"/>
                  <w:sz w:val="17"/>
                </w:rPr>
                <w:t xml:space="preserve"> </w:t>
              </w:r>
              <w:r>
                <w:rPr>
                  <w:sz w:val="17"/>
                </w:rPr>
                <w:t>para</w:t>
              </w:r>
              <w:r>
                <w:rPr>
                  <w:spacing w:val="3"/>
                  <w:sz w:val="17"/>
                </w:rPr>
                <w:t xml:space="preserve"> </w:t>
              </w:r>
              <w:r>
                <w:rPr>
                  <w:sz w:val="17"/>
                </w:rPr>
                <w:t>contratar</w:t>
              </w:r>
              <w:r>
                <w:rPr>
                  <w:spacing w:val="37"/>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4" w:history="1">
              <w:r>
                <w:rPr>
                  <w:spacing w:val="-5"/>
                  <w:sz w:val="17"/>
                </w:rPr>
                <w:t>68</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5" w:history="1">
              <w:r>
                <w:rPr>
                  <w:sz w:val="17"/>
                </w:rPr>
                <w:t>Subsección</w:t>
              </w:r>
              <w:r>
                <w:rPr>
                  <w:spacing w:val="2"/>
                  <w:sz w:val="17"/>
                </w:rPr>
                <w:t xml:space="preserve"> </w:t>
              </w:r>
              <w:r>
                <w:rPr>
                  <w:sz w:val="17"/>
                </w:rPr>
                <w:t>1.ª</w:t>
              </w:r>
              <w:r>
                <w:rPr>
                  <w:spacing w:val="2"/>
                  <w:sz w:val="17"/>
                </w:rPr>
                <w:t xml:space="preserve"> </w:t>
              </w:r>
              <w:r>
                <w:rPr>
                  <w:sz w:val="17"/>
                </w:rPr>
                <w:t>Capacidad</w:t>
              </w:r>
              <w:r>
                <w:rPr>
                  <w:spacing w:val="3"/>
                  <w:sz w:val="17"/>
                </w:rPr>
                <w:t xml:space="preserve"> </w:t>
              </w:r>
              <w:r>
                <w:rPr>
                  <w:sz w:val="17"/>
                </w:rPr>
                <w:t>de</w:t>
              </w:r>
              <w:r>
                <w:rPr>
                  <w:spacing w:val="2"/>
                  <w:sz w:val="17"/>
                </w:rPr>
                <w:t xml:space="preserve"> </w:t>
              </w:r>
              <w:r>
                <w:rPr>
                  <w:sz w:val="17"/>
                </w:rPr>
                <w:t>obrar</w:t>
              </w:r>
              <w:r>
                <w:rPr>
                  <w:spacing w:val="4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5" w:history="1">
              <w:r>
                <w:rPr>
                  <w:spacing w:val="-5"/>
                  <w:sz w:val="17"/>
                </w:rPr>
                <w:t>68</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6" w:history="1">
              <w:r>
                <w:rPr>
                  <w:sz w:val="17"/>
                </w:rPr>
                <w:t>Subsección</w:t>
              </w:r>
              <w:r>
                <w:rPr>
                  <w:spacing w:val="2"/>
                  <w:sz w:val="17"/>
                </w:rPr>
                <w:t xml:space="preserve"> </w:t>
              </w:r>
              <w:r>
                <w:rPr>
                  <w:sz w:val="17"/>
                </w:rPr>
                <w:t>2.ª</w:t>
              </w:r>
              <w:r>
                <w:rPr>
                  <w:spacing w:val="3"/>
                  <w:sz w:val="17"/>
                </w:rPr>
                <w:t xml:space="preserve"> </w:t>
              </w:r>
              <w:r>
                <w:rPr>
                  <w:sz w:val="17"/>
                </w:rPr>
                <w:t>Prohibiciones</w:t>
              </w:r>
              <w:r>
                <w:rPr>
                  <w:spacing w:val="3"/>
                  <w:sz w:val="17"/>
                </w:rPr>
                <w:t xml:space="preserve"> </w:t>
              </w:r>
              <w:r>
                <w:rPr>
                  <w:sz w:val="17"/>
                </w:rPr>
                <w:t>de</w:t>
              </w:r>
              <w:r>
                <w:rPr>
                  <w:spacing w:val="3"/>
                  <w:sz w:val="17"/>
                </w:rPr>
                <w:t xml:space="preserve"> </w:t>
              </w:r>
              <w:r>
                <w:rPr>
                  <w:sz w:val="17"/>
                </w:rPr>
                <w:t>contratar</w:t>
              </w:r>
              <w:r>
                <w:rPr>
                  <w:spacing w:val="2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6" w:history="1">
              <w:r>
                <w:rPr>
                  <w:spacing w:val="-5"/>
                  <w:sz w:val="17"/>
                </w:rPr>
                <w:t>68</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7" w:history="1">
              <w:r>
                <w:rPr>
                  <w:sz w:val="17"/>
                </w:rPr>
                <w:t>Subsección</w:t>
              </w:r>
              <w:r>
                <w:rPr>
                  <w:spacing w:val="2"/>
                  <w:sz w:val="17"/>
                </w:rPr>
                <w:t xml:space="preserve"> </w:t>
              </w:r>
              <w:r>
                <w:rPr>
                  <w:sz w:val="17"/>
                </w:rPr>
                <w:t>3.ª</w:t>
              </w:r>
              <w:r>
                <w:rPr>
                  <w:spacing w:val="2"/>
                  <w:sz w:val="17"/>
                </w:rPr>
                <w:t xml:space="preserve"> </w:t>
              </w:r>
              <w:r>
                <w:rPr>
                  <w:sz w:val="17"/>
                </w:rPr>
                <w:t>Solvencia</w:t>
              </w:r>
              <w:r>
                <w:rPr>
                  <w:spacing w:val="-2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7" w:history="1">
              <w:r>
                <w:rPr>
                  <w:spacing w:val="-5"/>
                  <w:sz w:val="17"/>
                </w:rPr>
                <w:t>68</w:t>
              </w:r>
            </w:hyperlink>
          </w:p>
        </w:tc>
      </w:tr>
      <w:tr w:rsidR="0092635B">
        <w:trPr>
          <w:trHeight w:val="680"/>
        </w:trPr>
        <w:tc>
          <w:tcPr>
            <w:tcW w:w="9117" w:type="dxa"/>
          </w:tcPr>
          <w:p w:rsidR="0092635B" w:rsidRDefault="00000000">
            <w:pPr>
              <w:pStyle w:val="TableParagraph"/>
              <w:spacing w:before="118" w:line="295" w:lineRule="auto"/>
              <w:ind w:left="1050" w:hanging="201"/>
              <w:rPr>
                <w:sz w:val="17"/>
              </w:rPr>
            </w:pPr>
            <w:hyperlink w:anchor="_bookmark28" w:history="1">
              <w:r>
                <w:rPr>
                  <w:sz w:val="17"/>
                </w:rPr>
                <w:t>Subsección</w:t>
              </w:r>
              <w:r>
                <w:rPr>
                  <w:spacing w:val="31"/>
                  <w:sz w:val="17"/>
                </w:rPr>
                <w:t xml:space="preserve"> </w:t>
              </w:r>
              <w:r>
                <w:rPr>
                  <w:sz w:val="17"/>
                </w:rPr>
                <w:t>4.ª</w:t>
              </w:r>
              <w:r>
                <w:rPr>
                  <w:spacing w:val="31"/>
                  <w:sz w:val="17"/>
                </w:rPr>
                <w:t xml:space="preserve"> </w:t>
              </w:r>
              <w:r>
                <w:rPr>
                  <w:sz w:val="17"/>
                </w:rPr>
                <w:t>Prueba</w:t>
              </w:r>
              <w:r>
                <w:rPr>
                  <w:spacing w:val="31"/>
                  <w:sz w:val="17"/>
                </w:rPr>
                <w:t xml:space="preserve"> </w:t>
              </w:r>
              <w:r>
                <w:rPr>
                  <w:sz w:val="17"/>
                </w:rPr>
                <w:t>de</w:t>
              </w:r>
              <w:r>
                <w:rPr>
                  <w:spacing w:val="31"/>
                  <w:sz w:val="17"/>
                </w:rPr>
                <w:t xml:space="preserve"> </w:t>
              </w:r>
              <w:r>
                <w:rPr>
                  <w:sz w:val="17"/>
                </w:rPr>
                <w:t>la</w:t>
              </w:r>
              <w:r>
                <w:rPr>
                  <w:spacing w:val="31"/>
                  <w:sz w:val="17"/>
                </w:rPr>
                <w:t xml:space="preserve"> </w:t>
              </w:r>
              <w:r>
                <w:rPr>
                  <w:sz w:val="17"/>
                </w:rPr>
                <w:t>clasificación</w:t>
              </w:r>
              <w:r>
                <w:rPr>
                  <w:spacing w:val="31"/>
                  <w:sz w:val="17"/>
                </w:rPr>
                <w:t xml:space="preserve"> </w:t>
              </w:r>
              <w:r>
                <w:rPr>
                  <w:sz w:val="17"/>
                </w:rPr>
                <w:t>y</w:t>
              </w:r>
              <w:r>
                <w:rPr>
                  <w:spacing w:val="31"/>
                  <w:sz w:val="17"/>
                </w:rPr>
                <w:t xml:space="preserve"> </w:t>
              </w:r>
              <w:r>
                <w:rPr>
                  <w:sz w:val="17"/>
                </w:rPr>
                <w:t>de</w:t>
              </w:r>
              <w:r>
                <w:rPr>
                  <w:spacing w:val="31"/>
                  <w:sz w:val="17"/>
                </w:rPr>
                <w:t xml:space="preserve"> </w:t>
              </w:r>
              <w:r>
                <w:rPr>
                  <w:sz w:val="17"/>
                </w:rPr>
                <w:t>la</w:t>
              </w:r>
              <w:r>
                <w:rPr>
                  <w:spacing w:val="31"/>
                  <w:sz w:val="17"/>
                </w:rPr>
                <w:t xml:space="preserve"> </w:t>
              </w:r>
              <w:r>
                <w:rPr>
                  <w:sz w:val="17"/>
                </w:rPr>
                <w:t>aptitud</w:t>
              </w:r>
              <w:r>
                <w:rPr>
                  <w:spacing w:val="31"/>
                  <w:sz w:val="17"/>
                </w:rPr>
                <w:t xml:space="preserve"> </w:t>
              </w:r>
              <w:r>
                <w:rPr>
                  <w:sz w:val="17"/>
                </w:rPr>
                <w:t>para</w:t>
              </w:r>
              <w:r>
                <w:rPr>
                  <w:spacing w:val="31"/>
                  <w:sz w:val="17"/>
                </w:rPr>
                <w:t xml:space="preserve"> </w:t>
              </w:r>
              <w:r>
                <w:rPr>
                  <w:sz w:val="17"/>
                </w:rPr>
                <w:t>contratar</w:t>
              </w:r>
              <w:r>
                <w:rPr>
                  <w:spacing w:val="31"/>
                  <w:sz w:val="17"/>
                </w:rPr>
                <w:t xml:space="preserve"> </w:t>
              </w:r>
              <w:r>
                <w:rPr>
                  <w:sz w:val="17"/>
                </w:rPr>
                <w:t>a</w:t>
              </w:r>
              <w:r>
                <w:rPr>
                  <w:spacing w:val="31"/>
                  <w:sz w:val="17"/>
                </w:rPr>
                <w:t xml:space="preserve"> </w:t>
              </w:r>
              <w:r>
                <w:rPr>
                  <w:sz w:val="17"/>
                </w:rPr>
                <w:t>través</w:t>
              </w:r>
              <w:r>
                <w:rPr>
                  <w:spacing w:val="31"/>
                  <w:sz w:val="17"/>
                </w:rPr>
                <w:t xml:space="preserve"> </w:t>
              </w:r>
              <w:r>
                <w:rPr>
                  <w:sz w:val="17"/>
                </w:rPr>
                <w:t>de</w:t>
              </w:r>
              <w:r>
                <w:rPr>
                  <w:spacing w:val="31"/>
                  <w:sz w:val="17"/>
                </w:rPr>
                <w:t xml:space="preserve"> </w:t>
              </w:r>
              <w:r>
                <w:rPr>
                  <w:sz w:val="17"/>
                </w:rPr>
                <w:t>Registros</w:t>
              </w:r>
              <w:r>
                <w:rPr>
                  <w:spacing w:val="31"/>
                  <w:sz w:val="17"/>
                </w:rPr>
                <w:t xml:space="preserve"> </w:t>
              </w:r>
              <w:r>
                <w:rPr>
                  <w:sz w:val="17"/>
                </w:rPr>
                <w:t>o</w:t>
              </w:r>
              <w:r>
                <w:rPr>
                  <w:spacing w:val="31"/>
                  <w:sz w:val="17"/>
                </w:rPr>
                <w:t xml:space="preserve"> </w:t>
              </w:r>
              <w:r>
                <w:rPr>
                  <w:sz w:val="17"/>
                </w:rPr>
                <w:t>listas</w:t>
              </w:r>
            </w:hyperlink>
            <w:r>
              <w:rPr>
                <w:sz w:val="17"/>
              </w:rPr>
              <w:t xml:space="preserve"> </w:t>
            </w:r>
            <w:hyperlink w:anchor="_bookmark28" w:history="1">
              <w:r>
                <w:rPr>
                  <w:sz w:val="17"/>
                </w:rPr>
                <w:t>oficiales de contratistas</w:t>
              </w:r>
              <w:r>
                <w:rPr>
                  <w:spacing w:val="5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z w:val="17"/>
                </w:rPr>
                <w:t xml:space="preserve">. </w:t>
              </w:r>
            </w:hyperlink>
          </w:p>
        </w:tc>
        <w:tc>
          <w:tcPr>
            <w:tcW w:w="395" w:type="dxa"/>
          </w:tcPr>
          <w:p w:rsidR="0092635B" w:rsidRDefault="0092635B">
            <w:pPr>
              <w:pStyle w:val="TableParagraph"/>
              <w:spacing w:before="168"/>
              <w:rPr>
                <w:sz w:val="17"/>
              </w:rPr>
            </w:pPr>
          </w:p>
          <w:p w:rsidR="0092635B" w:rsidRDefault="00000000">
            <w:pPr>
              <w:pStyle w:val="TableParagraph"/>
              <w:ind w:left="98"/>
              <w:jc w:val="center"/>
              <w:rPr>
                <w:sz w:val="17"/>
              </w:rPr>
            </w:pPr>
            <w:hyperlink w:anchor="_bookmark28" w:history="1">
              <w:r>
                <w:rPr>
                  <w:spacing w:val="-5"/>
                  <w:sz w:val="17"/>
                </w:rPr>
                <w:t>75</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29" w:history="1">
              <w:r>
                <w:rPr>
                  <w:sz w:val="17"/>
                </w:rPr>
                <w:t>CAPÍTULO</w:t>
              </w:r>
              <w:r>
                <w:rPr>
                  <w:spacing w:val="2"/>
                  <w:sz w:val="17"/>
                </w:rPr>
                <w:t xml:space="preserve"> </w:t>
              </w:r>
              <w:r>
                <w:rPr>
                  <w:sz w:val="17"/>
                </w:rPr>
                <w:t>III.</w:t>
              </w:r>
              <w:r>
                <w:rPr>
                  <w:spacing w:val="3"/>
                  <w:sz w:val="17"/>
                </w:rPr>
                <w:t xml:space="preserve"> </w:t>
              </w:r>
              <w:r>
                <w:rPr>
                  <w:sz w:val="17"/>
                </w:rPr>
                <w:t>Sucesión</w:t>
              </w:r>
              <w:r>
                <w:rPr>
                  <w:spacing w:val="3"/>
                  <w:sz w:val="17"/>
                </w:rPr>
                <w:t xml:space="preserve"> </w:t>
              </w:r>
              <w:r>
                <w:rPr>
                  <w:sz w:val="17"/>
                </w:rPr>
                <w:t>en</w:t>
              </w:r>
              <w:r>
                <w:rPr>
                  <w:spacing w:val="3"/>
                  <w:sz w:val="17"/>
                </w:rPr>
                <w:t xml:space="preserve"> </w:t>
              </w:r>
              <w:r>
                <w:rPr>
                  <w:sz w:val="17"/>
                </w:rPr>
                <w:t>la</w:t>
              </w:r>
              <w:r>
                <w:rPr>
                  <w:spacing w:val="3"/>
                  <w:sz w:val="17"/>
                </w:rPr>
                <w:t xml:space="preserve"> </w:t>
              </w:r>
              <w:r>
                <w:rPr>
                  <w:sz w:val="17"/>
                </w:rPr>
                <w:t>persona</w:t>
              </w:r>
              <w:r>
                <w:rPr>
                  <w:spacing w:val="3"/>
                  <w:sz w:val="17"/>
                </w:rPr>
                <w:t xml:space="preserve"> </w:t>
              </w:r>
              <w:r>
                <w:rPr>
                  <w:sz w:val="17"/>
                </w:rPr>
                <w:t>del</w:t>
              </w:r>
              <w:r>
                <w:rPr>
                  <w:spacing w:val="3"/>
                  <w:sz w:val="17"/>
                </w:rPr>
                <w:t xml:space="preserve"> </w:t>
              </w:r>
              <w:r>
                <w:rPr>
                  <w:sz w:val="17"/>
                </w:rPr>
                <w:t>contratista</w:t>
              </w:r>
              <w:r>
                <w:rPr>
                  <w:spacing w:val="16"/>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29" w:history="1">
              <w:r>
                <w:rPr>
                  <w:spacing w:val="-5"/>
                  <w:sz w:val="17"/>
                </w:rPr>
                <w:t>76</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30" w:history="1">
              <w:r>
                <w:rPr>
                  <w:sz w:val="17"/>
                </w:rPr>
                <w:t>TÍTULO</w:t>
              </w:r>
              <w:r>
                <w:rPr>
                  <w:spacing w:val="5"/>
                  <w:sz w:val="17"/>
                </w:rPr>
                <w:t xml:space="preserve"> </w:t>
              </w:r>
              <w:r>
                <w:rPr>
                  <w:sz w:val="17"/>
                </w:rPr>
                <w:t>III.</w:t>
              </w:r>
              <w:r>
                <w:rPr>
                  <w:spacing w:val="6"/>
                  <w:sz w:val="17"/>
                </w:rPr>
                <w:t xml:space="preserve"> </w:t>
              </w:r>
              <w:r>
                <w:rPr>
                  <w:sz w:val="17"/>
                </w:rPr>
                <w:t>Objeto,</w:t>
              </w:r>
              <w:r>
                <w:rPr>
                  <w:spacing w:val="6"/>
                  <w:sz w:val="17"/>
                </w:rPr>
                <w:t xml:space="preserve"> </w:t>
              </w:r>
              <w:r>
                <w:rPr>
                  <w:sz w:val="17"/>
                </w:rPr>
                <w:t>presupuesto</w:t>
              </w:r>
              <w:r>
                <w:rPr>
                  <w:spacing w:val="5"/>
                  <w:sz w:val="17"/>
                </w:rPr>
                <w:t xml:space="preserve"> </w:t>
              </w:r>
              <w:r>
                <w:rPr>
                  <w:sz w:val="17"/>
                </w:rPr>
                <w:t>base</w:t>
              </w:r>
              <w:r>
                <w:rPr>
                  <w:spacing w:val="6"/>
                  <w:sz w:val="17"/>
                </w:rPr>
                <w:t xml:space="preserve"> </w:t>
              </w:r>
              <w:r>
                <w:rPr>
                  <w:sz w:val="17"/>
                </w:rPr>
                <w:t>de</w:t>
              </w:r>
              <w:r>
                <w:rPr>
                  <w:spacing w:val="6"/>
                  <w:sz w:val="17"/>
                </w:rPr>
                <w:t xml:space="preserve"> </w:t>
              </w:r>
              <w:r>
                <w:rPr>
                  <w:sz w:val="17"/>
                </w:rPr>
                <w:t>licitación,</w:t>
              </w:r>
              <w:r>
                <w:rPr>
                  <w:spacing w:val="6"/>
                  <w:sz w:val="17"/>
                </w:rPr>
                <w:t xml:space="preserve"> </w:t>
              </w:r>
              <w:r>
                <w:rPr>
                  <w:sz w:val="17"/>
                </w:rPr>
                <w:t>valor</w:t>
              </w:r>
              <w:r>
                <w:rPr>
                  <w:spacing w:val="5"/>
                  <w:sz w:val="17"/>
                </w:rPr>
                <w:t xml:space="preserve"> </w:t>
              </w:r>
              <w:r>
                <w:rPr>
                  <w:sz w:val="17"/>
                </w:rPr>
                <w:t>estimado,</w:t>
              </w:r>
              <w:r>
                <w:rPr>
                  <w:spacing w:val="6"/>
                  <w:sz w:val="17"/>
                </w:rPr>
                <w:t xml:space="preserve"> </w:t>
              </w:r>
              <w:r>
                <w:rPr>
                  <w:sz w:val="17"/>
                </w:rPr>
                <w:t>precio</w:t>
              </w:r>
              <w:r>
                <w:rPr>
                  <w:spacing w:val="6"/>
                  <w:sz w:val="17"/>
                </w:rPr>
                <w:t xml:space="preserve"> </w:t>
              </w:r>
              <w:r>
                <w:rPr>
                  <w:sz w:val="17"/>
                </w:rPr>
                <w:t>del</w:t>
              </w:r>
              <w:r>
                <w:rPr>
                  <w:spacing w:val="6"/>
                  <w:sz w:val="17"/>
                </w:rPr>
                <w:t xml:space="preserve"> </w:t>
              </w:r>
              <w:r>
                <w:rPr>
                  <w:sz w:val="17"/>
                </w:rPr>
                <w:t>contrato</w:t>
              </w:r>
              <w:r>
                <w:rPr>
                  <w:spacing w:val="5"/>
                  <w:sz w:val="17"/>
                </w:rPr>
                <w:t xml:space="preserve"> </w:t>
              </w:r>
              <w:r>
                <w:rPr>
                  <w:sz w:val="17"/>
                </w:rPr>
                <w:t>y</w:t>
              </w:r>
              <w:r>
                <w:rPr>
                  <w:spacing w:val="6"/>
                  <w:sz w:val="17"/>
                </w:rPr>
                <w:t xml:space="preserve"> </w:t>
              </w:r>
              <w:r>
                <w:rPr>
                  <w:sz w:val="17"/>
                </w:rPr>
                <w:t>su</w:t>
              </w:r>
              <w:r>
                <w:rPr>
                  <w:spacing w:val="6"/>
                  <w:sz w:val="17"/>
                </w:rPr>
                <w:t xml:space="preserve"> </w:t>
              </w:r>
              <w:r>
                <w:rPr>
                  <w:sz w:val="17"/>
                </w:rPr>
                <w:t>revisión</w:t>
              </w:r>
              <w:r>
                <w:rPr>
                  <w:spacing w:val="41"/>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0" w:history="1">
              <w:r>
                <w:rPr>
                  <w:spacing w:val="-5"/>
                  <w:sz w:val="17"/>
                </w:rPr>
                <w:t>76</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31" w:history="1">
              <w:r>
                <w:rPr>
                  <w:sz w:val="17"/>
                </w:rPr>
                <w:t>CAPÍTULO</w:t>
              </w:r>
              <w:r>
                <w:rPr>
                  <w:spacing w:val="3"/>
                  <w:sz w:val="17"/>
                </w:rPr>
                <w:t xml:space="preserve"> </w:t>
              </w:r>
              <w:r>
                <w:rPr>
                  <w:sz w:val="17"/>
                </w:rPr>
                <w:t>I.</w:t>
              </w:r>
              <w:r>
                <w:rPr>
                  <w:spacing w:val="4"/>
                  <w:sz w:val="17"/>
                </w:rPr>
                <w:t xml:space="preserve"> </w:t>
              </w:r>
              <w:r>
                <w:rPr>
                  <w:sz w:val="17"/>
                </w:rPr>
                <w:t>Normas</w:t>
              </w:r>
              <w:r>
                <w:rPr>
                  <w:spacing w:val="3"/>
                  <w:sz w:val="17"/>
                </w:rPr>
                <w:t xml:space="preserve"> </w:t>
              </w:r>
              <w:r>
                <w:rPr>
                  <w:sz w:val="17"/>
                </w:rPr>
                <w:t>generales.</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1" w:history="1">
              <w:r>
                <w:rPr>
                  <w:spacing w:val="-5"/>
                  <w:sz w:val="17"/>
                </w:rPr>
                <w:t>76</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32" w:history="1">
              <w:r>
                <w:rPr>
                  <w:sz w:val="17"/>
                </w:rPr>
                <w:t>CAPÍTULO</w:t>
              </w:r>
              <w:r>
                <w:rPr>
                  <w:spacing w:val="6"/>
                  <w:sz w:val="17"/>
                </w:rPr>
                <w:t xml:space="preserve"> </w:t>
              </w:r>
              <w:r>
                <w:rPr>
                  <w:sz w:val="17"/>
                </w:rPr>
                <w:t>II.</w:t>
              </w:r>
              <w:r>
                <w:rPr>
                  <w:spacing w:val="6"/>
                  <w:sz w:val="17"/>
                </w:rPr>
                <w:t xml:space="preserve"> </w:t>
              </w:r>
              <w:r>
                <w:rPr>
                  <w:sz w:val="17"/>
                </w:rPr>
                <w:t>Revisión</w:t>
              </w:r>
              <w:r>
                <w:rPr>
                  <w:spacing w:val="6"/>
                  <w:sz w:val="17"/>
                </w:rPr>
                <w:t xml:space="preserve"> </w:t>
              </w:r>
              <w:r>
                <w:rPr>
                  <w:sz w:val="17"/>
                </w:rPr>
                <w:t>de</w:t>
              </w:r>
              <w:r>
                <w:rPr>
                  <w:spacing w:val="7"/>
                  <w:sz w:val="17"/>
                </w:rPr>
                <w:t xml:space="preserve"> </w:t>
              </w:r>
              <w:r>
                <w:rPr>
                  <w:sz w:val="17"/>
                </w:rPr>
                <w:t>precios</w:t>
              </w:r>
              <w:r>
                <w:rPr>
                  <w:spacing w:val="6"/>
                  <w:sz w:val="17"/>
                </w:rPr>
                <w:t xml:space="preserve"> </w:t>
              </w:r>
              <w:r>
                <w:rPr>
                  <w:sz w:val="17"/>
                </w:rPr>
                <w:t>en</w:t>
              </w:r>
              <w:r>
                <w:rPr>
                  <w:spacing w:val="6"/>
                  <w:sz w:val="17"/>
                </w:rPr>
                <w:t xml:space="preserve"> </w:t>
              </w:r>
              <w:r>
                <w:rPr>
                  <w:sz w:val="17"/>
                </w:rPr>
                <w:t>los</w:t>
              </w:r>
              <w:r>
                <w:rPr>
                  <w:spacing w:val="6"/>
                  <w:sz w:val="17"/>
                </w:rPr>
                <w:t xml:space="preserve"> </w:t>
              </w:r>
              <w:r>
                <w:rPr>
                  <w:sz w:val="17"/>
                </w:rPr>
                <w:t>contratos</w:t>
              </w:r>
              <w:r>
                <w:rPr>
                  <w:spacing w:val="7"/>
                  <w:sz w:val="17"/>
                </w:rPr>
                <w:t xml:space="preserve"> </w:t>
              </w:r>
              <w:r>
                <w:rPr>
                  <w:sz w:val="17"/>
                </w:rPr>
                <w:t>de</w:t>
              </w:r>
              <w:r>
                <w:rPr>
                  <w:spacing w:val="6"/>
                  <w:sz w:val="17"/>
                </w:rPr>
                <w:t xml:space="preserve"> </w:t>
              </w:r>
              <w:r>
                <w:rPr>
                  <w:sz w:val="17"/>
                </w:rPr>
                <w:t>las</w:t>
              </w:r>
              <w:r>
                <w:rPr>
                  <w:spacing w:val="6"/>
                  <w:sz w:val="17"/>
                </w:rPr>
                <w:t xml:space="preserve"> </w:t>
              </w:r>
              <w:r>
                <w:rPr>
                  <w:sz w:val="17"/>
                </w:rPr>
                <w:t>entidades</w:t>
              </w:r>
              <w:r>
                <w:rPr>
                  <w:spacing w:val="6"/>
                  <w:sz w:val="17"/>
                </w:rPr>
                <w:t xml:space="preserve"> </w:t>
              </w:r>
              <w:r>
                <w:rPr>
                  <w:sz w:val="17"/>
                </w:rPr>
                <w:t>del</w:t>
              </w:r>
              <w:r>
                <w:rPr>
                  <w:spacing w:val="7"/>
                  <w:sz w:val="17"/>
                </w:rPr>
                <w:t xml:space="preserve"> </w:t>
              </w:r>
              <w:r>
                <w:rPr>
                  <w:sz w:val="17"/>
                </w:rPr>
                <w:t>Sector</w:t>
              </w:r>
              <w:r>
                <w:rPr>
                  <w:spacing w:val="6"/>
                  <w:sz w:val="17"/>
                </w:rPr>
                <w:t xml:space="preserve"> </w:t>
              </w:r>
              <w:r>
                <w:rPr>
                  <w:sz w:val="17"/>
                </w:rPr>
                <w:t>Público.</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6"/>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6"/>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2" w:history="1">
              <w:r>
                <w:rPr>
                  <w:spacing w:val="-5"/>
                  <w:sz w:val="17"/>
                </w:rPr>
                <w:t>81</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33" w:history="1">
              <w:r>
                <w:rPr>
                  <w:sz w:val="17"/>
                </w:rPr>
                <w:t>TÍTULO</w:t>
              </w:r>
              <w:r>
                <w:rPr>
                  <w:spacing w:val="3"/>
                  <w:sz w:val="17"/>
                </w:rPr>
                <w:t xml:space="preserve"> </w:t>
              </w:r>
              <w:r>
                <w:rPr>
                  <w:sz w:val="17"/>
                </w:rPr>
                <w:t>IV.</w:t>
              </w:r>
              <w:r>
                <w:rPr>
                  <w:spacing w:val="3"/>
                  <w:sz w:val="17"/>
                </w:rPr>
                <w:t xml:space="preserve"> </w:t>
              </w:r>
              <w:r>
                <w:rPr>
                  <w:sz w:val="17"/>
                </w:rPr>
                <w:t>Garantías</w:t>
              </w:r>
              <w:r>
                <w:rPr>
                  <w:spacing w:val="3"/>
                  <w:sz w:val="17"/>
                </w:rPr>
                <w:t xml:space="preserve"> </w:t>
              </w:r>
              <w:r>
                <w:rPr>
                  <w:sz w:val="17"/>
                </w:rPr>
                <w:t>exigibles</w:t>
              </w:r>
              <w:r>
                <w:rPr>
                  <w:spacing w:val="3"/>
                  <w:sz w:val="17"/>
                </w:rPr>
                <w:t xml:space="preserve"> </w:t>
              </w:r>
              <w:r>
                <w:rPr>
                  <w:sz w:val="17"/>
                </w:rPr>
                <w:t>en</w:t>
              </w:r>
              <w:r>
                <w:rPr>
                  <w:spacing w:val="3"/>
                  <w:sz w:val="17"/>
                </w:rPr>
                <w:t xml:space="preserve"> </w:t>
              </w:r>
              <w:r>
                <w:rPr>
                  <w:sz w:val="17"/>
                </w:rPr>
                <w:t>la</w:t>
              </w:r>
              <w:r>
                <w:rPr>
                  <w:spacing w:val="4"/>
                  <w:sz w:val="17"/>
                </w:rPr>
                <w:t xml:space="preserve"> </w:t>
              </w:r>
              <w:r>
                <w:rPr>
                  <w:sz w:val="17"/>
                </w:rPr>
                <w:t>contratación</w:t>
              </w:r>
              <w:r>
                <w:rPr>
                  <w:spacing w:val="3"/>
                  <w:sz w:val="17"/>
                </w:rPr>
                <w:t xml:space="preserve"> </w:t>
              </w:r>
              <w:r>
                <w:rPr>
                  <w:sz w:val="17"/>
                </w:rPr>
                <w:t>del</w:t>
              </w:r>
              <w:r>
                <w:rPr>
                  <w:spacing w:val="3"/>
                  <w:sz w:val="17"/>
                </w:rPr>
                <w:t xml:space="preserve"> </w:t>
              </w:r>
              <w:r>
                <w:rPr>
                  <w:sz w:val="17"/>
                </w:rPr>
                <w:t>sector</w:t>
              </w:r>
              <w:r>
                <w:rPr>
                  <w:spacing w:val="3"/>
                  <w:sz w:val="17"/>
                </w:rPr>
                <w:t xml:space="preserve"> </w:t>
              </w:r>
              <w:r>
                <w:rPr>
                  <w:sz w:val="17"/>
                </w:rPr>
                <w:t>público</w:t>
              </w:r>
              <w:r>
                <w:rPr>
                  <w:spacing w:val="57"/>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3" w:history="1">
              <w:r>
                <w:rPr>
                  <w:spacing w:val="-5"/>
                  <w:sz w:val="17"/>
                </w:rPr>
                <w:t>83</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34" w:history="1">
              <w:r>
                <w:rPr>
                  <w:sz w:val="17"/>
                </w:rPr>
                <w:t>CAPÍTULO</w:t>
              </w:r>
              <w:r>
                <w:rPr>
                  <w:spacing w:val="7"/>
                  <w:sz w:val="17"/>
                </w:rPr>
                <w:t xml:space="preserve"> </w:t>
              </w:r>
              <w:r>
                <w:rPr>
                  <w:sz w:val="17"/>
                </w:rPr>
                <w:t>I.</w:t>
              </w:r>
              <w:r>
                <w:rPr>
                  <w:spacing w:val="8"/>
                  <w:sz w:val="17"/>
                </w:rPr>
                <w:t xml:space="preserve"> </w:t>
              </w:r>
              <w:r>
                <w:rPr>
                  <w:sz w:val="17"/>
                </w:rPr>
                <w:t>Garantías</w:t>
              </w:r>
              <w:r>
                <w:rPr>
                  <w:spacing w:val="8"/>
                  <w:sz w:val="17"/>
                </w:rPr>
                <w:t xml:space="preserve"> </w:t>
              </w:r>
              <w:r>
                <w:rPr>
                  <w:sz w:val="17"/>
                </w:rPr>
                <w:t>exigibles</w:t>
              </w:r>
              <w:r>
                <w:rPr>
                  <w:spacing w:val="8"/>
                  <w:sz w:val="17"/>
                </w:rPr>
                <w:t xml:space="preserve"> </w:t>
              </w:r>
              <w:r>
                <w:rPr>
                  <w:sz w:val="17"/>
                </w:rPr>
                <w:t>en</w:t>
              </w:r>
              <w:r>
                <w:rPr>
                  <w:spacing w:val="8"/>
                  <w:sz w:val="17"/>
                </w:rPr>
                <w:t xml:space="preserve"> </w:t>
              </w:r>
              <w:r>
                <w:rPr>
                  <w:sz w:val="17"/>
                </w:rPr>
                <w:t>los</w:t>
              </w:r>
              <w:r>
                <w:rPr>
                  <w:spacing w:val="8"/>
                  <w:sz w:val="17"/>
                </w:rPr>
                <w:t xml:space="preserve"> </w:t>
              </w:r>
              <w:r>
                <w:rPr>
                  <w:sz w:val="17"/>
                </w:rPr>
                <w:t>contratos</w:t>
              </w:r>
              <w:r>
                <w:rPr>
                  <w:spacing w:val="8"/>
                  <w:sz w:val="17"/>
                </w:rPr>
                <w:t xml:space="preserve"> </w:t>
              </w:r>
              <w:r>
                <w:rPr>
                  <w:sz w:val="17"/>
                </w:rPr>
                <w:t>celebrados</w:t>
              </w:r>
              <w:r>
                <w:rPr>
                  <w:spacing w:val="8"/>
                  <w:sz w:val="17"/>
                </w:rPr>
                <w:t xml:space="preserve"> </w:t>
              </w:r>
              <w:r>
                <w:rPr>
                  <w:sz w:val="17"/>
                </w:rPr>
                <w:t>con</w:t>
              </w:r>
              <w:r>
                <w:rPr>
                  <w:spacing w:val="8"/>
                  <w:sz w:val="17"/>
                </w:rPr>
                <w:t xml:space="preserve"> </w:t>
              </w:r>
              <w:r>
                <w:rPr>
                  <w:sz w:val="17"/>
                </w:rPr>
                <w:t>las</w:t>
              </w:r>
              <w:r>
                <w:rPr>
                  <w:spacing w:val="8"/>
                  <w:sz w:val="17"/>
                </w:rPr>
                <w:t xml:space="preserve"> </w:t>
              </w:r>
              <w:r>
                <w:rPr>
                  <w:sz w:val="17"/>
                </w:rPr>
                <w:t>Administraciones</w:t>
              </w:r>
              <w:r>
                <w:rPr>
                  <w:spacing w:val="7"/>
                  <w:sz w:val="17"/>
                </w:rPr>
                <w:t xml:space="preserve"> </w:t>
              </w:r>
              <w:r>
                <w:rPr>
                  <w:sz w:val="17"/>
                </w:rPr>
                <w:t>Públicas</w:t>
              </w:r>
              <w:r>
                <w:rPr>
                  <w:spacing w:val="71"/>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6"/>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6"/>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4" w:history="1">
              <w:r>
                <w:rPr>
                  <w:spacing w:val="-5"/>
                  <w:sz w:val="17"/>
                </w:rPr>
                <w:t>83</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35" w:history="1">
              <w:r>
                <w:rPr>
                  <w:sz w:val="17"/>
                </w:rPr>
                <w:t>Sección</w:t>
              </w:r>
              <w:r>
                <w:rPr>
                  <w:spacing w:val="2"/>
                  <w:sz w:val="17"/>
                </w:rPr>
                <w:t xml:space="preserve"> </w:t>
              </w:r>
              <w:r>
                <w:rPr>
                  <w:sz w:val="17"/>
                </w:rPr>
                <w:t>1.ª</w:t>
              </w:r>
              <w:r>
                <w:rPr>
                  <w:spacing w:val="2"/>
                  <w:sz w:val="17"/>
                </w:rPr>
                <w:t xml:space="preserve"> </w:t>
              </w:r>
              <w:r>
                <w:rPr>
                  <w:sz w:val="17"/>
                </w:rPr>
                <w:t>Garantía</w:t>
              </w:r>
              <w:r>
                <w:rPr>
                  <w:spacing w:val="2"/>
                  <w:sz w:val="17"/>
                </w:rPr>
                <w:t xml:space="preserve"> </w:t>
              </w:r>
              <w:r>
                <w:rPr>
                  <w:sz w:val="17"/>
                </w:rPr>
                <w:t>provisional</w:t>
              </w:r>
              <w:r>
                <w:rPr>
                  <w:spacing w:val="14"/>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5" w:history="1">
              <w:r>
                <w:rPr>
                  <w:spacing w:val="-5"/>
                  <w:sz w:val="17"/>
                </w:rPr>
                <w:t>83</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36" w:history="1">
              <w:r>
                <w:rPr>
                  <w:sz w:val="17"/>
                </w:rPr>
                <w:t>Sección</w:t>
              </w:r>
              <w:r>
                <w:rPr>
                  <w:spacing w:val="2"/>
                  <w:sz w:val="17"/>
                </w:rPr>
                <w:t xml:space="preserve"> </w:t>
              </w:r>
              <w:r>
                <w:rPr>
                  <w:sz w:val="17"/>
                </w:rPr>
                <w:t>2.ª</w:t>
              </w:r>
              <w:r>
                <w:rPr>
                  <w:spacing w:val="2"/>
                  <w:sz w:val="17"/>
                </w:rPr>
                <w:t xml:space="preserve"> </w:t>
              </w:r>
              <w:r>
                <w:rPr>
                  <w:sz w:val="17"/>
                </w:rPr>
                <w:t>Garantía</w:t>
              </w:r>
              <w:r>
                <w:rPr>
                  <w:spacing w:val="2"/>
                  <w:sz w:val="17"/>
                </w:rPr>
                <w:t xml:space="preserve"> </w:t>
              </w:r>
              <w:r>
                <w:rPr>
                  <w:sz w:val="17"/>
                </w:rPr>
                <w:t>definitiva</w:t>
              </w:r>
              <w:r>
                <w:rPr>
                  <w:spacing w:val="39"/>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6" w:history="1">
              <w:r>
                <w:rPr>
                  <w:spacing w:val="-5"/>
                  <w:sz w:val="17"/>
                </w:rPr>
                <w:t>84</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37" w:history="1">
              <w:r>
                <w:rPr>
                  <w:sz w:val="17"/>
                </w:rPr>
                <w:t>Sección</w:t>
              </w:r>
              <w:r>
                <w:rPr>
                  <w:spacing w:val="5"/>
                  <w:sz w:val="17"/>
                </w:rPr>
                <w:t xml:space="preserve"> </w:t>
              </w:r>
              <w:r>
                <w:rPr>
                  <w:sz w:val="17"/>
                </w:rPr>
                <w:t>3.ª</w:t>
              </w:r>
              <w:r>
                <w:rPr>
                  <w:spacing w:val="5"/>
                  <w:sz w:val="17"/>
                </w:rPr>
                <w:t xml:space="preserve"> </w:t>
              </w:r>
              <w:r>
                <w:rPr>
                  <w:sz w:val="17"/>
                </w:rPr>
                <w:t>Garantías</w:t>
              </w:r>
              <w:r>
                <w:rPr>
                  <w:spacing w:val="5"/>
                  <w:sz w:val="17"/>
                </w:rPr>
                <w:t xml:space="preserve"> </w:t>
              </w:r>
              <w:r>
                <w:rPr>
                  <w:sz w:val="17"/>
                </w:rPr>
                <w:t>prestadas</w:t>
              </w:r>
              <w:r>
                <w:rPr>
                  <w:spacing w:val="5"/>
                  <w:sz w:val="17"/>
                </w:rPr>
                <w:t xml:space="preserve"> </w:t>
              </w:r>
              <w:r>
                <w:rPr>
                  <w:sz w:val="17"/>
                </w:rPr>
                <w:t>por</w:t>
              </w:r>
              <w:r>
                <w:rPr>
                  <w:spacing w:val="5"/>
                  <w:sz w:val="17"/>
                </w:rPr>
                <w:t xml:space="preserve"> </w:t>
              </w:r>
              <w:r>
                <w:rPr>
                  <w:sz w:val="17"/>
                </w:rPr>
                <w:t>terceros</w:t>
              </w:r>
              <w:r>
                <w:rPr>
                  <w:spacing w:val="6"/>
                  <w:sz w:val="17"/>
                </w:rPr>
                <w:t xml:space="preserve"> </w:t>
              </w:r>
              <w:r>
                <w:rPr>
                  <w:sz w:val="17"/>
                </w:rPr>
                <w:t>y</w:t>
              </w:r>
              <w:r>
                <w:rPr>
                  <w:spacing w:val="5"/>
                  <w:sz w:val="17"/>
                </w:rPr>
                <w:t xml:space="preserve"> </w:t>
              </w:r>
              <w:r>
                <w:rPr>
                  <w:sz w:val="17"/>
                </w:rPr>
                <w:t>preferencia</w:t>
              </w:r>
              <w:r>
                <w:rPr>
                  <w:spacing w:val="5"/>
                  <w:sz w:val="17"/>
                </w:rPr>
                <w:t xml:space="preserve"> </w:t>
              </w:r>
              <w:r>
                <w:rPr>
                  <w:sz w:val="17"/>
                </w:rPr>
                <w:t>en</w:t>
              </w:r>
              <w:r>
                <w:rPr>
                  <w:spacing w:val="5"/>
                  <w:sz w:val="17"/>
                </w:rPr>
                <w:t xml:space="preserve"> </w:t>
              </w:r>
              <w:r>
                <w:rPr>
                  <w:sz w:val="17"/>
                </w:rPr>
                <w:t>la</w:t>
              </w:r>
              <w:r>
                <w:rPr>
                  <w:spacing w:val="5"/>
                  <w:sz w:val="17"/>
                </w:rPr>
                <w:t xml:space="preserve"> </w:t>
              </w:r>
              <w:r>
                <w:rPr>
                  <w:sz w:val="17"/>
                </w:rPr>
                <w:t>ejecución</w:t>
              </w:r>
              <w:r>
                <w:rPr>
                  <w:spacing w:val="6"/>
                  <w:sz w:val="17"/>
                </w:rPr>
                <w:t xml:space="preserve"> </w:t>
              </w:r>
              <w:r>
                <w:rPr>
                  <w:sz w:val="17"/>
                </w:rPr>
                <w:t>de</w:t>
              </w:r>
              <w:r>
                <w:rPr>
                  <w:spacing w:val="5"/>
                  <w:sz w:val="17"/>
                </w:rPr>
                <w:t xml:space="preserve"> </w:t>
              </w:r>
              <w:r>
                <w:rPr>
                  <w:sz w:val="17"/>
                </w:rPr>
                <w:t>garantías</w:t>
              </w:r>
              <w:r>
                <w:rPr>
                  <w:spacing w:val="39"/>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7" w:history="1">
              <w:r>
                <w:rPr>
                  <w:spacing w:val="-5"/>
                  <w:sz w:val="17"/>
                </w:rPr>
                <w:t>87</w:t>
              </w:r>
            </w:hyperlink>
          </w:p>
        </w:tc>
      </w:tr>
      <w:tr w:rsidR="0092635B">
        <w:trPr>
          <w:trHeight w:val="439"/>
        </w:trPr>
        <w:tc>
          <w:tcPr>
            <w:tcW w:w="9117" w:type="dxa"/>
          </w:tcPr>
          <w:p w:rsidR="0092635B" w:rsidRDefault="00000000">
            <w:pPr>
              <w:pStyle w:val="TableParagraph"/>
              <w:spacing w:before="118"/>
              <w:ind w:right="148"/>
              <w:jc w:val="right"/>
              <w:rPr>
                <w:sz w:val="17"/>
              </w:rPr>
            </w:pPr>
            <w:hyperlink w:anchor="_bookmark38" w:history="1">
              <w:r>
                <w:rPr>
                  <w:sz w:val="17"/>
                </w:rPr>
                <w:t>CAPÍTULO</w:t>
              </w:r>
              <w:r>
                <w:rPr>
                  <w:spacing w:val="4"/>
                  <w:sz w:val="17"/>
                </w:rPr>
                <w:t xml:space="preserve"> </w:t>
              </w:r>
              <w:r>
                <w:rPr>
                  <w:sz w:val="17"/>
                </w:rPr>
                <w:t>II.</w:t>
              </w:r>
              <w:r>
                <w:rPr>
                  <w:spacing w:val="4"/>
                  <w:sz w:val="17"/>
                </w:rPr>
                <w:t xml:space="preserve"> </w:t>
              </w:r>
              <w:r>
                <w:rPr>
                  <w:sz w:val="17"/>
                </w:rPr>
                <w:t>Garantías</w:t>
              </w:r>
              <w:r>
                <w:rPr>
                  <w:spacing w:val="5"/>
                  <w:sz w:val="17"/>
                </w:rPr>
                <w:t xml:space="preserve"> </w:t>
              </w:r>
              <w:r>
                <w:rPr>
                  <w:sz w:val="17"/>
                </w:rPr>
                <w:t>exigibles</w:t>
              </w:r>
              <w:r>
                <w:rPr>
                  <w:spacing w:val="4"/>
                  <w:sz w:val="17"/>
                </w:rPr>
                <w:t xml:space="preserve"> </w:t>
              </w:r>
              <w:r>
                <w:rPr>
                  <w:sz w:val="17"/>
                </w:rPr>
                <w:t>en</w:t>
              </w:r>
              <w:r>
                <w:rPr>
                  <w:spacing w:val="4"/>
                  <w:sz w:val="17"/>
                </w:rPr>
                <w:t xml:space="preserve"> </w:t>
              </w:r>
              <w:r>
                <w:rPr>
                  <w:sz w:val="17"/>
                </w:rPr>
                <w:t>otros</w:t>
              </w:r>
              <w:r>
                <w:rPr>
                  <w:spacing w:val="5"/>
                  <w:sz w:val="17"/>
                </w:rPr>
                <w:t xml:space="preserve"> </w:t>
              </w:r>
              <w:r>
                <w:rPr>
                  <w:sz w:val="17"/>
                </w:rPr>
                <w:t>contratos</w:t>
              </w:r>
              <w:r>
                <w:rPr>
                  <w:spacing w:val="4"/>
                  <w:sz w:val="17"/>
                </w:rPr>
                <w:t xml:space="preserve"> </w:t>
              </w:r>
              <w:r>
                <w:rPr>
                  <w:sz w:val="17"/>
                </w:rPr>
                <w:t>del</w:t>
              </w:r>
              <w:r>
                <w:rPr>
                  <w:spacing w:val="4"/>
                  <w:sz w:val="17"/>
                </w:rPr>
                <w:t xml:space="preserve"> </w:t>
              </w:r>
              <w:r>
                <w:rPr>
                  <w:sz w:val="17"/>
                </w:rPr>
                <w:t>sector</w:t>
              </w:r>
              <w:r>
                <w:rPr>
                  <w:spacing w:val="5"/>
                  <w:sz w:val="17"/>
                </w:rPr>
                <w:t xml:space="preserve"> </w:t>
              </w:r>
              <w:r>
                <w:rPr>
                  <w:sz w:val="17"/>
                </w:rPr>
                <w:t>público</w:t>
              </w:r>
              <w:r>
                <w:rPr>
                  <w:spacing w:val="-7"/>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8" w:history="1">
              <w:r>
                <w:rPr>
                  <w:spacing w:val="-5"/>
                  <w:sz w:val="17"/>
                </w:rPr>
                <w:t>87</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39" w:history="1">
              <w:r>
                <w:rPr>
                  <w:sz w:val="17"/>
                </w:rPr>
                <w:t>LIBRO</w:t>
              </w:r>
              <w:r>
                <w:rPr>
                  <w:spacing w:val="5"/>
                  <w:sz w:val="17"/>
                </w:rPr>
                <w:t xml:space="preserve"> </w:t>
              </w:r>
              <w:r>
                <w:rPr>
                  <w:sz w:val="17"/>
                </w:rPr>
                <w:t>SEGUNDO.</w:t>
              </w:r>
              <w:r>
                <w:rPr>
                  <w:spacing w:val="5"/>
                  <w:sz w:val="17"/>
                </w:rPr>
                <w:t xml:space="preserve"> </w:t>
              </w:r>
              <w:r>
                <w:rPr>
                  <w:sz w:val="17"/>
                </w:rPr>
                <w:t>De</w:t>
              </w:r>
              <w:r>
                <w:rPr>
                  <w:spacing w:val="5"/>
                  <w:sz w:val="17"/>
                </w:rPr>
                <w:t xml:space="preserve"> </w:t>
              </w:r>
              <w:r>
                <w:rPr>
                  <w:sz w:val="17"/>
                </w:rPr>
                <w:t>los</w:t>
              </w:r>
              <w:r>
                <w:rPr>
                  <w:spacing w:val="6"/>
                  <w:sz w:val="17"/>
                </w:rPr>
                <w:t xml:space="preserve"> </w:t>
              </w:r>
              <w:r>
                <w:rPr>
                  <w:sz w:val="17"/>
                </w:rPr>
                <w:t>contratos</w:t>
              </w:r>
              <w:r>
                <w:rPr>
                  <w:spacing w:val="5"/>
                  <w:sz w:val="17"/>
                </w:rPr>
                <w:t xml:space="preserve"> </w:t>
              </w:r>
              <w:r>
                <w:rPr>
                  <w:sz w:val="17"/>
                </w:rPr>
                <w:t>de</w:t>
              </w:r>
              <w:r>
                <w:rPr>
                  <w:spacing w:val="5"/>
                  <w:sz w:val="17"/>
                </w:rPr>
                <w:t xml:space="preserve"> </w:t>
              </w:r>
              <w:r>
                <w:rPr>
                  <w:sz w:val="17"/>
                </w:rPr>
                <w:t>las</w:t>
              </w:r>
              <w:r>
                <w:rPr>
                  <w:spacing w:val="6"/>
                  <w:sz w:val="17"/>
                </w:rPr>
                <w:t xml:space="preserve"> </w:t>
              </w:r>
              <w:r>
                <w:rPr>
                  <w:sz w:val="17"/>
                </w:rPr>
                <w:t>Administraciones</w:t>
              </w:r>
              <w:r>
                <w:rPr>
                  <w:spacing w:val="5"/>
                  <w:sz w:val="17"/>
                </w:rPr>
                <w:t xml:space="preserve"> </w:t>
              </w:r>
              <w:r>
                <w:rPr>
                  <w:sz w:val="17"/>
                </w:rPr>
                <w:t>Públicas.</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39" w:history="1">
              <w:r>
                <w:rPr>
                  <w:spacing w:val="-5"/>
                  <w:sz w:val="17"/>
                </w:rPr>
                <w:t>88</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40" w:history="1">
              <w:r>
                <w:rPr>
                  <w:sz w:val="17"/>
                </w:rPr>
                <w:t>TÍTULO</w:t>
              </w:r>
              <w:r>
                <w:rPr>
                  <w:spacing w:val="3"/>
                  <w:sz w:val="17"/>
                </w:rPr>
                <w:t xml:space="preserve"> </w:t>
              </w:r>
              <w:r>
                <w:rPr>
                  <w:sz w:val="17"/>
                </w:rPr>
                <w:t>I.</w:t>
              </w:r>
              <w:r>
                <w:rPr>
                  <w:spacing w:val="3"/>
                  <w:sz w:val="17"/>
                </w:rPr>
                <w:t xml:space="preserve"> </w:t>
              </w:r>
              <w:r>
                <w:rPr>
                  <w:sz w:val="17"/>
                </w:rPr>
                <w:t>Disposiciones</w:t>
              </w:r>
              <w:r>
                <w:rPr>
                  <w:spacing w:val="4"/>
                  <w:sz w:val="17"/>
                </w:rPr>
                <w:t xml:space="preserve"> </w:t>
              </w:r>
              <w:r>
                <w:rPr>
                  <w:sz w:val="17"/>
                </w:rPr>
                <w:t>generales.</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40" w:history="1">
              <w:r>
                <w:rPr>
                  <w:spacing w:val="-5"/>
                  <w:sz w:val="17"/>
                </w:rPr>
                <w:t>88</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41" w:history="1">
              <w:r>
                <w:rPr>
                  <w:sz w:val="17"/>
                </w:rPr>
                <w:t>CAPÍTULO</w:t>
              </w:r>
              <w:r>
                <w:rPr>
                  <w:spacing w:val="8"/>
                  <w:sz w:val="17"/>
                </w:rPr>
                <w:t xml:space="preserve"> </w:t>
              </w:r>
              <w:r>
                <w:rPr>
                  <w:sz w:val="17"/>
                </w:rPr>
                <w:t>I.</w:t>
              </w:r>
              <w:r>
                <w:rPr>
                  <w:spacing w:val="8"/>
                  <w:sz w:val="17"/>
                </w:rPr>
                <w:t xml:space="preserve"> </w:t>
              </w:r>
              <w:r>
                <w:rPr>
                  <w:sz w:val="17"/>
                </w:rPr>
                <w:t>De</w:t>
              </w:r>
              <w:r>
                <w:rPr>
                  <w:spacing w:val="8"/>
                  <w:sz w:val="17"/>
                </w:rPr>
                <w:t xml:space="preserve"> </w:t>
              </w:r>
              <w:r>
                <w:rPr>
                  <w:sz w:val="17"/>
                </w:rPr>
                <w:t>las</w:t>
              </w:r>
              <w:r>
                <w:rPr>
                  <w:spacing w:val="8"/>
                  <w:sz w:val="17"/>
                </w:rPr>
                <w:t xml:space="preserve"> </w:t>
              </w:r>
              <w:r>
                <w:rPr>
                  <w:sz w:val="17"/>
                </w:rPr>
                <w:t>actuaciones</w:t>
              </w:r>
              <w:r>
                <w:rPr>
                  <w:spacing w:val="8"/>
                  <w:sz w:val="17"/>
                </w:rPr>
                <w:t xml:space="preserve"> </w:t>
              </w:r>
              <w:r>
                <w:rPr>
                  <w:sz w:val="17"/>
                </w:rPr>
                <w:t>relativas</w:t>
              </w:r>
              <w:r>
                <w:rPr>
                  <w:spacing w:val="8"/>
                  <w:sz w:val="17"/>
                </w:rPr>
                <w:t xml:space="preserve"> </w:t>
              </w:r>
              <w:r>
                <w:rPr>
                  <w:sz w:val="17"/>
                </w:rPr>
                <w:t>a</w:t>
              </w:r>
              <w:r>
                <w:rPr>
                  <w:spacing w:val="8"/>
                  <w:sz w:val="17"/>
                </w:rPr>
                <w:t xml:space="preserve"> </w:t>
              </w:r>
              <w:r>
                <w:rPr>
                  <w:sz w:val="17"/>
                </w:rPr>
                <w:t>la</w:t>
              </w:r>
              <w:r>
                <w:rPr>
                  <w:spacing w:val="8"/>
                  <w:sz w:val="17"/>
                </w:rPr>
                <w:t xml:space="preserve"> </w:t>
              </w:r>
              <w:r>
                <w:rPr>
                  <w:sz w:val="17"/>
                </w:rPr>
                <w:t>contratación</w:t>
              </w:r>
              <w:r>
                <w:rPr>
                  <w:spacing w:val="8"/>
                  <w:sz w:val="17"/>
                </w:rPr>
                <w:t xml:space="preserve"> </w:t>
              </w:r>
              <w:r>
                <w:rPr>
                  <w:sz w:val="17"/>
                </w:rPr>
                <w:t>de</w:t>
              </w:r>
              <w:r>
                <w:rPr>
                  <w:spacing w:val="9"/>
                  <w:sz w:val="17"/>
                </w:rPr>
                <w:t xml:space="preserve"> </w:t>
              </w:r>
              <w:r>
                <w:rPr>
                  <w:sz w:val="17"/>
                </w:rPr>
                <w:t>las</w:t>
              </w:r>
              <w:r>
                <w:rPr>
                  <w:spacing w:val="8"/>
                  <w:sz w:val="17"/>
                </w:rPr>
                <w:t xml:space="preserve"> </w:t>
              </w:r>
              <w:r>
                <w:rPr>
                  <w:sz w:val="17"/>
                </w:rPr>
                <w:t>Administraciones</w:t>
              </w:r>
              <w:r>
                <w:rPr>
                  <w:spacing w:val="8"/>
                  <w:sz w:val="17"/>
                </w:rPr>
                <w:t xml:space="preserve"> </w:t>
              </w:r>
              <w:r>
                <w:rPr>
                  <w:sz w:val="17"/>
                </w:rPr>
                <w:t>Públicas.</w:t>
              </w:r>
              <w:r>
                <w:rPr>
                  <w:spacing w:val="7"/>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6"/>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24"/>
                  <w:sz w:val="17"/>
                </w:rPr>
                <w:t>.</w:t>
              </w:r>
              <w:r>
                <w:rPr>
                  <w:spacing w:val="7"/>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41" w:history="1">
              <w:r>
                <w:rPr>
                  <w:spacing w:val="-5"/>
                  <w:sz w:val="17"/>
                </w:rPr>
                <w:t>88</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42" w:history="1">
              <w:r>
                <w:rPr>
                  <w:sz w:val="17"/>
                </w:rPr>
                <w:t>Sección</w:t>
              </w:r>
              <w:r>
                <w:rPr>
                  <w:spacing w:val="4"/>
                  <w:sz w:val="17"/>
                </w:rPr>
                <w:t xml:space="preserve"> </w:t>
              </w:r>
              <w:r>
                <w:rPr>
                  <w:sz w:val="17"/>
                </w:rPr>
                <w:t>1.ª</w:t>
              </w:r>
              <w:r>
                <w:rPr>
                  <w:spacing w:val="5"/>
                  <w:sz w:val="17"/>
                </w:rPr>
                <w:t xml:space="preserve"> </w:t>
              </w:r>
              <w:r>
                <w:rPr>
                  <w:sz w:val="17"/>
                </w:rPr>
                <w:t>De</w:t>
              </w:r>
              <w:r>
                <w:rPr>
                  <w:spacing w:val="5"/>
                  <w:sz w:val="17"/>
                </w:rPr>
                <w:t xml:space="preserve"> </w:t>
              </w:r>
              <w:r>
                <w:rPr>
                  <w:sz w:val="17"/>
                </w:rPr>
                <w:t>la</w:t>
              </w:r>
              <w:r>
                <w:rPr>
                  <w:spacing w:val="4"/>
                  <w:sz w:val="17"/>
                </w:rPr>
                <w:t xml:space="preserve"> </w:t>
              </w:r>
              <w:r>
                <w:rPr>
                  <w:sz w:val="17"/>
                </w:rPr>
                <w:t>preparación</w:t>
              </w:r>
              <w:r>
                <w:rPr>
                  <w:spacing w:val="5"/>
                  <w:sz w:val="17"/>
                </w:rPr>
                <w:t xml:space="preserve"> </w:t>
              </w:r>
              <w:r>
                <w:rPr>
                  <w:sz w:val="17"/>
                </w:rPr>
                <w:t>de</w:t>
              </w:r>
              <w:r>
                <w:rPr>
                  <w:spacing w:val="5"/>
                  <w:sz w:val="17"/>
                </w:rPr>
                <w:t xml:space="preserve"> </w:t>
              </w:r>
              <w:r>
                <w:rPr>
                  <w:sz w:val="17"/>
                </w:rPr>
                <w:t>los</w:t>
              </w:r>
              <w:r>
                <w:rPr>
                  <w:spacing w:val="4"/>
                  <w:sz w:val="17"/>
                </w:rPr>
                <w:t xml:space="preserve"> </w:t>
              </w:r>
              <w:r>
                <w:rPr>
                  <w:sz w:val="17"/>
                </w:rPr>
                <w:t>contratos</w:t>
              </w:r>
              <w:r>
                <w:rPr>
                  <w:spacing w:val="5"/>
                  <w:sz w:val="17"/>
                </w:rPr>
                <w:t xml:space="preserve"> </w:t>
              </w:r>
              <w:r>
                <w:rPr>
                  <w:sz w:val="17"/>
                </w:rPr>
                <w:t>de</w:t>
              </w:r>
              <w:r>
                <w:rPr>
                  <w:spacing w:val="4"/>
                  <w:sz w:val="17"/>
                </w:rPr>
                <w:t xml:space="preserve"> </w:t>
              </w:r>
              <w:r>
                <w:rPr>
                  <w:sz w:val="17"/>
                </w:rPr>
                <w:t>las</w:t>
              </w:r>
              <w:r>
                <w:rPr>
                  <w:spacing w:val="5"/>
                  <w:sz w:val="17"/>
                </w:rPr>
                <w:t xml:space="preserve"> </w:t>
              </w:r>
              <w:r>
                <w:rPr>
                  <w:sz w:val="17"/>
                </w:rPr>
                <w:t>Administraciones</w:t>
              </w:r>
              <w:r>
                <w:rPr>
                  <w:spacing w:val="5"/>
                  <w:sz w:val="17"/>
                </w:rPr>
                <w:t xml:space="preserve"> </w:t>
              </w:r>
              <w:r>
                <w:rPr>
                  <w:sz w:val="17"/>
                </w:rPr>
                <w:t>Públicas</w:t>
              </w:r>
              <w:r>
                <w:rPr>
                  <w:spacing w:val="30"/>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42" w:history="1">
              <w:r>
                <w:rPr>
                  <w:spacing w:val="-5"/>
                  <w:sz w:val="17"/>
                </w:rPr>
                <w:t>88</w:t>
              </w:r>
            </w:hyperlink>
          </w:p>
        </w:tc>
      </w:tr>
      <w:tr w:rsidR="0092635B">
        <w:trPr>
          <w:trHeight w:val="440"/>
        </w:trPr>
        <w:tc>
          <w:tcPr>
            <w:tcW w:w="9117" w:type="dxa"/>
          </w:tcPr>
          <w:p w:rsidR="0092635B" w:rsidRDefault="00000000">
            <w:pPr>
              <w:pStyle w:val="TableParagraph"/>
              <w:spacing w:before="118"/>
              <w:ind w:right="148"/>
              <w:jc w:val="right"/>
              <w:rPr>
                <w:sz w:val="17"/>
              </w:rPr>
            </w:pPr>
            <w:hyperlink w:anchor="_bookmark43" w:history="1">
              <w:r>
                <w:rPr>
                  <w:sz w:val="17"/>
                </w:rPr>
                <w:t>Subsección</w:t>
              </w:r>
              <w:r>
                <w:rPr>
                  <w:spacing w:val="2"/>
                  <w:sz w:val="17"/>
                </w:rPr>
                <w:t xml:space="preserve"> </w:t>
              </w:r>
              <w:r>
                <w:rPr>
                  <w:sz w:val="17"/>
                </w:rPr>
                <w:t>1.ª</w:t>
              </w:r>
              <w:r>
                <w:rPr>
                  <w:spacing w:val="3"/>
                  <w:sz w:val="17"/>
                </w:rPr>
                <w:t xml:space="preserve"> </w:t>
              </w:r>
              <w:r>
                <w:rPr>
                  <w:sz w:val="17"/>
                </w:rPr>
                <w:t>Expediente</w:t>
              </w:r>
              <w:r>
                <w:rPr>
                  <w:spacing w:val="2"/>
                  <w:sz w:val="17"/>
                </w:rPr>
                <w:t xml:space="preserve"> </w:t>
              </w:r>
              <w:r>
                <w:rPr>
                  <w:sz w:val="17"/>
                </w:rPr>
                <w:t>de</w:t>
              </w:r>
              <w:r>
                <w:rPr>
                  <w:spacing w:val="2"/>
                  <w:sz w:val="17"/>
                </w:rPr>
                <w:t xml:space="preserve"> </w:t>
              </w:r>
              <w:r>
                <w:rPr>
                  <w:sz w:val="17"/>
                </w:rPr>
                <w:t>contratación</w:t>
              </w:r>
              <w:r>
                <w:rPr>
                  <w:spacing w:val="59"/>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43" w:history="1">
              <w:r>
                <w:rPr>
                  <w:spacing w:val="-5"/>
                  <w:sz w:val="17"/>
                </w:rPr>
                <w:t>89</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44" w:history="1">
              <w:r>
                <w:rPr>
                  <w:sz w:val="17"/>
                </w:rPr>
                <w:t>Subsección</w:t>
              </w:r>
              <w:r>
                <w:rPr>
                  <w:spacing w:val="5"/>
                  <w:sz w:val="17"/>
                </w:rPr>
                <w:t xml:space="preserve"> </w:t>
              </w:r>
              <w:r>
                <w:rPr>
                  <w:sz w:val="17"/>
                </w:rPr>
                <w:t>2.ª</w:t>
              </w:r>
              <w:r>
                <w:rPr>
                  <w:spacing w:val="6"/>
                  <w:sz w:val="17"/>
                </w:rPr>
                <w:t xml:space="preserve"> </w:t>
              </w:r>
              <w:r>
                <w:rPr>
                  <w:sz w:val="17"/>
                </w:rPr>
                <w:t>Pliegos</w:t>
              </w:r>
              <w:r>
                <w:rPr>
                  <w:spacing w:val="6"/>
                  <w:sz w:val="17"/>
                </w:rPr>
                <w:t xml:space="preserve"> </w:t>
              </w:r>
              <w:r>
                <w:rPr>
                  <w:sz w:val="17"/>
                </w:rPr>
                <w:t>de</w:t>
              </w:r>
              <w:r>
                <w:rPr>
                  <w:spacing w:val="6"/>
                  <w:sz w:val="17"/>
                </w:rPr>
                <w:t xml:space="preserve"> </w:t>
              </w:r>
              <w:r>
                <w:rPr>
                  <w:sz w:val="17"/>
                </w:rPr>
                <w:t>cláusulas</w:t>
              </w:r>
              <w:r>
                <w:rPr>
                  <w:spacing w:val="6"/>
                  <w:sz w:val="17"/>
                </w:rPr>
                <w:t xml:space="preserve"> </w:t>
              </w:r>
              <w:r>
                <w:rPr>
                  <w:sz w:val="17"/>
                </w:rPr>
                <w:t>administrativas</w:t>
              </w:r>
              <w:r>
                <w:rPr>
                  <w:spacing w:val="5"/>
                  <w:sz w:val="17"/>
                </w:rPr>
                <w:t xml:space="preserve"> </w:t>
              </w:r>
              <w:r>
                <w:rPr>
                  <w:sz w:val="17"/>
                </w:rPr>
                <w:t>y</w:t>
              </w:r>
              <w:r>
                <w:rPr>
                  <w:spacing w:val="6"/>
                  <w:sz w:val="17"/>
                </w:rPr>
                <w:t xml:space="preserve"> </w:t>
              </w:r>
              <w:r>
                <w:rPr>
                  <w:sz w:val="17"/>
                </w:rPr>
                <w:t>de</w:t>
              </w:r>
              <w:r>
                <w:rPr>
                  <w:spacing w:val="6"/>
                  <w:sz w:val="17"/>
                </w:rPr>
                <w:t xml:space="preserve"> </w:t>
              </w:r>
              <w:r>
                <w:rPr>
                  <w:sz w:val="17"/>
                </w:rPr>
                <w:t>prescripciones</w:t>
              </w:r>
              <w:r>
                <w:rPr>
                  <w:spacing w:val="6"/>
                  <w:sz w:val="17"/>
                </w:rPr>
                <w:t xml:space="preserve"> </w:t>
              </w:r>
              <w:r>
                <w:rPr>
                  <w:sz w:val="17"/>
                </w:rPr>
                <w:t>técnicas</w:t>
              </w:r>
              <w:r>
                <w:rPr>
                  <w:spacing w:val="1"/>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44" w:history="1">
              <w:r>
                <w:rPr>
                  <w:spacing w:val="-5"/>
                  <w:sz w:val="17"/>
                </w:rPr>
                <w:t>92</w:t>
              </w:r>
            </w:hyperlink>
          </w:p>
        </w:tc>
      </w:tr>
      <w:tr w:rsidR="0092635B">
        <w:trPr>
          <w:trHeight w:val="440"/>
        </w:trPr>
        <w:tc>
          <w:tcPr>
            <w:tcW w:w="9117" w:type="dxa"/>
          </w:tcPr>
          <w:p w:rsidR="0092635B" w:rsidRDefault="00000000">
            <w:pPr>
              <w:pStyle w:val="TableParagraph"/>
              <w:spacing w:before="118"/>
              <w:ind w:right="149"/>
              <w:jc w:val="right"/>
              <w:rPr>
                <w:sz w:val="17"/>
              </w:rPr>
            </w:pPr>
            <w:hyperlink w:anchor="_bookmark45" w:history="1">
              <w:r>
                <w:rPr>
                  <w:sz w:val="17"/>
                </w:rPr>
                <w:t>Sección</w:t>
              </w:r>
              <w:r>
                <w:rPr>
                  <w:spacing w:val="4"/>
                  <w:sz w:val="17"/>
                </w:rPr>
                <w:t xml:space="preserve"> </w:t>
              </w:r>
              <w:r>
                <w:rPr>
                  <w:sz w:val="17"/>
                </w:rPr>
                <w:t>2.ª</w:t>
              </w:r>
              <w:r>
                <w:rPr>
                  <w:spacing w:val="5"/>
                  <w:sz w:val="17"/>
                </w:rPr>
                <w:t xml:space="preserve"> </w:t>
              </w:r>
              <w:r>
                <w:rPr>
                  <w:sz w:val="17"/>
                </w:rPr>
                <w:t>De</w:t>
              </w:r>
              <w:r>
                <w:rPr>
                  <w:spacing w:val="5"/>
                  <w:sz w:val="17"/>
                </w:rPr>
                <w:t xml:space="preserve"> </w:t>
              </w:r>
              <w:r>
                <w:rPr>
                  <w:sz w:val="17"/>
                </w:rPr>
                <w:t>la</w:t>
              </w:r>
              <w:r>
                <w:rPr>
                  <w:spacing w:val="5"/>
                  <w:sz w:val="17"/>
                </w:rPr>
                <w:t xml:space="preserve"> </w:t>
              </w:r>
              <w:r>
                <w:rPr>
                  <w:sz w:val="17"/>
                </w:rPr>
                <w:t>adjudicación</w:t>
              </w:r>
              <w:r>
                <w:rPr>
                  <w:spacing w:val="4"/>
                  <w:sz w:val="17"/>
                </w:rPr>
                <w:t xml:space="preserve"> </w:t>
              </w:r>
              <w:r>
                <w:rPr>
                  <w:sz w:val="17"/>
                </w:rPr>
                <w:t>de</w:t>
              </w:r>
              <w:r>
                <w:rPr>
                  <w:spacing w:val="5"/>
                  <w:sz w:val="17"/>
                </w:rPr>
                <w:t xml:space="preserve"> </w:t>
              </w:r>
              <w:r>
                <w:rPr>
                  <w:sz w:val="17"/>
                </w:rPr>
                <w:t>los</w:t>
              </w:r>
              <w:r>
                <w:rPr>
                  <w:spacing w:val="5"/>
                  <w:sz w:val="17"/>
                </w:rPr>
                <w:t xml:space="preserve"> </w:t>
              </w:r>
              <w:r>
                <w:rPr>
                  <w:sz w:val="17"/>
                </w:rPr>
                <w:t>contratos</w:t>
              </w:r>
              <w:r>
                <w:rPr>
                  <w:spacing w:val="5"/>
                  <w:sz w:val="17"/>
                </w:rPr>
                <w:t xml:space="preserve"> </w:t>
              </w:r>
              <w:r>
                <w:rPr>
                  <w:sz w:val="17"/>
                </w:rPr>
                <w:t>de</w:t>
              </w:r>
              <w:r>
                <w:rPr>
                  <w:spacing w:val="5"/>
                  <w:sz w:val="17"/>
                </w:rPr>
                <w:t xml:space="preserve"> </w:t>
              </w:r>
              <w:r>
                <w:rPr>
                  <w:sz w:val="17"/>
                </w:rPr>
                <w:t>las</w:t>
              </w:r>
              <w:r>
                <w:rPr>
                  <w:spacing w:val="4"/>
                  <w:sz w:val="17"/>
                </w:rPr>
                <w:t xml:space="preserve"> </w:t>
              </w:r>
              <w:r>
                <w:rPr>
                  <w:sz w:val="17"/>
                </w:rPr>
                <w:t>Administraciones</w:t>
              </w:r>
              <w:r>
                <w:rPr>
                  <w:spacing w:val="5"/>
                  <w:sz w:val="17"/>
                </w:rPr>
                <w:t xml:space="preserve"> </w:t>
              </w:r>
              <w:r>
                <w:rPr>
                  <w:sz w:val="17"/>
                </w:rPr>
                <w:t>Públicas</w:t>
              </w:r>
              <w:r>
                <w:rPr>
                  <w:spacing w:val="-21"/>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ind w:left="98"/>
              <w:jc w:val="center"/>
              <w:rPr>
                <w:sz w:val="17"/>
              </w:rPr>
            </w:pPr>
            <w:hyperlink w:anchor="_bookmark45" w:history="1">
              <w:r>
                <w:rPr>
                  <w:spacing w:val="-5"/>
                  <w:sz w:val="17"/>
                </w:rPr>
                <w:t>99</w:t>
              </w:r>
            </w:hyperlink>
          </w:p>
        </w:tc>
      </w:tr>
      <w:tr w:rsidR="0092635B">
        <w:trPr>
          <w:trHeight w:val="320"/>
        </w:trPr>
        <w:tc>
          <w:tcPr>
            <w:tcW w:w="9117" w:type="dxa"/>
          </w:tcPr>
          <w:p w:rsidR="0092635B" w:rsidRDefault="00000000">
            <w:pPr>
              <w:pStyle w:val="TableParagraph"/>
              <w:spacing w:before="118" w:line="182" w:lineRule="exact"/>
              <w:ind w:right="148"/>
              <w:jc w:val="right"/>
              <w:rPr>
                <w:sz w:val="17"/>
              </w:rPr>
            </w:pPr>
            <w:hyperlink w:anchor="_bookmark46" w:history="1">
              <w:r>
                <w:rPr>
                  <w:sz w:val="17"/>
                </w:rPr>
                <w:t>Subsección</w:t>
              </w:r>
              <w:r>
                <w:rPr>
                  <w:spacing w:val="2"/>
                  <w:sz w:val="17"/>
                </w:rPr>
                <w:t xml:space="preserve"> </w:t>
              </w:r>
              <w:r>
                <w:rPr>
                  <w:sz w:val="17"/>
                </w:rPr>
                <w:t>1.ª</w:t>
              </w:r>
              <w:r>
                <w:rPr>
                  <w:spacing w:val="3"/>
                  <w:sz w:val="17"/>
                </w:rPr>
                <w:t xml:space="preserve"> </w:t>
              </w:r>
              <w:r>
                <w:rPr>
                  <w:sz w:val="17"/>
                </w:rPr>
                <w:t>Normas</w:t>
              </w:r>
              <w:r>
                <w:rPr>
                  <w:spacing w:val="2"/>
                  <w:sz w:val="17"/>
                </w:rPr>
                <w:t xml:space="preserve"> </w:t>
              </w:r>
              <w:r>
                <w:rPr>
                  <w:sz w:val="17"/>
                </w:rPr>
                <w:t>generales</w:t>
              </w:r>
              <w:r>
                <w:rPr>
                  <w:spacing w:val="28"/>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2635B" w:rsidRDefault="00000000">
            <w:pPr>
              <w:pStyle w:val="TableParagraph"/>
              <w:spacing w:before="123" w:line="177" w:lineRule="exact"/>
              <w:ind w:left="98"/>
              <w:jc w:val="center"/>
              <w:rPr>
                <w:sz w:val="17"/>
              </w:rPr>
            </w:pPr>
            <w:hyperlink w:anchor="_bookmark46" w:history="1">
              <w:r>
                <w:rPr>
                  <w:spacing w:val="-5"/>
                  <w:sz w:val="17"/>
                </w:rPr>
                <w:t>99</w:t>
              </w:r>
            </w:hyperlink>
          </w:p>
        </w:tc>
      </w:tr>
    </w:tbl>
    <w:p w:rsidR="0092635B" w:rsidRDefault="0092635B">
      <w:pPr>
        <w:pStyle w:val="TableParagraph"/>
        <w:spacing w:line="177" w:lineRule="exact"/>
        <w:jc w:val="center"/>
        <w:rPr>
          <w:sz w:val="17"/>
        </w:rPr>
        <w:sectPr w:rsidR="0092635B">
          <w:headerReference w:type="default" r:id="rId9"/>
          <w:footerReference w:type="default" r:id="rId10"/>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47"/>
        <w:ind w:left="0" w:firstLine="0"/>
        <w:jc w:val="left"/>
      </w:pPr>
    </w:p>
    <w:tbl>
      <w:tblPr>
        <w:tblStyle w:val="TableNormal"/>
        <w:tblW w:w="0" w:type="auto"/>
        <w:tblInd w:w="1093" w:type="dxa"/>
        <w:tblLayout w:type="fixed"/>
        <w:tblLook w:val="01E0" w:firstRow="1" w:lastRow="1" w:firstColumn="1" w:lastColumn="1" w:noHBand="0" w:noVBand="0"/>
      </w:tblPr>
      <w:tblGrid>
        <w:gridCol w:w="8868"/>
        <w:gridCol w:w="443"/>
      </w:tblGrid>
      <w:tr w:rsidR="0092635B">
        <w:trPr>
          <w:trHeight w:val="320"/>
        </w:trPr>
        <w:tc>
          <w:tcPr>
            <w:tcW w:w="8868" w:type="dxa"/>
          </w:tcPr>
          <w:p w:rsidR="0092635B" w:rsidRDefault="00000000">
            <w:pPr>
              <w:pStyle w:val="TableParagraph"/>
              <w:spacing w:line="194" w:lineRule="exact"/>
              <w:ind w:right="99"/>
              <w:jc w:val="right"/>
              <w:rPr>
                <w:sz w:val="17"/>
              </w:rPr>
            </w:pPr>
            <w:hyperlink w:anchor="_bookmark47" w:history="1">
              <w:r>
                <w:rPr>
                  <w:sz w:val="17"/>
                </w:rPr>
                <w:t>Subsección</w:t>
              </w:r>
              <w:r>
                <w:rPr>
                  <w:spacing w:val="2"/>
                  <w:sz w:val="17"/>
                </w:rPr>
                <w:t xml:space="preserve"> </w:t>
              </w:r>
              <w:r>
                <w:rPr>
                  <w:sz w:val="17"/>
                </w:rPr>
                <w:t>2.ª</w:t>
              </w:r>
              <w:r>
                <w:rPr>
                  <w:spacing w:val="2"/>
                  <w:sz w:val="17"/>
                </w:rPr>
                <w:t xml:space="preserve"> </w:t>
              </w:r>
              <w:r>
                <w:rPr>
                  <w:sz w:val="17"/>
                </w:rPr>
                <w:t>Procedimiento</w:t>
              </w:r>
              <w:r>
                <w:rPr>
                  <w:spacing w:val="3"/>
                  <w:sz w:val="17"/>
                </w:rPr>
                <w:t xml:space="preserve"> </w:t>
              </w:r>
              <w:r>
                <w:rPr>
                  <w:sz w:val="17"/>
                </w:rPr>
                <w:t>abierto</w:t>
              </w:r>
              <w:r>
                <w:rPr>
                  <w:spacing w:val="-5"/>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4"/>
              <w:ind w:left="63"/>
              <w:jc w:val="center"/>
              <w:rPr>
                <w:sz w:val="17"/>
              </w:rPr>
            </w:pPr>
            <w:hyperlink w:anchor="_bookmark47" w:history="1">
              <w:r>
                <w:rPr>
                  <w:spacing w:val="-5"/>
                  <w:sz w:val="17"/>
                </w:rPr>
                <w:t>119</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48" w:history="1">
              <w:r>
                <w:rPr>
                  <w:sz w:val="17"/>
                </w:rPr>
                <w:t>Subsección</w:t>
              </w:r>
              <w:r>
                <w:rPr>
                  <w:spacing w:val="2"/>
                  <w:sz w:val="17"/>
                </w:rPr>
                <w:t xml:space="preserve"> </w:t>
              </w:r>
              <w:r>
                <w:rPr>
                  <w:sz w:val="17"/>
                </w:rPr>
                <w:t>3.ª</w:t>
              </w:r>
              <w:r>
                <w:rPr>
                  <w:spacing w:val="2"/>
                  <w:sz w:val="17"/>
                </w:rPr>
                <w:t xml:space="preserve"> </w:t>
              </w:r>
              <w:r>
                <w:rPr>
                  <w:sz w:val="17"/>
                </w:rPr>
                <w:t>Procedimiento</w:t>
              </w:r>
              <w:r>
                <w:rPr>
                  <w:spacing w:val="3"/>
                  <w:sz w:val="17"/>
                </w:rPr>
                <w:t xml:space="preserve"> </w:t>
              </w:r>
              <w:r>
                <w:rPr>
                  <w:sz w:val="17"/>
                </w:rPr>
                <w:t>restringido</w:t>
              </w:r>
              <w:r>
                <w:rPr>
                  <w:spacing w:val="74"/>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48" w:history="1">
              <w:r>
                <w:rPr>
                  <w:spacing w:val="-5"/>
                  <w:sz w:val="17"/>
                </w:rPr>
                <w:t>123</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49" w:history="1">
              <w:r>
                <w:rPr>
                  <w:sz w:val="17"/>
                </w:rPr>
                <w:t>Subsección</w:t>
              </w:r>
              <w:r>
                <w:rPr>
                  <w:spacing w:val="3"/>
                  <w:sz w:val="17"/>
                </w:rPr>
                <w:t xml:space="preserve"> </w:t>
              </w:r>
              <w:r>
                <w:rPr>
                  <w:sz w:val="17"/>
                </w:rPr>
                <w:t>4.ª</w:t>
              </w:r>
              <w:r>
                <w:rPr>
                  <w:spacing w:val="2"/>
                  <w:sz w:val="17"/>
                </w:rPr>
                <w:t xml:space="preserve"> </w:t>
              </w:r>
              <w:r>
                <w:rPr>
                  <w:sz w:val="17"/>
                </w:rPr>
                <w:t>Procedimientos</w:t>
              </w:r>
              <w:r>
                <w:rPr>
                  <w:spacing w:val="3"/>
                  <w:sz w:val="17"/>
                </w:rPr>
                <w:t xml:space="preserve"> </w:t>
              </w:r>
              <w:r>
                <w:rPr>
                  <w:sz w:val="17"/>
                </w:rPr>
                <w:t>con</w:t>
              </w:r>
              <w:r>
                <w:rPr>
                  <w:spacing w:val="3"/>
                  <w:sz w:val="17"/>
                </w:rPr>
                <w:t xml:space="preserve"> </w:t>
              </w:r>
              <w:r>
                <w:rPr>
                  <w:sz w:val="17"/>
                </w:rPr>
                <w:t>negociación</w:t>
              </w:r>
              <w:r>
                <w:rPr>
                  <w:spacing w:val="1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49" w:history="1">
              <w:r>
                <w:rPr>
                  <w:spacing w:val="-5"/>
                  <w:sz w:val="17"/>
                </w:rPr>
                <w:t>125</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0" w:history="1">
              <w:r>
                <w:rPr>
                  <w:sz w:val="17"/>
                </w:rPr>
                <w:t>Subsección</w:t>
              </w:r>
              <w:r>
                <w:rPr>
                  <w:spacing w:val="2"/>
                  <w:sz w:val="17"/>
                </w:rPr>
                <w:t xml:space="preserve"> </w:t>
              </w:r>
              <w:r>
                <w:rPr>
                  <w:sz w:val="17"/>
                </w:rPr>
                <w:t>5.ª</w:t>
              </w:r>
              <w:r>
                <w:rPr>
                  <w:spacing w:val="2"/>
                  <w:sz w:val="17"/>
                </w:rPr>
                <w:t xml:space="preserve"> </w:t>
              </w:r>
              <w:r>
                <w:rPr>
                  <w:sz w:val="17"/>
                </w:rPr>
                <w:t>Diálogo</w:t>
              </w:r>
              <w:r>
                <w:rPr>
                  <w:spacing w:val="3"/>
                  <w:sz w:val="17"/>
                </w:rPr>
                <w:t xml:space="preserve"> </w:t>
              </w:r>
              <w:r>
                <w:rPr>
                  <w:sz w:val="17"/>
                </w:rPr>
                <w:t>competitivo</w:t>
              </w:r>
              <w:r>
                <w:rPr>
                  <w:spacing w:val="50"/>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0" w:history="1">
              <w:r>
                <w:rPr>
                  <w:spacing w:val="-5"/>
                  <w:sz w:val="17"/>
                </w:rPr>
                <w:t>129</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1" w:history="1">
              <w:r>
                <w:rPr>
                  <w:sz w:val="17"/>
                </w:rPr>
                <w:t>Subsección</w:t>
              </w:r>
              <w:r>
                <w:rPr>
                  <w:spacing w:val="3"/>
                  <w:sz w:val="17"/>
                </w:rPr>
                <w:t xml:space="preserve"> </w:t>
              </w:r>
              <w:r>
                <w:rPr>
                  <w:sz w:val="17"/>
                </w:rPr>
                <w:t>6.ª</w:t>
              </w:r>
              <w:r>
                <w:rPr>
                  <w:spacing w:val="3"/>
                  <w:sz w:val="17"/>
                </w:rPr>
                <w:t xml:space="preserve"> </w:t>
              </w:r>
              <w:r>
                <w:rPr>
                  <w:sz w:val="17"/>
                </w:rPr>
                <w:t>Procedimiento</w:t>
              </w:r>
              <w:r>
                <w:rPr>
                  <w:spacing w:val="3"/>
                  <w:sz w:val="17"/>
                </w:rPr>
                <w:t xml:space="preserve"> </w:t>
              </w:r>
              <w:r>
                <w:rPr>
                  <w:sz w:val="17"/>
                </w:rPr>
                <w:t>de</w:t>
              </w:r>
              <w:r>
                <w:rPr>
                  <w:spacing w:val="3"/>
                  <w:sz w:val="17"/>
                </w:rPr>
                <w:t xml:space="preserve"> </w:t>
              </w:r>
              <w:r>
                <w:rPr>
                  <w:sz w:val="17"/>
                </w:rPr>
                <w:t>asociación</w:t>
              </w:r>
              <w:r>
                <w:rPr>
                  <w:spacing w:val="3"/>
                  <w:sz w:val="17"/>
                </w:rPr>
                <w:t xml:space="preserve"> </w:t>
              </w:r>
              <w:r>
                <w:rPr>
                  <w:sz w:val="17"/>
                </w:rPr>
                <w:t>para</w:t>
              </w:r>
              <w:r>
                <w:rPr>
                  <w:spacing w:val="3"/>
                  <w:sz w:val="17"/>
                </w:rPr>
                <w:t xml:space="preserve"> </w:t>
              </w:r>
              <w:r>
                <w:rPr>
                  <w:sz w:val="17"/>
                </w:rPr>
                <w:t>la</w:t>
              </w:r>
              <w:r>
                <w:rPr>
                  <w:spacing w:val="3"/>
                  <w:sz w:val="17"/>
                </w:rPr>
                <w:t xml:space="preserve"> </w:t>
              </w:r>
              <w:r>
                <w:rPr>
                  <w:sz w:val="17"/>
                </w:rPr>
                <w:t>innovación</w:t>
              </w:r>
              <w:r>
                <w:rPr>
                  <w:spacing w:val="3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1" w:history="1">
              <w:r>
                <w:rPr>
                  <w:spacing w:val="-5"/>
                  <w:sz w:val="17"/>
                </w:rPr>
                <w:t>131</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2" w:history="1">
              <w:r>
                <w:rPr>
                  <w:sz w:val="17"/>
                </w:rPr>
                <w:t>Subsección</w:t>
              </w:r>
              <w:r>
                <w:rPr>
                  <w:spacing w:val="4"/>
                  <w:sz w:val="17"/>
                </w:rPr>
                <w:t xml:space="preserve"> </w:t>
              </w:r>
              <w:r>
                <w:rPr>
                  <w:sz w:val="17"/>
                </w:rPr>
                <w:t>7.ª</w:t>
              </w:r>
              <w:r>
                <w:rPr>
                  <w:spacing w:val="5"/>
                  <w:sz w:val="17"/>
                </w:rPr>
                <w:t xml:space="preserve"> </w:t>
              </w:r>
              <w:r>
                <w:rPr>
                  <w:sz w:val="17"/>
                </w:rPr>
                <w:t>Normas</w:t>
              </w:r>
              <w:r>
                <w:rPr>
                  <w:spacing w:val="5"/>
                  <w:sz w:val="17"/>
                </w:rPr>
                <w:t xml:space="preserve"> </w:t>
              </w:r>
              <w:r>
                <w:rPr>
                  <w:sz w:val="17"/>
                </w:rPr>
                <w:t>especiales</w:t>
              </w:r>
              <w:r>
                <w:rPr>
                  <w:spacing w:val="5"/>
                  <w:sz w:val="17"/>
                </w:rPr>
                <w:t xml:space="preserve"> </w:t>
              </w:r>
              <w:r>
                <w:rPr>
                  <w:sz w:val="17"/>
                </w:rPr>
                <w:t>aplicables</w:t>
              </w:r>
              <w:r>
                <w:rPr>
                  <w:spacing w:val="5"/>
                  <w:sz w:val="17"/>
                </w:rPr>
                <w:t xml:space="preserve"> </w:t>
              </w:r>
              <w:r>
                <w:rPr>
                  <w:sz w:val="17"/>
                </w:rPr>
                <w:t>a</w:t>
              </w:r>
              <w:r>
                <w:rPr>
                  <w:spacing w:val="5"/>
                  <w:sz w:val="17"/>
                </w:rPr>
                <w:t xml:space="preserve"> </w:t>
              </w:r>
              <w:r>
                <w:rPr>
                  <w:sz w:val="17"/>
                </w:rPr>
                <w:t>los</w:t>
              </w:r>
              <w:r>
                <w:rPr>
                  <w:spacing w:val="5"/>
                  <w:sz w:val="17"/>
                </w:rPr>
                <w:t xml:space="preserve"> </w:t>
              </w:r>
              <w:r>
                <w:rPr>
                  <w:sz w:val="17"/>
                </w:rPr>
                <w:t>concursos</w:t>
              </w:r>
              <w:r>
                <w:rPr>
                  <w:spacing w:val="5"/>
                  <w:sz w:val="17"/>
                </w:rPr>
                <w:t xml:space="preserve"> </w:t>
              </w:r>
              <w:r>
                <w:rPr>
                  <w:sz w:val="17"/>
                </w:rPr>
                <w:t>de</w:t>
              </w:r>
              <w:r>
                <w:rPr>
                  <w:spacing w:val="5"/>
                  <w:sz w:val="17"/>
                </w:rPr>
                <w:t xml:space="preserve"> </w:t>
              </w:r>
              <w:r>
                <w:rPr>
                  <w:sz w:val="17"/>
                </w:rPr>
                <w:t>proyectos</w:t>
              </w:r>
              <w:r>
                <w:rPr>
                  <w:spacing w:val="7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2" w:history="1">
              <w:r>
                <w:rPr>
                  <w:spacing w:val="-5"/>
                  <w:sz w:val="17"/>
                </w:rPr>
                <w:t>133</w:t>
              </w:r>
            </w:hyperlink>
          </w:p>
        </w:tc>
      </w:tr>
      <w:tr w:rsidR="0092635B">
        <w:trPr>
          <w:trHeight w:val="440"/>
        </w:trPr>
        <w:tc>
          <w:tcPr>
            <w:tcW w:w="8868" w:type="dxa"/>
          </w:tcPr>
          <w:p w:rsidR="0092635B" w:rsidRDefault="00000000">
            <w:pPr>
              <w:pStyle w:val="TableParagraph"/>
              <w:spacing w:before="118"/>
              <w:ind w:right="100"/>
              <w:jc w:val="right"/>
              <w:rPr>
                <w:sz w:val="17"/>
              </w:rPr>
            </w:pPr>
            <w:hyperlink w:anchor="_bookmark53" w:history="1">
              <w:r>
                <w:rPr>
                  <w:sz w:val="17"/>
                </w:rPr>
                <w:t>Sección</w:t>
              </w:r>
              <w:r>
                <w:rPr>
                  <w:spacing w:val="4"/>
                  <w:sz w:val="17"/>
                </w:rPr>
                <w:t xml:space="preserve"> </w:t>
              </w:r>
              <w:r>
                <w:rPr>
                  <w:sz w:val="17"/>
                </w:rPr>
                <w:t>3.ª</w:t>
              </w:r>
              <w:r>
                <w:rPr>
                  <w:spacing w:val="5"/>
                  <w:sz w:val="17"/>
                </w:rPr>
                <w:t xml:space="preserve"> </w:t>
              </w:r>
              <w:r>
                <w:rPr>
                  <w:sz w:val="17"/>
                </w:rPr>
                <w:t>De</w:t>
              </w:r>
              <w:r>
                <w:rPr>
                  <w:spacing w:val="5"/>
                  <w:sz w:val="17"/>
                </w:rPr>
                <w:t xml:space="preserve"> </w:t>
              </w:r>
              <w:r>
                <w:rPr>
                  <w:sz w:val="17"/>
                </w:rPr>
                <w:t>los</w:t>
              </w:r>
              <w:r>
                <w:rPr>
                  <w:spacing w:val="5"/>
                  <w:sz w:val="17"/>
                </w:rPr>
                <w:t xml:space="preserve"> </w:t>
              </w:r>
              <w:r>
                <w:rPr>
                  <w:sz w:val="17"/>
                </w:rPr>
                <w:t>efectos,</w:t>
              </w:r>
              <w:r>
                <w:rPr>
                  <w:spacing w:val="5"/>
                  <w:sz w:val="17"/>
                </w:rPr>
                <w:t xml:space="preserve"> </w:t>
              </w:r>
              <w:r>
                <w:rPr>
                  <w:sz w:val="17"/>
                </w:rPr>
                <w:t>cumplimiento</w:t>
              </w:r>
              <w:r>
                <w:rPr>
                  <w:spacing w:val="5"/>
                  <w:sz w:val="17"/>
                </w:rPr>
                <w:t xml:space="preserve"> </w:t>
              </w:r>
              <w:r>
                <w:rPr>
                  <w:sz w:val="17"/>
                </w:rPr>
                <w:t>y</w:t>
              </w:r>
              <w:r>
                <w:rPr>
                  <w:spacing w:val="5"/>
                  <w:sz w:val="17"/>
                </w:rPr>
                <w:t xml:space="preserve"> </w:t>
              </w:r>
              <w:r>
                <w:rPr>
                  <w:sz w:val="17"/>
                </w:rPr>
                <w:t>extinción</w:t>
              </w:r>
              <w:r>
                <w:rPr>
                  <w:spacing w:val="5"/>
                  <w:sz w:val="17"/>
                </w:rPr>
                <w:t xml:space="preserve"> </w:t>
              </w:r>
              <w:r>
                <w:rPr>
                  <w:sz w:val="17"/>
                </w:rPr>
                <w:t>de</w:t>
              </w:r>
              <w:r>
                <w:rPr>
                  <w:spacing w:val="5"/>
                  <w:sz w:val="17"/>
                </w:rPr>
                <w:t xml:space="preserve"> </w:t>
              </w:r>
              <w:r>
                <w:rPr>
                  <w:sz w:val="17"/>
                </w:rPr>
                <w:t>los</w:t>
              </w:r>
              <w:r>
                <w:rPr>
                  <w:spacing w:val="5"/>
                  <w:sz w:val="17"/>
                </w:rPr>
                <w:t xml:space="preserve"> </w:t>
              </w:r>
              <w:r>
                <w:rPr>
                  <w:sz w:val="17"/>
                </w:rPr>
                <w:t>contratos</w:t>
              </w:r>
              <w:r>
                <w:rPr>
                  <w:spacing w:val="4"/>
                  <w:sz w:val="17"/>
                </w:rPr>
                <w:t xml:space="preserve"> </w:t>
              </w:r>
              <w:r>
                <w:rPr>
                  <w:sz w:val="17"/>
                </w:rPr>
                <w:t>administrativos</w:t>
              </w:r>
              <w:r>
                <w:rPr>
                  <w:spacing w:val="5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3" w:history="1">
              <w:r>
                <w:rPr>
                  <w:spacing w:val="-5"/>
                  <w:sz w:val="17"/>
                </w:rPr>
                <w:t>136</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4" w:history="1">
              <w:r>
                <w:rPr>
                  <w:sz w:val="17"/>
                </w:rPr>
                <w:t>Subsección</w:t>
              </w:r>
              <w:r>
                <w:rPr>
                  <w:spacing w:val="2"/>
                  <w:sz w:val="17"/>
                </w:rPr>
                <w:t xml:space="preserve"> </w:t>
              </w:r>
              <w:r>
                <w:rPr>
                  <w:sz w:val="17"/>
                </w:rPr>
                <w:t>1.ª</w:t>
              </w:r>
              <w:r>
                <w:rPr>
                  <w:spacing w:val="3"/>
                  <w:sz w:val="17"/>
                </w:rPr>
                <w:t xml:space="preserve"> </w:t>
              </w:r>
              <w:r>
                <w:rPr>
                  <w:sz w:val="17"/>
                </w:rPr>
                <w:t>Efectos</w:t>
              </w:r>
              <w:r>
                <w:rPr>
                  <w:spacing w:val="3"/>
                  <w:sz w:val="17"/>
                </w:rPr>
                <w:t xml:space="preserve"> </w:t>
              </w:r>
              <w:r>
                <w:rPr>
                  <w:sz w:val="17"/>
                </w:rPr>
                <w:t>de</w:t>
              </w:r>
              <w:r>
                <w:rPr>
                  <w:spacing w:val="2"/>
                  <w:sz w:val="17"/>
                </w:rPr>
                <w:t xml:space="preserve"> </w:t>
              </w:r>
              <w:r>
                <w:rPr>
                  <w:sz w:val="17"/>
                </w:rPr>
                <w:t>los</w:t>
              </w:r>
              <w:r>
                <w:rPr>
                  <w:spacing w:val="3"/>
                  <w:sz w:val="17"/>
                </w:rPr>
                <w:t xml:space="preserve"> </w:t>
              </w:r>
              <w:r>
                <w:rPr>
                  <w:sz w:val="17"/>
                </w:rPr>
                <w:t>contratos</w:t>
              </w:r>
              <w:r>
                <w:rPr>
                  <w:spacing w:val="7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4" w:history="1">
              <w:r>
                <w:rPr>
                  <w:spacing w:val="-5"/>
                  <w:sz w:val="17"/>
                </w:rPr>
                <w:t>136</w:t>
              </w:r>
            </w:hyperlink>
          </w:p>
        </w:tc>
      </w:tr>
      <w:tr w:rsidR="0092635B">
        <w:trPr>
          <w:trHeight w:val="440"/>
        </w:trPr>
        <w:tc>
          <w:tcPr>
            <w:tcW w:w="8868" w:type="dxa"/>
          </w:tcPr>
          <w:p w:rsidR="0092635B" w:rsidRDefault="00000000">
            <w:pPr>
              <w:pStyle w:val="TableParagraph"/>
              <w:spacing w:before="118"/>
              <w:ind w:right="100"/>
              <w:jc w:val="right"/>
              <w:rPr>
                <w:sz w:val="17"/>
              </w:rPr>
            </w:pPr>
            <w:hyperlink w:anchor="_bookmark55" w:history="1">
              <w:r>
                <w:rPr>
                  <w:sz w:val="17"/>
                </w:rPr>
                <w:t>Subsección</w:t>
              </w:r>
              <w:r>
                <w:rPr>
                  <w:spacing w:val="6"/>
                  <w:sz w:val="17"/>
                </w:rPr>
                <w:t xml:space="preserve"> </w:t>
              </w:r>
              <w:r>
                <w:rPr>
                  <w:sz w:val="17"/>
                </w:rPr>
                <w:t>2.ª</w:t>
              </w:r>
              <w:r>
                <w:rPr>
                  <w:spacing w:val="6"/>
                  <w:sz w:val="17"/>
                </w:rPr>
                <w:t xml:space="preserve"> </w:t>
              </w:r>
              <w:r>
                <w:rPr>
                  <w:sz w:val="17"/>
                </w:rPr>
                <w:t>Prerrogativas</w:t>
              </w:r>
              <w:r>
                <w:rPr>
                  <w:spacing w:val="7"/>
                  <w:sz w:val="17"/>
                </w:rPr>
                <w:t xml:space="preserve"> </w:t>
              </w:r>
              <w:r>
                <w:rPr>
                  <w:sz w:val="17"/>
                </w:rPr>
                <w:t>de</w:t>
              </w:r>
              <w:r>
                <w:rPr>
                  <w:spacing w:val="6"/>
                  <w:sz w:val="17"/>
                </w:rPr>
                <w:t xml:space="preserve"> </w:t>
              </w:r>
              <w:r>
                <w:rPr>
                  <w:sz w:val="17"/>
                </w:rPr>
                <w:t>la</w:t>
              </w:r>
              <w:r>
                <w:rPr>
                  <w:spacing w:val="7"/>
                  <w:sz w:val="17"/>
                </w:rPr>
                <w:t xml:space="preserve"> </w:t>
              </w:r>
              <w:r>
                <w:rPr>
                  <w:sz w:val="17"/>
                </w:rPr>
                <w:t>Administración</w:t>
              </w:r>
              <w:r>
                <w:rPr>
                  <w:spacing w:val="6"/>
                  <w:sz w:val="17"/>
                </w:rPr>
                <w:t xml:space="preserve"> </w:t>
              </w:r>
              <w:r>
                <w:rPr>
                  <w:sz w:val="17"/>
                </w:rPr>
                <w:t>Pública</w:t>
              </w:r>
              <w:r>
                <w:rPr>
                  <w:spacing w:val="7"/>
                  <w:sz w:val="17"/>
                </w:rPr>
                <w:t xml:space="preserve"> </w:t>
              </w:r>
              <w:r>
                <w:rPr>
                  <w:sz w:val="17"/>
                </w:rPr>
                <w:t>en</w:t>
              </w:r>
              <w:r>
                <w:rPr>
                  <w:spacing w:val="6"/>
                  <w:sz w:val="17"/>
                </w:rPr>
                <w:t xml:space="preserve"> </w:t>
              </w:r>
              <w:r>
                <w:rPr>
                  <w:sz w:val="17"/>
                </w:rPr>
                <w:t>los</w:t>
              </w:r>
              <w:r>
                <w:rPr>
                  <w:spacing w:val="7"/>
                  <w:sz w:val="17"/>
                </w:rPr>
                <w:t xml:space="preserve"> </w:t>
              </w:r>
              <w:r>
                <w:rPr>
                  <w:sz w:val="17"/>
                </w:rPr>
                <w:t>contratos</w:t>
              </w:r>
              <w:r>
                <w:rPr>
                  <w:spacing w:val="6"/>
                  <w:sz w:val="17"/>
                </w:rPr>
                <w:t xml:space="preserve"> </w:t>
              </w:r>
              <w:r>
                <w:rPr>
                  <w:sz w:val="17"/>
                </w:rPr>
                <w:t>administrativos</w:t>
              </w:r>
              <w:r>
                <w:rPr>
                  <w:spacing w:val="-8"/>
                  <w:sz w:val="17"/>
                </w:rPr>
                <w:t xml:space="preserve"> </w:t>
              </w:r>
              <w:r>
                <w:rPr>
                  <w:spacing w:val="24"/>
                  <w:sz w:val="17"/>
                </w:rPr>
                <w:t>.</w:t>
              </w:r>
              <w:r>
                <w:rPr>
                  <w:spacing w:val="5"/>
                  <w:sz w:val="17"/>
                </w:rPr>
                <w:t xml:space="preserve"> </w:t>
              </w:r>
              <w:r>
                <w:rPr>
                  <w:spacing w:val="24"/>
                  <w:sz w:val="17"/>
                </w:rPr>
                <w:t>.</w:t>
              </w:r>
              <w:r>
                <w:rPr>
                  <w:spacing w:val="6"/>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6"/>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6"/>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5" w:history="1">
              <w:r>
                <w:rPr>
                  <w:spacing w:val="-5"/>
                  <w:sz w:val="17"/>
                </w:rPr>
                <w:t>136</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6" w:history="1">
              <w:r>
                <w:rPr>
                  <w:sz w:val="17"/>
                </w:rPr>
                <w:t>Subsección</w:t>
              </w:r>
              <w:r>
                <w:rPr>
                  <w:spacing w:val="2"/>
                  <w:sz w:val="17"/>
                </w:rPr>
                <w:t xml:space="preserve"> </w:t>
              </w:r>
              <w:r>
                <w:rPr>
                  <w:sz w:val="17"/>
                </w:rPr>
                <w:t>3.ª</w:t>
              </w:r>
              <w:r>
                <w:rPr>
                  <w:spacing w:val="3"/>
                  <w:sz w:val="17"/>
                </w:rPr>
                <w:t xml:space="preserve"> </w:t>
              </w:r>
              <w:r>
                <w:rPr>
                  <w:sz w:val="17"/>
                </w:rPr>
                <w:t>Ejecución</w:t>
              </w:r>
              <w:r>
                <w:rPr>
                  <w:spacing w:val="3"/>
                  <w:sz w:val="17"/>
                </w:rPr>
                <w:t xml:space="preserve"> </w:t>
              </w:r>
              <w:r>
                <w:rPr>
                  <w:sz w:val="17"/>
                </w:rPr>
                <w:t>de</w:t>
              </w:r>
              <w:r>
                <w:rPr>
                  <w:spacing w:val="2"/>
                  <w:sz w:val="17"/>
                </w:rPr>
                <w:t xml:space="preserve"> </w:t>
              </w:r>
              <w:r>
                <w:rPr>
                  <w:sz w:val="17"/>
                </w:rPr>
                <w:t>los</w:t>
              </w:r>
              <w:r>
                <w:rPr>
                  <w:spacing w:val="3"/>
                  <w:sz w:val="17"/>
                </w:rPr>
                <w:t xml:space="preserve"> </w:t>
              </w:r>
              <w:r>
                <w:rPr>
                  <w:sz w:val="17"/>
                </w:rPr>
                <w:t>contratos</w:t>
              </w:r>
              <w:r>
                <w:rPr>
                  <w:spacing w:val="15"/>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6" w:history="1">
              <w:r>
                <w:rPr>
                  <w:spacing w:val="-5"/>
                  <w:sz w:val="17"/>
                </w:rPr>
                <w:t>137</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7" w:history="1">
              <w:r>
                <w:rPr>
                  <w:sz w:val="17"/>
                </w:rPr>
                <w:t>Subsección</w:t>
              </w:r>
              <w:r>
                <w:rPr>
                  <w:spacing w:val="2"/>
                  <w:sz w:val="17"/>
                </w:rPr>
                <w:t xml:space="preserve"> </w:t>
              </w:r>
              <w:r>
                <w:rPr>
                  <w:sz w:val="17"/>
                </w:rPr>
                <w:t>4.ª</w:t>
              </w:r>
              <w:r>
                <w:rPr>
                  <w:spacing w:val="3"/>
                  <w:sz w:val="17"/>
                </w:rPr>
                <w:t xml:space="preserve"> </w:t>
              </w:r>
              <w:r>
                <w:rPr>
                  <w:sz w:val="17"/>
                </w:rPr>
                <w:t>Modificación</w:t>
              </w:r>
              <w:r>
                <w:rPr>
                  <w:spacing w:val="3"/>
                  <w:sz w:val="17"/>
                </w:rPr>
                <w:t xml:space="preserve"> </w:t>
              </w:r>
              <w:r>
                <w:rPr>
                  <w:sz w:val="17"/>
                </w:rPr>
                <w:t>de</w:t>
              </w:r>
              <w:r>
                <w:rPr>
                  <w:spacing w:val="2"/>
                  <w:sz w:val="17"/>
                </w:rPr>
                <w:t xml:space="preserve"> </w:t>
              </w:r>
              <w:r>
                <w:rPr>
                  <w:sz w:val="17"/>
                </w:rPr>
                <w:t>los</w:t>
              </w:r>
              <w:r>
                <w:rPr>
                  <w:spacing w:val="3"/>
                  <w:sz w:val="17"/>
                </w:rPr>
                <w:t xml:space="preserve"> </w:t>
              </w:r>
              <w:r>
                <w:rPr>
                  <w:sz w:val="17"/>
                </w:rPr>
                <w:t>contratos</w:t>
              </w:r>
              <w:r>
                <w:rPr>
                  <w:spacing w:val="4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7" w:history="1">
              <w:r>
                <w:rPr>
                  <w:spacing w:val="-5"/>
                  <w:sz w:val="17"/>
                </w:rPr>
                <w:t>142</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8" w:history="1">
              <w:r>
                <w:rPr>
                  <w:sz w:val="17"/>
                </w:rPr>
                <w:t>Subsección</w:t>
              </w:r>
              <w:r>
                <w:rPr>
                  <w:spacing w:val="2"/>
                  <w:sz w:val="17"/>
                </w:rPr>
                <w:t xml:space="preserve"> </w:t>
              </w:r>
              <w:r>
                <w:rPr>
                  <w:sz w:val="17"/>
                </w:rPr>
                <w:t>5.ª</w:t>
              </w:r>
              <w:r>
                <w:rPr>
                  <w:spacing w:val="3"/>
                  <w:sz w:val="17"/>
                </w:rPr>
                <w:t xml:space="preserve"> </w:t>
              </w:r>
              <w:r>
                <w:rPr>
                  <w:sz w:val="17"/>
                </w:rPr>
                <w:t>Suspensión</w:t>
              </w:r>
              <w:r>
                <w:rPr>
                  <w:spacing w:val="3"/>
                  <w:sz w:val="17"/>
                </w:rPr>
                <w:t xml:space="preserve"> </w:t>
              </w:r>
              <w:r>
                <w:rPr>
                  <w:sz w:val="17"/>
                </w:rPr>
                <w:t>y</w:t>
              </w:r>
              <w:r>
                <w:rPr>
                  <w:spacing w:val="3"/>
                  <w:sz w:val="17"/>
                </w:rPr>
                <w:t xml:space="preserve"> </w:t>
              </w:r>
              <w:r>
                <w:rPr>
                  <w:sz w:val="17"/>
                </w:rPr>
                <w:t>extinción</w:t>
              </w:r>
              <w:r>
                <w:rPr>
                  <w:spacing w:val="3"/>
                  <w:sz w:val="17"/>
                </w:rPr>
                <w:t xml:space="preserve"> </w:t>
              </w:r>
              <w:r>
                <w:rPr>
                  <w:sz w:val="17"/>
                </w:rPr>
                <w:t>de</w:t>
              </w:r>
              <w:r>
                <w:rPr>
                  <w:spacing w:val="3"/>
                  <w:sz w:val="17"/>
                </w:rPr>
                <w:t xml:space="preserve"> </w:t>
              </w:r>
              <w:r>
                <w:rPr>
                  <w:sz w:val="17"/>
                </w:rPr>
                <w:t>los</w:t>
              </w:r>
              <w:r>
                <w:rPr>
                  <w:spacing w:val="3"/>
                  <w:sz w:val="17"/>
                </w:rPr>
                <w:t xml:space="preserve"> </w:t>
              </w:r>
              <w:r>
                <w:rPr>
                  <w:sz w:val="17"/>
                </w:rPr>
                <w:t>contratos</w:t>
              </w:r>
              <w:r>
                <w:rPr>
                  <w:spacing w:val="66"/>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8" w:history="1">
              <w:r>
                <w:rPr>
                  <w:spacing w:val="-5"/>
                  <w:sz w:val="17"/>
                </w:rPr>
                <w:t>144</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59" w:history="1">
              <w:r>
                <w:rPr>
                  <w:sz w:val="17"/>
                </w:rPr>
                <w:t>Subsección</w:t>
              </w:r>
              <w:r>
                <w:rPr>
                  <w:spacing w:val="3"/>
                  <w:sz w:val="17"/>
                </w:rPr>
                <w:t xml:space="preserve"> </w:t>
              </w:r>
              <w:r>
                <w:rPr>
                  <w:sz w:val="17"/>
                </w:rPr>
                <w:t>6.ª</w:t>
              </w:r>
              <w:r>
                <w:rPr>
                  <w:spacing w:val="3"/>
                  <w:sz w:val="17"/>
                </w:rPr>
                <w:t xml:space="preserve"> </w:t>
              </w:r>
              <w:r>
                <w:rPr>
                  <w:sz w:val="17"/>
                </w:rPr>
                <w:t>Cesión</w:t>
              </w:r>
              <w:r>
                <w:rPr>
                  <w:spacing w:val="3"/>
                  <w:sz w:val="17"/>
                </w:rPr>
                <w:t xml:space="preserve"> </w:t>
              </w:r>
              <w:r>
                <w:rPr>
                  <w:sz w:val="17"/>
                </w:rPr>
                <w:t>de</w:t>
              </w:r>
              <w:r>
                <w:rPr>
                  <w:spacing w:val="3"/>
                  <w:sz w:val="17"/>
                </w:rPr>
                <w:t xml:space="preserve"> </w:t>
              </w:r>
              <w:r>
                <w:rPr>
                  <w:sz w:val="17"/>
                </w:rPr>
                <w:t>los</w:t>
              </w:r>
              <w:r>
                <w:rPr>
                  <w:spacing w:val="3"/>
                  <w:sz w:val="17"/>
                </w:rPr>
                <w:t xml:space="preserve"> </w:t>
              </w:r>
              <w:r>
                <w:rPr>
                  <w:sz w:val="17"/>
                </w:rPr>
                <w:t>contratos</w:t>
              </w:r>
              <w:r>
                <w:rPr>
                  <w:spacing w:val="3"/>
                  <w:sz w:val="17"/>
                </w:rPr>
                <w:t xml:space="preserve"> </w:t>
              </w:r>
              <w:r>
                <w:rPr>
                  <w:sz w:val="17"/>
                </w:rPr>
                <w:t>y</w:t>
              </w:r>
              <w:r>
                <w:rPr>
                  <w:spacing w:val="3"/>
                  <w:sz w:val="17"/>
                </w:rPr>
                <w:t xml:space="preserve"> </w:t>
              </w:r>
              <w:r>
                <w:rPr>
                  <w:sz w:val="17"/>
                </w:rPr>
                <w:t>subcontratación</w:t>
              </w:r>
              <w:r>
                <w:rPr>
                  <w:spacing w:val="10"/>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59" w:history="1">
              <w:r>
                <w:rPr>
                  <w:spacing w:val="-5"/>
                  <w:sz w:val="17"/>
                </w:rPr>
                <w:t>148</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0" w:history="1">
              <w:r>
                <w:rPr>
                  <w:sz w:val="17"/>
                </w:rPr>
                <w:t>CAPÍTULO</w:t>
              </w:r>
              <w:r>
                <w:rPr>
                  <w:spacing w:val="2"/>
                  <w:sz w:val="17"/>
                </w:rPr>
                <w:t xml:space="preserve"> </w:t>
              </w:r>
              <w:r>
                <w:rPr>
                  <w:sz w:val="17"/>
                </w:rPr>
                <w:t>II.</w:t>
              </w:r>
              <w:r>
                <w:rPr>
                  <w:spacing w:val="3"/>
                  <w:sz w:val="17"/>
                </w:rPr>
                <w:t xml:space="preserve"> </w:t>
              </w:r>
              <w:r>
                <w:rPr>
                  <w:sz w:val="17"/>
                </w:rPr>
                <w:t>Racionalización</w:t>
              </w:r>
              <w:r>
                <w:rPr>
                  <w:spacing w:val="3"/>
                  <w:sz w:val="17"/>
                </w:rPr>
                <w:t xml:space="preserve"> </w:t>
              </w:r>
              <w:r>
                <w:rPr>
                  <w:sz w:val="17"/>
                </w:rPr>
                <w:t>técnica</w:t>
              </w:r>
              <w:r>
                <w:rPr>
                  <w:spacing w:val="3"/>
                  <w:sz w:val="17"/>
                </w:rPr>
                <w:t xml:space="preserve"> </w:t>
              </w:r>
              <w:r>
                <w:rPr>
                  <w:sz w:val="17"/>
                </w:rPr>
                <w:t>de</w:t>
              </w:r>
              <w:r>
                <w:rPr>
                  <w:spacing w:val="3"/>
                  <w:sz w:val="17"/>
                </w:rPr>
                <w:t xml:space="preserve"> </w:t>
              </w:r>
              <w:r>
                <w:rPr>
                  <w:sz w:val="17"/>
                </w:rPr>
                <w:t>la</w:t>
              </w:r>
              <w:r>
                <w:rPr>
                  <w:spacing w:val="3"/>
                  <w:sz w:val="17"/>
                </w:rPr>
                <w:t xml:space="preserve"> </w:t>
              </w:r>
              <w:r>
                <w:rPr>
                  <w:sz w:val="17"/>
                </w:rPr>
                <w:t>contratación</w:t>
              </w:r>
              <w:r>
                <w:rPr>
                  <w:spacing w:val="14"/>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0" w:history="1">
              <w:r>
                <w:rPr>
                  <w:spacing w:val="-5"/>
                  <w:sz w:val="17"/>
                </w:rPr>
                <w:t>152</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1" w:history="1">
              <w:r>
                <w:rPr>
                  <w:sz w:val="17"/>
                </w:rPr>
                <w:t>Sección</w:t>
              </w:r>
              <w:r>
                <w:rPr>
                  <w:spacing w:val="2"/>
                  <w:sz w:val="17"/>
                </w:rPr>
                <w:t xml:space="preserve"> </w:t>
              </w:r>
              <w:r>
                <w:rPr>
                  <w:sz w:val="17"/>
                </w:rPr>
                <w:t>1.ª</w:t>
              </w:r>
              <w:r>
                <w:rPr>
                  <w:spacing w:val="3"/>
                  <w:sz w:val="17"/>
                </w:rPr>
                <w:t xml:space="preserve"> </w:t>
              </w:r>
              <w:r>
                <w:rPr>
                  <w:sz w:val="17"/>
                </w:rPr>
                <w:t>Normas</w:t>
              </w:r>
              <w:r>
                <w:rPr>
                  <w:spacing w:val="2"/>
                  <w:sz w:val="17"/>
                </w:rPr>
                <w:t xml:space="preserve"> </w:t>
              </w:r>
              <w:r>
                <w:rPr>
                  <w:sz w:val="17"/>
                </w:rPr>
                <w:t>generales</w:t>
              </w:r>
              <w:r>
                <w:rPr>
                  <w:spacing w:val="30"/>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1" w:history="1">
              <w:r>
                <w:rPr>
                  <w:spacing w:val="-5"/>
                  <w:sz w:val="17"/>
                </w:rPr>
                <w:t>152</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2" w:history="1">
              <w:r>
                <w:rPr>
                  <w:sz w:val="17"/>
                </w:rPr>
                <w:t>Sección</w:t>
              </w:r>
              <w:r>
                <w:rPr>
                  <w:spacing w:val="2"/>
                  <w:sz w:val="17"/>
                </w:rPr>
                <w:t xml:space="preserve"> </w:t>
              </w:r>
              <w:r>
                <w:rPr>
                  <w:sz w:val="17"/>
                </w:rPr>
                <w:t>2.ª</w:t>
              </w:r>
              <w:r>
                <w:rPr>
                  <w:spacing w:val="2"/>
                  <w:sz w:val="17"/>
                </w:rPr>
                <w:t xml:space="preserve"> </w:t>
              </w:r>
              <w:r>
                <w:rPr>
                  <w:sz w:val="17"/>
                </w:rPr>
                <w:t>Acuerdos</w:t>
              </w:r>
              <w:r>
                <w:rPr>
                  <w:spacing w:val="3"/>
                  <w:sz w:val="17"/>
                </w:rPr>
                <w:t xml:space="preserve"> </w:t>
              </w:r>
              <w:r>
                <w:rPr>
                  <w:sz w:val="17"/>
                </w:rPr>
                <w:t>marco</w:t>
              </w:r>
              <w:r>
                <w:rPr>
                  <w:spacing w:val="66"/>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2" w:history="1">
              <w:r>
                <w:rPr>
                  <w:spacing w:val="-5"/>
                  <w:sz w:val="17"/>
                </w:rPr>
                <w:t>152</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3" w:history="1">
              <w:r>
                <w:rPr>
                  <w:sz w:val="17"/>
                </w:rPr>
                <w:t>Sección</w:t>
              </w:r>
              <w:r>
                <w:rPr>
                  <w:spacing w:val="2"/>
                  <w:sz w:val="17"/>
                </w:rPr>
                <w:t xml:space="preserve"> </w:t>
              </w:r>
              <w:r>
                <w:rPr>
                  <w:sz w:val="17"/>
                </w:rPr>
                <w:t>3.ª</w:t>
              </w:r>
              <w:r>
                <w:rPr>
                  <w:spacing w:val="3"/>
                  <w:sz w:val="17"/>
                </w:rPr>
                <w:t xml:space="preserve"> </w:t>
              </w:r>
              <w:r>
                <w:rPr>
                  <w:sz w:val="17"/>
                </w:rPr>
                <w:t>Sistemas</w:t>
              </w:r>
              <w:r>
                <w:rPr>
                  <w:spacing w:val="3"/>
                  <w:sz w:val="17"/>
                </w:rPr>
                <w:t xml:space="preserve"> </w:t>
              </w:r>
              <w:r>
                <w:rPr>
                  <w:sz w:val="17"/>
                </w:rPr>
                <w:t>dinámicos</w:t>
              </w:r>
              <w:r>
                <w:rPr>
                  <w:spacing w:val="3"/>
                  <w:sz w:val="17"/>
                </w:rPr>
                <w:t xml:space="preserve"> </w:t>
              </w:r>
              <w:r>
                <w:rPr>
                  <w:sz w:val="17"/>
                </w:rPr>
                <w:t>de</w:t>
              </w:r>
              <w:r>
                <w:rPr>
                  <w:spacing w:val="3"/>
                  <w:sz w:val="17"/>
                </w:rPr>
                <w:t xml:space="preserve"> </w:t>
              </w:r>
              <w:r>
                <w:rPr>
                  <w:sz w:val="17"/>
                </w:rPr>
                <w:t>adquisición</w:t>
              </w:r>
              <w:r>
                <w:rPr>
                  <w:spacing w:val="58"/>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3" w:history="1">
              <w:r>
                <w:rPr>
                  <w:spacing w:val="-5"/>
                  <w:sz w:val="17"/>
                </w:rPr>
                <w:t>155</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4" w:history="1">
              <w:r>
                <w:rPr>
                  <w:sz w:val="17"/>
                </w:rPr>
                <w:t>Sección</w:t>
              </w:r>
              <w:r>
                <w:rPr>
                  <w:spacing w:val="2"/>
                  <w:sz w:val="17"/>
                </w:rPr>
                <w:t xml:space="preserve"> </w:t>
              </w:r>
              <w:r>
                <w:rPr>
                  <w:sz w:val="17"/>
                </w:rPr>
                <w:t>4.ª</w:t>
              </w:r>
              <w:r>
                <w:rPr>
                  <w:spacing w:val="3"/>
                  <w:sz w:val="17"/>
                </w:rPr>
                <w:t xml:space="preserve"> </w:t>
              </w:r>
              <w:r>
                <w:rPr>
                  <w:sz w:val="17"/>
                </w:rPr>
                <w:t>Centrales</w:t>
              </w:r>
              <w:r>
                <w:rPr>
                  <w:spacing w:val="2"/>
                  <w:sz w:val="17"/>
                </w:rPr>
                <w:t xml:space="preserve"> </w:t>
              </w:r>
              <w:r>
                <w:rPr>
                  <w:sz w:val="17"/>
                </w:rPr>
                <w:t>de</w:t>
              </w:r>
              <w:r>
                <w:rPr>
                  <w:spacing w:val="3"/>
                  <w:sz w:val="17"/>
                </w:rPr>
                <w:t xml:space="preserve"> </w:t>
              </w:r>
              <w:r>
                <w:rPr>
                  <w:sz w:val="17"/>
                </w:rPr>
                <w:t>contratación</w:t>
              </w:r>
              <w:r>
                <w:rPr>
                  <w:spacing w:val="66"/>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4" w:history="1">
              <w:r>
                <w:rPr>
                  <w:spacing w:val="-5"/>
                  <w:sz w:val="17"/>
                </w:rPr>
                <w:t>157</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5" w:history="1">
              <w:r>
                <w:rPr>
                  <w:sz w:val="17"/>
                </w:rPr>
                <w:t>Subsección</w:t>
              </w:r>
              <w:r>
                <w:rPr>
                  <w:spacing w:val="2"/>
                  <w:sz w:val="17"/>
                </w:rPr>
                <w:t xml:space="preserve"> </w:t>
              </w:r>
              <w:r>
                <w:rPr>
                  <w:sz w:val="17"/>
                </w:rPr>
                <w:t>1.ª</w:t>
              </w:r>
              <w:r>
                <w:rPr>
                  <w:spacing w:val="3"/>
                  <w:sz w:val="17"/>
                </w:rPr>
                <w:t xml:space="preserve"> </w:t>
              </w:r>
              <w:r>
                <w:rPr>
                  <w:sz w:val="17"/>
                </w:rPr>
                <w:t>Normas</w:t>
              </w:r>
              <w:r>
                <w:rPr>
                  <w:spacing w:val="2"/>
                  <w:sz w:val="17"/>
                </w:rPr>
                <w:t xml:space="preserve"> </w:t>
              </w:r>
              <w:r>
                <w:rPr>
                  <w:sz w:val="17"/>
                </w:rPr>
                <w:t>generales</w:t>
              </w:r>
              <w:r>
                <w:rPr>
                  <w:spacing w:val="28"/>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5" w:history="1">
              <w:r>
                <w:rPr>
                  <w:spacing w:val="-5"/>
                  <w:sz w:val="17"/>
                </w:rPr>
                <w:t>157</w:t>
              </w:r>
            </w:hyperlink>
          </w:p>
        </w:tc>
      </w:tr>
      <w:tr w:rsidR="0092635B">
        <w:trPr>
          <w:trHeight w:val="680"/>
        </w:trPr>
        <w:tc>
          <w:tcPr>
            <w:tcW w:w="8868" w:type="dxa"/>
          </w:tcPr>
          <w:p w:rsidR="0092635B" w:rsidRDefault="00000000">
            <w:pPr>
              <w:pStyle w:val="TableParagraph"/>
              <w:spacing w:before="118" w:line="295" w:lineRule="auto"/>
              <w:ind w:left="850" w:hanging="201"/>
              <w:rPr>
                <w:sz w:val="17"/>
              </w:rPr>
            </w:pPr>
            <w:hyperlink w:anchor="_bookmark66" w:history="1">
              <w:r>
                <w:rPr>
                  <w:sz w:val="17"/>
                </w:rPr>
                <w:t>Subsección</w:t>
              </w:r>
              <w:r>
                <w:rPr>
                  <w:spacing w:val="80"/>
                  <w:sz w:val="17"/>
                </w:rPr>
                <w:t xml:space="preserve"> </w:t>
              </w:r>
              <w:r>
                <w:rPr>
                  <w:sz w:val="17"/>
                </w:rPr>
                <w:t>2.ª</w:t>
              </w:r>
              <w:r>
                <w:rPr>
                  <w:spacing w:val="80"/>
                  <w:sz w:val="17"/>
                </w:rPr>
                <w:t xml:space="preserve"> </w:t>
              </w:r>
              <w:r>
                <w:rPr>
                  <w:sz w:val="17"/>
                </w:rPr>
                <w:t>Contratación</w:t>
              </w:r>
              <w:r>
                <w:rPr>
                  <w:spacing w:val="80"/>
                  <w:sz w:val="17"/>
                </w:rPr>
                <w:t xml:space="preserve"> </w:t>
              </w:r>
              <w:r>
                <w:rPr>
                  <w:sz w:val="17"/>
                </w:rPr>
                <w:t>centralizada</w:t>
              </w:r>
              <w:r>
                <w:rPr>
                  <w:spacing w:val="80"/>
                  <w:sz w:val="17"/>
                </w:rPr>
                <w:t xml:space="preserve"> </w:t>
              </w:r>
              <w:r>
                <w:rPr>
                  <w:sz w:val="17"/>
                </w:rPr>
                <w:t>en</w:t>
              </w:r>
              <w:r>
                <w:rPr>
                  <w:spacing w:val="80"/>
                  <w:sz w:val="17"/>
                </w:rPr>
                <w:t xml:space="preserve"> </w:t>
              </w:r>
              <w:r>
                <w:rPr>
                  <w:sz w:val="17"/>
                </w:rPr>
                <w:t>el</w:t>
              </w:r>
              <w:r>
                <w:rPr>
                  <w:spacing w:val="80"/>
                  <w:sz w:val="17"/>
                </w:rPr>
                <w:t xml:space="preserve"> </w:t>
              </w:r>
              <w:r>
                <w:rPr>
                  <w:sz w:val="17"/>
                </w:rPr>
                <w:t>ámbito</w:t>
              </w:r>
              <w:r>
                <w:rPr>
                  <w:spacing w:val="80"/>
                  <w:sz w:val="17"/>
                </w:rPr>
                <w:t xml:space="preserve"> </w:t>
              </w:r>
              <w:r>
                <w:rPr>
                  <w:sz w:val="17"/>
                </w:rPr>
                <w:t>estatal.</w:t>
              </w:r>
              <w:r>
                <w:rPr>
                  <w:spacing w:val="80"/>
                  <w:sz w:val="17"/>
                </w:rPr>
                <w:t xml:space="preserve"> </w:t>
              </w:r>
              <w:r>
                <w:rPr>
                  <w:sz w:val="17"/>
                </w:rPr>
                <w:t>Sistema</w:t>
              </w:r>
              <w:r>
                <w:rPr>
                  <w:spacing w:val="80"/>
                  <w:sz w:val="17"/>
                </w:rPr>
                <w:t xml:space="preserve"> </w:t>
              </w:r>
              <w:r>
                <w:rPr>
                  <w:sz w:val="17"/>
                </w:rPr>
                <w:t>estatal</w:t>
              </w:r>
              <w:r>
                <w:rPr>
                  <w:spacing w:val="80"/>
                  <w:sz w:val="17"/>
                </w:rPr>
                <w:t xml:space="preserve"> </w:t>
              </w:r>
              <w:r>
                <w:rPr>
                  <w:sz w:val="17"/>
                </w:rPr>
                <w:t>de</w:t>
              </w:r>
              <w:r>
                <w:rPr>
                  <w:spacing w:val="80"/>
                  <w:sz w:val="17"/>
                </w:rPr>
                <w:t xml:space="preserve"> </w:t>
              </w:r>
              <w:r>
                <w:rPr>
                  <w:sz w:val="17"/>
                </w:rPr>
                <w:t>contratación</w:t>
              </w:r>
            </w:hyperlink>
            <w:r>
              <w:rPr>
                <w:sz w:val="17"/>
              </w:rPr>
              <w:t xml:space="preserve"> </w:t>
            </w:r>
            <w:hyperlink w:anchor="_bookmark66" w:history="1">
              <w:r>
                <w:rPr>
                  <w:sz w:val="17"/>
                </w:rPr>
                <w:t xml:space="preserve">centralizada.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z w:val="17"/>
                </w:rPr>
                <w:t xml:space="preserve">. </w:t>
              </w:r>
            </w:hyperlink>
          </w:p>
        </w:tc>
        <w:tc>
          <w:tcPr>
            <w:tcW w:w="443" w:type="dxa"/>
          </w:tcPr>
          <w:p w:rsidR="0092635B" w:rsidRDefault="0092635B">
            <w:pPr>
              <w:pStyle w:val="TableParagraph"/>
              <w:spacing w:before="168"/>
              <w:rPr>
                <w:sz w:val="17"/>
              </w:rPr>
            </w:pPr>
          </w:p>
          <w:p w:rsidR="0092635B" w:rsidRDefault="00000000">
            <w:pPr>
              <w:pStyle w:val="TableParagraph"/>
              <w:ind w:left="50"/>
              <w:jc w:val="center"/>
              <w:rPr>
                <w:sz w:val="17"/>
              </w:rPr>
            </w:pPr>
            <w:hyperlink w:anchor="_bookmark66" w:history="1">
              <w:r>
                <w:rPr>
                  <w:spacing w:val="-5"/>
                  <w:sz w:val="17"/>
                </w:rPr>
                <w:t>158</w:t>
              </w:r>
            </w:hyperlink>
          </w:p>
        </w:tc>
      </w:tr>
      <w:tr w:rsidR="0092635B">
        <w:trPr>
          <w:trHeight w:val="440"/>
        </w:trPr>
        <w:tc>
          <w:tcPr>
            <w:tcW w:w="8868" w:type="dxa"/>
          </w:tcPr>
          <w:p w:rsidR="0092635B" w:rsidRDefault="00000000">
            <w:pPr>
              <w:pStyle w:val="TableParagraph"/>
              <w:spacing w:before="118"/>
              <w:ind w:right="100"/>
              <w:jc w:val="right"/>
              <w:rPr>
                <w:sz w:val="17"/>
              </w:rPr>
            </w:pPr>
            <w:hyperlink w:anchor="_bookmark67" w:history="1">
              <w:r>
                <w:rPr>
                  <w:sz w:val="17"/>
                </w:rPr>
                <w:t>TÍTULO</w:t>
              </w:r>
              <w:r>
                <w:rPr>
                  <w:spacing w:val="4"/>
                  <w:sz w:val="17"/>
                </w:rPr>
                <w:t xml:space="preserve"> </w:t>
              </w:r>
              <w:r>
                <w:rPr>
                  <w:sz w:val="17"/>
                </w:rPr>
                <w:t>II.</w:t>
              </w:r>
              <w:r>
                <w:rPr>
                  <w:spacing w:val="5"/>
                  <w:sz w:val="17"/>
                </w:rPr>
                <w:t xml:space="preserve"> </w:t>
              </w:r>
              <w:r>
                <w:rPr>
                  <w:sz w:val="17"/>
                </w:rPr>
                <w:t>De</w:t>
              </w:r>
              <w:r>
                <w:rPr>
                  <w:spacing w:val="5"/>
                  <w:sz w:val="17"/>
                </w:rPr>
                <w:t xml:space="preserve"> </w:t>
              </w:r>
              <w:r>
                <w:rPr>
                  <w:sz w:val="17"/>
                </w:rPr>
                <w:t>los</w:t>
              </w:r>
              <w:r>
                <w:rPr>
                  <w:spacing w:val="5"/>
                  <w:sz w:val="17"/>
                </w:rPr>
                <w:t xml:space="preserve"> </w:t>
              </w:r>
              <w:r>
                <w:rPr>
                  <w:sz w:val="17"/>
                </w:rPr>
                <w:t>distintos</w:t>
              </w:r>
              <w:r>
                <w:rPr>
                  <w:spacing w:val="4"/>
                  <w:sz w:val="17"/>
                </w:rPr>
                <w:t xml:space="preserve"> </w:t>
              </w:r>
              <w:r>
                <w:rPr>
                  <w:sz w:val="17"/>
                </w:rPr>
                <w:t>tipos</w:t>
              </w:r>
              <w:r>
                <w:rPr>
                  <w:spacing w:val="5"/>
                  <w:sz w:val="17"/>
                </w:rPr>
                <w:t xml:space="preserve"> </w:t>
              </w:r>
              <w:r>
                <w:rPr>
                  <w:sz w:val="17"/>
                </w:rPr>
                <w:t>de</w:t>
              </w:r>
              <w:r>
                <w:rPr>
                  <w:spacing w:val="5"/>
                  <w:sz w:val="17"/>
                </w:rPr>
                <w:t xml:space="preserve"> </w:t>
              </w:r>
              <w:r>
                <w:rPr>
                  <w:sz w:val="17"/>
                </w:rPr>
                <w:t>contratos</w:t>
              </w:r>
              <w:r>
                <w:rPr>
                  <w:spacing w:val="5"/>
                  <w:sz w:val="17"/>
                </w:rPr>
                <w:t xml:space="preserve"> </w:t>
              </w:r>
              <w:r>
                <w:rPr>
                  <w:sz w:val="17"/>
                </w:rPr>
                <w:t>de</w:t>
              </w:r>
              <w:r>
                <w:rPr>
                  <w:spacing w:val="5"/>
                  <w:sz w:val="17"/>
                </w:rPr>
                <w:t xml:space="preserve"> </w:t>
              </w:r>
              <w:r>
                <w:rPr>
                  <w:sz w:val="17"/>
                </w:rPr>
                <w:t>las</w:t>
              </w:r>
              <w:r>
                <w:rPr>
                  <w:spacing w:val="4"/>
                  <w:sz w:val="17"/>
                </w:rPr>
                <w:t xml:space="preserve"> </w:t>
              </w:r>
              <w:r>
                <w:rPr>
                  <w:sz w:val="17"/>
                </w:rPr>
                <w:t>Administraciones</w:t>
              </w:r>
              <w:r>
                <w:rPr>
                  <w:spacing w:val="5"/>
                  <w:sz w:val="17"/>
                </w:rPr>
                <w:t xml:space="preserve"> </w:t>
              </w:r>
              <w:r>
                <w:rPr>
                  <w:sz w:val="17"/>
                </w:rPr>
                <w:t>Públicas</w:t>
              </w:r>
              <w:r>
                <w:rPr>
                  <w:spacing w:val="66"/>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7" w:history="1">
              <w:r>
                <w:rPr>
                  <w:spacing w:val="-5"/>
                  <w:sz w:val="17"/>
                </w:rPr>
                <w:t>159</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68" w:history="1">
              <w:r>
                <w:rPr>
                  <w:sz w:val="17"/>
                </w:rPr>
                <w:t>CAPÍTULO</w:t>
              </w:r>
              <w:r>
                <w:rPr>
                  <w:spacing w:val="3"/>
                  <w:sz w:val="17"/>
                </w:rPr>
                <w:t xml:space="preserve"> </w:t>
              </w:r>
              <w:r>
                <w:rPr>
                  <w:sz w:val="17"/>
                </w:rPr>
                <w:t>I.</w:t>
              </w:r>
              <w:r>
                <w:rPr>
                  <w:spacing w:val="3"/>
                  <w:sz w:val="17"/>
                </w:rPr>
                <w:t xml:space="preserve"> </w:t>
              </w:r>
              <w:r>
                <w:rPr>
                  <w:sz w:val="17"/>
                </w:rPr>
                <w:t>Del</w:t>
              </w:r>
              <w:r>
                <w:rPr>
                  <w:spacing w:val="4"/>
                  <w:sz w:val="17"/>
                </w:rPr>
                <w:t xml:space="preserve"> </w:t>
              </w:r>
              <w:r>
                <w:rPr>
                  <w:sz w:val="17"/>
                </w:rPr>
                <w:t>contrato</w:t>
              </w:r>
              <w:r>
                <w:rPr>
                  <w:spacing w:val="3"/>
                  <w:sz w:val="17"/>
                </w:rPr>
                <w:t xml:space="preserve"> </w:t>
              </w:r>
              <w:r>
                <w:rPr>
                  <w:sz w:val="17"/>
                </w:rPr>
                <w:t>de</w:t>
              </w:r>
              <w:r>
                <w:rPr>
                  <w:spacing w:val="3"/>
                  <w:sz w:val="17"/>
                </w:rPr>
                <w:t xml:space="preserve"> </w:t>
              </w:r>
              <w:r>
                <w:rPr>
                  <w:sz w:val="17"/>
                </w:rPr>
                <w:t>obras.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8" w:history="1">
              <w:r>
                <w:rPr>
                  <w:spacing w:val="-5"/>
                  <w:sz w:val="17"/>
                </w:rPr>
                <w:t>159</w:t>
              </w:r>
            </w:hyperlink>
          </w:p>
        </w:tc>
      </w:tr>
      <w:tr w:rsidR="0092635B">
        <w:trPr>
          <w:trHeight w:val="439"/>
        </w:trPr>
        <w:tc>
          <w:tcPr>
            <w:tcW w:w="8868" w:type="dxa"/>
          </w:tcPr>
          <w:p w:rsidR="0092635B" w:rsidRDefault="00000000">
            <w:pPr>
              <w:pStyle w:val="TableParagraph"/>
              <w:spacing w:before="118"/>
              <w:ind w:right="99"/>
              <w:jc w:val="right"/>
              <w:rPr>
                <w:sz w:val="17"/>
              </w:rPr>
            </w:pPr>
            <w:hyperlink w:anchor="_bookmark69" w:history="1">
              <w:r>
                <w:rPr>
                  <w:sz w:val="17"/>
                </w:rPr>
                <w:t>Sección</w:t>
              </w:r>
              <w:r>
                <w:rPr>
                  <w:spacing w:val="3"/>
                  <w:sz w:val="17"/>
                </w:rPr>
                <w:t xml:space="preserve"> </w:t>
              </w:r>
              <w:r>
                <w:rPr>
                  <w:sz w:val="17"/>
                </w:rPr>
                <w:t>1.ª</w:t>
              </w:r>
              <w:r>
                <w:rPr>
                  <w:spacing w:val="4"/>
                  <w:sz w:val="17"/>
                </w:rPr>
                <w:t xml:space="preserve"> </w:t>
              </w:r>
              <w:r>
                <w:rPr>
                  <w:sz w:val="17"/>
                </w:rPr>
                <w:t>Actuaciones</w:t>
              </w:r>
              <w:r>
                <w:rPr>
                  <w:spacing w:val="3"/>
                  <w:sz w:val="17"/>
                </w:rPr>
                <w:t xml:space="preserve"> </w:t>
              </w:r>
              <w:r>
                <w:rPr>
                  <w:sz w:val="17"/>
                </w:rPr>
                <w:t>preparatorias</w:t>
              </w:r>
              <w:r>
                <w:rPr>
                  <w:spacing w:val="4"/>
                  <w:sz w:val="17"/>
                </w:rPr>
                <w:t xml:space="preserve"> </w:t>
              </w:r>
              <w:r>
                <w:rPr>
                  <w:sz w:val="17"/>
                </w:rPr>
                <w:t>del</w:t>
              </w:r>
              <w:r>
                <w:rPr>
                  <w:spacing w:val="3"/>
                  <w:sz w:val="17"/>
                </w:rPr>
                <w:t xml:space="preserve"> </w:t>
              </w:r>
              <w:r>
                <w:rPr>
                  <w:sz w:val="17"/>
                </w:rPr>
                <w:t>contrato</w:t>
              </w:r>
              <w:r>
                <w:rPr>
                  <w:spacing w:val="4"/>
                  <w:sz w:val="17"/>
                </w:rPr>
                <w:t xml:space="preserve"> </w:t>
              </w:r>
              <w:r>
                <w:rPr>
                  <w:sz w:val="17"/>
                </w:rPr>
                <w:t>de</w:t>
              </w:r>
              <w:r>
                <w:rPr>
                  <w:spacing w:val="3"/>
                  <w:sz w:val="17"/>
                </w:rPr>
                <w:t xml:space="preserve"> </w:t>
              </w:r>
              <w:r>
                <w:rPr>
                  <w:sz w:val="17"/>
                </w:rPr>
                <w:t>obras</w:t>
              </w:r>
              <w:r>
                <w:rPr>
                  <w:spacing w:val="15"/>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69" w:history="1">
              <w:r>
                <w:rPr>
                  <w:spacing w:val="-5"/>
                  <w:sz w:val="17"/>
                </w:rPr>
                <w:t>159</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70" w:history="1">
              <w:r>
                <w:rPr>
                  <w:sz w:val="17"/>
                </w:rPr>
                <w:t>Sección</w:t>
              </w:r>
              <w:r>
                <w:rPr>
                  <w:spacing w:val="3"/>
                  <w:sz w:val="17"/>
                </w:rPr>
                <w:t xml:space="preserve"> </w:t>
              </w:r>
              <w:r>
                <w:rPr>
                  <w:sz w:val="17"/>
                </w:rPr>
                <w:t>2.ª</w:t>
              </w:r>
              <w:r>
                <w:rPr>
                  <w:spacing w:val="3"/>
                  <w:sz w:val="17"/>
                </w:rPr>
                <w:t xml:space="preserve"> </w:t>
              </w:r>
              <w:r>
                <w:rPr>
                  <w:sz w:val="17"/>
                </w:rPr>
                <w:t>Ejecución</w:t>
              </w:r>
              <w:r>
                <w:rPr>
                  <w:spacing w:val="4"/>
                  <w:sz w:val="17"/>
                </w:rPr>
                <w:t xml:space="preserve"> </w:t>
              </w:r>
              <w:r>
                <w:rPr>
                  <w:sz w:val="17"/>
                </w:rPr>
                <w:t>del</w:t>
              </w:r>
              <w:r>
                <w:rPr>
                  <w:spacing w:val="3"/>
                  <w:sz w:val="17"/>
                </w:rPr>
                <w:t xml:space="preserve"> </w:t>
              </w:r>
              <w:r>
                <w:rPr>
                  <w:sz w:val="17"/>
                </w:rPr>
                <w:t>contrato</w:t>
              </w:r>
              <w:r>
                <w:rPr>
                  <w:spacing w:val="4"/>
                  <w:sz w:val="17"/>
                </w:rPr>
                <w:t xml:space="preserve"> </w:t>
              </w:r>
              <w:r>
                <w:rPr>
                  <w:sz w:val="17"/>
                </w:rPr>
                <w:t>de</w:t>
              </w:r>
              <w:r>
                <w:rPr>
                  <w:spacing w:val="3"/>
                  <w:sz w:val="17"/>
                </w:rPr>
                <w:t xml:space="preserve"> </w:t>
              </w:r>
              <w:r>
                <w:rPr>
                  <w:sz w:val="17"/>
                </w:rPr>
                <w:t>obras.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0" w:history="1">
              <w:r>
                <w:rPr>
                  <w:spacing w:val="-5"/>
                  <w:sz w:val="17"/>
                </w:rPr>
                <w:t>162</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71" w:history="1">
              <w:r>
                <w:rPr>
                  <w:sz w:val="17"/>
                </w:rPr>
                <w:t>Sección</w:t>
              </w:r>
              <w:r>
                <w:rPr>
                  <w:spacing w:val="2"/>
                  <w:sz w:val="17"/>
                </w:rPr>
                <w:t xml:space="preserve"> </w:t>
              </w:r>
              <w:r>
                <w:rPr>
                  <w:sz w:val="17"/>
                </w:rPr>
                <w:t>3.ª</w:t>
              </w:r>
              <w:r>
                <w:rPr>
                  <w:spacing w:val="3"/>
                  <w:sz w:val="17"/>
                </w:rPr>
                <w:t xml:space="preserve"> </w:t>
              </w:r>
              <w:r>
                <w:rPr>
                  <w:sz w:val="17"/>
                </w:rPr>
                <w:t>Modificación</w:t>
              </w:r>
              <w:r>
                <w:rPr>
                  <w:spacing w:val="2"/>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2"/>
                  <w:sz w:val="17"/>
                </w:rPr>
                <w:t xml:space="preserve"> </w:t>
              </w:r>
              <w:r>
                <w:rPr>
                  <w:sz w:val="17"/>
                </w:rPr>
                <w:t>obras</w:t>
              </w:r>
              <w:r>
                <w:rPr>
                  <w:spacing w:val="-5"/>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1" w:history="1">
              <w:r>
                <w:rPr>
                  <w:spacing w:val="-5"/>
                  <w:sz w:val="17"/>
                </w:rPr>
                <w:t>164</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72" w:history="1">
              <w:r>
                <w:rPr>
                  <w:sz w:val="17"/>
                </w:rPr>
                <w:t>Sección</w:t>
              </w:r>
              <w:r>
                <w:rPr>
                  <w:spacing w:val="2"/>
                  <w:sz w:val="17"/>
                </w:rPr>
                <w:t xml:space="preserve"> </w:t>
              </w:r>
              <w:r>
                <w:rPr>
                  <w:sz w:val="17"/>
                </w:rPr>
                <w:t>4.ª</w:t>
              </w:r>
              <w:r>
                <w:rPr>
                  <w:spacing w:val="3"/>
                  <w:sz w:val="17"/>
                </w:rPr>
                <w:t xml:space="preserve"> </w:t>
              </w:r>
              <w:r>
                <w:rPr>
                  <w:sz w:val="17"/>
                </w:rPr>
                <w:t>Cumplimiento</w:t>
              </w:r>
              <w:r>
                <w:rPr>
                  <w:spacing w:val="2"/>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2"/>
                  <w:sz w:val="17"/>
                </w:rPr>
                <w:t xml:space="preserve"> </w:t>
              </w:r>
              <w:r>
                <w:rPr>
                  <w:sz w:val="17"/>
                </w:rPr>
                <w:t>obras</w:t>
              </w:r>
              <w:r>
                <w:rPr>
                  <w:spacing w:val="18"/>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2" w:history="1">
              <w:r>
                <w:rPr>
                  <w:spacing w:val="-5"/>
                  <w:sz w:val="17"/>
                </w:rPr>
                <w:t>165</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73" w:history="1">
              <w:r>
                <w:rPr>
                  <w:sz w:val="17"/>
                </w:rPr>
                <w:t>Sección</w:t>
              </w:r>
              <w:r>
                <w:rPr>
                  <w:spacing w:val="2"/>
                  <w:sz w:val="17"/>
                </w:rPr>
                <w:t xml:space="preserve"> </w:t>
              </w:r>
              <w:r>
                <w:rPr>
                  <w:sz w:val="17"/>
                </w:rPr>
                <w:t>5.ª</w:t>
              </w:r>
              <w:r>
                <w:rPr>
                  <w:spacing w:val="3"/>
                  <w:sz w:val="17"/>
                </w:rPr>
                <w:t xml:space="preserve"> </w:t>
              </w:r>
              <w:r>
                <w:rPr>
                  <w:sz w:val="17"/>
                </w:rPr>
                <w:t>Resolución</w:t>
              </w:r>
              <w:r>
                <w:rPr>
                  <w:spacing w:val="2"/>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2"/>
                  <w:sz w:val="17"/>
                </w:rPr>
                <w:t xml:space="preserve"> </w:t>
              </w:r>
              <w:r>
                <w:rPr>
                  <w:sz w:val="17"/>
                </w:rPr>
                <w:t>obras</w:t>
              </w:r>
              <w:r>
                <w:rPr>
                  <w:spacing w:val="-20"/>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2"/>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3" w:history="1">
              <w:r>
                <w:rPr>
                  <w:spacing w:val="-5"/>
                  <w:sz w:val="17"/>
                </w:rPr>
                <w:t>167</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74" w:history="1">
              <w:r>
                <w:rPr>
                  <w:sz w:val="17"/>
                </w:rPr>
                <w:t>CAPÍTULO</w:t>
              </w:r>
              <w:r>
                <w:rPr>
                  <w:spacing w:val="2"/>
                  <w:sz w:val="17"/>
                </w:rPr>
                <w:t xml:space="preserve"> </w:t>
              </w:r>
              <w:r>
                <w:rPr>
                  <w:sz w:val="17"/>
                </w:rPr>
                <w:t>II.</w:t>
              </w:r>
              <w:r>
                <w:rPr>
                  <w:spacing w:val="3"/>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3"/>
                  <w:sz w:val="17"/>
                </w:rPr>
                <w:t xml:space="preserve"> </w:t>
              </w:r>
              <w:r>
                <w:rPr>
                  <w:sz w:val="17"/>
                </w:rPr>
                <w:t>concesión</w:t>
              </w:r>
              <w:r>
                <w:rPr>
                  <w:spacing w:val="3"/>
                  <w:sz w:val="17"/>
                </w:rPr>
                <w:t xml:space="preserve"> </w:t>
              </w:r>
              <w:r>
                <w:rPr>
                  <w:sz w:val="17"/>
                </w:rPr>
                <w:t>de</w:t>
              </w:r>
              <w:r>
                <w:rPr>
                  <w:spacing w:val="3"/>
                  <w:sz w:val="17"/>
                </w:rPr>
                <w:t xml:space="preserve"> </w:t>
              </w:r>
              <w:r>
                <w:rPr>
                  <w:sz w:val="17"/>
                </w:rPr>
                <w:t>obras</w:t>
              </w:r>
              <w:r>
                <w:rPr>
                  <w:spacing w:val="3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4" w:history="1">
              <w:r>
                <w:rPr>
                  <w:spacing w:val="-5"/>
                  <w:sz w:val="17"/>
                </w:rPr>
                <w:t>167</w:t>
              </w:r>
            </w:hyperlink>
          </w:p>
        </w:tc>
      </w:tr>
      <w:tr w:rsidR="0092635B">
        <w:trPr>
          <w:trHeight w:val="440"/>
        </w:trPr>
        <w:tc>
          <w:tcPr>
            <w:tcW w:w="8868" w:type="dxa"/>
          </w:tcPr>
          <w:p w:rsidR="0092635B" w:rsidRDefault="00000000">
            <w:pPr>
              <w:pStyle w:val="TableParagraph"/>
              <w:spacing w:before="118"/>
              <w:ind w:right="100"/>
              <w:jc w:val="right"/>
              <w:rPr>
                <w:sz w:val="17"/>
              </w:rPr>
            </w:pPr>
            <w:hyperlink w:anchor="_bookmark75" w:history="1">
              <w:r>
                <w:rPr>
                  <w:sz w:val="17"/>
                </w:rPr>
                <w:t>Sección</w:t>
              </w:r>
              <w:r>
                <w:rPr>
                  <w:spacing w:val="4"/>
                  <w:sz w:val="17"/>
                </w:rPr>
                <w:t xml:space="preserve"> </w:t>
              </w:r>
              <w:r>
                <w:rPr>
                  <w:sz w:val="17"/>
                </w:rPr>
                <w:t>1.ª</w:t>
              </w:r>
              <w:r>
                <w:rPr>
                  <w:spacing w:val="4"/>
                  <w:sz w:val="17"/>
                </w:rPr>
                <w:t xml:space="preserve"> </w:t>
              </w:r>
              <w:r>
                <w:rPr>
                  <w:sz w:val="17"/>
                </w:rPr>
                <w:t>Actuaciones</w:t>
              </w:r>
              <w:r>
                <w:rPr>
                  <w:spacing w:val="4"/>
                  <w:sz w:val="17"/>
                </w:rPr>
                <w:t xml:space="preserve"> </w:t>
              </w:r>
              <w:r>
                <w:rPr>
                  <w:sz w:val="17"/>
                </w:rPr>
                <w:t>preparatorias</w:t>
              </w:r>
              <w:r>
                <w:rPr>
                  <w:spacing w:val="4"/>
                  <w:sz w:val="17"/>
                </w:rPr>
                <w:t xml:space="preserve"> </w:t>
              </w:r>
              <w:r>
                <w:rPr>
                  <w:sz w:val="17"/>
                </w:rPr>
                <w:t>del</w:t>
              </w:r>
              <w:r>
                <w:rPr>
                  <w:spacing w:val="4"/>
                  <w:sz w:val="17"/>
                </w:rPr>
                <w:t xml:space="preserve"> </w:t>
              </w:r>
              <w:r>
                <w:rPr>
                  <w:sz w:val="17"/>
                </w:rPr>
                <w:t>contrato</w:t>
              </w:r>
              <w:r>
                <w:rPr>
                  <w:spacing w:val="5"/>
                  <w:sz w:val="17"/>
                </w:rPr>
                <w:t xml:space="preserve"> </w:t>
              </w:r>
              <w:r>
                <w:rPr>
                  <w:sz w:val="17"/>
                </w:rPr>
                <w:t>de</w:t>
              </w:r>
              <w:r>
                <w:rPr>
                  <w:spacing w:val="4"/>
                  <w:sz w:val="17"/>
                </w:rPr>
                <w:t xml:space="preserve"> </w:t>
              </w:r>
              <w:r>
                <w:rPr>
                  <w:sz w:val="17"/>
                </w:rPr>
                <w:t>concesión</w:t>
              </w:r>
              <w:r>
                <w:rPr>
                  <w:spacing w:val="4"/>
                  <w:sz w:val="17"/>
                </w:rPr>
                <w:t xml:space="preserve"> </w:t>
              </w:r>
              <w:r>
                <w:rPr>
                  <w:sz w:val="17"/>
                </w:rPr>
                <w:t>de</w:t>
              </w:r>
              <w:r>
                <w:rPr>
                  <w:spacing w:val="4"/>
                  <w:sz w:val="17"/>
                </w:rPr>
                <w:t xml:space="preserve"> </w:t>
              </w:r>
              <w:r>
                <w:rPr>
                  <w:sz w:val="17"/>
                </w:rPr>
                <w:t>obras</w:t>
              </w:r>
              <w:r>
                <w:rPr>
                  <w:spacing w:val="16"/>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5" w:history="1">
              <w:r>
                <w:rPr>
                  <w:spacing w:val="-5"/>
                  <w:sz w:val="17"/>
                </w:rPr>
                <w:t>167</w:t>
              </w:r>
            </w:hyperlink>
          </w:p>
        </w:tc>
      </w:tr>
      <w:tr w:rsidR="0092635B">
        <w:trPr>
          <w:trHeight w:val="440"/>
        </w:trPr>
        <w:tc>
          <w:tcPr>
            <w:tcW w:w="8868" w:type="dxa"/>
          </w:tcPr>
          <w:p w:rsidR="0092635B" w:rsidRDefault="00000000">
            <w:pPr>
              <w:pStyle w:val="TableParagraph"/>
              <w:spacing w:before="118"/>
              <w:ind w:right="99"/>
              <w:jc w:val="right"/>
              <w:rPr>
                <w:sz w:val="17"/>
              </w:rPr>
            </w:pPr>
            <w:hyperlink w:anchor="_bookmark76" w:history="1">
              <w:r>
                <w:rPr>
                  <w:sz w:val="17"/>
                </w:rPr>
                <w:t>Sección</w:t>
              </w:r>
              <w:r>
                <w:rPr>
                  <w:spacing w:val="4"/>
                  <w:sz w:val="17"/>
                </w:rPr>
                <w:t xml:space="preserve"> </w:t>
              </w:r>
              <w:r>
                <w:rPr>
                  <w:sz w:val="17"/>
                </w:rPr>
                <w:t>2.ª</w:t>
              </w:r>
              <w:r>
                <w:rPr>
                  <w:spacing w:val="5"/>
                  <w:sz w:val="17"/>
                </w:rPr>
                <w:t xml:space="preserve"> </w:t>
              </w:r>
              <w:r>
                <w:rPr>
                  <w:sz w:val="17"/>
                </w:rPr>
                <w:t>Efectos,</w:t>
              </w:r>
              <w:r>
                <w:rPr>
                  <w:spacing w:val="5"/>
                  <w:sz w:val="17"/>
                </w:rPr>
                <w:t xml:space="preserve"> </w:t>
              </w:r>
              <w:r>
                <w:rPr>
                  <w:sz w:val="17"/>
                </w:rPr>
                <w:t>cumplimiento</w:t>
              </w:r>
              <w:r>
                <w:rPr>
                  <w:spacing w:val="5"/>
                  <w:sz w:val="17"/>
                </w:rPr>
                <w:t xml:space="preserve"> </w:t>
              </w:r>
              <w:r>
                <w:rPr>
                  <w:sz w:val="17"/>
                </w:rPr>
                <w:t>y</w:t>
              </w:r>
              <w:r>
                <w:rPr>
                  <w:spacing w:val="5"/>
                  <w:sz w:val="17"/>
                </w:rPr>
                <w:t xml:space="preserve"> </w:t>
              </w:r>
              <w:r>
                <w:rPr>
                  <w:sz w:val="17"/>
                </w:rPr>
                <w:t>extinción</w:t>
              </w:r>
              <w:r>
                <w:rPr>
                  <w:spacing w:val="5"/>
                  <w:sz w:val="17"/>
                </w:rPr>
                <w:t xml:space="preserve"> </w:t>
              </w:r>
              <w:r>
                <w:rPr>
                  <w:sz w:val="17"/>
                </w:rPr>
                <w:t>de</w:t>
              </w:r>
              <w:r>
                <w:rPr>
                  <w:spacing w:val="5"/>
                  <w:sz w:val="17"/>
                </w:rPr>
                <w:t xml:space="preserve"> </w:t>
              </w:r>
              <w:r>
                <w:rPr>
                  <w:sz w:val="17"/>
                </w:rPr>
                <w:t>las</w:t>
              </w:r>
              <w:r>
                <w:rPr>
                  <w:spacing w:val="5"/>
                  <w:sz w:val="17"/>
                </w:rPr>
                <w:t xml:space="preserve"> </w:t>
              </w:r>
              <w:r>
                <w:rPr>
                  <w:sz w:val="17"/>
                </w:rPr>
                <w:t>concesiones.</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6" w:history="1">
              <w:r>
                <w:rPr>
                  <w:spacing w:val="-5"/>
                  <w:sz w:val="17"/>
                </w:rPr>
                <w:t>171</w:t>
              </w:r>
            </w:hyperlink>
          </w:p>
        </w:tc>
      </w:tr>
      <w:tr w:rsidR="0092635B">
        <w:trPr>
          <w:trHeight w:val="320"/>
        </w:trPr>
        <w:tc>
          <w:tcPr>
            <w:tcW w:w="8868" w:type="dxa"/>
          </w:tcPr>
          <w:p w:rsidR="0092635B" w:rsidRDefault="00000000">
            <w:pPr>
              <w:pStyle w:val="TableParagraph"/>
              <w:spacing w:before="118" w:line="182" w:lineRule="exact"/>
              <w:ind w:right="99"/>
              <w:jc w:val="right"/>
              <w:rPr>
                <w:sz w:val="17"/>
              </w:rPr>
            </w:pPr>
            <w:hyperlink w:anchor="_bookmark77" w:history="1">
              <w:r>
                <w:rPr>
                  <w:sz w:val="17"/>
                </w:rPr>
                <w:t>Sección</w:t>
              </w:r>
              <w:r>
                <w:rPr>
                  <w:spacing w:val="2"/>
                  <w:sz w:val="17"/>
                </w:rPr>
                <w:t xml:space="preserve"> </w:t>
              </w:r>
              <w:r>
                <w:rPr>
                  <w:sz w:val="17"/>
                </w:rPr>
                <w:t>3.ª</w:t>
              </w:r>
              <w:r>
                <w:rPr>
                  <w:spacing w:val="3"/>
                  <w:sz w:val="17"/>
                </w:rPr>
                <w:t xml:space="preserve"> </w:t>
              </w:r>
              <w:r>
                <w:rPr>
                  <w:sz w:val="17"/>
                </w:rPr>
                <w:t>Construcción</w:t>
              </w:r>
              <w:r>
                <w:rPr>
                  <w:spacing w:val="3"/>
                  <w:sz w:val="17"/>
                </w:rPr>
                <w:t xml:space="preserve"> </w:t>
              </w:r>
              <w:r>
                <w:rPr>
                  <w:sz w:val="17"/>
                </w:rPr>
                <w:t>de</w:t>
              </w:r>
              <w:r>
                <w:rPr>
                  <w:spacing w:val="3"/>
                  <w:sz w:val="17"/>
                </w:rPr>
                <w:t xml:space="preserve"> </w:t>
              </w:r>
              <w:r>
                <w:rPr>
                  <w:sz w:val="17"/>
                </w:rPr>
                <w:t>las</w:t>
              </w:r>
              <w:r>
                <w:rPr>
                  <w:spacing w:val="3"/>
                  <w:sz w:val="17"/>
                </w:rPr>
                <w:t xml:space="preserve"> </w:t>
              </w:r>
              <w:r>
                <w:rPr>
                  <w:sz w:val="17"/>
                </w:rPr>
                <w:t>obras</w:t>
              </w:r>
              <w:r>
                <w:rPr>
                  <w:spacing w:val="3"/>
                  <w:sz w:val="17"/>
                </w:rPr>
                <w:t xml:space="preserve"> </w:t>
              </w:r>
              <w:r>
                <w:rPr>
                  <w:sz w:val="17"/>
                </w:rPr>
                <w:t>objeto</w:t>
              </w:r>
              <w:r>
                <w:rPr>
                  <w:spacing w:val="3"/>
                  <w:sz w:val="17"/>
                </w:rPr>
                <w:t xml:space="preserve"> </w:t>
              </w:r>
              <w:r>
                <w:rPr>
                  <w:sz w:val="17"/>
                </w:rPr>
                <w:t>de</w:t>
              </w:r>
              <w:r>
                <w:rPr>
                  <w:spacing w:val="3"/>
                  <w:sz w:val="17"/>
                </w:rPr>
                <w:t xml:space="preserve"> </w:t>
              </w:r>
              <w:r>
                <w:rPr>
                  <w:sz w:val="17"/>
                </w:rPr>
                <w:t>concesión</w:t>
              </w:r>
              <w:r>
                <w:rPr>
                  <w:spacing w:val="-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line="177" w:lineRule="exact"/>
              <w:ind w:left="50"/>
              <w:jc w:val="center"/>
              <w:rPr>
                <w:sz w:val="17"/>
              </w:rPr>
            </w:pPr>
            <w:hyperlink w:anchor="_bookmark77" w:history="1">
              <w:r>
                <w:rPr>
                  <w:spacing w:val="-5"/>
                  <w:sz w:val="17"/>
                </w:rPr>
                <w:t>171</w:t>
              </w:r>
            </w:hyperlink>
          </w:p>
        </w:tc>
      </w:tr>
    </w:tbl>
    <w:p w:rsidR="0092635B" w:rsidRDefault="0092635B">
      <w:pPr>
        <w:pStyle w:val="TableParagraph"/>
        <w:spacing w:line="177" w:lineRule="exact"/>
        <w:jc w:val="center"/>
        <w:rPr>
          <w:sz w:val="17"/>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47"/>
        <w:ind w:left="0" w:firstLine="0"/>
        <w:jc w:val="left"/>
      </w:pPr>
    </w:p>
    <w:tbl>
      <w:tblPr>
        <w:tblStyle w:val="TableNormal"/>
        <w:tblW w:w="0" w:type="auto"/>
        <w:tblInd w:w="893" w:type="dxa"/>
        <w:tblLayout w:type="fixed"/>
        <w:tblLook w:val="01E0" w:firstRow="1" w:lastRow="1" w:firstColumn="1" w:lastColumn="1" w:noHBand="0" w:noVBand="0"/>
      </w:tblPr>
      <w:tblGrid>
        <w:gridCol w:w="9068"/>
        <w:gridCol w:w="443"/>
      </w:tblGrid>
      <w:tr w:rsidR="0092635B">
        <w:trPr>
          <w:trHeight w:val="320"/>
        </w:trPr>
        <w:tc>
          <w:tcPr>
            <w:tcW w:w="9068" w:type="dxa"/>
          </w:tcPr>
          <w:p w:rsidR="0092635B" w:rsidRDefault="00000000">
            <w:pPr>
              <w:pStyle w:val="TableParagraph"/>
              <w:spacing w:line="194" w:lineRule="exact"/>
              <w:ind w:right="100"/>
              <w:jc w:val="right"/>
              <w:rPr>
                <w:sz w:val="17"/>
              </w:rPr>
            </w:pPr>
            <w:hyperlink w:anchor="_bookmark78" w:history="1">
              <w:r>
                <w:rPr>
                  <w:sz w:val="17"/>
                </w:rPr>
                <w:t>Sección</w:t>
              </w:r>
              <w:r>
                <w:rPr>
                  <w:spacing w:val="8"/>
                  <w:sz w:val="17"/>
                </w:rPr>
                <w:t xml:space="preserve"> </w:t>
              </w:r>
              <w:r>
                <w:rPr>
                  <w:sz w:val="17"/>
                </w:rPr>
                <w:t>4.ª</w:t>
              </w:r>
              <w:r>
                <w:rPr>
                  <w:spacing w:val="8"/>
                  <w:sz w:val="17"/>
                </w:rPr>
                <w:t xml:space="preserve"> </w:t>
              </w:r>
              <w:r>
                <w:rPr>
                  <w:sz w:val="17"/>
                </w:rPr>
                <w:t>Derechos</w:t>
              </w:r>
              <w:r>
                <w:rPr>
                  <w:spacing w:val="8"/>
                  <w:sz w:val="17"/>
                </w:rPr>
                <w:t xml:space="preserve"> </w:t>
              </w:r>
              <w:r>
                <w:rPr>
                  <w:sz w:val="17"/>
                </w:rPr>
                <w:t>y</w:t>
              </w:r>
              <w:r>
                <w:rPr>
                  <w:spacing w:val="8"/>
                  <w:sz w:val="17"/>
                </w:rPr>
                <w:t xml:space="preserve"> </w:t>
              </w:r>
              <w:r>
                <w:rPr>
                  <w:sz w:val="17"/>
                </w:rPr>
                <w:t>obligaciones</w:t>
              </w:r>
              <w:r>
                <w:rPr>
                  <w:spacing w:val="8"/>
                  <w:sz w:val="17"/>
                </w:rPr>
                <w:t xml:space="preserve"> </w:t>
              </w:r>
              <w:r>
                <w:rPr>
                  <w:sz w:val="17"/>
                </w:rPr>
                <w:t>del</w:t>
              </w:r>
              <w:r>
                <w:rPr>
                  <w:spacing w:val="9"/>
                  <w:sz w:val="17"/>
                </w:rPr>
                <w:t xml:space="preserve"> </w:t>
              </w:r>
              <w:r>
                <w:rPr>
                  <w:sz w:val="17"/>
                </w:rPr>
                <w:t>concesionario</w:t>
              </w:r>
              <w:r>
                <w:rPr>
                  <w:spacing w:val="8"/>
                  <w:sz w:val="17"/>
                </w:rPr>
                <w:t xml:space="preserve"> </w:t>
              </w:r>
              <w:r>
                <w:rPr>
                  <w:sz w:val="17"/>
                </w:rPr>
                <w:t>y</w:t>
              </w:r>
              <w:r>
                <w:rPr>
                  <w:spacing w:val="8"/>
                  <w:sz w:val="17"/>
                </w:rPr>
                <w:t xml:space="preserve"> </w:t>
              </w:r>
              <w:r>
                <w:rPr>
                  <w:sz w:val="17"/>
                </w:rPr>
                <w:t>prerrogativas</w:t>
              </w:r>
              <w:r>
                <w:rPr>
                  <w:spacing w:val="8"/>
                  <w:sz w:val="17"/>
                </w:rPr>
                <w:t xml:space="preserve"> </w:t>
              </w:r>
              <w:r>
                <w:rPr>
                  <w:sz w:val="17"/>
                </w:rPr>
                <w:t>de</w:t>
              </w:r>
              <w:r>
                <w:rPr>
                  <w:spacing w:val="8"/>
                  <w:sz w:val="17"/>
                </w:rPr>
                <w:t xml:space="preserve"> </w:t>
              </w:r>
              <w:r>
                <w:rPr>
                  <w:sz w:val="17"/>
                </w:rPr>
                <w:t>la</w:t>
              </w:r>
              <w:r>
                <w:rPr>
                  <w:spacing w:val="8"/>
                  <w:sz w:val="17"/>
                </w:rPr>
                <w:t xml:space="preserve"> </w:t>
              </w:r>
              <w:r>
                <w:rPr>
                  <w:sz w:val="17"/>
                </w:rPr>
                <w:t>Administración</w:t>
              </w:r>
              <w:r>
                <w:rPr>
                  <w:spacing w:val="9"/>
                  <w:sz w:val="17"/>
                </w:rPr>
                <w:t xml:space="preserve"> </w:t>
              </w:r>
              <w:r>
                <w:rPr>
                  <w:sz w:val="17"/>
                </w:rPr>
                <w:t>concedente</w:t>
              </w:r>
            </w:hyperlink>
            <w:r>
              <w:rPr>
                <w:spacing w:val="3"/>
                <w:sz w:val="17"/>
              </w:rPr>
              <w:t xml:space="preserve"> </w:t>
            </w:r>
            <w:r>
              <w:rPr>
                <w:spacing w:val="24"/>
                <w:sz w:val="17"/>
              </w:rPr>
              <w:t>.</w:t>
            </w:r>
            <w:r>
              <w:rPr>
                <w:spacing w:val="7"/>
                <w:sz w:val="17"/>
              </w:rPr>
              <w:t xml:space="preserve"> </w:t>
            </w:r>
            <w:r>
              <w:rPr>
                <w:spacing w:val="-10"/>
                <w:sz w:val="17"/>
              </w:rPr>
              <w:t>.</w:t>
            </w:r>
            <w:r>
              <w:rPr>
                <w:sz w:val="17"/>
              </w:rPr>
              <w:t xml:space="preserve"> </w:t>
            </w:r>
          </w:p>
        </w:tc>
        <w:tc>
          <w:tcPr>
            <w:tcW w:w="443" w:type="dxa"/>
          </w:tcPr>
          <w:p w:rsidR="0092635B" w:rsidRDefault="00000000">
            <w:pPr>
              <w:pStyle w:val="TableParagraph"/>
              <w:spacing w:before="4"/>
              <w:ind w:left="50"/>
              <w:jc w:val="center"/>
              <w:rPr>
                <w:sz w:val="17"/>
              </w:rPr>
            </w:pPr>
            <w:hyperlink w:anchor="_bookmark78" w:history="1">
              <w:r>
                <w:rPr>
                  <w:spacing w:val="-5"/>
                  <w:sz w:val="17"/>
                </w:rPr>
                <w:t>173</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79" w:history="1">
              <w:r>
                <w:rPr>
                  <w:sz w:val="17"/>
                </w:rPr>
                <w:t>Subsección</w:t>
              </w:r>
              <w:r>
                <w:rPr>
                  <w:spacing w:val="3"/>
                  <w:sz w:val="17"/>
                </w:rPr>
                <w:t xml:space="preserve"> </w:t>
              </w:r>
              <w:r>
                <w:rPr>
                  <w:sz w:val="17"/>
                </w:rPr>
                <w:t>1.ª</w:t>
              </w:r>
              <w:r>
                <w:rPr>
                  <w:spacing w:val="3"/>
                  <w:sz w:val="17"/>
                </w:rPr>
                <w:t xml:space="preserve"> </w:t>
              </w:r>
              <w:r>
                <w:rPr>
                  <w:sz w:val="17"/>
                </w:rPr>
                <w:t>Derechos</w:t>
              </w:r>
              <w:r>
                <w:rPr>
                  <w:spacing w:val="4"/>
                  <w:sz w:val="17"/>
                </w:rPr>
                <w:t xml:space="preserve"> </w:t>
              </w:r>
              <w:r>
                <w:rPr>
                  <w:sz w:val="17"/>
                </w:rPr>
                <w:t>y</w:t>
              </w:r>
              <w:r>
                <w:rPr>
                  <w:spacing w:val="3"/>
                  <w:sz w:val="17"/>
                </w:rPr>
                <w:t xml:space="preserve"> </w:t>
              </w:r>
              <w:r>
                <w:rPr>
                  <w:sz w:val="17"/>
                </w:rPr>
                <w:t>obligaciones</w:t>
              </w:r>
              <w:r>
                <w:rPr>
                  <w:spacing w:val="3"/>
                  <w:sz w:val="17"/>
                </w:rPr>
                <w:t xml:space="preserve"> </w:t>
              </w:r>
              <w:r>
                <w:rPr>
                  <w:sz w:val="17"/>
                </w:rPr>
                <w:t>del</w:t>
              </w:r>
              <w:r>
                <w:rPr>
                  <w:spacing w:val="4"/>
                  <w:sz w:val="17"/>
                </w:rPr>
                <w:t xml:space="preserve"> </w:t>
              </w:r>
              <w:r>
                <w:rPr>
                  <w:sz w:val="17"/>
                </w:rPr>
                <w:t>concesionario</w:t>
              </w:r>
              <w:r>
                <w:rPr>
                  <w:spacing w:val="6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79" w:history="1">
              <w:r>
                <w:rPr>
                  <w:spacing w:val="-5"/>
                  <w:sz w:val="17"/>
                </w:rPr>
                <w:t>173</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0" w:history="1">
              <w:r>
                <w:rPr>
                  <w:sz w:val="17"/>
                </w:rPr>
                <w:t>Subsección</w:t>
              </w:r>
              <w:r>
                <w:rPr>
                  <w:spacing w:val="3"/>
                  <w:sz w:val="17"/>
                </w:rPr>
                <w:t xml:space="preserve"> </w:t>
              </w:r>
              <w:r>
                <w:rPr>
                  <w:sz w:val="17"/>
                </w:rPr>
                <w:t>2.ª</w:t>
              </w:r>
              <w:r>
                <w:rPr>
                  <w:spacing w:val="3"/>
                  <w:sz w:val="17"/>
                </w:rPr>
                <w:t xml:space="preserve"> </w:t>
              </w:r>
              <w:r>
                <w:rPr>
                  <w:sz w:val="17"/>
                </w:rPr>
                <w:t>Prerrogativas</w:t>
              </w:r>
              <w:r>
                <w:rPr>
                  <w:spacing w:val="4"/>
                  <w:sz w:val="17"/>
                </w:rPr>
                <w:t xml:space="preserve"> </w:t>
              </w:r>
              <w:r>
                <w:rPr>
                  <w:sz w:val="17"/>
                </w:rPr>
                <w:t>y</w:t>
              </w:r>
              <w:r>
                <w:rPr>
                  <w:spacing w:val="3"/>
                  <w:sz w:val="17"/>
                </w:rPr>
                <w:t xml:space="preserve"> </w:t>
              </w:r>
              <w:r>
                <w:rPr>
                  <w:sz w:val="17"/>
                </w:rPr>
                <w:t>derechos</w:t>
              </w:r>
              <w:r>
                <w:rPr>
                  <w:spacing w:val="4"/>
                  <w:sz w:val="17"/>
                </w:rPr>
                <w:t xml:space="preserve"> </w:t>
              </w:r>
              <w:r>
                <w:rPr>
                  <w:sz w:val="17"/>
                </w:rPr>
                <w:t>de</w:t>
              </w:r>
              <w:r>
                <w:rPr>
                  <w:spacing w:val="3"/>
                  <w:sz w:val="17"/>
                </w:rPr>
                <w:t xml:space="preserve"> </w:t>
              </w:r>
              <w:r>
                <w:rPr>
                  <w:sz w:val="17"/>
                </w:rPr>
                <w:t>la</w:t>
              </w:r>
              <w:r>
                <w:rPr>
                  <w:spacing w:val="4"/>
                  <w:sz w:val="17"/>
                </w:rPr>
                <w:t xml:space="preserve"> </w:t>
              </w:r>
              <w:r>
                <w:rPr>
                  <w:sz w:val="17"/>
                </w:rPr>
                <w:t>Administración</w:t>
              </w:r>
              <w:r>
                <w:rPr>
                  <w:spacing w:val="5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0" w:history="1">
              <w:r>
                <w:rPr>
                  <w:spacing w:val="-5"/>
                  <w:sz w:val="17"/>
                </w:rPr>
                <w:t>174</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1" w:history="1">
              <w:r>
                <w:rPr>
                  <w:sz w:val="17"/>
                </w:rPr>
                <w:t>Sección</w:t>
              </w:r>
              <w:r>
                <w:rPr>
                  <w:spacing w:val="2"/>
                  <w:sz w:val="17"/>
                </w:rPr>
                <w:t xml:space="preserve"> </w:t>
              </w:r>
              <w:r>
                <w:rPr>
                  <w:sz w:val="17"/>
                </w:rPr>
                <w:t>5.ª</w:t>
              </w:r>
              <w:r>
                <w:rPr>
                  <w:spacing w:val="3"/>
                  <w:sz w:val="17"/>
                </w:rPr>
                <w:t xml:space="preserve"> </w:t>
              </w:r>
              <w:r>
                <w:rPr>
                  <w:sz w:val="17"/>
                </w:rPr>
                <w:t>Régimen</w:t>
              </w:r>
              <w:r>
                <w:rPr>
                  <w:spacing w:val="3"/>
                  <w:sz w:val="17"/>
                </w:rPr>
                <w:t xml:space="preserve"> </w:t>
              </w:r>
              <w:r>
                <w:rPr>
                  <w:sz w:val="17"/>
                </w:rPr>
                <w:t>económico</w:t>
              </w:r>
              <w:r>
                <w:rPr>
                  <w:spacing w:val="3"/>
                  <w:sz w:val="17"/>
                </w:rPr>
                <w:t xml:space="preserve"> </w:t>
              </w:r>
              <w:r>
                <w:rPr>
                  <w:sz w:val="17"/>
                </w:rPr>
                <w:t>financiero</w:t>
              </w:r>
              <w:r>
                <w:rPr>
                  <w:spacing w:val="3"/>
                  <w:sz w:val="17"/>
                </w:rPr>
                <w:t xml:space="preserve"> </w:t>
              </w:r>
              <w:r>
                <w:rPr>
                  <w:sz w:val="17"/>
                </w:rPr>
                <w:t>de</w:t>
              </w:r>
              <w:r>
                <w:rPr>
                  <w:spacing w:val="2"/>
                  <w:sz w:val="17"/>
                </w:rPr>
                <w:t xml:space="preserve"> </w:t>
              </w:r>
              <w:r>
                <w:rPr>
                  <w:sz w:val="17"/>
                </w:rPr>
                <w:t>la</w:t>
              </w:r>
              <w:r>
                <w:rPr>
                  <w:spacing w:val="3"/>
                  <w:sz w:val="17"/>
                </w:rPr>
                <w:t xml:space="preserve"> </w:t>
              </w:r>
              <w:r>
                <w:rPr>
                  <w:sz w:val="17"/>
                </w:rPr>
                <w:t>concesión</w:t>
              </w:r>
              <w:r>
                <w:rPr>
                  <w:spacing w:val="75"/>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1" w:history="1">
              <w:r>
                <w:rPr>
                  <w:spacing w:val="-5"/>
                  <w:sz w:val="17"/>
                </w:rPr>
                <w:t>176</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2" w:history="1">
              <w:r>
                <w:rPr>
                  <w:sz w:val="17"/>
                </w:rPr>
                <w:t>Sección</w:t>
              </w:r>
              <w:r>
                <w:rPr>
                  <w:spacing w:val="2"/>
                  <w:sz w:val="17"/>
                </w:rPr>
                <w:t xml:space="preserve"> </w:t>
              </w:r>
              <w:r>
                <w:rPr>
                  <w:sz w:val="17"/>
                </w:rPr>
                <w:t>6.ª</w:t>
              </w:r>
              <w:r>
                <w:rPr>
                  <w:spacing w:val="2"/>
                  <w:sz w:val="17"/>
                </w:rPr>
                <w:t xml:space="preserve"> </w:t>
              </w:r>
              <w:r>
                <w:rPr>
                  <w:sz w:val="17"/>
                </w:rPr>
                <w:t>Financiación</w:t>
              </w:r>
              <w:r>
                <w:rPr>
                  <w:spacing w:val="3"/>
                  <w:sz w:val="17"/>
                </w:rPr>
                <w:t xml:space="preserve"> </w:t>
              </w:r>
              <w:r>
                <w:rPr>
                  <w:sz w:val="17"/>
                </w:rPr>
                <w:t>privada</w:t>
              </w:r>
              <w:r>
                <w:rPr>
                  <w:spacing w:val="-27"/>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2" w:history="1">
              <w:r>
                <w:rPr>
                  <w:spacing w:val="-5"/>
                  <w:sz w:val="17"/>
                </w:rPr>
                <w:t>179</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3" w:history="1">
              <w:r>
                <w:rPr>
                  <w:sz w:val="17"/>
                </w:rPr>
                <w:t>Subsección</w:t>
              </w:r>
              <w:r>
                <w:rPr>
                  <w:spacing w:val="2"/>
                  <w:sz w:val="17"/>
                </w:rPr>
                <w:t xml:space="preserve"> </w:t>
              </w:r>
              <w:r>
                <w:rPr>
                  <w:sz w:val="17"/>
                </w:rPr>
                <w:t>1.ª</w:t>
              </w:r>
              <w:r>
                <w:rPr>
                  <w:spacing w:val="3"/>
                  <w:sz w:val="17"/>
                </w:rPr>
                <w:t xml:space="preserve"> </w:t>
              </w:r>
              <w:r>
                <w:rPr>
                  <w:sz w:val="17"/>
                </w:rPr>
                <w:t>Emisión</w:t>
              </w:r>
              <w:r>
                <w:rPr>
                  <w:spacing w:val="3"/>
                  <w:sz w:val="17"/>
                </w:rPr>
                <w:t xml:space="preserve"> </w:t>
              </w:r>
              <w:r>
                <w:rPr>
                  <w:sz w:val="17"/>
                </w:rPr>
                <w:t>de</w:t>
              </w:r>
              <w:r>
                <w:rPr>
                  <w:spacing w:val="3"/>
                  <w:sz w:val="17"/>
                </w:rPr>
                <w:t xml:space="preserve"> </w:t>
              </w:r>
              <w:r>
                <w:rPr>
                  <w:sz w:val="17"/>
                </w:rPr>
                <w:t>títulos</w:t>
              </w:r>
              <w:r>
                <w:rPr>
                  <w:spacing w:val="3"/>
                  <w:sz w:val="17"/>
                </w:rPr>
                <w:t xml:space="preserve"> </w:t>
              </w:r>
              <w:r>
                <w:rPr>
                  <w:sz w:val="17"/>
                </w:rPr>
                <w:t>por</w:t>
              </w:r>
              <w:r>
                <w:rPr>
                  <w:spacing w:val="3"/>
                  <w:sz w:val="17"/>
                </w:rPr>
                <w:t xml:space="preserve"> </w:t>
              </w:r>
              <w:r>
                <w:rPr>
                  <w:sz w:val="17"/>
                </w:rPr>
                <w:t>el</w:t>
              </w:r>
              <w:r>
                <w:rPr>
                  <w:spacing w:val="3"/>
                  <w:sz w:val="17"/>
                </w:rPr>
                <w:t xml:space="preserve"> </w:t>
              </w:r>
              <w:r>
                <w:rPr>
                  <w:sz w:val="17"/>
                </w:rPr>
                <w:t>concesionario</w:t>
              </w:r>
              <w:r>
                <w:rPr>
                  <w:spacing w:val="2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3" w:history="1">
              <w:r>
                <w:rPr>
                  <w:spacing w:val="-5"/>
                  <w:sz w:val="17"/>
                </w:rPr>
                <w:t>179</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4" w:history="1">
              <w:r>
                <w:rPr>
                  <w:sz w:val="17"/>
                </w:rPr>
                <w:t>Subsección</w:t>
              </w:r>
              <w:r>
                <w:rPr>
                  <w:spacing w:val="2"/>
                  <w:sz w:val="17"/>
                </w:rPr>
                <w:t xml:space="preserve"> </w:t>
              </w:r>
              <w:r>
                <w:rPr>
                  <w:sz w:val="17"/>
                </w:rPr>
                <w:t>2.ª</w:t>
              </w:r>
              <w:r>
                <w:rPr>
                  <w:spacing w:val="2"/>
                  <w:sz w:val="17"/>
                </w:rPr>
                <w:t xml:space="preserve"> </w:t>
              </w:r>
              <w:r>
                <w:rPr>
                  <w:sz w:val="17"/>
                </w:rPr>
                <w:t>Hipoteca</w:t>
              </w:r>
              <w:r>
                <w:rPr>
                  <w:spacing w:val="3"/>
                  <w:sz w:val="17"/>
                </w:rPr>
                <w:t xml:space="preserve"> </w:t>
              </w:r>
              <w:r>
                <w:rPr>
                  <w:sz w:val="17"/>
                </w:rPr>
                <w:t>de</w:t>
              </w:r>
              <w:r>
                <w:rPr>
                  <w:spacing w:val="2"/>
                  <w:sz w:val="17"/>
                </w:rPr>
                <w:t xml:space="preserve"> </w:t>
              </w:r>
              <w:r>
                <w:rPr>
                  <w:sz w:val="17"/>
                </w:rPr>
                <w:t>la</w:t>
              </w:r>
              <w:r>
                <w:rPr>
                  <w:spacing w:val="3"/>
                  <w:sz w:val="17"/>
                </w:rPr>
                <w:t xml:space="preserve"> </w:t>
              </w:r>
              <w:r>
                <w:rPr>
                  <w:sz w:val="17"/>
                </w:rPr>
                <w:t>concesión</w:t>
              </w:r>
              <w:r>
                <w:rPr>
                  <w:spacing w:val="-19"/>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4" w:history="1">
              <w:r>
                <w:rPr>
                  <w:spacing w:val="-5"/>
                  <w:sz w:val="17"/>
                </w:rPr>
                <w:t>180</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5" w:history="1">
              <w:r>
                <w:rPr>
                  <w:sz w:val="17"/>
                </w:rPr>
                <w:t>Subsección</w:t>
              </w:r>
              <w:r>
                <w:rPr>
                  <w:spacing w:val="2"/>
                  <w:sz w:val="17"/>
                </w:rPr>
                <w:t xml:space="preserve"> </w:t>
              </w:r>
              <w:r>
                <w:rPr>
                  <w:sz w:val="17"/>
                </w:rPr>
                <w:t>3.ª</w:t>
              </w:r>
              <w:r>
                <w:rPr>
                  <w:spacing w:val="3"/>
                  <w:sz w:val="17"/>
                </w:rPr>
                <w:t xml:space="preserve"> </w:t>
              </w:r>
              <w:r>
                <w:rPr>
                  <w:sz w:val="17"/>
                </w:rPr>
                <w:t>Otras</w:t>
              </w:r>
              <w:r>
                <w:rPr>
                  <w:spacing w:val="3"/>
                  <w:sz w:val="17"/>
                </w:rPr>
                <w:t xml:space="preserve"> </w:t>
              </w:r>
              <w:r>
                <w:rPr>
                  <w:sz w:val="17"/>
                </w:rPr>
                <w:t>fuentes</w:t>
              </w:r>
              <w:r>
                <w:rPr>
                  <w:spacing w:val="3"/>
                  <w:sz w:val="17"/>
                </w:rPr>
                <w:t xml:space="preserve"> </w:t>
              </w:r>
              <w:r>
                <w:rPr>
                  <w:sz w:val="17"/>
                </w:rPr>
                <w:t>de</w:t>
              </w:r>
              <w:r>
                <w:rPr>
                  <w:spacing w:val="2"/>
                  <w:sz w:val="17"/>
                </w:rPr>
                <w:t xml:space="preserve"> </w:t>
              </w:r>
              <w:r>
                <w:rPr>
                  <w:sz w:val="17"/>
                </w:rPr>
                <w:t>financiación</w:t>
              </w:r>
              <w:r>
                <w:rPr>
                  <w:spacing w:val="3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5" w:history="1">
              <w:r>
                <w:rPr>
                  <w:spacing w:val="-5"/>
                  <w:sz w:val="17"/>
                </w:rPr>
                <w:t>182</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6" w:history="1">
              <w:r>
                <w:rPr>
                  <w:sz w:val="17"/>
                </w:rPr>
                <w:t>Sección</w:t>
              </w:r>
              <w:r>
                <w:rPr>
                  <w:spacing w:val="2"/>
                  <w:sz w:val="17"/>
                </w:rPr>
                <w:t xml:space="preserve"> </w:t>
              </w:r>
              <w:r>
                <w:rPr>
                  <w:sz w:val="17"/>
                </w:rPr>
                <w:t>7.ª</w:t>
              </w:r>
              <w:r>
                <w:rPr>
                  <w:spacing w:val="3"/>
                  <w:sz w:val="17"/>
                </w:rPr>
                <w:t xml:space="preserve"> </w:t>
              </w:r>
              <w:r>
                <w:rPr>
                  <w:sz w:val="17"/>
                </w:rPr>
                <w:t>Extinción</w:t>
              </w:r>
              <w:r>
                <w:rPr>
                  <w:spacing w:val="3"/>
                  <w:sz w:val="17"/>
                </w:rPr>
                <w:t xml:space="preserve"> </w:t>
              </w:r>
              <w:r>
                <w:rPr>
                  <w:sz w:val="17"/>
                </w:rPr>
                <w:t>de</w:t>
              </w:r>
              <w:r>
                <w:rPr>
                  <w:spacing w:val="2"/>
                  <w:sz w:val="17"/>
                </w:rPr>
                <w:t xml:space="preserve"> </w:t>
              </w:r>
              <w:r>
                <w:rPr>
                  <w:sz w:val="17"/>
                </w:rPr>
                <w:t>las</w:t>
              </w:r>
              <w:r>
                <w:rPr>
                  <w:spacing w:val="3"/>
                  <w:sz w:val="17"/>
                </w:rPr>
                <w:t xml:space="preserve"> </w:t>
              </w:r>
              <w:r>
                <w:rPr>
                  <w:sz w:val="17"/>
                </w:rPr>
                <w:t>concesiones</w:t>
              </w:r>
              <w:r>
                <w:rPr>
                  <w:spacing w:val="53"/>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6" w:history="1">
              <w:r>
                <w:rPr>
                  <w:spacing w:val="-5"/>
                  <w:sz w:val="17"/>
                </w:rPr>
                <w:t>182</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7" w:history="1">
              <w:r>
                <w:rPr>
                  <w:sz w:val="17"/>
                </w:rPr>
                <w:t>CAPÍTULO</w:t>
              </w:r>
              <w:r>
                <w:rPr>
                  <w:spacing w:val="3"/>
                  <w:sz w:val="17"/>
                </w:rPr>
                <w:t xml:space="preserve"> </w:t>
              </w:r>
              <w:r>
                <w:rPr>
                  <w:sz w:val="17"/>
                </w:rPr>
                <w:t>III.</w:t>
              </w:r>
              <w:r>
                <w:rPr>
                  <w:spacing w:val="3"/>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3"/>
                  <w:sz w:val="17"/>
                </w:rPr>
                <w:t xml:space="preserve"> </w:t>
              </w:r>
              <w:r>
                <w:rPr>
                  <w:sz w:val="17"/>
                </w:rPr>
                <w:t>concesión</w:t>
              </w:r>
              <w:r>
                <w:rPr>
                  <w:spacing w:val="3"/>
                  <w:sz w:val="17"/>
                </w:rPr>
                <w:t xml:space="preserve"> </w:t>
              </w:r>
              <w:r>
                <w:rPr>
                  <w:sz w:val="17"/>
                </w:rPr>
                <w:t>de</w:t>
              </w:r>
              <w:r>
                <w:rPr>
                  <w:spacing w:val="3"/>
                  <w:sz w:val="17"/>
                </w:rPr>
                <w:t xml:space="preserve"> </w:t>
              </w:r>
              <w:r>
                <w:rPr>
                  <w:sz w:val="17"/>
                </w:rPr>
                <w:t>servicios</w:t>
              </w:r>
              <w:r>
                <w:rPr>
                  <w:spacing w:val="-1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7" w:history="1">
              <w:r>
                <w:rPr>
                  <w:spacing w:val="-5"/>
                  <w:sz w:val="17"/>
                </w:rPr>
                <w:t>186</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8" w:history="1">
              <w:r>
                <w:rPr>
                  <w:sz w:val="17"/>
                </w:rPr>
                <w:t>Sección</w:t>
              </w:r>
              <w:r>
                <w:rPr>
                  <w:spacing w:val="3"/>
                  <w:sz w:val="17"/>
                </w:rPr>
                <w:t xml:space="preserve"> </w:t>
              </w:r>
              <w:r>
                <w:rPr>
                  <w:sz w:val="17"/>
                </w:rPr>
                <w:t>1.ª</w:t>
              </w:r>
              <w:r>
                <w:rPr>
                  <w:spacing w:val="3"/>
                  <w:sz w:val="17"/>
                </w:rPr>
                <w:t xml:space="preserve"> </w:t>
              </w:r>
              <w:r>
                <w:rPr>
                  <w:sz w:val="17"/>
                </w:rPr>
                <w:t>Delimitación</w:t>
              </w:r>
              <w:r>
                <w:rPr>
                  <w:spacing w:val="3"/>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3"/>
                  <w:sz w:val="17"/>
                </w:rPr>
                <w:t xml:space="preserve"> </w:t>
              </w:r>
              <w:r>
                <w:rPr>
                  <w:sz w:val="17"/>
                </w:rPr>
                <w:t>concesión</w:t>
              </w:r>
              <w:r>
                <w:rPr>
                  <w:spacing w:val="3"/>
                  <w:sz w:val="17"/>
                </w:rPr>
                <w:t xml:space="preserve"> </w:t>
              </w:r>
              <w:r>
                <w:rPr>
                  <w:sz w:val="17"/>
                </w:rPr>
                <w:t>de</w:t>
              </w:r>
              <w:r>
                <w:rPr>
                  <w:spacing w:val="3"/>
                  <w:sz w:val="17"/>
                </w:rPr>
                <w:t xml:space="preserve"> </w:t>
              </w:r>
              <w:r>
                <w:rPr>
                  <w:sz w:val="17"/>
                </w:rPr>
                <w:t>servicios</w:t>
              </w:r>
              <w:r>
                <w:rPr>
                  <w:spacing w:val="1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8" w:history="1">
              <w:r>
                <w:rPr>
                  <w:spacing w:val="-5"/>
                  <w:sz w:val="17"/>
                </w:rPr>
                <w:t>186</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89" w:history="1">
              <w:r>
                <w:rPr>
                  <w:sz w:val="17"/>
                </w:rPr>
                <w:t>Sección</w:t>
              </w:r>
              <w:r>
                <w:rPr>
                  <w:spacing w:val="2"/>
                  <w:sz w:val="17"/>
                </w:rPr>
                <w:t xml:space="preserve"> </w:t>
              </w:r>
              <w:r>
                <w:rPr>
                  <w:sz w:val="17"/>
                </w:rPr>
                <w:t>2.ª</w:t>
              </w:r>
              <w:r>
                <w:rPr>
                  <w:spacing w:val="2"/>
                  <w:sz w:val="17"/>
                </w:rPr>
                <w:t xml:space="preserve"> </w:t>
              </w:r>
              <w:r>
                <w:rPr>
                  <w:sz w:val="17"/>
                </w:rPr>
                <w:t>Régimen</w:t>
              </w:r>
              <w:r>
                <w:rPr>
                  <w:spacing w:val="2"/>
                  <w:sz w:val="17"/>
                </w:rPr>
                <w:t xml:space="preserve"> </w:t>
              </w:r>
              <w:r>
                <w:rPr>
                  <w:sz w:val="17"/>
                </w:rPr>
                <w:t>jurídico</w:t>
              </w:r>
              <w:r>
                <w:rPr>
                  <w:spacing w:val="27"/>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89" w:history="1">
              <w:r>
                <w:rPr>
                  <w:spacing w:val="-5"/>
                  <w:sz w:val="17"/>
                </w:rPr>
                <w:t>186</w:t>
              </w:r>
            </w:hyperlink>
          </w:p>
        </w:tc>
      </w:tr>
      <w:tr w:rsidR="0092635B">
        <w:trPr>
          <w:trHeight w:val="440"/>
        </w:trPr>
        <w:tc>
          <w:tcPr>
            <w:tcW w:w="9068" w:type="dxa"/>
          </w:tcPr>
          <w:p w:rsidR="0092635B" w:rsidRDefault="00000000">
            <w:pPr>
              <w:pStyle w:val="TableParagraph"/>
              <w:spacing w:before="118"/>
              <w:ind w:right="100"/>
              <w:jc w:val="right"/>
              <w:rPr>
                <w:sz w:val="17"/>
              </w:rPr>
            </w:pPr>
            <w:hyperlink w:anchor="_bookmark90" w:history="1">
              <w:r>
                <w:rPr>
                  <w:sz w:val="17"/>
                </w:rPr>
                <w:t>Subsección</w:t>
              </w:r>
              <w:r>
                <w:rPr>
                  <w:spacing w:val="5"/>
                  <w:sz w:val="17"/>
                </w:rPr>
                <w:t xml:space="preserve"> </w:t>
              </w:r>
              <w:r>
                <w:rPr>
                  <w:sz w:val="17"/>
                </w:rPr>
                <w:t>1.ª</w:t>
              </w:r>
              <w:r>
                <w:rPr>
                  <w:spacing w:val="5"/>
                  <w:sz w:val="17"/>
                </w:rPr>
                <w:t xml:space="preserve"> </w:t>
              </w:r>
              <w:r>
                <w:rPr>
                  <w:sz w:val="17"/>
                </w:rPr>
                <w:t>Actuaciones</w:t>
              </w:r>
              <w:r>
                <w:rPr>
                  <w:spacing w:val="5"/>
                  <w:sz w:val="17"/>
                </w:rPr>
                <w:t xml:space="preserve"> </w:t>
              </w:r>
              <w:r>
                <w:rPr>
                  <w:sz w:val="17"/>
                </w:rPr>
                <w:t>preparatorias</w:t>
              </w:r>
              <w:r>
                <w:rPr>
                  <w:spacing w:val="5"/>
                  <w:sz w:val="17"/>
                </w:rPr>
                <w:t xml:space="preserve"> </w:t>
              </w:r>
              <w:r>
                <w:rPr>
                  <w:sz w:val="17"/>
                </w:rPr>
                <w:t>del</w:t>
              </w:r>
              <w:r>
                <w:rPr>
                  <w:spacing w:val="5"/>
                  <w:sz w:val="17"/>
                </w:rPr>
                <w:t xml:space="preserve"> </w:t>
              </w:r>
              <w:r>
                <w:rPr>
                  <w:sz w:val="17"/>
                </w:rPr>
                <w:t>contrato</w:t>
              </w:r>
              <w:r>
                <w:rPr>
                  <w:spacing w:val="5"/>
                  <w:sz w:val="17"/>
                </w:rPr>
                <w:t xml:space="preserve"> </w:t>
              </w:r>
              <w:r>
                <w:rPr>
                  <w:sz w:val="17"/>
                </w:rPr>
                <w:t>de</w:t>
              </w:r>
              <w:r>
                <w:rPr>
                  <w:spacing w:val="5"/>
                  <w:sz w:val="17"/>
                </w:rPr>
                <w:t xml:space="preserve"> </w:t>
              </w:r>
              <w:r>
                <w:rPr>
                  <w:sz w:val="17"/>
                </w:rPr>
                <w:t>concesión</w:t>
              </w:r>
              <w:r>
                <w:rPr>
                  <w:spacing w:val="5"/>
                  <w:sz w:val="17"/>
                </w:rPr>
                <w:t xml:space="preserve"> </w:t>
              </w:r>
              <w:r>
                <w:rPr>
                  <w:sz w:val="17"/>
                </w:rPr>
                <w:t>de</w:t>
              </w:r>
              <w:r>
                <w:rPr>
                  <w:spacing w:val="5"/>
                  <w:sz w:val="17"/>
                </w:rPr>
                <w:t xml:space="preserve"> </w:t>
              </w:r>
              <w:r>
                <w:rPr>
                  <w:sz w:val="17"/>
                </w:rPr>
                <w:t>servicios</w:t>
              </w:r>
              <w:r>
                <w:rPr>
                  <w:spacing w:val="11"/>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0" w:history="1">
              <w:r>
                <w:rPr>
                  <w:spacing w:val="-5"/>
                  <w:sz w:val="17"/>
                </w:rPr>
                <w:t>186</w:t>
              </w:r>
            </w:hyperlink>
          </w:p>
        </w:tc>
      </w:tr>
      <w:tr w:rsidR="0092635B">
        <w:trPr>
          <w:trHeight w:val="440"/>
        </w:trPr>
        <w:tc>
          <w:tcPr>
            <w:tcW w:w="9068" w:type="dxa"/>
          </w:tcPr>
          <w:p w:rsidR="0092635B" w:rsidRDefault="00000000">
            <w:pPr>
              <w:pStyle w:val="TableParagraph"/>
              <w:spacing w:before="118"/>
              <w:ind w:right="100"/>
              <w:jc w:val="right"/>
              <w:rPr>
                <w:sz w:val="17"/>
              </w:rPr>
            </w:pPr>
            <w:hyperlink w:anchor="_bookmark91" w:history="1">
              <w:r>
                <w:rPr>
                  <w:sz w:val="17"/>
                </w:rPr>
                <w:t>Subsección</w:t>
              </w:r>
              <w:r>
                <w:rPr>
                  <w:spacing w:val="4"/>
                  <w:sz w:val="17"/>
                </w:rPr>
                <w:t xml:space="preserve"> </w:t>
              </w:r>
              <w:r>
                <w:rPr>
                  <w:sz w:val="17"/>
                </w:rPr>
                <w:t>2.ª</w:t>
              </w:r>
              <w:r>
                <w:rPr>
                  <w:spacing w:val="5"/>
                  <w:sz w:val="17"/>
                </w:rPr>
                <w:t xml:space="preserve"> </w:t>
              </w:r>
              <w:r>
                <w:rPr>
                  <w:sz w:val="17"/>
                </w:rPr>
                <w:t>Efectos,</w:t>
              </w:r>
              <w:r>
                <w:rPr>
                  <w:spacing w:val="5"/>
                  <w:sz w:val="17"/>
                </w:rPr>
                <w:t xml:space="preserve"> </w:t>
              </w:r>
              <w:r>
                <w:rPr>
                  <w:sz w:val="17"/>
                </w:rPr>
                <w:t>cumplimiento</w:t>
              </w:r>
              <w:r>
                <w:rPr>
                  <w:spacing w:val="4"/>
                  <w:sz w:val="17"/>
                </w:rPr>
                <w:t xml:space="preserve"> </w:t>
              </w:r>
              <w:r>
                <w:rPr>
                  <w:sz w:val="17"/>
                </w:rPr>
                <w:t>y</w:t>
              </w:r>
              <w:r>
                <w:rPr>
                  <w:spacing w:val="5"/>
                  <w:sz w:val="17"/>
                </w:rPr>
                <w:t xml:space="preserve"> </w:t>
              </w:r>
              <w:r>
                <w:rPr>
                  <w:sz w:val="17"/>
                </w:rPr>
                <w:t>extinción</w:t>
              </w:r>
              <w:r>
                <w:rPr>
                  <w:spacing w:val="5"/>
                  <w:sz w:val="17"/>
                </w:rPr>
                <w:t xml:space="preserve"> </w:t>
              </w:r>
              <w:r>
                <w:rPr>
                  <w:sz w:val="17"/>
                </w:rPr>
                <w:t>del</w:t>
              </w:r>
              <w:r>
                <w:rPr>
                  <w:spacing w:val="5"/>
                  <w:sz w:val="17"/>
                </w:rPr>
                <w:t xml:space="preserve"> </w:t>
              </w:r>
              <w:r>
                <w:rPr>
                  <w:sz w:val="17"/>
                </w:rPr>
                <w:t>contrato</w:t>
              </w:r>
              <w:r>
                <w:rPr>
                  <w:spacing w:val="4"/>
                  <w:sz w:val="17"/>
                </w:rPr>
                <w:t xml:space="preserve"> </w:t>
              </w:r>
              <w:r>
                <w:rPr>
                  <w:sz w:val="17"/>
                </w:rPr>
                <w:t>de</w:t>
              </w:r>
              <w:r>
                <w:rPr>
                  <w:spacing w:val="5"/>
                  <w:sz w:val="17"/>
                </w:rPr>
                <w:t xml:space="preserve"> </w:t>
              </w:r>
              <w:r>
                <w:rPr>
                  <w:sz w:val="17"/>
                </w:rPr>
                <w:t>concesión</w:t>
              </w:r>
              <w:r>
                <w:rPr>
                  <w:spacing w:val="5"/>
                  <w:sz w:val="17"/>
                </w:rPr>
                <w:t xml:space="preserve"> </w:t>
              </w:r>
              <w:r>
                <w:rPr>
                  <w:sz w:val="17"/>
                </w:rPr>
                <w:t>de</w:t>
              </w:r>
              <w:r>
                <w:rPr>
                  <w:spacing w:val="4"/>
                  <w:sz w:val="17"/>
                </w:rPr>
                <w:t xml:space="preserve"> </w:t>
              </w:r>
              <w:r>
                <w:rPr>
                  <w:sz w:val="17"/>
                </w:rPr>
                <w:t>servicios</w:t>
              </w:r>
              <w:r>
                <w:rPr>
                  <w:spacing w:val="61"/>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1" w:history="1">
              <w:r>
                <w:rPr>
                  <w:spacing w:val="-5"/>
                  <w:sz w:val="17"/>
                </w:rPr>
                <w:t>187</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2" w:history="1">
              <w:r>
                <w:rPr>
                  <w:sz w:val="17"/>
                </w:rPr>
                <w:t>Sección</w:t>
              </w:r>
              <w:r>
                <w:rPr>
                  <w:spacing w:val="4"/>
                  <w:sz w:val="17"/>
                </w:rPr>
                <w:t xml:space="preserve"> </w:t>
              </w:r>
              <w:r>
                <w:rPr>
                  <w:sz w:val="17"/>
                </w:rPr>
                <w:t>3.ª</w:t>
              </w:r>
              <w:r>
                <w:rPr>
                  <w:spacing w:val="4"/>
                  <w:sz w:val="17"/>
                </w:rPr>
                <w:t xml:space="preserve"> </w:t>
              </w:r>
              <w:r>
                <w:rPr>
                  <w:sz w:val="17"/>
                </w:rPr>
                <w:t>Ejecución</w:t>
              </w:r>
              <w:r>
                <w:rPr>
                  <w:spacing w:val="4"/>
                  <w:sz w:val="17"/>
                </w:rPr>
                <w:t xml:space="preserve"> </w:t>
              </w:r>
              <w:r>
                <w:rPr>
                  <w:sz w:val="17"/>
                </w:rPr>
                <w:t>del</w:t>
              </w:r>
              <w:r>
                <w:rPr>
                  <w:spacing w:val="4"/>
                  <w:sz w:val="17"/>
                </w:rPr>
                <w:t xml:space="preserve"> </w:t>
              </w:r>
              <w:r>
                <w:rPr>
                  <w:sz w:val="17"/>
                </w:rPr>
                <w:t>contrato</w:t>
              </w:r>
              <w:r>
                <w:rPr>
                  <w:spacing w:val="4"/>
                  <w:sz w:val="17"/>
                </w:rPr>
                <w:t xml:space="preserve"> </w:t>
              </w:r>
              <w:r>
                <w:rPr>
                  <w:sz w:val="17"/>
                </w:rPr>
                <w:t>de</w:t>
              </w:r>
              <w:r>
                <w:rPr>
                  <w:spacing w:val="4"/>
                  <w:sz w:val="17"/>
                </w:rPr>
                <w:t xml:space="preserve"> </w:t>
              </w:r>
              <w:r>
                <w:rPr>
                  <w:sz w:val="17"/>
                </w:rPr>
                <w:t>concesión</w:t>
              </w:r>
              <w:r>
                <w:rPr>
                  <w:spacing w:val="4"/>
                  <w:sz w:val="17"/>
                </w:rPr>
                <w:t xml:space="preserve"> </w:t>
              </w:r>
              <w:r>
                <w:rPr>
                  <w:sz w:val="17"/>
                </w:rPr>
                <w:t>de</w:t>
              </w:r>
              <w:r>
                <w:rPr>
                  <w:spacing w:val="4"/>
                  <w:sz w:val="17"/>
                </w:rPr>
                <w:t xml:space="preserve"> </w:t>
              </w:r>
              <w:r>
                <w:rPr>
                  <w:sz w:val="17"/>
                </w:rPr>
                <w:t>servicios.</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2" w:history="1">
              <w:r>
                <w:rPr>
                  <w:spacing w:val="-5"/>
                  <w:sz w:val="17"/>
                </w:rPr>
                <w:t>187</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3" w:history="1">
              <w:r>
                <w:rPr>
                  <w:sz w:val="17"/>
                </w:rPr>
                <w:t>Sección</w:t>
              </w:r>
              <w:r>
                <w:rPr>
                  <w:spacing w:val="3"/>
                  <w:sz w:val="17"/>
                </w:rPr>
                <w:t xml:space="preserve"> </w:t>
              </w:r>
              <w:r>
                <w:rPr>
                  <w:sz w:val="17"/>
                </w:rPr>
                <w:t>4.ª</w:t>
              </w:r>
              <w:r>
                <w:rPr>
                  <w:spacing w:val="3"/>
                  <w:sz w:val="17"/>
                </w:rPr>
                <w:t xml:space="preserve"> </w:t>
              </w:r>
              <w:r>
                <w:rPr>
                  <w:sz w:val="17"/>
                </w:rPr>
                <w:t>Modificación</w:t>
              </w:r>
              <w:r>
                <w:rPr>
                  <w:spacing w:val="3"/>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3"/>
                  <w:sz w:val="17"/>
                </w:rPr>
                <w:t xml:space="preserve"> </w:t>
              </w:r>
              <w:r>
                <w:rPr>
                  <w:sz w:val="17"/>
                </w:rPr>
                <w:t>concesión</w:t>
              </w:r>
              <w:r>
                <w:rPr>
                  <w:spacing w:val="4"/>
                  <w:sz w:val="17"/>
                </w:rPr>
                <w:t xml:space="preserve"> </w:t>
              </w:r>
              <w:r>
                <w:rPr>
                  <w:sz w:val="17"/>
                </w:rPr>
                <w:t>de</w:t>
              </w:r>
              <w:r>
                <w:rPr>
                  <w:spacing w:val="3"/>
                  <w:sz w:val="17"/>
                </w:rPr>
                <w:t xml:space="preserve"> </w:t>
              </w:r>
              <w:r>
                <w:rPr>
                  <w:sz w:val="17"/>
                </w:rPr>
                <w:t>servicios</w:t>
              </w:r>
              <w:r>
                <w:rPr>
                  <w:spacing w:val="-9"/>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3" w:history="1">
              <w:r>
                <w:rPr>
                  <w:spacing w:val="-5"/>
                  <w:sz w:val="17"/>
                </w:rPr>
                <w:t>188</w:t>
              </w:r>
            </w:hyperlink>
          </w:p>
        </w:tc>
      </w:tr>
      <w:tr w:rsidR="0092635B">
        <w:trPr>
          <w:trHeight w:val="440"/>
        </w:trPr>
        <w:tc>
          <w:tcPr>
            <w:tcW w:w="9068" w:type="dxa"/>
          </w:tcPr>
          <w:p w:rsidR="0092635B" w:rsidRDefault="00000000">
            <w:pPr>
              <w:pStyle w:val="TableParagraph"/>
              <w:spacing w:before="118"/>
              <w:ind w:right="100"/>
              <w:jc w:val="right"/>
              <w:rPr>
                <w:sz w:val="17"/>
              </w:rPr>
            </w:pPr>
            <w:hyperlink w:anchor="_bookmark94" w:history="1">
              <w:r>
                <w:rPr>
                  <w:sz w:val="17"/>
                </w:rPr>
                <w:t>Sección</w:t>
              </w:r>
              <w:r>
                <w:rPr>
                  <w:spacing w:val="3"/>
                  <w:sz w:val="17"/>
                </w:rPr>
                <w:t xml:space="preserve"> </w:t>
              </w:r>
              <w:r>
                <w:rPr>
                  <w:sz w:val="17"/>
                </w:rPr>
                <w:t>5.ª</w:t>
              </w:r>
              <w:r>
                <w:rPr>
                  <w:spacing w:val="4"/>
                  <w:sz w:val="17"/>
                </w:rPr>
                <w:t xml:space="preserve"> </w:t>
              </w:r>
              <w:r>
                <w:rPr>
                  <w:sz w:val="17"/>
                </w:rPr>
                <w:t>Cumplimiento</w:t>
              </w:r>
              <w:r>
                <w:rPr>
                  <w:spacing w:val="4"/>
                  <w:sz w:val="17"/>
                </w:rPr>
                <w:t xml:space="preserve"> </w:t>
              </w:r>
              <w:r>
                <w:rPr>
                  <w:sz w:val="17"/>
                </w:rPr>
                <w:t>y</w:t>
              </w:r>
              <w:r>
                <w:rPr>
                  <w:spacing w:val="4"/>
                  <w:sz w:val="17"/>
                </w:rPr>
                <w:t xml:space="preserve"> </w:t>
              </w:r>
              <w:r>
                <w:rPr>
                  <w:sz w:val="17"/>
                </w:rPr>
                <w:t>efectos</w:t>
              </w:r>
              <w:r>
                <w:rPr>
                  <w:spacing w:val="3"/>
                  <w:sz w:val="17"/>
                </w:rPr>
                <w:t xml:space="preserve"> </w:t>
              </w:r>
              <w:r>
                <w:rPr>
                  <w:sz w:val="17"/>
                </w:rPr>
                <w:t>del</w:t>
              </w:r>
              <w:r>
                <w:rPr>
                  <w:spacing w:val="4"/>
                  <w:sz w:val="17"/>
                </w:rPr>
                <w:t xml:space="preserve"> </w:t>
              </w:r>
              <w:r>
                <w:rPr>
                  <w:sz w:val="17"/>
                </w:rPr>
                <w:t>contrato</w:t>
              </w:r>
              <w:r>
                <w:rPr>
                  <w:spacing w:val="4"/>
                  <w:sz w:val="17"/>
                </w:rPr>
                <w:t xml:space="preserve"> </w:t>
              </w:r>
              <w:r>
                <w:rPr>
                  <w:sz w:val="17"/>
                </w:rPr>
                <w:t>de</w:t>
              </w:r>
              <w:r>
                <w:rPr>
                  <w:spacing w:val="4"/>
                  <w:sz w:val="17"/>
                </w:rPr>
                <w:t xml:space="preserve"> </w:t>
              </w:r>
              <w:r>
                <w:rPr>
                  <w:sz w:val="17"/>
                </w:rPr>
                <w:t>concesión</w:t>
              </w:r>
              <w:r>
                <w:rPr>
                  <w:spacing w:val="3"/>
                  <w:sz w:val="17"/>
                </w:rPr>
                <w:t xml:space="preserve"> </w:t>
              </w:r>
              <w:r>
                <w:rPr>
                  <w:sz w:val="17"/>
                </w:rPr>
                <w:t>de</w:t>
              </w:r>
              <w:r>
                <w:rPr>
                  <w:spacing w:val="4"/>
                  <w:sz w:val="17"/>
                </w:rPr>
                <w:t xml:space="preserve"> </w:t>
              </w:r>
              <w:r>
                <w:rPr>
                  <w:sz w:val="17"/>
                </w:rPr>
                <w:t>servicios</w:t>
              </w:r>
              <w:r>
                <w:rPr>
                  <w:spacing w:val="-14"/>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4" w:history="1">
              <w:r>
                <w:rPr>
                  <w:spacing w:val="-5"/>
                  <w:sz w:val="17"/>
                </w:rPr>
                <w:t>189</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5" w:history="1">
              <w:r>
                <w:rPr>
                  <w:sz w:val="17"/>
                </w:rPr>
                <w:t>Sección</w:t>
              </w:r>
              <w:r>
                <w:rPr>
                  <w:spacing w:val="3"/>
                  <w:sz w:val="17"/>
                </w:rPr>
                <w:t xml:space="preserve"> </w:t>
              </w:r>
              <w:r>
                <w:rPr>
                  <w:sz w:val="17"/>
                </w:rPr>
                <w:t>6.ª</w:t>
              </w:r>
              <w:r>
                <w:rPr>
                  <w:spacing w:val="3"/>
                  <w:sz w:val="17"/>
                </w:rPr>
                <w:t xml:space="preserve"> </w:t>
              </w:r>
              <w:r>
                <w:rPr>
                  <w:sz w:val="17"/>
                </w:rPr>
                <w:t>Resolución</w:t>
              </w:r>
              <w:r>
                <w:rPr>
                  <w:spacing w:val="3"/>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3"/>
                  <w:sz w:val="17"/>
                </w:rPr>
                <w:t xml:space="preserve"> </w:t>
              </w:r>
              <w:r>
                <w:rPr>
                  <w:sz w:val="17"/>
                </w:rPr>
                <w:t>concesión</w:t>
              </w:r>
              <w:r>
                <w:rPr>
                  <w:spacing w:val="3"/>
                  <w:sz w:val="17"/>
                </w:rPr>
                <w:t xml:space="preserve"> </w:t>
              </w:r>
              <w:r>
                <w:rPr>
                  <w:sz w:val="17"/>
                </w:rPr>
                <w:t>de</w:t>
              </w:r>
              <w:r>
                <w:rPr>
                  <w:spacing w:val="4"/>
                  <w:sz w:val="17"/>
                </w:rPr>
                <w:t xml:space="preserve"> </w:t>
              </w:r>
              <w:r>
                <w:rPr>
                  <w:sz w:val="17"/>
                </w:rPr>
                <w:t>servicios</w:t>
              </w:r>
              <w:r>
                <w:rPr>
                  <w:spacing w:val="-2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5" w:history="1">
              <w:r>
                <w:rPr>
                  <w:spacing w:val="-5"/>
                  <w:sz w:val="17"/>
                </w:rPr>
                <w:t>190</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6" w:history="1">
              <w:r>
                <w:rPr>
                  <w:sz w:val="17"/>
                </w:rPr>
                <w:t>Sección</w:t>
              </w:r>
              <w:r>
                <w:rPr>
                  <w:spacing w:val="3"/>
                  <w:sz w:val="17"/>
                </w:rPr>
                <w:t xml:space="preserve"> </w:t>
              </w:r>
              <w:r>
                <w:rPr>
                  <w:sz w:val="17"/>
                </w:rPr>
                <w:t>7.ª</w:t>
              </w:r>
              <w:r>
                <w:rPr>
                  <w:spacing w:val="3"/>
                  <w:sz w:val="17"/>
                </w:rPr>
                <w:t xml:space="preserve"> </w:t>
              </w:r>
              <w:r>
                <w:rPr>
                  <w:sz w:val="17"/>
                </w:rPr>
                <w:t>Subcontratación</w:t>
              </w:r>
              <w:r>
                <w:rPr>
                  <w:spacing w:val="3"/>
                  <w:sz w:val="17"/>
                </w:rPr>
                <w:t xml:space="preserve"> </w:t>
              </w:r>
              <w:r>
                <w:rPr>
                  <w:sz w:val="17"/>
                </w:rPr>
                <w:t>del</w:t>
              </w:r>
              <w:r>
                <w:rPr>
                  <w:spacing w:val="3"/>
                  <w:sz w:val="17"/>
                </w:rPr>
                <w:t xml:space="preserve"> </w:t>
              </w:r>
              <w:r>
                <w:rPr>
                  <w:sz w:val="17"/>
                </w:rPr>
                <w:t>contrato</w:t>
              </w:r>
              <w:r>
                <w:rPr>
                  <w:spacing w:val="4"/>
                  <w:sz w:val="17"/>
                </w:rPr>
                <w:t xml:space="preserve"> </w:t>
              </w:r>
              <w:r>
                <w:rPr>
                  <w:sz w:val="17"/>
                </w:rPr>
                <w:t>de</w:t>
              </w:r>
              <w:r>
                <w:rPr>
                  <w:spacing w:val="3"/>
                  <w:sz w:val="17"/>
                </w:rPr>
                <w:t xml:space="preserve"> </w:t>
              </w:r>
              <w:r>
                <w:rPr>
                  <w:sz w:val="17"/>
                </w:rPr>
                <w:t>concesión</w:t>
              </w:r>
              <w:r>
                <w:rPr>
                  <w:spacing w:val="3"/>
                  <w:sz w:val="17"/>
                </w:rPr>
                <w:t xml:space="preserve"> </w:t>
              </w:r>
              <w:r>
                <w:rPr>
                  <w:sz w:val="17"/>
                </w:rPr>
                <w:t>de</w:t>
              </w:r>
              <w:r>
                <w:rPr>
                  <w:spacing w:val="3"/>
                  <w:sz w:val="17"/>
                </w:rPr>
                <w:t xml:space="preserve"> </w:t>
              </w:r>
              <w:r>
                <w:rPr>
                  <w:sz w:val="17"/>
                </w:rPr>
                <w:t>servicios</w:t>
              </w:r>
              <w:r>
                <w:rPr>
                  <w:spacing w:val="6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6" w:history="1">
              <w:r>
                <w:rPr>
                  <w:spacing w:val="-5"/>
                  <w:sz w:val="17"/>
                </w:rPr>
                <w:t>191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7" w:history="1">
              <w:r>
                <w:rPr>
                  <w:sz w:val="17"/>
                </w:rPr>
                <w:t>Sección</w:t>
              </w:r>
              <w:r>
                <w:rPr>
                  <w:spacing w:val="3"/>
                  <w:sz w:val="17"/>
                </w:rPr>
                <w:t xml:space="preserve"> </w:t>
              </w:r>
              <w:r>
                <w:rPr>
                  <w:sz w:val="17"/>
                </w:rPr>
                <w:t>8.ª</w:t>
              </w:r>
              <w:r>
                <w:rPr>
                  <w:spacing w:val="3"/>
                  <w:sz w:val="17"/>
                </w:rPr>
                <w:t xml:space="preserve"> </w:t>
              </w:r>
              <w:r>
                <w:rPr>
                  <w:sz w:val="17"/>
                </w:rPr>
                <w:t>Regulación</w:t>
              </w:r>
              <w:r>
                <w:rPr>
                  <w:spacing w:val="4"/>
                  <w:sz w:val="17"/>
                </w:rPr>
                <w:t xml:space="preserve"> </w:t>
              </w:r>
              <w:r>
                <w:rPr>
                  <w:sz w:val="17"/>
                </w:rPr>
                <w:t>supletoria</w:t>
              </w:r>
              <w:r>
                <w:rPr>
                  <w:spacing w:val="3"/>
                  <w:sz w:val="17"/>
                </w:rPr>
                <w:t xml:space="preserve"> </w:t>
              </w:r>
              <w:r>
                <w:rPr>
                  <w:sz w:val="17"/>
                </w:rPr>
                <w:t>del</w:t>
              </w:r>
              <w:r>
                <w:rPr>
                  <w:spacing w:val="4"/>
                  <w:sz w:val="17"/>
                </w:rPr>
                <w:t xml:space="preserve"> </w:t>
              </w:r>
              <w:r>
                <w:rPr>
                  <w:sz w:val="17"/>
                </w:rPr>
                <w:t>contrato</w:t>
              </w:r>
              <w:r>
                <w:rPr>
                  <w:spacing w:val="3"/>
                  <w:sz w:val="17"/>
                </w:rPr>
                <w:t xml:space="preserve"> </w:t>
              </w:r>
              <w:r>
                <w:rPr>
                  <w:sz w:val="17"/>
                </w:rPr>
                <w:t>de</w:t>
              </w:r>
              <w:r>
                <w:rPr>
                  <w:spacing w:val="4"/>
                  <w:sz w:val="17"/>
                </w:rPr>
                <w:t xml:space="preserve"> </w:t>
              </w:r>
              <w:r>
                <w:rPr>
                  <w:sz w:val="17"/>
                </w:rPr>
                <w:t>concesión</w:t>
              </w:r>
              <w:r>
                <w:rPr>
                  <w:spacing w:val="3"/>
                  <w:sz w:val="17"/>
                </w:rPr>
                <w:t xml:space="preserve"> </w:t>
              </w:r>
              <w:r>
                <w:rPr>
                  <w:sz w:val="17"/>
                </w:rPr>
                <w:t>de</w:t>
              </w:r>
              <w:r>
                <w:rPr>
                  <w:spacing w:val="4"/>
                  <w:sz w:val="17"/>
                </w:rPr>
                <w:t xml:space="preserve"> </w:t>
              </w:r>
              <w:r>
                <w:rPr>
                  <w:sz w:val="17"/>
                </w:rPr>
                <w:t>servicios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7" w:history="1">
              <w:r>
                <w:rPr>
                  <w:spacing w:val="-5"/>
                  <w:sz w:val="17"/>
                </w:rPr>
                <w:t>191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8" w:history="1">
              <w:r>
                <w:rPr>
                  <w:sz w:val="17"/>
                </w:rPr>
                <w:t>CAPÍTULO</w:t>
              </w:r>
              <w:r>
                <w:rPr>
                  <w:spacing w:val="2"/>
                  <w:sz w:val="17"/>
                </w:rPr>
                <w:t xml:space="preserve"> </w:t>
              </w:r>
              <w:r>
                <w:rPr>
                  <w:sz w:val="17"/>
                </w:rPr>
                <w:t>IV.</w:t>
              </w:r>
              <w:r>
                <w:rPr>
                  <w:spacing w:val="2"/>
                  <w:sz w:val="17"/>
                </w:rPr>
                <w:t xml:space="preserve"> </w:t>
              </w:r>
              <w:r>
                <w:rPr>
                  <w:sz w:val="17"/>
                </w:rPr>
                <w:t>Del</w:t>
              </w:r>
              <w:r>
                <w:rPr>
                  <w:spacing w:val="2"/>
                  <w:sz w:val="17"/>
                </w:rPr>
                <w:t xml:space="preserve"> </w:t>
              </w:r>
              <w:r>
                <w:rPr>
                  <w:sz w:val="17"/>
                </w:rPr>
                <w:t>contrato</w:t>
              </w:r>
              <w:r>
                <w:rPr>
                  <w:spacing w:val="3"/>
                  <w:sz w:val="17"/>
                </w:rPr>
                <w:t xml:space="preserve"> </w:t>
              </w:r>
              <w:r>
                <w:rPr>
                  <w:sz w:val="17"/>
                </w:rPr>
                <w:t>de</w:t>
              </w:r>
              <w:r>
                <w:rPr>
                  <w:spacing w:val="2"/>
                  <w:sz w:val="17"/>
                </w:rPr>
                <w:t xml:space="preserve"> </w:t>
              </w:r>
              <w:r>
                <w:rPr>
                  <w:sz w:val="17"/>
                </w:rPr>
                <w:t>suministro</w:t>
              </w:r>
              <w:r>
                <w:rPr>
                  <w:spacing w:val="-14"/>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8" w:history="1">
              <w:r>
                <w:rPr>
                  <w:spacing w:val="-5"/>
                  <w:sz w:val="17"/>
                </w:rPr>
                <w:t>191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99" w:history="1">
              <w:r>
                <w:rPr>
                  <w:sz w:val="17"/>
                </w:rPr>
                <w:t>Sección</w:t>
              </w:r>
              <w:r>
                <w:rPr>
                  <w:spacing w:val="3"/>
                  <w:sz w:val="17"/>
                </w:rPr>
                <w:t xml:space="preserve"> </w:t>
              </w:r>
              <w:r>
                <w:rPr>
                  <w:sz w:val="17"/>
                </w:rPr>
                <w:t>1.ª</w:t>
              </w:r>
              <w:r>
                <w:rPr>
                  <w:spacing w:val="4"/>
                  <w:sz w:val="17"/>
                </w:rPr>
                <w:t xml:space="preserve"> </w:t>
              </w:r>
              <w:r>
                <w:rPr>
                  <w:sz w:val="17"/>
                </w:rPr>
                <w:t>Regulación</w:t>
              </w:r>
              <w:r>
                <w:rPr>
                  <w:spacing w:val="3"/>
                  <w:sz w:val="17"/>
                </w:rPr>
                <w:t xml:space="preserve"> </w:t>
              </w:r>
              <w:r>
                <w:rPr>
                  <w:sz w:val="17"/>
                </w:rPr>
                <w:t>de</w:t>
              </w:r>
              <w:r>
                <w:rPr>
                  <w:spacing w:val="4"/>
                  <w:sz w:val="17"/>
                </w:rPr>
                <w:t xml:space="preserve"> </w:t>
              </w:r>
              <w:r>
                <w:rPr>
                  <w:sz w:val="17"/>
                </w:rPr>
                <w:t>determinados</w:t>
              </w:r>
              <w:r>
                <w:rPr>
                  <w:spacing w:val="3"/>
                  <w:sz w:val="17"/>
                </w:rPr>
                <w:t xml:space="preserve"> </w:t>
              </w:r>
              <w:r>
                <w:rPr>
                  <w:sz w:val="17"/>
                </w:rPr>
                <w:t>contratos</w:t>
              </w:r>
              <w:r>
                <w:rPr>
                  <w:spacing w:val="4"/>
                  <w:sz w:val="17"/>
                </w:rPr>
                <w:t xml:space="preserve"> </w:t>
              </w:r>
              <w:r>
                <w:rPr>
                  <w:sz w:val="17"/>
                </w:rPr>
                <w:t>de</w:t>
              </w:r>
              <w:r>
                <w:rPr>
                  <w:spacing w:val="4"/>
                  <w:sz w:val="17"/>
                </w:rPr>
                <w:t xml:space="preserve"> </w:t>
              </w:r>
              <w:r>
                <w:rPr>
                  <w:sz w:val="17"/>
                </w:rPr>
                <w:t>suministro</w:t>
              </w:r>
              <w:r>
                <w:rPr>
                  <w:spacing w:val="15"/>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99" w:history="1">
              <w:r>
                <w:rPr>
                  <w:spacing w:val="-5"/>
                  <w:sz w:val="17"/>
                </w:rPr>
                <w:t>191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00" w:history="1">
              <w:r>
                <w:rPr>
                  <w:sz w:val="17"/>
                </w:rPr>
                <w:t>Sección</w:t>
              </w:r>
              <w:r>
                <w:rPr>
                  <w:spacing w:val="3"/>
                  <w:sz w:val="17"/>
                </w:rPr>
                <w:t xml:space="preserve"> </w:t>
              </w:r>
              <w:r>
                <w:rPr>
                  <w:sz w:val="17"/>
                </w:rPr>
                <w:t>2.ª</w:t>
              </w:r>
              <w:r>
                <w:rPr>
                  <w:spacing w:val="3"/>
                  <w:sz w:val="17"/>
                </w:rPr>
                <w:t xml:space="preserve"> </w:t>
              </w:r>
              <w:r>
                <w:rPr>
                  <w:sz w:val="17"/>
                </w:rPr>
                <w:t>Ejecución</w:t>
              </w:r>
              <w:r>
                <w:rPr>
                  <w:spacing w:val="4"/>
                  <w:sz w:val="17"/>
                </w:rPr>
                <w:t xml:space="preserve"> </w:t>
              </w:r>
              <w:r>
                <w:rPr>
                  <w:sz w:val="17"/>
                </w:rPr>
                <w:t>del</w:t>
              </w:r>
              <w:r>
                <w:rPr>
                  <w:spacing w:val="3"/>
                  <w:sz w:val="17"/>
                </w:rPr>
                <w:t xml:space="preserve"> </w:t>
              </w:r>
              <w:r>
                <w:rPr>
                  <w:sz w:val="17"/>
                </w:rPr>
                <w:t>contrato</w:t>
              </w:r>
              <w:r>
                <w:rPr>
                  <w:spacing w:val="4"/>
                  <w:sz w:val="17"/>
                </w:rPr>
                <w:t xml:space="preserve"> </w:t>
              </w:r>
              <w:r>
                <w:rPr>
                  <w:sz w:val="17"/>
                </w:rPr>
                <w:t>de</w:t>
              </w:r>
              <w:r>
                <w:rPr>
                  <w:spacing w:val="3"/>
                  <w:sz w:val="17"/>
                </w:rPr>
                <w:t xml:space="preserve"> </w:t>
              </w:r>
              <w:r>
                <w:rPr>
                  <w:sz w:val="17"/>
                </w:rPr>
                <w:t>suministro.</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0" w:history="1">
              <w:r>
                <w:rPr>
                  <w:spacing w:val="-5"/>
                  <w:sz w:val="17"/>
                </w:rPr>
                <w:t>191</w:t>
              </w:r>
            </w:hyperlink>
          </w:p>
        </w:tc>
      </w:tr>
      <w:tr w:rsidR="0092635B">
        <w:trPr>
          <w:trHeight w:val="439"/>
        </w:trPr>
        <w:tc>
          <w:tcPr>
            <w:tcW w:w="9068" w:type="dxa"/>
          </w:tcPr>
          <w:p w:rsidR="0092635B" w:rsidRDefault="00000000">
            <w:pPr>
              <w:pStyle w:val="TableParagraph"/>
              <w:spacing w:before="118"/>
              <w:ind w:right="99"/>
              <w:jc w:val="right"/>
              <w:rPr>
                <w:sz w:val="17"/>
              </w:rPr>
            </w:pPr>
            <w:hyperlink w:anchor="_bookmark101" w:history="1">
              <w:r>
                <w:rPr>
                  <w:sz w:val="17"/>
                </w:rPr>
                <w:t>Sección</w:t>
              </w:r>
              <w:r>
                <w:rPr>
                  <w:spacing w:val="2"/>
                  <w:sz w:val="17"/>
                </w:rPr>
                <w:t xml:space="preserve"> </w:t>
              </w:r>
              <w:r>
                <w:rPr>
                  <w:sz w:val="17"/>
                </w:rPr>
                <w:t>3.ª</w:t>
              </w:r>
              <w:r>
                <w:rPr>
                  <w:spacing w:val="3"/>
                  <w:sz w:val="17"/>
                </w:rPr>
                <w:t xml:space="preserve"> </w:t>
              </w:r>
              <w:r>
                <w:rPr>
                  <w:sz w:val="17"/>
                </w:rPr>
                <w:t>Cumplimiento</w:t>
              </w:r>
              <w:r>
                <w:rPr>
                  <w:spacing w:val="2"/>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2"/>
                  <w:sz w:val="17"/>
                </w:rPr>
                <w:t xml:space="preserve"> </w:t>
              </w:r>
              <w:r>
                <w:rPr>
                  <w:sz w:val="17"/>
                </w:rPr>
                <w:t>suministro</w:t>
              </w:r>
              <w:r>
                <w:rPr>
                  <w:spacing w:val="19"/>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1" w:history="1">
              <w:r>
                <w:rPr>
                  <w:spacing w:val="-5"/>
                  <w:sz w:val="17"/>
                </w:rPr>
                <w:t>192</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02" w:history="1">
              <w:r>
                <w:rPr>
                  <w:sz w:val="17"/>
                </w:rPr>
                <w:t>Sección</w:t>
              </w:r>
              <w:r>
                <w:rPr>
                  <w:spacing w:val="2"/>
                  <w:sz w:val="17"/>
                </w:rPr>
                <w:t xml:space="preserve"> </w:t>
              </w:r>
              <w:r>
                <w:rPr>
                  <w:sz w:val="17"/>
                </w:rPr>
                <w:t>4.ª</w:t>
              </w:r>
              <w:r>
                <w:rPr>
                  <w:spacing w:val="3"/>
                  <w:sz w:val="17"/>
                </w:rPr>
                <w:t xml:space="preserve"> </w:t>
              </w:r>
              <w:r>
                <w:rPr>
                  <w:sz w:val="17"/>
                </w:rPr>
                <w:t>Resolución</w:t>
              </w:r>
              <w:r>
                <w:rPr>
                  <w:spacing w:val="2"/>
                  <w:sz w:val="17"/>
                </w:rPr>
                <w:t xml:space="preserve"> </w:t>
              </w:r>
              <w:r>
                <w:rPr>
                  <w:sz w:val="17"/>
                </w:rPr>
                <w:t>del</w:t>
              </w:r>
              <w:r>
                <w:rPr>
                  <w:spacing w:val="3"/>
                  <w:sz w:val="17"/>
                </w:rPr>
                <w:t xml:space="preserve"> </w:t>
              </w:r>
              <w:r>
                <w:rPr>
                  <w:sz w:val="17"/>
                </w:rPr>
                <w:t>contrato</w:t>
              </w:r>
              <w:r>
                <w:rPr>
                  <w:spacing w:val="3"/>
                  <w:sz w:val="17"/>
                </w:rPr>
                <w:t xml:space="preserve"> </w:t>
              </w:r>
              <w:r>
                <w:rPr>
                  <w:sz w:val="17"/>
                </w:rPr>
                <w:t>de</w:t>
              </w:r>
              <w:r>
                <w:rPr>
                  <w:spacing w:val="2"/>
                  <w:sz w:val="17"/>
                </w:rPr>
                <w:t xml:space="preserve"> </w:t>
              </w:r>
              <w:r>
                <w:rPr>
                  <w:sz w:val="17"/>
                </w:rPr>
                <w:t>suministro</w:t>
              </w:r>
              <w:r>
                <w:rPr>
                  <w:spacing w:val="-19"/>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2" w:history="1">
              <w:r>
                <w:rPr>
                  <w:spacing w:val="-5"/>
                  <w:sz w:val="17"/>
                </w:rPr>
                <w:t>193</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03" w:history="1">
              <w:r>
                <w:rPr>
                  <w:sz w:val="17"/>
                </w:rPr>
                <w:t>CAPÍTULO</w:t>
              </w:r>
              <w:r>
                <w:rPr>
                  <w:spacing w:val="2"/>
                  <w:sz w:val="17"/>
                </w:rPr>
                <w:t xml:space="preserve"> </w:t>
              </w:r>
              <w:r>
                <w:rPr>
                  <w:sz w:val="17"/>
                </w:rPr>
                <w:t>V.</w:t>
              </w:r>
              <w:r>
                <w:rPr>
                  <w:spacing w:val="2"/>
                  <w:sz w:val="17"/>
                </w:rPr>
                <w:t xml:space="preserve"> </w:t>
              </w:r>
              <w:r>
                <w:rPr>
                  <w:sz w:val="17"/>
                </w:rPr>
                <w:t>Del</w:t>
              </w:r>
              <w:r>
                <w:rPr>
                  <w:spacing w:val="3"/>
                  <w:sz w:val="17"/>
                </w:rPr>
                <w:t xml:space="preserve"> </w:t>
              </w:r>
              <w:r>
                <w:rPr>
                  <w:sz w:val="17"/>
                </w:rPr>
                <w:t>contrato</w:t>
              </w:r>
              <w:r>
                <w:rPr>
                  <w:spacing w:val="2"/>
                  <w:sz w:val="17"/>
                </w:rPr>
                <w:t xml:space="preserve"> </w:t>
              </w:r>
              <w:r>
                <w:rPr>
                  <w:sz w:val="17"/>
                </w:rPr>
                <w:t>de</w:t>
              </w:r>
              <w:r>
                <w:rPr>
                  <w:spacing w:val="2"/>
                  <w:sz w:val="17"/>
                </w:rPr>
                <w:t xml:space="preserve"> </w:t>
              </w:r>
              <w:r>
                <w:rPr>
                  <w:sz w:val="17"/>
                </w:rPr>
                <w:t>servicios</w:t>
              </w:r>
              <w:r>
                <w:rPr>
                  <w:spacing w:val="33"/>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3" w:history="1">
              <w:r>
                <w:rPr>
                  <w:spacing w:val="-5"/>
                  <w:sz w:val="17"/>
                </w:rPr>
                <w:t>193</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04" w:history="1">
              <w:r>
                <w:rPr>
                  <w:sz w:val="17"/>
                </w:rPr>
                <w:t>Sección</w:t>
              </w:r>
              <w:r>
                <w:rPr>
                  <w:spacing w:val="2"/>
                  <w:sz w:val="17"/>
                </w:rPr>
                <w:t xml:space="preserve"> </w:t>
              </w:r>
              <w:r>
                <w:rPr>
                  <w:sz w:val="17"/>
                </w:rPr>
                <w:t>1.ª</w:t>
              </w:r>
              <w:r>
                <w:rPr>
                  <w:spacing w:val="3"/>
                  <w:sz w:val="17"/>
                </w:rPr>
                <w:t xml:space="preserve"> </w:t>
              </w:r>
              <w:r>
                <w:rPr>
                  <w:sz w:val="17"/>
                </w:rPr>
                <w:t>Disposiciones</w:t>
              </w:r>
              <w:r>
                <w:rPr>
                  <w:spacing w:val="3"/>
                  <w:sz w:val="17"/>
                </w:rPr>
                <w:t xml:space="preserve"> </w:t>
              </w:r>
              <w:r>
                <w:rPr>
                  <w:sz w:val="17"/>
                </w:rPr>
                <w:t>generales</w:t>
              </w:r>
              <w:r>
                <w:rPr>
                  <w:spacing w:val="4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4" w:history="1">
              <w:r>
                <w:rPr>
                  <w:spacing w:val="-5"/>
                  <w:sz w:val="17"/>
                </w:rPr>
                <w:t>193</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05" w:history="1">
              <w:r>
                <w:rPr>
                  <w:sz w:val="17"/>
                </w:rPr>
                <w:t>Sección</w:t>
              </w:r>
              <w:r>
                <w:rPr>
                  <w:spacing w:val="3"/>
                  <w:sz w:val="17"/>
                </w:rPr>
                <w:t xml:space="preserve"> </w:t>
              </w:r>
              <w:r>
                <w:rPr>
                  <w:sz w:val="17"/>
                </w:rPr>
                <w:t>2.ª</w:t>
              </w:r>
              <w:r>
                <w:rPr>
                  <w:spacing w:val="3"/>
                  <w:sz w:val="17"/>
                </w:rPr>
                <w:t xml:space="preserve"> </w:t>
              </w:r>
              <w:r>
                <w:rPr>
                  <w:sz w:val="17"/>
                </w:rPr>
                <w:t>Ejecución</w:t>
              </w:r>
              <w:r>
                <w:rPr>
                  <w:spacing w:val="3"/>
                  <w:sz w:val="17"/>
                </w:rPr>
                <w:t xml:space="preserve"> </w:t>
              </w:r>
              <w:r>
                <w:rPr>
                  <w:sz w:val="17"/>
                </w:rPr>
                <w:t>de</w:t>
              </w:r>
              <w:r>
                <w:rPr>
                  <w:spacing w:val="3"/>
                  <w:sz w:val="17"/>
                </w:rPr>
                <w:t xml:space="preserve"> </w:t>
              </w:r>
              <w:r>
                <w:rPr>
                  <w:sz w:val="17"/>
                </w:rPr>
                <w:t>los</w:t>
              </w:r>
              <w:r>
                <w:rPr>
                  <w:spacing w:val="3"/>
                  <w:sz w:val="17"/>
                </w:rPr>
                <w:t xml:space="preserve"> </w:t>
              </w:r>
              <w:r>
                <w:rPr>
                  <w:sz w:val="17"/>
                </w:rPr>
                <w:t>contratos</w:t>
              </w:r>
              <w:r>
                <w:rPr>
                  <w:spacing w:val="3"/>
                  <w:sz w:val="17"/>
                </w:rPr>
                <w:t xml:space="preserve"> </w:t>
              </w:r>
              <w:r>
                <w:rPr>
                  <w:sz w:val="17"/>
                </w:rPr>
                <w:t>de</w:t>
              </w:r>
              <w:r>
                <w:rPr>
                  <w:spacing w:val="3"/>
                  <w:sz w:val="17"/>
                </w:rPr>
                <w:t xml:space="preserve"> </w:t>
              </w:r>
              <w:r>
                <w:rPr>
                  <w:sz w:val="17"/>
                </w:rPr>
                <w:t>servicios</w:t>
              </w:r>
              <w:r>
                <w:rPr>
                  <w:spacing w:val="4"/>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5" w:history="1">
              <w:r>
                <w:rPr>
                  <w:spacing w:val="-5"/>
                  <w:sz w:val="17"/>
                </w:rPr>
                <w:t>195</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06" w:history="1">
              <w:r>
                <w:rPr>
                  <w:sz w:val="17"/>
                </w:rPr>
                <w:t>Sección</w:t>
              </w:r>
              <w:r>
                <w:rPr>
                  <w:spacing w:val="3"/>
                  <w:sz w:val="17"/>
                </w:rPr>
                <w:t xml:space="preserve"> </w:t>
              </w:r>
              <w:r>
                <w:rPr>
                  <w:sz w:val="17"/>
                </w:rPr>
                <w:t>3.ª</w:t>
              </w:r>
              <w:r>
                <w:rPr>
                  <w:spacing w:val="3"/>
                  <w:sz w:val="17"/>
                </w:rPr>
                <w:t xml:space="preserve"> </w:t>
              </w:r>
              <w:r>
                <w:rPr>
                  <w:sz w:val="17"/>
                </w:rPr>
                <w:t>Resolución</w:t>
              </w:r>
              <w:r>
                <w:rPr>
                  <w:spacing w:val="3"/>
                  <w:sz w:val="17"/>
                </w:rPr>
                <w:t xml:space="preserve"> </w:t>
              </w:r>
              <w:r>
                <w:rPr>
                  <w:sz w:val="17"/>
                </w:rPr>
                <w:t>de</w:t>
              </w:r>
              <w:r>
                <w:rPr>
                  <w:spacing w:val="3"/>
                  <w:sz w:val="17"/>
                </w:rPr>
                <w:t xml:space="preserve"> </w:t>
              </w:r>
              <w:r>
                <w:rPr>
                  <w:sz w:val="17"/>
                </w:rPr>
                <w:t>los</w:t>
              </w:r>
              <w:r>
                <w:rPr>
                  <w:spacing w:val="3"/>
                  <w:sz w:val="17"/>
                </w:rPr>
                <w:t xml:space="preserve"> </w:t>
              </w:r>
              <w:r>
                <w:rPr>
                  <w:sz w:val="17"/>
                </w:rPr>
                <w:t>contratos</w:t>
              </w:r>
              <w:r>
                <w:rPr>
                  <w:spacing w:val="3"/>
                  <w:sz w:val="17"/>
                </w:rPr>
                <w:t xml:space="preserve"> </w:t>
              </w:r>
              <w:r>
                <w:rPr>
                  <w:sz w:val="17"/>
                </w:rPr>
                <w:t>de</w:t>
              </w:r>
              <w:r>
                <w:rPr>
                  <w:spacing w:val="3"/>
                  <w:sz w:val="17"/>
                </w:rPr>
                <w:t xml:space="preserve"> </w:t>
              </w:r>
              <w:r>
                <w:rPr>
                  <w:sz w:val="17"/>
                </w:rPr>
                <w:t>servicios</w:t>
              </w:r>
              <w:r>
                <w:rPr>
                  <w:spacing w:val="18"/>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ind w:left="50"/>
              <w:jc w:val="center"/>
              <w:rPr>
                <w:sz w:val="17"/>
              </w:rPr>
            </w:pPr>
            <w:hyperlink w:anchor="_bookmark106" w:history="1">
              <w:r>
                <w:rPr>
                  <w:spacing w:val="-5"/>
                  <w:sz w:val="17"/>
                </w:rPr>
                <w:t>196</w:t>
              </w:r>
            </w:hyperlink>
          </w:p>
        </w:tc>
      </w:tr>
      <w:tr w:rsidR="0092635B">
        <w:trPr>
          <w:trHeight w:val="680"/>
        </w:trPr>
        <w:tc>
          <w:tcPr>
            <w:tcW w:w="9068" w:type="dxa"/>
          </w:tcPr>
          <w:p w:rsidR="0092635B" w:rsidRDefault="00000000">
            <w:pPr>
              <w:pStyle w:val="TableParagraph"/>
              <w:spacing w:before="118" w:line="295" w:lineRule="auto"/>
              <w:ind w:left="850" w:right="98" w:hanging="201"/>
              <w:rPr>
                <w:sz w:val="17"/>
              </w:rPr>
            </w:pPr>
            <w:hyperlink w:anchor="_bookmark107" w:history="1">
              <w:r>
                <w:rPr>
                  <w:sz w:val="17"/>
                </w:rPr>
                <w:t>Sección</w:t>
              </w:r>
              <w:r>
                <w:rPr>
                  <w:spacing w:val="71"/>
                  <w:sz w:val="17"/>
                </w:rPr>
                <w:t xml:space="preserve"> </w:t>
              </w:r>
              <w:r>
                <w:rPr>
                  <w:sz w:val="17"/>
                </w:rPr>
                <w:t>4.ª</w:t>
              </w:r>
              <w:r>
                <w:rPr>
                  <w:spacing w:val="71"/>
                  <w:sz w:val="17"/>
                </w:rPr>
                <w:t xml:space="preserve"> </w:t>
              </w:r>
              <w:r>
                <w:rPr>
                  <w:sz w:val="17"/>
                </w:rPr>
                <w:t>De</w:t>
              </w:r>
              <w:r>
                <w:rPr>
                  <w:spacing w:val="71"/>
                  <w:sz w:val="17"/>
                </w:rPr>
                <w:t xml:space="preserve"> </w:t>
              </w:r>
              <w:r>
                <w:rPr>
                  <w:sz w:val="17"/>
                </w:rPr>
                <w:t>la</w:t>
              </w:r>
              <w:r>
                <w:rPr>
                  <w:spacing w:val="71"/>
                  <w:sz w:val="17"/>
                </w:rPr>
                <w:t xml:space="preserve"> </w:t>
              </w:r>
              <w:r>
                <w:rPr>
                  <w:sz w:val="17"/>
                </w:rPr>
                <w:t>subsanación</w:t>
              </w:r>
              <w:r>
                <w:rPr>
                  <w:spacing w:val="71"/>
                  <w:sz w:val="17"/>
                </w:rPr>
                <w:t xml:space="preserve"> </w:t>
              </w:r>
              <w:r>
                <w:rPr>
                  <w:sz w:val="17"/>
                </w:rPr>
                <w:t>de</w:t>
              </w:r>
              <w:r>
                <w:rPr>
                  <w:spacing w:val="71"/>
                  <w:sz w:val="17"/>
                </w:rPr>
                <w:t xml:space="preserve"> </w:t>
              </w:r>
              <w:r>
                <w:rPr>
                  <w:sz w:val="17"/>
                </w:rPr>
                <w:t>errores,</w:t>
              </w:r>
              <w:r>
                <w:rPr>
                  <w:spacing w:val="71"/>
                  <w:sz w:val="17"/>
                </w:rPr>
                <w:t xml:space="preserve"> </w:t>
              </w:r>
              <w:r>
                <w:rPr>
                  <w:sz w:val="17"/>
                </w:rPr>
                <w:t>indemnizaciones</w:t>
              </w:r>
              <w:r>
                <w:rPr>
                  <w:spacing w:val="71"/>
                  <w:sz w:val="17"/>
                </w:rPr>
                <w:t xml:space="preserve"> </w:t>
              </w:r>
              <w:r>
                <w:rPr>
                  <w:sz w:val="17"/>
                </w:rPr>
                <w:t>y</w:t>
              </w:r>
              <w:r>
                <w:rPr>
                  <w:spacing w:val="71"/>
                  <w:sz w:val="17"/>
                </w:rPr>
                <w:t xml:space="preserve"> </w:t>
              </w:r>
              <w:r>
                <w:rPr>
                  <w:sz w:val="17"/>
                </w:rPr>
                <w:t>responsabilidades</w:t>
              </w:r>
              <w:r>
                <w:rPr>
                  <w:spacing w:val="71"/>
                  <w:sz w:val="17"/>
                </w:rPr>
                <w:t xml:space="preserve"> </w:t>
              </w:r>
              <w:r>
                <w:rPr>
                  <w:sz w:val="17"/>
                </w:rPr>
                <w:t>en</w:t>
              </w:r>
              <w:r>
                <w:rPr>
                  <w:spacing w:val="71"/>
                  <w:sz w:val="17"/>
                </w:rPr>
                <w:t xml:space="preserve"> </w:t>
              </w:r>
              <w:r>
                <w:rPr>
                  <w:sz w:val="17"/>
                </w:rPr>
                <w:t>el</w:t>
              </w:r>
              <w:r>
                <w:rPr>
                  <w:spacing w:val="71"/>
                  <w:sz w:val="17"/>
                </w:rPr>
                <w:t xml:space="preserve"> </w:t>
              </w:r>
              <w:r>
                <w:rPr>
                  <w:sz w:val="17"/>
                </w:rPr>
                <w:t>contrato</w:t>
              </w:r>
              <w:r>
                <w:rPr>
                  <w:spacing w:val="71"/>
                  <w:sz w:val="17"/>
                </w:rPr>
                <w:t xml:space="preserve"> </w:t>
              </w:r>
              <w:r>
                <w:rPr>
                  <w:sz w:val="17"/>
                </w:rPr>
                <w:t>de</w:t>
              </w:r>
            </w:hyperlink>
            <w:r>
              <w:rPr>
                <w:sz w:val="17"/>
              </w:rPr>
              <w:t xml:space="preserve"> </w:t>
            </w:r>
            <w:hyperlink w:anchor="_bookmark107" w:history="1">
              <w:r>
                <w:rPr>
                  <w:sz w:val="17"/>
                </w:rPr>
                <w:t>elaboración</w:t>
              </w:r>
              <w:r>
                <w:rPr>
                  <w:spacing w:val="2"/>
                  <w:sz w:val="17"/>
                </w:rPr>
                <w:t xml:space="preserve"> </w:t>
              </w:r>
              <w:r>
                <w:rPr>
                  <w:sz w:val="17"/>
                </w:rPr>
                <w:t>de</w:t>
              </w:r>
              <w:r>
                <w:rPr>
                  <w:spacing w:val="3"/>
                  <w:sz w:val="17"/>
                </w:rPr>
                <w:t xml:space="preserve"> </w:t>
              </w:r>
              <w:r>
                <w:rPr>
                  <w:sz w:val="17"/>
                </w:rPr>
                <w:t>proyectos</w:t>
              </w:r>
              <w:r>
                <w:rPr>
                  <w:spacing w:val="2"/>
                  <w:sz w:val="17"/>
                </w:rPr>
                <w:t xml:space="preserve"> </w:t>
              </w:r>
              <w:r>
                <w:rPr>
                  <w:sz w:val="17"/>
                </w:rPr>
                <w:t>de</w:t>
              </w:r>
              <w:r>
                <w:rPr>
                  <w:spacing w:val="3"/>
                  <w:sz w:val="17"/>
                </w:rPr>
                <w:t xml:space="preserve"> </w:t>
              </w:r>
              <w:r>
                <w:rPr>
                  <w:sz w:val="17"/>
                </w:rPr>
                <w:t>obras</w:t>
              </w:r>
              <w:r>
                <w:rPr>
                  <w:spacing w:val="-16"/>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443" w:type="dxa"/>
          </w:tcPr>
          <w:p w:rsidR="0092635B" w:rsidRDefault="0092635B">
            <w:pPr>
              <w:pStyle w:val="TableParagraph"/>
              <w:spacing w:before="168"/>
              <w:rPr>
                <w:sz w:val="17"/>
              </w:rPr>
            </w:pPr>
          </w:p>
          <w:p w:rsidR="0092635B" w:rsidRDefault="00000000">
            <w:pPr>
              <w:pStyle w:val="TableParagraph"/>
              <w:ind w:left="50"/>
              <w:jc w:val="center"/>
              <w:rPr>
                <w:sz w:val="17"/>
              </w:rPr>
            </w:pPr>
            <w:hyperlink w:anchor="_bookmark107" w:history="1">
              <w:r>
                <w:rPr>
                  <w:spacing w:val="-5"/>
                  <w:sz w:val="17"/>
                </w:rPr>
                <w:t>196</w:t>
              </w:r>
            </w:hyperlink>
          </w:p>
        </w:tc>
      </w:tr>
      <w:tr w:rsidR="0092635B">
        <w:trPr>
          <w:trHeight w:val="320"/>
        </w:trPr>
        <w:tc>
          <w:tcPr>
            <w:tcW w:w="9068" w:type="dxa"/>
          </w:tcPr>
          <w:p w:rsidR="0092635B" w:rsidRDefault="00000000">
            <w:pPr>
              <w:pStyle w:val="TableParagraph"/>
              <w:spacing w:before="118" w:line="182" w:lineRule="exact"/>
              <w:ind w:right="99"/>
              <w:jc w:val="right"/>
              <w:rPr>
                <w:sz w:val="17"/>
              </w:rPr>
            </w:pPr>
            <w:hyperlink w:anchor="_bookmark108" w:history="1">
              <w:r>
                <w:rPr>
                  <w:sz w:val="17"/>
                </w:rPr>
                <w:t>LIBRO</w:t>
              </w:r>
              <w:r>
                <w:rPr>
                  <w:spacing w:val="3"/>
                  <w:sz w:val="17"/>
                </w:rPr>
                <w:t xml:space="preserve"> </w:t>
              </w:r>
              <w:r>
                <w:rPr>
                  <w:sz w:val="17"/>
                </w:rPr>
                <w:t>TERCERO.</w:t>
              </w:r>
              <w:r>
                <w:rPr>
                  <w:spacing w:val="4"/>
                  <w:sz w:val="17"/>
                </w:rPr>
                <w:t xml:space="preserve"> </w:t>
              </w:r>
              <w:r>
                <w:rPr>
                  <w:sz w:val="17"/>
                </w:rPr>
                <w:t>De</w:t>
              </w:r>
              <w:r>
                <w:rPr>
                  <w:spacing w:val="4"/>
                  <w:sz w:val="17"/>
                </w:rPr>
                <w:t xml:space="preserve"> </w:t>
              </w:r>
              <w:r>
                <w:rPr>
                  <w:sz w:val="17"/>
                </w:rPr>
                <w:t>los</w:t>
              </w:r>
              <w:r>
                <w:rPr>
                  <w:spacing w:val="4"/>
                  <w:sz w:val="17"/>
                </w:rPr>
                <w:t xml:space="preserve"> </w:t>
              </w:r>
              <w:r>
                <w:rPr>
                  <w:sz w:val="17"/>
                </w:rPr>
                <w:t>contratos</w:t>
              </w:r>
              <w:r>
                <w:rPr>
                  <w:spacing w:val="4"/>
                  <w:sz w:val="17"/>
                </w:rPr>
                <w:t xml:space="preserve"> </w:t>
              </w:r>
              <w:r>
                <w:rPr>
                  <w:sz w:val="17"/>
                </w:rPr>
                <w:t>de</w:t>
              </w:r>
              <w:r>
                <w:rPr>
                  <w:spacing w:val="4"/>
                  <w:sz w:val="17"/>
                </w:rPr>
                <w:t xml:space="preserve"> </w:t>
              </w:r>
              <w:r>
                <w:rPr>
                  <w:sz w:val="17"/>
                </w:rPr>
                <w:t>otros</w:t>
              </w:r>
              <w:r>
                <w:rPr>
                  <w:spacing w:val="3"/>
                  <w:sz w:val="17"/>
                </w:rPr>
                <w:t xml:space="preserve"> </w:t>
              </w:r>
              <w:r>
                <w:rPr>
                  <w:sz w:val="17"/>
                </w:rPr>
                <w:t>entes</w:t>
              </w:r>
              <w:r>
                <w:rPr>
                  <w:spacing w:val="4"/>
                  <w:sz w:val="17"/>
                </w:rPr>
                <w:t xml:space="preserve"> </w:t>
              </w:r>
              <w:r>
                <w:rPr>
                  <w:sz w:val="17"/>
                </w:rPr>
                <w:t>del</w:t>
              </w:r>
              <w:r>
                <w:rPr>
                  <w:spacing w:val="4"/>
                  <w:sz w:val="17"/>
                </w:rPr>
                <w:t xml:space="preserve"> </w:t>
              </w:r>
              <w:r>
                <w:rPr>
                  <w:sz w:val="17"/>
                </w:rPr>
                <w:t>sector</w:t>
              </w:r>
              <w:r>
                <w:rPr>
                  <w:spacing w:val="4"/>
                  <w:sz w:val="17"/>
                </w:rPr>
                <w:t xml:space="preserve"> </w:t>
              </w:r>
              <w:r>
                <w:rPr>
                  <w:sz w:val="17"/>
                </w:rPr>
                <w:t>público</w:t>
              </w:r>
              <w:r>
                <w:rPr>
                  <w:spacing w:val="3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3" w:type="dxa"/>
          </w:tcPr>
          <w:p w:rsidR="0092635B" w:rsidRDefault="00000000">
            <w:pPr>
              <w:pStyle w:val="TableParagraph"/>
              <w:spacing w:before="123" w:line="177" w:lineRule="exact"/>
              <w:ind w:left="50"/>
              <w:jc w:val="center"/>
              <w:rPr>
                <w:sz w:val="17"/>
              </w:rPr>
            </w:pPr>
            <w:hyperlink w:anchor="_bookmark108" w:history="1">
              <w:r>
                <w:rPr>
                  <w:spacing w:val="-5"/>
                  <w:sz w:val="17"/>
                </w:rPr>
                <w:t>198</w:t>
              </w:r>
            </w:hyperlink>
          </w:p>
        </w:tc>
      </w:tr>
    </w:tbl>
    <w:p w:rsidR="0092635B" w:rsidRDefault="0092635B">
      <w:pPr>
        <w:pStyle w:val="TableParagraph"/>
        <w:spacing w:line="177" w:lineRule="exact"/>
        <w:jc w:val="center"/>
        <w:rPr>
          <w:sz w:val="17"/>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47"/>
        <w:ind w:left="0" w:firstLine="0"/>
        <w:jc w:val="left"/>
      </w:pPr>
    </w:p>
    <w:tbl>
      <w:tblPr>
        <w:tblStyle w:val="TableNormal"/>
        <w:tblW w:w="0" w:type="auto"/>
        <w:tblInd w:w="893" w:type="dxa"/>
        <w:tblLayout w:type="fixed"/>
        <w:tblLook w:val="01E0" w:firstRow="1" w:lastRow="1" w:firstColumn="1" w:lastColumn="1" w:noHBand="0" w:noVBand="0"/>
      </w:tblPr>
      <w:tblGrid>
        <w:gridCol w:w="9068"/>
        <w:gridCol w:w="442"/>
      </w:tblGrid>
      <w:tr w:rsidR="0092635B">
        <w:trPr>
          <w:trHeight w:val="320"/>
        </w:trPr>
        <w:tc>
          <w:tcPr>
            <w:tcW w:w="9068" w:type="dxa"/>
          </w:tcPr>
          <w:p w:rsidR="0092635B" w:rsidRDefault="00000000">
            <w:pPr>
              <w:pStyle w:val="TableParagraph"/>
              <w:spacing w:line="194" w:lineRule="exact"/>
              <w:ind w:right="100"/>
              <w:jc w:val="right"/>
              <w:rPr>
                <w:sz w:val="17"/>
              </w:rPr>
            </w:pPr>
            <w:hyperlink w:anchor="_bookmark109" w:history="1">
              <w:r>
                <w:rPr>
                  <w:sz w:val="17"/>
                </w:rPr>
                <w:t>TÍTULO</w:t>
              </w:r>
              <w:r>
                <w:rPr>
                  <w:spacing w:val="8"/>
                  <w:sz w:val="17"/>
                </w:rPr>
                <w:t xml:space="preserve"> </w:t>
              </w:r>
              <w:r>
                <w:rPr>
                  <w:sz w:val="17"/>
                </w:rPr>
                <w:t>I.</w:t>
              </w:r>
              <w:r>
                <w:rPr>
                  <w:spacing w:val="9"/>
                  <w:sz w:val="17"/>
                </w:rPr>
                <w:t xml:space="preserve"> </w:t>
              </w:r>
              <w:r>
                <w:rPr>
                  <w:sz w:val="17"/>
                </w:rPr>
                <w:t>Contratos</w:t>
              </w:r>
              <w:r>
                <w:rPr>
                  <w:spacing w:val="9"/>
                  <w:sz w:val="17"/>
                </w:rPr>
                <w:t xml:space="preserve"> </w:t>
              </w:r>
              <w:r>
                <w:rPr>
                  <w:sz w:val="17"/>
                </w:rPr>
                <w:t>de</w:t>
              </w:r>
              <w:r>
                <w:rPr>
                  <w:spacing w:val="9"/>
                  <w:sz w:val="17"/>
                </w:rPr>
                <w:t xml:space="preserve"> </w:t>
              </w:r>
              <w:r>
                <w:rPr>
                  <w:sz w:val="17"/>
                </w:rPr>
                <w:t>los</w:t>
              </w:r>
              <w:r>
                <w:rPr>
                  <w:spacing w:val="9"/>
                  <w:sz w:val="17"/>
                </w:rPr>
                <w:t xml:space="preserve"> </w:t>
              </w:r>
              <w:r>
                <w:rPr>
                  <w:sz w:val="17"/>
                </w:rPr>
                <w:t>poderes</w:t>
              </w:r>
              <w:r>
                <w:rPr>
                  <w:spacing w:val="8"/>
                  <w:sz w:val="17"/>
                </w:rPr>
                <w:t xml:space="preserve"> </w:t>
              </w:r>
              <w:r>
                <w:rPr>
                  <w:sz w:val="17"/>
                </w:rPr>
                <w:t>adjudicadores</w:t>
              </w:r>
              <w:r>
                <w:rPr>
                  <w:spacing w:val="9"/>
                  <w:sz w:val="17"/>
                </w:rPr>
                <w:t xml:space="preserve"> </w:t>
              </w:r>
              <w:r>
                <w:rPr>
                  <w:sz w:val="17"/>
                </w:rPr>
                <w:t>que</w:t>
              </w:r>
              <w:r>
                <w:rPr>
                  <w:spacing w:val="9"/>
                  <w:sz w:val="17"/>
                </w:rPr>
                <w:t xml:space="preserve"> </w:t>
              </w:r>
              <w:r>
                <w:rPr>
                  <w:sz w:val="17"/>
                </w:rPr>
                <w:t>no</w:t>
              </w:r>
              <w:r>
                <w:rPr>
                  <w:spacing w:val="9"/>
                  <w:sz w:val="17"/>
                </w:rPr>
                <w:t xml:space="preserve"> </w:t>
              </w:r>
              <w:r>
                <w:rPr>
                  <w:sz w:val="17"/>
                </w:rPr>
                <w:t>tengan</w:t>
              </w:r>
              <w:r>
                <w:rPr>
                  <w:spacing w:val="9"/>
                  <w:sz w:val="17"/>
                </w:rPr>
                <w:t xml:space="preserve"> </w:t>
              </w:r>
              <w:r>
                <w:rPr>
                  <w:sz w:val="17"/>
                </w:rPr>
                <w:t>la</w:t>
              </w:r>
              <w:r>
                <w:rPr>
                  <w:spacing w:val="9"/>
                  <w:sz w:val="17"/>
                </w:rPr>
                <w:t xml:space="preserve"> </w:t>
              </w:r>
              <w:r>
                <w:rPr>
                  <w:sz w:val="17"/>
                </w:rPr>
                <w:t>condición</w:t>
              </w:r>
              <w:r>
                <w:rPr>
                  <w:spacing w:val="8"/>
                  <w:sz w:val="17"/>
                </w:rPr>
                <w:t xml:space="preserve"> </w:t>
              </w:r>
              <w:r>
                <w:rPr>
                  <w:sz w:val="17"/>
                </w:rPr>
                <w:t>de</w:t>
              </w:r>
              <w:r>
                <w:rPr>
                  <w:spacing w:val="9"/>
                  <w:sz w:val="17"/>
                </w:rPr>
                <w:t xml:space="preserve"> </w:t>
              </w:r>
              <w:r>
                <w:rPr>
                  <w:sz w:val="17"/>
                </w:rPr>
                <w:t>Administraciones</w:t>
              </w:r>
              <w:r>
                <w:rPr>
                  <w:spacing w:val="9"/>
                  <w:sz w:val="17"/>
                </w:rPr>
                <w:t xml:space="preserve"> </w:t>
              </w:r>
              <w:r>
                <w:rPr>
                  <w:sz w:val="17"/>
                </w:rPr>
                <w:t>Públicas</w:t>
              </w:r>
            </w:hyperlink>
            <w:r>
              <w:rPr>
                <w:spacing w:val="56"/>
                <w:sz w:val="17"/>
              </w:rPr>
              <w:t xml:space="preserve"> </w:t>
            </w:r>
            <w:r>
              <w:rPr>
                <w:spacing w:val="24"/>
                <w:sz w:val="17"/>
              </w:rPr>
              <w:t>.</w:t>
            </w:r>
            <w:r>
              <w:rPr>
                <w:spacing w:val="8"/>
                <w:sz w:val="17"/>
              </w:rPr>
              <w:t xml:space="preserve"> </w:t>
            </w:r>
            <w:r>
              <w:rPr>
                <w:spacing w:val="-10"/>
                <w:sz w:val="17"/>
              </w:rPr>
              <w:t>.</w:t>
            </w:r>
            <w:r>
              <w:rPr>
                <w:sz w:val="17"/>
              </w:rPr>
              <w:t xml:space="preserve"> </w:t>
            </w:r>
          </w:p>
        </w:tc>
        <w:tc>
          <w:tcPr>
            <w:tcW w:w="442" w:type="dxa"/>
          </w:tcPr>
          <w:p w:rsidR="0092635B" w:rsidRDefault="00000000">
            <w:pPr>
              <w:pStyle w:val="TableParagraph"/>
              <w:spacing w:before="4"/>
              <w:ind w:left="51"/>
              <w:jc w:val="center"/>
              <w:rPr>
                <w:sz w:val="17"/>
              </w:rPr>
            </w:pPr>
            <w:hyperlink w:anchor="_bookmark109" w:history="1">
              <w:r>
                <w:rPr>
                  <w:spacing w:val="-5"/>
                  <w:sz w:val="17"/>
                </w:rPr>
                <w:t>198</w:t>
              </w:r>
            </w:hyperlink>
          </w:p>
        </w:tc>
      </w:tr>
      <w:tr w:rsidR="0092635B">
        <w:trPr>
          <w:trHeight w:val="440"/>
        </w:trPr>
        <w:tc>
          <w:tcPr>
            <w:tcW w:w="9068" w:type="dxa"/>
          </w:tcPr>
          <w:p w:rsidR="0092635B" w:rsidRDefault="00000000">
            <w:pPr>
              <w:pStyle w:val="TableParagraph"/>
              <w:spacing w:before="118"/>
              <w:ind w:right="100"/>
              <w:jc w:val="right"/>
              <w:rPr>
                <w:sz w:val="17"/>
              </w:rPr>
            </w:pPr>
            <w:hyperlink w:anchor="_bookmark110" w:history="1">
              <w:r>
                <w:rPr>
                  <w:sz w:val="17"/>
                </w:rPr>
                <w:t>TÍTULO</w:t>
              </w:r>
              <w:r>
                <w:rPr>
                  <w:spacing w:val="11"/>
                  <w:sz w:val="17"/>
                </w:rPr>
                <w:t xml:space="preserve"> </w:t>
              </w:r>
              <w:r>
                <w:rPr>
                  <w:sz w:val="17"/>
                </w:rPr>
                <w:t>II.</w:t>
              </w:r>
              <w:r>
                <w:rPr>
                  <w:spacing w:val="11"/>
                  <w:sz w:val="17"/>
                </w:rPr>
                <w:t xml:space="preserve"> </w:t>
              </w:r>
              <w:r>
                <w:rPr>
                  <w:sz w:val="17"/>
                </w:rPr>
                <w:t>Contratos</w:t>
              </w:r>
              <w:r>
                <w:rPr>
                  <w:spacing w:val="12"/>
                  <w:sz w:val="17"/>
                </w:rPr>
                <w:t xml:space="preserve"> </w:t>
              </w:r>
              <w:r>
                <w:rPr>
                  <w:sz w:val="17"/>
                </w:rPr>
                <w:t>de</w:t>
              </w:r>
              <w:r>
                <w:rPr>
                  <w:spacing w:val="11"/>
                  <w:sz w:val="17"/>
                </w:rPr>
                <w:t xml:space="preserve"> </w:t>
              </w:r>
              <w:r>
                <w:rPr>
                  <w:sz w:val="17"/>
                </w:rPr>
                <w:t>las</w:t>
              </w:r>
              <w:r>
                <w:rPr>
                  <w:spacing w:val="11"/>
                  <w:sz w:val="17"/>
                </w:rPr>
                <w:t xml:space="preserve"> </w:t>
              </w:r>
              <w:r>
                <w:rPr>
                  <w:sz w:val="17"/>
                </w:rPr>
                <w:t>entidades</w:t>
              </w:r>
              <w:r>
                <w:rPr>
                  <w:spacing w:val="12"/>
                  <w:sz w:val="17"/>
                </w:rPr>
                <w:t xml:space="preserve"> </w:t>
              </w:r>
              <w:r>
                <w:rPr>
                  <w:sz w:val="17"/>
                </w:rPr>
                <w:t>del</w:t>
              </w:r>
              <w:r>
                <w:rPr>
                  <w:spacing w:val="11"/>
                  <w:sz w:val="17"/>
                </w:rPr>
                <w:t xml:space="preserve"> </w:t>
              </w:r>
              <w:r>
                <w:rPr>
                  <w:sz w:val="17"/>
                </w:rPr>
                <w:t>sector</w:t>
              </w:r>
              <w:r>
                <w:rPr>
                  <w:spacing w:val="11"/>
                  <w:sz w:val="17"/>
                </w:rPr>
                <w:t xml:space="preserve"> </w:t>
              </w:r>
              <w:r>
                <w:rPr>
                  <w:sz w:val="17"/>
                </w:rPr>
                <w:t>público</w:t>
              </w:r>
              <w:r>
                <w:rPr>
                  <w:spacing w:val="12"/>
                  <w:sz w:val="17"/>
                </w:rPr>
                <w:t xml:space="preserve"> </w:t>
              </w:r>
              <w:r>
                <w:rPr>
                  <w:sz w:val="17"/>
                </w:rPr>
                <w:t>que</w:t>
              </w:r>
              <w:r>
                <w:rPr>
                  <w:spacing w:val="11"/>
                  <w:sz w:val="17"/>
                </w:rPr>
                <w:t xml:space="preserve"> </w:t>
              </w:r>
              <w:r>
                <w:rPr>
                  <w:sz w:val="17"/>
                </w:rPr>
                <w:t>no</w:t>
              </w:r>
              <w:r>
                <w:rPr>
                  <w:spacing w:val="12"/>
                  <w:sz w:val="17"/>
                </w:rPr>
                <w:t xml:space="preserve"> </w:t>
              </w:r>
              <w:r>
                <w:rPr>
                  <w:sz w:val="17"/>
                </w:rPr>
                <w:t>tengan</w:t>
              </w:r>
              <w:r>
                <w:rPr>
                  <w:spacing w:val="11"/>
                  <w:sz w:val="17"/>
                </w:rPr>
                <w:t xml:space="preserve"> </w:t>
              </w:r>
              <w:r>
                <w:rPr>
                  <w:sz w:val="17"/>
                </w:rPr>
                <w:t>el</w:t>
              </w:r>
              <w:r>
                <w:rPr>
                  <w:spacing w:val="11"/>
                  <w:sz w:val="17"/>
                </w:rPr>
                <w:t xml:space="preserve"> </w:t>
              </w:r>
              <w:r>
                <w:rPr>
                  <w:sz w:val="17"/>
                </w:rPr>
                <w:t>carácter</w:t>
              </w:r>
              <w:r>
                <w:rPr>
                  <w:spacing w:val="12"/>
                  <w:sz w:val="17"/>
                </w:rPr>
                <w:t xml:space="preserve"> </w:t>
              </w:r>
              <w:r>
                <w:rPr>
                  <w:sz w:val="17"/>
                </w:rPr>
                <w:t>de</w:t>
              </w:r>
              <w:r>
                <w:rPr>
                  <w:spacing w:val="11"/>
                  <w:sz w:val="17"/>
                </w:rPr>
                <w:t xml:space="preserve"> </w:t>
              </w:r>
              <w:r>
                <w:rPr>
                  <w:sz w:val="17"/>
                </w:rPr>
                <w:t>poderes</w:t>
              </w:r>
              <w:r>
                <w:rPr>
                  <w:spacing w:val="11"/>
                  <w:sz w:val="17"/>
                </w:rPr>
                <w:t xml:space="preserve"> </w:t>
              </w:r>
              <w:r>
                <w:rPr>
                  <w:sz w:val="17"/>
                </w:rPr>
                <w:t>adjudicadores</w:t>
              </w:r>
            </w:hyperlink>
            <w:r>
              <w:rPr>
                <w:sz w:val="17"/>
              </w:rPr>
              <w:t>.</w:t>
            </w:r>
            <w:r>
              <w:rPr>
                <w:spacing w:val="11"/>
                <w:sz w:val="17"/>
              </w:rPr>
              <w:t xml:space="preserve"> </w:t>
            </w:r>
            <w:r>
              <w:rPr>
                <w:spacing w:val="-10"/>
                <w:sz w:val="17"/>
              </w:rPr>
              <w:t>.</w:t>
            </w:r>
            <w:r>
              <w:rPr>
                <w:sz w:val="17"/>
              </w:rPr>
              <w:t xml:space="preserve"> </w:t>
            </w:r>
          </w:p>
        </w:tc>
        <w:tc>
          <w:tcPr>
            <w:tcW w:w="442" w:type="dxa"/>
          </w:tcPr>
          <w:p w:rsidR="0092635B" w:rsidRDefault="00000000">
            <w:pPr>
              <w:pStyle w:val="TableParagraph"/>
              <w:spacing w:before="123"/>
              <w:ind w:left="51"/>
              <w:jc w:val="center"/>
              <w:rPr>
                <w:sz w:val="17"/>
              </w:rPr>
            </w:pPr>
            <w:hyperlink w:anchor="_bookmark110" w:history="1">
              <w:r>
                <w:rPr>
                  <w:spacing w:val="-5"/>
                  <w:sz w:val="17"/>
                </w:rPr>
                <w:t>199</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1" w:history="1">
              <w:r>
                <w:rPr>
                  <w:sz w:val="17"/>
                </w:rPr>
                <w:t>LIBRO</w:t>
              </w:r>
              <w:r>
                <w:rPr>
                  <w:spacing w:val="3"/>
                  <w:sz w:val="17"/>
                </w:rPr>
                <w:t xml:space="preserve"> </w:t>
              </w:r>
              <w:r>
                <w:rPr>
                  <w:sz w:val="17"/>
                </w:rPr>
                <w:t>CUARTO.</w:t>
              </w:r>
              <w:r>
                <w:rPr>
                  <w:spacing w:val="3"/>
                  <w:sz w:val="17"/>
                </w:rPr>
                <w:t xml:space="preserve"> </w:t>
              </w:r>
              <w:r>
                <w:rPr>
                  <w:sz w:val="17"/>
                </w:rPr>
                <w:t>Organización</w:t>
              </w:r>
              <w:r>
                <w:rPr>
                  <w:spacing w:val="4"/>
                  <w:sz w:val="17"/>
                </w:rPr>
                <w:t xml:space="preserve"> </w:t>
              </w:r>
              <w:r>
                <w:rPr>
                  <w:sz w:val="17"/>
                </w:rPr>
                <w:t>administrativa</w:t>
              </w:r>
              <w:r>
                <w:rPr>
                  <w:spacing w:val="3"/>
                  <w:sz w:val="17"/>
                </w:rPr>
                <w:t xml:space="preserve"> </w:t>
              </w:r>
              <w:r>
                <w:rPr>
                  <w:sz w:val="17"/>
                </w:rPr>
                <w:t>para</w:t>
              </w:r>
              <w:r>
                <w:rPr>
                  <w:spacing w:val="3"/>
                  <w:sz w:val="17"/>
                </w:rPr>
                <w:t xml:space="preserve"> </w:t>
              </w:r>
              <w:r>
                <w:rPr>
                  <w:sz w:val="17"/>
                </w:rPr>
                <w:t>la</w:t>
              </w:r>
              <w:r>
                <w:rPr>
                  <w:spacing w:val="4"/>
                  <w:sz w:val="17"/>
                </w:rPr>
                <w:t xml:space="preserve"> </w:t>
              </w:r>
              <w:r>
                <w:rPr>
                  <w:sz w:val="17"/>
                </w:rPr>
                <w:t>gestión</w:t>
              </w:r>
              <w:r>
                <w:rPr>
                  <w:spacing w:val="3"/>
                  <w:sz w:val="17"/>
                </w:rPr>
                <w:t xml:space="preserve"> </w:t>
              </w:r>
              <w:r>
                <w:rPr>
                  <w:sz w:val="17"/>
                </w:rPr>
                <w:t>de</w:t>
              </w:r>
              <w:r>
                <w:rPr>
                  <w:spacing w:val="3"/>
                  <w:sz w:val="17"/>
                </w:rPr>
                <w:t xml:space="preserve"> </w:t>
              </w:r>
              <w:r>
                <w:rPr>
                  <w:sz w:val="17"/>
                </w:rPr>
                <w:t>la</w:t>
              </w:r>
              <w:r>
                <w:rPr>
                  <w:spacing w:val="4"/>
                  <w:sz w:val="17"/>
                </w:rPr>
                <w:t xml:space="preserve"> </w:t>
              </w:r>
              <w:r>
                <w:rPr>
                  <w:sz w:val="17"/>
                </w:rPr>
                <w:t>contratación</w:t>
              </w:r>
              <w:r>
                <w:rPr>
                  <w:spacing w:val="4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1" w:history="1">
              <w:r>
                <w:rPr>
                  <w:spacing w:val="-5"/>
                  <w:sz w:val="17"/>
                </w:rPr>
                <w:t>201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2" w:history="1">
              <w:r>
                <w:rPr>
                  <w:sz w:val="17"/>
                </w:rPr>
                <w:t>TÍTULO</w:t>
              </w:r>
              <w:r>
                <w:rPr>
                  <w:spacing w:val="3"/>
                  <w:sz w:val="17"/>
                </w:rPr>
                <w:t xml:space="preserve"> </w:t>
              </w:r>
              <w:r>
                <w:rPr>
                  <w:sz w:val="17"/>
                </w:rPr>
                <w:t>I.</w:t>
              </w:r>
              <w:r>
                <w:rPr>
                  <w:spacing w:val="3"/>
                  <w:sz w:val="17"/>
                </w:rPr>
                <w:t xml:space="preserve"> </w:t>
              </w:r>
              <w:r>
                <w:rPr>
                  <w:sz w:val="17"/>
                </w:rPr>
                <w:t>Órganos</w:t>
              </w:r>
              <w:r>
                <w:rPr>
                  <w:spacing w:val="4"/>
                  <w:sz w:val="17"/>
                </w:rPr>
                <w:t xml:space="preserve"> </w:t>
              </w:r>
              <w:r>
                <w:rPr>
                  <w:sz w:val="17"/>
                </w:rPr>
                <w:t>competentes</w:t>
              </w:r>
              <w:r>
                <w:rPr>
                  <w:spacing w:val="3"/>
                  <w:sz w:val="17"/>
                </w:rPr>
                <w:t xml:space="preserve"> </w:t>
              </w:r>
              <w:r>
                <w:rPr>
                  <w:sz w:val="17"/>
                </w:rPr>
                <w:t>en</w:t>
              </w:r>
              <w:r>
                <w:rPr>
                  <w:spacing w:val="3"/>
                  <w:sz w:val="17"/>
                </w:rPr>
                <w:t xml:space="preserve"> </w:t>
              </w:r>
              <w:r>
                <w:rPr>
                  <w:sz w:val="17"/>
                </w:rPr>
                <w:t>materia</w:t>
              </w:r>
              <w:r>
                <w:rPr>
                  <w:spacing w:val="4"/>
                  <w:sz w:val="17"/>
                </w:rPr>
                <w:t xml:space="preserve"> </w:t>
              </w:r>
              <w:r>
                <w:rPr>
                  <w:sz w:val="17"/>
                </w:rPr>
                <w:t>de</w:t>
              </w:r>
              <w:r>
                <w:rPr>
                  <w:spacing w:val="3"/>
                  <w:sz w:val="17"/>
                </w:rPr>
                <w:t xml:space="preserve"> </w:t>
              </w:r>
              <w:r>
                <w:rPr>
                  <w:sz w:val="17"/>
                </w:rPr>
                <w:t>contratación</w:t>
              </w:r>
              <w:r>
                <w:rPr>
                  <w:spacing w:val="5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2" w:history="1">
              <w:r>
                <w:rPr>
                  <w:spacing w:val="-5"/>
                  <w:sz w:val="17"/>
                </w:rPr>
                <w:t>201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3" w:history="1">
              <w:r>
                <w:rPr>
                  <w:sz w:val="17"/>
                </w:rPr>
                <w:t>CAPÍTULO</w:t>
              </w:r>
              <w:r>
                <w:rPr>
                  <w:spacing w:val="3"/>
                  <w:sz w:val="17"/>
                </w:rPr>
                <w:t xml:space="preserve"> </w:t>
              </w:r>
              <w:r>
                <w:rPr>
                  <w:sz w:val="17"/>
                </w:rPr>
                <w:t>I.</w:t>
              </w:r>
              <w:r>
                <w:rPr>
                  <w:spacing w:val="3"/>
                  <w:sz w:val="17"/>
                </w:rPr>
                <w:t xml:space="preserve"> </w:t>
              </w:r>
              <w:r>
                <w:rPr>
                  <w:sz w:val="17"/>
                </w:rPr>
                <w:t>Órganos</w:t>
              </w:r>
              <w:r>
                <w:rPr>
                  <w:spacing w:val="4"/>
                  <w:sz w:val="17"/>
                </w:rPr>
                <w:t xml:space="preserve"> </w:t>
              </w:r>
              <w:r>
                <w:rPr>
                  <w:sz w:val="17"/>
                </w:rPr>
                <w:t>de</w:t>
              </w:r>
              <w:r>
                <w:rPr>
                  <w:spacing w:val="3"/>
                  <w:sz w:val="17"/>
                </w:rPr>
                <w:t xml:space="preserve"> </w:t>
              </w:r>
              <w:r>
                <w:rPr>
                  <w:sz w:val="17"/>
                </w:rPr>
                <w:t>contratación.</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3" w:history="1">
              <w:r>
                <w:rPr>
                  <w:spacing w:val="-5"/>
                  <w:sz w:val="17"/>
                </w:rPr>
                <w:t>201</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4" w:history="1">
              <w:r>
                <w:rPr>
                  <w:sz w:val="17"/>
                </w:rPr>
                <w:t>CAPÍTULO</w:t>
              </w:r>
              <w:r>
                <w:rPr>
                  <w:spacing w:val="2"/>
                  <w:sz w:val="17"/>
                </w:rPr>
                <w:t xml:space="preserve"> </w:t>
              </w:r>
              <w:r>
                <w:rPr>
                  <w:sz w:val="17"/>
                </w:rPr>
                <w:t>II.</w:t>
              </w:r>
              <w:r>
                <w:rPr>
                  <w:spacing w:val="3"/>
                  <w:sz w:val="17"/>
                </w:rPr>
                <w:t xml:space="preserve"> </w:t>
              </w:r>
              <w:r>
                <w:rPr>
                  <w:sz w:val="17"/>
                </w:rPr>
                <w:t>Órganos</w:t>
              </w:r>
              <w:r>
                <w:rPr>
                  <w:spacing w:val="3"/>
                  <w:sz w:val="17"/>
                </w:rPr>
                <w:t xml:space="preserve"> </w:t>
              </w:r>
              <w:r>
                <w:rPr>
                  <w:sz w:val="17"/>
                </w:rPr>
                <w:t>de</w:t>
              </w:r>
              <w:r>
                <w:rPr>
                  <w:spacing w:val="2"/>
                  <w:sz w:val="17"/>
                </w:rPr>
                <w:t xml:space="preserve"> </w:t>
              </w:r>
              <w:r>
                <w:rPr>
                  <w:sz w:val="17"/>
                </w:rPr>
                <w:t>asistencia</w:t>
              </w:r>
              <w:r>
                <w:rPr>
                  <w:spacing w:val="-3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4" w:history="1">
              <w:r>
                <w:rPr>
                  <w:spacing w:val="-5"/>
                  <w:sz w:val="17"/>
                </w:rPr>
                <w:t>204</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5" w:history="1">
              <w:r>
                <w:rPr>
                  <w:sz w:val="17"/>
                </w:rPr>
                <w:t>CAPÍTULO</w:t>
              </w:r>
              <w:r>
                <w:rPr>
                  <w:spacing w:val="3"/>
                  <w:sz w:val="17"/>
                </w:rPr>
                <w:t xml:space="preserve"> </w:t>
              </w:r>
              <w:r>
                <w:rPr>
                  <w:sz w:val="17"/>
                </w:rPr>
                <w:t>III.</w:t>
              </w:r>
              <w:r>
                <w:rPr>
                  <w:spacing w:val="3"/>
                  <w:sz w:val="17"/>
                </w:rPr>
                <w:t xml:space="preserve"> </w:t>
              </w:r>
              <w:r>
                <w:rPr>
                  <w:sz w:val="17"/>
                </w:rPr>
                <w:t>Órganos</w:t>
              </w:r>
              <w:r>
                <w:rPr>
                  <w:spacing w:val="4"/>
                  <w:sz w:val="17"/>
                </w:rPr>
                <w:t xml:space="preserve"> </w:t>
              </w:r>
              <w:r>
                <w:rPr>
                  <w:sz w:val="17"/>
                </w:rPr>
                <w:t>consultivos.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5" w:history="1">
              <w:r>
                <w:rPr>
                  <w:spacing w:val="-5"/>
                  <w:sz w:val="17"/>
                </w:rPr>
                <w:t>205</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6" w:history="1">
              <w:r>
                <w:rPr>
                  <w:sz w:val="17"/>
                </w:rPr>
                <w:t>CAPÍTULO</w:t>
              </w:r>
              <w:r>
                <w:rPr>
                  <w:spacing w:val="2"/>
                  <w:sz w:val="17"/>
                </w:rPr>
                <w:t xml:space="preserve"> </w:t>
              </w:r>
              <w:r>
                <w:rPr>
                  <w:sz w:val="17"/>
                </w:rPr>
                <w:t>IV.</w:t>
              </w:r>
              <w:r>
                <w:rPr>
                  <w:spacing w:val="3"/>
                  <w:sz w:val="17"/>
                </w:rPr>
                <w:t xml:space="preserve"> </w:t>
              </w:r>
              <w:r>
                <w:rPr>
                  <w:sz w:val="17"/>
                </w:rPr>
                <w:t>Elaboración</w:t>
              </w:r>
              <w:r>
                <w:rPr>
                  <w:spacing w:val="2"/>
                  <w:sz w:val="17"/>
                </w:rPr>
                <w:t xml:space="preserve"> </w:t>
              </w:r>
              <w:r>
                <w:rPr>
                  <w:sz w:val="17"/>
                </w:rPr>
                <w:t>y</w:t>
              </w:r>
              <w:r>
                <w:rPr>
                  <w:spacing w:val="3"/>
                  <w:sz w:val="17"/>
                </w:rPr>
                <w:t xml:space="preserve"> </w:t>
              </w:r>
              <w:r>
                <w:rPr>
                  <w:sz w:val="17"/>
                </w:rPr>
                <w:t>remisión</w:t>
              </w:r>
              <w:r>
                <w:rPr>
                  <w:spacing w:val="2"/>
                  <w:sz w:val="17"/>
                </w:rPr>
                <w:t xml:space="preserve"> </w:t>
              </w:r>
              <w:r>
                <w:rPr>
                  <w:sz w:val="17"/>
                </w:rPr>
                <w:t>de</w:t>
              </w:r>
              <w:r>
                <w:rPr>
                  <w:spacing w:val="3"/>
                  <w:sz w:val="17"/>
                </w:rPr>
                <w:t xml:space="preserve"> </w:t>
              </w:r>
              <w:r>
                <w:rPr>
                  <w:sz w:val="17"/>
                </w:rPr>
                <w:t>información</w:t>
              </w:r>
              <w:r>
                <w:rPr>
                  <w:spacing w:val="1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6" w:history="1">
              <w:r>
                <w:rPr>
                  <w:spacing w:val="-5"/>
                  <w:sz w:val="17"/>
                </w:rPr>
                <w:t>216</w:t>
              </w:r>
            </w:hyperlink>
          </w:p>
        </w:tc>
      </w:tr>
      <w:tr w:rsidR="0092635B">
        <w:trPr>
          <w:trHeight w:val="440"/>
        </w:trPr>
        <w:tc>
          <w:tcPr>
            <w:tcW w:w="9068" w:type="dxa"/>
          </w:tcPr>
          <w:p w:rsidR="0092635B" w:rsidRDefault="00000000">
            <w:pPr>
              <w:pStyle w:val="TableParagraph"/>
              <w:spacing w:before="118"/>
              <w:ind w:right="98"/>
              <w:jc w:val="right"/>
              <w:rPr>
                <w:sz w:val="17"/>
              </w:rPr>
            </w:pPr>
            <w:hyperlink w:anchor="_bookmark117" w:history="1">
              <w:r>
                <w:rPr>
                  <w:sz w:val="17"/>
                </w:rPr>
                <w:t>TÍTULO</w:t>
              </w:r>
              <w:r>
                <w:rPr>
                  <w:spacing w:val="2"/>
                  <w:sz w:val="17"/>
                </w:rPr>
                <w:t xml:space="preserve"> </w:t>
              </w:r>
              <w:r>
                <w:rPr>
                  <w:sz w:val="17"/>
                </w:rPr>
                <w:t>II.</w:t>
              </w:r>
              <w:r>
                <w:rPr>
                  <w:spacing w:val="3"/>
                  <w:sz w:val="17"/>
                </w:rPr>
                <w:t xml:space="preserve"> </w:t>
              </w:r>
              <w:r>
                <w:rPr>
                  <w:sz w:val="17"/>
                </w:rPr>
                <w:t>Registros</w:t>
              </w:r>
              <w:r>
                <w:rPr>
                  <w:spacing w:val="3"/>
                  <w:sz w:val="17"/>
                </w:rPr>
                <w:t xml:space="preserve"> </w:t>
              </w:r>
              <w:r>
                <w:rPr>
                  <w:sz w:val="17"/>
                </w:rPr>
                <w:t>Oficiales</w:t>
              </w:r>
              <w:r>
                <w:rPr>
                  <w:spacing w:val="-16"/>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7" w:history="1">
              <w:r>
                <w:rPr>
                  <w:spacing w:val="-5"/>
                  <w:sz w:val="17"/>
                </w:rPr>
                <w:t>218</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8" w:history="1">
              <w:r>
                <w:rPr>
                  <w:sz w:val="17"/>
                </w:rPr>
                <w:t>CAPÍTULO</w:t>
              </w:r>
              <w:r>
                <w:rPr>
                  <w:spacing w:val="5"/>
                  <w:sz w:val="17"/>
                </w:rPr>
                <w:t xml:space="preserve"> </w:t>
              </w:r>
              <w:r>
                <w:rPr>
                  <w:sz w:val="17"/>
                </w:rPr>
                <w:t>I.</w:t>
              </w:r>
              <w:r>
                <w:rPr>
                  <w:spacing w:val="6"/>
                  <w:sz w:val="17"/>
                </w:rPr>
                <w:t xml:space="preserve"> </w:t>
              </w:r>
              <w:r>
                <w:rPr>
                  <w:sz w:val="17"/>
                </w:rPr>
                <w:t>Registros</w:t>
              </w:r>
              <w:r>
                <w:rPr>
                  <w:spacing w:val="6"/>
                  <w:sz w:val="17"/>
                </w:rPr>
                <w:t xml:space="preserve"> </w:t>
              </w:r>
              <w:r>
                <w:rPr>
                  <w:sz w:val="17"/>
                </w:rPr>
                <w:t>Oficiales</w:t>
              </w:r>
              <w:r>
                <w:rPr>
                  <w:spacing w:val="6"/>
                  <w:sz w:val="17"/>
                </w:rPr>
                <w:t xml:space="preserve"> </w:t>
              </w:r>
              <w:r>
                <w:rPr>
                  <w:sz w:val="17"/>
                </w:rPr>
                <w:t>de</w:t>
              </w:r>
              <w:r>
                <w:rPr>
                  <w:spacing w:val="6"/>
                  <w:sz w:val="17"/>
                </w:rPr>
                <w:t xml:space="preserve"> </w:t>
              </w:r>
              <w:r>
                <w:rPr>
                  <w:sz w:val="17"/>
                </w:rPr>
                <w:t>Licitadores</w:t>
              </w:r>
              <w:r>
                <w:rPr>
                  <w:spacing w:val="6"/>
                  <w:sz w:val="17"/>
                </w:rPr>
                <w:t xml:space="preserve"> </w:t>
              </w:r>
              <w:r>
                <w:rPr>
                  <w:sz w:val="17"/>
                </w:rPr>
                <w:t>y</w:t>
              </w:r>
              <w:r>
                <w:rPr>
                  <w:spacing w:val="6"/>
                  <w:sz w:val="17"/>
                </w:rPr>
                <w:t xml:space="preserve"> </w:t>
              </w:r>
              <w:r>
                <w:rPr>
                  <w:sz w:val="17"/>
                </w:rPr>
                <w:t>Empresas</w:t>
              </w:r>
              <w:r>
                <w:rPr>
                  <w:spacing w:val="6"/>
                  <w:sz w:val="17"/>
                </w:rPr>
                <w:t xml:space="preserve"> </w:t>
              </w:r>
              <w:r>
                <w:rPr>
                  <w:sz w:val="17"/>
                </w:rPr>
                <w:t>Clasificadas.</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8" w:history="1">
              <w:r>
                <w:rPr>
                  <w:spacing w:val="-5"/>
                  <w:sz w:val="17"/>
                </w:rPr>
                <w:t>218</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19" w:history="1">
              <w:r>
                <w:rPr>
                  <w:sz w:val="17"/>
                </w:rPr>
                <w:t>CAPÍTULO</w:t>
              </w:r>
              <w:r>
                <w:rPr>
                  <w:spacing w:val="3"/>
                  <w:sz w:val="17"/>
                </w:rPr>
                <w:t xml:space="preserve"> </w:t>
              </w:r>
              <w:r>
                <w:rPr>
                  <w:sz w:val="17"/>
                </w:rPr>
                <w:t>II.</w:t>
              </w:r>
              <w:r>
                <w:rPr>
                  <w:spacing w:val="3"/>
                  <w:sz w:val="17"/>
                </w:rPr>
                <w:t xml:space="preserve"> </w:t>
              </w:r>
              <w:r>
                <w:rPr>
                  <w:sz w:val="17"/>
                </w:rPr>
                <w:t>Registro</w:t>
              </w:r>
              <w:r>
                <w:rPr>
                  <w:spacing w:val="3"/>
                  <w:sz w:val="17"/>
                </w:rPr>
                <w:t xml:space="preserve"> </w:t>
              </w:r>
              <w:r>
                <w:rPr>
                  <w:sz w:val="17"/>
                </w:rPr>
                <w:t>de</w:t>
              </w:r>
              <w:r>
                <w:rPr>
                  <w:spacing w:val="4"/>
                  <w:sz w:val="17"/>
                </w:rPr>
                <w:t xml:space="preserve"> </w:t>
              </w:r>
              <w:r>
                <w:rPr>
                  <w:sz w:val="17"/>
                </w:rPr>
                <w:t>Contratos</w:t>
              </w:r>
              <w:r>
                <w:rPr>
                  <w:spacing w:val="3"/>
                  <w:sz w:val="17"/>
                </w:rPr>
                <w:t xml:space="preserve"> </w:t>
              </w:r>
              <w:r>
                <w:rPr>
                  <w:sz w:val="17"/>
                </w:rPr>
                <w:t>del</w:t>
              </w:r>
              <w:r>
                <w:rPr>
                  <w:spacing w:val="3"/>
                  <w:sz w:val="17"/>
                </w:rPr>
                <w:t xml:space="preserve"> </w:t>
              </w:r>
              <w:r>
                <w:rPr>
                  <w:sz w:val="17"/>
                </w:rPr>
                <w:t>Sector</w:t>
              </w:r>
              <w:r>
                <w:rPr>
                  <w:spacing w:val="3"/>
                  <w:sz w:val="17"/>
                </w:rPr>
                <w:t xml:space="preserve"> </w:t>
              </w:r>
              <w:r>
                <w:rPr>
                  <w:sz w:val="17"/>
                </w:rPr>
                <w:t>Público</w:t>
              </w:r>
              <w:r>
                <w:rPr>
                  <w:spacing w:val="-10"/>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19" w:history="1">
              <w:r>
                <w:rPr>
                  <w:spacing w:val="-5"/>
                  <w:sz w:val="17"/>
                </w:rPr>
                <w:t>221</w:t>
              </w:r>
            </w:hyperlink>
          </w:p>
        </w:tc>
      </w:tr>
      <w:tr w:rsidR="0092635B">
        <w:trPr>
          <w:trHeight w:val="440"/>
        </w:trPr>
        <w:tc>
          <w:tcPr>
            <w:tcW w:w="9068" w:type="dxa"/>
          </w:tcPr>
          <w:p w:rsidR="0092635B" w:rsidRDefault="00000000">
            <w:pPr>
              <w:pStyle w:val="TableParagraph"/>
              <w:spacing w:before="118"/>
              <w:ind w:right="100"/>
              <w:jc w:val="right"/>
              <w:rPr>
                <w:sz w:val="17"/>
              </w:rPr>
            </w:pPr>
            <w:hyperlink w:anchor="_bookmark120" w:history="1">
              <w:r>
                <w:rPr>
                  <w:sz w:val="17"/>
                </w:rPr>
                <w:t>TÍTULO</w:t>
              </w:r>
              <w:r>
                <w:rPr>
                  <w:spacing w:val="6"/>
                  <w:sz w:val="17"/>
                </w:rPr>
                <w:t xml:space="preserve"> </w:t>
              </w:r>
              <w:r>
                <w:rPr>
                  <w:sz w:val="17"/>
                </w:rPr>
                <w:t>III.</w:t>
              </w:r>
              <w:r>
                <w:rPr>
                  <w:spacing w:val="7"/>
                  <w:sz w:val="17"/>
                </w:rPr>
                <w:t xml:space="preserve"> </w:t>
              </w:r>
              <w:r>
                <w:rPr>
                  <w:sz w:val="17"/>
                </w:rPr>
                <w:t>Gestión</w:t>
              </w:r>
              <w:r>
                <w:rPr>
                  <w:spacing w:val="7"/>
                  <w:sz w:val="17"/>
                </w:rPr>
                <w:t xml:space="preserve"> </w:t>
              </w:r>
              <w:r>
                <w:rPr>
                  <w:sz w:val="17"/>
                </w:rPr>
                <w:t>de</w:t>
              </w:r>
              <w:r>
                <w:rPr>
                  <w:spacing w:val="7"/>
                  <w:sz w:val="17"/>
                </w:rPr>
                <w:t xml:space="preserve"> </w:t>
              </w:r>
              <w:r>
                <w:rPr>
                  <w:sz w:val="17"/>
                </w:rPr>
                <w:t>la</w:t>
              </w:r>
              <w:r>
                <w:rPr>
                  <w:spacing w:val="7"/>
                  <w:sz w:val="17"/>
                </w:rPr>
                <w:t xml:space="preserve"> </w:t>
              </w:r>
              <w:r>
                <w:rPr>
                  <w:sz w:val="17"/>
                </w:rPr>
                <w:t>publicidad</w:t>
              </w:r>
              <w:r>
                <w:rPr>
                  <w:spacing w:val="7"/>
                  <w:sz w:val="17"/>
                </w:rPr>
                <w:t xml:space="preserve"> </w:t>
              </w:r>
              <w:r>
                <w:rPr>
                  <w:sz w:val="17"/>
                </w:rPr>
                <w:t>contractual</w:t>
              </w:r>
              <w:r>
                <w:rPr>
                  <w:spacing w:val="6"/>
                  <w:sz w:val="17"/>
                </w:rPr>
                <w:t xml:space="preserve"> </w:t>
              </w:r>
              <w:r>
                <w:rPr>
                  <w:sz w:val="17"/>
                </w:rPr>
                <w:t>por</w:t>
              </w:r>
              <w:r>
                <w:rPr>
                  <w:spacing w:val="7"/>
                  <w:sz w:val="17"/>
                </w:rPr>
                <w:t xml:space="preserve"> </w:t>
              </w:r>
              <w:r>
                <w:rPr>
                  <w:sz w:val="17"/>
                </w:rPr>
                <w:t>medios</w:t>
              </w:r>
              <w:r>
                <w:rPr>
                  <w:spacing w:val="7"/>
                  <w:sz w:val="17"/>
                </w:rPr>
                <w:t xml:space="preserve"> </w:t>
              </w:r>
              <w:r>
                <w:rPr>
                  <w:sz w:val="17"/>
                </w:rPr>
                <w:t>electrónicos,</w:t>
              </w:r>
              <w:r>
                <w:rPr>
                  <w:spacing w:val="7"/>
                  <w:sz w:val="17"/>
                </w:rPr>
                <w:t xml:space="preserve"> </w:t>
              </w:r>
              <w:r>
                <w:rPr>
                  <w:sz w:val="17"/>
                </w:rPr>
                <w:t>informáticos</w:t>
              </w:r>
              <w:r>
                <w:rPr>
                  <w:spacing w:val="7"/>
                  <w:sz w:val="17"/>
                </w:rPr>
                <w:t xml:space="preserve"> </w:t>
              </w:r>
              <w:r>
                <w:rPr>
                  <w:sz w:val="17"/>
                </w:rPr>
                <w:t>y</w:t>
              </w:r>
              <w:r>
                <w:rPr>
                  <w:spacing w:val="7"/>
                  <w:sz w:val="17"/>
                </w:rPr>
                <w:t xml:space="preserve"> </w:t>
              </w:r>
              <w:r>
                <w:rPr>
                  <w:sz w:val="17"/>
                </w:rPr>
                <w:t>telemáticos</w:t>
              </w:r>
              <w:r>
                <w:rPr>
                  <w:spacing w:val="21"/>
                  <w:sz w:val="17"/>
                </w:rPr>
                <w:t xml:space="preserve"> </w:t>
              </w:r>
              <w:r>
                <w:rPr>
                  <w:spacing w:val="24"/>
                  <w:sz w:val="17"/>
                </w:rPr>
                <w:t>.</w:t>
              </w:r>
              <w:r>
                <w:rPr>
                  <w:spacing w:val="6"/>
                  <w:sz w:val="17"/>
                </w:rPr>
                <w:t xml:space="preserve"> </w:t>
              </w:r>
              <w:r>
                <w:rPr>
                  <w:spacing w:val="24"/>
                  <w:sz w:val="17"/>
                </w:rPr>
                <w:t>.</w:t>
              </w:r>
              <w:r>
                <w:rPr>
                  <w:spacing w:val="6"/>
                  <w:sz w:val="17"/>
                </w:rPr>
                <w:t xml:space="preserve"> </w:t>
              </w:r>
              <w:r>
                <w:rPr>
                  <w:spacing w:val="24"/>
                  <w:sz w:val="17"/>
                </w:rPr>
                <w:t>.</w:t>
              </w:r>
              <w:r>
                <w:rPr>
                  <w:spacing w:val="5"/>
                  <w:sz w:val="17"/>
                </w:rPr>
                <w:t xml:space="preserve"> </w:t>
              </w:r>
              <w:r>
                <w:rPr>
                  <w:spacing w:val="24"/>
                  <w:sz w:val="17"/>
                </w:rPr>
                <w:t>.</w:t>
              </w:r>
              <w:r>
                <w:rPr>
                  <w:spacing w:val="6"/>
                  <w:sz w:val="17"/>
                </w:rPr>
                <w:t xml:space="preserve"> </w:t>
              </w:r>
              <w:r>
                <w:rPr>
                  <w:spacing w:val="24"/>
                  <w:sz w:val="17"/>
                </w:rPr>
                <w:t>.</w:t>
              </w:r>
              <w:r>
                <w:rPr>
                  <w:spacing w:val="6"/>
                  <w:sz w:val="17"/>
                </w:rPr>
                <w:t xml:space="preserve"> </w:t>
              </w:r>
              <w:r>
                <w:rPr>
                  <w:spacing w:val="24"/>
                  <w:sz w:val="17"/>
                </w:rPr>
                <w:t>.</w:t>
              </w:r>
              <w:r>
                <w:rPr>
                  <w:spacing w:val="6"/>
                  <w:sz w:val="17"/>
                </w:rPr>
                <w:t xml:space="preserve"> </w:t>
              </w:r>
              <w:r>
                <w:rPr>
                  <w:spacing w:val="24"/>
                  <w:sz w:val="17"/>
                </w:rPr>
                <w:t>.</w:t>
              </w:r>
              <w:r>
                <w:rPr>
                  <w:spacing w:val="5"/>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20" w:history="1">
              <w:r>
                <w:rPr>
                  <w:spacing w:val="-5"/>
                  <w:sz w:val="17"/>
                </w:rPr>
                <w:t>222</w:t>
              </w:r>
            </w:hyperlink>
          </w:p>
        </w:tc>
      </w:tr>
      <w:tr w:rsidR="0092635B">
        <w:trPr>
          <w:trHeight w:val="457"/>
        </w:trPr>
        <w:tc>
          <w:tcPr>
            <w:tcW w:w="9068" w:type="dxa"/>
          </w:tcPr>
          <w:p w:rsidR="0092635B" w:rsidRDefault="00000000">
            <w:pPr>
              <w:pStyle w:val="TableParagraph"/>
              <w:spacing w:before="118"/>
              <w:ind w:right="98"/>
              <w:jc w:val="right"/>
              <w:rPr>
                <w:rFonts w:ascii="Arial"/>
                <w:i/>
                <w:sz w:val="17"/>
              </w:rPr>
            </w:pPr>
            <w:hyperlink w:anchor="_bookmark121" w:history="1">
              <w:r>
                <w:rPr>
                  <w:rFonts w:ascii="Arial"/>
                  <w:i/>
                  <w:sz w:val="17"/>
                </w:rPr>
                <w:t>Disposiciones</w:t>
              </w:r>
              <w:r>
                <w:rPr>
                  <w:rFonts w:ascii="Arial"/>
                  <w:i/>
                  <w:spacing w:val="2"/>
                  <w:sz w:val="17"/>
                </w:rPr>
                <w:t xml:space="preserve"> </w:t>
              </w:r>
              <w:r>
                <w:rPr>
                  <w:rFonts w:ascii="Arial"/>
                  <w:i/>
                  <w:sz w:val="17"/>
                </w:rPr>
                <w:t>adicionales</w:t>
              </w:r>
              <w:r>
                <w:rPr>
                  <w:rFonts w:ascii="Arial"/>
                  <w:i/>
                  <w:spacing w:val="26"/>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10"/>
                  <w:sz w:val="17"/>
                </w:rPr>
                <w:t>.</w:t>
              </w:r>
              <w:r>
                <w:rPr>
                  <w:rFonts w:ascii="Arial"/>
                  <w:i/>
                  <w:sz w:val="17"/>
                </w:rPr>
                <w:t xml:space="preserve"> </w:t>
              </w:r>
            </w:hyperlink>
          </w:p>
        </w:tc>
        <w:tc>
          <w:tcPr>
            <w:tcW w:w="442" w:type="dxa"/>
          </w:tcPr>
          <w:p w:rsidR="0092635B" w:rsidRDefault="00000000">
            <w:pPr>
              <w:pStyle w:val="TableParagraph"/>
              <w:spacing w:before="118"/>
              <w:ind w:left="51"/>
              <w:jc w:val="center"/>
              <w:rPr>
                <w:sz w:val="17"/>
              </w:rPr>
            </w:pPr>
            <w:hyperlink w:anchor="_bookmark121" w:history="1">
              <w:r>
                <w:rPr>
                  <w:spacing w:val="-5"/>
                  <w:sz w:val="17"/>
                </w:rPr>
                <w:t>223</w:t>
              </w:r>
            </w:hyperlink>
          </w:p>
        </w:tc>
      </w:tr>
      <w:tr w:rsidR="0092635B">
        <w:trPr>
          <w:trHeight w:val="480"/>
        </w:trPr>
        <w:tc>
          <w:tcPr>
            <w:tcW w:w="9068" w:type="dxa"/>
          </w:tcPr>
          <w:p w:rsidR="0092635B" w:rsidRDefault="00000000">
            <w:pPr>
              <w:pStyle w:val="TableParagraph"/>
              <w:spacing w:before="141"/>
              <w:ind w:right="98"/>
              <w:jc w:val="right"/>
              <w:rPr>
                <w:rFonts w:ascii="Arial"/>
                <w:i/>
                <w:sz w:val="17"/>
              </w:rPr>
            </w:pPr>
            <w:hyperlink w:anchor="_bookmark122" w:history="1">
              <w:r>
                <w:rPr>
                  <w:rFonts w:ascii="Arial"/>
                  <w:i/>
                  <w:sz w:val="17"/>
                </w:rPr>
                <w:t>Disposiciones</w:t>
              </w:r>
              <w:r>
                <w:rPr>
                  <w:rFonts w:ascii="Arial"/>
                  <w:i/>
                  <w:spacing w:val="2"/>
                  <w:sz w:val="17"/>
                </w:rPr>
                <w:t xml:space="preserve"> </w:t>
              </w:r>
              <w:r>
                <w:rPr>
                  <w:rFonts w:ascii="Arial"/>
                  <w:i/>
                  <w:sz w:val="17"/>
                </w:rPr>
                <w:t>transitorias</w:t>
              </w:r>
              <w:r>
                <w:rPr>
                  <w:rFonts w:ascii="Arial"/>
                  <w:i/>
                  <w:spacing w:val="46"/>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10"/>
                  <w:sz w:val="17"/>
                </w:rPr>
                <w:t>.</w:t>
              </w:r>
              <w:r>
                <w:rPr>
                  <w:rFonts w:ascii="Arial"/>
                  <w:i/>
                  <w:sz w:val="17"/>
                </w:rPr>
                <w:t xml:space="preserve"> </w:t>
              </w:r>
            </w:hyperlink>
          </w:p>
        </w:tc>
        <w:tc>
          <w:tcPr>
            <w:tcW w:w="442" w:type="dxa"/>
          </w:tcPr>
          <w:p w:rsidR="0092635B" w:rsidRDefault="00000000">
            <w:pPr>
              <w:pStyle w:val="TableParagraph"/>
              <w:spacing w:before="141"/>
              <w:ind w:left="51"/>
              <w:jc w:val="center"/>
              <w:rPr>
                <w:sz w:val="17"/>
              </w:rPr>
            </w:pPr>
            <w:hyperlink w:anchor="_bookmark122" w:history="1">
              <w:r>
                <w:rPr>
                  <w:spacing w:val="-5"/>
                  <w:sz w:val="17"/>
                </w:rPr>
                <w:t>247</w:t>
              </w:r>
            </w:hyperlink>
          </w:p>
        </w:tc>
      </w:tr>
      <w:tr w:rsidR="0092635B">
        <w:trPr>
          <w:trHeight w:val="480"/>
        </w:trPr>
        <w:tc>
          <w:tcPr>
            <w:tcW w:w="9068" w:type="dxa"/>
          </w:tcPr>
          <w:p w:rsidR="0092635B" w:rsidRDefault="00000000">
            <w:pPr>
              <w:pStyle w:val="TableParagraph"/>
              <w:spacing w:before="141"/>
              <w:ind w:right="98"/>
              <w:jc w:val="right"/>
              <w:rPr>
                <w:rFonts w:ascii="Arial"/>
                <w:i/>
                <w:sz w:val="17"/>
              </w:rPr>
            </w:pPr>
            <w:hyperlink w:anchor="_bookmark123" w:history="1">
              <w:r>
                <w:rPr>
                  <w:rFonts w:ascii="Arial"/>
                  <w:i/>
                  <w:sz w:val="17"/>
                </w:rPr>
                <w:t>Disposiciones</w:t>
              </w:r>
              <w:r>
                <w:rPr>
                  <w:rFonts w:ascii="Arial"/>
                  <w:i/>
                  <w:spacing w:val="2"/>
                  <w:sz w:val="17"/>
                </w:rPr>
                <w:t xml:space="preserve"> </w:t>
              </w:r>
              <w:r>
                <w:rPr>
                  <w:rFonts w:ascii="Arial"/>
                  <w:i/>
                  <w:sz w:val="17"/>
                </w:rPr>
                <w:t>derogatorias</w:t>
              </w:r>
              <w:r>
                <w:rPr>
                  <w:rFonts w:ascii="Arial"/>
                  <w:i/>
                  <w:spacing w:val="49"/>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10"/>
                  <w:sz w:val="17"/>
                </w:rPr>
                <w:t>.</w:t>
              </w:r>
              <w:r>
                <w:rPr>
                  <w:rFonts w:ascii="Arial"/>
                  <w:i/>
                  <w:sz w:val="17"/>
                </w:rPr>
                <w:t xml:space="preserve"> </w:t>
              </w:r>
            </w:hyperlink>
          </w:p>
        </w:tc>
        <w:tc>
          <w:tcPr>
            <w:tcW w:w="442" w:type="dxa"/>
          </w:tcPr>
          <w:p w:rsidR="0092635B" w:rsidRDefault="00000000">
            <w:pPr>
              <w:pStyle w:val="TableParagraph"/>
              <w:spacing w:before="141"/>
              <w:ind w:left="51"/>
              <w:jc w:val="center"/>
              <w:rPr>
                <w:sz w:val="17"/>
              </w:rPr>
            </w:pPr>
            <w:hyperlink w:anchor="_bookmark123" w:history="1">
              <w:r>
                <w:rPr>
                  <w:spacing w:val="-5"/>
                  <w:sz w:val="17"/>
                </w:rPr>
                <w:t>249</w:t>
              </w:r>
            </w:hyperlink>
          </w:p>
        </w:tc>
      </w:tr>
      <w:tr w:rsidR="0092635B">
        <w:trPr>
          <w:trHeight w:val="480"/>
        </w:trPr>
        <w:tc>
          <w:tcPr>
            <w:tcW w:w="9068" w:type="dxa"/>
          </w:tcPr>
          <w:p w:rsidR="0092635B" w:rsidRDefault="00000000">
            <w:pPr>
              <w:pStyle w:val="TableParagraph"/>
              <w:spacing w:before="141"/>
              <w:ind w:right="98"/>
              <w:jc w:val="right"/>
              <w:rPr>
                <w:rFonts w:ascii="Arial"/>
                <w:i/>
                <w:sz w:val="17"/>
              </w:rPr>
            </w:pPr>
            <w:hyperlink w:anchor="_bookmark124" w:history="1">
              <w:r>
                <w:rPr>
                  <w:rFonts w:ascii="Arial"/>
                  <w:i/>
                  <w:sz w:val="17"/>
                </w:rPr>
                <w:t>Disposiciones</w:t>
              </w:r>
              <w:r>
                <w:rPr>
                  <w:rFonts w:ascii="Arial"/>
                  <w:i/>
                  <w:spacing w:val="2"/>
                  <w:sz w:val="17"/>
                </w:rPr>
                <w:t xml:space="preserve"> </w:t>
              </w:r>
              <w:r>
                <w:rPr>
                  <w:rFonts w:ascii="Arial"/>
                  <w:i/>
                  <w:sz w:val="17"/>
                </w:rPr>
                <w:t>finales</w:t>
              </w:r>
              <w:r>
                <w:rPr>
                  <w:rFonts w:ascii="Arial"/>
                  <w:i/>
                  <w:spacing w:val="35"/>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10"/>
                  <w:sz w:val="17"/>
                </w:rPr>
                <w:t>.</w:t>
              </w:r>
              <w:r>
                <w:rPr>
                  <w:rFonts w:ascii="Arial"/>
                  <w:i/>
                  <w:sz w:val="17"/>
                </w:rPr>
                <w:t xml:space="preserve"> </w:t>
              </w:r>
            </w:hyperlink>
          </w:p>
        </w:tc>
        <w:tc>
          <w:tcPr>
            <w:tcW w:w="442" w:type="dxa"/>
          </w:tcPr>
          <w:p w:rsidR="0092635B" w:rsidRDefault="00000000">
            <w:pPr>
              <w:pStyle w:val="TableParagraph"/>
              <w:spacing w:before="141"/>
              <w:ind w:left="51"/>
              <w:jc w:val="center"/>
              <w:rPr>
                <w:sz w:val="17"/>
              </w:rPr>
            </w:pPr>
            <w:hyperlink w:anchor="_bookmark124" w:history="1">
              <w:r>
                <w:rPr>
                  <w:spacing w:val="-5"/>
                  <w:sz w:val="17"/>
                </w:rPr>
                <w:t>249</w:t>
              </w:r>
            </w:hyperlink>
          </w:p>
        </w:tc>
      </w:tr>
      <w:tr w:rsidR="0092635B">
        <w:trPr>
          <w:trHeight w:val="462"/>
        </w:trPr>
        <w:tc>
          <w:tcPr>
            <w:tcW w:w="9068" w:type="dxa"/>
          </w:tcPr>
          <w:p w:rsidR="0092635B" w:rsidRDefault="00000000">
            <w:pPr>
              <w:pStyle w:val="TableParagraph"/>
              <w:spacing w:before="141"/>
              <w:ind w:right="99"/>
              <w:jc w:val="right"/>
              <w:rPr>
                <w:sz w:val="17"/>
              </w:rPr>
            </w:pPr>
            <w:hyperlink w:anchor="_bookmark125" w:history="1">
              <w:r>
                <w:rPr>
                  <w:sz w:val="17"/>
                </w:rPr>
                <w:t>ANEXO</w:t>
              </w:r>
              <w:r>
                <w:rPr>
                  <w:spacing w:val="2"/>
                  <w:sz w:val="17"/>
                </w:rPr>
                <w:t xml:space="preserve"> </w:t>
              </w:r>
              <w:r>
                <w:rPr>
                  <w:sz w:val="17"/>
                </w:rPr>
                <w:t>I.</w:t>
              </w:r>
              <w:r>
                <w:rPr>
                  <w:spacing w:val="3"/>
                  <w:sz w:val="17"/>
                </w:rPr>
                <w:t xml:space="preserve"> </w:t>
              </w:r>
              <w:r>
                <w:rPr>
                  <w:sz w:val="17"/>
                </w:rPr>
                <w:t>Trabajos</w:t>
              </w:r>
              <w:r>
                <w:rPr>
                  <w:spacing w:val="3"/>
                  <w:sz w:val="17"/>
                </w:rPr>
                <w:t xml:space="preserve"> </w:t>
              </w:r>
              <w:r>
                <w:rPr>
                  <w:sz w:val="17"/>
                </w:rPr>
                <w:t>contemplados</w:t>
              </w:r>
              <w:r>
                <w:rPr>
                  <w:spacing w:val="3"/>
                  <w:sz w:val="17"/>
                </w:rPr>
                <w:t xml:space="preserve"> </w:t>
              </w:r>
              <w:r>
                <w:rPr>
                  <w:sz w:val="17"/>
                </w:rPr>
                <w:t>en</w:t>
              </w:r>
              <w:r>
                <w:rPr>
                  <w:spacing w:val="3"/>
                  <w:sz w:val="17"/>
                </w:rPr>
                <w:t xml:space="preserve"> </w:t>
              </w:r>
              <w:r>
                <w:rPr>
                  <w:sz w:val="17"/>
                </w:rPr>
                <w:t>el</w:t>
              </w:r>
              <w:r>
                <w:rPr>
                  <w:spacing w:val="3"/>
                  <w:sz w:val="17"/>
                </w:rPr>
                <w:t xml:space="preserve"> </w:t>
              </w:r>
              <w:r>
                <w:rPr>
                  <w:sz w:val="17"/>
                </w:rPr>
                <w:t>artículo</w:t>
              </w:r>
              <w:r>
                <w:rPr>
                  <w:spacing w:val="3"/>
                  <w:sz w:val="17"/>
                </w:rPr>
                <w:t xml:space="preserve"> </w:t>
              </w:r>
              <w:r>
                <w:rPr>
                  <w:sz w:val="17"/>
                </w:rPr>
                <w:t>13</w:t>
              </w:r>
              <w:r>
                <w:rPr>
                  <w:spacing w:val="37"/>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46"/>
              <w:ind w:left="51"/>
              <w:jc w:val="center"/>
              <w:rPr>
                <w:sz w:val="17"/>
              </w:rPr>
            </w:pPr>
            <w:hyperlink w:anchor="_bookmark125" w:history="1">
              <w:r>
                <w:rPr>
                  <w:spacing w:val="-5"/>
                  <w:sz w:val="17"/>
                </w:rPr>
                <w:t>257</w:t>
              </w:r>
            </w:hyperlink>
          </w:p>
        </w:tc>
      </w:tr>
      <w:tr w:rsidR="0092635B">
        <w:trPr>
          <w:trHeight w:val="680"/>
        </w:trPr>
        <w:tc>
          <w:tcPr>
            <w:tcW w:w="9068" w:type="dxa"/>
          </w:tcPr>
          <w:p w:rsidR="0092635B" w:rsidRDefault="00000000">
            <w:pPr>
              <w:pStyle w:val="TableParagraph"/>
              <w:spacing w:before="118" w:line="295" w:lineRule="auto"/>
              <w:ind w:left="249" w:right="98" w:hanging="200"/>
              <w:rPr>
                <w:sz w:val="17"/>
              </w:rPr>
            </w:pPr>
            <w:hyperlink w:anchor="_bookmark126" w:history="1">
              <w:r>
                <w:rPr>
                  <w:sz w:val="17"/>
                </w:rPr>
                <w:t>ANEXO</w:t>
              </w:r>
              <w:r>
                <w:rPr>
                  <w:spacing w:val="40"/>
                  <w:sz w:val="17"/>
                </w:rPr>
                <w:t xml:space="preserve"> </w:t>
              </w:r>
              <w:r>
                <w:rPr>
                  <w:sz w:val="17"/>
                </w:rPr>
                <w:t>II.</w:t>
              </w:r>
              <w:r>
                <w:rPr>
                  <w:spacing w:val="40"/>
                  <w:sz w:val="17"/>
                </w:rPr>
                <w:t xml:space="preserve"> </w:t>
              </w:r>
              <w:r>
                <w:rPr>
                  <w:sz w:val="17"/>
                </w:rPr>
                <w:t>Lista</w:t>
              </w:r>
              <w:r>
                <w:rPr>
                  <w:spacing w:val="40"/>
                  <w:sz w:val="17"/>
                </w:rPr>
                <w:t xml:space="preserve"> </w:t>
              </w:r>
              <w:r>
                <w:rPr>
                  <w:sz w:val="17"/>
                </w:rPr>
                <w:t>de</w:t>
              </w:r>
              <w:r>
                <w:rPr>
                  <w:spacing w:val="40"/>
                  <w:sz w:val="17"/>
                </w:rPr>
                <w:t xml:space="preserve"> </w:t>
              </w:r>
              <w:r>
                <w:rPr>
                  <w:sz w:val="17"/>
                </w:rPr>
                <w:t>productos</w:t>
              </w:r>
              <w:r>
                <w:rPr>
                  <w:spacing w:val="40"/>
                  <w:sz w:val="17"/>
                </w:rPr>
                <w:t xml:space="preserve"> </w:t>
              </w:r>
              <w:r>
                <w:rPr>
                  <w:sz w:val="17"/>
                </w:rPr>
                <w:t>contemplados</w:t>
              </w:r>
              <w:r>
                <w:rPr>
                  <w:spacing w:val="40"/>
                  <w:sz w:val="17"/>
                </w:rPr>
                <w:t xml:space="preserve"> </w:t>
              </w:r>
              <w:r>
                <w:rPr>
                  <w:sz w:val="17"/>
                </w:rPr>
                <w:t>en</w:t>
              </w:r>
              <w:r>
                <w:rPr>
                  <w:spacing w:val="40"/>
                  <w:sz w:val="17"/>
                </w:rPr>
                <w:t xml:space="preserve"> </w:t>
              </w:r>
              <w:r>
                <w:rPr>
                  <w:sz w:val="17"/>
                </w:rPr>
                <w:t>el</w:t>
              </w:r>
              <w:r>
                <w:rPr>
                  <w:spacing w:val="40"/>
                  <w:sz w:val="17"/>
                </w:rPr>
                <w:t xml:space="preserve"> </w:t>
              </w:r>
              <w:r>
                <w:rPr>
                  <w:sz w:val="17"/>
                </w:rPr>
                <w:t>artículo</w:t>
              </w:r>
              <w:r>
                <w:rPr>
                  <w:spacing w:val="40"/>
                  <w:sz w:val="17"/>
                </w:rPr>
                <w:t xml:space="preserve"> </w:t>
              </w:r>
              <w:r>
                <w:rPr>
                  <w:sz w:val="17"/>
                </w:rPr>
                <w:t>21.1.a)</w:t>
              </w:r>
              <w:r>
                <w:rPr>
                  <w:spacing w:val="40"/>
                  <w:sz w:val="17"/>
                </w:rPr>
                <w:t xml:space="preserve"> </w:t>
              </w:r>
              <w:r>
                <w:rPr>
                  <w:sz w:val="17"/>
                </w:rPr>
                <w:t>en</w:t>
              </w:r>
              <w:r>
                <w:rPr>
                  <w:spacing w:val="40"/>
                  <w:sz w:val="17"/>
                </w:rPr>
                <w:t xml:space="preserve"> </w:t>
              </w:r>
              <w:r>
                <w:rPr>
                  <w:sz w:val="17"/>
                </w:rPr>
                <w:t>lo</w:t>
              </w:r>
              <w:r>
                <w:rPr>
                  <w:spacing w:val="40"/>
                  <w:sz w:val="17"/>
                </w:rPr>
                <w:t xml:space="preserve"> </w:t>
              </w:r>
              <w:r>
                <w:rPr>
                  <w:sz w:val="17"/>
                </w:rPr>
                <w:t>que</w:t>
              </w:r>
              <w:r>
                <w:rPr>
                  <w:spacing w:val="40"/>
                  <w:sz w:val="17"/>
                </w:rPr>
                <w:t xml:space="preserve"> </w:t>
              </w:r>
              <w:r>
                <w:rPr>
                  <w:sz w:val="17"/>
                </w:rPr>
                <w:t>se</w:t>
              </w:r>
              <w:r>
                <w:rPr>
                  <w:spacing w:val="40"/>
                  <w:sz w:val="17"/>
                </w:rPr>
                <w:t xml:space="preserve"> </w:t>
              </w:r>
              <w:r>
                <w:rPr>
                  <w:sz w:val="17"/>
                </w:rPr>
                <w:t>refiere</w:t>
              </w:r>
              <w:r>
                <w:rPr>
                  <w:spacing w:val="40"/>
                  <w:sz w:val="17"/>
                </w:rPr>
                <w:t xml:space="preserve"> </w:t>
              </w:r>
              <w:r>
                <w:rPr>
                  <w:sz w:val="17"/>
                </w:rPr>
                <w:t>a</w:t>
              </w:r>
              <w:r>
                <w:rPr>
                  <w:spacing w:val="40"/>
                  <w:sz w:val="17"/>
                </w:rPr>
                <w:t xml:space="preserve"> </w:t>
              </w:r>
              <w:r>
                <w:rPr>
                  <w:sz w:val="17"/>
                </w:rPr>
                <w:t>los</w:t>
              </w:r>
              <w:r>
                <w:rPr>
                  <w:spacing w:val="40"/>
                  <w:sz w:val="17"/>
                </w:rPr>
                <w:t xml:space="preserve"> </w:t>
              </w:r>
              <w:r>
                <w:rPr>
                  <w:sz w:val="17"/>
                </w:rPr>
                <w:t>contratos</w:t>
              </w:r>
              <w:r>
                <w:rPr>
                  <w:spacing w:val="40"/>
                  <w:sz w:val="17"/>
                </w:rPr>
                <w:t xml:space="preserve"> </w:t>
              </w:r>
              <w:r>
                <w:rPr>
                  <w:sz w:val="17"/>
                </w:rPr>
                <w:t>de</w:t>
              </w:r>
            </w:hyperlink>
            <w:r>
              <w:rPr>
                <w:spacing w:val="80"/>
                <w:sz w:val="17"/>
              </w:rPr>
              <w:t xml:space="preserve"> </w:t>
            </w:r>
            <w:hyperlink w:anchor="_bookmark126" w:history="1">
              <w:r>
                <w:rPr>
                  <w:sz w:val="17"/>
                </w:rPr>
                <w:t>suministros</w:t>
              </w:r>
              <w:r>
                <w:rPr>
                  <w:spacing w:val="4"/>
                  <w:sz w:val="17"/>
                </w:rPr>
                <w:t xml:space="preserve"> </w:t>
              </w:r>
              <w:r>
                <w:rPr>
                  <w:sz w:val="17"/>
                </w:rPr>
                <w:t>adjudicados</w:t>
              </w:r>
              <w:r>
                <w:rPr>
                  <w:spacing w:val="5"/>
                  <w:sz w:val="17"/>
                </w:rPr>
                <w:t xml:space="preserve"> </w:t>
              </w:r>
              <w:r>
                <w:rPr>
                  <w:sz w:val="17"/>
                </w:rPr>
                <w:t>por</w:t>
              </w:r>
              <w:r>
                <w:rPr>
                  <w:spacing w:val="4"/>
                  <w:sz w:val="17"/>
                </w:rPr>
                <w:t xml:space="preserve"> </w:t>
              </w:r>
              <w:r>
                <w:rPr>
                  <w:sz w:val="17"/>
                </w:rPr>
                <w:t>los</w:t>
              </w:r>
              <w:r>
                <w:rPr>
                  <w:spacing w:val="5"/>
                  <w:sz w:val="17"/>
                </w:rPr>
                <w:t xml:space="preserve"> </w:t>
              </w:r>
              <w:r>
                <w:rPr>
                  <w:sz w:val="17"/>
                </w:rPr>
                <w:t>órganos</w:t>
              </w:r>
              <w:r>
                <w:rPr>
                  <w:spacing w:val="4"/>
                  <w:sz w:val="17"/>
                </w:rPr>
                <w:t xml:space="preserve"> </w:t>
              </w:r>
              <w:r>
                <w:rPr>
                  <w:sz w:val="17"/>
                </w:rPr>
                <w:t>de</w:t>
              </w:r>
              <w:r>
                <w:rPr>
                  <w:spacing w:val="5"/>
                  <w:sz w:val="17"/>
                </w:rPr>
                <w:t xml:space="preserve"> </w:t>
              </w:r>
              <w:r>
                <w:rPr>
                  <w:sz w:val="17"/>
                </w:rPr>
                <w:t>contratación</w:t>
              </w:r>
              <w:r>
                <w:rPr>
                  <w:spacing w:val="4"/>
                  <w:sz w:val="17"/>
                </w:rPr>
                <w:t xml:space="preserve"> </w:t>
              </w:r>
              <w:r>
                <w:rPr>
                  <w:sz w:val="17"/>
                </w:rPr>
                <w:t>del</w:t>
              </w:r>
              <w:r>
                <w:rPr>
                  <w:spacing w:val="5"/>
                  <w:sz w:val="17"/>
                </w:rPr>
                <w:t xml:space="preserve"> </w:t>
              </w:r>
              <w:r>
                <w:rPr>
                  <w:sz w:val="17"/>
                </w:rPr>
                <w:t>sector</w:t>
              </w:r>
              <w:r>
                <w:rPr>
                  <w:spacing w:val="4"/>
                  <w:sz w:val="17"/>
                </w:rPr>
                <w:t xml:space="preserve"> </w:t>
              </w:r>
              <w:r>
                <w:rPr>
                  <w:sz w:val="17"/>
                </w:rPr>
                <w:t>de</w:t>
              </w:r>
              <w:r>
                <w:rPr>
                  <w:spacing w:val="5"/>
                  <w:sz w:val="17"/>
                </w:rPr>
                <w:t xml:space="preserve"> </w:t>
              </w:r>
              <w:r>
                <w:rPr>
                  <w:sz w:val="17"/>
                </w:rPr>
                <w:t>la</w:t>
              </w:r>
              <w:r>
                <w:rPr>
                  <w:spacing w:val="4"/>
                  <w:sz w:val="17"/>
                </w:rPr>
                <w:t xml:space="preserve"> </w:t>
              </w:r>
              <w:r>
                <w:rPr>
                  <w:sz w:val="17"/>
                </w:rPr>
                <w:t>defensa</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2" w:type="dxa"/>
          </w:tcPr>
          <w:p w:rsidR="0092635B" w:rsidRDefault="0092635B">
            <w:pPr>
              <w:pStyle w:val="TableParagraph"/>
              <w:spacing w:before="168"/>
              <w:rPr>
                <w:sz w:val="17"/>
              </w:rPr>
            </w:pPr>
          </w:p>
          <w:p w:rsidR="0092635B" w:rsidRDefault="00000000">
            <w:pPr>
              <w:pStyle w:val="TableParagraph"/>
              <w:ind w:left="51"/>
              <w:jc w:val="center"/>
              <w:rPr>
                <w:sz w:val="17"/>
              </w:rPr>
            </w:pPr>
            <w:hyperlink w:anchor="_bookmark126" w:history="1">
              <w:r>
                <w:rPr>
                  <w:spacing w:val="-5"/>
                  <w:sz w:val="17"/>
                </w:rPr>
                <w:t>259</w:t>
              </w:r>
            </w:hyperlink>
          </w:p>
        </w:tc>
      </w:tr>
      <w:tr w:rsidR="0092635B">
        <w:trPr>
          <w:trHeight w:val="440"/>
        </w:trPr>
        <w:tc>
          <w:tcPr>
            <w:tcW w:w="9068" w:type="dxa"/>
          </w:tcPr>
          <w:p w:rsidR="0092635B" w:rsidRDefault="00000000">
            <w:pPr>
              <w:pStyle w:val="TableParagraph"/>
              <w:spacing w:before="118"/>
              <w:ind w:right="99"/>
              <w:jc w:val="right"/>
              <w:rPr>
                <w:sz w:val="17"/>
              </w:rPr>
            </w:pPr>
            <w:hyperlink w:anchor="_bookmark127" w:history="1">
              <w:r>
                <w:rPr>
                  <w:sz w:val="17"/>
                </w:rPr>
                <w:t>ANEXO</w:t>
              </w:r>
              <w:r>
                <w:rPr>
                  <w:spacing w:val="3"/>
                  <w:sz w:val="17"/>
                </w:rPr>
                <w:t xml:space="preserve"> </w:t>
              </w:r>
              <w:r>
                <w:rPr>
                  <w:sz w:val="17"/>
                </w:rPr>
                <w:t>III.</w:t>
              </w:r>
              <w:r>
                <w:rPr>
                  <w:spacing w:val="3"/>
                  <w:sz w:val="17"/>
                </w:rPr>
                <w:t xml:space="preserve"> </w:t>
              </w:r>
              <w:r>
                <w:rPr>
                  <w:sz w:val="17"/>
                </w:rPr>
                <w:t>Información</w:t>
              </w:r>
              <w:r>
                <w:rPr>
                  <w:spacing w:val="3"/>
                  <w:sz w:val="17"/>
                </w:rPr>
                <w:t xml:space="preserve"> </w:t>
              </w:r>
              <w:r>
                <w:rPr>
                  <w:sz w:val="17"/>
                </w:rPr>
                <w:t>que</w:t>
              </w:r>
              <w:r>
                <w:rPr>
                  <w:spacing w:val="3"/>
                  <w:sz w:val="17"/>
                </w:rPr>
                <w:t xml:space="preserve"> </w:t>
              </w:r>
              <w:r>
                <w:rPr>
                  <w:sz w:val="17"/>
                </w:rPr>
                <w:t>debe</w:t>
              </w:r>
              <w:r>
                <w:rPr>
                  <w:spacing w:val="3"/>
                  <w:sz w:val="17"/>
                </w:rPr>
                <w:t xml:space="preserve"> </w:t>
              </w:r>
              <w:r>
                <w:rPr>
                  <w:sz w:val="17"/>
                </w:rPr>
                <w:t>figurar</w:t>
              </w:r>
              <w:r>
                <w:rPr>
                  <w:spacing w:val="3"/>
                  <w:sz w:val="17"/>
                </w:rPr>
                <w:t xml:space="preserve"> </w:t>
              </w:r>
              <w:r>
                <w:rPr>
                  <w:sz w:val="17"/>
                </w:rPr>
                <w:t>en</w:t>
              </w:r>
              <w:r>
                <w:rPr>
                  <w:spacing w:val="4"/>
                  <w:sz w:val="17"/>
                </w:rPr>
                <w:t xml:space="preserve"> </w:t>
              </w:r>
              <w:r>
                <w:rPr>
                  <w:sz w:val="17"/>
                </w:rPr>
                <w:t>los</w:t>
              </w:r>
              <w:r>
                <w:rPr>
                  <w:spacing w:val="3"/>
                  <w:sz w:val="17"/>
                </w:rPr>
                <w:t xml:space="preserve"> </w:t>
              </w:r>
              <w:r>
                <w:rPr>
                  <w:sz w:val="17"/>
                </w:rPr>
                <w:t>anuncios</w:t>
              </w:r>
              <w:r>
                <w:rPr>
                  <w:spacing w:val="24"/>
                  <w:sz w:val="17"/>
                </w:rPr>
                <w:t xml:space="preserve"> .</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442" w:type="dxa"/>
          </w:tcPr>
          <w:p w:rsidR="0092635B" w:rsidRDefault="00000000">
            <w:pPr>
              <w:pStyle w:val="TableParagraph"/>
              <w:spacing w:before="123"/>
              <w:ind w:left="51"/>
              <w:jc w:val="center"/>
              <w:rPr>
                <w:sz w:val="17"/>
              </w:rPr>
            </w:pPr>
            <w:hyperlink w:anchor="_bookmark127" w:history="1">
              <w:r>
                <w:rPr>
                  <w:spacing w:val="-5"/>
                  <w:sz w:val="17"/>
                </w:rPr>
                <w:t>260</w:t>
              </w:r>
            </w:hyperlink>
          </w:p>
        </w:tc>
      </w:tr>
      <w:tr w:rsidR="0092635B">
        <w:trPr>
          <w:trHeight w:val="680"/>
        </w:trPr>
        <w:tc>
          <w:tcPr>
            <w:tcW w:w="9068" w:type="dxa"/>
          </w:tcPr>
          <w:p w:rsidR="0092635B" w:rsidRDefault="00000000">
            <w:pPr>
              <w:pStyle w:val="TableParagraph"/>
              <w:spacing w:before="118" w:line="295" w:lineRule="auto"/>
              <w:ind w:left="249" w:right="98" w:hanging="200"/>
              <w:rPr>
                <w:sz w:val="17"/>
              </w:rPr>
            </w:pPr>
            <w:hyperlink w:anchor="_bookmark128" w:history="1">
              <w:r>
                <w:rPr>
                  <w:sz w:val="17"/>
                </w:rPr>
                <w:t>ANEXO IV. Servicios especiales a que se refieren los artículos 22.1.C), 135.5 Y la disposición adicional trigésima</w:t>
              </w:r>
            </w:hyperlink>
            <w:r>
              <w:rPr>
                <w:spacing w:val="80"/>
                <w:sz w:val="17"/>
              </w:rPr>
              <w:t xml:space="preserve"> </w:t>
            </w:r>
            <w:hyperlink w:anchor="_bookmark128" w:history="1">
              <w:r>
                <w:rPr>
                  <w:sz w:val="17"/>
                </w:rPr>
                <w:t>sexta</w:t>
              </w:r>
              <w:r>
                <w:rPr>
                  <w:spacing w:val="-30"/>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z w:val="17"/>
                </w:rPr>
                <w:t xml:space="preserve">. </w:t>
              </w:r>
            </w:hyperlink>
          </w:p>
        </w:tc>
        <w:tc>
          <w:tcPr>
            <w:tcW w:w="442" w:type="dxa"/>
          </w:tcPr>
          <w:p w:rsidR="0092635B" w:rsidRDefault="0092635B">
            <w:pPr>
              <w:pStyle w:val="TableParagraph"/>
              <w:spacing w:before="168"/>
              <w:rPr>
                <w:sz w:val="17"/>
              </w:rPr>
            </w:pPr>
          </w:p>
          <w:p w:rsidR="0092635B" w:rsidRDefault="00000000">
            <w:pPr>
              <w:pStyle w:val="TableParagraph"/>
              <w:ind w:left="51"/>
              <w:jc w:val="center"/>
              <w:rPr>
                <w:sz w:val="17"/>
              </w:rPr>
            </w:pPr>
            <w:hyperlink w:anchor="_bookmark128" w:history="1">
              <w:r>
                <w:rPr>
                  <w:spacing w:val="-5"/>
                  <w:sz w:val="17"/>
                </w:rPr>
                <w:t>270</w:t>
              </w:r>
            </w:hyperlink>
          </w:p>
        </w:tc>
      </w:tr>
      <w:tr w:rsidR="0092635B">
        <w:trPr>
          <w:trHeight w:val="680"/>
        </w:trPr>
        <w:tc>
          <w:tcPr>
            <w:tcW w:w="9068" w:type="dxa"/>
          </w:tcPr>
          <w:p w:rsidR="0092635B" w:rsidRDefault="00000000">
            <w:pPr>
              <w:pStyle w:val="TableParagraph"/>
              <w:spacing w:before="118" w:line="295" w:lineRule="auto"/>
              <w:ind w:left="250" w:right="98" w:hanging="201"/>
              <w:rPr>
                <w:sz w:val="17"/>
              </w:rPr>
            </w:pPr>
            <w:hyperlink w:anchor="_bookmark129" w:history="1">
              <w:r>
                <w:rPr>
                  <w:sz w:val="17"/>
                </w:rPr>
                <w:t>ANEXO</w:t>
              </w:r>
              <w:r>
                <w:rPr>
                  <w:spacing w:val="23"/>
                  <w:sz w:val="17"/>
                </w:rPr>
                <w:t xml:space="preserve"> </w:t>
              </w:r>
              <w:r>
                <w:rPr>
                  <w:sz w:val="17"/>
                </w:rPr>
                <w:t>V.</w:t>
              </w:r>
              <w:r>
                <w:rPr>
                  <w:spacing w:val="23"/>
                  <w:sz w:val="17"/>
                </w:rPr>
                <w:t xml:space="preserve"> </w:t>
              </w:r>
              <w:r>
                <w:rPr>
                  <w:sz w:val="17"/>
                </w:rPr>
                <w:t>Listado</w:t>
              </w:r>
              <w:r>
                <w:rPr>
                  <w:spacing w:val="23"/>
                  <w:sz w:val="17"/>
                </w:rPr>
                <w:t xml:space="preserve"> </w:t>
              </w:r>
              <w:r>
                <w:rPr>
                  <w:sz w:val="17"/>
                </w:rPr>
                <w:t>de</w:t>
              </w:r>
              <w:r>
                <w:rPr>
                  <w:spacing w:val="23"/>
                  <w:sz w:val="17"/>
                </w:rPr>
                <w:t xml:space="preserve"> </w:t>
              </w:r>
              <w:r>
                <w:rPr>
                  <w:sz w:val="17"/>
                </w:rPr>
                <w:t>convenios</w:t>
              </w:r>
              <w:r>
                <w:rPr>
                  <w:spacing w:val="23"/>
                  <w:sz w:val="17"/>
                </w:rPr>
                <w:t xml:space="preserve"> </w:t>
              </w:r>
              <w:r>
                <w:rPr>
                  <w:sz w:val="17"/>
                </w:rPr>
                <w:t>internacionales</w:t>
              </w:r>
              <w:r>
                <w:rPr>
                  <w:spacing w:val="23"/>
                  <w:sz w:val="17"/>
                </w:rPr>
                <w:t xml:space="preserve"> </w:t>
              </w:r>
              <w:r>
                <w:rPr>
                  <w:sz w:val="17"/>
                </w:rPr>
                <w:t>en</w:t>
              </w:r>
              <w:r>
                <w:rPr>
                  <w:spacing w:val="23"/>
                  <w:sz w:val="17"/>
                </w:rPr>
                <w:t xml:space="preserve"> </w:t>
              </w:r>
              <w:r>
                <w:rPr>
                  <w:sz w:val="17"/>
                </w:rPr>
                <w:t>el</w:t>
              </w:r>
              <w:r>
                <w:rPr>
                  <w:spacing w:val="23"/>
                  <w:sz w:val="17"/>
                </w:rPr>
                <w:t xml:space="preserve"> </w:t>
              </w:r>
              <w:r>
                <w:rPr>
                  <w:sz w:val="17"/>
                </w:rPr>
                <w:t>ámbito</w:t>
              </w:r>
              <w:r>
                <w:rPr>
                  <w:spacing w:val="23"/>
                  <w:sz w:val="17"/>
                </w:rPr>
                <w:t xml:space="preserve"> </w:t>
              </w:r>
              <w:r>
                <w:rPr>
                  <w:sz w:val="17"/>
                </w:rPr>
                <w:t>social</w:t>
              </w:r>
              <w:r>
                <w:rPr>
                  <w:spacing w:val="23"/>
                  <w:sz w:val="17"/>
                </w:rPr>
                <w:t xml:space="preserve"> </w:t>
              </w:r>
              <w:r>
                <w:rPr>
                  <w:sz w:val="17"/>
                </w:rPr>
                <w:t>y</w:t>
              </w:r>
              <w:r>
                <w:rPr>
                  <w:spacing w:val="23"/>
                  <w:sz w:val="17"/>
                </w:rPr>
                <w:t xml:space="preserve"> </w:t>
              </w:r>
              <w:r>
                <w:rPr>
                  <w:sz w:val="17"/>
                </w:rPr>
                <w:t>medioambiental</w:t>
              </w:r>
              <w:r>
                <w:rPr>
                  <w:spacing w:val="23"/>
                  <w:sz w:val="17"/>
                </w:rPr>
                <w:t xml:space="preserve"> </w:t>
              </w:r>
              <w:r>
                <w:rPr>
                  <w:sz w:val="17"/>
                </w:rPr>
                <w:t>a</w:t>
              </w:r>
              <w:r>
                <w:rPr>
                  <w:spacing w:val="23"/>
                  <w:sz w:val="17"/>
                </w:rPr>
                <w:t xml:space="preserve"> </w:t>
              </w:r>
              <w:r>
                <w:rPr>
                  <w:sz w:val="17"/>
                </w:rPr>
                <w:t>que</w:t>
              </w:r>
              <w:r>
                <w:rPr>
                  <w:spacing w:val="23"/>
                  <w:sz w:val="17"/>
                </w:rPr>
                <w:t xml:space="preserve"> </w:t>
              </w:r>
              <w:r>
                <w:rPr>
                  <w:sz w:val="17"/>
                </w:rPr>
                <w:t>se</w:t>
              </w:r>
              <w:r>
                <w:rPr>
                  <w:spacing w:val="23"/>
                  <w:sz w:val="17"/>
                </w:rPr>
                <w:t xml:space="preserve"> </w:t>
              </w:r>
              <w:r>
                <w:rPr>
                  <w:sz w:val="17"/>
                </w:rPr>
                <w:t>refiere</w:t>
              </w:r>
              <w:r>
                <w:rPr>
                  <w:spacing w:val="23"/>
                  <w:sz w:val="17"/>
                </w:rPr>
                <w:t xml:space="preserve"> </w:t>
              </w:r>
              <w:r>
                <w:rPr>
                  <w:sz w:val="17"/>
                </w:rPr>
                <w:t>el</w:t>
              </w:r>
              <w:r>
                <w:rPr>
                  <w:spacing w:val="23"/>
                  <w:sz w:val="17"/>
                </w:rPr>
                <w:t xml:space="preserve"> </w:t>
              </w:r>
              <w:r>
                <w:rPr>
                  <w:sz w:val="17"/>
                </w:rPr>
                <w:t>artículo</w:t>
              </w:r>
            </w:hyperlink>
            <w:r>
              <w:rPr>
                <w:sz w:val="17"/>
              </w:rPr>
              <w:t xml:space="preserve"> </w:t>
            </w:r>
            <w:hyperlink w:anchor="_bookmark129" w:history="1">
              <w:r>
                <w:rPr>
                  <w:sz w:val="17"/>
                </w:rPr>
                <w:t>201</w:t>
              </w:r>
              <w:r>
                <w:rPr>
                  <w:spacing w:val="-2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z w:val="17"/>
                </w:rPr>
                <w:t xml:space="preserve">. </w:t>
              </w:r>
            </w:hyperlink>
          </w:p>
        </w:tc>
        <w:tc>
          <w:tcPr>
            <w:tcW w:w="442" w:type="dxa"/>
          </w:tcPr>
          <w:p w:rsidR="0092635B" w:rsidRDefault="0092635B">
            <w:pPr>
              <w:pStyle w:val="TableParagraph"/>
              <w:spacing w:before="168"/>
              <w:rPr>
                <w:sz w:val="17"/>
              </w:rPr>
            </w:pPr>
          </w:p>
          <w:p w:rsidR="0092635B" w:rsidRDefault="00000000">
            <w:pPr>
              <w:pStyle w:val="TableParagraph"/>
              <w:ind w:left="51"/>
              <w:jc w:val="center"/>
              <w:rPr>
                <w:sz w:val="17"/>
              </w:rPr>
            </w:pPr>
            <w:hyperlink w:anchor="_bookmark129" w:history="1">
              <w:r>
                <w:rPr>
                  <w:spacing w:val="-5"/>
                  <w:sz w:val="17"/>
                </w:rPr>
                <w:t>270</w:t>
              </w:r>
            </w:hyperlink>
          </w:p>
        </w:tc>
      </w:tr>
      <w:tr w:rsidR="0092635B">
        <w:trPr>
          <w:trHeight w:val="560"/>
        </w:trPr>
        <w:tc>
          <w:tcPr>
            <w:tcW w:w="9068" w:type="dxa"/>
          </w:tcPr>
          <w:p w:rsidR="0092635B" w:rsidRDefault="00000000">
            <w:pPr>
              <w:pStyle w:val="TableParagraph"/>
              <w:spacing w:before="60" w:line="240" w:lineRule="atLeast"/>
              <w:ind w:left="249" w:right="98" w:hanging="200"/>
              <w:rPr>
                <w:sz w:val="17"/>
              </w:rPr>
            </w:pPr>
            <w:hyperlink w:anchor="_bookmark130" w:history="1">
              <w:r>
                <w:rPr>
                  <w:sz w:val="17"/>
                </w:rPr>
                <w:t>ANEXO</w:t>
              </w:r>
              <w:r>
                <w:rPr>
                  <w:spacing w:val="17"/>
                  <w:sz w:val="17"/>
                </w:rPr>
                <w:t xml:space="preserve"> </w:t>
              </w:r>
              <w:r>
                <w:rPr>
                  <w:sz w:val="17"/>
                </w:rPr>
                <w:t>VI.</w:t>
              </w:r>
              <w:r>
                <w:rPr>
                  <w:spacing w:val="17"/>
                  <w:sz w:val="17"/>
                </w:rPr>
                <w:t xml:space="preserve"> </w:t>
              </w:r>
              <w:r>
                <w:rPr>
                  <w:sz w:val="17"/>
                </w:rPr>
                <w:t>Códigos</w:t>
              </w:r>
              <w:r>
                <w:rPr>
                  <w:spacing w:val="17"/>
                  <w:sz w:val="17"/>
                </w:rPr>
                <w:t xml:space="preserve"> </w:t>
              </w:r>
              <w:r>
                <w:rPr>
                  <w:sz w:val="17"/>
                </w:rPr>
                <w:t>CPV</w:t>
              </w:r>
              <w:r>
                <w:rPr>
                  <w:spacing w:val="17"/>
                  <w:sz w:val="17"/>
                </w:rPr>
                <w:t xml:space="preserve"> </w:t>
              </w:r>
              <w:r>
                <w:rPr>
                  <w:sz w:val="17"/>
                </w:rPr>
                <w:t>de</w:t>
              </w:r>
              <w:r>
                <w:rPr>
                  <w:spacing w:val="17"/>
                  <w:sz w:val="17"/>
                </w:rPr>
                <w:t xml:space="preserve"> </w:t>
              </w:r>
              <w:r>
                <w:rPr>
                  <w:sz w:val="17"/>
                </w:rPr>
                <w:t>los</w:t>
              </w:r>
              <w:r>
                <w:rPr>
                  <w:spacing w:val="17"/>
                  <w:sz w:val="17"/>
                </w:rPr>
                <w:t xml:space="preserve"> </w:t>
              </w:r>
              <w:r>
                <w:rPr>
                  <w:sz w:val="17"/>
                </w:rPr>
                <w:t>servicios</w:t>
              </w:r>
              <w:r>
                <w:rPr>
                  <w:spacing w:val="17"/>
                  <w:sz w:val="17"/>
                </w:rPr>
                <w:t xml:space="preserve"> </w:t>
              </w:r>
              <w:r>
                <w:rPr>
                  <w:sz w:val="17"/>
                </w:rPr>
                <w:t>y</w:t>
              </w:r>
              <w:r>
                <w:rPr>
                  <w:spacing w:val="17"/>
                  <w:sz w:val="17"/>
                </w:rPr>
                <w:t xml:space="preserve"> </w:t>
              </w:r>
              <w:r>
                <w:rPr>
                  <w:sz w:val="17"/>
                </w:rPr>
                <w:t>suministros</w:t>
              </w:r>
              <w:r>
                <w:rPr>
                  <w:spacing w:val="17"/>
                  <w:sz w:val="17"/>
                </w:rPr>
                <w:t xml:space="preserve"> </w:t>
              </w:r>
              <w:r>
                <w:rPr>
                  <w:sz w:val="17"/>
                </w:rPr>
                <w:t>a</w:t>
              </w:r>
              <w:r>
                <w:rPr>
                  <w:spacing w:val="17"/>
                  <w:sz w:val="17"/>
                </w:rPr>
                <w:t xml:space="preserve"> </w:t>
              </w:r>
              <w:r>
                <w:rPr>
                  <w:sz w:val="17"/>
                </w:rPr>
                <w:t>los</w:t>
              </w:r>
              <w:r>
                <w:rPr>
                  <w:spacing w:val="17"/>
                  <w:sz w:val="17"/>
                </w:rPr>
                <w:t xml:space="preserve"> </w:t>
              </w:r>
              <w:r>
                <w:rPr>
                  <w:sz w:val="17"/>
                </w:rPr>
                <w:t>que</w:t>
              </w:r>
              <w:r>
                <w:rPr>
                  <w:spacing w:val="17"/>
                  <w:sz w:val="17"/>
                </w:rPr>
                <w:t xml:space="preserve"> </w:t>
              </w:r>
              <w:r>
                <w:rPr>
                  <w:sz w:val="17"/>
                </w:rPr>
                <w:t>se</w:t>
              </w:r>
              <w:r>
                <w:rPr>
                  <w:spacing w:val="17"/>
                  <w:sz w:val="17"/>
                </w:rPr>
                <w:t xml:space="preserve"> </w:t>
              </w:r>
              <w:r>
                <w:rPr>
                  <w:sz w:val="17"/>
                </w:rPr>
                <w:t>refiere</w:t>
              </w:r>
              <w:r>
                <w:rPr>
                  <w:spacing w:val="17"/>
                  <w:sz w:val="17"/>
                </w:rPr>
                <w:t xml:space="preserve"> </w:t>
              </w:r>
              <w:r>
                <w:rPr>
                  <w:sz w:val="17"/>
                </w:rPr>
                <w:t>la</w:t>
              </w:r>
              <w:r>
                <w:rPr>
                  <w:spacing w:val="17"/>
                  <w:sz w:val="17"/>
                </w:rPr>
                <w:t xml:space="preserve"> </w:t>
              </w:r>
              <w:r>
                <w:rPr>
                  <w:sz w:val="17"/>
                </w:rPr>
                <w:t>disposición</w:t>
              </w:r>
              <w:r>
                <w:rPr>
                  <w:spacing w:val="17"/>
                  <w:sz w:val="17"/>
                </w:rPr>
                <w:t xml:space="preserve"> </w:t>
              </w:r>
              <w:r>
                <w:rPr>
                  <w:sz w:val="17"/>
                </w:rPr>
                <w:t>adicional</w:t>
              </w:r>
              <w:r>
                <w:rPr>
                  <w:spacing w:val="17"/>
                  <w:sz w:val="17"/>
                </w:rPr>
                <w:t xml:space="preserve"> </w:t>
              </w:r>
              <w:r>
                <w:rPr>
                  <w:sz w:val="17"/>
                </w:rPr>
                <w:t>cuarta</w:t>
              </w:r>
              <w:r>
                <w:rPr>
                  <w:spacing w:val="17"/>
                  <w:sz w:val="17"/>
                </w:rPr>
                <w:t xml:space="preserve"> </w:t>
              </w:r>
              <w:r>
                <w:rPr>
                  <w:sz w:val="17"/>
                </w:rPr>
                <w:t>relativa</w:t>
              </w:r>
            </w:hyperlink>
            <w:r>
              <w:rPr>
                <w:sz w:val="17"/>
              </w:rPr>
              <w:t xml:space="preserve"> </w:t>
            </w:r>
            <w:hyperlink w:anchor="_bookmark130" w:history="1">
              <w:r>
                <w:rPr>
                  <w:sz w:val="17"/>
                </w:rPr>
                <w:t>a</w:t>
              </w:r>
              <w:r>
                <w:rPr>
                  <w:spacing w:val="2"/>
                  <w:sz w:val="17"/>
                </w:rPr>
                <w:t xml:space="preserve"> </w:t>
              </w:r>
              <w:r>
                <w:rPr>
                  <w:sz w:val="17"/>
                </w:rPr>
                <w:t>los</w:t>
              </w:r>
              <w:r>
                <w:rPr>
                  <w:spacing w:val="3"/>
                  <w:sz w:val="17"/>
                </w:rPr>
                <w:t xml:space="preserve"> </w:t>
              </w:r>
              <w:r>
                <w:rPr>
                  <w:sz w:val="17"/>
                </w:rPr>
                <w:t>contratos</w:t>
              </w:r>
              <w:r>
                <w:rPr>
                  <w:spacing w:val="2"/>
                  <w:sz w:val="17"/>
                </w:rPr>
                <w:t xml:space="preserve"> </w:t>
              </w:r>
              <w:r>
                <w:rPr>
                  <w:sz w:val="17"/>
                </w:rPr>
                <w:t>reservados</w:t>
              </w:r>
              <w:r>
                <w:rPr>
                  <w:spacing w:val="17"/>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442" w:type="dxa"/>
          </w:tcPr>
          <w:p w:rsidR="0092635B" w:rsidRDefault="0092635B">
            <w:pPr>
              <w:pStyle w:val="TableParagraph"/>
              <w:spacing w:before="168"/>
              <w:rPr>
                <w:sz w:val="17"/>
              </w:rPr>
            </w:pPr>
          </w:p>
          <w:p w:rsidR="0092635B" w:rsidRDefault="00000000">
            <w:pPr>
              <w:pStyle w:val="TableParagraph"/>
              <w:spacing w:line="177" w:lineRule="exact"/>
              <w:ind w:left="51"/>
              <w:jc w:val="center"/>
              <w:rPr>
                <w:sz w:val="17"/>
              </w:rPr>
            </w:pPr>
            <w:hyperlink w:anchor="_bookmark130" w:history="1">
              <w:r>
                <w:rPr>
                  <w:spacing w:val="-5"/>
                  <w:sz w:val="17"/>
                </w:rPr>
                <w:t>271</w:t>
              </w:r>
            </w:hyperlink>
          </w:p>
        </w:tc>
      </w:tr>
    </w:tbl>
    <w:p w:rsidR="0092635B" w:rsidRDefault="0092635B">
      <w:pPr>
        <w:pStyle w:val="TableParagraph"/>
        <w:spacing w:line="177" w:lineRule="exact"/>
        <w:jc w:val="center"/>
        <w:rPr>
          <w:sz w:val="17"/>
        </w:rPr>
        <w:sectPr w:rsidR="0092635B">
          <w:pgSz w:w="11910" w:h="16840"/>
          <w:pgMar w:top="1200" w:right="708" w:bottom="760" w:left="708" w:header="589" w:footer="570" w:gutter="0"/>
          <w:cols w:space="720"/>
        </w:sectPr>
      </w:pPr>
    </w:p>
    <w:p w:rsidR="0092635B" w:rsidRDefault="0092635B">
      <w:pPr>
        <w:pStyle w:val="Textoindependiente"/>
        <w:spacing w:before="177"/>
        <w:ind w:left="0" w:firstLine="0"/>
        <w:jc w:val="left"/>
        <w:rPr>
          <w:sz w:val="28"/>
        </w:rPr>
      </w:pPr>
    </w:p>
    <w:p w:rsidR="0092635B" w:rsidRDefault="00000000">
      <w:pPr>
        <w:jc w:val="center"/>
        <w:rPr>
          <w:sz w:val="28"/>
        </w:rPr>
      </w:pPr>
      <w:r>
        <w:rPr>
          <w:color w:val="004479"/>
          <w:sz w:val="28"/>
        </w:rPr>
        <w:t>TEXTO</w:t>
      </w:r>
      <w:r>
        <w:rPr>
          <w:color w:val="004479"/>
          <w:spacing w:val="-5"/>
          <w:sz w:val="28"/>
        </w:rPr>
        <w:t xml:space="preserve"> </w:t>
      </w:r>
      <w:r>
        <w:rPr>
          <w:color w:val="004479"/>
          <w:spacing w:val="-2"/>
          <w:sz w:val="28"/>
        </w:rPr>
        <w:t>CONSOLIDADO</w:t>
      </w:r>
    </w:p>
    <w:p w:rsidR="0092635B" w:rsidRDefault="00000000">
      <w:pPr>
        <w:spacing w:before="38"/>
        <w:jc w:val="center"/>
        <w:rPr>
          <w:sz w:val="28"/>
        </w:rPr>
      </w:pPr>
      <w:r>
        <w:rPr>
          <w:color w:val="004479"/>
          <w:sz w:val="28"/>
        </w:rPr>
        <w:t>Última</w:t>
      </w:r>
      <w:r>
        <w:rPr>
          <w:color w:val="004479"/>
          <w:spacing w:val="-4"/>
          <w:sz w:val="28"/>
        </w:rPr>
        <w:t xml:space="preserve"> </w:t>
      </w:r>
      <w:r>
        <w:rPr>
          <w:color w:val="004479"/>
          <w:sz w:val="28"/>
        </w:rPr>
        <w:t>modificación:</w:t>
      </w:r>
      <w:r>
        <w:rPr>
          <w:color w:val="004479"/>
          <w:spacing w:val="-2"/>
          <w:sz w:val="28"/>
        </w:rPr>
        <w:t xml:space="preserve"> </w:t>
      </w:r>
      <w:r>
        <w:rPr>
          <w:color w:val="004479"/>
          <w:sz w:val="28"/>
        </w:rPr>
        <w:t>23</w:t>
      </w:r>
      <w:r>
        <w:rPr>
          <w:color w:val="004479"/>
          <w:spacing w:val="-2"/>
          <w:sz w:val="28"/>
        </w:rPr>
        <w:t xml:space="preserve"> </w:t>
      </w:r>
      <w:r>
        <w:rPr>
          <w:color w:val="004479"/>
          <w:sz w:val="28"/>
        </w:rPr>
        <w:t>de</w:t>
      </w:r>
      <w:r>
        <w:rPr>
          <w:color w:val="004479"/>
          <w:spacing w:val="-2"/>
          <w:sz w:val="28"/>
        </w:rPr>
        <w:t xml:space="preserve"> </w:t>
      </w:r>
      <w:r>
        <w:rPr>
          <w:color w:val="004479"/>
          <w:sz w:val="28"/>
        </w:rPr>
        <w:t>enero</w:t>
      </w:r>
      <w:r>
        <w:rPr>
          <w:color w:val="004479"/>
          <w:spacing w:val="-2"/>
          <w:sz w:val="28"/>
        </w:rPr>
        <w:t xml:space="preserve"> </w:t>
      </w:r>
      <w:r>
        <w:rPr>
          <w:color w:val="004479"/>
          <w:sz w:val="28"/>
        </w:rPr>
        <w:t>de</w:t>
      </w:r>
      <w:r>
        <w:rPr>
          <w:color w:val="004479"/>
          <w:spacing w:val="-2"/>
          <w:sz w:val="28"/>
        </w:rPr>
        <w:t xml:space="preserve"> </w:t>
      </w:r>
      <w:r>
        <w:rPr>
          <w:color w:val="004479"/>
          <w:spacing w:val="-4"/>
          <w:sz w:val="28"/>
        </w:rPr>
        <w:t>2025</w:t>
      </w:r>
    </w:p>
    <w:p w:rsidR="0092635B" w:rsidRDefault="0092635B">
      <w:pPr>
        <w:pStyle w:val="Textoindependiente"/>
        <w:spacing w:before="0"/>
        <w:ind w:left="0" w:firstLine="0"/>
        <w:jc w:val="left"/>
        <w:rPr>
          <w:sz w:val="28"/>
        </w:rPr>
      </w:pPr>
    </w:p>
    <w:p w:rsidR="0092635B" w:rsidRDefault="0092635B">
      <w:pPr>
        <w:pStyle w:val="Textoindependiente"/>
        <w:spacing w:before="225"/>
        <w:ind w:left="0" w:firstLine="0"/>
        <w:jc w:val="left"/>
        <w:rPr>
          <w:sz w:val="28"/>
        </w:rPr>
      </w:pPr>
    </w:p>
    <w:p w:rsidR="0092635B" w:rsidRDefault="00000000">
      <w:pPr>
        <w:pStyle w:val="Textoindependiente"/>
        <w:spacing w:before="0"/>
        <w:ind w:left="0" w:firstLine="0"/>
        <w:jc w:val="center"/>
      </w:pPr>
      <w:bookmarkStart w:id="1" w:name="[Preámbulo]"/>
      <w:bookmarkStart w:id="2" w:name="_bookmark0"/>
      <w:bookmarkEnd w:id="1"/>
      <w:bookmarkEnd w:id="2"/>
      <w:r>
        <w:t xml:space="preserve">FELIPE </w:t>
      </w:r>
      <w:r>
        <w:rPr>
          <w:spacing w:val="-5"/>
        </w:rPr>
        <w:t>VI</w:t>
      </w:r>
    </w:p>
    <w:p w:rsidR="0092635B" w:rsidRDefault="0092635B">
      <w:pPr>
        <w:pStyle w:val="Textoindependiente"/>
        <w:spacing w:before="64"/>
        <w:ind w:left="0" w:firstLine="0"/>
        <w:jc w:val="left"/>
      </w:pPr>
    </w:p>
    <w:p w:rsidR="0092635B" w:rsidRDefault="00000000">
      <w:pPr>
        <w:pStyle w:val="Textoindependiente"/>
        <w:spacing w:before="0"/>
        <w:ind w:left="0" w:firstLine="0"/>
        <w:jc w:val="center"/>
      </w:pPr>
      <w:r>
        <w:t xml:space="preserve">REY DE </w:t>
      </w:r>
      <w:r>
        <w:rPr>
          <w:spacing w:val="-2"/>
        </w:rPr>
        <w:t>ESPAÑA</w:t>
      </w:r>
    </w:p>
    <w:p w:rsidR="0092635B" w:rsidRDefault="00000000">
      <w:pPr>
        <w:pStyle w:val="Textoindependiente"/>
        <w:spacing w:before="130"/>
        <w:ind w:left="1446" w:firstLine="0"/>
        <w:jc w:val="left"/>
      </w:pPr>
      <w:r>
        <w:t>A</w:t>
      </w:r>
      <w:r>
        <w:rPr>
          <w:spacing w:val="-2"/>
        </w:rPr>
        <w:t xml:space="preserve"> </w:t>
      </w:r>
      <w:r>
        <w:t>todos</w:t>
      </w:r>
      <w:r>
        <w:rPr>
          <w:spacing w:val="-2"/>
        </w:rPr>
        <w:t xml:space="preserve"> </w:t>
      </w:r>
      <w:r>
        <w:t>los</w:t>
      </w:r>
      <w:r>
        <w:rPr>
          <w:spacing w:val="-2"/>
        </w:rPr>
        <w:t xml:space="preserve"> </w:t>
      </w:r>
      <w:r>
        <w:t>que</w:t>
      </w:r>
      <w:r>
        <w:rPr>
          <w:spacing w:val="-2"/>
        </w:rPr>
        <w:t xml:space="preserve"> </w:t>
      </w:r>
      <w:r>
        <w:t>la</w:t>
      </w:r>
      <w:r>
        <w:rPr>
          <w:spacing w:val="-2"/>
        </w:rPr>
        <w:t xml:space="preserve"> </w:t>
      </w:r>
      <w:r>
        <w:t>presente</w:t>
      </w:r>
      <w:r>
        <w:rPr>
          <w:spacing w:val="-2"/>
        </w:rPr>
        <w:t xml:space="preserve"> </w:t>
      </w:r>
      <w:r>
        <w:t>vieren</w:t>
      </w:r>
      <w:r>
        <w:rPr>
          <w:spacing w:val="-2"/>
        </w:rPr>
        <w:t xml:space="preserve"> </w:t>
      </w:r>
      <w:r>
        <w:t>y</w:t>
      </w:r>
      <w:r>
        <w:rPr>
          <w:spacing w:val="-1"/>
        </w:rPr>
        <w:t xml:space="preserve"> </w:t>
      </w:r>
      <w:r>
        <w:rPr>
          <w:spacing w:val="-2"/>
        </w:rPr>
        <w:t>entendieren.</w:t>
      </w:r>
    </w:p>
    <w:p w:rsidR="0092635B" w:rsidRDefault="00000000">
      <w:pPr>
        <w:pStyle w:val="Textoindependiente"/>
        <w:spacing w:before="10"/>
        <w:ind w:left="1446" w:firstLine="0"/>
        <w:jc w:val="left"/>
      </w:pPr>
      <w:r>
        <w:t>Sabed:</w:t>
      </w:r>
      <w:r>
        <w:rPr>
          <w:spacing w:val="23"/>
        </w:rPr>
        <w:t xml:space="preserve"> </w:t>
      </w:r>
      <w:r>
        <w:t>Que</w:t>
      </w:r>
      <w:r>
        <w:rPr>
          <w:spacing w:val="23"/>
        </w:rPr>
        <w:t xml:space="preserve"> </w:t>
      </w:r>
      <w:r>
        <w:t>las</w:t>
      </w:r>
      <w:r>
        <w:rPr>
          <w:spacing w:val="23"/>
        </w:rPr>
        <w:t xml:space="preserve"> </w:t>
      </w:r>
      <w:r>
        <w:t>Cortes</w:t>
      </w:r>
      <w:r>
        <w:rPr>
          <w:spacing w:val="23"/>
        </w:rPr>
        <w:t xml:space="preserve"> </w:t>
      </w:r>
      <w:r>
        <w:t>Generales</w:t>
      </w:r>
      <w:r>
        <w:rPr>
          <w:spacing w:val="24"/>
        </w:rPr>
        <w:t xml:space="preserve"> </w:t>
      </w:r>
      <w:r>
        <w:t>han</w:t>
      </w:r>
      <w:r>
        <w:rPr>
          <w:spacing w:val="23"/>
        </w:rPr>
        <w:t xml:space="preserve"> </w:t>
      </w:r>
      <w:r>
        <w:t>aprobado</w:t>
      </w:r>
      <w:r>
        <w:rPr>
          <w:spacing w:val="23"/>
        </w:rPr>
        <w:t xml:space="preserve"> </w:t>
      </w:r>
      <w:r>
        <w:t>y</w:t>
      </w:r>
      <w:r>
        <w:rPr>
          <w:spacing w:val="23"/>
        </w:rPr>
        <w:t xml:space="preserve"> </w:t>
      </w:r>
      <w:r>
        <w:t>Yo</w:t>
      </w:r>
      <w:r>
        <w:rPr>
          <w:spacing w:val="24"/>
        </w:rPr>
        <w:t xml:space="preserve"> </w:t>
      </w:r>
      <w:r>
        <w:t>vengo</w:t>
      </w:r>
      <w:r>
        <w:rPr>
          <w:spacing w:val="23"/>
        </w:rPr>
        <w:t xml:space="preserve"> </w:t>
      </w:r>
      <w:r>
        <w:t>en</w:t>
      </w:r>
      <w:r>
        <w:rPr>
          <w:spacing w:val="23"/>
        </w:rPr>
        <w:t xml:space="preserve"> </w:t>
      </w:r>
      <w:r>
        <w:t>sancionar</w:t>
      </w:r>
      <w:r>
        <w:rPr>
          <w:spacing w:val="23"/>
        </w:rPr>
        <w:t xml:space="preserve"> </w:t>
      </w:r>
      <w:r>
        <w:t>la</w:t>
      </w:r>
      <w:r>
        <w:rPr>
          <w:spacing w:val="24"/>
        </w:rPr>
        <w:t xml:space="preserve"> </w:t>
      </w:r>
      <w:r>
        <w:rPr>
          <w:spacing w:val="-2"/>
        </w:rPr>
        <w:t>siguiente</w:t>
      </w:r>
    </w:p>
    <w:p w:rsidR="0092635B" w:rsidRDefault="00000000">
      <w:pPr>
        <w:pStyle w:val="Textoindependiente"/>
        <w:spacing w:before="10"/>
        <w:ind w:firstLine="0"/>
        <w:jc w:val="left"/>
      </w:pPr>
      <w:r>
        <w:rPr>
          <w:spacing w:val="-4"/>
        </w:rPr>
        <w:t>ley:</w:t>
      </w:r>
    </w:p>
    <w:p w:rsidR="0092635B" w:rsidRDefault="0092635B">
      <w:pPr>
        <w:pStyle w:val="Textoindependiente"/>
        <w:spacing w:before="63"/>
        <w:ind w:left="0" w:firstLine="0"/>
        <w:jc w:val="left"/>
      </w:pPr>
    </w:p>
    <w:p w:rsidR="0092635B" w:rsidRDefault="00000000">
      <w:pPr>
        <w:pStyle w:val="Textoindependiente"/>
        <w:spacing w:before="0"/>
        <w:ind w:left="0" w:firstLine="0"/>
        <w:jc w:val="center"/>
      </w:pPr>
      <w:r>
        <w:rPr>
          <w:spacing w:val="-2"/>
        </w:rPr>
        <w:t>PREÁMBULO</w:t>
      </w:r>
    </w:p>
    <w:p w:rsidR="0092635B" w:rsidRDefault="0092635B">
      <w:pPr>
        <w:pStyle w:val="Textoindependiente"/>
        <w:spacing w:before="64"/>
        <w:ind w:left="0" w:firstLine="0"/>
        <w:jc w:val="left"/>
      </w:pPr>
    </w:p>
    <w:p w:rsidR="0092635B" w:rsidRDefault="00000000">
      <w:pPr>
        <w:pStyle w:val="Textoindependiente"/>
        <w:spacing w:before="0"/>
        <w:ind w:left="-1" w:firstLine="0"/>
        <w:jc w:val="center"/>
      </w:pPr>
      <w:r>
        <w:rPr>
          <w:spacing w:val="-10"/>
        </w:rPr>
        <w:t>I</w:t>
      </w:r>
    </w:p>
    <w:p w:rsidR="0092635B" w:rsidRDefault="00000000">
      <w:pPr>
        <w:pStyle w:val="Textoindependiente"/>
        <w:spacing w:before="130" w:line="249" w:lineRule="auto"/>
        <w:ind w:right="1103"/>
      </w:pPr>
      <w:r>
        <w:t>La legislación de contratos públicos, de marcado carácter nacional, encuentra, no obstante, el fundamento de muchas de sus instituciones más allá de nuestras fronteras, en concreto,</w:t>
      </w:r>
      <w:r>
        <w:rPr>
          <w:spacing w:val="-2"/>
        </w:rPr>
        <w:t xml:space="preserve"> </w:t>
      </w:r>
      <w:r>
        <w:t>dentro</w:t>
      </w:r>
      <w:r>
        <w:rPr>
          <w:spacing w:val="-2"/>
        </w:rPr>
        <w:t xml:space="preserve"> </w:t>
      </w:r>
      <w:r>
        <w:t>de</w:t>
      </w:r>
      <w:r>
        <w:rPr>
          <w:spacing w:val="-2"/>
        </w:rPr>
        <w:t xml:space="preserve"> </w:t>
      </w:r>
      <w:r>
        <w:t>la</w:t>
      </w:r>
      <w:r>
        <w:rPr>
          <w:spacing w:val="-2"/>
        </w:rPr>
        <w:t xml:space="preserve"> </w:t>
      </w:r>
      <w:r>
        <w:t>actividad</w:t>
      </w:r>
      <w:r>
        <w:rPr>
          <w:spacing w:val="-2"/>
        </w:rPr>
        <w:t xml:space="preserve"> </w:t>
      </w:r>
      <w:r>
        <w:t>normativa</w:t>
      </w:r>
      <w:r>
        <w:rPr>
          <w:spacing w:val="-2"/>
        </w:rPr>
        <w:t xml:space="preserve"> </w:t>
      </w:r>
      <w:r>
        <w:t>de</w:t>
      </w:r>
      <w:r>
        <w:rPr>
          <w:spacing w:val="-2"/>
        </w:rPr>
        <w:t xml:space="preserve"> </w:t>
      </w:r>
      <w:r>
        <w:t>instituciones</w:t>
      </w:r>
      <w:r>
        <w:rPr>
          <w:spacing w:val="-2"/>
        </w:rPr>
        <w:t xml:space="preserve"> </w:t>
      </w:r>
      <w:r>
        <w:t>de</w:t>
      </w:r>
      <w:r>
        <w:rPr>
          <w:spacing w:val="-2"/>
        </w:rPr>
        <w:t xml:space="preserve"> </w:t>
      </w:r>
      <w:r>
        <w:t>carácter</w:t>
      </w:r>
      <w:r>
        <w:rPr>
          <w:spacing w:val="-2"/>
        </w:rPr>
        <w:t xml:space="preserve"> </w:t>
      </w:r>
      <w:r>
        <w:t>internacional,</w:t>
      </w:r>
      <w:r>
        <w:rPr>
          <w:spacing w:val="-2"/>
        </w:rPr>
        <w:t xml:space="preserve"> </w:t>
      </w:r>
      <w:r>
        <w:t>como</w:t>
      </w:r>
      <w:r>
        <w:rPr>
          <w:spacing w:val="-2"/>
        </w:rPr>
        <w:t xml:space="preserve"> </w:t>
      </w:r>
      <w:r>
        <w:t>es el</w:t>
      </w:r>
      <w:r>
        <w:rPr>
          <w:spacing w:val="-1"/>
        </w:rPr>
        <w:t xml:space="preserve"> </w:t>
      </w:r>
      <w:r>
        <w:t>caso</w:t>
      </w:r>
      <w:r>
        <w:rPr>
          <w:spacing w:val="-1"/>
        </w:rPr>
        <w:t xml:space="preserve"> </w:t>
      </w:r>
      <w:r>
        <w:t>de</w:t>
      </w:r>
      <w:r>
        <w:rPr>
          <w:spacing w:val="-1"/>
        </w:rPr>
        <w:t xml:space="preserve"> </w:t>
      </w:r>
      <w:r>
        <w:t>la</w:t>
      </w:r>
      <w:r>
        <w:rPr>
          <w:spacing w:val="-1"/>
        </w:rPr>
        <w:t xml:space="preserve"> </w:t>
      </w:r>
      <w:r>
        <w:t>OCDE,</w:t>
      </w:r>
      <w:r>
        <w:rPr>
          <w:spacing w:val="-1"/>
        </w:rPr>
        <w:t xml:space="preserve"> </w:t>
      </w:r>
      <w:r>
        <w:t>de</w:t>
      </w:r>
      <w:r>
        <w:rPr>
          <w:spacing w:val="-1"/>
        </w:rPr>
        <w:t xml:space="preserve"> </w:t>
      </w:r>
      <w:r>
        <w:t>UNCITRAL</w:t>
      </w:r>
      <w:r>
        <w:rPr>
          <w:spacing w:val="-1"/>
        </w:rPr>
        <w:t xml:space="preserve"> </w:t>
      </w:r>
      <w:r>
        <w:t>–en</w:t>
      </w:r>
      <w:r>
        <w:rPr>
          <w:spacing w:val="-1"/>
        </w:rPr>
        <w:t xml:space="preserve"> </w:t>
      </w:r>
      <w:r>
        <w:t>el</w:t>
      </w:r>
      <w:r>
        <w:rPr>
          <w:spacing w:val="-1"/>
        </w:rPr>
        <w:t xml:space="preserve"> </w:t>
      </w:r>
      <w:r>
        <w:t>ámbito</w:t>
      </w:r>
      <w:r>
        <w:rPr>
          <w:spacing w:val="-1"/>
        </w:rPr>
        <w:t xml:space="preserve"> </w:t>
      </w:r>
      <w:r>
        <w:t>de</w:t>
      </w:r>
      <w:r>
        <w:rPr>
          <w:spacing w:val="-1"/>
        </w:rPr>
        <w:t xml:space="preserve"> </w:t>
      </w:r>
      <w:r>
        <w:t>la</w:t>
      </w:r>
      <w:r>
        <w:rPr>
          <w:spacing w:val="-1"/>
        </w:rPr>
        <w:t xml:space="preserve"> </w:t>
      </w:r>
      <w:r>
        <w:t>ONU–,</w:t>
      </w:r>
      <w:r>
        <w:rPr>
          <w:spacing w:val="-1"/>
        </w:rPr>
        <w:t xml:space="preserve"> </w:t>
      </w:r>
      <w:r>
        <w:t>o,</w:t>
      </w:r>
      <w:r>
        <w:rPr>
          <w:spacing w:val="-1"/>
        </w:rPr>
        <w:t xml:space="preserve"> </w:t>
      </w:r>
      <w:r>
        <w:t>especialmente,</w:t>
      </w:r>
      <w:r>
        <w:rPr>
          <w:spacing w:val="-1"/>
        </w:rPr>
        <w:t xml:space="preserve"> </w:t>
      </w:r>
      <w:r>
        <w:t>de</w:t>
      </w:r>
      <w:r>
        <w:rPr>
          <w:spacing w:val="-1"/>
        </w:rPr>
        <w:t xml:space="preserve"> </w:t>
      </w:r>
      <w:r>
        <w:t>la</w:t>
      </w:r>
      <w:r>
        <w:rPr>
          <w:spacing w:val="-1"/>
        </w:rPr>
        <w:t xml:space="preserve"> </w:t>
      </w:r>
      <w:r>
        <w:t>Unión Europea. La exigencia de la adaptación de nuestro derecho nacional a esta normativa ha dado lugar, en los últimos treinta años, a la mayor parte de las reformas que se han ido haciendo en los textos legales españoles.</w:t>
      </w:r>
    </w:p>
    <w:p w:rsidR="0092635B" w:rsidRDefault="00000000">
      <w:pPr>
        <w:pStyle w:val="Textoindependiente"/>
        <w:spacing w:before="6" w:line="249" w:lineRule="auto"/>
        <w:ind w:right="1103"/>
      </w:pPr>
      <w:r>
        <w:t>En</w:t>
      </w:r>
      <w:r>
        <w:rPr>
          <w:spacing w:val="-2"/>
        </w:rPr>
        <w:t xml:space="preserve"> </w:t>
      </w:r>
      <w:r>
        <w:t>concreto,</w:t>
      </w:r>
      <w:r>
        <w:rPr>
          <w:spacing w:val="-2"/>
        </w:rPr>
        <w:t xml:space="preserve"> </w:t>
      </w:r>
      <w:r>
        <w:t>la</w:t>
      </w:r>
      <w:r>
        <w:rPr>
          <w:spacing w:val="-2"/>
        </w:rPr>
        <w:t xml:space="preserve"> </w:t>
      </w:r>
      <w:r>
        <w:t>última</w:t>
      </w:r>
      <w:r>
        <w:rPr>
          <w:spacing w:val="-2"/>
        </w:rPr>
        <w:t xml:space="preserve"> </w:t>
      </w:r>
      <w:r>
        <w:t>Ley</w:t>
      </w:r>
      <w:r>
        <w:rPr>
          <w:spacing w:val="-2"/>
        </w:rPr>
        <w:t xml:space="preserve"> </w:t>
      </w:r>
      <w:r>
        <w:t>de</w:t>
      </w:r>
      <w:r>
        <w:rPr>
          <w:spacing w:val="-2"/>
        </w:rPr>
        <w:t xml:space="preserve"> </w:t>
      </w:r>
      <w:r>
        <w:t>Contratos</w:t>
      </w:r>
      <w:r>
        <w:rPr>
          <w:spacing w:val="-2"/>
        </w:rPr>
        <w:t xml:space="preserve"> </w:t>
      </w:r>
      <w:r>
        <w:t>del</w:t>
      </w:r>
      <w:r>
        <w:rPr>
          <w:spacing w:val="-2"/>
        </w:rPr>
        <w:t xml:space="preserve"> </w:t>
      </w:r>
      <w:r>
        <w:t>Sector</w:t>
      </w:r>
      <w:r>
        <w:rPr>
          <w:spacing w:val="-2"/>
        </w:rPr>
        <w:t xml:space="preserve"> </w:t>
      </w:r>
      <w:r>
        <w:t>Público</w:t>
      </w:r>
      <w:r>
        <w:rPr>
          <w:spacing w:val="-2"/>
        </w:rPr>
        <w:t xml:space="preserve"> </w:t>
      </w:r>
      <w:r>
        <w:t>encontró</w:t>
      </w:r>
      <w:r>
        <w:rPr>
          <w:spacing w:val="-2"/>
        </w:rPr>
        <w:t xml:space="preserve"> </w:t>
      </w:r>
      <w:r>
        <w:t>su</w:t>
      </w:r>
      <w:r>
        <w:rPr>
          <w:spacing w:val="-2"/>
        </w:rPr>
        <w:t xml:space="preserve"> </w:t>
      </w:r>
      <w:r>
        <w:t>justificación,</w:t>
      </w:r>
      <w:r>
        <w:rPr>
          <w:spacing w:val="-2"/>
        </w:rPr>
        <w:t xml:space="preserve"> </w:t>
      </w:r>
      <w:r>
        <w:t>entre otras razones, en la exigencia de incorporar a nuestro ordenamiento una nueva disposición comunitaria, como fue la Directiva 2004/18/CE del Parlamento Europeo y del Consejo, de 31 de marzo de 2004, sobre coordinación de los procedimientos de adjudicación de los contratos públicos de obras, de suministro y de servicios.</w:t>
      </w:r>
    </w:p>
    <w:p w:rsidR="0092635B" w:rsidRDefault="00000000">
      <w:pPr>
        <w:pStyle w:val="Textoindependiente"/>
        <w:spacing w:before="4" w:line="249" w:lineRule="auto"/>
        <w:ind w:right="1103"/>
      </w:pPr>
      <w:r>
        <w:t>En la actualidad, nos encontramos ante un panorama legislativo marcado por la denominada</w:t>
      </w:r>
      <w:r>
        <w:rPr>
          <w:spacing w:val="-3"/>
        </w:rPr>
        <w:t xml:space="preserve"> </w:t>
      </w:r>
      <w:r>
        <w:t>«Estrategia</w:t>
      </w:r>
      <w:r>
        <w:rPr>
          <w:spacing w:val="-3"/>
        </w:rPr>
        <w:t xml:space="preserve"> </w:t>
      </w:r>
      <w:r>
        <w:t>Europa</w:t>
      </w:r>
      <w:r>
        <w:rPr>
          <w:spacing w:val="-3"/>
        </w:rPr>
        <w:t xml:space="preserve"> </w:t>
      </w:r>
      <w:r>
        <w:t>2020»,</w:t>
      </w:r>
      <w:r>
        <w:rPr>
          <w:spacing w:val="-3"/>
        </w:rPr>
        <w:t xml:space="preserve"> </w:t>
      </w:r>
      <w:r>
        <w:t>dentro</w:t>
      </w:r>
      <w:r>
        <w:rPr>
          <w:spacing w:val="-3"/>
        </w:rPr>
        <w:t xml:space="preserve"> </w:t>
      </w:r>
      <w:r>
        <w:t>de</w:t>
      </w:r>
      <w:r>
        <w:rPr>
          <w:spacing w:val="-3"/>
        </w:rPr>
        <w:t xml:space="preserve"> </w:t>
      </w:r>
      <w:r>
        <w:t>la</w:t>
      </w:r>
      <w:r>
        <w:rPr>
          <w:spacing w:val="-3"/>
        </w:rPr>
        <w:t xml:space="preserve"> </w:t>
      </w:r>
      <w:r>
        <w:t>cual,</w:t>
      </w:r>
      <w:r>
        <w:rPr>
          <w:spacing w:val="-3"/>
        </w:rPr>
        <w:t xml:space="preserve"> </w:t>
      </w:r>
      <w:r>
        <w:t>la</w:t>
      </w:r>
      <w:r>
        <w:rPr>
          <w:spacing w:val="-3"/>
        </w:rPr>
        <w:t xml:space="preserve"> </w:t>
      </w:r>
      <w:r>
        <w:t>contratación</w:t>
      </w:r>
      <w:r>
        <w:rPr>
          <w:spacing w:val="-3"/>
        </w:rPr>
        <w:t xml:space="preserve"> </w:t>
      </w:r>
      <w:r>
        <w:t>pública</w:t>
      </w:r>
      <w:r>
        <w:rPr>
          <w:spacing w:val="-3"/>
        </w:rPr>
        <w:t xml:space="preserve"> </w:t>
      </w:r>
      <w:r>
        <w:t>desempeña un papel clave, puesto que se configura como uno de los instrumentos basados en el mercado interior que deben ser utilizados para conseguir un crecimiento inteligente, sostenible e integrador, garantizando al mismo tiempo un uso con mayor racionalidad económica de los fondos públicos.</w:t>
      </w:r>
    </w:p>
    <w:p w:rsidR="0092635B" w:rsidRDefault="00000000">
      <w:pPr>
        <w:pStyle w:val="Textoindependiente"/>
        <w:spacing w:before="5" w:line="249" w:lineRule="auto"/>
        <w:ind w:right="1103"/>
      </w:pPr>
      <w:r>
        <w:t>Con</w:t>
      </w:r>
      <w:r>
        <w:rPr>
          <w:spacing w:val="40"/>
        </w:rPr>
        <w:t xml:space="preserve"> </w:t>
      </w:r>
      <w:r>
        <w:t>este</w:t>
      </w:r>
      <w:r>
        <w:rPr>
          <w:spacing w:val="40"/>
        </w:rPr>
        <w:t xml:space="preserve"> </w:t>
      </w:r>
      <w:r>
        <w:t>fin,</w:t>
      </w:r>
      <w:r>
        <w:rPr>
          <w:spacing w:val="40"/>
        </w:rPr>
        <w:t xml:space="preserve"> </w:t>
      </w:r>
      <w:r>
        <w:t>aparecen</w:t>
      </w:r>
      <w:r>
        <w:rPr>
          <w:spacing w:val="40"/>
        </w:rPr>
        <w:t xml:space="preserve"> </w:t>
      </w:r>
      <w:r>
        <w:t>las</w:t>
      </w:r>
      <w:r>
        <w:rPr>
          <w:spacing w:val="40"/>
        </w:rPr>
        <w:t xml:space="preserve"> </w:t>
      </w:r>
      <w:r>
        <w:t>tres</w:t>
      </w:r>
      <w:r>
        <w:rPr>
          <w:spacing w:val="40"/>
        </w:rPr>
        <w:t xml:space="preserve"> </w:t>
      </w:r>
      <w:r>
        <w:t>nuevas</w:t>
      </w:r>
      <w:r>
        <w:rPr>
          <w:spacing w:val="40"/>
        </w:rPr>
        <w:t xml:space="preserve"> </w:t>
      </w:r>
      <w:r>
        <w:t>Directivas</w:t>
      </w:r>
      <w:r>
        <w:rPr>
          <w:spacing w:val="40"/>
        </w:rPr>
        <w:t xml:space="preserve"> </w:t>
      </w:r>
      <w:r>
        <w:t>comunitarias,</w:t>
      </w:r>
      <w:r>
        <w:rPr>
          <w:spacing w:val="40"/>
        </w:rPr>
        <w:t xml:space="preserve"> </w:t>
      </w:r>
      <w:r>
        <w:t>como</w:t>
      </w:r>
      <w:r>
        <w:rPr>
          <w:spacing w:val="40"/>
        </w:rPr>
        <w:t xml:space="preserve"> </w:t>
      </w:r>
      <w:r>
        <w:t>son</w:t>
      </w:r>
      <w:r>
        <w:rPr>
          <w:spacing w:val="40"/>
        </w:rPr>
        <w:t xml:space="preserve"> </w:t>
      </w:r>
      <w:r>
        <w:t xml:space="preserve">la Directiva 2014/24/UE, sobre contratación pública; la Directiva 2014/25/UE, relativa a la contratación por entidades que operan en los sectores del agua, la energía, los transportes y los servicios postales, y la más novedosa, ya que carece de precedente en la normativa comunitaria, como es la Directiva 2014/23/UE, relativa a la adjudicación de contratos de </w:t>
      </w:r>
      <w:r>
        <w:rPr>
          <w:spacing w:val="-2"/>
        </w:rPr>
        <w:t>concesión.</w:t>
      </w:r>
    </w:p>
    <w:p w:rsidR="0092635B" w:rsidRDefault="00000000">
      <w:pPr>
        <w:pStyle w:val="Textoindependiente"/>
        <w:spacing w:before="4" w:line="249" w:lineRule="auto"/>
        <w:ind w:right="1103"/>
      </w:pPr>
      <w:r>
        <w:t>Estas</w:t>
      </w:r>
      <w:r>
        <w:rPr>
          <w:spacing w:val="-2"/>
        </w:rPr>
        <w:t xml:space="preserve"> </w:t>
      </w:r>
      <w:r>
        <w:t>Directivas</w:t>
      </w:r>
      <w:r>
        <w:rPr>
          <w:spacing w:val="-2"/>
        </w:rPr>
        <w:t xml:space="preserve"> </w:t>
      </w:r>
      <w:r>
        <w:t>constituyen</w:t>
      </w:r>
      <w:r>
        <w:rPr>
          <w:spacing w:val="-2"/>
        </w:rPr>
        <w:t xml:space="preserve"> </w:t>
      </w:r>
      <w:r>
        <w:t>la</w:t>
      </w:r>
      <w:r>
        <w:rPr>
          <w:spacing w:val="-2"/>
        </w:rPr>
        <w:t xml:space="preserve"> </w:t>
      </w:r>
      <w:r>
        <w:t>culminación</w:t>
      </w:r>
      <w:r>
        <w:rPr>
          <w:spacing w:val="-2"/>
        </w:rPr>
        <w:t xml:space="preserve"> </w:t>
      </w:r>
      <w:r>
        <w:t>de</w:t>
      </w:r>
      <w:r>
        <w:rPr>
          <w:spacing w:val="-2"/>
        </w:rPr>
        <w:t xml:space="preserve"> </w:t>
      </w:r>
      <w:r>
        <w:t>un</w:t>
      </w:r>
      <w:r>
        <w:rPr>
          <w:spacing w:val="-2"/>
        </w:rPr>
        <w:t xml:space="preserve"> </w:t>
      </w:r>
      <w:r>
        <w:t>proceso</w:t>
      </w:r>
      <w:r>
        <w:rPr>
          <w:spacing w:val="-2"/>
        </w:rPr>
        <w:t xml:space="preserve"> </w:t>
      </w:r>
      <w:r>
        <w:t>iniciado</w:t>
      </w:r>
      <w:r>
        <w:rPr>
          <w:spacing w:val="-2"/>
        </w:rPr>
        <w:t xml:space="preserve"> </w:t>
      </w:r>
      <w:r>
        <w:t>en</w:t>
      </w:r>
      <w:r>
        <w:rPr>
          <w:spacing w:val="-2"/>
        </w:rPr>
        <w:t xml:space="preserve"> </w:t>
      </w:r>
      <w:r>
        <w:t>el</w:t>
      </w:r>
      <w:r>
        <w:rPr>
          <w:spacing w:val="-2"/>
        </w:rPr>
        <w:t xml:space="preserve"> </w:t>
      </w:r>
      <w:r>
        <w:t>seno</w:t>
      </w:r>
      <w:r>
        <w:rPr>
          <w:spacing w:val="-2"/>
        </w:rPr>
        <w:t xml:space="preserve"> </w:t>
      </w:r>
      <w:r>
        <w:t>de</w:t>
      </w:r>
      <w:r>
        <w:rPr>
          <w:spacing w:val="-2"/>
        </w:rPr>
        <w:t xml:space="preserve"> </w:t>
      </w:r>
      <w:r>
        <w:t>la</w:t>
      </w:r>
      <w:r>
        <w:rPr>
          <w:spacing w:val="-2"/>
        </w:rPr>
        <w:t xml:space="preserve"> </w:t>
      </w:r>
      <w:r>
        <w:t>Unión Europea en el año 2010, que después de diversas propuestas y negociaciones primero en la Comisión, luego en el Consejo de la Unión Europea y finalmente, entre el Parlamento y el Consejo, fue finalmente aprobado por aquel, el 15 de enero de 2014, siendo publicadas</w:t>
      </w:r>
      <w:r>
        <w:rPr>
          <w:spacing w:val="40"/>
        </w:rPr>
        <w:t xml:space="preserve"> </w:t>
      </w:r>
      <w:r>
        <w:t>estas normas en el DOUE el 28 de marzo de 2014.</w:t>
      </w:r>
    </w:p>
    <w:p w:rsidR="0092635B" w:rsidRDefault="00000000">
      <w:pPr>
        <w:pStyle w:val="Textoindependiente"/>
        <w:spacing w:before="5" w:line="249" w:lineRule="auto"/>
        <w:ind w:right="1103"/>
      </w:pPr>
      <w:r>
        <w:t>Las nuevas directivas vienen a sustituir a la Directiva 2004/18/CE sobre coordinación de los procedimientos de adjudicación de los contratos públicos de obras, de suministro y de servicios y Directiva 2004/17/CE sobre la coordinación de los procedimientos de</w:t>
      </w:r>
      <w:r>
        <w:rPr>
          <w:spacing w:val="80"/>
        </w:rPr>
        <w:t xml:space="preserve"> </w:t>
      </w:r>
      <w:r>
        <w:t>adjudicación de contratos en los sectores del agua, de la energía, de los transportes y de los servicios postales, aprobadas hace ahora una década, y que habían sido transpuestas al ordenamiento jurídico español a través de la Ley 30/2007, de 30 de octubre, de Contratos</w:t>
      </w:r>
      <w:r>
        <w:rPr>
          <w:spacing w:val="80"/>
        </w:rPr>
        <w:t xml:space="preserve"> </w:t>
      </w:r>
      <w:r>
        <w:t>del Sector Público –posteriormente derogada y sustituida por el texto refundido de la Ley de Contratos del Sector Público, aprobado por Real Decreto Legislativo 3/2011, de 14 de noviembre–, y la Ley 31/2007 de 30 de octubre, sobre procedimientos de contratación en los sectores del agua, la energía, los transportes y los servicios postales, respectivamente.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Con esta normativa, la Unión Europea ha dado por concluido un proceso de revisión y modernización de las vigentes normas sobre contratación pública, que permitan incrementar la eficiencia del gasto público y facilitar, en particular, la participación de las pequeñas y medianas empresas (PYMES) en la contratación pública, así como permitir que los poderes públicos empleen la contratación en apoyo de objetivos sociales comunes. Asimismo, se hacía preciso aclarar determinadas nociones y conceptos básicos para garantizar la seguridad jurídica e incorporar diversos aspectos resaltados por la Jurisprudencia del Tribunal de Justicia de la Unión Europea relativa a la contratación pública, lo que también ha sido un logro de estas Directivas.</w:t>
      </w:r>
    </w:p>
    <w:p w:rsidR="0092635B" w:rsidRDefault="0092635B">
      <w:pPr>
        <w:pStyle w:val="Textoindependiente"/>
        <w:spacing w:before="60"/>
        <w:ind w:left="0" w:firstLine="0"/>
        <w:jc w:val="left"/>
      </w:pPr>
    </w:p>
    <w:p w:rsidR="0092635B" w:rsidRDefault="00000000">
      <w:pPr>
        <w:pStyle w:val="Textoindependiente"/>
        <w:spacing w:before="1"/>
        <w:ind w:left="0" w:firstLine="0"/>
        <w:jc w:val="center"/>
      </w:pPr>
      <w:r>
        <w:rPr>
          <w:spacing w:val="-5"/>
        </w:rPr>
        <w:t>II</w:t>
      </w:r>
    </w:p>
    <w:p w:rsidR="0092635B" w:rsidRDefault="00000000">
      <w:pPr>
        <w:pStyle w:val="Textoindependiente"/>
        <w:spacing w:before="130" w:line="249" w:lineRule="auto"/>
        <w:ind w:right="1104"/>
      </w:pPr>
      <w:r>
        <w:t>Los objetivos que inspiran la regulación contenida en la presente Ley son, en primer lugar, lograr una mayor transparencia en la contratación pública, y en segundo lugar el de conseguir una mejor relación calidad-precio.</w:t>
      </w:r>
    </w:p>
    <w:p w:rsidR="0092635B" w:rsidRDefault="00000000">
      <w:pPr>
        <w:pStyle w:val="Textoindependiente"/>
        <w:spacing w:line="249" w:lineRule="auto"/>
        <w:ind w:right="1102"/>
      </w:pPr>
      <w:r>
        <w:t>Para</w:t>
      </w:r>
      <w:r>
        <w:rPr>
          <w:spacing w:val="-1"/>
        </w:rPr>
        <w:t xml:space="preserve"> </w:t>
      </w:r>
      <w:r>
        <w:t>lograr</w:t>
      </w:r>
      <w:r>
        <w:rPr>
          <w:spacing w:val="-1"/>
        </w:rPr>
        <w:t xml:space="preserve"> </w:t>
      </w:r>
      <w:r>
        <w:t>este</w:t>
      </w:r>
      <w:r>
        <w:rPr>
          <w:spacing w:val="-1"/>
        </w:rPr>
        <w:t xml:space="preserve"> </w:t>
      </w:r>
      <w:r>
        <w:t>último</w:t>
      </w:r>
      <w:r>
        <w:rPr>
          <w:spacing w:val="-1"/>
        </w:rPr>
        <w:t xml:space="preserve"> </w:t>
      </w:r>
      <w:r>
        <w:t>objetivo</w:t>
      </w:r>
      <w:r>
        <w:rPr>
          <w:spacing w:val="-1"/>
        </w:rPr>
        <w:t xml:space="preserve"> </w:t>
      </w:r>
      <w:r>
        <w:t>por</w:t>
      </w:r>
      <w:r>
        <w:rPr>
          <w:spacing w:val="-1"/>
        </w:rPr>
        <w:t xml:space="preserve"> </w:t>
      </w:r>
      <w:r>
        <w:t>primera</w:t>
      </w:r>
      <w:r>
        <w:rPr>
          <w:spacing w:val="-1"/>
        </w:rPr>
        <w:t xml:space="preserve"> </w:t>
      </w:r>
      <w:r>
        <w:t>vez</w:t>
      </w:r>
      <w:r>
        <w:rPr>
          <w:spacing w:val="-1"/>
        </w:rPr>
        <w:t xml:space="preserve"> </w:t>
      </w:r>
      <w:r>
        <w:t>se</w:t>
      </w:r>
      <w:r>
        <w:rPr>
          <w:spacing w:val="-1"/>
        </w:rPr>
        <w:t xml:space="preserve"> </w:t>
      </w:r>
      <w:r>
        <w:t>establece</w:t>
      </w:r>
      <w:r>
        <w:rPr>
          <w:spacing w:val="-1"/>
        </w:rPr>
        <w:t xml:space="preserve"> </w:t>
      </w:r>
      <w:r>
        <w:t>la</w:t>
      </w:r>
      <w:r>
        <w:rPr>
          <w:spacing w:val="-1"/>
        </w:rPr>
        <w:t xml:space="preserve"> </w:t>
      </w:r>
      <w:r>
        <w:t>obligación</w:t>
      </w:r>
      <w:r>
        <w:rPr>
          <w:spacing w:val="-1"/>
        </w:rPr>
        <w:t xml:space="preserve"> </w:t>
      </w:r>
      <w:r>
        <w:t>de</w:t>
      </w:r>
      <w:r>
        <w:rPr>
          <w:spacing w:val="-1"/>
        </w:rPr>
        <w:t xml:space="preserve"> </w:t>
      </w:r>
      <w:r>
        <w:t>los</w:t>
      </w:r>
      <w:r>
        <w:rPr>
          <w:spacing w:val="-1"/>
        </w:rPr>
        <w:t xml:space="preserve"> </w:t>
      </w:r>
      <w:r>
        <w:t xml:space="preserve">órganos de contratación de velar por que el diseño de los criterios de adjudicación permita obtener obras, suministros y servicios de gran calidad, concretamente mediante la inclusión de aspectos cualitativos, medioambientales, sociales e innovadores vinculados al objeto del </w:t>
      </w:r>
      <w:r>
        <w:rPr>
          <w:spacing w:val="-2"/>
        </w:rPr>
        <w:t>contrato.</w:t>
      </w:r>
    </w:p>
    <w:p w:rsidR="0092635B" w:rsidRDefault="00000000">
      <w:pPr>
        <w:pStyle w:val="Textoindependiente"/>
        <w:spacing w:before="4" w:line="249" w:lineRule="auto"/>
        <w:ind w:right="1102"/>
      </w:pPr>
      <w:r>
        <w:t>También se da satisfacción aquí a la necesidad de simplificación de los trámites y con ello, de imponer una menor burocracia para los licitadores y mejor acceso para las PYMES. El proceso de licitación debe resultar más simple, con la idea de reducir las cargas administrativas de todos los operadores económicos intervinientes en este ámbito, beneficiando así tanto a los licitadores, como a los órganos de contratación.</w:t>
      </w:r>
    </w:p>
    <w:p w:rsidR="0092635B" w:rsidRDefault="00000000">
      <w:pPr>
        <w:pStyle w:val="Textoindependiente"/>
        <w:spacing w:before="4" w:line="249" w:lineRule="auto"/>
        <w:ind w:right="1103"/>
      </w:pPr>
      <w:r>
        <w:t>Se introducen normas más estrictas tanto en beneficio de las empresas como de sus trabajadores, de manera que las nuevas normas endurecen las disposiciones sobre esta materia en las denominadas ofertas «anormalmente bajas». Así se establece que los órganos de contratación rechazarán las ofertas si comprueban que son anormalmente bajas porque no cumplan las obligaciones aplicables en materia medioambiental, social o laboral.</w:t>
      </w:r>
    </w:p>
    <w:p w:rsidR="0092635B" w:rsidRDefault="00000000">
      <w:pPr>
        <w:pStyle w:val="Textoindependiente"/>
        <w:spacing w:before="4" w:line="249" w:lineRule="auto"/>
        <w:ind w:right="1103"/>
      </w:pPr>
      <w:r>
        <w:t>Por último, conviene señalar que, mediante la presente Ley se incorporan al ordenamiento jurídico español las Directivas 2014/23/UE, de 26 de febrero de 2014, relativa</w:t>
      </w:r>
      <w:r>
        <w:rPr>
          <w:spacing w:val="40"/>
        </w:rPr>
        <w:t xml:space="preserve"> </w:t>
      </w:r>
      <w:r>
        <w:t>a la adjudicación de contratos de concesión, institución de larga tradición jurídica en el derecho español, y la Directiva 2014/24/UE, de 26 de febrero de 2014, sobre contratación pública, dejando la transposición de la Directiva 2014/25/UE, de 26 de febrero de 2014, relativa a la contratación por entidades que operan en los sectores del agua, la energía, los transportes y los servicios postales a otra ley específica, que asimismo incorporará al ordenamiento</w:t>
      </w:r>
      <w:r>
        <w:rPr>
          <w:spacing w:val="-3"/>
        </w:rPr>
        <w:t xml:space="preserve"> </w:t>
      </w:r>
      <w:r>
        <w:t>jurídico</w:t>
      </w:r>
      <w:r>
        <w:rPr>
          <w:spacing w:val="-3"/>
        </w:rPr>
        <w:t xml:space="preserve"> </w:t>
      </w:r>
      <w:r>
        <w:t>español</w:t>
      </w:r>
      <w:r>
        <w:rPr>
          <w:spacing w:val="-3"/>
        </w:rPr>
        <w:t xml:space="preserve"> </w:t>
      </w:r>
      <w:r>
        <w:t>la</w:t>
      </w:r>
      <w:r>
        <w:rPr>
          <w:spacing w:val="-3"/>
        </w:rPr>
        <w:t xml:space="preserve"> </w:t>
      </w:r>
      <w:r>
        <w:t>parte</w:t>
      </w:r>
      <w:r>
        <w:rPr>
          <w:spacing w:val="-3"/>
        </w:rPr>
        <w:t xml:space="preserve"> </w:t>
      </w:r>
      <w:r>
        <w:t>de</w:t>
      </w:r>
      <w:r>
        <w:rPr>
          <w:spacing w:val="-3"/>
        </w:rPr>
        <w:t xml:space="preserve"> </w:t>
      </w:r>
      <w:r>
        <w:t>la</w:t>
      </w:r>
      <w:r>
        <w:rPr>
          <w:spacing w:val="-3"/>
        </w:rPr>
        <w:t xml:space="preserve"> </w:t>
      </w:r>
      <w:r>
        <w:t>Directiva</w:t>
      </w:r>
      <w:r>
        <w:rPr>
          <w:spacing w:val="-3"/>
        </w:rPr>
        <w:t xml:space="preserve"> </w:t>
      </w:r>
      <w:r>
        <w:t>2014/23/UE</w:t>
      </w:r>
      <w:r>
        <w:rPr>
          <w:spacing w:val="-3"/>
        </w:rPr>
        <w:t xml:space="preserve"> </w:t>
      </w:r>
      <w:r>
        <w:t>que</w:t>
      </w:r>
      <w:r>
        <w:rPr>
          <w:spacing w:val="-3"/>
        </w:rPr>
        <w:t xml:space="preserve"> </w:t>
      </w:r>
      <w:r>
        <w:t>resulte</w:t>
      </w:r>
      <w:r>
        <w:rPr>
          <w:spacing w:val="-3"/>
        </w:rPr>
        <w:t xml:space="preserve"> </w:t>
      </w:r>
      <w:r>
        <w:t>de</w:t>
      </w:r>
      <w:r>
        <w:rPr>
          <w:spacing w:val="-3"/>
        </w:rPr>
        <w:t xml:space="preserve"> </w:t>
      </w:r>
      <w:r>
        <w:t>aplicación</w:t>
      </w:r>
      <w:r>
        <w:rPr>
          <w:spacing w:val="-3"/>
        </w:rPr>
        <w:t xml:space="preserve"> </w:t>
      </w:r>
      <w:r>
        <w:t>a los sectores citados.</w:t>
      </w:r>
    </w:p>
    <w:p w:rsidR="0092635B" w:rsidRDefault="00000000">
      <w:pPr>
        <w:pStyle w:val="Textoindependiente"/>
        <w:spacing w:before="8" w:line="249" w:lineRule="auto"/>
        <w:ind w:right="1103"/>
      </w:pPr>
      <w:r>
        <w:t>Asimismo, también hay que destacar que, si bien el motivo determinante de la presente Ley es la transposición de las dos Directivas citadas, no es el único. Así, esta Ley, teniendo como punto de partida dicha transposición, no se limita a ello, sino que trata de diseñar un sistema de contratación pública, más eficiente, transparente e íntegro, mediante el cual se consiga un mejor cumplimiento de los objetivos públicos, tanto a través de la satisfacción de las necesidades de los órganos de contratación, como mediante una mejora de las condiciones de acceso y participación en las licitaciones públicas de los operadores económicos,</w:t>
      </w:r>
      <w:r>
        <w:rPr>
          <w:spacing w:val="-3"/>
        </w:rPr>
        <w:t xml:space="preserve"> </w:t>
      </w:r>
      <w:r>
        <w:t>y,</w:t>
      </w:r>
      <w:r>
        <w:rPr>
          <w:spacing w:val="-3"/>
        </w:rPr>
        <w:t xml:space="preserve"> </w:t>
      </w:r>
      <w:r>
        <w:t>por</w:t>
      </w:r>
      <w:r>
        <w:rPr>
          <w:spacing w:val="-3"/>
        </w:rPr>
        <w:t xml:space="preserve"> </w:t>
      </w:r>
      <w:r>
        <w:t>supuesto,</w:t>
      </w:r>
      <w:r>
        <w:rPr>
          <w:spacing w:val="-3"/>
        </w:rPr>
        <w:t xml:space="preserve"> </w:t>
      </w:r>
      <w:r>
        <w:t>a</w:t>
      </w:r>
      <w:r>
        <w:rPr>
          <w:spacing w:val="-3"/>
        </w:rPr>
        <w:t xml:space="preserve"> </w:t>
      </w:r>
      <w:r>
        <w:t>través</w:t>
      </w:r>
      <w:r>
        <w:rPr>
          <w:spacing w:val="-3"/>
        </w:rPr>
        <w:t xml:space="preserve"> </w:t>
      </w:r>
      <w:r>
        <w:t>de</w:t>
      </w:r>
      <w:r>
        <w:rPr>
          <w:spacing w:val="-3"/>
        </w:rPr>
        <w:t xml:space="preserve"> </w:t>
      </w:r>
      <w:r>
        <w:t>la</w:t>
      </w:r>
      <w:r>
        <w:rPr>
          <w:spacing w:val="-3"/>
        </w:rPr>
        <w:t xml:space="preserve"> </w:t>
      </w:r>
      <w:r>
        <w:t>prestación</w:t>
      </w:r>
      <w:r>
        <w:rPr>
          <w:spacing w:val="-3"/>
        </w:rPr>
        <w:t xml:space="preserve"> </w:t>
      </w:r>
      <w:r>
        <w:t>de</w:t>
      </w:r>
      <w:r>
        <w:rPr>
          <w:spacing w:val="-3"/>
        </w:rPr>
        <w:t xml:space="preserve"> </w:t>
      </w:r>
      <w:r>
        <w:t>mejores</w:t>
      </w:r>
      <w:r>
        <w:rPr>
          <w:spacing w:val="-3"/>
        </w:rPr>
        <w:t xml:space="preserve"> </w:t>
      </w:r>
      <w:r>
        <w:t>servicios</w:t>
      </w:r>
      <w:r>
        <w:rPr>
          <w:spacing w:val="-3"/>
        </w:rPr>
        <w:t xml:space="preserve"> </w:t>
      </w:r>
      <w:r>
        <w:t>a</w:t>
      </w:r>
      <w:r>
        <w:rPr>
          <w:spacing w:val="-3"/>
        </w:rPr>
        <w:t xml:space="preserve"> </w:t>
      </w:r>
      <w:r>
        <w:t>los</w:t>
      </w:r>
      <w:r>
        <w:rPr>
          <w:spacing w:val="-3"/>
        </w:rPr>
        <w:t xml:space="preserve"> </w:t>
      </w:r>
      <w:r>
        <w:t>usuarios</w:t>
      </w:r>
      <w:r>
        <w:rPr>
          <w:spacing w:val="-3"/>
        </w:rPr>
        <w:t xml:space="preserve"> </w:t>
      </w:r>
      <w:r>
        <w:t>de los mismos.</w:t>
      </w:r>
    </w:p>
    <w:p w:rsidR="0092635B" w:rsidRDefault="0092635B">
      <w:pPr>
        <w:pStyle w:val="Textoindependiente"/>
        <w:spacing w:before="60"/>
        <w:ind w:left="0" w:firstLine="0"/>
        <w:jc w:val="left"/>
      </w:pPr>
    </w:p>
    <w:p w:rsidR="0092635B" w:rsidRDefault="00000000">
      <w:pPr>
        <w:pStyle w:val="Textoindependiente"/>
        <w:spacing w:before="1"/>
        <w:ind w:left="0" w:firstLine="0"/>
        <w:jc w:val="center"/>
      </w:pPr>
      <w:r>
        <w:rPr>
          <w:spacing w:val="-5"/>
        </w:rPr>
        <w:t>III</w:t>
      </w:r>
    </w:p>
    <w:p w:rsidR="0092635B" w:rsidRDefault="00000000">
      <w:pPr>
        <w:pStyle w:val="Textoindependiente"/>
        <w:spacing w:before="130" w:line="249" w:lineRule="auto"/>
        <w:ind w:right="1102"/>
      </w:pPr>
      <w:r>
        <w:t>El sistema legal de contratación pública que se establece en la presente Ley persigue aclarar las normas vigentes, en aras de una mayor seguridad jurídica y trata de conseguir que se utilice la contratación pública como instrumento para implementar las políticas tanto europeas</w:t>
      </w:r>
      <w:r>
        <w:rPr>
          <w:spacing w:val="-1"/>
        </w:rPr>
        <w:t xml:space="preserve"> </w:t>
      </w:r>
      <w:r>
        <w:t>como</w:t>
      </w:r>
      <w:r>
        <w:rPr>
          <w:spacing w:val="-1"/>
        </w:rPr>
        <w:t xml:space="preserve"> </w:t>
      </w:r>
      <w:r>
        <w:t>nacionales</w:t>
      </w:r>
      <w:r>
        <w:rPr>
          <w:spacing w:val="-1"/>
        </w:rPr>
        <w:t xml:space="preserve"> </w:t>
      </w:r>
      <w:r>
        <w:t>en</w:t>
      </w:r>
      <w:r>
        <w:rPr>
          <w:spacing w:val="-1"/>
        </w:rPr>
        <w:t xml:space="preserve"> </w:t>
      </w:r>
      <w:r>
        <w:t>materia</w:t>
      </w:r>
      <w:r>
        <w:rPr>
          <w:spacing w:val="-1"/>
        </w:rPr>
        <w:t xml:space="preserve"> </w:t>
      </w:r>
      <w:r>
        <w:t>social,</w:t>
      </w:r>
      <w:r>
        <w:rPr>
          <w:spacing w:val="-1"/>
        </w:rPr>
        <w:t xml:space="preserve"> </w:t>
      </w:r>
      <w:r>
        <w:t>medioambiental,</w:t>
      </w:r>
      <w:r>
        <w:rPr>
          <w:spacing w:val="-1"/>
        </w:rPr>
        <w:t xml:space="preserve"> </w:t>
      </w:r>
      <w:r>
        <w:t>de</w:t>
      </w:r>
      <w:r>
        <w:rPr>
          <w:spacing w:val="-1"/>
        </w:rPr>
        <w:t xml:space="preserve"> </w:t>
      </w:r>
      <w:r>
        <w:t>innovación</w:t>
      </w:r>
      <w:r>
        <w:rPr>
          <w:spacing w:val="-1"/>
        </w:rPr>
        <w:t xml:space="preserve"> </w:t>
      </w:r>
      <w:r>
        <w:t>y</w:t>
      </w:r>
      <w:r>
        <w:rPr>
          <w:spacing w:val="-1"/>
        </w:rPr>
        <w:t xml:space="preserve"> </w:t>
      </w:r>
      <w:r>
        <w:t>desarrollo,</w:t>
      </w:r>
      <w:r>
        <w:rPr>
          <w:spacing w:val="-1"/>
        </w:rPr>
        <w:t xml:space="preserve"> </w:t>
      </w:r>
      <w:r>
        <w:t>de promoción de las PYMES, y de defensa de la competencia. Todas estas cuestiones se constituyen</w:t>
      </w:r>
      <w:r>
        <w:rPr>
          <w:spacing w:val="40"/>
        </w:rPr>
        <w:t xml:space="preserve"> </w:t>
      </w:r>
      <w:r>
        <w:t>como</w:t>
      </w:r>
      <w:r>
        <w:rPr>
          <w:spacing w:val="40"/>
        </w:rPr>
        <w:t xml:space="preserve"> </w:t>
      </w:r>
      <w:r>
        <w:t>verdaderos</w:t>
      </w:r>
      <w:r>
        <w:rPr>
          <w:spacing w:val="40"/>
        </w:rPr>
        <w:t xml:space="preserve"> </w:t>
      </w:r>
      <w:r>
        <w:t>objetivos</w:t>
      </w:r>
      <w:r>
        <w:rPr>
          <w:spacing w:val="40"/>
        </w:rPr>
        <w:t xml:space="preserve"> </w:t>
      </w:r>
      <w:r>
        <w:t>de</w:t>
      </w:r>
      <w:r>
        <w:rPr>
          <w:spacing w:val="40"/>
        </w:rPr>
        <w:t xml:space="preserve"> </w:t>
      </w:r>
      <w:r>
        <w:t>la</w:t>
      </w:r>
      <w:r>
        <w:rPr>
          <w:spacing w:val="40"/>
        </w:rPr>
        <w:t xml:space="preserve"> </w:t>
      </w:r>
      <w:r>
        <w:t>Ley,</w:t>
      </w:r>
      <w:r>
        <w:rPr>
          <w:spacing w:val="40"/>
        </w:rPr>
        <w:t xml:space="preserve"> </w:t>
      </w:r>
      <w:r>
        <w:t>persiguiéndose</w:t>
      </w:r>
      <w:r>
        <w:rPr>
          <w:spacing w:val="40"/>
        </w:rPr>
        <w:t xml:space="preserve"> </w:t>
      </w:r>
      <w:r>
        <w:t>en</w:t>
      </w:r>
      <w:r>
        <w:rPr>
          <w:spacing w:val="40"/>
        </w:rPr>
        <w:t xml:space="preserve"> </w:t>
      </w:r>
      <w:r>
        <w:t>todo</w:t>
      </w:r>
      <w:r>
        <w:rPr>
          <w:spacing w:val="40"/>
        </w:rPr>
        <w:t xml:space="preserve"> </w:t>
      </w:r>
      <w:r>
        <w:t>momento</w:t>
      </w:r>
      <w:r>
        <w:rPr>
          <w:spacing w:val="40"/>
        </w:rPr>
        <w:t xml:space="preserve"> </w:t>
      </w:r>
      <w:r>
        <w:t>la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4" w:hanging="1"/>
      </w:pPr>
      <w:r>
        <w:t>eficiencia en el gasto público y el respeto a los principios de igualdad de trato, no discriminación, transparencia, proporcionalidad e integridad.</w:t>
      </w:r>
    </w:p>
    <w:p w:rsidR="0092635B" w:rsidRDefault="00000000">
      <w:pPr>
        <w:pStyle w:val="Textoindependiente"/>
        <w:spacing w:before="1" w:line="249" w:lineRule="auto"/>
        <w:ind w:right="1103"/>
      </w:pPr>
      <w:r>
        <w:t>En este sistema, se sigue el esquema creado por la anterior regulación de 2007, que establece como uno de los ejes de la aplicación de la Ley el concepto de poder adjudicador, que se impone como consecuencia de la incorporación al derecho español de la anterior Directiva comunitaria de 2004. Así, tradicionalmente, la normativa de contratos públicos se hizo pivotar sobre el concepto de contrato de la Administración Pública. Sin embargo, la incorporación de las anteriores Directivas comunitarias, dio lugar a un cambio de planteamiento, que ahora se mantiene en la nueva Ley, salvo lo referente a las instrucciones internas de contratación, y que permitía distinguir los regímenes jurídicos de los contratos públicos según la entidad contratante fuera o no un poder adjudicador. No obstante, este cambio de planteamiento no impide que la regulación de los contratos de las Administraciones Públicas, tanto en sus disposiciones generales, como respecto de cada</w:t>
      </w:r>
      <w:r>
        <w:rPr>
          <w:spacing w:val="40"/>
        </w:rPr>
        <w:t xml:space="preserve"> </w:t>
      </w:r>
      <w:r>
        <w:t>tipo de contrato, siga siendo la parte troncal de esta Ley y la referencia de cualquier contrato que se haga por una entidad del sector público.</w:t>
      </w:r>
    </w:p>
    <w:p w:rsidR="0092635B" w:rsidRDefault="00000000">
      <w:pPr>
        <w:pStyle w:val="Textoindependiente"/>
        <w:spacing w:before="11" w:line="249" w:lineRule="auto"/>
        <w:ind w:right="1103"/>
      </w:pPr>
      <w:r>
        <w:t>Desde un punto de vista objetivo, el otro eje fundamental en el que se apoya el sistema de</w:t>
      </w:r>
      <w:r>
        <w:rPr>
          <w:spacing w:val="-1"/>
        </w:rPr>
        <w:t xml:space="preserve"> </w:t>
      </w:r>
      <w:r>
        <w:t>la</w:t>
      </w:r>
      <w:r>
        <w:rPr>
          <w:spacing w:val="-1"/>
        </w:rPr>
        <w:t xml:space="preserve"> </w:t>
      </w:r>
      <w:r>
        <w:t>regulación</w:t>
      </w:r>
      <w:r>
        <w:rPr>
          <w:spacing w:val="-1"/>
        </w:rPr>
        <w:t xml:space="preserve"> </w:t>
      </w:r>
      <w:r>
        <w:t>de</w:t>
      </w:r>
      <w:r>
        <w:rPr>
          <w:spacing w:val="-1"/>
        </w:rPr>
        <w:t xml:space="preserve"> </w:t>
      </w:r>
      <w:r>
        <w:t>los</w:t>
      </w:r>
      <w:r>
        <w:rPr>
          <w:spacing w:val="-1"/>
        </w:rPr>
        <w:t xml:space="preserve"> </w:t>
      </w:r>
      <w:r>
        <w:t>contratos</w:t>
      </w:r>
      <w:r>
        <w:rPr>
          <w:spacing w:val="-1"/>
        </w:rPr>
        <w:t xml:space="preserve"> </w:t>
      </w:r>
      <w:r>
        <w:t>públicos</w:t>
      </w:r>
      <w:r>
        <w:rPr>
          <w:spacing w:val="-1"/>
        </w:rPr>
        <w:t xml:space="preserve"> </w:t>
      </w:r>
      <w:r>
        <w:t>contenido</w:t>
      </w:r>
      <w:r>
        <w:rPr>
          <w:spacing w:val="-1"/>
        </w:rPr>
        <w:t xml:space="preserve"> </w:t>
      </w:r>
      <w:r>
        <w:t>en</w:t>
      </w:r>
      <w:r>
        <w:rPr>
          <w:spacing w:val="-1"/>
        </w:rPr>
        <w:t xml:space="preserve"> </w:t>
      </w:r>
      <w:r>
        <w:t>la</w:t>
      </w:r>
      <w:r>
        <w:rPr>
          <w:spacing w:val="-1"/>
        </w:rPr>
        <w:t xml:space="preserve"> </w:t>
      </w:r>
      <w:r>
        <w:t>presente</w:t>
      </w:r>
      <w:r>
        <w:rPr>
          <w:spacing w:val="-1"/>
        </w:rPr>
        <w:t xml:space="preserve"> </w:t>
      </w:r>
      <w:r>
        <w:t>Ley,</w:t>
      </w:r>
      <w:r>
        <w:rPr>
          <w:spacing w:val="-1"/>
        </w:rPr>
        <w:t xml:space="preserve"> </w:t>
      </w:r>
      <w:r>
        <w:t>como</w:t>
      </w:r>
      <w:r>
        <w:rPr>
          <w:spacing w:val="-1"/>
        </w:rPr>
        <w:t xml:space="preserve"> </w:t>
      </w:r>
      <w:r>
        <w:t>ya</w:t>
      </w:r>
      <w:r>
        <w:rPr>
          <w:spacing w:val="-1"/>
        </w:rPr>
        <w:t xml:space="preserve"> </w:t>
      </w:r>
      <w:r>
        <w:t>se</w:t>
      </w:r>
      <w:r>
        <w:rPr>
          <w:spacing w:val="-1"/>
        </w:rPr>
        <w:t xml:space="preserve"> </w:t>
      </w:r>
      <w:r>
        <w:t>hacía</w:t>
      </w:r>
      <w:r>
        <w:rPr>
          <w:spacing w:val="-1"/>
        </w:rPr>
        <w:t xml:space="preserve"> </w:t>
      </w:r>
      <w:r>
        <w:t>en la regulación anterior, es el relativo a la distinción entre los contratos sujetos a regulación armonizada y aquellos que no lo están, basada en la superación de ciertas cuantías económicas, o umbrales comunitarios, lo que nos permite, a su vez, diferenciar el régimen jurídico que se aplica a cada uno de ellos, proveniente de la anterior regulación de 2007 y que se mantiene en la actualidad.</w:t>
      </w:r>
    </w:p>
    <w:p w:rsidR="0092635B" w:rsidRDefault="0092635B">
      <w:pPr>
        <w:pStyle w:val="Textoindependiente"/>
        <w:spacing w:before="59"/>
        <w:ind w:left="0" w:firstLine="0"/>
        <w:jc w:val="left"/>
      </w:pPr>
    </w:p>
    <w:p w:rsidR="0092635B" w:rsidRDefault="00000000">
      <w:pPr>
        <w:pStyle w:val="Textoindependiente"/>
        <w:spacing w:before="0"/>
        <w:ind w:left="-1" w:firstLine="0"/>
        <w:jc w:val="center"/>
      </w:pPr>
      <w:r>
        <w:rPr>
          <w:spacing w:val="-5"/>
        </w:rPr>
        <w:t>IV</w:t>
      </w:r>
    </w:p>
    <w:p w:rsidR="0092635B" w:rsidRDefault="00000000">
      <w:pPr>
        <w:pStyle w:val="Textoindependiente"/>
        <w:spacing w:before="130" w:line="249" w:lineRule="auto"/>
        <w:ind w:right="1104"/>
      </w:pPr>
      <w:r>
        <w:t>El articulado de esta Ley se ha estructurado en un Título Preliminar dedicado a recoger las disposiciones generales en esta materia y cuatro libros sucesivos, relativos a la configuración general de la contratación del sector público y los elementos estructurales de los contratos (Libro I), la preparación de los contratos administrativos, la selección del contratista y la adjudicación de estos contratos, así como los efectos, cumplimiento y extinción</w:t>
      </w:r>
      <w:r>
        <w:rPr>
          <w:spacing w:val="40"/>
        </w:rPr>
        <w:t xml:space="preserve"> </w:t>
      </w:r>
      <w:r>
        <w:t>de</w:t>
      </w:r>
      <w:r>
        <w:rPr>
          <w:spacing w:val="40"/>
        </w:rPr>
        <w:t xml:space="preserve"> </w:t>
      </w:r>
      <w:r>
        <w:t>estos</w:t>
      </w:r>
      <w:r>
        <w:rPr>
          <w:spacing w:val="40"/>
        </w:rPr>
        <w:t xml:space="preserve"> </w:t>
      </w:r>
      <w:r>
        <w:t>contratos</w:t>
      </w:r>
      <w:r>
        <w:rPr>
          <w:spacing w:val="40"/>
        </w:rPr>
        <w:t xml:space="preserve"> </w:t>
      </w:r>
      <w:r>
        <w:t>(Libro</w:t>
      </w:r>
      <w:r>
        <w:rPr>
          <w:spacing w:val="40"/>
        </w:rPr>
        <w:t xml:space="preserve"> </w:t>
      </w:r>
      <w:r>
        <w:t>II),</w:t>
      </w:r>
      <w:r>
        <w:rPr>
          <w:spacing w:val="40"/>
        </w:rPr>
        <w:t xml:space="preserve"> </w:t>
      </w:r>
      <w:r>
        <w:t>los</w:t>
      </w:r>
      <w:r>
        <w:rPr>
          <w:spacing w:val="40"/>
        </w:rPr>
        <w:t xml:space="preserve"> </w:t>
      </w:r>
      <w:r>
        <w:t>contratos</w:t>
      </w:r>
      <w:r>
        <w:rPr>
          <w:spacing w:val="40"/>
        </w:rPr>
        <w:t xml:space="preserve"> </w:t>
      </w:r>
      <w:r>
        <w:t>de</w:t>
      </w:r>
      <w:r>
        <w:rPr>
          <w:spacing w:val="40"/>
        </w:rPr>
        <w:t xml:space="preserve"> </w:t>
      </w:r>
      <w:r>
        <w:t>otros</w:t>
      </w:r>
      <w:r>
        <w:rPr>
          <w:spacing w:val="40"/>
        </w:rPr>
        <w:t xml:space="preserve"> </w:t>
      </w:r>
      <w:r>
        <w:t>entes</w:t>
      </w:r>
      <w:r>
        <w:rPr>
          <w:spacing w:val="40"/>
        </w:rPr>
        <w:t xml:space="preserve"> </w:t>
      </w:r>
      <w:r>
        <w:t>del</w:t>
      </w:r>
      <w:r>
        <w:rPr>
          <w:spacing w:val="40"/>
        </w:rPr>
        <w:t xml:space="preserve"> </w:t>
      </w:r>
      <w:r>
        <w:t>sector</w:t>
      </w:r>
      <w:r>
        <w:rPr>
          <w:spacing w:val="40"/>
        </w:rPr>
        <w:t xml:space="preserve"> </w:t>
      </w:r>
      <w:r>
        <w:t>público (Libro III), y, por último, la organización administrativa para la gestión de la contratación</w:t>
      </w:r>
      <w:r>
        <w:rPr>
          <w:spacing w:val="40"/>
        </w:rPr>
        <w:t xml:space="preserve"> </w:t>
      </w:r>
      <w:r>
        <w:t>(Libro IV).</w:t>
      </w:r>
    </w:p>
    <w:p w:rsidR="0092635B" w:rsidRDefault="00000000">
      <w:pPr>
        <w:pStyle w:val="Textoindependiente"/>
        <w:spacing w:before="7" w:line="249" w:lineRule="auto"/>
        <w:ind w:right="1102"/>
      </w:pPr>
      <w:r>
        <w:t>Las principales novedades que presenta esta Ley se han introducido a lo largo de todo</w:t>
      </w:r>
      <w:r>
        <w:rPr>
          <w:spacing w:val="40"/>
        </w:rPr>
        <w:t xml:space="preserve"> </w:t>
      </w:r>
      <w:r>
        <w:t>su</w:t>
      </w:r>
      <w:r>
        <w:rPr>
          <w:spacing w:val="-1"/>
        </w:rPr>
        <w:t xml:space="preserve"> </w:t>
      </w:r>
      <w:r>
        <w:t>articulado,</w:t>
      </w:r>
      <w:r>
        <w:rPr>
          <w:spacing w:val="-1"/>
        </w:rPr>
        <w:t xml:space="preserve"> </w:t>
      </w:r>
      <w:r>
        <w:t>si</w:t>
      </w:r>
      <w:r>
        <w:rPr>
          <w:spacing w:val="-1"/>
        </w:rPr>
        <w:t xml:space="preserve"> </w:t>
      </w:r>
      <w:r>
        <w:t>bien</w:t>
      </w:r>
      <w:r>
        <w:rPr>
          <w:spacing w:val="-1"/>
        </w:rPr>
        <w:t xml:space="preserve"> </w:t>
      </w:r>
      <w:r>
        <w:t>queda</w:t>
      </w:r>
      <w:r>
        <w:rPr>
          <w:spacing w:val="-1"/>
        </w:rPr>
        <w:t xml:space="preserve"> </w:t>
      </w:r>
      <w:r>
        <w:t>a</w:t>
      </w:r>
      <w:r>
        <w:rPr>
          <w:spacing w:val="-1"/>
        </w:rPr>
        <w:t xml:space="preserve"> </w:t>
      </w:r>
      <w:r>
        <w:t>salvo</w:t>
      </w:r>
      <w:r>
        <w:rPr>
          <w:spacing w:val="-1"/>
        </w:rPr>
        <w:t xml:space="preserve"> </w:t>
      </w:r>
      <w:r>
        <w:t>el</w:t>
      </w:r>
      <w:r>
        <w:rPr>
          <w:spacing w:val="-1"/>
        </w:rPr>
        <w:t xml:space="preserve"> </w:t>
      </w:r>
      <w:r>
        <w:t>régimen</w:t>
      </w:r>
      <w:r>
        <w:rPr>
          <w:spacing w:val="-1"/>
        </w:rPr>
        <w:t xml:space="preserve"> </w:t>
      </w:r>
      <w:r>
        <w:t>jurídico</w:t>
      </w:r>
      <w:r>
        <w:rPr>
          <w:spacing w:val="-1"/>
        </w:rPr>
        <w:t xml:space="preserve"> </w:t>
      </w:r>
      <w:r>
        <w:t>específico</w:t>
      </w:r>
      <w:r>
        <w:rPr>
          <w:spacing w:val="-1"/>
        </w:rPr>
        <w:t xml:space="preserve"> </w:t>
      </w:r>
      <w:r>
        <w:t>correspondiente</w:t>
      </w:r>
      <w:r>
        <w:rPr>
          <w:spacing w:val="-1"/>
        </w:rPr>
        <w:t xml:space="preserve"> </w:t>
      </w:r>
      <w:r>
        <w:t>al</w:t>
      </w:r>
      <w:r>
        <w:rPr>
          <w:spacing w:val="-1"/>
        </w:rPr>
        <w:t xml:space="preserve"> </w:t>
      </w:r>
      <w:r>
        <w:t>contrato de obras, al de suministro y al contrato de servicios, en cuyas disposiciones no se han incluido, salvo en cuestiones muy concretas, excesivas reformas.</w:t>
      </w:r>
    </w:p>
    <w:p w:rsidR="0092635B" w:rsidRDefault="00000000">
      <w:pPr>
        <w:pStyle w:val="Textoindependiente"/>
        <w:spacing w:before="3" w:line="249" w:lineRule="auto"/>
        <w:ind w:right="1103"/>
      </w:pPr>
      <w:r>
        <w:t>En el Título Preliminar, relativo a las disposiciones generales, se mantiene la existencia de tres niveles de aplicabilidad de la Ley respecto de las entidades del sector público que configuran su ámbito, y asimismo se mantiene la tradicional configuración negativa o de exclusión de los contratos y negocios no regulados en la misma.</w:t>
      </w:r>
    </w:p>
    <w:p w:rsidR="0092635B" w:rsidRDefault="00000000">
      <w:pPr>
        <w:pStyle w:val="Textoindependiente"/>
        <w:spacing w:before="3" w:line="249" w:lineRule="auto"/>
        <w:ind w:right="1104"/>
      </w:pPr>
      <w:r>
        <w:t>Respecto de la delimitación de los diferentes tipos de contratos, las principales novedades en este ámbito se han introducido en la regulación del contrato de concesión, en el contrato mixto y en el contrato de colaboración público privada que se suprime.</w:t>
      </w:r>
    </w:p>
    <w:p w:rsidR="0092635B" w:rsidRDefault="00000000">
      <w:pPr>
        <w:pStyle w:val="Textoindependiente"/>
        <w:spacing w:before="3" w:line="249" w:lineRule="auto"/>
        <w:ind w:right="1103"/>
      </w:pPr>
      <w:r>
        <w:t>En el ámbito de las concesiones, desaparece la figura del contrato de gestión de servicio público y, con ello, la regulación de los diferentes modos de gestión indirecta de los servicios públicos que se hacía en el artículo 277 del anterior texto refundido. Surge en su lugar, y en virtud de la nueva Directiva relativa a la adjudicación de contratos de concesión, la nueva figura de la concesión de servicios, que se añade dentro de la categoría de las concesiones</w:t>
      </w:r>
      <w:r>
        <w:rPr>
          <w:spacing w:val="40"/>
        </w:rPr>
        <w:t xml:space="preserve"> </w:t>
      </w:r>
      <w:r>
        <w:t>a la ya existente figura de la concesión de obras.</w:t>
      </w:r>
    </w:p>
    <w:p w:rsidR="0092635B" w:rsidRDefault="00000000">
      <w:pPr>
        <w:pStyle w:val="Textoindependiente"/>
        <w:spacing w:before="5" w:line="249" w:lineRule="auto"/>
        <w:ind w:right="1104"/>
      </w:pPr>
      <w:r>
        <w:t>Sin perjuicio de lo anterior, se mantiene la posibilidad de que se adjudique directamente</w:t>
      </w:r>
      <w:r>
        <w:rPr>
          <w:spacing w:val="40"/>
        </w:rPr>
        <w:t xml:space="preserve"> </w:t>
      </w:r>
      <w:r>
        <w:t>a una sociedad de economía mixta un contrato de concesión de obras o de concesión de servicios en los términos recogidos en la Disposición adicional vigésima segunda, siguiendo el criterio recogido por el Tribunal de Justicia de la Unión Europea en la Sentencia 196/08 en el caso ACOSET, y en la Comunicación Interpretativa de la Comisión Europea relativa a la aplicación del derecho comunitario en materia de contratación pública y concesiones a la colaboración público-privada institucionalizada de 5 de febrero de 2008.</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En lo que respecta a los contratos de concesión de obras y de concesión de servicios, merece destacarse que en ambas figuras necesariamente debe haber una transferencia del riesgo operacional de la Administración al concesionario, delimitándose en el artículo 14 de</w:t>
      </w:r>
      <w:r>
        <w:rPr>
          <w:spacing w:val="40"/>
        </w:rPr>
        <w:t xml:space="preserve"> </w:t>
      </w:r>
      <w:r>
        <w:t xml:space="preserve">la Ley, en línea con lo establecido en la nueva Directiva de adjudicación de contratos de concesión, los casos en que se considerará que el concesionario asume dicho riesgo </w:t>
      </w:r>
      <w:r>
        <w:rPr>
          <w:spacing w:val="-2"/>
        </w:rPr>
        <w:t>operacional.</w:t>
      </w:r>
    </w:p>
    <w:p w:rsidR="0092635B" w:rsidRDefault="00000000">
      <w:pPr>
        <w:pStyle w:val="Textoindependiente"/>
        <w:spacing w:before="5" w:line="249" w:lineRule="auto"/>
        <w:ind w:right="1104"/>
      </w:pPr>
      <w:r>
        <w:t>Por otra parte, como es sabido, el contrato de gestión de servicios públicos hasta la regulación de esta Ley era un supuesto de gestión indirecta del servicio, lo que implicaba</w:t>
      </w:r>
      <w:r>
        <w:rPr>
          <w:spacing w:val="40"/>
        </w:rPr>
        <w:t xml:space="preserve"> </w:t>
      </w:r>
      <w:r>
        <w:t>que mediante este contrato, la Administración le encomendaba a un tercero, el empresario (normalmente, el concesionario), que gestionase un determinado servicio público. El que gestionaba el servicio, por lo tanto, era el empresario o el concesionario, por lo que en todo</w:t>
      </w:r>
      <w:r>
        <w:rPr>
          <w:spacing w:val="40"/>
        </w:rPr>
        <w:t xml:space="preserve"> </w:t>
      </w:r>
      <w:r>
        <w:t>lo relativo a la utilización del servicio suponía el establecimiento de una relación directa entre el concesionario y el usuario del mismo.</w:t>
      </w:r>
    </w:p>
    <w:p w:rsidR="0092635B" w:rsidRDefault="00000000">
      <w:pPr>
        <w:pStyle w:val="Textoindependiente"/>
        <w:spacing w:before="5" w:line="249" w:lineRule="auto"/>
        <w:ind w:right="1103"/>
      </w:pPr>
      <w:r>
        <w:t>Por ello, en la medida en que el que gestionaba el servicio público y, por tanto, se relacionaba con el usuario era el concesionario, era preciso determinar previamente el régimen jurídico básico de ese servicio, que atribuyera las competencias y determinara las prestaciones a favor de los administrados. Igualmente había que establecer que la actividad que realizaba el concesionario quedaba asumida por la Administración respectiva, puesto que no era la Administración la que prestaba directamente ese servicio.</w:t>
      </w:r>
    </w:p>
    <w:p w:rsidR="0092635B" w:rsidRDefault="00000000">
      <w:pPr>
        <w:pStyle w:val="Textoindependiente"/>
        <w:spacing w:before="5" w:line="249" w:lineRule="auto"/>
        <w:ind w:right="1103"/>
      </w:pPr>
      <w:r>
        <w:t>En definitiva, había dos tipos de relaciones, la que se establecía entre la Administración</w:t>
      </w:r>
      <w:r>
        <w:rPr>
          <w:spacing w:val="80"/>
        </w:rPr>
        <w:t xml:space="preserve"> </w:t>
      </w:r>
      <w:r>
        <w:t>y el empresario, concesionario, que era contractual (contrato de gestión de servicios públicos), y la que se establecía entre el concesionario y el usuario del servicio, que se regulaba por la normativa propia del servicio que se prestaba.</w:t>
      </w:r>
    </w:p>
    <w:p w:rsidR="0092635B" w:rsidRDefault="00000000">
      <w:pPr>
        <w:pStyle w:val="Textoindependiente"/>
        <w:spacing w:before="4" w:line="249" w:lineRule="auto"/>
        <w:ind w:right="1103"/>
      </w:pPr>
      <w:r>
        <w:t>Por el contrario, en las prestaciones susceptibles de ser objeto de un contrato de servicios, quien las prestaba, y, por tanto, se relacionaba con el usuario era la Administración, quien, en el caso de insuficiencia de medios, celebraba un contrato (contrato de servicios), con un empresario particular.</w:t>
      </w:r>
    </w:p>
    <w:p w:rsidR="0092635B" w:rsidRDefault="00000000">
      <w:pPr>
        <w:pStyle w:val="Textoindependiente"/>
        <w:spacing w:before="3" w:line="249" w:lineRule="auto"/>
        <w:ind w:right="1102"/>
      </w:pPr>
      <w:r>
        <w:t>Pues bien, en este esquema incide la regulación de la Directiva 2014/23/UE, de 26 de febrero de 2014, relativa a la adjudicación de contratos de concesión. Para esta Directiva el criterio delimitador del contrato de concesión de servicios respecto del contrato de servicios es, como se ha dicho antes, quién asume el riesgo operacional. En el caso de que lo asuma el contratista, el contrato será de concesión de servicios. Por el contrario, cuando el riesgo operacional lo asuma la Administración, estaremos ante un contrato de servicios.</w:t>
      </w:r>
    </w:p>
    <w:p w:rsidR="0092635B" w:rsidRDefault="00000000">
      <w:pPr>
        <w:pStyle w:val="Textoindependiente"/>
        <w:spacing w:before="5" w:line="249" w:lineRule="auto"/>
        <w:ind w:right="1104"/>
      </w:pPr>
      <w:r>
        <w:t>Este criterio delimitador del contrato de concesión de servicios respecto del contrato de servicios ha sido asumido por la presente Ley. Por ello, determinados contratos que con arreglo al régimen jurídico hasta ahora vigente se calificaban como de gestión de servicios públicos, pero en los que el empresario no asumía el riesgo operacional, pasan ahora a ser contratos de servicios. Ahora bien, este cambio de calificación no supone una variación en la estructura de las relaciones jurídicas que resultan de este contrato: mediante el mismo el empresario pasa a gestionar un servicio de titularidad de una Administración Pública, estableciéndose las relaciones directamente entre el empresario y el usuario del servicio.</w:t>
      </w:r>
    </w:p>
    <w:p w:rsidR="0092635B" w:rsidRDefault="00000000">
      <w:pPr>
        <w:pStyle w:val="Textoindependiente"/>
        <w:spacing w:before="6" w:line="249" w:lineRule="auto"/>
        <w:ind w:right="1103"/>
      </w:pPr>
      <w:r>
        <w:t>Por esta razón, en la medida que la diferencia entre el contrato al que se refiere el</w:t>
      </w:r>
      <w:r>
        <w:rPr>
          <w:spacing w:val="40"/>
        </w:rPr>
        <w:t xml:space="preserve"> </w:t>
      </w:r>
      <w:r>
        <w:t>párrafo anterior y el contrato de concesión de servicios es la asunción o no del riesgo operacional por el empresario, es preciso que todo lo relativo al régimen de la prestación del servicio sea similar. Por ello, se ha introducido un artículo, el 312, donde se recogen las normas específicas del antiguo contrato de gestión de servicios públicos relativas al régimen sustantivo del servicio público que se contrata y que en la nueva regulación son comunes tanto al contrato de concesión de servicios cuando estos son servicios públicos, lo que será el caso más general, como al contrato de servicios, cuando se refiera a un servicio público que presta directamente el empresario al usuario del servicio.</w:t>
      </w:r>
    </w:p>
    <w:p w:rsidR="0092635B" w:rsidRDefault="00000000">
      <w:pPr>
        <w:pStyle w:val="Textoindependiente"/>
        <w:spacing w:before="8" w:line="249" w:lineRule="auto"/>
        <w:ind w:right="1103"/>
      </w:pPr>
      <w:r>
        <w:t>Para identificar a estos contratos que con arreglo a la legislación anterior eran contratos de gestión de servicios públicos y en esta Ley pasan a ser contratos de servicios, se ha acudido a una de las características de los mismos: que la relación se establece directamente entre el empresario y el usuario del servicio, por ello se denominan contratos</w:t>
      </w:r>
      <w:r>
        <w:rPr>
          <w:spacing w:val="40"/>
        </w:rPr>
        <w:t xml:space="preserve"> </w:t>
      </w:r>
      <w:r>
        <w:t>de servicios que conlleven prestaciones directas a favor de los ciudadanos.</w:t>
      </w:r>
    </w:p>
    <w:p w:rsidR="0092635B" w:rsidRDefault="00000000">
      <w:pPr>
        <w:pStyle w:val="Textoindependiente"/>
        <w:spacing w:before="4" w:line="249" w:lineRule="auto"/>
        <w:ind w:right="1103"/>
      </w:pPr>
      <w:r>
        <w:t>Por último a este respecto, la Ley, siguiendo la Directiva 2014/23/UE, no limita la concesión de servicios a los servicios que se puedan calificar como servicios públicos. En consecuencia, se establece la aplicación específica y diferenciada de determinadas normas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a la concesión de servicios cuando esta se refiera a servicios públicos. Así, por ejemplo, la aplicación de las normas específicas de estos servicios a las que se hacía referencia anteriormente, esto es, el establecimiento de su régimen jurídico y, entre otras cuestiones, los aspectos jurídicos, económicos y administrativos relativos a la prestación del servicio (lo que se viene a denominar su «publicatio»); la imposibilidad de embargo de los bienes afectos;</w:t>
      </w:r>
      <w:r>
        <w:rPr>
          <w:spacing w:val="-1"/>
        </w:rPr>
        <w:t xml:space="preserve"> </w:t>
      </w:r>
      <w:r>
        <w:t>el</w:t>
      </w:r>
      <w:r>
        <w:rPr>
          <w:spacing w:val="-1"/>
        </w:rPr>
        <w:t xml:space="preserve"> </w:t>
      </w:r>
      <w:r>
        <w:t>secuestro</w:t>
      </w:r>
      <w:r>
        <w:rPr>
          <w:spacing w:val="-1"/>
        </w:rPr>
        <w:t xml:space="preserve"> </w:t>
      </w:r>
      <w:r>
        <w:t>o</w:t>
      </w:r>
      <w:r>
        <w:rPr>
          <w:spacing w:val="-1"/>
        </w:rPr>
        <w:t xml:space="preserve"> </w:t>
      </w:r>
      <w:r>
        <w:t>la</w:t>
      </w:r>
      <w:r>
        <w:rPr>
          <w:spacing w:val="-1"/>
        </w:rPr>
        <w:t xml:space="preserve"> </w:t>
      </w:r>
      <w:r>
        <w:t>intervención</w:t>
      </w:r>
      <w:r>
        <w:rPr>
          <w:spacing w:val="-1"/>
        </w:rPr>
        <w:t xml:space="preserve"> </w:t>
      </w:r>
      <w:r>
        <w:t>del</w:t>
      </w:r>
      <w:r>
        <w:rPr>
          <w:spacing w:val="-1"/>
        </w:rPr>
        <w:t xml:space="preserve"> </w:t>
      </w:r>
      <w:r>
        <w:t>servicio</w:t>
      </w:r>
      <w:r>
        <w:rPr>
          <w:spacing w:val="-1"/>
        </w:rPr>
        <w:t xml:space="preserve"> </w:t>
      </w:r>
      <w:r>
        <w:t>público;</w:t>
      </w:r>
      <w:r>
        <w:rPr>
          <w:spacing w:val="-1"/>
        </w:rPr>
        <w:t xml:space="preserve"> </w:t>
      </w:r>
      <w:r>
        <w:t>el</w:t>
      </w:r>
      <w:r>
        <w:rPr>
          <w:spacing w:val="-1"/>
        </w:rPr>
        <w:t xml:space="preserve"> </w:t>
      </w:r>
      <w:r>
        <w:t>rescate</w:t>
      </w:r>
      <w:r>
        <w:rPr>
          <w:spacing w:val="-1"/>
        </w:rPr>
        <w:t xml:space="preserve"> </w:t>
      </w:r>
      <w:r>
        <w:t>del</w:t>
      </w:r>
      <w:r>
        <w:rPr>
          <w:spacing w:val="-1"/>
        </w:rPr>
        <w:t xml:space="preserve"> </w:t>
      </w:r>
      <w:r>
        <w:t>mismo;</w:t>
      </w:r>
      <w:r>
        <w:rPr>
          <w:spacing w:val="-1"/>
        </w:rPr>
        <w:t xml:space="preserve"> </w:t>
      </w:r>
      <w:r>
        <w:t>o</w:t>
      </w:r>
      <w:r>
        <w:rPr>
          <w:spacing w:val="-1"/>
        </w:rPr>
        <w:t xml:space="preserve"> </w:t>
      </w:r>
      <w:r>
        <w:t>el</w:t>
      </w:r>
      <w:r>
        <w:rPr>
          <w:spacing w:val="-1"/>
        </w:rPr>
        <w:t xml:space="preserve"> </w:t>
      </w:r>
      <w:r>
        <w:t>ejercicio de poderes de policía en relación con la buena marcha del servicio público de que se trate.</w:t>
      </w:r>
    </w:p>
    <w:p w:rsidR="0092635B" w:rsidRDefault="00000000">
      <w:pPr>
        <w:pStyle w:val="Textoindependiente"/>
        <w:spacing w:before="5" w:line="249" w:lineRule="auto"/>
        <w:ind w:right="1102"/>
      </w:pPr>
      <w:r>
        <w:t>Por otra parte, debe señalarse que los poderes públicos siguen teniendo libertad para prestar</w:t>
      </w:r>
      <w:r>
        <w:rPr>
          <w:spacing w:val="-1"/>
        </w:rPr>
        <w:t xml:space="preserve"> </w:t>
      </w:r>
      <w:r>
        <w:t>por</w:t>
      </w:r>
      <w:r>
        <w:rPr>
          <w:spacing w:val="-1"/>
        </w:rPr>
        <w:t xml:space="preserve"> </w:t>
      </w:r>
      <w:r>
        <w:t>sí</w:t>
      </w:r>
      <w:r>
        <w:rPr>
          <w:spacing w:val="-1"/>
        </w:rPr>
        <w:t xml:space="preserve"> </w:t>
      </w:r>
      <w:r>
        <w:t>mismos</w:t>
      </w:r>
      <w:r>
        <w:rPr>
          <w:spacing w:val="-1"/>
        </w:rPr>
        <w:t xml:space="preserve"> </w:t>
      </w:r>
      <w:r>
        <w:t>determinadas</w:t>
      </w:r>
      <w:r>
        <w:rPr>
          <w:spacing w:val="-1"/>
        </w:rPr>
        <w:t xml:space="preserve"> </w:t>
      </w:r>
      <w:r>
        <w:t>categorías</w:t>
      </w:r>
      <w:r>
        <w:rPr>
          <w:spacing w:val="-1"/>
        </w:rPr>
        <w:t xml:space="preserve"> </w:t>
      </w:r>
      <w:r>
        <w:t>de</w:t>
      </w:r>
      <w:r>
        <w:rPr>
          <w:spacing w:val="-1"/>
        </w:rPr>
        <w:t xml:space="preserve"> </w:t>
      </w:r>
      <w:r>
        <w:t>servicios,</w:t>
      </w:r>
      <w:r>
        <w:rPr>
          <w:spacing w:val="-1"/>
        </w:rPr>
        <w:t xml:space="preserve"> </w:t>
      </w:r>
      <w:r>
        <w:t>en</w:t>
      </w:r>
      <w:r>
        <w:rPr>
          <w:spacing w:val="-1"/>
        </w:rPr>
        <w:t xml:space="preserve"> </w:t>
      </w:r>
      <w:r>
        <w:t>concreto</w:t>
      </w:r>
      <w:r>
        <w:rPr>
          <w:spacing w:val="-1"/>
        </w:rPr>
        <w:t xml:space="preserve"> </w:t>
      </w:r>
      <w:r>
        <w:t>los</w:t>
      </w:r>
      <w:r>
        <w:rPr>
          <w:spacing w:val="-1"/>
        </w:rPr>
        <w:t xml:space="preserve"> </w:t>
      </w:r>
      <w:r>
        <w:t>servicios</w:t>
      </w:r>
      <w:r>
        <w:rPr>
          <w:spacing w:val="-1"/>
        </w:rPr>
        <w:t xml:space="preserve"> </w:t>
      </w:r>
      <w:r>
        <w:t>que</w:t>
      </w:r>
      <w:r>
        <w:rPr>
          <w:spacing w:val="-1"/>
        </w:rPr>
        <w:t xml:space="preserve"> </w:t>
      </w:r>
      <w:r>
        <w:t>se conocen como servicios a las personas, como ciertos servicios sociales, sanitarios, incluyendo los farmacéuticos, y educativos u organizar los mismos de manera que no sea necesario celebrar contratos públicos, por ejemplo, mediante la simple financiación de estos servicios o la concesión de licencias o autorizaciones a todos los operadores económicos que cumplan las condiciones previamente fijadas por el poder adjudicador, sin límites ni cuotas, siempre que dicho sistema garantice una publicidad suficiente y se ajuste a los principios de transparencia y no discriminación.</w:t>
      </w:r>
    </w:p>
    <w:p w:rsidR="0092635B" w:rsidRDefault="00000000">
      <w:pPr>
        <w:pStyle w:val="Textoindependiente"/>
        <w:spacing w:before="8" w:line="249" w:lineRule="auto"/>
        <w:ind w:right="1103"/>
      </w:pPr>
      <w:r>
        <w:t>En la regulación del contrato mixto, se distingue entre la preparación y adjudicación del contrato, donde se recogen las normas que establecen las Directivas, y los efectos y extinción. Respecto de la preparación y adjudicación, la regla general es que al contrato mixto se le aplican, según los casos, las normas del contrato cuya prestación sea la principal o cuyo valor estimado sea más elevado. En cuanto a los efectos y extinción, la Ley hace remisión a lo que se establezca en los correspondientes pliegos de cláusulas</w:t>
      </w:r>
      <w:r>
        <w:rPr>
          <w:spacing w:val="80"/>
        </w:rPr>
        <w:t xml:space="preserve"> </w:t>
      </w:r>
      <w:r>
        <w:rPr>
          <w:spacing w:val="-2"/>
        </w:rPr>
        <w:t>administrativas.</w:t>
      </w:r>
    </w:p>
    <w:p w:rsidR="0092635B" w:rsidRDefault="00000000">
      <w:pPr>
        <w:pStyle w:val="Textoindependiente"/>
        <w:spacing w:before="6" w:line="249" w:lineRule="auto"/>
        <w:ind w:right="1104"/>
      </w:pPr>
      <w:r>
        <w:t>Por otra parte, se suprime la figura del contrato de colaboración público privada, como consecuencia de la escasa utilidad de esta figura en la práctica. La experiencia ha demostrado que el objeto de este contrato se puede realizar a través de otras modalidades contractuales, como es, fundamentalmente, el contrato de concesión.</w:t>
      </w:r>
    </w:p>
    <w:p w:rsidR="0092635B" w:rsidRDefault="00000000">
      <w:pPr>
        <w:pStyle w:val="Textoindependiente"/>
        <w:spacing w:before="3" w:line="249" w:lineRule="auto"/>
        <w:ind w:right="1103"/>
      </w:pPr>
      <w:r>
        <w:t>En lo que respecta a los contratos de obras, suministros y servicios celebrados en el ámbito de la Defensa y Seguridad, estos seguirán rigiéndose por su correspondiente Ley específica, en los supuestos en ella determinados. Sin embargo, las concesiones de obras y servicios celebradas en estos mismos ámbitos sí se sujetan a esta Ley.</w:t>
      </w:r>
    </w:p>
    <w:p w:rsidR="0092635B" w:rsidRDefault="00000000">
      <w:pPr>
        <w:pStyle w:val="Textoindependiente"/>
        <w:spacing w:before="3" w:line="249" w:lineRule="auto"/>
        <w:ind w:right="1103"/>
      </w:pPr>
      <w:r>
        <w:t>Por último, en lo que respecta a los procedimientos de contratación que tengan por</w:t>
      </w:r>
      <w:r>
        <w:rPr>
          <w:spacing w:val="40"/>
        </w:rPr>
        <w:t xml:space="preserve"> </w:t>
      </w:r>
      <w:r>
        <w:t>objeto contratos en los sectores del agua, la energía, los transportes y los servicios postales, se ha pretendido establecer un esquema lógico y consecuente con las correspondientes Directivas a efectos de la aplicación a aquellos bien de la presente Ley, o bien de la Ley de procedimientos</w:t>
      </w:r>
      <w:r>
        <w:rPr>
          <w:spacing w:val="-3"/>
        </w:rPr>
        <w:t xml:space="preserve"> </w:t>
      </w:r>
      <w:r>
        <w:t>de</w:t>
      </w:r>
      <w:r>
        <w:rPr>
          <w:spacing w:val="-3"/>
        </w:rPr>
        <w:t xml:space="preserve"> </w:t>
      </w:r>
      <w:r>
        <w:t>contratación</w:t>
      </w:r>
      <w:r>
        <w:rPr>
          <w:spacing w:val="-3"/>
        </w:rPr>
        <w:t xml:space="preserve"> </w:t>
      </w:r>
      <w:r>
        <w:t>en</w:t>
      </w:r>
      <w:r>
        <w:rPr>
          <w:spacing w:val="-3"/>
        </w:rPr>
        <w:t xml:space="preserve"> </w:t>
      </w:r>
      <w:r>
        <w:t>los</w:t>
      </w:r>
      <w:r>
        <w:rPr>
          <w:spacing w:val="-3"/>
        </w:rPr>
        <w:t xml:space="preserve"> </w:t>
      </w:r>
      <w:r>
        <w:t>citados</w:t>
      </w:r>
      <w:r>
        <w:rPr>
          <w:spacing w:val="-3"/>
        </w:rPr>
        <w:t xml:space="preserve"> </w:t>
      </w:r>
      <w:r>
        <w:t>sectores.</w:t>
      </w:r>
      <w:r>
        <w:rPr>
          <w:spacing w:val="-3"/>
        </w:rPr>
        <w:t xml:space="preserve"> </w:t>
      </w:r>
      <w:r>
        <w:t>Así,</w:t>
      </w:r>
      <w:r>
        <w:rPr>
          <w:spacing w:val="-3"/>
        </w:rPr>
        <w:t xml:space="preserve"> </w:t>
      </w:r>
      <w:r>
        <w:t>todos</w:t>
      </w:r>
      <w:r>
        <w:rPr>
          <w:spacing w:val="-3"/>
        </w:rPr>
        <w:t xml:space="preserve"> </w:t>
      </w:r>
      <w:r>
        <w:t>los</w:t>
      </w:r>
      <w:r>
        <w:rPr>
          <w:spacing w:val="-3"/>
        </w:rPr>
        <w:t xml:space="preserve"> </w:t>
      </w:r>
      <w:r>
        <w:t>contratos</w:t>
      </w:r>
      <w:r>
        <w:rPr>
          <w:spacing w:val="-3"/>
        </w:rPr>
        <w:t xml:space="preserve"> </w:t>
      </w:r>
      <w:r>
        <w:t>que</w:t>
      </w:r>
      <w:r>
        <w:rPr>
          <w:spacing w:val="-3"/>
        </w:rPr>
        <w:t xml:space="preserve"> </w:t>
      </w:r>
      <w:r>
        <w:t>celebren las entidades que tengan la consideración de Administraciones Públicas, independientemente del sector al que se refieran, se regirán por la presente Ley.</w:t>
      </w:r>
    </w:p>
    <w:p w:rsidR="0092635B" w:rsidRDefault="00000000">
      <w:pPr>
        <w:pStyle w:val="Textoindependiente"/>
        <w:spacing w:before="6" w:line="249" w:lineRule="auto"/>
        <w:ind w:right="1102"/>
      </w:pPr>
      <w:r>
        <w:t>Por su parte, los contratos que celebren las entidades que no gocen de la consideración de Administraciones Públicas se regirán por la Ley de procedimientos de contratación en los sectores del agua, la energía, los transportes y los servicios postales cuando operen en</w:t>
      </w:r>
      <w:r>
        <w:rPr>
          <w:spacing w:val="40"/>
        </w:rPr>
        <w:t xml:space="preserve"> </w:t>
      </w:r>
      <w:r>
        <w:t>estos ámbitos y los contratos superen los umbrales establecidos en la citada Ley de procedimientos de contratación en dichos sectores. Si por el contrario, las entidades que no gocen de la consideración de Administraciones Públicas celebran contratos que no superen los</w:t>
      </w:r>
      <w:r>
        <w:rPr>
          <w:spacing w:val="-2"/>
        </w:rPr>
        <w:t xml:space="preserve"> </w:t>
      </w:r>
      <w:r>
        <w:t>mencionados</w:t>
      </w:r>
      <w:r>
        <w:rPr>
          <w:spacing w:val="-2"/>
        </w:rPr>
        <w:t xml:space="preserve"> </w:t>
      </w:r>
      <w:r>
        <w:t>umbrales,</w:t>
      </w:r>
      <w:r>
        <w:rPr>
          <w:spacing w:val="-2"/>
        </w:rPr>
        <w:t xml:space="preserve"> </w:t>
      </w:r>
      <w:r>
        <w:t>aunque</w:t>
      </w:r>
      <w:r>
        <w:rPr>
          <w:spacing w:val="-2"/>
        </w:rPr>
        <w:t xml:space="preserve"> </w:t>
      </w:r>
      <w:r>
        <w:t>la</w:t>
      </w:r>
      <w:r>
        <w:rPr>
          <w:spacing w:val="-2"/>
        </w:rPr>
        <w:t xml:space="preserve"> </w:t>
      </w:r>
      <w:r>
        <w:t>actividad</w:t>
      </w:r>
      <w:r>
        <w:rPr>
          <w:spacing w:val="-2"/>
        </w:rPr>
        <w:t xml:space="preserve"> </w:t>
      </w:r>
      <w:r>
        <w:t>se</w:t>
      </w:r>
      <w:r>
        <w:rPr>
          <w:spacing w:val="-2"/>
        </w:rPr>
        <w:t xml:space="preserve"> </w:t>
      </w:r>
      <w:r>
        <w:t>refiera</w:t>
      </w:r>
      <w:r>
        <w:rPr>
          <w:spacing w:val="-2"/>
        </w:rPr>
        <w:t xml:space="preserve"> </w:t>
      </w:r>
      <w:r>
        <w:t>a</w:t>
      </w:r>
      <w:r>
        <w:rPr>
          <w:spacing w:val="-2"/>
        </w:rPr>
        <w:t xml:space="preserve"> </w:t>
      </w:r>
      <w:r>
        <w:t>los</w:t>
      </w:r>
      <w:r>
        <w:rPr>
          <w:spacing w:val="-2"/>
        </w:rPr>
        <w:t xml:space="preserve"> </w:t>
      </w:r>
      <w:r>
        <w:t>sectores</w:t>
      </w:r>
      <w:r>
        <w:rPr>
          <w:spacing w:val="-2"/>
        </w:rPr>
        <w:t xml:space="preserve"> </w:t>
      </w:r>
      <w:r>
        <w:t>del</w:t>
      </w:r>
      <w:r>
        <w:rPr>
          <w:spacing w:val="-2"/>
        </w:rPr>
        <w:t xml:space="preserve"> </w:t>
      </w:r>
      <w:r>
        <w:t>agua,</w:t>
      </w:r>
      <w:r>
        <w:rPr>
          <w:spacing w:val="-2"/>
        </w:rPr>
        <w:t xml:space="preserve"> </w:t>
      </w:r>
      <w:r>
        <w:t>la</w:t>
      </w:r>
      <w:r>
        <w:rPr>
          <w:spacing w:val="-2"/>
        </w:rPr>
        <w:t xml:space="preserve"> </w:t>
      </w:r>
      <w:r>
        <w:t>energía, los transportes y los servicios postales, se les aplicará la presente Ley.</w:t>
      </w:r>
    </w:p>
    <w:p w:rsidR="0092635B" w:rsidRDefault="00000000">
      <w:pPr>
        <w:pStyle w:val="Textoindependiente"/>
        <w:spacing w:before="6" w:line="249" w:lineRule="auto"/>
        <w:ind w:right="1103"/>
      </w:pPr>
      <w:r>
        <w:t>En el Libro I, relativo a la configuración general de la contratación del sector público y elementos estructurales de los contratos, aparece en primer lugar una nueva regulación del llamado «medio propio» de la Administración, encomiendas de gestión o aplicación práctica de la técnica denominada «in house», que pasa ahora a llamarse «encargos a medios propios». Así, nos encontramos los casos de encargos entre entidades del sector público, como supuestos de ejecución directa de prestaciones a través de medios propios personificados, distinguiéndose entre el encargo hecho por un poder adjudicador, de aquel que se hubiera realizado por otra entidad que no tenga la consideración de poder adjudicador, manteniéndose los casos de la ejecución directa de prestaciones por la Administración Pública con la colaboración de empresarios particulares o a través de medios propios no personificados. En la Ley, siguiendo las directrices de la nueva Directiva de contratación,</w:t>
      </w:r>
      <w:r>
        <w:rPr>
          <w:spacing w:val="13"/>
        </w:rPr>
        <w:t xml:space="preserve"> </w:t>
      </w:r>
      <w:r>
        <w:t>han</w:t>
      </w:r>
      <w:r>
        <w:rPr>
          <w:spacing w:val="13"/>
        </w:rPr>
        <w:t xml:space="preserve"> </w:t>
      </w:r>
      <w:r>
        <w:t>aumentado</w:t>
      </w:r>
      <w:r>
        <w:rPr>
          <w:spacing w:val="14"/>
        </w:rPr>
        <w:t xml:space="preserve"> </w:t>
      </w:r>
      <w:r>
        <w:t>las</w:t>
      </w:r>
      <w:r>
        <w:rPr>
          <w:spacing w:val="13"/>
        </w:rPr>
        <w:t xml:space="preserve"> </w:t>
      </w:r>
      <w:r>
        <w:t>exigencias</w:t>
      </w:r>
      <w:r>
        <w:rPr>
          <w:spacing w:val="14"/>
        </w:rPr>
        <w:t xml:space="preserve"> </w:t>
      </w:r>
      <w:r>
        <w:t>que</w:t>
      </w:r>
      <w:r>
        <w:rPr>
          <w:spacing w:val="13"/>
        </w:rPr>
        <w:t xml:space="preserve"> </w:t>
      </w:r>
      <w:r>
        <w:t>deben</w:t>
      </w:r>
      <w:r>
        <w:rPr>
          <w:spacing w:val="13"/>
        </w:rPr>
        <w:t xml:space="preserve"> </w:t>
      </w:r>
      <w:r>
        <w:t>cumplir</w:t>
      </w:r>
      <w:r>
        <w:rPr>
          <w:spacing w:val="14"/>
        </w:rPr>
        <w:t xml:space="preserve"> </w:t>
      </w:r>
      <w:r>
        <w:t>estas</w:t>
      </w:r>
      <w:r>
        <w:rPr>
          <w:spacing w:val="13"/>
        </w:rPr>
        <w:t xml:space="preserve"> </w:t>
      </w:r>
      <w:r>
        <w:t>entidades,</w:t>
      </w:r>
      <w:r>
        <w:rPr>
          <w:spacing w:val="14"/>
        </w:rPr>
        <w:t xml:space="preserve"> </w:t>
      </w:r>
      <w:r>
        <w:t>con</w:t>
      </w:r>
      <w:r>
        <w:rPr>
          <w:spacing w:val="13"/>
        </w:rPr>
        <w:t xml:space="preserve"> </w:t>
      </w:r>
      <w:r>
        <w:t>lo</w:t>
      </w:r>
      <w:r>
        <w:rPr>
          <w:spacing w:val="14"/>
        </w:rPr>
        <w:t xml:space="preserve"> </w:t>
      </w:r>
      <w:r>
        <w:rPr>
          <w:spacing w:val="-5"/>
        </w:rPr>
        <w:t>que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se evitan adjudicaciones directas que pueden menoscabar el principio de libre competencia. Se encuentran aquí requisitos tales como que la entidad que tenga el carácter de «medio propio»</w:t>
      </w:r>
      <w:r>
        <w:rPr>
          <w:spacing w:val="-1"/>
        </w:rPr>
        <w:t xml:space="preserve"> </w:t>
      </w:r>
      <w:r>
        <w:t>disponga</w:t>
      </w:r>
      <w:r>
        <w:rPr>
          <w:spacing w:val="-1"/>
        </w:rPr>
        <w:t xml:space="preserve"> </w:t>
      </w:r>
      <w:r>
        <w:t>de</w:t>
      </w:r>
      <w:r>
        <w:rPr>
          <w:spacing w:val="-1"/>
        </w:rPr>
        <w:t xml:space="preserve"> </w:t>
      </w:r>
      <w:r>
        <w:t>medios</w:t>
      </w:r>
      <w:r>
        <w:rPr>
          <w:spacing w:val="-1"/>
        </w:rPr>
        <w:t xml:space="preserve"> </w:t>
      </w:r>
      <w:r>
        <w:t>personales</w:t>
      </w:r>
      <w:r>
        <w:rPr>
          <w:spacing w:val="-1"/>
        </w:rPr>
        <w:t xml:space="preserve"> </w:t>
      </w:r>
      <w:r>
        <w:t>y</w:t>
      </w:r>
      <w:r>
        <w:rPr>
          <w:spacing w:val="-1"/>
        </w:rPr>
        <w:t xml:space="preserve"> </w:t>
      </w:r>
      <w:r>
        <w:t>materiales</w:t>
      </w:r>
      <w:r>
        <w:rPr>
          <w:spacing w:val="-1"/>
        </w:rPr>
        <w:t xml:space="preserve"> </w:t>
      </w:r>
      <w:r>
        <w:t>adecuados</w:t>
      </w:r>
      <w:r>
        <w:rPr>
          <w:spacing w:val="-1"/>
        </w:rPr>
        <w:t xml:space="preserve"> </w:t>
      </w:r>
      <w:r>
        <w:t>para</w:t>
      </w:r>
      <w:r>
        <w:rPr>
          <w:spacing w:val="-1"/>
        </w:rPr>
        <w:t xml:space="preserve"> </w:t>
      </w:r>
      <w:r>
        <w:t>cumplir</w:t>
      </w:r>
      <w:r>
        <w:rPr>
          <w:spacing w:val="-1"/>
        </w:rPr>
        <w:t xml:space="preserve"> </w:t>
      </w:r>
      <w:r>
        <w:t>el</w:t>
      </w:r>
      <w:r>
        <w:rPr>
          <w:spacing w:val="-1"/>
        </w:rPr>
        <w:t xml:space="preserve"> </w:t>
      </w:r>
      <w:r>
        <w:t>encargo</w:t>
      </w:r>
      <w:r>
        <w:rPr>
          <w:spacing w:val="-1"/>
        </w:rPr>
        <w:t xml:space="preserve"> </w:t>
      </w:r>
      <w:r>
        <w:t>que se le haga, que haya recabado autorización del poder adjudicador del que dependa, que no tenga participación de una empresa privada y que no pueda realizar libremente en el mercado más de un 20 por ciento de su actividad.</w:t>
      </w:r>
    </w:p>
    <w:p w:rsidR="0092635B" w:rsidRDefault="00000000">
      <w:pPr>
        <w:pStyle w:val="Textoindependiente"/>
        <w:spacing w:before="5" w:line="249" w:lineRule="auto"/>
        <w:ind w:right="1104"/>
      </w:pPr>
      <w:r>
        <w:t>Dentro del Libro I se suprime la cuestión de nulidad, si bien sus causas podrán hacerse valer a través del recurso especial en materia de contratación; y se mantiene la regulación del régimen de invalidez de los contratos del sector público y del recurso especial en materia de contratación.</w:t>
      </w:r>
    </w:p>
    <w:p w:rsidR="0092635B" w:rsidRDefault="00000000">
      <w:pPr>
        <w:pStyle w:val="Textoindependiente"/>
        <w:spacing w:before="3" w:line="249" w:lineRule="auto"/>
        <w:ind w:right="1103"/>
      </w:pPr>
      <w:r>
        <w:t>Se amplía el ámbito de aplicación de este recurso, sin que dicha ampliación afecte a la necesaria agilidad que debe tener el sistema en la resolución de estos recursos, dejando de estar vinculado a los contratos sujetos a regulación armonizada, de tal manera que se puede interponer en el caso de contratos de obras, concesiones de obras y de servicios cuyo valor estimado</w:t>
      </w:r>
      <w:r>
        <w:rPr>
          <w:spacing w:val="-1"/>
        </w:rPr>
        <w:t xml:space="preserve"> </w:t>
      </w:r>
      <w:r>
        <w:t>supere</w:t>
      </w:r>
      <w:r>
        <w:rPr>
          <w:spacing w:val="-1"/>
        </w:rPr>
        <w:t xml:space="preserve"> </w:t>
      </w:r>
      <w:r>
        <w:t>los</w:t>
      </w:r>
      <w:r>
        <w:rPr>
          <w:spacing w:val="-1"/>
        </w:rPr>
        <w:t xml:space="preserve"> </w:t>
      </w:r>
      <w:r>
        <w:t>tres</w:t>
      </w:r>
      <w:r>
        <w:rPr>
          <w:spacing w:val="-1"/>
        </w:rPr>
        <w:t xml:space="preserve"> </w:t>
      </w:r>
      <w:r>
        <w:t>millones</w:t>
      </w:r>
      <w:r>
        <w:rPr>
          <w:spacing w:val="-1"/>
        </w:rPr>
        <w:t xml:space="preserve"> </w:t>
      </w:r>
      <w:r>
        <w:t>y</w:t>
      </w:r>
      <w:r>
        <w:rPr>
          <w:spacing w:val="-1"/>
        </w:rPr>
        <w:t xml:space="preserve"> </w:t>
      </w:r>
      <w:r>
        <w:t>contratos</w:t>
      </w:r>
      <w:r>
        <w:rPr>
          <w:spacing w:val="-1"/>
        </w:rPr>
        <w:t xml:space="preserve"> </w:t>
      </w:r>
      <w:r>
        <w:t>de</w:t>
      </w:r>
      <w:r>
        <w:rPr>
          <w:spacing w:val="-1"/>
        </w:rPr>
        <w:t xml:space="preserve"> </w:t>
      </w:r>
      <w:r>
        <w:t>servicios</w:t>
      </w:r>
      <w:r>
        <w:rPr>
          <w:spacing w:val="-1"/>
        </w:rPr>
        <w:t xml:space="preserve"> </w:t>
      </w:r>
      <w:r>
        <w:t>y</w:t>
      </w:r>
      <w:r>
        <w:rPr>
          <w:spacing w:val="-1"/>
        </w:rPr>
        <w:t xml:space="preserve"> </w:t>
      </w:r>
      <w:r>
        <w:t>de</w:t>
      </w:r>
      <w:r>
        <w:rPr>
          <w:spacing w:val="-1"/>
        </w:rPr>
        <w:t xml:space="preserve"> </w:t>
      </w:r>
      <w:r>
        <w:t>suministros</w:t>
      </w:r>
      <w:r>
        <w:rPr>
          <w:spacing w:val="-1"/>
        </w:rPr>
        <w:t xml:space="preserve"> </w:t>
      </w:r>
      <w:r>
        <w:t>cuyo</w:t>
      </w:r>
      <w:r>
        <w:rPr>
          <w:spacing w:val="-1"/>
        </w:rPr>
        <w:t xml:space="preserve"> </w:t>
      </w:r>
      <w:r>
        <w:t>valor</w:t>
      </w:r>
      <w:r>
        <w:rPr>
          <w:spacing w:val="-1"/>
        </w:rPr>
        <w:t xml:space="preserve"> </w:t>
      </w:r>
      <w:r>
        <w:t>supere los cien mil euros.</w:t>
      </w:r>
    </w:p>
    <w:p w:rsidR="0092635B" w:rsidRDefault="00000000">
      <w:pPr>
        <w:pStyle w:val="Textoindependiente"/>
        <w:spacing w:before="5" w:line="249" w:lineRule="auto"/>
        <w:ind w:right="1103"/>
      </w:pPr>
      <w:r>
        <w:t>El recurso, que mantiene el carácter potestativo que tiene en la actualidad, tendrá</w:t>
      </w:r>
      <w:r>
        <w:rPr>
          <w:spacing w:val="40"/>
        </w:rPr>
        <w:t xml:space="preserve"> </w:t>
      </w:r>
      <w:r>
        <w:t>efectos suspensivos automáticos siempre que el acto recurrido sea el de adjudicación, salvo en el caso de contratos basados en un acuerdo marco o de contratos específicos en el</w:t>
      </w:r>
      <w:r>
        <w:rPr>
          <w:spacing w:val="40"/>
        </w:rPr>
        <w:t xml:space="preserve"> </w:t>
      </w:r>
      <w:r>
        <w:t>marco de un sistema dinámico de adquisición. Esta última salvedad encuentra su fundamento</w:t>
      </w:r>
      <w:r>
        <w:rPr>
          <w:spacing w:val="-2"/>
        </w:rPr>
        <w:t xml:space="preserve"> </w:t>
      </w:r>
      <w:r>
        <w:t>en</w:t>
      </w:r>
      <w:r>
        <w:rPr>
          <w:spacing w:val="-2"/>
        </w:rPr>
        <w:t xml:space="preserve"> </w:t>
      </w:r>
      <w:r>
        <w:t>que</w:t>
      </w:r>
      <w:r>
        <w:rPr>
          <w:spacing w:val="-2"/>
        </w:rPr>
        <w:t xml:space="preserve"> </w:t>
      </w:r>
      <w:r>
        <w:t>en</w:t>
      </w:r>
      <w:r>
        <w:rPr>
          <w:spacing w:val="-2"/>
        </w:rPr>
        <w:t xml:space="preserve"> </w:t>
      </w:r>
      <w:r>
        <w:t>este</w:t>
      </w:r>
      <w:r>
        <w:rPr>
          <w:spacing w:val="-2"/>
        </w:rPr>
        <w:t xml:space="preserve"> </w:t>
      </w:r>
      <w:r>
        <w:t>tipo</w:t>
      </w:r>
      <w:r>
        <w:rPr>
          <w:spacing w:val="-2"/>
        </w:rPr>
        <w:t xml:space="preserve"> </w:t>
      </w:r>
      <w:r>
        <w:t>de</w:t>
      </w:r>
      <w:r>
        <w:rPr>
          <w:spacing w:val="-2"/>
        </w:rPr>
        <w:t xml:space="preserve"> </w:t>
      </w:r>
      <w:r>
        <w:t>contratos</w:t>
      </w:r>
      <w:r>
        <w:rPr>
          <w:spacing w:val="-2"/>
        </w:rPr>
        <w:t xml:space="preserve"> </w:t>
      </w:r>
      <w:r>
        <w:t>un</w:t>
      </w:r>
      <w:r>
        <w:rPr>
          <w:spacing w:val="-2"/>
        </w:rPr>
        <w:t xml:space="preserve"> </w:t>
      </w:r>
      <w:r>
        <w:t>plazo</w:t>
      </w:r>
      <w:r>
        <w:rPr>
          <w:spacing w:val="-2"/>
        </w:rPr>
        <w:t xml:space="preserve"> </w:t>
      </w:r>
      <w:r>
        <w:t>suspensivo</w:t>
      </w:r>
      <w:r>
        <w:rPr>
          <w:spacing w:val="-2"/>
        </w:rPr>
        <w:t xml:space="preserve"> </w:t>
      </w:r>
      <w:r>
        <w:t>obligatorio</w:t>
      </w:r>
      <w:r>
        <w:rPr>
          <w:spacing w:val="-2"/>
        </w:rPr>
        <w:t xml:space="preserve"> </w:t>
      </w:r>
      <w:r>
        <w:t>podría</w:t>
      </w:r>
      <w:r>
        <w:rPr>
          <w:spacing w:val="-2"/>
        </w:rPr>
        <w:t xml:space="preserve"> </w:t>
      </w:r>
      <w:r>
        <w:t>afectar</w:t>
      </w:r>
      <w:r>
        <w:rPr>
          <w:spacing w:val="-2"/>
        </w:rPr>
        <w:t xml:space="preserve"> </w:t>
      </w:r>
      <w:r>
        <w:t>a los aumentos de eficiencia que se pretende obtener con estos procedimientos de licitación, tal y como establece el considerando 9 de la Directiva 2007/66/CE, por la que se modifican las Directivas 89/665/CEE y 92/13/CEE en lo que respecta a la mejora de la eficacia en los procedimientos de recurso en materia de adjudicación de contratos públicos.</w:t>
      </w:r>
    </w:p>
    <w:p w:rsidR="0092635B" w:rsidRDefault="00000000">
      <w:pPr>
        <w:pStyle w:val="Textoindependiente"/>
        <w:spacing w:before="7" w:line="249" w:lineRule="auto"/>
        <w:ind w:right="1103"/>
      </w:pPr>
      <w:r>
        <w:t>Para concluir la referencia al recurso especial, este se podrá interponer contra los anuncios de licitación, pliegos, documentos contractuales que establezcan las condiciones que deban regir la contratación, actos de trámite que cumplan los requisitos de esta Ley, acuerdos de adjudicación adoptados por poderes adjudicadores, así como modificaciones contractuales, encargos a medios propios siempre que no cumplan las condiciones previstas en esta Ley y acuerdos de rescate de concesiones.</w:t>
      </w:r>
    </w:p>
    <w:p w:rsidR="0092635B" w:rsidRDefault="00000000">
      <w:pPr>
        <w:pStyle w:val="Textoindependiente"/>
        <w:spacing w:before="5" w:line="249" w:lineRule="auto"/>
        <w:ind w:right="1103"/>
      </w:pPr>
      <w:r>
        <w:t>También dentro del Libro I se introduce una norma especial relativa a la lucha contra la corrupción y prevención de los conflictos de intereses, mediante la cual se impone a los órganos de contratación la obligación de tomar las medidas adecuadas para luchar contra el fraude, el favoritismo y la corrupción, y prevenir, detectar y solucionar de modo efectivo los conflictos de intereses que puedan surgir en los procedimientos de licitación. En línea con</w:t>
      </w:r>
      <w:r>
        <w:rPr>
          <w:spacing w:val="80"/>
        </w:rPr>
        <w:t xml:space="preserve"> </w:t>
      </w:r>
      <w:r>
        <w:t>las medidas para luchar contra la corrupción, se hace una nueva regulación de las prohibiciones de contratar que aumenta los casos de prohibición modificando la</w:t>
      </w:r>
      <w:r>
        <w:rPr>
          <w:spacing w:val="40"/>
        </w:rPr>
        <w:t xml:space="preserve"> </w:t>
      </w:r>
      <w:r>
        <w:t>competencia, el procedimiento y los efectos de una declaración de este tipo; al tiempo que transpone las denominadas por las Directivas Comunitarias como «medidas de autocorrección», de manera que determinadas prohibiciones de contratar bien no se declararán o bien no se aplicarán, según el caso, cuando la empresa hubiera adoptado medidas de cumplimiento destinadas a reparar los daños causados por su conducta ilícita,</w:t>
      </w:r>
      <w:r>
        <w:rPr>
          <w:spacing w:val="40"/>
        </w:rPr>
        <w:t xml:space="preserve"> </w:t>
      </w:r>
      <w:r>
        <w:t>en las condiciones que se regulan en esta Ley.</w:t>
      </w:r>
    </w:p>
    <w:p w:rsidR="0092635B" w:rsidRDefault="00000000">
      <w:pPr>
        <w:pStyle w:val="Textoindependiente"/>
        <w:spacing w:before="11" w:line="249" w:lineRule="auto"/>
        <w:ind w:right="1103"/>
      </w:pPr>
      <w:r>
        <w:t>Destaca también dentro de este Libro la regulación del régimen de clasificación empresarial, en el que se incluyen las últimas novedades legislativas existentes en esta materia hasta ahora.</w:t>
      </w:r>
    </w:p>
    <w:p w:rsidR="0092635B" w:rsidRDefault="00000000">
      <w:pPr>
        <w:pStyle w:val="Textoindependiente"/>
        <w:spacing w:line="249" w:lineRule="auto"/>
        <w:ind w:right="1103"/>
      </w:pPr>
      <w:r>
        <w:t>Asimismo, se han revisado a efectos de su homogeneización las diversas expresiones que se utilizaban en el texto refundido anterior para referirse al valor de los contratos, por ejemplo</w:t>
      </w:r>
      <w:r>
        <w:rPr>
          <w:spacing w:val="-2"/>
        </w:rPr>
        <w:t xml:space="preserve"> </w:t>
      </w:r>
      <w:r>
        <w:t>«cuantía»</w:t>
      </w:r>
      <w:r>
        <w:rPr>
          <w:spacing w:val="-2"/>
        </w:rPr>
        <w:t xml:space="preserve"> </w:t>
      </w:r>
      <w:r>
        <w:t>o</w:t>
      </w:r>
      <w:r>
        <w:rPr>
          <w:spacing w:val="-2"/>
        </w:rPr>
        <w:t xml:space="preserve"> </w:t>
      </w:r>
      <w:r>
        <w:t>«importe</w:t>
      </w:r>
      <w:r>
        <w:rPr>
          <w:spacing w:val="-2"/>
        </w:rPr>
        <w:t xml:space="preserve"> </w:t>
      </w:r>
      <w:r>
        <w:t>del</w:t>
      </w:r>
      <w:r>
        <w:rPr>
          <w:spacing w:val="-2"/>
        </w:rPr>
        <w:t xml:space="preserve"> </w:t>
      </w:r>
      <w:r>
        <w:t>contrato»,</w:t>
      </w:r>
      <w:r>
        <w:rPr>
          <w:spacing w:val="-2"/>
        </w:rPr>
        <w:t xml:space="preserve"> </w:t>
      </w:r>
      <w:r>
        <w:t>reconduciéndose</w:t>
      </w:r>
      <w:r>
        <w:rPr>
          <w:spacing w:val="-2"/>
        </w:rPr>
        <w:t xml:space="preserve"> </w:t>
      </w:r>
      <w:r>
        <w:t>en</w:t>
      </w:r>
      <w:r>
        <w:rPr>
          <w:spacing w:val="-2"/>
        </w:rPr>
        <w:t xml:space="preserve"> </w:t>
      </w:r>
      <w:r>
        <w:t>la</w:t>
      </w:r>
      <w:r>
        <w:rPr>
          <w:spacing w:val="-2"/>
        </w:rPr>
        <w:t xml:space="preserve"> </w:t>
      </w:r>
      <w:r>
        <w:t>mayor</w:t>
      </w:r>
      <w:r>
        <w:rPr>
          <w:spacing w:val="-2"/>
        </w:rPr>
        <w:t xml:space="preserve"> </w:t>
      </w:r>
      <w:r>
        <w:t>parte</w:t>
      </w:r>
      <w:r>
        <w:rPr>
          <w:spacing w:val="-2"/>
        </w:rPr>
        <w:t xml:space="preserve"> </w:t>
      </w:r>
      <w:r>
        <w:t>de</w:t>
      </w:r>
      <w:r>
        <w:rPr>
          <w:spacing w:val="-2"/>
        </w:rPr>
        <w:t xml:space="preserve"> </w:t>
      </w:r>
      <w:r>
        <w:t>los</w:t>
      </w:r>
      <w:r>
        <w:rPr>
          <w:spacing w:val="-2"/>
        </w:rPr>
        <w:t xml:space="preserve"> </w:t>
      </w:r>
      <w:r>
        <w:t>casos al concepto de «valor estimado» del contrato, que resulta ser el correcto. Este concepto queda perfectamente delimitado en la nueva Ley, al igual que lo están el de «presupuesto base de licitación» y el de «precio del contrato», evitándose, de esta forma, cualquier posible confusión entre ellos.</w:t>
      </w:r>
    </w:p>
    <w:p w:rsidR="0092635B" w:rsidRDefault="00000000">
      <w:pPr>
        <w:pStyle w:val="Textoindependiente"/>
        <w:spacing w:before="6" w:line="249" w:lineRule="auto"/>
        <w:ind w:right="1103"/>
      </w:pPr>
      <w:r>
        <w:t>Por otra parte, se acomodan las normas correspondientes a la revisión de precios en los contratos públicos, a lo dispuesto en la Ley 2/2015, de 30 de marzo, de desindexación de la economía</w:t>
      </w:r>
      <w:r>
        <w:rPr>
          <w:spacing w:val="3"/>
        </w:rPr>
        <w:t xml:space="preserve"> </w:t>
      </w:r>
      <w:r>
        <w:t>española,</w:t>
      </w:r>
      <w:r>
        <w:rPr>
          <w:spacing w:val="4"/>
        </w:rPr>
        <w:t xml:space="preserve"> </w:t>
      </w:r>
      <w:r>
        <w:t>de</w:t>
      </w:r>
      <w:r>
        <w:rPr>
          <w:spacing w:val="4"/>
        </w:rPr>
        <w:t xml:space="preserve"> </w:t>
      </w:r>
      <w:r>
        <w:t>manera</w:t>
      </w:r>
      <w:r>
        <w:rPr>
          <w:spacing w:val="4"/>
        </w:rPr>
        <w:t xml:space="preserve"> </w:t>
      </w:r>
      <w:r>
        <w:t>que</w:t>
      </w:r>
      <w:r>
        <w:rPr>
          <w:spacing w:val="3"/>
        </w:rPr>
        <w:t xml:space="preserve"> </w:t>
      </w:r>
      <w:r>
        <w:t>la</w:t>
      </w:r>
      <w:r>
        <w:rPr>
          <w:spacing w:val="4"/>
        </w:rPr>
        <w:t xml:space="preserve"> </w:t>
      </w:r>
      <w:r>
        <w:t>revisión</w:t>
      </w:r>
      <w:r>
        <w:rPr>
          <w:spacing w:val="4"/>
        </w:rPr>
        <w:t xml:space="preserve"> </w:t>
      </w:r>
      <w:r>
        <w:t>de</w:t>
      </w:r>
      <w:r>
        <w:rPr>
          <w:spacing w:val="4"/>
        </w:rPr>
        <w:t xml:space="preserve"> </w:t>
      </w:r>
      <w:r>
        <w:t>precios</w:t>
      </w:r>
      <w:r>
        <w:rPr>
          <w:spacing w:val="4"/>
        </w:rPr>
        <w:t xml:space="preserve"> </w:t>
      </w:r>
      <w:r>
        <w:t>no</w:t>
      </w:r>
      <w:r>
        <w:rPr>
          <w:spacing w:val="3"/>
        </w:rPr>
        <w:t xml:space="preserve"> </w:t>
      </w:r>
      <w:r>
        <w:t>se</w:t>
      </w:r>
      <w:r>
        <w:rPr>
          <w:spacing w:val="4"/>
        </w:rPr>
        <w:t xml:space="preserve"> </w:t>
      </w:r>
      <w:r>
        <w:t>hará</w:t>
      </w:r>
      <w:r>
        <w:rPr>
          <w:spacing w:val="4"/>
        </w:rPr>
        <w:t xml:space="preserve"> </w:t>
      </w:r>
      <w:r>
        <w:t>con</w:t>
      </w:r>
      <w:r>
        <w:rPr>
          <w:spacing w:val="4"/>
        </w:rPr>
        <w:t xml:space="preserve"> </w:t>
      </w:r>
      <w:r>
        <w:t>índices</w:t>
      </w:r>
      <w:r>
        <w:rPr>
          <w:spacing w:val="4"/>
        </w:rPr>
        <w:t xml:space="preserve"> </w:t>
      </w:r>
      <w:r>
        <w:rPr>
          <w:spacing w:val="-2"/>
        </w:rPr>
        <w:t>generales,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sino en función de índices específicos, que operarán a través de fórmulas que reflejen los componentes de coste de la prestación contratada.</w:t>
      </w:r>
    </w:p>
    <w:p w:rsidR="0092635B" w:rsidRDefault="00000000">
      <w:pPr>
        <w:pStyle w:val="Textoindependiente"/>
        <w:spacing w:before="1" w:line="249" w:lineRule="auto"/>
        <w:ind w:right="1104"/>
      </w:pPr>
      <w:r>
        <w:t>En el Libro II, dentro de la parte correspondiente a la preparación de los contratos, se incorpora la regulación de las consultas preliminares del mercado, con la finalidad de preparar correctamente la licitación e informar a los operadores económicos acerca de los planes de contratación del órgano correspondiente y de los requisitos que exigirá para concurrir al procedimiento.</w:t>
      </w:r>
    </w:p>
    <w:p w:rsidR="0092635B" w:rsidRDefault="00000000">
      <w:pPr>
        <w:pStyle w:val="Textoindependiente"/>
        <w:spacing w:before="4" w:line="249" w:lineRule="auto"/>
        <w:ind w:right="1102"/>
      </w:pPr>
      <w:r>
        <w:t>Se extiende la regulación de nuevos medios de acreditación que confirmen que las</w:t>
      </w:r>
      <w:r>
        <w:rPr>
          <w:spacing w:val="40"/>
        </w:rPr>
        <w:t xml:space="preserve"> </w:t>
      </w:r>
      <w:r>
        <w:t>obras, productos, servicios, procesos o procedimientos de que se trata cumplen determinados requisitos, para ello se incorporan aquí las nuevas etiquetas, informes de pruebas, certificaciones y otros medios. Por otra parte, se incorpora el régimen comunitario de publicidad de los contratos establecidos en las nuevas Directivas, el cual, dentro del margen permitido por estas, se ha intentado simplificar lo más posible para facilitar la labor de los órganos de contratación a la hora de publicar los distintos anuncios relativos a los contratos que celebren.</w:t>
      </w:r>
    </w:p>
    <w:p w:rsidR="0092635B" w:rsidRDefault="00000000">
      <w:pPr>
        <w:pStyle w:val="Textoindependiente"/>
        <w:spacing w:before="7" w:line="249" w:lineRule="auto"/>
        <w:ind w:right="1103"/>
      </w:pPr>
      <w:r>
        <w:t>En la regulación de la adjudicación de los contratos de las Administraciones Públicas destaca especialmente la regulación de la declaración responsable, cuyo contenido recoge</w:t>
      </w:r>
      <w:r>
        <w:rPr>
          <w:spacing w:val="80"/>
        </w:rPr>
        <w:t xml:space="preserve"> </w:t>
      </w:r>
      <w:r>
        <w:t>lo establecido en la nueva Directiva de Contratación y guarda coherencia con el formulario del Documento europeo único de contratación establecido en el Reglamento de Ejecución (UE) 2016/7 de la Comisión, de 5 de enero de 2016; así como la definición y cálculo del</w:t>
      </w:r>
      <w:r>
        <w:rPr>
          <w:spacing w:val="40"/>
        </w:rPr>
        <w:t xml:space="preserve"> </w:t>
      </w:r>
      <w:r>
        <w:t>coste del ciclo de vida y de las ofertas anormalmente bajas.</w:t>
      </w:r>
    </w:p>
    <w:p w:rsidR="0092635B" w:rsidRDefault="00000000">
      <w:pPr>
        <w:pStyle w:val="Textoindependiente"/>
        <w:spacing w:before="5" w:line="249" w:lineRule="auto"/>
        <w:ind w:right="1102"/>
      </w:pPr>
      <w:r>
        <w:t>En la parte correspondiente a los procedimientos de adjudicación, además de los procedimientos existentes hasta la actualidad, como el abierto, el negociado, el dialogo competitivo</w:t>
      </w:r>
      <w:r>
        <w:rPr>
          <w:spacing w:val="-2"/>
        </w:rPr>
        <w:t xml:space="preserve"> </w:t>
      </w:r>
      <w:r>
        <w:t>y</w:t>
      </w:r>
      <w:r>
        <w:rPr>
          <w:spacing w:val="-2"/>
        </w:rPr>
        <w:t xml:space="preserve"> </w:t>
      </w:r>
      <w:r>
        <w:t>el</w:t>
      </w:r>
      <w:r>
        <w:rPr>
          <w:spacing w:val="-2"/>
        </w:rPr>
        <w:t xml:space="preserve"> </w:t>
      </w:r>
      <w:r>
        <w:t>restringido,</w:t>
      </w:r>
      <w:r>
        <w:rPr>
          <w:spacing w:val="-2"/>
        </w:rPr>
        <w:t xml:space="preserve"> </w:t>
      </w:r>
      <w:r>
        <w:t>que</w:t>
      </w:r>
      <w:r>
        <w:rPr>
          <w:spacing w:val="-2"/>
        </w:rPr>
        <w:t xml:space="preserve"> </w:t>
      </w:r>
      <w:r>
        <w:t>es</w:t>
      </w:r>
      <w:r>
        <w:rPr>
          <w:spacing w:val="-2"/>
        </w:rPr>
        <w:t xml:space="preserve"> </w:t>
      </w:r>
      <w:r>
        <w:t>un</w:t>
      </w:r>
      <w:r>
        <w:rPr>
          <w:spacing w:val="-2"/>
        </w:rPr>
        <w:t xml:space="preserve"> </w:t>
      </w:r>
      <w:r>
        <w:t>procedimiento,</w:t>
      </w:r>
      <w:r>
        <w:rPr>
          <w:spacing w:val="-2"/>
        </w:rPr>
        <w:t xml:space="preserve"> </w:t>
      </w:r>
      <w:r>
        <w:t>este</w:t>
      </w:r>
      <w:r>
        <w:rPr>
          <w:spacing w:val="-2"/>
        </w:rPr>
        <w:t xml:space="preserve"> </w:t>
      </w:r>
      <w:r>
        <w:t>último,</w:t>
      </w:r>
      <w:r>
        <w:rPr>
          <w:spacing w:val="-2"/>
        </w:rPr>
        <w:t xml:space="preserve"> </w:t>
      </w:r>
      <w:r>
        <w:t>especialmente</w:t>
      </w:r>
      <w:r>
        <w:rPr>
          <w:spacing w:val="-2"/>
        </w:rPr>
        <w:t xml:space="preserve"> </w:t>
      </w:r>
      <w:r>
        <w:t>apto</w:t>
      </w:r>
      <w:r>
        <w:rPr>
          <w:spacing w:val="-2"/>
        </w:rPr>
        <w:t xml:space="preserve"> </w:t>
      </w:r>
      <w:r>
        <w:t>para</w:t>
      </w:r>
      <w:r>
        <w:rPr>
          <w:spacing w:val="-2"/>
        </w:rPr>
        <w:t xml:space="preserve"> </w:t>
      </w:r>
      <w:r>
        <w:t>la adjudicación de los contratos cuyo objeto tenga prestaciones de carácter intelectual, como los servicios de ingeniería y arquitectura, se introduce un nuevo procedimiento denominado asociación para la innovación, al que más adelante se hará referencia.</w:t>
      </w:r>
    </w:p>
    <w:p w:rsidR="0092635B" w:rsidRDefault="00000000">
      <w:pPr>
        <w:pStyle w:val="Textoindependiente"/>
        <w:spacing w:before="5" w:line="249" w:lineRule="auto"/>
        <w:ind w:right="1104"/>
      </w:pPr>
      <w:r>
        <w:t>En el ámbito del procedimiento abierto, se crea la figura del procedimiento abierto simplificado, que resultará de aplicación hasta unos umbrales determinados, y nace con la vocación</w:t>
      </w:r>
      <w:r>
        <w:rPr>
          <w:spacing w:val="-2"/>
        </w:rPr>
        <w:t xml:space="preserve"> </w:t>
      </w:r>
      <w:r>
        <w:t>de</w:t>
      </w:r>
      <w:r>
        <w:rPr>
          <w:spacing w:val="-2"/>
        </w:rPr>
        <w:t xml:space="preserve"> </w:t>
      </w:r>
      <w:r>
        <w:t>convertirse</w:t>
      </w:r>
      <w:r>
        <w:rPr>
          <w:spacing w:val="-2"/>
        </w:rPr>
        <w:t xml:space="preserve"> </w:t>
      </w:r>
      <w:r>
        <w:t>en</w:t>
      </w:r>
      <w:r>
        <w:rPr>
          <w:spacing w:val="-2"/>
        </w:rPr>
        <w:t xml:space="preserve"> </w:t>
      </w:r>
      <w:r>
        <w:t>un</w:t>
      </w:r>
      <w:r>
        <w:rPr>
          <w:spacing w:val="-2"/>
        </w:rPr>
        <w:t xml:space="preserve"> </w:t>
      </w:r>
      <w:r>
        <w:t>procedimiento</w:t>
      </w:r>
      <w:r>
        <w:rPr>
          <w:spacing w:val="-2"/>
        </w:rPr>
        <w:t xml:space="preserve"> </w:t>
      </w:r>
      <w:r>
        <w:t>muy</w:t>
      </w:r>
      <w:r>
        <w:rPr>
          <w:spacing w:val="-2"/>
        </w:rPr>
        <w:t xml:space="preserve"> </w:t>
      </w:r>
      <w:r>
        <w:t>ágil</w:t>
      </w:r>
      <w:r>
        <w:rPr>
          <w:spacing w:val="-2"/>
        </w:rPr>
        <w:t xml:space="preserve"> </w:t>
      </w:r>
      <w:r>
        <w:t>que</w:t>
      </w:r>
      <w:r>
        <w:rPr>
          <w:spacing w:val="-2"/>
        </w:rPr>
        <w:t xml:space="preserve"> </w:t>
      </w:r>
      <w:r>
        <w:t>por</w:t>
      </w:r>
      <w:r>
        <w:rPr>
          <w:spacing w:val="-2"/>
        </w:rPr>
        <w:t xml:space="preserve"> </w:t>
      </w:r>
      <w:r>
        <w:t>su</w:t>
      </w:r>
      <w:r>
        <w:rPr>
          <w:spacing w:val="-2"/>
        </w:rPr>
        <w:t xml:space="preserve"> </w:t>
      </w:r>
      <w:r>
        <w:t>diseño</w:t>
      </w:r>
      <w:r>
        <w:rPr>
          <w:spacing w:val="-2"/>
        </w:rPr>
        <w:t xml:space="preserve"> </w:t>
      </w:r>
      <w:r>
        <w:t>debería</w:t>
      </w:r>
      <w:r>
        <w:rPr>
          <w:spacing w:val="-2"/>
        </w:rPr>
        <w:t xml:space="preserve"> </w:t>
      </w:r>
      <w:r>
        <w:t>permitir</w:t>
      </w:r>
      <w:r>
        <w:rPr>
          <w:spacing w:val="-2"/>
        </w:rPr>
        <w:t xml:space="preserve"> </w:t>
      </w:r>
      <w:r>
        <w:t>que el contrato estuviera adjudicado en el plazo de un mes desde que se convocó la licitación. Sus trámites se simplifican al máximo, por ejemplo, se presentará la documentación en un solo sobre; no se exigirá la constitución de garantía provisional; resultará obligatoria la inscripción en el Registro de Licitadores; y la fiscalización del compromiso del gasto se realizará en un solo momento, antes de la adjudicación.</w:t>
      </w:r>
    </w:p>
    <w:p w:rsidR="0092635B" w:rsidRDefault="00000000">
      <w:pPr>
        <w:pStyle w:val="Textoindependiente"/>
        <w:spacing w:before="6" w:line="249" w:lineRule="auto"/>
        <w:ind w:right="1104"/>
      </w:pPr>
      <w:r>
        <w:t>Respecto del procedimiento negociado, se suprime la posibilidad del uso del procedimiento negociado con y sin publicidad por razón de la cuantía y se suprime la aplicación de este procedimiento respecto a las obras y servicios complementarios; y aparece una nueva regulación de las primas y compensaciones que se pueden entregar a</w:t>
      </w:r>
      <w:r>
        <w:rPr>
          <w:spacing w:val="40"/>
        </w:rPr>
        <w:t xml:space="preserve"> </w:t>
      </w:r>
      <w:r>
        <w:t>los licitadores en el diálogo competitivo.</w:t>
      </w:r>
    </w:p>
    <w:p w:rsidR="0092635B" w:rsidRDefault="00000000">
      <w:pPr>
        <w:pStyle w:val="Textoindependiente"/>
        <w:spacing w:before="4" w:line="249" w:lineRule="auto"/>
        <w:ind w:right="1103"/>
      </w:pPr>
      <w:r>
        <w:t>Respecto de la parte correspondiente a la ejecución de los contratos, hay que hacer una especial referencia a la novedad que supone el régimen de modificación del contrato, en línea con lo establecido en las Directivas comunitarias, que por primera vez regulan esta materia, a la subcontratación y a las medidas de racionalización técnica de la contratación, estructuradas en dos elementos, los acuerdos marco y los sistemas dinámicos de adquisición, destacando aquí el nuevo régimen que se establece en esta Ley respecto de la contratación centralizada. Toda esta materia, la racionalización técnica de la contratación, se regula en un capítulo específico dentro del Título I del Libro Segundo, diferente a las normas referidas a la preparación y a la adjudicación de los contratos, por cuanto aquella tiene sustantividad propia, y aunque muchos de los artículos que la regulan entrarían dentro de esa preparación y adjudicación de los contratos, también hay otros que regulan aspectos referidos a los efectos y extinción.</w:t>
      </w:r>
    </w:p>
    <w:p w:rsidR="0092635B" w:rsidRDefault="00000000">
      <w:pPr>
        <w:pStyle w:val="Textoindependiente"/>
        <w:spacing w:before="10" w:line="249" w:lineRule="auto"/>
        <w:ind w:right="1103"/>
      </w:pPr>
      <w:r>
        <w:t>En el Libro III se recoge la regulación de los contratos de poderes adjudicadores no Administración Pública, en donde la principal novedad es la supresión de las instrucciones</w:t>
      </w:r>
      <w:r>
        <w:rPr>
          <w:spacing w:val="40"/>
        </w:rPr>
        <w:t xml:space="preserve"> </w:t>
      </w:r>
      <w:r>
        <w:t>de contratación, así como del resto de entes del sector público que no tengan el carácter de poderes adjudicadores, estableciéndose claramente la regulación que les resulta aplicable. En efecto, como se ha dicho antes, se suprimen para los contratos no sujetos a regulación armonizada</w:t>
      </w:r>
      <w:r>
        <w:rPr>
          <w:spacing w:val="14"/>
        </w:rPr>
        <w:t xml:space="preserve"> </w:t>
      </w:r>
      <w:r>
        <w:t>las</w:t>
      </w:r>
      <w:r>
        <w:rPr>
          <w:spacing w:val="17"/>
        </w:rPr>
        <w:t xml:space="preserve"> </w:t>
      </w:r>
      <w:r>
        <w:t>instrucciones</w:t>
      </w:r>
      <w:r>
        <w:rPr>
          <w:spacing w:val="16"/>
        </w:rPr>
        <w:t xml:space="preserve"> </w:t>
      </w:r>
      <w:r>
        <w:t>en</w:t>
      </w:r>
      <w:r>
        <w:rPr>
          <w:spacing w:val="17"/>
        </w:rPr>
        <w:t xml:space="preserve"> </w:t>
      </w:r>
      <w:r>
        <w:t>el</w:t>
      </w:r>
      <w:r>
        <w:rPr>
          <w:spacing w:val="16"/>
        </w:rPr>
        <w:t xml:space="preserve"> </w:t>
      </w:r>
      <w:r>
        <w:t>caso</w:t>
      </w:r>
      <w:r>
        <w:rPr>
          <w:spacing w:val="17"/>
        </w:rPr>
        <w:t xml:space="preserve"> </w:t>
      </w:r>
      <w:r>
        <w:t>de</w:t>
      </w:r>
      <w:r>
        <w:rPr>
          <w:spacing w:val="16"/>
        </w:rPr>
        <w:t xml:space="preserve"> </w:t>
      </w:r>
      <w:r>
        <w:t>los</w:t>
      </w:r>
      <w:r>
        <w:rPr>
          <w:spacing w:val="17"/>
        </w:rPr>
        <w:t xml:space="preserve"> </w:t>
      </w:r>
      <w:r>
        <w:t>poderes</w:t>
      </w:r>
      <w:r>
        <w:rPr>
          <w:spacing w:val="16"/>
        </w:rPr>
        <w:t xml:space="preserve"> </w:t>
      </w:r>
      <w:r>
        <w:t>adjudicadores</w:t>
      </w:r>
      <w:r>
        <w:rPr>
          <w:spacing w:val="17"/>
        </w:rPr>
        <w:t xml:space="preserve"> </w:t>
      </w:r>
      <w:r>
        <w:t>no</w:t>
      </w:r>
      <w:r>
        <w:rPr>
          <w:spacing w:val="17"/>
        </w:rPr>
        <w:t xml:space="preserve"> </w:t>
      </w:r>
      <w:r>
        <w:rPr>
          <w:spacing w:val="-2"/>
        </w:rPr>
        <w:t>Administraciones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Públicas, debiendo adjudicar estos contratos por los mismos procedimientos establecidos para dichas Administraciones Públicas, si bien se les permite utilizar de forma indistinta cualesquiera</w:t>
      </w:r>
      <w:r>
        <w:rPr>
          <w:spacing w:val="-2"/>
        </w:rPr>
        <w:t xml:space="preserve"> </w:t>
      </w:r>
      <w:r>
        <w:t>de</w:t>
      </w:r>
      <w:r>
        <w:rPr>
          <w:spacing w:val="-2"/>
        </w:rPr>
        <w:t xml:space="preserve"> </w:t>
      </w:r>
      <w:r>
        <w:t>ellos,</w:t>
      </w:r>
      <w:r>
        <w:rPr>
          <w:spacing w:val="-2"/>
        </w:rPr>
        <w:t xml:space="preserve"> </w:t>
      </w:r>
      <w:r>
        <w:t>a</w:t>
      </w:r>
      <w:r>
        <w:rPr>
          <w:spacing w:val="-2"/>
        </w:rPr>
        <w:t xml:space="preserve"> </w:t>
      </w:r>
      <w:r>
        <w:t>excepción</w:t>
      </w:r>
      <w:r>
        <w:rPr>
          <w:spacing w:val="-2"/>
        </w:rPr>
        <w:t xml:space="preserve"> </w:t>
      </w:r>
      <w:r>
        <w:t>del</w:t>
      </w:r>
      <w:r>
        <w:rPr>
          <w:spacing w:val="-2"/>
        </w:rPr>
        <w:t xml:space="preserve"> </w:t>
      </w:r>
      <w:r>
        <w:t>negociado</w:t>
      </w:r>
      <w:r>
        <w:rPr>
          <w:spacing w:val="-2"/>
        </w:rPr>
        <w:t xml:space="preserve"> </w:t>
      </w:r>
      <w:r>
        <w:t>sin</w:t>
      </w:r>
      <w:r>
        <w:rPr>
          <w:spacing w:val="-2"/>
        </w:rPr>
        <w:t xml:space="preserve"> </w:t>
      </w:r>
      <w:r>
        <w:t>publicidad,</w:t>
      </w:r>
      <w:r>
        <w:rPr>
          <w:spacing w:val="-2"/>
        </w:rPr>
        <w:t xml:space="preserve"> </w:t>
      </w:r>
      <w:r>
        <w:t>que</w:t>
      </w:r>
      <w:r>
        <w:rPr>
          <w:spacing w:val="-2"/>
        </w:rPr>
        <w:t xml:space="preserve"> </w:t>
      </w:r>
      <w:r>
        <w:t>solo</w:t>
      </w:r>
      <w:r>
        <w:rPr>
          <w:spacing w:val="-2"/>
        </w:rPr>
        <w:t xml:space="preserve"> </w:t>
      </w:r>
      <w:r>
        <w:t>se</w:t>
      </w:r>
      <w:r>
        <w:rPr>
          <w:spacing w:val="-2"/>
        </w:rPr>
        <w:t xml:space="preserve"> </w:t>
      </w:r>
      <w:r>
        <w:t>podrá</w:t>
      </w:r>
      <w:r>
        <w:rPr>
          <w:spacing w:val="-2"/>
        </w:rPr>
        <w:t xml:space="preserve"> </w:t>
      </w:r>
      <w:r>
        <w:t>hacer</w:t>
      </w:r>
      <w:r>
        <w:rPr>
          <w:spacing w:val="-2"/>
        </w:rPr>
        <w:t xml:space="preserve"> </w:t>
      </w:r>
      <w:r>
        <w:t>uso de él, en los mismos supuestos que las citadas Administraciones. Por otra parte, cabe destacar la introducción de la necesaria autorización, previo dictamen del Consejo de</w:t>
      </w:r>
      <w:r>
        <w:rPr>
          <w:spacing w:val="40"/>
        </w:rPr>
        <w:t xml:space="preserve"> </w:t>
      </w:r>
      <w:r>
        <w:t>Estado,</w:t>
      </w:r>
      <w:r>
        <w:rPr>
          <w:spacing w:val="-1"/>
        </w:rPr>
        <w:t xml:space="preserve"> </w:t>
      </w:r>
      <w:r>
        <w:t>de</w:t>
      </w:r>
      <w:r>
        <w:rPr>
          <w:spacing w:val="-1"/>
        </w:rPr>
        <w:t xml:space="preserve"> </w:t>
      </w:r>
      <w:r>
        <w:t>la</w:t>
      </w:r>
      <w:r>
        <w:rPr>
          <w:spacing w:val="-1"/>
        </w:rPr>
        <w:t xml:space="preserve"> </w:t>
      </w:r>
      <w:r>
        <w:t>Administración</w:t>
      </w:r>
      <w:r>
        <w:rPr>
          <w:spacing w:val="-1"/>
        </w:rPr>
        <w:t xml:space="preserve"> </w:t>
      </w:r>
      <w:r>
        <w:t>de</w:t>
      </w:r>
      <w:r>
        <w:rPr>
          <w:spacing w:val="-1"/>
        </w:rPr>
        <w:t xml:space="preserve"> </w:t>
      </w:r>
      <w:r>
        <w:t>tutela</w:t>
      </w:r>
      <w:r>
        <w:rPr>
          <w:spacing w:val="-1"/>
        </w:rPr>
        <w:t xml:space="preserve"> </w:t>
      </w:r>
      <w:r>
        <w:t>o</w:t>
      </w:r>
      <w:r>
        <w:rPr>
          <w:spacing w:val="-1"/>
        </w:rPr>
        <w:t xml:space="preserve"> </w:t>
      </w:r>
      <w:r>
        <w:t>adscripción</w:t>
      </w:r>
      <w:r>
        <w:rPr>
          <w:spacing w:val="-1"/>
        </w:rPr>
        <w:t xml:space="preserve"> </w:t>
      </w:r>
      <w:r>
        <w:t>para</w:t>
      </w:r>
      <w:r>
        <w:rPr>
          <w:spacing w:val="-1"/>
        </w:rPr>
        <w:t xml:space="preserve"> </w:t>
      </w:r>
      <w:r>
        <w:t>modificaciones</w:t>
      </w:r>
      <w:r>
        <w:rPr>
          <w:spacing w:val="-1"/>
        </w:rPr>
        <w:t xml:space="preserve"> </w:t>
      </w:r>
      <w:r>
        <w:t>superiores</w:t>
      </w:r>
      <w:r>
        <w:rPr>
          <w:spacing w:val="-1"/>
        </w:rPr>
        <w:t xml:space="preserve"> </w:t>
      </w:r>
      <w:r>
        <w:t>al</w:t>
      </w:r>
      <w:r>
        <w:rPr>
          <w:spacing w:val="-1"/>
        </w:rPr>
        <w:t xml:space="preserve"> </w:t>
      </w:r>
      <w:r>
        <w:t>20</w:t>
      </w:r>
      <w:r>
        <w:rPr>
          <w:spacing w:val="-1"/>
        </w:rPr>
        <w:t xml:space="preserve"> </w:t>
      </w:r>
      <w:r>
        <w:t>por ciento del precio inicial del contrato, IVA excluido, en el caso de contratos de importe</w:t>
      </w:r>
      <w:r>
        <w:rPr>
          <w:spacing w:val="40"/>
        </w:rPr>
        <w:t xml:space="preserve"> </w:t>
      </w:r>
      <w:r>
        <w:t>superior a seis millones de euros.</w:t>
      </w:r>
    </w:p>
    <w:p w:rsidR="0092635B" w:rsidRDefault="00000000">
      <w:pPr>
        <w:pStyle w:val="Textoindependiente"/>
        <w:spacing w:before="6" w:line="249" w:lineRule="auto"/>
        <w:ind w:right="1104"/>
      </w:pPr>
      <w:r>
        <w:t>En el Libro IV se establece un ambicioso esquema de tres órganos colegiados a nivel estatal con el doble objetivo de dar cumplimiento a las obligaciones de gobernanza que establecen las Directivas Comunitarias y de combatir las irregularidades en la aplicación de</w:t>
      </w:r>
      <w:r>
        <w:rPr>
          <w:spacing w:val="40"/>
        </w:rPr>
        <w:t xml:space="preserve"> </w:t>
      </w:r>
      <w:r>
        <w:t>la legislación sobre contratación pública.</w:t>
      </w:r>
    </w:p>
    <w:p w:rsidR="0092635B" w:rsidRDefault="00000000">
      <w:pPr>
        <w:pStyle w:val="Textoindependiente"/>
        <w:spacing w:before="3" w:line="249" w:lineRule="auto"/>
        <w:ind w:right="1104"/>
      </w:pPr>
      <w:r>
        <w:t>En primer lugar, la Junta Consultiva de Contratación Pública del Estado, que es designada como el punto de referencia para la cooperación con la Comisión Europea y, en consecuencia, se le atribuye la obligación de remisión de los informes que establecen las Directivas Comunitarias, y que continúa siendo el órgano específico de regulación y consulta en materia de contratación pública del sector público estatal.</w:t>
      </w:r>
    </w:p>
    <w:p w:rsidR="0092635B" w:rsidRDefault="00000000">
      <w:pPr>
        <w:pStyle w:val="Textoindependiente"/>
        <w:spacing w:before="5" w:line="249" w:lineRule="auto"/>
        <w:ind w:right="1103"/>
      </w:pPr>
      <w:r>
        <w:t>Por otra parte, se crea en el seno de la Junta Consultiva el denominado Comité de Cooperación en materia de contratación pública, principalmente, para articular un espacio de coordinación y cooperación en áreas de acción común con las Comunidades Autónomas y con las Entidades Locales, así como para elaborar la propuesta de Estrategia Nacional de Contratación Pública, sin que ello impida la aprobación de estrategias, coherentes con la primera, por parte de las Comunidades Autónomas para sus respectivos ámbitos</w:t>
      </w:r>
      <w:r>
        <w:rPr>
          <w:spacing w:val="80"/>
        </w:rPr>
        <w:t xml:space="preserve"> </w:t>
      </w:r>
      <w:r>
        <w:rPr>
          <w:spacing w:val="-2"/>
        </w:rPr>
        <w:t>territoriales.</w:t>
      </w:r>
    </w:p>
    <w:p w:rsidR="0092635B" w:rsidRDefault="00000000">
      <w:pPr>
        <w:pStyle w:val="Textoindependiente"/>
        <w:spacing w:before="5" w:line="249" w:lineRule="auto"/>
        <w:ind w:right="1103"/>
      </w:pPr>
      <w:r>
        <w:t>En tercer lugar, se crea la Oficina de Supervisión de la Contratación, también a nivel estatal, con plena independencia orgánica y funcional, integrada por un Presidente y cuatro vocales que gozan de la condición de independientes e inamovibles, que debe rendir</w:t>
      </w:r>
      <w:r>
        <w:rPr>
          <w:spacing w:val="40"/>
        </w:rPr>
        <w:t xml:space="preserve"> </w:t>
      </w:r>
      <w:r>
        <w:t>cuentas anualmente a las Cortes Generales y al Tribunal de Cuentas sobre sus actuaciones. La misma deberá coordinar la supervisión en materia de contratación púbica de los poderes adjudicadores del conjunto del sector público con la finalidad de velar por la correcta aplicación de la legislación en esta materia, dado que las Comunidades Autónomas pueden crear sus propias Oficinas de Supervisión. La Oficina está facultada para dar traslado a la Fiscalía u órganos judiciales o administrativos competentes de hechos de los que tenga conocimiento y que sean constitutivos de delito o infracción. Adicionalmente, es el órgano competente para la aprobación de la ya mencionada Estrategia Nacional, en cuya ejecución se verán involucrados los tres órganos que se han relacionado, así como sus equivalentes a nivel autonómico.</w:t>
      </w:r>
    </w:p>
    <w:p w:rsidR="0092635B" w:rsidRDefault="00000000">
      <w:pPr>
        <w:pStyle w:val="Textoindependiente"/>
        <w:spacing w:before="11" w:line="249" w:lineRule="auto"/>
        <w:ind w:right="1105"/>
      </w:pPr>
      <w:r>
        <w:t>Adicionalmente en el Libro IV se hace una nueva regulación de la Mesa de contratación</w:t>
      </w:r>
      <w:r>
        <w:rPr>
          <w:spacing w:val="80"/>
        </w:rPr>
        <w:t xml:space="preserve"> </w:t>
      </w:r>
      <w:r>
        <w:t>y de la obligación de remisión de información de fiscalización al Tribunal de Cuentas u órgano correspondiente de la Comunidad Autónoma.</w:t>
      </w:r>
    </w:p>
    <w:p w:rsidR="0092635B" w:rsidRDefault="00000000">
      <w:pPr>
        <w:pStyle w:val="Textoindependiente"/>
        <w:spacing w:line="249" w:lineRule="auto"/>
        <w:ind w:right="1104"/>
      </w:pPr>
      <w:r>
        <w:t>Por último en este apartado, se incluye en el Anexo III del texto la información que debe figurar en los distintos anuncios, la cual ha sido normalizada por la Comisión Europea en el Reglamento de Ejecución 2015/1986, de la Comisión, de 11 de noviembre de 2015, por el que se establecen formularios normalizados para la publicación de anuncios en el ámbito de la contratación pública y se deroga el Reglamento de Ejecución (UE) 842/2011.</w:t>
      </w:r>
    </w:p>
    <w:p w:rsidR="0092635B" w:rsidRDefault="0092635B">
      <w:pPr>
        <w:pStyle w:val="Textoindependiente"/>
        <w:spacing w:before="58"/>
        <w:ind w:left="0" w:firstLine="0"/>
        <w:jc w:val="left"/>
      </w:pPr>
    </w:p>
    <w:p w:rsidR="0092635B" w:rsidRDefault="00000000">
      <w:pPr>
        <w:pStyle w:val="Textoindependiente"/>
        <w:spacing w:before="0"/>
        <w:ind w:left="0" w:firstLine="0"/>
        <w:jc w:val="center"/>
      </w:pPr>
      <w:r>
        <w:rPr>
          <w:spacing w:val="-10"/>
        </w:rPr>
        <w:t>V</w:t>
      </w:r>
    </w:p>
    <w:p w:rsidR="0092635B" w:rsidRDefault="00000000">
      <w:pPr>
        <w:pStyle w:val="Textoindependiente"/>
        <w:spacing w:before="130" w:line="249" w:lineRule="auto"/>
        <w:ind w:right="1103"/>
      </w:pPr>
      <w:r>
        <w:t>Por lo que respecta al contenido, tomando como referencia las Directivas europeas y los principios que han guiado la elaboración de esta Ley, las principales novedades que</w:t>
      </w:r>
      <w:r>
        <w:rPr>
          <w:spacing w:val="40"/>
        </w:rPr>
        <w:t xml:space="preserve"> </w:t>
      </w:r>
      <w:r>
        <w:t>presenta afectan, en primer lugar, a su ámbito de aplicación, dentro del cual se ha extendido el ámbito subjetivo, con la idea de aplicar estas normas a entidades no sujetas.</w:t>
      </w:r>
    </w:p>
    <w:p w:rsidR="0092635B" w:rsidRDefault="00000000">
      <w:pPr>
        <w:pStyle w:val="Textoindependiente"/>
        <w:spacing w:before="3" w:line="249" w:lineRule="auto"/>
        <w:ind w:right="1102"/>
      </w:pPr>
      <w:r>
        <w:t>Así, se han incluido los partidos políticos, las organizaciones sindicales y las empresariales, así como las fundaciones y asociaciones vinculadas a cualquiera de ellos siempre que se cumplan determinadas circunstancias como que su financiación sea mayoritariamente pública y respecto de los contratos sometidos a regulación armonizada.</w:t>
      </w:r>
      <w:r>
        <w:rPr>
          <w:spacing w:val="40"/>
        </w:rPr>
        <w:t xml:space="preserve"> </w:t>
      </w:r>
      <w:r>
        <w:t>Por otra parte, se ha adaptado la tipología de las entidades incluidas dentro del ámbito subjetivo</w:t>
      </w:r>
      <w:r>
        <w:rPr>
          <w:spacing w:val="71"/>
        </w:rPr>
        <w:t xml:space="preserve"> </w:t>
      </w:r>
      <w:r>
        <w:t>a</w:t>
      </w:r>
      <w:r>
        <w:rPr>
          <w:spacing w:val="71"/>
        </w:rPr>
        <w:t xml:space="preserve"> </w:t>
      </w:r>
      <w:r>
        <w:t>la</w:t>
      </w:r>
      <w:r>
        <w:rPr>
          <w:spacing w:val="71"/>
        </w:rPr>
        <w:t xml:space="preserve"> </w:t>
      </w:r>
      <w:r>
        <w:t>establecida</w:t>
      </w:r>
      <w:r>
        <w:rPr>
          <w:spacing w:val="71"/>
        </w:rPr>
        <w:t xml:space="preserve"> </w:t>
      </w:r>
      <w:r>
        <w:t>en</w:t>
      </w:r>
      <w:r>
        <w:rPr>
          <w:spacing w:val="71"/>
        </w:rPr>
        <w:t xml:space="preserve"> </w:t>
      </w:r>
      <w:r>
        <w:t>la</w:t>
      </w:r>
      <w:r>
        <w:rPr>
          <w:spacing w:val="71"/>
        </w:rPr>
        <w:t xml:space="preserve"> </w:t>
      </w:r>
      <w:r>
        <w:t>nueva</w:t>
      </w:r>
      <w:r>
        <w:rPr>
          <w:spacing w:val="71"/>
        </w:rPr>
        <w:t xml:space="preserve"> </w:t>
      </w:r>
      <w:r>
        <w:t>Ley</w:t>
      </w:r>
      <w:r>
        <w:rPr>
          <w:spacing w:val="71"/>
        </w:rPr>
        <w:t xml:space="preserve"> </w:t>
      </w:r>
      <w:r>
        <w:t>de</w:t>
      </w:r>
      <w:r>
        <w:rPr>
          <w:spacing w:val="71"/>
        </w:rPr>
        <w:t xml:space="preserve"> </w:t>
      </w:r>
      <w:r>
        <w:t>Régimen</w:t>
      </w:r>
      <w:r>
        <w:rPr>
          <w:spacing w:val="71"/>
        </w:rPr>
        <w:t xml:space="preserve"> </w:t>
      </w:r>
      <w:r>
        <w:t>Jurídico</w:t>
      </w:r>
      <w:r>
        <w:rPr>
          <w:spacing w:val="71"/>
        </w:rPr>
        <w:t xml:space="preserve"> </w:t>
      </w:r>
      <w:r>
        <w:t>del</w:t>
      </w:r>
      <w:r>
        <w:rPr>
          <w:spacing w:val="71"/>
        </w:rPr>
        <w:t xml:space="preserve"> </w:t>
      </w:r>
      <w:r>
        <w:t>Sector</w:t>
      </w:r>
      <w:r>
        <w:rPr>
          <w:spacing w:val="71"/>
        </w:rPr>
        <w:t xml:space="preserve"> </w:t>
      </w:r>
      <w:r>
        <w:t>Público,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Ley 40/2015, de 1 de octubre. En el ámbito objetivo de aplicación, se han estructurado de forma más definida los supuestos de contratos y negocios jurídicos no incluidos en la legislación contractual, aclarándose algunos supuestos, como los contratos patrimoniales y añadiéndose algún caso nuevo, como los contratos que tengan por objeto la realización de campañas políticas, que no seguirán las normas de esta Ley.</w:t>
      </w:r>
    </w:p>
    <w:p w:rsidR="0092635B" w:rsidRDefault="00000000">
      <w:pPr>
        <w:pStyle w:val="Textoindependiente"/>
        <w:spacing w:before="4" w:line="249" w:lineRule="auto"/>
        <w:ind w:right="1103"/>
      </w:pPr>
      <w:r>
        <w:t>Se incluyen en los contratos públicos consideraciones de tipo social, medioambiental y</w:t>
      </w:r>
      <w:r>
        <w:rPr>
          <w:spacing w:val="40"/>
        </w:rPr>
        <w:t xml:space="preserve"> </w:t>
      </w:r>
      <w:r>
        <w:t>de innovación y desarrollo. Estas consideraciones podrán incluirse tanto al diseñarse los criterios de adjudicación, como criterios cualitativos para evaluar la mejor relación calidad- precio, o como condiciones especiales de ejecución, si bien su introducción está supeditada a que se relacionen con el objeto del contrato a celebrar. En particular, en el caso de las condiciones especiales de ejecución, la Ley impone la obligación al órgano de contratación de establecer en el pliego al menos una de las condiciones especiales de ejecución de tipo medioambiental, social o relativas al empleo que se listan en el artículo 202.</w:t>
      </w:r>
    </w:p>
    <w:p w:rsidR="0092635B" w:rsidRDefault="00000000">
      <w:pPr>
        <w:pStyle w:val="Textoindependiente"/>
        <w:spacing w:before="6" w:line="249" w:lineRule="auto"/>
        <w:ind w:right="1103"/>
      </w:pPr>
      <w:r>
        <w:t>En el ámbito medioambiental, se exigen certificados de gestión medioambiental a las empresas licitadoras, como condición de solvencia técnica, esto es, para acreditar la experiencia o el «buen hacer» de esa empresa en el ámbito de la protección del medio ambiente. Respecto de los temas sociales, se siguen regulando los contratos reservados a centros especiales de empleo o la posibilidad de reservar su ejecución en el marco de programas de empleo protegido, extendiéndose dicha reserva a las empresas de inserción y exigiéndoles a todas las entidades citadas que tengan en plantilla el porcentaje de trabajadores discapacitados que se establezca en su respectiva regulación. En el ámbito de la discapacidad, se recoge como causa de prohibición de contratar con las entidades del sector público el no cumplir el requisito de que al menos el 2 por ciento de los empleados de las empresas de 50 o más trabajadores sean trabajadores con discapacidad, cuestión ya adelantada mediante la modificación del hasta ahora vigente texto refundido de la Ley de Contratos del Sector Público por la Ley 40/2015, de 1 de octubre, del Régimen Jurídico del Sector Público.</w:t>
      </w:r>
    </w:p>
    <w:p w:rsidR="0092635B" w:rsidRDefault="00000000">
      <w:pPr>
        <w:pStyle w:val="Textoindependiente"/>
        <w:spacing w:before="12" w:line="249" w:lineRule="auto"/>
        <w:ind w:right="1103"/>
      </w:pPr>
      <w:r>
        <w:t>Además, con el ánimo de favorecer el respeto hacia los derechos humanos, y en</w:t>
      </w:r>
      <w:r>
        <w:rPr>
          <w:spacing w:val="40"/>
        </w:rPr>
        <w:t xml:space="preserve"> </w:t>
      </w:r>
      <w:r>
        <w:t>especial hacia los derechos laborales básicos de las personas trabajadoras y de los pequeños productores de países en vías de desarrollo, se introduce la posibilidad de que tanto los criterios de adjudicación como las condiciones especiales de ejecución incorporen aspectos sociales del proceso de producción y comercialización referidos a las obras, suministros o servicios que hayan de facilitarse con arreglo al contrato de que se trate, y en especial podrá exigirse que dicho proceso cumpla los principios de comercio justo que establece la Resolución del Parlamento Europeo sobre comercio justo y desarrollo (2005/2245(INI)) en su apartado 2.</w:t>
      </w:r>
    </w:p>
    <w:p w:rsidR="0092635B" w:rsidRDefault="00000000">
      <w:pPr>
        <w:pStyle w:val="Textoindependiente"/>
        <w:spacing w:before="7" w:line="249" w:lineRule="auto"/>
        <w:ind w:right="1103"/>
      </w:pPr>
      <w:r>
        <w:t>En el ámbito de la innovación y desarrollo, con la idea de favorecer a las empresas más innovadoras, destaca especialmente la introducción del nuevo procedimiento de asociación para la innovación, el cual se ha previsto expresamente para aquellos casos en que resulte necesario realizar actividades de investigación y desarrollo respecto de obras, servicios y productos innovadores, para su posterior adquisición por la Administración. Se trata, por tanto, de supuestos en que las soluciones disponibles en el mercado no satisfagan las necesidades del órgano de contratación.</w:t>
      </w:r>
    </w:p>
    <w:p w:rsidR="0092635B" w:rsidRDefault="00000000">
      <w:pPr>
        <w:pStyle w:val="Textoindependiente"/>
        <w:spacing w:before="6" w:line="249" w:lineRule="auto"/>
        <w:ind w:right="1102"/>
      </w:pPr>
      <w:r>
        <w:t>En relación con este nuevo procedimiento, la nueva Directiva perfila un proceso en el</w:t>
      </w:r>
      <w:r>
        <w:rPr>
          <w:spacing w:val="40"/>
        </w:rPr>
        <w:t xml:space="preserve"> </w:t>
      </w:r>
      <w:r>
        <w:t>que tras una convocatoria de licitación, cualquier empresario puede formular una solicitud de participación,</w:t>
      </w:r>
      <w:r>
        <w:rPr>
          <w:spacing w:val="-2"/>
        </w:rPr>
        <w:t xml:space="preserve"> </w:t>
      </w:r>
      <w:r>
        <w:t>tras</w:t>
      </w:r>
      <w:r>
        <w:rPr>
          <w:spacing w:val="-2"/>
        </w:rPr>
        <w:t xml:space="preserve"> </w:t>
      </w:r>
      <w:r>
        <w:t>lo</w:t>
      </w:r>
      <w:r>
        <w:rPr>
          <w:spacing w:val="-2"/>
        </w:rPr>
        <w:t xml:space="preserve"> </w:t>
      </w:r>
      <w:r>
        <w:t>cual,</w:t>
      </w:r>
      <w:r>
        <w:rPr>
          <w:spacing w:val="-2"/>
        </w:rPr>
        <w:t xml:space="preserve"> </w:t>
      </w:r>
      <w:r>
        <w:t>los</w:t>
      </w:r>
      <w:r>
        <w:rPr>
          <w:spacing w:val="-2"/>
        </w:rPr>
        <w:t xml:space="preserve"> </w:t>
      </w:r>
      <w:r>
        <w:t>candidatos</w:t>
      </w:r>
      <w:r>
        <w:rPr>
          <w:spacing w:val="-2"/>
        </w:rPr>
        <w:t xml:space="preserve"> </w:t>
      </w:r>
      <w:r>
        <w:t>que</w:t>
      </w:r>
      <w:r>
        <w:rPr>
          <w:spacing w:val="-2"/>
        </w:rPr>
        <w:t xml:space="preserve"> </w:t>
      </w:r>
      <w:r>
        <w:t>resulten</w:t>
      </w:r>
      <w:r>
        <w:rPr>
          <w:spacing w:val="-2"/>
        </w:rPr>
        <w:t xml:space="preserve"> </w:t>
      </w:r>
      <w:r>
        <w:t>seleccionados</w:t>
      </w:r>
      <w:r>
        <w:rPr>
          <w:spacing w:val="-2"/>
        </w:rPr>
        <w:t xml:space="preserve"> </w:t>
      </w:r>
      <w:r>
        <w:t>podrán</w:t>
      </w:r>
      <w:r>
        <w:rPr>
          <w:spacing w:val="-2"/>
        </w:rPr>
        <w:t xml:space="preserve"> </w:t>
      </w:r>
      <w:r>
        <w:t>formular</w:t>
      </w:r>
      <w:r>
        <w:rPr>
          <w:spacing w:val="-2"/>
        </w:rPr>
        <w:t xml:space="preserve"> </w:t>
      </w:r>
      <w:r>
        <w:t>ofertas, convirtiéndose así en licitadores, en el marco de un proceso de negociación. Este podrá desarrollarse en fases sucesivas, y culminará con la creación de la asociación para la innovación. Esta asociación para la innovación se estructurará a su vez en fases sucesivas, pero ya no tendrá lugar entre el órgano de contratación y los licitadores, sino entre aquel y uno o más socios; y generalmente culminará con la adquisición de los suministros, servicios</w:t>
      </w:r>
      <w:r>
        <w:rPr>
          <w:spacing w:val="40"/>
        </w:rPr>
        <w:t xml:space="preserve"> </w:t>
      </w:r>
      <w:r>
        <w:t>u obras resultantes.</w:t>
      </w:r>
    </w:p>
    <w:p w:rsidR="0092635B" w:rsidRDefault="00000000">
      <w:pPr>
        <w:pStyle w:val="Textoindependiente"/>
        <w:spacing w:before="7" w:line="249" w:lineRule="auto"/>
        <w:ind w:right="1102"/>
      </w:pPr>
      <w:r>
        <w:t xml:space="preserve">Se trata, por tanto, de un procedimiento en el que podrían distinguirse, esquemáticamente, cuatro momentos diferenciados: selección de candidatos, negociación con los licitadores, la asociación con los socios, y la adquisición del producto resultante. A este esquema responden los artículos de la Ley dedicados a la regulación de este nuevo </w:t>
      </w:r>
      <w:r>
        <w:rPr>
          <w:spacing w:val="-2"/>
        </w:rPr>
        <w:t>procedimiento.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Con independencia de las normas llamadas a facilitar la lucha contra el fraude y la corrupción, se incluyen nuevas normas tendentes al fomento de la transparencia en los contratos. Así, debe mencionarse, entre otras cuestiones, la introducción de una novedad significativa: la supresión del supuesto de aplicación del procedimiento negociado sin publicidad por razón de cuantía.</w:t>
      </w:r>
    </w:p>
    <w:p w:rsidR="0092635B" w:rsidRDefault="00000000">
      <w:pPr>
        <w:pStyle w:val="Textoindependiente"/>
        <w:spacing w:before="4" w:line="249" w:lineRule="auto"/>
        <w:ind w:right="1103"/>
      </w:pPr>
      <w:r>
        <w:t>Dicho procedimiento, muy utilizado en la práctica, resultaba muy ágil pero adolecía de un déficit de transparencia, al carecer de publicidad, corriendo el riesgo de generar desigualdades entre licitadores. Para paliar estas deficiencias, se crea en la Ley un nuevo procedimiento de adjudicación, el denominado Procedimiento Abierto Simplificado, ya citado anteriormente al aludirse a los procedimientos de adjudicación, en el que el proceso de contratación está concebido para que su duración sea muy breve y la tramitación muy sencilla, pero sin descuidar, sin embargo, la necesaria publicidad y transparencia en el procedimiento de licitación del contrato. En este procedimiento se habilita además una tramitación especialmente sumaria para contratos de escasa cuantía que ha de suponer la consolidación de la publicidad y la eficiencia en cualquier contrato público, reduciendo la contratación directa a situaciones extraordinarias.</w:t>
      </w:r>
    </w:p>
    <w:p w:rsidR="0092635B" w:rsidRDefault="00000000">
      <w:pPr>
        <w:pStyle w:val="Textoindependiente"/>
        <w:spacing w:before="9" w:line="249" w:lineRule="auto"/>
        <w:ind w:right="1102"/>
      </w:pPr>
      <w:r>
        <w:t>A</w:t>
      </w:r>
      <w:r>
        <w:rPr>
          <w:spacing w:val="-3"/>
        </w:rPr>
        <w:t xml:space="preserve"> </w:t>
      </w:r>
      <w:r>
        <w:t>todo</w:t>
      </w:r>
      <w:r>
        <w:rPr>
          <w:spacing w:val="-3"/>
        </w:rPr>
        <w:t xml:space="preserve"> </w:t>
      </w:r>
      <w:r>
        <w:t>lo</w:t>
      </w:r>
      <w:r>
        <w:rPr>
          <w:spacing w:val="-3"/>
        </w:rPr>
        <w:t xml:space="preserve"> </w:t>
      </w:r>
      <w:r>
        <w:t>anterior,</w:t>
      </w:r>
      <w:r>
        <w:rPr>
          <w:spacing w:val="-3"/>
        </w:rPr>
        <w:t xml:space="preserve"> </w:t>
      </w:r>
      <w:r>
        <w:t>debe</w:t>
      </w:r>
      <w:r>
        <w:rPr>
          <w:spacing w:val="-3"/>
        </w:rPr>
        <w:t xml:space="preserve"> </w:t>
      </w:r>
      <w:r>
        <w:t>añadirse</w:t>
      </w:r>
      <w:r>
        <w:rPr>
          <w:spacing w:val="-3"/>
        </w:rPr>
        <w:t xml:space="preserve"> </w:t>
      </w:r>
      <w:r>
        <w:t>la</w:t>
      </w:r>
      <w:r>
        <w:rPr>
          <w:spacing w:val="-3"/>
        </w:rPr>
        <w:t xml:space="preserve"> </w:t>
      </w:r>
      <w:r>
        <w:t>nueva</w:t>
      </w:r>
      <w:r>
        <w:rPr>
          <w:spacing w:val="-3"/>
        </w:rPr>
        <w:t xml:space="preserve"> </w:t>
      </w:r>
      <w:r>
        <w:t>regulación</w:t>
      </w:r>
      <w:r>
        <w:rPr>
          <w:spacing w:val="-3"/>
        </w:rPr>
        <w:t xml:space="preserve"> </w:t>
      </w:r>
      <w:r>
        <w:t>de</w:t>
      </w:r>
      <w:r>
        <w:rPr>
          <w:spacing w:val="-3"/>
        </w:rPr>
        <w:t xml:space="preserve"> </w:t>
      </w:r>
      <w:r>
        <w:t>la</w:t>
      </w:r>
      <w:r>
        <w:rPr>
          <w:spacing w:val="-3"/>
        </w:rPr>
        <w:t xml:space="preserve"> </w:t>
      </w:r>
      <w:r>
        <w:t>figura</w:t>
      </w:r>
      <w:r>
        <w:rPr>
          <w:spacing w:val="-3"/>
        </w:rPr>
        <w:t xml:space="preserve"> </w:t>
      </w:r>
      <w:r>
        <w:t>del</w:t>
      </w:r>
      <w:r>
        <w:rPr>
          <w:spacing w:val="-3"/>
        </w:rPr>
        <w:t xml:space="preserve"> </w:t>
      </w:r>
      <w:r>
        <w:t>perfil</w:t>
      </w:r>
      <w:r>
        <w:rPr>
          <w:spacing w:val="-3"/>
        </w:rPr>
        <w:t xml:space="preserve"> </w:t>
      </w:r>
      <w:r>
        <w:t>de</w:t>
      </w:r>
      <w:r>
        <w:rPr>
          <w:spacing w:val="-3"/>
        </w:rPr>
        <w:t xml:space="preserve"> </w:t>
      </w:r>
      <w:r>
        <w:t>contratante, más exhaustiva que la anterior, que le otorga un papel principal como instrumento de publicidad de los distintos actos y fases de la tramitación de los contratos de cada entidad, así como la regulación del Registro de Contratos del Sector Público, en el que se inscribirán todos los contratos adjudicados por las entidades del sector público, siendo obligatoria, a dichos efectos, la comunicación de los datos relativos a todos los contratos celebrados por importe igual o superior a cinco mil euros.</w:t>
      </w:r>
    </w:p>
    <w:p w:rsidR="0092635B" w:rsidRDefault="00000000">
      <w:pPr>
        <w:pStyle w:val="Textoindependiente"/>
        <w:spacing w:before="6" w:line="249" w:lineRule="auto"/>
        <w:ind w:right="1103"/>
        <w:jc w:val="right"/>
      </w:pPr>
      <w:r>
        <w:t>Con</w:t>
      </w:r>
      <w:r>
        <w:rPr>
          <w:spacing w:val="-2"/>
        </w:rPr>
        <w:t xml:space="preserve"> </w:t>
      </w:r>
      <w:r>
        <w:t>el</w:t>
      </w:r>
      <w:r>
        <w:rPr>
          <w:spacing w:val="-2"/>
        </w:rPr>
        <w:t xml:space="preserve"> </w:t>
      </w:r>
      <w:r>
        <w:t>objetivo</w:t>
      </w:r>
      <w:r>
        <w:rPr>
          <w:spacing w:val="-2"/>
        </w:rPr>
        <w:t xml:space="preserve"> </w:t>
      </w:r>
      <w:r>
        <w:t>de</w:t>
      </w:r>
      <w:r>
        <w:rPr>
          <w:spacing w:val="-2"/>
        </w:rPr>
        <w:t xml:space="preserve"> </w:t>
      </w:r>
      <w:r>
        <w:t>conseguir</w:t>
      </w:r>
      <w:r>
        <w:rPr>
          <w:spacing w:val="-2"/>
        </w:rPr>
        <w:t xml:space="preserve"> </w:t>
      </w:r>
      <w:r>
        <w:t>una</w:t>
      </w:r>
      <w:r>
        <w:rPr>
          <w:spacing w:val="-2"/>
        </w:rPr>
        <w:t xml:space="preserve"> </w:t>
      </w:r>
      <w:r>
        <w:t>simplificación</w:t>
      </w:r>
      <w:r>
        <w:rPr>
          <w:spacing w:val="-2"/>
        </w:rPr>
        <w:t xml:space="preserve"> </w:t>
      </w:r>
      <w:r>
        <w:t>y</w:t>
      </w:r>
      <w:r>
        <w:rPr>
          <w:spacing w:val="-2"/>
        </w:rPr>
        <w:t xml:space="preserve"> </w:t>
      </w:r>
      <w:r>
        <w:t>reducción</w:t>
      </w:r>
      <w:r>
        <w:rPr>
          <w:spacing w:val="-2"/>
        </w:rPr>
        <w:t xml:space="preserve"> </w:t>
      </w:r>
      <w:r>
        <w:t>de</w:t>
      </w:r>
      <w:r>
        <w:rPr>
          <w:spacing w:val="-2"/>
        </w:rPr>
        <w:t xml:space="preserve"> </w:t>
      </w:r>
      <w:r>
        <w:t>las</w:t>
      </w:r>
      <w:r>
        <w:rPr>
          <w:spacing w:val="-2"/>
        </w:rPr>
        <w:t xml:space="preserve"> </w:t>
      </w:r>
      <w:r>
        <w:t>cargas</w:t>
      </w:r>
      <w:r>
        <w:rPr>
          <w:spacing w:val="-2"/>
        </w:rPr>
        <w:t xml:space="preserve"> </w:t>
      </w:r>
      <w:r>
        <w:t>administrativas, se mantiene el uso de la declaración responsable, pero se amplía el espectro de casos en</w:t>
      </w:r>
      <w:r>
        <w:rPr>
          <w:spacing w:val="40"/>
        </w:rPr>
        <w:t xml:space="preserve"> </w:t>
      </w:r>
      <w:r>
        <w:t>los que se utiliza y se regula pormenorizadamente su contenido según lo establecido en la nueva</w:t>
      </w:r>
      <w:r>
        <w:rPr>
          <w:spacing w:val="37"/>
        </w:rPr>
        <w:t xml:space="preserve"> </w:t>
      </w:r>
      <w:r>
        <w:t>Directiva</w:t>
      </w:r>
      <w:r>
        <w:rPr>
          <w:spacing w:val="37"/>
        </w:rPr>
        <w:t xml:space="preserve"> </w:t>
      </w:r>
      <w:r>
        <w:t>de</w:t>
      </w:r>
      <w:r>
        <w:rPr>
          <w:spacing w:val="37"/>
        </w:rPr>
        <w:t xml:space="preserve"> </w:t>
      </w:r>
      <w:r>
        <w:t>Contratación</w:t>
      </w:r>
      <w:r>
        <w:rPr>
          <w:spacing w:val="37"/>
        </w:rPr>
        <w:t xml:space="preserve"> </w:t>
      </w:r>
      <w:r>
        <w:t>y</w:t>
      </w:r>
      <w:r>
        <w:rPr>
          <w:spacing w:val="37"/>
        </w:rPr>
        <w:t xml:space="preserve"> </w:t>
      </w:r>
      <w:r>
        <w:t>de</w:t>
      </w:r>
      <w:r>
        <w:rPr>
          <w:spacing w:val="37"/>
        </w:rPr>
        <w:t xml:space="preserve"> </w:t>
      </w:r>
      <w:r>
        <w:t>forma</w:t>
      </w:r>
      <w:r>
        <w:rPr>
          <w:spacing w:val="37"/>
        </w:rPr>
        <w:t xml:space="preserve"> </w:t>
      </w:r>
      <w:r>
        <w:t>coherente,</w:t>
      </w:r>
      <w:r>
        <w:rPr>
          <w:spacing w:val="37"/>
        </w:rPr>
        <w:t xml:space="preserve"> </w:t>
      </w:r>
      <w:r>
        <w:t>como</w:t>
      </w:r>
      <w:r>
        <w:rPr>
          <w:spacing w:val="37"/>
        </w:rPr>
        <w:t xml:space="preserve"> </w:t>
      </w:r>
      <w:r>
        <w:t>ya</w:t>
      </w:r>
      <w:r>
        <w:rPr>
          <w:spacing w:val="37"/>
        </w:rPr>
        <w:t xml:space="preserve"> </w:t>
      </w:r>
      <w:r>
        <w:t>se</w:t>
      </w:r>
      <w:r>
        <w:rPr>
          <w:spacing w:val="37"/>
        </w:rPr>
        <w:t xml:space="preserve"> </w:t>
      </w:r>
      <w:r>
        <w:t>ha</w:t>
      </w:r>
      <w:r>
        <w:rPr>
          <w:spacing w:val="37"/>
        </w:rPr>
        <w:t xml:space="preserve"> </w:t>
      </w:r>
      <w:r>
        <w:t>señalado,</w:t>
      </w:r>
      <w:r>
        <w:rPr>
          <w:spacing w:val="37"/>
        </w:rPr>
        <w:t xml:space="preserve"> </w:t>
      </w:r>
      <w:r>
        <w:t>con</w:t>
      </w:r>
      <w:r>
        <w:rPr>
          <w:spacing w:val="37"/>
        </w:rPr>
        <w:t xml:space="preserve"> </w:t>
      </w:r>
      <w:r>
        <w:t>el formulario</w:t>
      </w:r>
      <w:r>
        <w:rPr>
          <w:spacing w:val="-1"/>
        </w:rPr>
        <w:t xml:space="preserve"> </w:t>
      </w:r>
      <w:r>
        <w:t>del</w:t>
      </w:r>
      <w:r>
        <w:rPr>
          <w:spacing w:val="-1"/>
        </w:rPr>
        <w:t xml:space="preserve"> </w:t>
      </w:r>
      <w:r>
        <w:t>Documento</w:t>
      </w:r>
      <w:r>
        <w:rPr>
          <w:spacing w:val="-1"/>
        </w:rPr>
        <w:t xml:space="preserve"> </w:t>
      </w:r>
      <w:r>
        <w:t>europeo</w:t>
      </w:r>
      <w:r>
        <w:rPr>
          <w:spacing w:val="-1"/>
        </w:rPr>
        <w:t xml:space="preserve"> </w:t>
      </w:r>
      <w:r>
        <w:t>único</w:t>
      </w:r>
      <w:r>
        <w:rPr>
          <w:spacing w:val="-1"/>
        </w:rPr>
        <w:t xml:space="preserve"> </w:t>
      </w:r>
      <w:r>
        <w:t>de</w:t>
      </w:r>
      <w:r>
        <w:rPr>
          <w:spacing w:val="-1"/>
        </w:rPr>
        <w:t xml:space="preserve"> </w:t>
      </w:r>
      <w:r>
        <w:t>contratación</w:t>
      </w:r>
      <w:r>
        <w:rPr>
          <w:spacing w:val="-1"/>
        </w:rPr>
        <w:t xml:space="preserve"> </w:t>
      </w:r>
      <w:r>
        <w:t>aprobado</w:t>
      </w:r>
      <w:r>
        <w:rPr>
          <w:spacing w:val="-1"/>
        </w:rPr>
        <w:t xml:space="preserve"> </w:t>
      </w:r>
      <w:r>
        <w:t>por</w:t>
      </w:r>
      <w:r>
        <w:rPr>
          <w:spacing w:val="-1"/>
        </w:rPr>
        <w:t xml:space="preserve"> </w:t>
      </w:r>
      <w:r>
        <w:t>la</w:t>
      </w:r>
      <w:r>
        <w:rPr>
          <w:spacing w:val="-1"/>
        </w:rPr>
        <w:t xml:space="preserve"> </w:t>
      </w:r>
      <w:r>
        <w:t>Comisión</w:t>
      </w:r>
      <w:r>
        <w:rPr>
          <w:spacing w:val="-1"/>
        </w:rPr>
        <w:t xml:space="preserve"> </w:t>
      </w:r>
      <w:r>
        <w:t>Europea. Junto</w:t>
      </w:r>
      <w:r>
        <w:rPr>
          <w:spacing w:val="40"/>
        </w:rPr>
        <w:t xml:space="preserve"> </w:t>
      </w:r>
      <w:r>
        <w:t>a</w:t>
      </w:r>
      <w:r>
        <w:rPr>
          <w:spacing w:val="40"/>
        </w:rPr>
        <w:t xml:space="preserve"> </w:t>
      </w:r>
      <w:r>
        <w:t>todo</w:t>
      </w:r>
      <w:r>
        <w:rPr>
          <w:spacing w:val="40"/>
        </w:rPr>
        <w:t xml:space="preserve"> </w:t>
      </w:r>
      <w:r>
        <w:t>lo</w:t>
      </w:r>
      <w:r>
        <w:rPr>
          <w:spacing w:val="40"/>
        </w:rPr>
        <w:t xml:space="preserve"> </w:t>
      </w:r>
      <w:r>
        <w:t>anteriormente</w:t>
      </w:r>
      <w:r>
        <w:rPr>
          <w:spacing w:val="40"/>
        </w:rPr>
        <w:t xml:space="preserve"> </w:t>
      </w:r>
      <w:r>
        <w:t>señalado,</w:t>
      </w:r>
      <w:r>
        <w:rPr>
          <w:spacing w:val="40"/>
        </w:rPr>
        <w:t xml:space="preserve"> </w:t>
      </w:r>
      <w:r>
        <w:t>debe</w:t>
      </w:r>
      <w:r>
        <w:rPr>
          <w:spacing w:val="40"/>
        </w:rPr>
        <w:t xml:space="preserve"> </w:t>
      </w:r>
      <w:r>
        <w:t>necesariamente</w:t>
      </w:r>
      <w:r>
        <w:rPr>
          <w:spacing w:val="40"/>
        </w:rPr>
        <w:t xml:space="preserve"> </w:t>
      </w:r>
      <w:r>
        <w:t>aludirse</w:t>
      </w:r>
      <w:r>
        <w:rPr>
          <w:spacing w:val="40"/>
        </w:rPr>
        <w:t xml:space="preserve"> </w:t>
      </w:r>
      <w:r>
        <w:t>a</w:t>
      </w:r>
      <w:r>
        <w:rPr>
          <w:spacing w:val="40"/>
        </w:rPr>
        <w:t xml:space="preserve"> </w:t>
      </w:r>
      <w:r>
        <w:t>la</w:t>
      </w:r>
      <w:r>
        <w:rPr>
          <w:spacing w:val="40"/>
        </w:rPr>
        <w:t xml:space="preserve"> </w:t>
      </w:r>
      <w:r>
        <w:t>decidida apuesta</w:t>
      </w:r>
      <w:r>
        <w:rPr>
          <w:spacing w:val="80"/>
        </w:rPr>
        <w:t xml:space="preserve"> </w:t>
      </w:r>
      <w:r>
        <w:t>que</w:t>
      </w:r>
      <w:r>
        <w:rPr>
          <w:spacing w:val="80"/>
        </w:rPr>
        <w:t xml:space="preserve"> </w:t>
      </w:r>
      <w:r>
        <w:t>el</w:t>
      </w:r>
      <w:r>
        <w:rPr>
          <w:spacing w:val="80"/>
        </w:rPr>
        <w:t xml:space="preserve"> </w:t>
      </w:r>
      <w:r>
        <w:t>nuevo</w:t>
      </w:r>
      <w:r>
        <w:rPr>
          <w:spacing w:val="80"/>
        </w:rPr>
        <w:t xml:space="preserve"> </w:t>
      </w:r>
      <w:r>
        <w:t>texto</w:t>
      </w:r>
      <w:r>
        <w:rPr>
          <w:spacing w:val="80"/>
        </w:rPr>
        <w:t xml:space="preserve"> </w:t>
      </w:r>
      <w:r>
        <w:t>legal</w:t>
      </w:r>
      <w:r>
        <w:rPr>
          <w:spacing w:val="80"/>
        </w:rPr>
        <w:t xml:space="preserve"> </w:t>
      </w:r>
      <w:r>
        <w:t>realiza</w:t>
      </w:r>
      <w:r>
        <w:rPr>
          <w:spacing w:val="80"/>
        </w:rPr>
        <w:t xml:space="preserve"> </w:t>
      </w:r>
      <w:r>
        <w:t>en</w:t>
      </w:r>
      <w:r>
        <w:rPr>
          <w:spacing w:val="80"/>
        </w:rPr>
        <w:t xml:space="preserve"> </w:t>
      </w:r>
      <w:r>
        <w:t>favor</w:t>
      </w:r>
      <w:r>
        <w:rPr>
          <w:spacing w:val="80"/>
        </w:rPr>
        <w:t xml:space="preserve"> </w:t>
      </w:r>
      <w:r>
        <w:t>de</w:t>
      </w:r>
      <w:r>
        <w:rPr>
          <w:spacing w:val="80"/>
        </w:rPr>
        <w:t xml:space="preserve"> </w:t>
      </w:r>
      <w:r>
        <w:t>la</w:t>
      </w:r>
      <w:r>
        <w:rPr>
          <w:spacing w:val="80"/>
        </w:rPr>
        <w:t xml:space="preserve"> </w:t>
      </w:r>
      <w:r>
        <w:t>contratación</w:t>
      </w:r>
      <w:r>
        <w:rPr>
          <w:spacing w:val="80"/>
        </w:rPr>
        <w:t xml:space="preserve"> </w:t>
      </w:r>
      <w:r>
        <w:t>electrónica,</w:t>
      </w:r>
      <w:r>
        <w:rPr>
          <w:spacing w:val="80"/>
        </w:rPr>
        <w:t xml:space="preserve"> </w:t>
      </w:r>
      <w:r>
        <w:t>estableciéndola</w:t>
      </w:r>
      <w:r>
        <w:rPr>
          <w:spacing w:val="-2"/>
        </w:rPr>
        <w:t xml:space="preserve"> </w:t>
      </w:r>
      <w:r>
        <w:t>como</w:t>
      </w:r>
      <w:r>
        <w:rPr>
          <w:spacing w:val="-1"/>
        </w:rPr>
        <w:t xml:space="preserve"> </w:t>
      </w:r>
      <w:r>
        <w:t>obligatoria</w:t>
      </w:r>
      <w:r>
        <w:rPr>
          <w:spacing w:val="-1"/>
        </w:rPr>
        <w:t xml:space="preserve"> </w:t>
      </w:r>
      <w:r>
        <w:t>en</w:t>
      </w:r>
      <w:r>
        <w:rPr>
          <w:spacing w:val="-1"/>
        </w:rPr>
        <w:t xml:space="preserve"> </w:t>
      </w:r>
      <w:r>
        <w:t>los</w:t>
      </w:r>
      <w:r>
        <w:rPr>
          <w:spacing w:val="-1"/>
        </w:rPr>
        <w:t xml:space="preserve"> </w:t>
      </w:r>
      <w:r>
        <w:t>términos</w:t>
      </w:r>
      <w:r>
        <w:rPr>
          <w:spacing w:val="-1"/>
        </w:rPr>
        <w:t xml:space="preserve"> </w:t>
      </w:r>
      <w:r>
        <w:t>señalados</w:t>
      </w:r>
      <w:r>
        <w:rPr>
          <w:spacing w:val="-2"/>
        </w:rPr>
        <w:t xml:space="preserve"> </w:t>
      </w:r>
      <w:r>
        <w:t>en</w:t>
      </w:r>
      <w:r>
        <w:rPr>
          <w:spacing w:val="-1"/>
        </w:rPr>
        <w:t xml:space="preserve"> </w:t>
      </w:r>
      <w:r>
        <w:t>él,</w:t>
      </w:r>
      <w:r>
        <w:rPr>
          <w:spacing w:val="-1"/>
        </w:rPr>
        <w:t xml:space="preserve"> </w:t>
      </w:r>
      <w:r>
        <w:t>desde</w:t>
      </w:r>
      <w:r>
        <w:rPr>
          <w:spacing w:val="-1"/>
        </w:rPr>
        <w:t xml:space="preserve"> </w:t>
      </w:r>
      <w:r>
        <w:t>su</w:t>
      </w:r>
      <w:r>
        <w:rPr>
          <w:spacing w:val="-1"/>
        </w:rPr>
        <w:t xml:space="preserve"> </w:t>
      </w:r>
      <w:r>
        <w:t>entrada</w:t>
      </w:r>
      <w:r>
        <w:rPr>
          <w:spacing w:val="-1"/>
        </w:rPr>
        <w:t xml:space="preserve"> </w:t>
      </w:r>
      <w:r>
        <w:t>en</w:t>
      </w:r>
      <w:r>
        <w:rPr>
          <w:spacing w:val="-1"/>
        </w:rPr>
        <w:t xml:space="preserve"> </w:t>
      </w:r>
      <w:r>
        <w:rPr>
          <w:spacing w:val="-2"/>
        </w:rPr>
        <w:t>vigor,</w:t>
      </w:r>
    </w:p>
    <w:p w:rsidR="0092635B" w:rsidRDefault="00000000">
      <w:pPr>
        <w:pStyle w:val="Textoindependiente"/>
        <w:spacing w:before="6"/>
        <w:ind w:firstLine="0"/>
      </w:pPr>
      <w:r>
        <w:t>anticipándose,</w:t>
      </w:r>
      <w:r>
        <w:rPr>
          <w:spacing w:val="-1"/>
        </w:rPr>
        <w:t xml:space="preserve"> </w:t>
      </w:r>
      <w:r>
        <w:t>por tanto,</w:t>
      </w:r>
      <w:r>
        <w:rPr>
          <w:spacing w:val="-1"/>
        </w:rPr>
        <w:t xml:space="preserve"> </w:t>
      </w:r>
      <w:r>
        <w:t>a los</w:t>
      </w:r>
      <w:r>
        <w:rPr>
          <w:spacing w:val="-1"/>
        </w:rPr>
        <w:t xml:space="preserve"> </w:t>
      </w:r>
      <w:r>
        <w:t>plazos previstos</w:t>
      </w:r>
      <w:r>
        <w:rPr>
          <w:spacing w:val="-1"/>
        </w:rPr>
        <w:t xml:space="preserve"> </w:t>
      </w:r>
      <w:r>
        <w:t xml:space="preserve">a nivel </w:t>
      </w:r>
      <w:r>
        <w:rPr>
          <w:spacing w:val="-2"/>
        </w:rPr>
        <w:t>comunitario.</w:t>
      </w:r>
    </w:p>
    <w:p w:rsidR="0092635B" w:rsidRDefault="00000000">
      <w:pPr>
        <w:pStyle w:val="Textoindependiente"/>
        <w:spacing w:before="10" w:line="249" w:lineRule="auto"/>
        <w:ind w:right="1103"/>
      </w:pPr>
      <w:r>
        <w:t>Como medidas en beneficio de las PYMES, se incluyen en este texto legal las medidas que ya aparecían dentro de la Ley 14/2013, de 27 de septiembre, de apoyo a los emprendedores y su internacionalización, con lo que pasan a estar comprendidas dentro de su ámbito natural de aplicación; y se da un paso más allá al establecerse la obligación para</w:t>
      </w:r>
      <w:r>
        <w:rPr>
          <w:spacing w:val="40"/>
        </w:rPr>
        <w:t xml:space="preserve"> </w:t>
      </w:r>
      <w:r>
        <w:t>el órgano de contratación, en los contratos que más frecuentemente acuden a la subcontratación, como son los de obras y de servicios de un determinado importe, de comprobar el estricto cumplimiento de los pagos que el contratista principal hace al subcontratista, así como el régimen más rigorista que respecto de los plazos de pago debe cumplir tanto la Administración como el contratista principal, con el fin de evitar la lacra de la morosidad</w:t>
      </w:r>
      <w:r>
        <w:rPr>
          <w:spacing w:val="-3"/>
        </w:rPr>
        <w:t xml:space="preserve"> </w:t>
      </w:r>
      <w:r>
        <w:t>que</w:t>
      </w:r>
      <w:r>
        <w:rPr>
          <w:spacing w:val="-3"/>
        </w:rPr>
        <w:t xml:space="preserve"> </w:t>
      </w:r>
      <w:r>
        <w:t>pesa</w:t>
      </w:r>
      <w:r>
        <w:rPr>
          <w:spacing w:val="-3"/>
        </w:rPr>
        <w:t xml:space="preserve"> </w:t>
      </w:r>
      <w:r>
        <w:t>sobre</w:t>
      </w:r>
      <w:r>
        <w:rPr>
          <w:spacing w:val="-3"/>
        </w:rPr>
        <w:t xml:space="preserve"> </w:t>
      </w:r>
      <w:r>
        <w:t>las</w:t>
      </w:r>
      <w:r>
        <w:rPr>
          <w:spacing w:val="-3"/>
        </w:rPr>
        <w:t xml:space="preserve"> </w:t>
      </w:r>
      <w:r>
        <w:t>Administraciones</w:t>
      </w:r>
      <w:r>
        <w:rPr>
          <w:spacing w:val="-3"/>
        </w:rPr>
        <w:t xml:space="preserve"> </w:t>
      </w:r>
      <w:r>
        <w:t>Públicas,</w:t>
      </w:r>
      <w:r>
        <w:rPr>
          <w:spacing w:val="-3"/>
        </w:rPr>
        <w:t xml:space="preserve"> </w:t>
      </w:r>
      <w:r>
        <w:t>cumpliendo</w:t>
      </w:r>
      <w:r>
        <w:rPr>
          <w:spacing w:val="-3"/>
        </w:rPr>
        <w:t xml:space="preserve"> </w:t>
      </w:r>
      <w:r>
        <w:t>así</w:t>
      </w:r>
      <w:r>
        <w:rPr>
          <w:spacing w:val="-3"/>
        </w:rPr>
        <w:t xml:space="preserve"> </w:t>
      </w:r>
      <w:r>
        <w:t>lo</w:t>
      </w:r>
      <w:r>
        <w:rPr>
          <w:spacing w:val="-3"/>
        </w:rPr>
        <w:t xml:space="preserve"> </w:t>
      </w:r>
      <w:r>
        <w:t>dispuesto</w:t>
      </w:r>
      <w:r>
        <w:rPr>
          <w:spacing w:val="-3"/>
        </w:rPr>
        <w:t xml:space="preserve"> </w:t>
      </w:r>
      <w:r>
        <w:t xml:space="preserve">dentro de la Directiva 2011/7/UE del Parlamento europeo y del Consejo, de 16 de febrero de 2011, por la que se establecen medidas de lucha contra la morosidad en las operaciones </w:t>
      </w:r>
      <w:r>
        <w:rPr>
          <w:spacing w:val="-2"/>
        </w:rPr>
        <w:t>comerciales.</w:t>
      </w:r>
    </w:p>
    <w:p w:rsidR="0092635B" w:rsidRDefault="00000000">
      <w:pPr>
        <w:pStyle w:val="Textoindependiente"/>
        <w:spacing w:before="11" w:line="249" w:lineRule="auto"/>
        <w:ind w:right="1102"/>
      </w:pPr>
      <w:r>
        <w:t xml:space="preserve">Además de las anteriores, se encuentran aquí como medidas de apoyo a las PYMES todas las medidas de simplificación del procedimiento y reducción de cargas administrativas, introducidas con el objetivo de dar un decidido impulso a las empresas. Como medidas más específicas, se ha introducido una nueva regulación de la división en lotes de los contratos (invirtiéndose la regla general que se utilizaba hasta ahora, debiendo justificarse ahora en el expediente la no división del contrato en lotes, lo que facilitará el acceso a la contratación pública a un mayor número de empresas); y se incluye, de forma novedosa, como criterio de solvencia que tendrá que justificar el adjudicatario del contrato, el cumplir con los plazos establecidos por la normativa vigente sobre pago a proveedores, medida que pretende contribuir a que las PYMES con las que subcontrate el adjudicatario cobren sus servicios en </w:t>
      </w:r>
      <w:r>
        <w:rPr>
          <w:spacing w:val="-2"/>
        </w:rPr>
        <w:t>plazo.</w:t>
      </w:r>
    </w:p>
    <w:p w:rsidR="0092635B" w:rsidRDefault="00000000">
      <w:pPr>
        <w:pStyle w:val="Textoindependiente"/>
        <w:spacing w:before="9" w:line="249" w:lineRule="auto"/>
        <w:ind w:right="1104"/>
      </w:pPr>
      <w:r>
        <w:t>Debe recordarse que la política de fomento de la contratación pública con pequeñas y medianas</w:t>
      </w:r>
      <w:r>
        <w:rPr>
          <w:spacing w:val="18"/>
        </w:rPr>
        <w:t xml:space="preserve"> </w:t>
      </w:r>
      <w:r>
        <w:t>empresas</w:t>
      </w:r>
      <w:r>
        <w:rPr>
          <w:spacing w:val="19"/>
        </w:rPr>
        <w:t xml:space="preserve"> </w:t>
      </w:r>
      <w:r>
        <w:t>impregna</w:t>
      </w:r>
      <w:r>
        <w:rPr>
          <w:spacing w:val="19"/>
        </w:rPr>
        <w:t xml:space="preserve"> </w:t>
      </w:r>
      <w:r>
        <w:t>las</w:t>
      </w:r>
      <w:r>
        <w:rPr>
          <w:spacing w:val="19"/>
        </w:rPr>
        <w:t xml:space="preserve"> </w:t>
      </w:r>
      <w:r>
        <w:t>nuevas</w:t>
      </w:r>
      <w:r>
        <w:rPr>
          <w:spacing w:val="19"/>
        </w:rPr>
        <w:t xml:space="preserve"> </w:t>
      </w:r>
      <w:r>
        <w:t>Directivas</w:t>
      </w:r>
      <w:r>
        <w:rPr>
          <w:spacing w:val="18"/>
        </w:rPr>
        <w:t xml:space="preserve"> </w:t>
      </w:r>
      <w:r>
        <w:t>de</w:t>
      </w:r>
      <w:r>
        <w:rPr>
          <w:spacing w:val="19"/>
        </w:rPr>
        <w:t xml:space="preserve"> </w:t>
      </w:r>
      <w:r>
        <w:t>contratación</w:t>
      </w:r>
      <w:r>
        <w:rPr>
          <w:spacing w:val="19"/>
        </w:rPr>
        <w:t xml:space="preserve"> </w:t>
      </w:r>
      <w:r>
        <w:t>pública,</w:t>
      </w:r>
      <w:r>
        <w:rPr>
          <w:spacing w:val="19"/>
        </w:rPr>
        <w:t xml:space="preserve"> </w:t>
      </w:r>
      <w:r>
        <w:t>ya</w:t>
      </w:r>
      <w:r>
        <w:rPr>
          <w:spacing w:val="19"/>
        </w:rPr>
        <w:t xml:space="preserve"> </w:t>
      </w:r>
      <w:r>
        <w:t>desde</w:t>
      </w:r>
      <w:r>
        <w:rPr>
          <w:spacing w:val="19"/>
        </w:rPr>
        <w:t xml:space="preserve"> </w:t>
      </w:r>
      <w:r>
        <w:rPr>
          <w:spacing w:val="-5"/>
        </w:rPr>
        <w:t>sus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primeros Considerandos, medida destacada en la Estrategia Europa 2020, en la que la contratación</w:t>
      </w:r>
      <w:r>
        <w:rPr>
          <w:spacing w:val="-2"/>
        </w:rPr>
        <w:t xml:space="preserve"> </w:t>
      </w:r>
      <w:r>
        <w:t>pública</w:t>
      </w:r>
      <w:r>
        <w:rPr>
          <w:spacing w:val="-2"/>
        </w:rPr>
        <w:t xml:space="preserve"> </w:t>
      </w:r>
      <w:r>
        <w:t>desempeña</w:t>
      </w:r>
      <w:r>
        <w:rPr>
          <w:spacing w:val="-2"/>
        </w:rPr>
        <w:t xml:space="preserve"> </w:t>
      </w:r>
      <w:r>
        <w:t>un</w:t>
      </w:r>
      <w:r>
        <w:rPr>
          <w:spacing w:val="-2"/>
        </w:rPr>
        <w:t xml:space="preserve"> </w:t>
      </w:r>
      <w:r>
        <w:t>papel</w:t>
      </w:r>
      <w:r>
        <w:rPr>
          <w:spacing w:val="-2"/>
        </w:rPr>
        <w:t xml:space="preserve"> </w:t>
      </w:r>
      <w:r>
        <w:t>esencial</w:t>
      </w:r>
      <w:r>
        <w:rPr>
          <w:spacing w:val="-2"/>
        </w:rPr>
        <w:t xml:space="preserve"> </w:t>
      </w:r>
      <w:r>
        <w:t>y</w:t>
      </w:r>
      <w:r>
        <w:rPr>
          <w:spacing w:val="-2"/>
        </w:rPr>
        <w:t xml:space="preserve"> </w:t>
      </w:r>
      <w:r>
        <w:t>que</w:t>
      </w:r>
      <w:r>
        <w:rPr>
          <w:spacing w:val="-2"/>
        </w:rPr>
        <w:t xml:space="preserve"> </w:t>
      </w:r>
      <w:r>
        <w:t>se</w:t>
      </w:r>
      <w:r>
        <w:rPr>
          <w:spacing w:val="-2"/>
        </w:rPr>
        <w:t xml:space="preserve"> </w:t>
      </w:r>
      <w:r>
        <w:t>traslada</w:t>
      </w:r>
      <w:r>
        <w:rPr>
          <w:spacing w:val="-2"/>
        </w:rPr>
        <w:t xml:space="preserve"> </w:t>
      </w:r>
      <w:r>
        <w:t>al</w:t>
      </w:r>
      <w:r>
        <w:rPr>
          <w:spacing w:val="-2"/>
        </w:rPr>
        <w:t xml:space="preserve"> </w:t>
      </w:r>
      <w:r>
        <w:t>ordenamiento</w:t>
      </w:r>
      <w:r>
        <w:rPr>
          <w:spacing w:val="-2"/>
        </w:rPr>
        <w:t xml:space="preserve"> </w:t>
      </w:r>
      <w:r>
        <w:t>jurídico español mediante el presente texto legal.</w:t>
      </w:r>
    </w:p>
    <w:p w:rsidR="0092635B" w:rsidRDefault="00000000">
      <w:pPr>
        <w:pStyle w:val="Textoindependiente"/>
        <w:spacing w:line="249" w:lineRule="auto"/>
        <w:ind w:right="1103"/>
      </w:pPr>
      <w:r>
        <w:t>Por último, no pueden dejar de mencionarse las medidas incorporadas en la Ley en materia</w:t>
      </w:r>
      <w:r>
        <w:rPr>
          <w:spacing w:val="-3"/>
        </w:rPr>
        <w:t xml:space="preserve"> </w:t>
      </w:r>
      <w:r>
        <w:t>de</w:t>
      </w:r>
      <w:r>
        <w:rPr>
          <w:spacing w:val="-3"/>
        </w:rPr>
        <w:t xml:space="preserve"> </w:t>
      </w:r>
      <w:r>
        <w:t>defensa</w:t>
      </w:r>
      <w:r>
        <w:rPr>
          <w:spacing w:val="-3"/>
        </w:rPr>
        <w:t xml:space="preserve"> </w:t>
      </w:r>
      <w:r>
        <w:t>de</w:t>
      </w:r>
      <w:r>
        <w:rPr>
          <w:spacing w:val="-3"/>
        </w:rPr>
        <w:t xml:space="preserve"> </w:t>
      </w:r>
      <w:r>
        <w:t>la</w:t>
      </w:r>
      <w:r>
        <w:rPr>
          <w:spacing w:val="-3"/>
        </w:rPr>
        <w:t xml:space="preserve"> </w:t>
      </w:r>
      <w:r>
        <w:t>competencia,</w:t>
      </w:r>
      <w:r>
        <w:rPr>
          <w:spacing w:val="-3"/>
        </w:rPr>
        <w:t xml:space="preserve"> </w:t>
      </w:r>
      <w:r>
        <w:t>pretendiendo</w:t>
      </w:r>
      <w:r>
        <w:rPr>
          <w:spacing w:val="-3"/>
        </w:rPr>
        <w:t xml:space="preserve"> </w:t>
      </w:r>
      <w:r>
        <w:t>que</w:t>
      </w:r>
      <w:r>
        <w:rPr>
          <w:spacing w:val="-3"/>
        </w:rPr>
        <w:t xml:space="preserve"> </w:t>
      </w:r>
      <w:r>
        <w:t>se</w:t>
      </w:r>
      <w:r>
        <w:rPr>
          <w:spacing w:val="-3"/>
        </w:rPr>
        <w:t xml:space="preserve"> </w:t>
      </w:r>
      <w:r>
        <w:t>produzca</w:t>
      </w:r>
      <w:r>
        <w:rPr>
          <w:spacing w:val="-3"/>
        </w:rPr>
        <w:t xml:space="preserve"> </w:t>
      </w:r>
      <w:r>
        <w:t>un</w:t>
      </w:r>
      <w:r>
        <w:rPr>
          <w:spacing w:val="-3"/>
        </w:rPr>
        <w:t xml:space="preserve"> </w:t>
      </w:r>
      <w:r>
        <w:t>avance</w:t>
      </w:r>
      <w:r>
        <w:rPr>
          <w:spacing w:val="-3"/>
        </w:rPr>
        <w:t xml:space="preserve"> </w:t>
      </w:r>
      <w:r>
        <w:t>significativo en este ámbito, con medidas que persiguen su realización efectiva. Así, por ejemplo, se contempla</w:t>
      </w:r>
      <w:r>
        <w:rPr>
          <w:spacing w:val="-1"/>
        </w:rPr>
        <w:t xml:space="preserve"> </w:t>
      </w:r>
      <w:r>
        <w:t>la</w:t>
      </w:r>
      <w:r>
        <w:rPr>
          <w:spacing w:val="-1"/>
        </w:rPr>
        <w:t xml:space="preserve"> </w:t>
      </w:r>
      <w:r>
        <w:t>obligación</w:t>
      </w:r>
      <w:r>
        <w:rPr>
          <w:spacing w:val="-1"/>
        </w:rPr>
        <w:t xml:space="preserve"> </w:t>
      </w:r>
      <w:r>
        <w:t>de</w:t>
      </w:r>
      <w:r>
        <w:rPr>
          <w:spacing w:val="-1"/>
        </w:rPr>
        <w:t xml:space="preserve"> </w:t>
      </w:r>
      <w:r>
        <w:t>poner</w:t>
      </w:r>
      <w:r>
        <w:rPr>
          <w:spacing w:val="-1"/>
        </w:rPr>
        <w:t xml:space="preserve"> </w:t>
      </w:r>
      <w:r>
        <w:t>a</w:t>
      </w:r>
      <w:r>
        <w:rPr>
          <w:spacing w:val="-1"/>
        </w:rPr>
        <w:t xml:space="preserve"> </w:t>
      </w:r>
      <w:r>
        <w:t>disposición</w:t>
      </w:r>
      <w:r>
        <w:rPr>
          <w:spacing w:val="-1"/>
        </w:rPr>
        <w:t xml:space="preserve"> </w:t>
      </w:r>
      <w:r>
        <w:t>de</w:t>
      </w:r>
      <w:r>
        <w:rPr>
          <w:spacing w:val="-1"/>
        </w:rPr>
        <w:t xml:space="preserve"> </w:t>
      </w:r>
      <w:r>
        <w:t>la</w:t>
      </w:r>
      <w:r>
        <w:rPr>
          <w:spacing w:val="-1"/>
        </w:rPr>
        <w:t xml:space="preserve"> </w:t>
      </w:r>
      <w:r>
        <w:t>Comisión</w:t>
      </w:r>
      <w:r>
        <w:rPr>
          <w:spacing w:val="-1"/>
        </w:rPr>
        <w:t xml:space="preserve"> </w:t>
      </w:r>
      <w:r>
        <w:t>Nacional</w:t>
      </w:r>
      <w:r>
        <w:rPr>
          <w:spacing w:val="-1"/>
        </w:rPr>
        <w:t xml:space="preserve"> </w:t>
      </w:r>
      <w:r>
        <w:t>de</w:t>
      </w:r>
      <w:r>
        <w:rPr>
          <w:spacing w:val="-1"/>
        </w:rPr>
        <w:t xml:space="preserve"> </w:t>
      </w:r>
      <w:r>
        <w:t>los</w:t>
      </w:r>
      <w:r>
        <w:rPr>
          <w:spacing w:val="-1"/>
        </w:rPr>
        <w:t xml:space="preserve"> </w:t>
      </w:r>
      <w:r>
        <w:t>Mercados</w:t>
      </w:r>
      <w:r>
        <w:rPr>
          <w:spacing w:val="-1"/>
        </w:rPr>
        <w:t xml:space="preserve"> </w:t>
      </w:r>
      <w:r>
        <w:t>y</w:t>
      </w:r>
      <w:r>
        <w:rPr>
          <w:spacing w:val="-1"/>
        </w:rPr>
        <w:t xml:space="preserve"> </w:t>
      </w:r>
      <w:r>
        <w:t>la Competencia una mayor información en materia de contratación pública (por ejemplo, se remitirá a la misma copia del informe de supervisión que en la materia ha de enviarse cada tres años a la Comisión Europea).</w:t>
      </w:r>
    </w:p>
    <w:p w:rsidR="0092635B" w:rsidRDefault="00000000">
      <w:pPr>
        <w:pStyle w:val="Textoindependiente"/>
        <w:spacing w:before="6" w:line="249" w:lineRule="auto"/>
        <w:ind w:right="1103"/>
      </w:pPr>
      <w:r>
        <w:t>Especialmente destacable resulta, además, la regulación que realiza el artículo 150.1 de la Ley al prever que las mesas de contratación puedan trasladar, con carácter previo a la adjudicación</w:t>
      </w:r>
      <w:r>
        <w:rPr>
          <w:spacing w:val="-2"/>
        </w:rPr>
        <w:t xml:space="preserve"> </w:t>
      </w:r>
      <w:r>
        <w:t>del</w:t>
      </w:r>
      <w:r>
        <w:rPr>
          <w:spacing w:val="-2"/>
        </w:rPr>
        <w:t xml:space="preserve"> </w:t>
      </w:r>
      <w:r>
        <w:t>contrato,</w:t>
      </w:r>
      <w:r>
        <w:rPr>
          <w:spacing w:val="-2"/>
        </w:rPr>
        <w:t xml:space="preserve"> </w:t>
      </w:r>
      <w:r>
        <w:t>a</w:t>
      </w:r>
      <w:r>
        <w:rPr>
          <w:spacing w:val="-2"/>
        </w:rPr>
        <w:t xml:space="preserve"> </w:t>
      </w:r>
      <w:r>
        <w:t>la</w:t>
      </w:r>
      <w:r>
        <w:rPr>
          <w:spacing w:val="-2"/>
        </w:rPr>
        <w:t xml:space="preserve"> </w:t>
      </w:r>
      <w:r>
        <w:t>Comisión</w:t>
      </w:r>
      <w:r>
        <w:rPr>
          <w:spacing w:val="-2"/>
        </w:rPr>
        <w:t xml:space="preserve"> </w:t>
      </w:r>
      <w:r>
        <w:t>Nacional</w:t>
      </w:r>
      <w:r>
        <w:rPr>
          <w:spacing w:val="-2"/>
        </w:rPr>
        <w:t xml:space="preserve"> </w:t>
      </w:r>
      <w:r>
        <w:t>de</w:t>
      </w:r>
      <w:r>
        <w:rPr>
          <w:spacing w:val="-2"/>
        </w:rPr>
        <w:t xml:space="preserve"> </w:t>
      </w:r>
      <w:r>
        <w:t>los</w:t>
      </w:r>
      <w:r>
        <w:rPr>
          <w:spacing w:val="-2"/>
        </w:rPr>
        <w:t xml:space="preserve"> </w:t>
      </w:r>
      <w:r>
        <w:t>Mercados</w:t>
      </w:r>
      <w:r>
        <w:rPr>
          <w:spacing w:val="-2"/>
        </w:rPr>
        <w:t xml:space="preserve"> </w:t>
      </w:r>
      <w:r>
        <w:t>y</w:t>
      </w:r>
      <w:r>
        <w:rPr>
          <w:spacing w:val="-2"/>
        </w:rPr>
        <w:t xml:space="preserve"> </w:t>
      </w:r>
      <w:r>
        <w:t>la</w:t>
      </w:r>
      <w:r>
        <w:rPr>
          <w:spacing w:val="-2"/>
        </w:rPr>
        <w:t xml:space="preserve"> </w:t>
      </w:r>
      <w:r>
        <w:t>Competencia</w:t>
      </w:r>
      <w:r>
        <w:rPr>
          <w:spacing w:val="-2"/>
        </w:rPr>
        <w:t xml:space="preserve"> </w:t>
      </w:r>
      <w:r>
        <w:t>o,</w:t>
      </w:r>
      <w:r>
        <w:rPr>
          <w:spacing w:val="-2"/>
        </w:rPr>
        <w:t xml:space="preserve"> </w:t>
      </w:r>
      <w:r>
        <w:t>en</w:t>
      </w:r>
      <w:r>
        <w:rPr>
          <w:spacing w:val="-2"/>
        </w:rPr>
        <w:t xml:space="preserve"> </w:t>
      </w:r>
      <w:r>
        <w:t>su caso, a la autoridad de competencia autonómica correspondiente, indicios fundados de conductas colusorias en el procedimiento de contratación. El procedimiento a través del cual se pronunciarán aquellas será sumarísimo y será definido reglamentariamente. Sí se contemplan en la Ley, sin embargo, los efectos suspensivos en el procedimiento de contratación de dicho traslado.</w:t>
      </w:r>
    </w:p>
    <w:p w:rsidR="0092635B" w:rsidRDefault="0092635B">
      <w:pPr>
        <w:pStyle w:val="Textoindependiente"/>
        <w:spacing w:before="60"/>
        <w:ind w:left="0" w:firstLine="0"/>
        <w:jc w:val="left"/>
      </w:pPr>
    </w:p>
    <w:p w:rsidR="0092635B" w:rsidRDefault="00000000">
      <w:pPr>
        <w:pStyle w:val="Textoindependiente"/>
        <w:spacing w:before="0"/>
        <w:ind w:left="0" w:firstLine="0"/>
        <w:jc w:val="center"/>
      </w:pPr>
      <w:r>
        <w:rPr>
          <w:spacing w:val="-5"/>
        </w:rPr>
        <w:t>VI</w:t>
      </w:r>
    </w:p>
    <w:p w:rsidR="0092635B" w:rsidRDefault="00000000">
      <w:pPr>
        <w:pStyle w:val="Textoindependiente"/>
        <w:spacing w:before="130" w:line="249" w:lineRule="auto"/>
        <w:ind w:right="1106"/>
      </w:pPr>
      <w:r>
        <w:t>La Ley en sus disposiciones finales modifica la regulación establecida en determinadas normas tributarias.</w:t>
      </w:r>
    </w:p>
    <w:p w:rsidR="0092635B" w:rsidRDefault="00000000">
      <w:pPr>
        <w:pStyle w:val="Textoindependiente"/>
        <w:spacing w:line="249" w:lineRule="auto"/>
        <w:ind w:right="1102"/>
      </w:pPr>
      <w:r>
        <w:t>Así, se aclara la naturaleza jurídica de las tarifas que abonan los usuarios por la utilización de las obras o la recepción de los servicios, tanto en los casos de gestión directa de estos, a través de la propia Administración, como en los supuestos de gestión indirecta, a través de concesionarios, como prestaciones patrimoniales de carácter público no tributario. A</w:t>
      </w:r>
      <w:r>
        <w:rPr>
          <w:spacing w:val="75"/>
        </w:rPr>
        <w:t xml:space="preserve"> </w:t>
      </w:r>
      <w:r>
        <w:t>estos</w:t>
      </w:r>
      <w:r>
        <w:rPr>
          <w:spacing w:val="75"/>
        </w:rPr>
        <w:t xml:space="preserve"> </w:t>
      </w:r>
      <w:r>
        <w:t>efectos,</w:t>
      </w:r>
      <w:r>
        <w:rPr>
          <w:spacing w:val="75"/>
        </w:rPr>
        <w:t xml:space="preserve"> </w:t>
      </w:r>
      <w:r>
        <w:t>se</w:t>
      </w:r>
      <w:r>
        <w:rPr>
          <w:spacing w:val="75"/>
        </w:rPr>
        <w:t xml:space="preserve"> </w:t>
      </w:r>
      <w:r>
        <w:t>le</w:t>
      </w:r>
      <w:r>
        <w:rPr>
          <w:spacing w:val="75"/>
        </w:rPr>
        <w:t xml:space="preserve"> </w:t>
      </w:r>
      <w:r>
        <w:t>da</w:t>
      </w:r>
      <w:r>
        <w:rPr>
          <w:spacing w:val="75"/>
        </w:rPr>
        <w:t xml:space="preserve"> </w:t>
      </w:r>
      <w:r>
        <w:t>nueva</w:t>
      </w:r>
      <w:r>
        <w:rPr>
          <w:spacing w:val="75"/>
        </w:rPr>
        <w:t xml:space="preserve"> </w:t>
      </w:r>
      <w:r>
        <w:t>redacción</w:t>
      </w:r>
      <w:r>
        <w:rPr>
          <w:spacing w:val="75"/>
        </w:rPr>
        <w:t xml:space="preserve"> </w:t>
      </w:r>
      <w:r>
        <w:t>a</w:t>
      </w:r>
      <w:r>
        <w:rPr>
          <w:spacing w:val="75"/>
        </w:rPr>
        <w:t xml:space="preserve"> </w:t>
      </w:r>
      <w:r>
        <w:t>la</w:t>
      </w:r>
      <w:r>
        <w:rPr>
          <w:spacing w:val="75"/>
        </w:rPr>
        <w:t xml:space="preserve"> </w:t>
      </w:r>
      <w:r>
        <w:t>disposición</w:t>
      </w:r>
      <w:r>
        <w:rPr>
          <w:spacing w:val="75"/>
        </w:rPr>
        <w:t xml:space="preserve"> </w:t>
      </w:r>
      <w:r>
        <w:t>adicional</w:t>
      </w:r>
      <w:r>
        <w:rPr>
          <w:spacing w:val="75"/>
        </w:rPr>
        <w:t xml:space="preserve"> </w:t>
      </w:r>
      <w:r>
        <w:t>primera</w:t>
      </w:r>
      <w:r>
        <w:rPr>
          <w:spacing w:val="75"/>
        </w:rPr>
        <w:t xml:space="preserve"> </w:t>
      </w:r>
      <w:r>
        <w:t>de</w:t>
      </w:r>
      <w:r>
        <w:rPr>
          <w:spacing w:val="75"/>
        </w:rPr>
        <w:t xml:space="preserve"> </w:t>
      </w:r>
      <w:r>
        <w:t>la Ley 58/2013, de 17 de diciembre, General Tributaria; al artículo 20 del texto refundido de la Ley Reguladora de las Haciendas Locales, aprobado mediante Real Decreto Legislativo 2/2004,</w:t>
      </w:r>
      <w:r>
        <w:rPr>
          <w:spacing w:val="-1"/>
        </w:rPr>
        <w:t xml:space="preserve"> </w:t>
      </w:r>
      <w:r>
        <w:t>de</w:t>
      </w:r>
      <w:r>
        <w:rPr>
          <w:spacing w:val="-1"/>
        </w:rPr>
        <w:t xml:space="preserve"> </w:t>
      </w:r>
      <w:r>
        <w:t>5</w:t>
      </w:r>
      <w:r>
        <w:rPr>
          <w:spacing w:val="-1"/>
        </w:rPr>
        <w:t xml:space="preserve"> </w:t>
      </w:r>
      <w:r>
        <w:t>de</w:t>
      </w:r>
      <w:r>
        <w:rPr>
          <w:spacing w:val="-1"/>
        </w:rPr>
        <w:t xml:space="preserve"> </w:t>
      </w:r>
      <w:r>
        <w:t>marzo,</w:t>
      </w:r>
      <w:r>
        <w:rPr>
          <w:spacing w:val="-1"/>
        </w:rPr>
        <w:t xml:space="preserve"> </w:t>
      </w:r>
      <w:r>
        <w:t>añadiéndole</w:t>
      </w:r>
      <w:r>
        <w:rPr>
          <w:spacing w:val="-1"/>
        </w:rPr>
        <w:t xml:space="preserve"> </w:t>
      </w:r>
      <w:r>
        <w:t>un</w:t>
      </w:r>
      <w:r>
        <w:rPr>
          <w:spacing w:val="-1"/>
        </w:rPr>
        <w:t xml:space="preserve"> </w:t>
      </w:r>
      <w:r>
        <w:t>nuevo</w:t>
      </w:r>
      <w:r>
        <w:rPr>
          <w:spacing w:val="-1"/>
        </w:rPr>
        <w:t xml:space="preserve"> </w:t>
      </w:r>
      <w:r>
        <w:t>apartado</w:t>
      </w:r>
      <w:r>
        <w:rPr>
          <w:spacing w:val="-1"/>
        </w:rPr>
        <w:t xml:space="preserve"> </w:t>
      </w:r>
      <w:r>
        <w:t>6,</w:t>
      </w:r>
      <w:r>
        <w:rPr>
          <w:spacing w:val="-1"/>
        </w:rPr>
        <w:t xml:space="preserve"> </w:t>
      </w:r>
      <w:r>
        <w:t>y</w:t>
      </w:r>
      <w:r>
        <w:rPr>
          <w:spacing w:val="-1"/>
        </w:rPr>
        <w:t xml:space="preserve"> </w:t>
      </w:r>
      <w:r>
        <w:t>al</w:t>
      </w:r>
      <w:r>
        <w:rPr>
          <w:spacing w:val="-1"/>
        </w:rPr>
        <w:t xml:space="preserve"> </w:t>
      </w:r>
      <w:r>
        <w:t>artículo</w:t>
      </w:r>
      <w:r>
        <w:rPr>
          <w:spacing w:val="-1"/>
        </w:rPr>
        <w:t xml:space="preserve"> </w:t>
      </w:r>
      <w:r>
        <w:t>2</w:t>
      </w:r>
      <w:r>
        <w:rPr>
          <w:spacing w:val="-1"/>
        </w:rPr>
        <w:t xml:space="preserve"> </w:t>
      </w:r>
      <w:r>
        <w:t>de</w:t>
      </w:r>
      <w:r>
        <w:rPr>
          <w:spacing w:val="-1"/>
        </w:rPr>
        <w:t xml:space="preserve"> </w:t>
      </w:r>
      <w:r>
        <w:t>la</w:t>
      </w:r>
      <w:r>
        <w:rPr>
          <w:spacing w:val="-1"/>
        </w:rPr>
        <w:t xml:space="preserve"> </w:t>
      </w:r>
      <w:r>
        <w:t>Ley</w:t>
      </w:r>
      <w:r>
        <w:rPr>
          <w:spacing w:val="-1"/>
        </w:rPr>
        <w:t xml:space="preserve"> </w:t>
      </w:r>
      <w:r>
        <w:t>8/1989,</w:t>
      </w:r>
      <w:r>
        <w:rPr>
          <w:spacing w:val="-1"/>
        </w:rPr>
        <w:t xml:space="preserve"> </w:t>
      </w:r>
      <w:r>
        <w:t>de 13 de abril, del régimen jurídico de las tasas y los precios públicos añadiéndole una nueva letra c).</w:t>
      </w:r>
    </w:p>
    <w:p w:rsidR="0092635B" w:rsidRDefault="00000000">
      <w:pPr>
        <w:pStyle w:val="Textoindependiente"/>
        <w:spacing w:before="8" w:line="249" w:lineRule="auto"/>
        <w:ind w:right="1103"/>
      </w:pPr>
      <w:r>
        <w:t>Igualmente, es precisa la modificación de la Ley 37/1992, de 28 de diciembre, del Impuesto sobre el Valor Añadido, con la finalidad de aclarar la no sujeción al impuesto de determinadas operaciones realizadas por entes públicos, así como clarificar el concepto de subvención vinculada a precio a efecto de su inclusión en la base imponible del IVA.</w:t>
      </w:r>
    </w:p>
    <w:p w:rsidR="0092635B" w:rsidRDefault="00000000">
      <w:pPr>
        <w:pStyle w:val="Textoindependiente"/>
        <w:spacing w:before="3" w:line="249" w:lineRule="auto"/>
        <w:ind w:right="1104"/>
      </w:pPr>
      <w:r>
        <w:t>La Ley 28/2014, de 27 de noviembre, modificó el artículo 7.8.º de la Ley del IVA con el objetivo de establecer la no sujeción de las operaciones que las Administraciones Públicas realicen sin contraprestación o con contraprestación de naturaleza tributaria, así como de los servicios que las entidades del sector público prestan en el ámbito interno a las Administraciones Públicas de las que dependen.</w:t>
      </w:r>
    </w:p>
    <w:p w:rsidR="0092635B" w:rsidRDefault="00000000">
      <w:pPr>
        <w:pStyle w:val="Textoindependiente"/>
        <w:spacing w:before="4" w:line="249" w:lineRule="auto"/>
        <w:ind w:right="1103"/>
      </w:pPr>
      <w:r>
        <w:t>No obstante, la normativa comunitaria establece expresamente una serie de sectores de actividad que, en todo caso, deben quedar sujetos al Impuesto aunque sean realizados por una Administración Pública, y que se señalan en la propia Ley. Dentro de estas actividades, el mismo acomodo a la normativa y jurisprudencia comunitarias (sentencia de 22 de junio de 2016, del Tribunal de Justicia de la Unión Europea, recaída en el asunto Ceský Rozhlas) exige clarificar el régimen de sujeción de la actividad de radiotelevisión efectuadas por las entidades del sector público que solo deben quedar sujetas al Impuesto y ser generadores del derecho a la deducción cuando tengan carácter comercial.</w:t>
      </w:r>
    </w:p>
    <w:p w:rsidR="0092635B" w:rsidRDefault="00000000">
      <w:pPr>
        <w:pStyle w:val="Textoindependiente"/>
        <w:spacing w:before="7" w:line="249" w:lineRule="auto"/>
        <w:ind w:right="1105"/>
      </w:pPr>
      <w:r>
        <w:t xml:space="preserve">Por todo lo anterior se da una nueva redacción al número 8.º del artículo 7 de la Ley del </w:t>
      </w:r>
      <w:r>
        <w:rPr>
          <w:spacing w:val="-4"/>
        </w:rPr>
        <w:t>IVA.</w:t>
      </w:r>
    </w:p>
    <w:p w:rsidR="0092635B" w:rsidRDefault="00000000">
      <w:pPr>
        <w:pStyle w:val="Textoindependiente"/>
        <w:spacing w:before="1" w:line="249" w:lineRule="auto"/>
        <w:ind w:right="1103"/>
      </w:pPr>
      <w:r>
        <w:t>Por otra parte, se hace necesario excluir desde la entrada en vigor de esta modificación normativa, de la consideración de subvenciones vinculadas al precio de las operaciones que constituyen la base imponible de las operaciones sujetas al IVA, aquellas aportaciones financieras</w:t>
      </w:r>
      <w:r>
        <w:rPr>
          <w:spacing w:val="-2"/>
        </w:rPr>
        <w:t xml:space="preserve"> </w:t>
      </w:r>
      <w:r>
        <w:t>que</w:t>
      </w:r>
      <w:r>
        <w:rPr>
          <w:spacing w:val="-2"/>
        </w:rPr>
        <w:t xml:space="preserve"> </w:t>
      </w:r>
      <w:r>
        <w:t>las</w:t>
      </w:r>
      <w:r>
        <w:rPr>
          <w:spacing w:val="-2"/>
        </w:rPr>
        <w:t xml:space="preserve"> </w:t>
      </w:r>
      <w:r>
        <w:t>Administraciones</w:t>
      </w:r>
      <w:r>
        <w:rPr>
          <w:spacing w:val="-2"/>
        </w:rPr>
        <w:t xml:space="preserve"> </w:t>
      </w:r>
      <w:r>
        <w:t>Públicas</w:t>
      </w:r>
      <w:r>
        <w:rPr>
          <w:spacing w:val="-2"/>
        </w:rPr>
        <w:t xml:space="preserve"> </w:t>
      </w:r>
      <w:r>
        <w:t>realizan</w:t>
      </w:r>
      <w:r>
        <w:rPr>
          <w:spacing w:val="-2"/>
        </w:rPr>
        <w:t xml:space="preserve"> </w:t>
      </w:r>
      <w:r>
        <w:t>al</w:t>
      </w:r>
      <w:r>
        <w:rPr>
          <w:spacing w:val="-2"/>
        </w:rPr>
        <w:t xml:space="preserve"> </w:t>
      </w:r>
      <w:r>
        <w:t>operador</w:t>
      </w:r>
      <w:r>
        <w:rPr>
          <w:spacing w:val="-2"/>
        </w:rPr>
        <w:t xml:space="preserve"> </w:t>
      </w:r>
      <w:r>
        <w:t>de</w:t>
      </w:r>
      <w:r>
        <w:rPr>
          <w:spacing w:val="-2"/>
        </w:rPr>
        <w:t xml:space="preserve"> </w:t>
      </w:r>
      <w:r>
        <w:t>determinados</w:t>
      </w:r>
      <w:r>
        <w:rPr>
          <w:spacing w:val="-2"/>
        </w:rPr>
        <w:t xml:space="preserve"> </w:t>
      </w:r>
      <w:r>
        <w:t>servicios de</w:t>
      </w:r>
      <w:r>
        <w:rPr>
          <w:spacing w:val="-3"/>
        </w:rPr>
        <w:t xml:space="preserve"> </w:t>
      </w:r>
      <w:r>
        <w:t>competencia</w:t>
      </w:r>
      <w:r>
        <w:rPr>
          <w:spacing w:val="-3"/>
        </w:rPr>
        <w:t xml:space="preserve"> </w:t>
      </w:r>
      <w:r>
        <w:t>pública</w:t>
      </w:r>
      <w:r>
        <w:rPr>
          <w:spacing w:val="-3"/>
        </w:rPr>
        <w:t xml:space="preserve"> </w:t>
      </w:r>
      <w:r>
        <w:t>cuando</w:t>
      </w:r>
      <w:r>
        <w:rPr>
          <w:spacing w:val="-3"/>
        </w:rPr>
        <w:t xml:space="preserve"> </w:t>
      </w:r>
      <w:r>
        <w:t>no</w:t>
      </w:r>
      <w:r>
        <w:rPr>
          <w:spacing w:val="-3"/>
        </w:rPr>
        <w:t xml:space="preserve"> </w:t>
      </w:r>
      <w:r>
        <w:t>existe</w:t>
      </w:r>
      <w:r>
        <w:rPr>
          <w:spacing w:val="-3"/>
        </w:rPr>
        <w:t xml:space="preserve"> </w:t>
      </w:r>
      <w:r>
        <w:t>distorsión</w:t>
      </w:r>
      <w:r>
        <w:rPr>
          <w:spacing w:val="-3"/>
        </w:rPr>
        <w:t xml:space="preserve"> </w:t>
      </w:r>
      <w:r>
        <w:t>de</w:t>
      </w:r>
      <w:r>
        <w:rPr>
          <w:spacing w:val="-3"/>
        </w:rPr>
        <w:t xml:space="preserve"> </w:t>
      </w:r>
      <w:r>
        <w:t>la</w:t>
      </w:r>
      <w:r>
        <w:rPr>
          <w:spacing w:val="-3"/>
        </w:rPr>
        <w:t xml:space="preserve"> </w:t>
      </w:r>
      <w:r>
        <w:t>competencia,</w:t>
      </w:r>
      <w:r>
        <w:rPr>
          <w:spacing w:val="-3"/>
        </w:rPr>
        <w:t xml:space="preserve"> </w:t>
      </w:r>
      <w:r>
        <w:t>generalmente</w:t>
      </w:r>
      <w:r>
        <w:rPr>
          <w:spacing w:val="-3"/>
        </w:rPr>
        <w:t xml:space="preserve"> </w:t>
      </w:r>
      <w:r>
        <w:t>porque al</w:t>
      </w:r>
      <w:r>
        <w:rPr>
          <w:spacing w:val="40"/>
        </w:rPr>
        <w:t xml:space="preserve"> </w:t>
      </w:r>
      <w:r>
        <w:t>tratarse</w:t>
      </w:r>
      <w:r>
        <w:rPr>
          <w:spacing w:val="40"/>
        </w:rPr>
        <w:t xml:space="preserve"> </w:t>
      </w:r>
      <w:r>
        <w:t>de</w:t>
      </w:r>
      <w:r>
        <w:rPr>
          <w:spacing w:val="40"/>
        </w:rPr>
        <w:t xml:space="preserve"> </w:t>
      </w:r>
      <w:r>
        <w:t>actividades</w:t>
      </w:r>
      <w:r>
        <w:rPr>
          <w:spacing w:val="40"/>
        </w:rPr>
        <w:t xml:space="preserve"> </w:t>
      </w:r>
      <w:r>
        <w:t>financiadas</w:t>
      </w:r>
      <w:r>
        <w:rPr>
          <w:spacing w:val="40"/>
        </w:rPr>
        <w:t xml:space="preserve"> </w:t>
      </w:r>
      <w:r>
        <w:t>total</w:t>
      </w:r>
      <w:r>
        <w:rPr>
          <w:spacing w:val="40"/>
        </w:rPr>
        <w:t xml:space="preserve"> </w:t>
      </w:r>
      <w:r>
        <w:t>o</w:t>
      </w:r>
      <w:r>
        <w:rPr>
          <w:spacing w:val="40"/>
        </w:rPr>
        <w:t xml:space="preserve"> </w:t>
      </w:r>
      <w:r>
        <w:t>parcialmente</w:t>
      </w:r>
      <w:r>
        <w:rPr>
          <w:spacing w:val="40"/>
        </w:rPr>
        <w:t xml:space="preserve"> </w:t>
      </w:r>
      <w:r>
        <w:t>por</w:t>
      </w:r>
      <w:r>
        <w:rPr>
          <w:spacing w:val="40"/>
        </w:rPr>
        <w:t xml:space="preserve"> </w:t>
      </w:r>
      <w:r>
        <w:t>la</w:t>
      </w:r>
      <w:r>
        <w:rPr>
          <w:spacing w:val="40"/>
        </w:rPr>
        <w:t xml:space="preserve"> </w:t>
      </w:r>
      <w:r>
        <w:t>Administración</w:t>
      </w:r>
      <w:r>
        <w:rPr>
          <w:spacing w:val="40"/>
        </w:rPr>
        <w:t xml:space="preserve"> </w:t>
      </w:r>
      <w:r>
        <w:t>no</w:t>
      </w:r>
      <w:r>
        <w:rPr>
          <w:spacing w:val="40"/>
        </w:rPr>
        <w:t xml:space="preserve"> </w:t>
      </w:r>
      <w:r>
        <w:t>se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prestan en régimen de libre concurrencia, como por ejemplo, los servicios de transporte municipal o, determinadas actividades culturales financiadas con estas aportaciones.</w:t>
      </w:r>
    </w:p>
    <w:p w:rsidR="0092635B" w:rsidRDefault="00000000">
      <w:pPr>
        <w:pStyle w:val="Textoindependiente"/>
        <w:spacing w:before="1" w:line="249" w:lineRule="auto"/>
        <w:ind w:right="1104"/>
      </w:pPr>
      <w:r>
        <w:t xml:space="preserve">Estas aportaciones financieras que no constituyen subvenciones vinculadas al precio de las operaciones no limitarán el derecho a la deducción del Impuesto soportado por estos </w:t>
      </w:r>
      <w:r>
        <w:rPr>
          <w:spacing w:val="-2"/>
        </w:rPr>
        <w:t>operadores.</w:t>
      </w:r>
    </w:p>
    <w:p w:rsidR="0092635B" w:rsidRDefault="00000000">
      <w:pPr>
        <w:pStyle w:val="Textoindependiente"/>
        <w:spacing w:before="3" w:line="249" w:lineRule="auto"/>
        <w:ind w:right="1103"/>
      </w:pPr>
      <w:r>
        <w:t>Con independencia de lo anterior, parece razonable excluir del concepto de subvención vinculada al precio las aportaciones efectuadas por la Administración Pública para financiar actividades</w:t>
      </w:r>
      <w:r>
        <w:rPr>
          <w:spacing w:val="-2"/>
        </w:rPr>
        <w:t xml:space="preserve"> </w:t>
      </w:r>
      <w:r>
        <w:t>de</w:t>
      </w:r>
      <w:r>
        <w:rPr>
          <w:spacing w:val="-2"/>
        </w:rPr>
        <w:t xml:space="preserve"> </w:t>
      </w:r>
      <w:r>
        <w:t>interés</w:t>
      </w:r>
      <w:r>
        <w:rPr>
          <w:spacing w:val="-2"/>
        </w:rPr>
        <w:t xml:space="preserve"> </w:t>
      </w:r>
      <w:r>
        <w:t>general</w:t>
      </w:r>
      <w:r>
        <w:rPr>
          <w:spacing w:val="-2"/>
        </w:rPr>
        <w:t xml:space="preserve"> </w:t>
      </w:r>
      <w:r>
        <w:t>cuyo</w:t>
      </w:r>
      <w:r>
        <w:rPr>
          <w:spacing w:val="-2"/>
        </w:rPr>
        <w:t xml:space="preserve"> </w:t>
      </w:r>
      <w:r>
        <w:t>destinatario</w:t>
      </w:r>
      <w:r>
        <w:rPr>
          <w:spacing w:val="-2"/>
        </w:rPr>
        <w:t xml:space="preserve"> </w:t>
      </w:r>
      <w:r>
        <w:t>es</w:t>
      </w:r>
      <w:r>
        <w:rPr>
          <w:spacing w:val="-2"/>
        </w:rPr>
        <w:t xml:space="preserve"> </w:t>
      </w:r>
      <w:r>
        <w:t>el</w:t>
      </w:r>
      <w:r>
        <w:rPr>
          <w:spacing w:val="-2"/>
        </w:rPr>
        <w:t xml:space="preserve"> </w:t>
      </w:r>
      <w:r>
        <w:t>conjunto</w:t>
      </w:r>
      <w:r>
        <w:rPr>
          <w:spacing w:val="-2"/>
        </w:rPr>
        <w:t xml:space="preserve"> </w:t>
      </w:r>
      <w:r>
        <w:t>de</w:t>
      </w:r>
      <w:r>
        <w:rPr>
          <w:spacing w:val="-2"/>
        </w:rPr>
        <w:t xml:space="preserve"> </w:t>
      </w:r>
      <w:r>
        <w:t>la</w:t>
      </w:r>
      <w:r>
        <w:rPr>
          <w:spacing w:val="-2"/>
        </w:rPr>
        <w:t xml:space="preserve"> </w:t>
      </w:r>
      <w:r>
        <w:t>sociedad,</w:t>
      </w:r>
      <w:r>
        <w:rPr>
          <w:spacing w:val="-2"/>
        </w:rPr>
        <w:t xml:space="preserve"> </w:t>
      </w:r>
      <w:r>
        <w:t>al</w:t>
      </w:r>
      <w:r>
        <w:rPr>
          <w:spacing w:val="-2"/>
        </w:rPr>
        <w:t xml:space="preserve"> </w:t>
      </w:r>
      <w:r>
        <w:t>no</w:t>
      </w:r>
      <w:r>
        <w:rPr>
          <w:spacing w:val="-2"/>
        </w:rPr>
        <w:t xml:space="preserve"> </w:t>
      </w:r>
      <w:r>
        <w:t>existir</w:t>
      </w:r>
      <w:r>
        <w:rPr>
          <w:spacing w:val="-2"/>
        </w:rPr>
        <w:t xml:space="preserve"> </w:t>
      </w:r>
      <w:r>
        <w:t>un destinatario identificable ni tampoco usuarios que satisfagan contraprestación alguna. Este sería el caso de las aportaciones efectuadas para financiar actividades de investigación, desarrollo e innovación o los servicios de radiodifusión pública, en las condiciones</w:t>
      </w:r>
      <w:r>
        <w:rPr>
          <w:spacing w:val="40"/>
        </w:rPr>
        <w:t xml:space="preserve"> </w:t>
      </w:r>
      <w:r>
        <w:t>señaladas, sin perjuicio de las consecuencias que de ello se puedan derivar en cuanto al ejercicio del derecho a la deducción.</w:t>
      </w:r>
    </w:p>
    <w:p w:rsidR="0092635B" w:rsidRDefault="00000000">
      <w:pPr>
        <w:pStyle w:val="Textoindependiente"/>
        <w:spacing w:before="6" w:line="249" w:lineRule="auto"/>
        <w:ind w:right="1104"/>
      </w:pPr>
      <w:r>
        <w:t>Con independencia de lo anterior, y con el objetivo de facilitar la determinación del régimen de deducción de las entidades del sector público que realizan simultáneamente operaciones sujetas y no sujetas al Impuesto, se da nueva redacción al artículo 93. Cinco.</w:t>
      </w:r>
    </w:p>
    <w:p w:rsidR="0092635B" w:rsidRDefault="00000000">
      <w:pPr>
        <w:pStyle w:val="Textoindependiente"/>
        <w:spacing w:before="3" w:line="249" w:lineRule="auto"/>
        <w:ind w:right="1104"/>
      </w:pPr>
      <w:r>
        <w:t>Procede adaptar el vigente régimen de financiación del servicio público de noticias de titularidad estatal, prestado por la sociedad mercantil estatal Agencia EFE, SAU, a las exigencias del artículo 106 del Tratado de Funcionamiento de la Unión Europea de conformidad con la Decisión de la Comisión Europea de 9 de diciembre de 2016. La adaptación, sujeta a reserva de Ley en virtud de lo dispuesto en artículo 128, apartado 2 de la Constitución Española, exige regular los requisitos básicos de este servicio público, definiendo su función y el método para el cálculo de las modalidades de compensación con cargo a los Presupuestos Generales del Estado.</w:t>
      </w:r>
    </w:p>
    <w:p w:rsidR="0092635B" w:rsidRDefault="0092635B">
      <w:pPr>
        <w:pStyle w:val="Textoindependiente"/>
        <w:spacing w:before="0"/>
        <w:ind w:left="0" w:firstLine="0"/>
        <w:jc w:val="left"/>
      </w:pPr>
    </w:p>
    <w:p w:rsidR="0092635B" w:rsidRDefault="0092635B">
      <w:pPr>
        <w:pStyle w:val="Textoindependiente"/>
        <w:spacing w:before="0"/>
        <w:ind w:left="0" w:firstLine="0"/>
        <w:jc w:val="left"/>
      </w:pPr>
    </w:p>
    <w:p w:rsidR="0092635B" w:rsidRDefault="00000000">
      <w:pPr>
        <w:pStyle w:val="Textoindependiente"/>
        <w:spacing w:before="0"/>
        <w:ind w:left="0" w:firstLine="0"/>
        <w:jc w:val="center"/>
      </w:pPr>
      <w:bookmarkStart w:id="3" w:name="TÍTULO_PRELIMINAR._Disposiciones_general"/>
      <w:bookmarkStart w:id="4" w:name="_bookmark1"/>
      <w:bookmarkEnd w:id="3"/>
      <w:bookmarkEnd w:id="4"/>
      <w:r>
        <w:t xml:space="preserve">TÍTULO </w:t>
      </w:r>
      <w:r>
        <w:rPr>
          <w:spacing w:val="-2"/>
        </w:rPr>
        <w:t>PRELIMINAR</w:t>
      </w:r>
    </w:p>
    <w:p w:rsidR="0092635B" w:rsidRDefault="00000000">
      <w:pPr>
        <w:pStyle w:val="Ttulo2"/>
      </w:pPr>
      <w:r>
        <w:t>Disposiciones</w:t>
      </w:r>
      <w:r>
        <w:rPr>
          <w:spacing w:val="-12"/>
        </w:rPr>
        <w:t xml:space="preserve"> </w:t>
      </w:r>
      <w:r>
        <w:rPr>
          <w:spacing w:val="-2"/>
        </w:rPr>
        <w:t>generales</w:t>
      </w:r>
    </w:p>
    <w:p w:rsidR="0092635B" w:rsidRDefault="0092635B">
      <w:pPr>
        <w:pStyle w:val="Textoindependiente"/>
        <w:spacing w:before="120"/>
        <w:ind w:left="0" w:firstLine="0"/>
        <w:jc w:val="left"/>
        <w:rPr>
          <w:rFonts w:ascii="Arial"/>
          <w:b/>
        </w:rPr>
      </w:pPr>
    </w:p>
    <w:p w:rsidR="0092635B" w:rsidRDefault="00000000">
      <w:pPr>
        <w:pStyle w:val="Textoindependiente"/>
        <w:spacing w:before="1"/>
        <w:ind w:left="0" w:firstLine="0"/>
        <w:jc w:val="center"/>
      </w:pPr>
      <w:bookmarkStart w:id="5" w:name="CAPÍTULO_I._Objeto_y_ámbito_de_aplicació"/>
      <w:bookmarkStart w:id="6" w:name="_bookmark2"/>
      <w:bookmarkEnd w:id="5"/>
      <w:bookmarkEnd w:id="6"/>
      <w:r>
        <w:t xml:space="preserve">CAPÍTULO </w:t>
      </w:r>
      <w:r>
        <w:rPr>
          <w:spacing w:val="-10"/>
        </w:rPr>
        <w:t>I</w:t>
      </w:r>
    </w:p>
    <w:p w:rsidR="0092635B" w:rsidRDefault="00000000">
      <w:pPr>
        <w:pStyle w:val="Ttulo2"/>
      </w:pPr>
      <w:r>
        <w:t>Objeto</w:t>
      </w:r>
      <w:r>
        <w:rPr>
          <w:spacing w:val="-3"/>
        </w:rPr>
        <w:t xml:space="preserve"> </w:t>
      </w:r>
      <w:r>
        <w:t>y ámbito</w:t>
      </w:r>
      <w:r>
        <w:rPr>
          <w:spacing w:val="-1"/>
        </w:rPr>
        <w:t xml:space="preserve"> </w:t>
      </w:r>
      <w:r>
        <w:t>de aplicación</w:t>
      </w:r>
      <w:r>
        <w:rPr>
          <w:spacing w:val="-1"/>
        </w:rPr>
        <w:t xml:space="preserve"> </w:t>
      </w:r>
      <w:r>
        <w:t xml:space="preserve">de la </w:t>
      </w:r>
      <w:r>
        <w:rPr>
          <w:spacing w:val="-5"/>
        </w:rPr>
        <w:t>Ley</w:t>
      </w:r>
    </w:p>
    <w:p w:rsidR="0092635B" w:rsidRDefault="0092635B">
      <w:pPr>
        <w:pStyle w:val="Textoindependiente"/>
        <w:spacing w:before="7"/>
        <w:ind w:left="0" w:firstLine="0"/>
        <w:jc w:val="left"/>
        <w:rPr>
          <w:rFonts w:ascii="Arial"/>
          <w:b/>
        </w:rPr>
      </w:pPr>
    </w:p>
    <w:p w:rsidR="0092635B" w:rsidRDefault="00000000">
      <w:pPr>
        <w:pStyle w:val="Ttulo3"/>
      </w:pPr>
      <w:bookmarkStart w:id="7" w:name="Sección_1.ª_Objeto_y_ámbito_de_aplicació"/>
      <w:bookmarkStart w:id="8" w:name="_bookmark3"/>
      <w:bookmarkEnd w:id="7"/>
      <w:bookmarkEnd w:id="8"/>
      <w:r>
        <w:t>Sección</w:t>
      </w:r>
      <w:r>
        <w:rPr>
          <w:spacing w:val="-1"/>
        </w:rPr>
        <w:t xml:space="preserve"> </w:t>
      </w:r>
      <w:r>
        <w:t>1.ª Objeto</w:t>
      </w:r>
      <w:r>
        <w:rPr>
          <w:spacing w:val="-1"/>
        </w:rPr>
        <w:t xml:space="preserve"> </w:t>
      </w:r>
      <w:r>
        <w:t>y ámbito</w:t>
      </w:r>
      <w:r>
        <w:rPr>
          <w:spacing w:val="-1"/>
        </w:rPr>
        <w:t xml:space="preserve"> </w:t>
      </w:r>
      <w:r>
        <w:t xml:space="preserve">de </w:t>
      </w:r>
      <w:r>
        <w:rPr>
          <w:spacing w:val="-2"/>
        </w:rPr>
        <w:t>aplicación</w:t>
      </w:r>
    </w:p>
    <w:p w:rsidR="0092635B" w:rsidRDefault="0092635B">
      <w:pPr>
        <w:pStyle w:val="Textoindependiente"/>
        <w:spacing w:before="6"/>
        <w:ind w:left="0" w:firstLine="0"/>
        <w:jc w:val="left"/>
        <w:rPr>
          <w:rFonts w:ascii="Arial"/>
          <w:b/>
          <w:i/>
        </w:rPr>
      </w:pPr>
    </w:p>
    <w:p w:rsidR="0092635B" w:rsidRDefault="00000000">
      <w:pPr>
        <w:spacing w:before="1"/>
        <w:ind w:left="1106"/>
        <w:jc w:val="both"/>
        <w:rPr>
          <w:rFonts w:ascii="Arial" w:hAnsi="Arial"/>
          <w:i/>
          <w:sz w:val="20"/>
        </w:rPr>
      </w:pPr>
      <w:bookmarkStart w:id="9" w:name="Artículo_1._Objeto_y_finalidad."/>
      <w:bookmarkEnd w:id="9"/>
      <w:r>
        <w:rPr>
          <w:rFonts w:ascii="Arial" w:hAnsi="Arial"/>
          <w:b/>
          <w:sz w:val="20"/>
        </w:rPr>
        <w:t>Artículo</w:t>
      </w:r>
      <w:r>
        <w:rPr>
          <w:rFonts w:ascii="Arial" w:hAnsi="Arial"/>
          <w:b/>
          <w:spacing w:val="-3"/>
          <w:sz w:val="20"/>
        </w:rPr>
        <w:t xml:space="preserve"> </w:t>
      </w:r>
      <w:r>
        <w:rPr>
          <w:rFonts w:ascii="Arial" w:hAnsi="Arial"/>
          <w:b/>
          <w:sz w:val="20"/>
        </w:rPr>
        <w:t>1.</w:t>
      </w:r>
      <w:r>
        <w:rPr>
          <w:rFonts w:ascii="Arial" w:hAnsi="Arial"/>
          <w:b/>
          <w:spacing w:val="52"/>
          <w:sz w:val="20"/>
        </w:rPr>
        <w:t xml:space="preserve"> </w:t>
      </w:r>
      <w:r>
        <w:rPr>
          <w:rFonts w:ascii="Arial" w:hAnsi="Arial"/>
          <w:i/>
          <w:sz w:val="20"/>
        </w:rPr>
        <w:t>Objeto</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finalidad.</w:t>
      </w:r>
    </w:p>
    <w:p w:rsidR="0092635B" w:rsidRDefault="00000000">
      <w:pPr>
        <w:pStyle w:val="Prrafodelista"/>
        <w:numPr>
          <w:ilvl w:val="0"/>
          <w:numId w:val="351"/>
        </w:numPr>
        <w:tabs>
          <w:tab w:val="left" w:pos="1696"/>
        </w:tabs>
        <w:spacing w:before="123" w:line="249" w:lineRule="auto"/>
        <w:ind w:right="1104" w:firstLine="340"/>
        <w:jc w:val="both"/>
        <w:rPr>
          <w:sz w:val="20"/>
        </w:rPr>
      </w:pPr>
      <w:r>
        <w:rPr>
          <w:sz w:val="20"/>
        </w:rPr>
        <w:t>La presente Ley tiene por objeto regular la contratación del sector público, a fin de garantizar que la misma se ajusta a los principios de libertad de acceso a las licitaciones, publicidad y transparencia de los procedimientos, y no discriminación e igualdad de trato entre</w:t>
      </w:r>
      <w:r>
        <w:rPr>
          <w:spacing w:val="-1"/>
          <w:sz w:val="20"/>
        </w:rPr>
        <w:t xml:space="preserve"> </w:t>
      </w:r>
      <w:r>
        <w:rPr>
          <w:sz w:val="20"/>
        </w:rPr>
        <w:t>los</w:t>
      </w:r>
      <w:r>
        <w:rPr>
          <w:spacing w:val="-1"/>
          <w:sz w:val="20"/>
        </w:rPr>
        <w:t xml:space="preserve"> </w:t>
      </w:r>
      <w:r>
        <w:rPr>
          <w:sz w:val="20"/>
        </w:rPr>
        <w:t>licitadores;</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asegurar,</w:t>
      </w:r>
      <w:r>
        <w:rPr>
          <w:spacing w:val="-1"/>
          <w:sz w:val="20"/>
        </w:rPr>
        <w:t xml:space="preserve"> </w:t>
      </w:r>
      <w:r>
        <w:rPr>
          <w:sz w:val="20"/>
        </w:rPr>
        <w:t>en</w:t>
      </w:r>
      <w:r>
        <w:rPr>
          <w:spacing w:val="-1"/>
          <w:sz w:val="20"/>
        </w:rPr>
        <w:t xml:space="preserve"> </w:t>
      </w:r>
      <w:r>
        <w:rPr>
          <w:sz w:val="20"/>
        </w:rPr>
        <w:t>conexión</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objetivo</w:t>
      </w:r>
      <w:r>
        <w:rPr>
          <w:spacing w:val="-1"/>
          <w:sz w:val="20"/>
        </w:rPr>
        <w:t xml:space="preserve"> </w:t>
      </w:r>
      <w:r>
        <w:rPr>
          <w:sz w:val="20"/>
        </w:rPr>
        <w:t>de</w:t>
      </w:r>
      <w:r>
        <w:rPr>
          <w:spacing w:val="-1"/>
          <w:sz w:val="20"/>
        </w:rPr>
        <w:t xml:space="preserve"> </w:t>
      </w:r>
      <w:r>
        <w:rPr>
          <w:sz w:val="20"/>
        </w:rPr>
        <w:t>estabilidad</w:t>
      </w:r>
      <w:r>
        <w:rPr>
          <w:spacing w:val="-1"/>
          <w:sz w:val="20"/>
        </w:rPr>
        <w:t xml:space="preserve"> </w:t>
      </w:r>
      <w:r>
        <w:rPr>
          <w:sz w:val="20"/>
        </w:rPr>
        <w:t>presupuestaria y control del gasto, y el principio de integridad,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w:t>
      </w:r>
    </w:p>
    <w:p w:rsidR="0092635B" w:rsidRDefault="00000000">
      <w:pPr>
        <w:pStyle w:val="Prrafodelista"/>
        <w:numPr>
          <w:ilvl w:val="0"/>
          <w:numId w:val="351"/>
        </w:numPr>
        <w:tabs>
          <w:tab w:val="left" w:pos="1699"/>
        </w:tabs>
        <w:spacing w:before="7" w:line="249" w:lineRule="auto"/>
        <w:ind w:right="1104" w:firstLine="340"/>
        <w:jc w:val="both"/>
        <w:rPr>
          <w:sz w:val="20"/>
        </w:rPr>
      </w:pPr>
      <w:r>
        <w:rPr>
          <w:sz w:val="20"/>
        </w:rPr>
        <w:t>Es igualmente objeto de esta Ley la regulación del régimen jurídico aplicable a los efectos, cumplimiento y extinción de los contratos administrativos, en atención a los fines institucionales de carácter público que a través de los mismos se tratan de realizar.</w:t>
      </w:r>
    </w:p>
    <w:p w:rsidR="0092635B" w:rsidRDefault="00000000">
      <w:pPr>
        <w:pStyle w:val="Prrafodelista"/>
        <w:numPr>
          <w:ilvl w:val="0"/>
          <w:numId w:val="351"/>
        </w:numPr>
        <w:tabs>
          <w:tab w:val="left" w:pos="1718"/>
        </w:tabs>
        <w:spacing w:line="249" w:lineRule="auto"/>
        <w:ind w:right="1104" w:firstLine="340"/>
        <w:jc w:val="both"/>
        <w:rPr>
          <w:sz w:val="20"/>
        </w:rPr>
      </w:pPr>
      <w:r>
        <w:rPr>
          <w:sz w:val="20"/>
        </w:rPr>
        <w:t>En toda contratación pública se incorporarán de manera transversal y preceptiva criterios</w:t>
      </w:r>
      <w:r>
        <w:rPr>
          <w:spacing w:val="-1"/>
          <w:sz w:val="20"/>
        </w:rPr>
        <w:t xml:space="preserve"> </w:t>
      </w:r>
      <w:r>
        <w:rPr>
          <w:sz w:val="20"/>
        </w:rPr>
        <w:t>sociales</w:t>
      </w:r>
      <w:r>
        <w:rPr>
          <w:spacing w:val="-1"/>
          <w:sz w:val="20"/>
        </w:rPr>
        <w:t xml:space="preserve"> </w:t>
      </w:r>
      <w:r>
        <w:rPr>
          <w:sz w:val="20"/>
        </w:rPr>
        <w:t>y</w:t>
      </w:r>
      <w:r>
        <w:rPr>
          <w:spacing w:val="-1"/>
          <w:sz w:val="20"/>
        </w:rPr>
        <w:t xml:space="preserve"> </w:t>
      </w:r>
      <w:r>
        <w:rPr>
          <w:sz w:val="20"/>
        </w:rPr>
        <w:t>medioambientales</w:t>
      </w:r>
      <w:r>
        <w:rPr>
          <w:spacing w:val="-1"/>
          <w:sz w:val="20"/>
        </w:rPr>
        <w:t xml:space="preserve"> </w:t>
      </w:r>
      <w:r>
        <w:rPr>
          <w:sz w:val="20"/>
        </w:rPr>
        <w:t>siempre</w:t>
      </w:r>
      <w:r>
        <w:rPr>
          <w:spacing w:val="-1"/>
          <w:sz w:val="20"/>
        </w:rPr>
        <w:t xml:space="preserve"> </w:t>
      </w:r>
      <w:r>
        <w:rPr>
          <w:sz w:val="20"/>
        </w:rPr>
        <w:t>que</w:t>
      </w:r>
      <w:r>
        <w:rPr>
          <w:spacing w:val="-1"/>
          <w:sz w:val="20"/>
        </w:rPr>
        <w:t xml:space="preserve"> </w:t>
      </w:r>
      <w:r>
        <w:rPr>
          <w:sz w:val="20"/>
        </w:rPr>
        <w:t>guarde</w:t>
      </w:r>
      <w:r>
        <w:rPr>
          <w:spacing w:val="-1"/>
          <w:sz w:val="20"/>
        </w:rPr>
        <w:t xml:space="preserve"> </w:t>
      </w:r>
      <w:r>
        <w:rPr>
          <w:sz w:val="20"/>
        </w:rPr>
        <w:t>relación</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objeto</w:t>
      </w:r>
      <w:r>
        <w:rPr>
          <w:spacing w:val="-1"/>
          <w:sz w:val="20"/>
        </w:rPr>
        <w:t xml:space="preserve"> </w:t>
      </w:r>
      <w:r>
        <w:rPr>
          <w:sz w:val="20"/>
        </w:rPr>
        <w:t>del</w:t>
      </w:r>
      <w:r>
        <w:rPr>
          <w:spacing w:val="-1"/>
          <w:sz w:val="20"/>
        </w:rPr>
        <w:t xml:space="preserve"> </w:t>
      </w:r>
      <w:r>
        <w:rPr>
          <w:sz w:val="20"/>
        </w:rPr>
        <w:t>contrato, en la convicción de que su inclusión proporciona una mejor relación calidad-precio en la prestación contractual, así como una mayor y mejor eficiencia en la utilización de los fondos públicos. Igualmente se facilitará el acceso a la contratación pública de las pequeñas y medianas empresas, así como de las empresas de economía social.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10" w:name="Artículo_2._Ámbito_de_aplicación."/>
      <w:bookmarkEnd w:id="10"/>
      <w:r>
        <w:rPr>
          <w:rFonts w:ascii="Arial" w:hAnsi="Arial"/>
          <w:b/>
          <w:sz w:val="20"/>
        </w:rPr>
        <w:t>Artículo</w:t>
      </w:r>
      <w:r>
        <w:rPr>
          <w:rFonts w:ascii="Arial" w:hAnsi="Arial"/>
          <w:b/>
          <w:spacing w:val="-4"/>
          <w:sz w:val="20"/>
        </w:rPr>
        <w:t xml:space="preserve"> </w:t>
      </w:r>
      <w:r>
        <w:rPr>
          <w:rFonts w:ascii="Arial" w:hAnsi="Arial"/>
          <w:b/>
          <w:sz w:val="20"/>
        </w:rPr>
        <w:t>2.</w:t>
      </w:r>
      <w:r>
        <w:rPr>
          <w:rFonts w:ascii="Arial" w:hAnsi="Arial"/>
          <w:b/>
          <w:spacing w:val="52"/>
          <w:sz w:val="20"/>
        </w:rPr>
        <w:t xml:space="preserve"> </w:t>
      </w:r>
      <w:r>
        <w:rPr>
          <w:rFonts w:ascii="Arial" w:hAnsi="Arial"/>
          <w:i/>
          <w:sz w:val="20"/>
        </w:rPr>
        <w:t>Ãmbito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aplicación.</w:t>
      </w:r>
    </w:p>
    <w:p w:rsidR="0092635B" w:rsidRDefault="00000000">
      <w:pPr>
        <w:pStyle w:val="Prrafodelista"/>
        <w:numPr>
          <w:ilvl w:val="0"/>
          <w:numId w:val="350"/>
        </w:numPr>
        <w:tabs>
          <w:tab w:val="left" w:pos="1693"/>
        </w:tabs>
        <w:spacing w:before="123" w:line="249" w:lineRule="auto"/>
        <w:ind w:right="1104" w:firstLine="340"/>
        <w:jc w:val="both"/>
        <w:rPr>
          <w:sz w:val="20"/>
        </w:rPr>
      </w:pPr>
      <w:r>
        <w:rPr>
          <w:sz w:val="20"/>
        </w:rPr>
        <w:t>Son contratos del sector público y, en consecuencia, están sometidos a la presente Ley</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forma</w:t>
      </w:r>
      <w:r>
        <w:rPr>
          <w:spacing w:val="-2"/>
          <w:sz w:val="20"/>
        </w:rPr>
        <w:t xml:space="preserve"> </w:t>
      </w:r>
      <w:r>
        <w:rPr>
          <w:sz w:val="20"/>
        </w:rPr>
        <w:t>y</w:t>
      </w:r>
      <w:r>
        <w:rPr>
          <w:spacing w:val="-2"/>
          <w:sz w:val="20"/>
        </w:rPr>
        <w:t xml:space="preserve"> </w:t>
      </w:r>
      <w:r>
        <w:rPr>
          <w:sz w:val="20"/>
        </w:rPr>
        <w:t>términos</w:t>
      </w:r>
      <w:r>
        <w:rPr>
          <w:spacing w:val="-2"/>
          <w:sz w:val="20"/>
        </w:rPr>
        <w:t xml:space="preserve"> </w:t>
      </w:r>
      <w:r>
        <w:rPr>
          <w:sz w:val="20"/>
        </w:rPr>
        <w:t>previstos</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misma,</w:t>
      </w:r>
      <w:r>
        <w:rPr>
          <w:spacing w:val="-2"/>
          <w:sz w:val="20"/>
        </w:rPr>
        <w:t xml:space="preserve"> </w:t>
      </w:r>
      <w:r>
        <w:rPr>
          <w:sz w:val="20"/>
        </w:rPr>
        <w:t>los</w:t>
      </w:r>
      <w:r>
        <w:rPr>
          <w:spacing w:val="-2"/>
          <w:sz w:val="20"/>
        </w:rPr>
        <w:t xml:space="preserve"> </w:t>
      </w:r>
      <w:r>
        <w:rPr>
          <w:sz w:val="20"/>
        </w:rPr>
        <w:t>contratos</w:t>
      </w:r>
      <w:r>
        <w:rPr>
          <w:spacing w:val="-2"/>
          <w:sz w:val="20"/>
        </w:rPr>
        <w:t xml:space="preserve"> </w:t>
      </w:r>
      <w:r>
        <w:rPr>
          <w:sz w:val="20"/>
        </w:rPr>
        <w:t>onerosos,</w:t>
      </w:r>
      <w:r>
        <w:rPr>
          <w:spacing w:val="-2"/>
          <w:sz w:val="20"/>
        </w:rPr>
        <w:t xml:space="preserve"> </w:t>
      </w:r>
      <w:r>
        <w:rPr>
          <w:sz w:val="20"/>
        </w:rPr>
        <w:t>cualquiera</w:t>
      </w:r>
      <w:r>
        <w:rPr>
          <w:spacing w:val="-2"/>
          <w:sz w:val="20"/>
        </w:rPr>
        <w:t xml:space="preserve"> </w:t>
      </w:r>
      <w:r>
        <w:rPr>
          <w:sz w:val="20"/>
        </w:rPr>
        <w:t>que</w:t>
      </w:r>
      <w:r>
        <w:rPr>
          <w:spacing w:val="-2"/>
          <w:sz w:val="20"/>
        </w:rPr>
        <w:t xml:space="preserve"> </w:t>
      </w:r>
      <w:r>
        <w:rPr>
          <w:sz w:val="20"/>
        </w:rPr>
        <w:t>sea su naturaleza jurídica, que celebren las entidades enumeradas en el artículo 3.</w:t>
      </w:r>
    </w:p>
    <w:p w:rsidR="0092635B" w:rsidRDefault="00000000">
      <w:pPr>
        <w:pStyle w:val="Textoindependiente"/>
        <w:spacing w:before="3" w:line="249" w:lineRule="auto"/>
        <w:ind w:right="1105"/>
      </w:pPr>
      <w:r>
        <w:t>Se entenderá que un contrato tiene carácter oneroso en los casos en que el contratista obtenga algún tipo de beneficio económico, ya sea de forma directa o indirecta.</w:t>
      </w:r>
    </w:p>
    <w:p w:rsidR="0092635B" w:rsidRDefault="00000000">
      <w:pPr>
        <w:pStyle w:val="Prrafodelista"/>
        <w:numPr>
          <w:ilvl w:val="0"/>
          <w:numId w:val="350"/>
        </w:numPr>
        <w:tabs>
          <w:tab w:val="left" w:pos="1685"/>
        </w:tabs>
        <w:spacing w:before="1" w:line="249" w:lineRule="auto"/>
        <w:ind w:firstLine="340"/>
        <w:jc w:val="both"/>
        <w:rPr>
          <w:sz w:val="20"/>
        </w:rPr>
      </w:pPr>
      <w:r>
        <w:rPr>
          <w:sz w:val="20"/>
        </w:rPr>
        <w:t>Están también sujetos a la presente Ley, en los términos que en ella se señalan, los contratos subvencionados por entidades que tengan la consideración de poderes adjudicadores que celebren otras personas físicas o jurídicas en los supuestos previstos en el artículo 23 relativo a los contratos subvencionados sujetos a una regulación armonizada.</w:t>
      </w:r>
    </w:p>
    <w:p w:rsidR="0092635B" w:rsidRDefault="00000000">
      <w:pPr>
        <w:pStyle w:val="Prrafodelista"/>
        <w:numPr>
          <w:ilvl w:val="0"/>
          <w:numId w:val="350"/>
        </w:numPr>
        <w:tabs>
          <w:tab w:val="left" w:pos="1672"/>
        </w:tabs>
        <w:spacing w:before="3" w:line="249" w:lineRule="auto"/>
        <w:ind w:right="1102" w:firstLine="340"/>
        <w:jc w:val="both"/>
        <w:rPr>
          <w:sz w:val="20"/>
        </w:rPr>
      </w:pPr>
      <w:r>
        <w:rPr>
          <w:sz w:val="20"/>
        </w:rPr>
        <w:t>La aplicación de esta Ley a los contratos que celebren las Comunidades Autónomas y las entidades que integran la Administración Local, o los organismos dependientes de las mismas, así como a los contratos subvencionados por cualquiera de estas entidades, se efectuará en los términos previstos en la Disposición final primera de la presente Ley relativa a los títulos competenciales.</w:t>
      </w:r>
    </w:p>
    <w:p w:rsidR="0092635B" w:rsidRDefault="00000000">
      <w:pPr>
        <w:pStyle w:val="Prrafodelista"/>
        <w:numPr>
          <w:ilvl w:val="0"/>
          <w:numId w:val="350"/>
        </w:numPr>
        <w:tabs>
          <w:tab w:val="left" w:pos="1675"/>
        </w:tabs>
        <w:spacing w:before="5" w:line="249" w:lineRule="auto"/>
        <w:ind w:right="1105" w:firstLine="340"/>
        <w:jc w:val="both"/>
        <w:rPr>
          <w:sz w:val="20"/>
        </w:rPr>
      </w:pPr>
      <w:r>
        <w:rPr>
          <w:sz w:val="20"/>
        </w:rPr>
        <w:t>A los efectos de identificar las prestaciones que son objeto de los contratos regulados en esta Ley, se utilizará el «Vocabulario común de contratos públicos», aprobado por el Reglamento (CE) n.º 2195/2002 del Parlamento Europeo y del Consejo de 5 de noviembre</w:t>
      </w:r>
      <w:r>
        <w:rPr>
          <w:spacing w:val="40"/>
          <w:sz w:val="20"/>
        </w:rPr>
        <w:t xml:space="preserve"> </w:t>
      </w:r>
      <w:r>
        <w:rPr>
          <w:sz w:val="20"/>
        </w:rPr>
        <w:t>de 2002, por el que se aprueba el Vocabulario común de contratos públicos (CPV), o normativa comunitaria que le sustituya.</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11" w:name="Artículo_3._Ámbito_subjetivo."/>
      <w:bookmarkEnd w:id="11"/>
      <w:r>
        <w:rPr>
          <w:rFonts w:ascii="Arial" w:hAnsi="Arial"/>
          <w:b/>
          <w:sz w:val="20"/>
        </w:rPr>
        <w:t>Artículo</w:t>
      </w:r>
      <w:r>
        <w:rPr>
          <w:rFonts w:ascii="Arial" w:hAnsi="Arial"/>
          <w:b/>
          <w:spacing w:val="-2"/>
          <w:sz w:val="20"/>
        </w:rPr>
        <w:t xml:space="preserve"> </w:t>
      </w:r>
      <w:r>
        <w:rPr>
          <w:rFonts w:ascii="Arial" w:hAnsi="Arial"/>
          <w:b/>
          <w:sz w:val="20"/>
        </w:rPr>
        <w:t>3.</w:t>
      </w:r>
      <w:r>
        <w:rPr>
          <w:rFonts w:ascii="Arial" w:hAnsi="Arial"/>
          <w:b/>
          <w:spacing w:val="52"/>
          <w:sz w:val="20"/>
        </w:rPr>
        <w:t xml:space="preserve"> </w:t>
      </w:r>
      <w:r>
        <w:rPr>
          <w:rFonts w:ascii="Arial" w:hAnsi="Arial"/>
          <w:i/>
          <w:sz w:val="20"/>
        </w:rPr>
        <w:t>Ãmbito</w:t>
      </w:r>
      <w:r>
        <w:rPr>
          <w:rFonts w:ascii="Arial" w:hAnsi="Arial"/>
          <w:i/>
          <w:spacing w:val="-1"/>
          <w:sz w:val="20"/>
        </w:rPr>
        <w:t xml:space="preserve"> </w:t>
      </w:r>
      <w:r>
        <w:rPr>
          <w:rFonts w:ascii="Arial" w:hAnsi="Arial"/>
          <w:i/>
          <w:spacing w:val="-2"/>
          <w:sz w:val="20"/>
        </w:rPr>
        <w:t>subjetivo.</w:t>
      </w:r>
    </w:p>
    <w:p w:rsidR="0092635B" w:rsidRDefault="00000000">
      <w:pPr>
        <w:pStyle w:val="Prrafodelista"/>
        <w:numPr>
          <w:ilvl w:val="0"/>
          <w:numId w:val="349"/>
        </w:numPr>
        <w:tabs>
          <w:tab w:val="left" w:pos="1717"/>
        </w:tabs>
        <w:spacing w:before="124" w:line="249" w:lineRule="auto"/>
        <w:ind w:right="1105" w:firstLine="340"/>
        <w:jc w:val="both"/>
        <w:rPr>
          <w:sz w:val="20"/>
        </w:rPr>
      </w:pPr>
      <w:r>
        <w:rPr>
          <w:sz w:val="20"/>
        </w:rPr>
        <w:t>A los efectos de esta Ley, se considera que forman parte del sector público las siguientes entidades:</w:t>
      </w:r>
    </w:p>
    <w:p w:rsidR="0092635B" w:rsidRDefault="00000000">
      <w:pPr>
        <w:pStyle w:val="Prrafodelista"/>
        <w:numPr>
          <w:ilvl w:val="1"/>
          <w:numId w:val="349"/>
        </w:numPr>
        <w:tabs>
          <w:tab w:val="left" w:pos="1730"/>
        </w:tabs>
        <w:spacing w:before="121" w:line="249" w:lineRule="auto"/>
        <w:ind w:right="1104" w:firstLine="340"/>
        <w:jc w:val="both"/>
        <w:rPr>
          <w:sz w:val="20"/>
        </w:rPr>
      </w:pPr>
      <w:r>
        <w:rPr>
          <w:sz w:val="20"/>
        </w:rPr>
        <w:t>La Administración General del Estado, las Administraciones de las Comunidades Autónomas, las Ciudades Autónomas de Ceuta y Melilla y las Entidades que integran la Administración Local.</w:t>
      </w:r>
    </w:p>
    <w:p w:rsidR="0092635B" w:rsidRDefault="00000000">
      <w:pPr>
        <w:pStyle w:val="Prrafodelista"/>
        <w:numPr>
          <w:ilvl w:val="1"/>
          <w:numId w:val="349"/>
        </w:numPr>
        <w:tabs>
          <w:tab w:val="left" w:pos="1679"/>
        </w:tabs>
        <w:spacing w:before="3"/>
        <w:ind w:left="1679" w:right="0" w:hanging="233"/>
        <w:jc w:val="both"/>
        <w:rPr>
          <w:sz w:val="20"/>
        </w:rPr>
      </w:pPr>
      <w:r>
        <w:rPr>
          <w:sz w:val="20"/>
        </w:rPr>
        <w:t>Las</w:t>
      </w:r>
      <w:r>
        <w:rPr>
          <w:spacing w:val="-1"/>
          <w:sz w:val="20"/>
        </w:rPr>
        <w:t xml:space="preserve"> </w:t>
      </w:r>
      <w:r>
        <w:rPr>
          <w:sz w:val="20"/>
        </w:rPr>
        <w:t>Entidades</w:t>
      </w:r>
      <w:r>
        <w:rPr>
          <w:spacing w:val="-1"/>
          <w:sz w:val="20"/>
        </w:rPr>
        <w:t xml:space="preserve"> </w:t>
      </w:r>
      <w:r>
        <w:rPr>
          <w:sz w:val="20"/>
        </w:rPr>
        <w:t>Gestoras</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Servicios</w:t>
      </w:r>
      <w:r>
        <w:rPr>
          <w:spacing w:val="-1"/>
          <w:sz w:val="20"/>
        </w:rPr>
        <w:t xml:space="preserve"> </w:t>
      </w:r>
      <w:r>
        <w:rPr>
          <w:sz w:val="20"/>
        </w:rPr>
        <w:t>Comunes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Seguridad</w:t>
      </w:r>
      <w:r>
        <w:rPr>
          <w:spacing w:val="-1"/>
          <w:sz w:val="20"/>
        </w:rPr>
        <w:t xml:space="preserve"> </w:t>
      </w:r>
      <w:r>
        <w:rPr>
          <w:spacing w:val="-2"/>
          <w:sz w:val="20"/>
        </w:rPr>
        <w:t>Social.</w:t>
      </w:r>
    </w:p>
    <w:p w:rsidR="0092635B" w:rsidRDefault="00000000">
      <w:pPr>
        <w:pStyle w:val="Prrafodelista"/>
        <w:numPr>
          <w:ilvl w:val="1"/>
          <w:numId w:val="349"/>
        </w:numPr>
        <w:tabs>
          <w:tab w:val="left" w:pos="1792"/>
        </w:tabs>
        <w:spacing w:before="10" w:line="249" w:lineRule="auto"/>
        <w:ind w:firstLine="340"/>
        <w:jc w:val="both"/>
        <w:rPr>
          <w:sz w:val="20"/>
        </w:rPr>
      </w:pPr>
      <w:r>
        <w:rPr>
          <w:sz w:val="20"/>
        </w:rPr>
        <w:t>Los Organismos Autónomos, las Universidades Públicas y las autoridades administrativas independientes.</w:t>
      </w:r>
    </w:p>
    <w:p w:rsidR="0092635B" w:rsidRDefault="00000000">
      <w:pPr>
        <w:pStyle w:val="Prrafodelista"/>
        <w:numPr>
          <w:ilvl w:val="1"/>
          <w:numId w:val="349"/>
        </w:numPr>
        <w:tabs>
          <w:tab w:val="left" w:pos="1743"/>
        </w:tabs>
        <w:spacing w:line="249" w:lineRule="auto"/>
        <w:ind w:firstLine="340"/>
        <w:jc w:val="both"/>
        <w:rPr>
          <w:sz w:val="20"/>
        </w:rPr>
      </w:pPr>
      <w:r>
        <w:rPr>
          <w:sz w:val="20"/>
        </w:rPr>
        <w:t>Los</w:t>
      </w:r>
      <w:r>
        <w:rPr>
          <w:spacing w:val="40"/>
          <w:sz w:val="20"/>
        </w:rPr>
        <w:t xml:space="preserve"> </w:t>
      </w:r>
      <w:r>
        <w:rPr>
          <w:sz w:val="20"/>
        </w:rPr>
        <w:t>consorcios</w:t>
      </w:r>
      <w:r>
        <w:rPr>
          <w:spacing w:val="40"/>
          <w:sz w:val="20"/>
        </w:rPr>
        <w:t xml:space="preserve"> </w:t>
      </w:r>
      <w:r>
        <w:rPr>
          <w:sz w:val="20"/>
        </w:rPr>
        <w:t>dotados</w:t>
      </w:r>
      <w:r>
        <w:rPr>
          <w:spacing w:val="40"/>
          <w:sz w:val="20"/>
        </w:rPr>
        <w:t xml:space="preserve"> </w:t>
      </w:r>
      <w:r>
        <w:rPr>
          <w:sz w:val="20"/>
        </w:rPr>
        <w:t>de</w:t>
      </w:r>
      <w:r>
        <w:rPr>
          <w:spacing w:val="40"/>
          <w:sz w:val="20"/>
        </w:rPr>
        <w:t xml:space="preserve"> </w:t>
      </w:r>
      <w:r>
        <w:rPr>
          <w:sz w:val="20"/>
        </w:rPr>
        <w:t>personalidad</w:t>
      </w:r>
      <w:r>
        <w:rPr>
          <w:spacing w:val="40"/>
          <w:sz w:val="20"/>
        </w:rPr>
        <w:t xml:space="preserve"> </w:t>
      </w:r>
      <w:r>
        <w:rPr>
          <w:sz w:val="20"/>
        </w:rPr>
        <w:t>jurídica</w:t>
      </w:r>
      <w:r>
        <w:rPr>
          <w:spacing w:val="40"/>
          <w:sz w:val="20"/>
        </w:rPr>
        <w:t xml:space="preserve"> </w:t>
      </w:r>
      <w:r>
        <w:rPr>
          <w:sz w:val="20"/>
        </w:rPr>
        <w:t>propia</w:t>
      </w:r>
      <w:r>
        <w:rPr>
          <w:spacing w:val="40"/>
          <w:sz w:val="20"/>
        </w:rPr>
        <w:t xml:space="preserve"> </w:t>
      </w:r>
      <w:r>
        <w:rPr>
          <w:sz w:val="20"/>
        </w:rPr>
        <w:t>a</w:t>
      </w:r>
      <w:r>
        <w:rPr>
          <w:spacing w:val="40"/>
          <w:sz w:val="20"/>
        </w:rPr>
        <w:t xml:space="preserve"> </w:t>
      </w:r>
      <w:r>
        <w:rPr>
          <w:sz w:val="20"/>
        </w:rPr>
        <w:t>los</w:t>
      </w:r>
      <w:r>
        <w:rPr>
          <w:spacing w:val="40"/>
          <w:sz w:val="20"/>
        </w:rPr>
        <w:t xml:space="preserve"> </w:t>
      </w:r>
      <w:r>
        <w:rPr>
          <w:sz w:val="20"/>
        </w:rPr>
        <w:t>que</w:t>
      </w:r>
      <w:r>
        <w:rPr>
          <w:spacing w:val="40"/>
          <w:sz w:val="20"/>
        </w:rPr>
        <w:t xml:space="preserve"> </w:t>
      </w:r>
      <w:r>
        <w:rPr>
          <w:sz w:val="20"/>
        </w:rPr>
        <w:t>se</w:t>
      </w:r>
      <w:r>
        <w:rPr>
          <w:spacing w:val="40"/>
          <w:sz w:val="20"/>
        </w:rPr>
        <w:t xml:space="preserve"> </w:t>
      </w:r>
      <w:r>
        <w:rPr>
          <w:sz w:val="20"/>
        </w:rPr>
        <w:t>refiere</w:t>
      </w:r>
      <w:r>
        <w:rPr>
          <w:spacing w:val="40"/>
          <w:sz w:val="20"/>
        </w:rPr>
        <w:t xml:space="preserve"> </w:t>
      </w:r>
      <w:r>
        <w:rPr>
          <w:sz w:val="20"/>
        </w:rPr>
        <w:t>la Ley 40/2015, de 1 de octubre, de Régimen Jurídico del Sector Público, y la legislación de régimen local, así como los consorcios regulados por la legislación aduanera.</w:t>
      </w:r>
    </w:p>
    <w:p w:rsidR="0092635B" w:rsidRDefault="00000000">
      <w:pPr>
        <w:pStyle w:val="Prrafodelista"/>
        <w:numPr>
          <w:ilvl w:val="1"/>
          <w:numId w:val="349"/>
        </w:numPr>
        <w:tabs>
          <w:tab w:val="left" w:pos="1735"/>
        </w:tabs>
        <w:spacing w:line="249" w:lineRule="auto"/>
        <w:ind w:right="1105" w:firstLine="340"/>
        <w:jc w:val="both"/>
        <w:rPr>
          <w:sz w:val="20"/>
        </w:rPr>
      </w:pPr>
      <w:r>
        <w:rPr>
          <w:sz w:val="20"/>
        </w:rPr>
        <w:t>Las fundaciones públicas. A efectos de esta Ley, se entenderá por fundaciones públicas aquellas que reúnan alguno de los siguientes requisitos:</w:t>
      </w:r>
    </w:p>
    <w:p w:rsidR="0092635B" w:rsidRDefault="00000000">
      <w:pPr>
        <w:pStyle w:val="Prrafodelista"/>
        <w:numPr>
          <w:ilvl w:val="2"/>
          <w:numId w:val="349"/>
        </w:numPr>
        <w:tabs>
          <w:tab w:val="left" w:pos="1610"/>
        </w:tabs>
        <w:spacing w:before="122" w:line="249" w:lineRule="auto"/>
        <w:ind w:firstLine="340"/>
        <w:jc w:val="both"/>
        <w:rPr>
          <w:sz w:val="20"/>
        </w:rPr>
      </w:pPr>
      <w:r>
        <w:rPr>
          <w:sz w:val="20"/>
        </w:rPr>
        <w:t>º Que se constituyan de forma inicial, con una aportación mayoritaria, directa o indirecta, de una o varias entidades integradas en el sector público, o bien reciban dicha aportación con posterioridad a su constitución.</w:t>
      </w:r>
    </w:p>
    <w:p w:rsidR="0092635B" w:rsidRDefault="00000000">
      <w:pPr>
        <w:pStyle w:val="Prrafodelista"/>
        <w:numPr>
          <w:ilvl w:val="2"/>
          <w:numId w:val="349"/>
        </w:numPr>
        <w:tabs>
          <w:tab w:val="left" w:pos="1610"/>
        </w:tabs>
        <w:spacing w:line="249" w:lineRule="auto"/>
        <w:ind w:firstLine="340"/>
        <w:jc w:val="both"/>
        <w:rPr>
          <w:sz w:val="20"/>
        </w:rPr>
      </w:pPr>
      <w:r>
        <w:rPr>
          <w:sz w:val="20"/>
        </w:rPr>
        <w:t>º Que el patrimonio de la fundación esté integrado en más de un 50 por ciento por bienes o derechos aportados o cedidos por sujetos integrantes del sector público con carácter permanente.</w:t>
      </w:r>
    </w:p>
    <w:p w:rsidR="0092635B" w:rsidRDefault="00000000">
      <w:pPr>
        <w:pStyle w:val="Prrafodelista"/>
        <w:numPr>
          <w:ilvl w:val="2"/>
          <w:numId w:val="349"/>
        </w:numPr>
        <w:tabs>
          <w:tab w:val="left" w:pos="1610"/>
        </w:tabs>
        <w:spacing w:before="3" w:line="249" w:lineRule="auto"/>
        <w:ind w:right="1105" w:firstLine="340"/>
        <w:jc w:val="both"/>
        <w:rPr>
          <w:sz w:val="20"/>
        </w:rPr>
      </w:pPr>
      <w:r>
        <w:rPr>
          <w:sz w:val="20"/>
        </w:rPr>
        <w:t>º Que la mayoría de derechos de voto en su patronato corresponda a representantes del sector público.</w:t>
      </w:r>
    </w:p>
    <w:p w:rsidR="0092635B" w:rsidRDefault="00000000">
      <w:pPr>
        <w:pStyle w:val="Prrafodelista"/>
        <w:numPr>
          <w:ilvl w:val="1"/>
          <w:numId w:val="349"/>
        </w:numPr>
        <w:tabs>
          <w:tab w:val="left" w:pos="1623"/>
        </w:tabs>
        <w:spacing w:before="121"/>
        <w:ind w:left="1623" w:right="0" w:hanging="177"/>
        <w:jc w:val="both"/>
        <w:rPr>
          <w:sz w:val="20"/>
        </w:rPr>
      </w:pPr>
      <w:r>
        <w:rPr>
          <w:sz w:val="20"/>
        </w:rPr>
        <w:t>Las</w:t>
      </w:r>
      <w:r>
        <w:rPr>
          <w:spacing w:val="-2"/>
          <w:sz w:val="20"/>
        </w:rPr>
        <w:t xml:space="preserve"> </w:t>
      </w:r>
      <w:r>
        <w:rPr>
          <w:sz w:val="20"/>
        </w:rPr>
        <w:t>Mutuas</w:t>
      </w:r>
      <w:r>
        <w:rPr>
          <w:spacing w:val="-2"/>
          <w:sz w:val="20"/>
        </w:rPr>
        <w:t xml:space="preserve"> </w:t>
      </w:r>
      <w:r>
        <w:rPr>
          <w:sz w:val="20"/>
        </w:rPr>
        <w:t>colaboradoras</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Seguridad</w:t>
      </w:r>
      <w:r>
        <w:rPr>
          <w:spacing w:val="-1"/>
          <w:sz w:val="20"/>
        </w:rPr>
        <w:t xml:space="preserve"> </w:t>
      </w:r>
      <w:r>
        <w:rPr>
          <w:spacing w:val="-2"/>
          <w:sz w:val="20"/>
        </w:rPr>
        <w:t>Social.</w:t>
      </w:r>
    </w:p>
    <w:p w:rsidR="0092635B" w:rsidRDefault="00000000">
      <w:pPr>
        <w:pStyle w:val="Prrafodelista"/>
        <w:numPr>
          <w:ilvl w:val="1"/>
          <w:numId w:val="349"/>
        </w:numPr>
        <w:tabs>
          <w:tab w:val="left" w:pos="1704"/>
        </w:tabs>
        <w:spacing w:before="10" w:line="249" w:lineRule="auto"/>
        <w:ind w:right="1104" w:firstLine="340"/>
        <w:jc w:val="both"/>
        <w:rPr>
          <w:sz w:val="20"/>
        </w:rPr>
      </w:pPr>
      <w:r>
        <w:rPr>
          <w:sz w:val="20"/>
        </w:rPr>
        <w:t>Las Entidades Públicas Empresariales a las que se refiere la Ley 40/2015, de 1 de octubre, de Régimen Jurídico del Sector Público, y cualesquiera entidades de derecho público con personalidad jurídica propia vinculadas a un sujeto que pertenezca al sector público o dependientes del mismo.</w:t>
      </w:r>
    </w:p>
    <w:p w:rsidR="0092635B" w:rsidRDefault="00000000">
      <w:pPr>
        <w:pStyle w:val="Prrafodelista"/>
        <w:numPr>
          <w:ilvl w:val="1"/>
          <w:numId w:val="349"/>
        </w:numPr>
        <w:tabs>
          <w:tab w:val="left" w:pos="1691"/>
        </w:tabs>
        <w:spacing w:before="4" w:line="249" w:lineRule="auto"/>
        <w:ind w:firstLine="340"/>
        <w:jc w:val="both"/>
        <w:rPr>
          <w:sz w:val="20"/>
        </w:rPr>
      </w:pPr>
      <w:r>
        <w:rPr>
          <w:sz w:val="20"/>
        </w:rPr>
        <w:t>Las sociedades mercantiles en cuyo capital social la participación, directa o indirecta, de entidades de las mencionadas en las letras a), b), c), d), e), g) y h) del presente apartado sea superior al 50 por 100, o en los casos en que sin superar ese porcentaje, se encuentre respecto de las referidas entidades en el supuesto previsto en el artículo 5 del texto</w:t>
      </w:r>
      <w:r>
        <w:rPr>
          <w:spacing w:val="40"/>
          <w:sz w:val="20"/>
        </w:rPr>
        <w:t xml:space="preserve"> </w:t>
      </w:r>
      <w:r>
        <w:rPr>
          <w:sz w:val="20"/>
        </w:rPr>
        <w:t>refundido de la Ley del Mercado de Valores, aprobado por Real Decreto Legislativo 4/2015, de 23 de octubre.</w:t>
      </w:r>
    </w:p>
    <w:p w:rsidR="0092635B" w:rsidRDefault="00000000">
      <w:pPr>
        <w:pStyle w:val="Prrafodelista"/>
        <w:numPr>
          <w:ilvl w:val="1"/>
          <w:numId w:val="349"/>
        </w:numPr>
        <w:tabs>
          <w:tab w:val="left" w:pos="1612"/>
        </w:tabs>
        <w:spacing w:before="4"/>
        <w:ind w:left="1612" w:right="0" w:hanging="166"/>
        <w:jc w:val="both"/>
        <w:rPr>
          <w:sz w:val="20"/>
        </w:rPr>
      </w:pPr>
      <w:r>
        <w:rPr>
          <w:sz w:val="20"/>
        </w:rPr>
        <w:t>Los</w:t>
      </w:r>
      <w:r>
        <w:rPr>
          <w:spacing w:val="-4"/>
          <w:sz w:val="20"/>
        </w:rPr>
        <w:t xml:space="preserve"> </w:t>
      </w:r>
      <w:r>
        <w:rPr>
          <w:sz w:val="20"/>
        </w:rPr>
        <w:t>fondos</w:t>
      </w:r>
      <w:r>
        <w:rPr>
          <w:spacing w:val="-3"/>
          <w:sz w:val="20"/>
        </w:rPr>
        <w:t xml:space="preserve"> </w:t>
      </w:r>
      <w:r>
        <w:rPr>
          <w:sz w:val="20"/>
        </w:rPr>
        <w:t>sin</w:t>
      </w:r>
      <w:r>
        <w:rPr>
          <w:spacing w:val="-3"/>
          <w:sz w:val="20"/>
        </w:rPr>
        <w:t xml:space="preserve"> </w:t>
      </w:r>
      <w:r>
        <w:rPr>
          <w:sz w:val="20"/>
        </w:rPr>
        <w:t>personalidad</w:t>
      </w:r>
      <w:r>
        <w:rPr>
          <w:spacing w:val="-3"/>
          <w:sz w:val="20"/>
        </w:rPr>
        <w:t xml:space="preserve"> </w:t>
      </w:r>
      <w:r>
        <w:rPr>
          <w:spacing w:val="-2"/>
          <w:sz w:val="20"/>
        </w:rPr>
        <w:t>jurídica.</w:t>
      </w:r>
    </w:p>
    <w:p w:rsidR="0092635B" w:rsidRDefault="0092635B">
      <w:pPr>
        <w:pStyle w:val="Prrafodelista"/>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349"/>
        </w:numPr>
        <w:tabs>
          <w:tab w:val="left" w:pos="1666"/>
        </w:tabs>
        <w:spacing w:before="1" w:line="249" w:lineRule="auto"/>
        <w:ind w:right="1104" w:firstLine="340"/>
        <w:jc w:val="both"/>
        <w:rPr>
          <w:sz w:val="20"/>
        </w:rPr>
      </w:pPr>
      <w:r>
        <w:rPr>
          <w:sz w:val="20"/>
        </w:rPr>
        <w:t>Cualesquiera entidades con personalidad jurídica propia, que hayan sido creadas específicamente para satisfacer necesidades de interés general que no tengan carácter industrial o mercantil, siempre que uno o varios sujetos pertenecientes al sector público financien mayoritariamente su actividad, controlen su gestión, o nombren a más de la mitad de los miembros de su órgano de administración, dirección o vigilancia.</w:t>
      </w:r>
    </w:p>
    <w:p w:rsidR="0092635B" w:rsidRDefault="00000000">
      <w:pPr>
        <w:pStyle w:val="Prrafodelista"/>
        <w:numPr>
          <w:ilvl w:val="1"/>
          <w:numId w:val="349"/>
        </w:numPr>
        <w:tabs>
          <w:tab w:val="left" w:pos="1668"/>
        </w:tabs>
        <w:spacing w:before="4"/>
        <w:ind w:left="1668" w:right="0" w:hanging="222"/>
        <w:jc w:val="both"/>
        <w:rPr>
          <w:sz w:val="20"/>
        </w:rPr>
      </w:pPr>
      <w:r>
        <w:rPr>
          <w:sz w:val="20"/>
        </w:rPr>
        <w:t>Las</w:t>
      </w:r>
      <w:r>
        <w:rPr>
          <w:spacing w:val="-1"/>
          <w:sz w:val="20"/>
        </w:rPr>
        <w:t xml:space="preserve"> </w:t>
      </w:r>
      <w:r>
        <w:rPr>
          <w:sz w:val="20"/>
        </w:rPr>
        <w:t xml:space="preserve">asociaciones constituidas por las entidades mencionadas en las letras </w:t>
      </w:r>
      <w:r>
        <w:rPr>
          <w:spacing w:val="-2"/>
          <w:sz w:val="20"/>
        </w:rPr>
        <w:t>anteriores.</w:t>
      </w:r>
    </w:p>
    <w:p w:rsidR="0092635B" w:rsidRDefault="00000000">
      <w:pPr>
        <w:pStyle w:val="Prrafodelista"/>
        <w:numPr>
          <w:ilvl w:val="1"/>
          <w:numId w:val="349"/>
        </w:numPr>
        <w:tabs>
          <w:tab w:val="left" w:pos="1620"/>
        </w:tabs>
        <w:spacing w:before="10" w:line="249" w:lineRule="auto"/>
        <w:ind w:firstLine="340"/>
        <w:jc w:val="both"/>
        <w:rPr>
          <w:sz w:val="20"/>
        </w:rPr>
      </w:pPr>
      <w:r>
        <w:rPr>
          <w:sz w:val="20"/>
        </w:rPr>
        <w:t>A los efectos de esta Ley, se entiende que también forman parte del sector público las Diputaciones Forales y las Juntas Generales de los Territorios Históricos del País Vasco en lo que respecta a su actividad de contratación.</w:t>
      </w:r>
    </w:p>
    <w:p w:rsidR="0092635B" w:rsidRDefault="00000000">
      <w:pPr>
        <w:pStyle w:val="Prrafodelista"/>
        <w:numPr>
          <w:ilvl w:val="0"/>
          <w:numId w:val="349"/>
        </w:numPr>
        <w:tabs>
          <w:tab w:val="left" w:pos="1698"/>
        </w:tabs>
        <w:spacing w:before="122" w:line="249" w:lineRule="auto"/>
        <w:ind w:firstLine="340"/>
        <w:jc w:val="both"/>
        <w:rPr>
          <w:sz w:val="20"/>
        </w:rPr>
      </w:pPr>
      <w:r>
        <w:rPr>
          <w:sz w:val="20"/>
        </w:rPr>
        <w:t>Dentro del sector público, y a los efectos de esta Ley, tendrán la consideración de Administraciones Públicas las siguientes entidades:</w:t>
      </w:r>
    </w:p>
    <w:p w:rsidR="0092635B" w:rsidRDefault="00000000">
      <w:pPr>
        <w:pStyle w:val="Prrafodelista"/>
        <w:numPr>
          <w:ilvl w:val="1"/>
          <w:numId w:val="349"/>
        </w:numPr>
        <w:tabs>
          <w:tab w:val="left" w:pos="1729"/>
        </w:tabs>
        <w:spacing w:before="122" w:line="249" w:lineRule="auto"/>
        <w:ind w:firstLine="340"/>
        <w:jc w:val="both"/>
        <w:rPr>
          <w:sz w:val="20"/>
        </w:rPr>
      </w:pPr>
      <w:r>
        <w:rPr>
          <w:sz w:val="20"/>
        </w:rPr>
        <w:t>Las mencionadas en las letras a), b), c), y l) del apartado primero del presente</w:t>
      </w:r>
      <w:r>
        <w:rPr>
          <w:spacing w:val="40"/>
          <w:sz w:val="20"/>
        </w:rPr>
        <w:t xml:space="preserve"> </w:t>
      </w:r>
      <w:r>
        <w:rPr>
          <w:spacing w:val="-2"/>
          <w:sz w:val="20"/>
        </w:rPr>
        <w:t>artículo.</w:t>
      </w:r>
    </w:p>
    <w:p w:rsidR="0092635B" w:rsidRDefault="00000000">
      <w:pPr>
        <w:pStyle w:val="Prrafodelista"/>
        <w:numPr>
          <w:ilvl w:val="1"/>
          <w:numId w:val="349"/>
        </w:numPr>
        <w:tabs>
          <w:tab w:val="left" w:pos="1745"/>
        </w:tabs>
        <w:spacing w:line="249" w:lineRule="auto"/>
        <w:ind w:firstLine="340"/>
        <w:jc w:val="both"/>
        <w:rPr>
          <w:sz w:val="20"/>
        </w:rPr>
      </w:pPr>
      <w:r>
        <w:rPr>
          <w:sz w:val="20"/>
        </w:rPr>
        <w:t>Los consorcios y otras entidades de derecho público, en las que dándose las circunstancias establecidas en la letra d) del apartado siguiente para poder ser considerados poder adjudicador y estando vinculados a una o varias Administraciones Públicas o dependientes</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mismas,</w:t>
      </w:r>
      <w:r>
        <w:rPr>
          <w:spacing w:val="-1"/>
          <w:sz w:val="20"/>
        </w:rPr>
        <w:t xml:space="preserve"> </w:t>
      </w:r>
      <w:r>
        <w:rPr>
          <w:sz w:val="20"/>
        </w:rPr>
        <w:t>no</w:t>
      </w:r>
      <w:r>
        <w:rPr>
          <w:spacing w:val="-1"/>
          <w:sz w:val="20"/>
        </w:rPr>
        <w:t xml:space="preserve"> </w:t>
      </w:r>
      <w:r>
        <w:rPr>
          <w:sz w:val="20"/>
        </w:rPr>
        <w:t>se</w:t>
      </w:r>
      <w:r>
        <w:rPr>
          <w:spacing w:val="-1"/>
          <w:sz w:val="20"/>
        </w:rPr>
        <w:t xml:space="preserve"> </w:t>
      </w:r>
      <w:r>
        <w:rPr>
          <w:sz w:val="20"/>
        </w:rPr>
        <w:t>financien</w:t>
      </w:r>
      <w:r>
        <w:rPr>
          <w:spacing w:val="-1"/>
          <w:sz w:val="20"/>
        </w:rPr>
        <w:t xml:space="preserve"> </w:t>
      </w:r>
      <w:r>
        <w:rPr>
          <w:sz w:val="20"/>
        </w:rPr>
        <w:t>mayoritariamente</w:t>
      </w:r>
      <w:r>
        <w:rPr>
          <w:spacing w:val="-1"/>
          <w:sz w:val="20"/>
        </w:rPr>
        <w:t xml:space="preserve"> </w:t>
      </w:r>
      <w:r>
        <w:rPr>
          <w:sz w:val="20"/>
        </w:rPr>
        <w:t>con</w:t>
      </w:r>
      <w:r>
        <w:rPr>
          <w:spacing w:val="-1"/>
          <w:sz w:val="20"/>
        </w:rPr>
        <w:t xml:space="preserve"> </w:t>
      </w:r>
      <w:r>
        <w:rPr>
          <w:sz w:val="20"/>
        </w:rPr>
        <w:t>ingresos</w:t>
      </w:r>
      <w:r>
        <w:rPr>
          <w:spacing w:val="-1"/>
          <w:sz w:val="20"/>
        </w:rPr>
        <w:t xml:space="preserve"> </w:t>
      </w:r>
      <w:r>
        <w:rPr>
          <w:sz w:val="20"/>
        </w:rPr>
        <w:t>de</w:t>
      </w:r>
      <w:r>
        <w:rPr>
          <w:spacing w:val="-1"/>
          <w:sz w:val="20"/>
        </w:rPr>
        <w:t xml:space="preserve"> </w:t>
      </w:r>
      <w:r>
        <w:rPr>
          <w:sz w:val="20"/>
        </w:rPr>
        <w:t>mercado.</w:t>
      </w:r>
      <w:r>
        <w:rPr>
          <w:spacing w:val="-1"/>
          <w:sz w:val="20"/>
        </w:rPr>
        <w:t xml:space="preserve"> </w:t>
      </w:r>
      <w:r>
        <w:rPr>
          <w:sz w:val="20"/>
        </w:rPr>
        <w:t>Se entiende que se financian mayoritariamente con ingresos de mercado cuando tengan la consideración</w:t>
      </w:r>
      <w:r>
        <w:rPr>
          <w:spacing w:val="-3"/>
          <w:sz w:val="20"/>
        </w:rPr>
        <w:t xml:space="preserve"> </w:t>
      </w:r>
      <w:r>
        <w:rPr>
          <w:sz w:val="20"/>
        </w:rPr>
        <w:t>de</w:t>
      </w:r>
      <w:r>
        <w:rPr>
          <w:spacing w:val="-3"/>
          <w:sz w:val="20"/>
        </w:rPr>
        <w:t xml:space="preserve"> </w:t>
      </w:r>
      <w:r>
        <w:rPr>
          <w:sz w:val="20"/>
        </w:rPr>
        <w:t>productor</w:t>
      </w:r>
      <w:r>
        <w:rPr>
          <w:spacing w:val="-3"/>
          <w:sz w:val="20"/>
        </w:rPr>
        <w:t xml:space="preserve"> </w:t>
      </w:r>
      <w:r>
        <w:rPr>
          <w:sz w:val="20"/>
        </w:rPr>
        <w:t>de</w:t>
      </w:r>
      <w:r>
        <w:rPr>
          <w:spacing w:val="-3"/>
          <w:sz w:val="20"/>
        </w:rPr>
        <w:t xml:space="preserve"> </w:t>
      </w:r>
      <w:r>
        <w:rPr>
          <w:sz w:val="20"/>
        </w:rPr>
        <w:t>mercado</w:t>
      </w:r>
      <w:r>
        <w:rPr>
          <w:spacing w:val="-3"/>
          <w:sz w:val="20"/>
        </w:rPr>
        <w:t xml:space="preserve"> </w:t>
      </w:r>
      <w:r>
        <w:rPr>
          <w:sz w:val="20"/>
        </w:rPr>
        <w:t>de</w:t>
      </w:r>
      <w:r>
        <w:rPr>
          <w:spacing w:val="-3"/>
          <w:sz w:val="20"/>
        </w:rPr>
        <w:t xml:space="preserve"> </w:t>
      </w:r>
      <w:r>
        <w:rPr>
          <w:sz w:val="20"/>
        </w:rPr>
        <w:t>conformidad</w:t>
      </w:r>
      <w:r>
        <w:rPr>
          <w:spacing w:val="-3"/>
          <w:sz w:val="20"/>
        </w:rPr>
        <w:t xml:space="preserve"> </w:t>
      </w:r>
      <w:r>
        <w:rPr>
          <w:sz w:val="20"/>
        </w:rPr>
        <w:t>con</w:t>
      </w:r>
      <w:r>
        <w:rPr>
          <w:spacing w:val="-3"/>
          <w:sz w:val="20"/>
        </w:rPr>
        <w:t xml:space="preserve"> </w:t>
      </w:r>
      <w:r>
        <w:rPr>
          <w:sz w:val="20"/>
        </w:rPr>
        <w:t>el</w:t>
      </w:r>
      <w:r>
        <w:rPr>
          <w:spacing w:val="-3"/>
          <w:sz w:val="20"/>
        </w:rPr>
        <w:t xml:space="preserve"> </w:t>
      </w:r>
      <w:r>
        <w:rPr>
          <w:sz w:val="20"/>
        </w:rPr>
        <w:t>Sistema</w:t>
      </w:r>
      <w:r>
        <w:rPr>
          <w:spacing w:val="-3"/>
          <w:sz w:val="20"/>
        </w:rPr>
        <w:t xml:space="preserve"> </w:t>
      </w:r>
      <w:r>
        <w:rPr>
          <w:sz w:val="20"/>
        </w:rPr>
        <w:t>Europeo</w:t>
      </w:r>
      <w:r>
        <w:rPr>
          <w:spacing w:val="-3"/>
          <w:sz w:val="20"/>
        </w:rPr>
        <w:t xml:space="preserve"> </w:t>
      </w:r>
      <w:r>
        <w:rPr>
          <w:sz w:val="20"/>
        </w:rPr>
        <w:t>de</w:t>
      </w:r>
      <w:r>
        <w:rPr>
          <w:spacing w:val="-3"/>
          <w:sz w:val="20"/>
        </w:rPr>
        <w:t xml:space="preserve"> </w:t>
      </w:r>
      <w:r>
        <w:rPr>
          <w:sz w:val="20"/>
        </w:rPr>
        <w:t>Cuentas.</w:t>
      </w:r>
    </w:p>
    <w:p w:rsidR="0092635B" w:rsidRDefault="00000000">
      <w:pPr>
        <w:pStyle w:val="Prrafodelista"/>
        <w:numPr>
          <w:ilvl w:val="0"/>
          <w:numId w:val="349"/>
        </w:numPr>
        <w:tabs>
          <w:tab w:val="left" w:pos="1745"/>
        </w:tabs>
        <w:spacing w:before="124" w:line="249" w:lineRule="auto"/>
        <w:ind w:right="1104" w:firstLine="340"/>
        <w:jc w:val="both"/>
        <w:rPr>
          <w:sz w:val="20"/>
        </w:rPr>
      </w:pPr>
      <w:r>
        <w:rPr>
          <w:sz w:val="20"/>
        </w:rPr>
        <w:t xml:space="preserve">Se considerarán poderes adjudicadores, a efectos de esta Ley, las siguientes </w:t>
      </w:r>
      <w:r>
        <w:rPr>
          <w:spacing w:val="-2"/>
          <w:sz w:val="20"/>
        </w:rPr>
        <w:t>entidades:</w:t>
      </w:r>
    </w:p>
    <w:p w:rsidR="0092635B" w:rsidRDefault="00000000">
      <w:pPr>
        <w:pStyle w:val="Prrafodelista"/>
        <w:numPr>
          <w:ilvl w:val="1"/>
          <w:numId w:val="349"/>
        </w:numPr>
        <w:tabs>
          <w:tab w:val="left" w:pos="1679"/>
        </w:tabs>
        <w:spacing w:before="122"/>
        <w:ind w:left="1679" w:right="0" w:hanging="233"/>
        <w:rPr>
          <w:sz w:val="20"/>
        </w:rPr>
      </w:pPr>
      <w:r>
        <w:rPr>
          <w:sz w:val="20"/>
        </w:rPr>
        <w:t xml:space="preserve">Las Administraciones </w:t>
      </w:r>
      <w:r>
        <w:rPr>
          <w:spacing w:val="-2"/>
          <w:sz w:val="20"/>
        </w:rPr>
        <w:t>Públicas.</w:t>
      </w:r>
    </w:p>
    <w:p w:rsidR="0092635B" w:rsidRDefault="00000000">
      <w:pPr>
        <w:pStyle w:val="Prrafodelista"/>
        <w:numPr>
          <w:ilvl w:val="1"/>
          <w:numId w:val="349"/>
        </w:numPr>
        <w:tabs>
          <w:tab w:val="left" w:pos="1679"/>
        </w:tabs>
        <w:spacing w:before="10"/>
        <w:ind w:left="1679" w:right="0" w:hanging="233"/>
        <w:rPr>
          <w:sz w:val="20"/>
        </w:rPr>
      </w:pPr>
      <w:r>
        <w:rPr>
          <w:sz w:val="20"/>
        </w:rPr>
        <w:t xml:space="preserve">Las fundaciones </w:t>
      </w:r>
      <w:r>
        <w:rPr>
          <w:spacing w:val="-2"/>
          <w:sz w:val="20"/>
        </w:rPr>
        <w:t>públicas.</w:t>
      </w:r>
    </w:p>
    <w:p w:rsidR="0092635B" w:rsidRDefault="00000000">
      <w:pPr>
        <w:pStyle w:val="Prrafodelista"/>
        <w:numPr>
          <w:ilvl w:val="1"/>
          <w:numId w:val="349"/>
        </w:numPr>
        <w:tabs>
          <w:tab w:val="left" w:pos="1668"/>
        </w:tabs>
        <w:spacing w:before="10"/>
        <w:ind w:left="1668" w:right="0" w:hanging="222"/>
        <w:rPr>
          <w:sz w:val="20"/>
        </w:rPr>
      </w:pPr>
      <w:r>
        <w:rPr>
          <w:sz w:val="20"/>
        </w:rPr>
        <w:t>Las</w:t>
      </w:r>
      <w:r>
        <w:rPr>
          <w:spacing w:val="-2"/>
          <w:sz w:val="20"/>
        </w:rPr>
        <w:t xml:space="preserve"> </w:t>
      </w:r>
      <w:r>
        <w:rPr>
          <w:sz w:val="20"/>
        </w:rPr>
        <w:t>Mutuas</w:t>
      </w:r>
      <w:r>
        <w:rPr>
          <w:spacing w:val="-2"/>
          <w:sz w:val="20"/>
        </w:rPr>
        <w:t xml:space="preserve"> </w:t>
      </w:r>
      <w:r>
        <w:rPr>
          <w:sz w:val="20"/>
        </w:rPr>
        <w:t>colaboradoras</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Seguridad</w:t>
      </w:r>
      <w:r>
        <w:rPr>
          <w:spacing w:val="-1"/>
          <w:sz w:val="20"/>
        </w:rPr>
        <w:t xml:space="preserve"> </w:t>
      </w:r>
      <w:r>
        <w:rPr>
          <w:spacing w:val="-2"/>
          <w:sz w:val="20"/>
        </w:rPr>
        <w:t>Social.</w:t>
      </w:r>
    </w:p>
    <w:p w:rsidR="0092635B" w:rsidRDefault="00000000">
      <w:pPr>
        <w:pStyle w:val="Prrafodelista"/>
        <w:numPr>
          <w:ilvl w:val="1"/>
          <w:numId w:val="349"/>
        </w:numPr>
        <w:tabs>
          <w:tab w:val="left" w:pos="1770"/>
        </w:tabs>
        <w:spacing w:before="10" w:line="249" w:lineRule="auto"/>
        <w:ind w:right="1104" w:firstLine="340"/>
        <w:jc w:val="both"/>
        <w:rPr>
          <w:sz w:val="20"/>
        </w:rPr>
      </w:pPr>
      <w:r>
        <w:rPr>
          <w:sz w:val="20"/>
        </w:rPr>
        <w:t>Todas las demás entidades con personalidad jurídica propia distintas de las expresadas en las letras anteriores que hayan sido creadas específicamente para satisfacer necesidades de interés general que no tengan carácter industrial o mercantil, siempre que uno o varios sujetos que deban considerarse poder adjudicador de acuerdo con los criterios de este apartado 3, bien financien mayoritariamente su actividad; bien controlen su gestión;</w:t>
      </w:r>
      <w:r>
        <w:rPr>
          <w:spacing w:val="80"/>
          <w:sz w:val="20"/>
        </w:rPr>
        <w:t xml:space="preserve"> </w:t>
      </w:r>
      <w:r>
        <w:rPr>
          <w:sz w:val="20"/>
        </w:rPr>
        <w:t>o bien nombren a más de la mitad de los miembros de su órgano de administración,</w:t>
      </w:r>
      <w:r>
        <w:rPr>
          <w:spacing w:val="40"/>
          <w:sz w:val="20"/>
        </w:rPr>
        <w:t xml:space="preserve"> </w:t>
      </w:r>
      <w:r>
        <w:rPr>
          <w:sz w:val="20"/>
        </w:rPr>
        <w:t>dirección o vigilancia.</w:t>
      </w:r>
    </w:p>
    <w:p w:rsidR="0092635B" w:rsidRDefault="00000000">
      <w:pPr>
        <w:pStyle w:val="Prrafodelista"/>
        <w:numPr>
          <w:ilvl w:val="1"/>
          <w:numId w:val="349"/>
        </w:numPr>
        <w:tabs>
          <w:tab w:val="left" w:pos="1679"/>
        </w:tabs>
        <w:spacing w:before="6"/>
        <w:ind w:left="1679" w:right="0" w:hanging="233"/>
        <w:jc w:val="both"/>
        <w:rPr>
          <w:sz w:val="20"/>
        </w:rPr>
      </w:pPr>
      <w:r>
        <w:rPr>
          <w:sz w:val="20"/>
        </w:rPr>
        <w:t>Las</w:t>
      </w:r>
      <w:r>
        <w:rPr>
          <w:spacing w:val="-1"/>
          <w:sz w:val="20"/>
        </w:rPr>
        <w:t xml:space="preserve"> </w:t>
      </w:r>
      <w:r>
        <w:rPr>
          <w:sz w:val="20"/>
        </w:rPr>
        <w:t xml:space="preserve">asociaciones constituidas por las entidades mencionadas en las letras </w:t>
      </w:r>
      <w:r>
        <w:rPr>
          <w:spacing w:val="-2"/>
          <w:sz w:val="20"/>
        </w:rPr>
        <w:t>anteriores.</w:t>
      </w:r>
    </w:p>
    <w:p w:rsidR="0092635B" w:rsidRDefault="00000000">
      <w:pPr>
        <w:pStyle w:val="Prrafodelista"/>
        <w:numPr>
          <w:ilvl w:val="0"/>
          <w:numId w:val="349"/>
        </w:numPr>
        <w:tabs>
          <w:tab w:val="left" w:pos="1668"/>
        </w:tabs>
        <w:spacing w:before="130" w:line="249" w:lineRule="auto"/>
        <w:ind w:right="1102" w:firstLine="340"/>
        <w:jc w:val="both"/>
        <w:rPr>
          <w:sz w:val="20"/>
        </w:rPr>
      </w:pPr>
      <w:r>
        <w:rPr>
          <w:sz w:val="20"/>
        </w:rPr>
        <w:t>Los</w:t>
      </w:r>
      <w:r>
        <w:rPr>
          <w:spacing w:val="-2"/>
          <w:sz w:val="20"/>
        </w:rPr>
        <w:t xml:space="preserve"> </w:t>
      </w:r>
      <w:r>
        <w:rPr>
          <w:sz w:val="20"/>
        </w:rPr>
        <w:t>partidos</w:t>
      </w:r>
      <w:r>
        <w:rPr>
          <w:spacing w:val="-2"/>
          <w:sz w:val="20"/>
        </w:rPr>
        <w:t xml:space="preserve"> </w:t>
      </w:r>
      <w:r>
        <w:rPr>
          <w:sz w:val="20"/>
        </w:rPr>
        <w:t>políticos,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sentido</w:t>
      </w:r>
      <w:r>
        <w:rPr>
          <w:spacing w:val="-2"/>
          <w:sz w:val="20"/>
        </w:rPr>
        <w:t xml:space="preserve"> </w:t>
      </w:r>
      <w:r>
        <w:rPr>
          <w:sz w:val="20"/>
        </w:rPr>
        <w:t>definido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1</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Ley</w:t>
      </w:r>
      <w:r>
        <w:rPr>
          <w:spacing w:val="-2"/>
          <w:sz w:val="20"/>
        </w:rPr>
        <w:t xml:space="preserve"> </w:t>
      </w:r>
      <w:r>
        <w:rPr>
          <w:sz w:val="20"/>
        </w:rPr>
        <w:t>Orgánica</w:t>
      </w:r>
      <w:r>
        <w:rPr>
          <w:spacing w:val="-2"/>
          <w:sz w:val="20"/>
        </w:rPr>
        <w:t xml:space="preserve"> </w:t>
      </w:r>
      <w:r>
        <w:rPr>
          <w:sz w:val="20"/>
        </w:rPr>
        <w:t>8/2007, de Financiación de los Partidos Políticos; así como las organizaciones sindicales reguladas en la Ley Orgánica 11/1985, de 2 de agosto, de Libertad Sindical, y las organizaciones empresariales</w:t>
      </w:r>
      <w:r>
        <w:rPr>
          <w:spacing w:val="-1"/>
          <w:sz w:val="20"/>
        </w:rPr>
        <w:t xml:space="preserve"> </w:t>
      </w:r>
      <w:r>
        <w:rPr>
          <w:sz w:val="20"/>
        </w:rPr>
        <w:t>y</w:t>
      </w:r>
      <w:r>
        <w:rPr>
          <w:spacing w:val="-1"/>
          <w:sz w:val="20"/>
        </w:rPr>
        <w:t xml:space="preserve"> </w:t>
      </w:r>
      <w:r>
        <w:rPr>
          <w:sz w:val="20"/>
        </w:rPr>
        <w:t>asociaciones</w:t>
      </w:r>
      <w:r>
        <w:rPr>
          <w:spacing w:val="-1"/>
          <w:sz w:val="20"/>
        </w:rPr>
        <w:t xml:space="preserve"> </w:t>
      </w:r>
      <w:r>
        <w:rPr>
          <w:sz w:val="20"/>
        </w:rPr>
        <w:t>profesionales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19/1977,</w:t>
      </w:r>
      <w:r>
        <w:rPr>
          <w:spacing w:val="-1"/>
          <w:sz w:val="20"/>
        </w:rPr>
        <w:t xml:space="preserve"> </w:t>
      </w:r>
      <w:r>
        <w:rPr>
          <w:sz w:val="20"/>
        </w:rPr>
        <w:t>de</w:t>
      </w:r>
      <w:r>
        <w:rPr>
          <w:spacing w:val="-1"/>
          <w:sz w:val="20"/>
        </w:rPr>
        <w:t xml:space="preserve"> </w:t>
      </w:r>
      <w:r>
        <w:rPr>
          <w:sz w:val="20"/>
        </w:rPr>
        <w:t>1</w:t>
      </w:r>
      <w:r>
        <w:rPr>
          <w:spacing w:val="-1"/>
          <w:sz w:val="20"/>
        </w:rPr>
        <w:t xml:space="preserve"> </w:t>
      </w:r>
      <w:r>
        <w:rPr>
          <w:sz w:val="20"/>
        </w:rPr>
        <w:t>de</w:t>
      </w:r>
      <w:r>
        <w:rPr>
          <w:spacing w:val="-1"/>
          <w:sz w:val="20"/>
        </w:rPr>
        <w:t xml:space="preserve"> </w:t>
      </w:r>
      <w:r>
        <w:rPr>
          <w:sz w:val="20"/>
        </w:rPr>
        <w:t>abril, sobre regulación del derecho de asociación sindical, además de las fundaciones y asociaciones vinculadas a cualquiera de ellos, cuando cumplan los requisitos para ser poder adjudicador de acuerdo con la letra d) del apartado 3 del presente artículo, y respecto de los contratos sujetos a regulación armonizada deberán actuar conforme a los principios de publicidad,</w:t>
      </w:r>
      <w:r>
        <w:rPr>
          <w:spacing w:val="-2"/>
          <w:sz w:val="20"/>
        </w:rPr>
        <w:t xml:space="preserve"> </w:t>
      </w:r>
      <w:r>
        <w:rPr>
          <w:sz w:val="20"/>
        </w:rPr>
        <w:t>concurrencia,</w:t>
      </w:r>
      <w:r>
        <w:rPr>
          <w:spacing w:val="-2"/>
          <w:sz w:val="20"/>
        </w:rPr>
        <w:t xml:space="preserve"> </w:t>
      </w:r>
      <w:r>
        <w:rPr>
          <w:sz w:val="20"/>
        </w:rPr>
        <w:t>transparencia,</w:t>
      </w:r>
      <w:r>
        <w:rPr>
          <w:spacing w:val="-2"/>
          <w:sz w:val="20"/>
        </w:rPr>
        <w:t xml:space="preserve"> </w:t>
      </w:r>
      <w:r>
        <w:rPr>
          <w:sz w:val="20"/>
        </w:rPr>
        <w:t>igualdad</w:t>
      </w:r>
      <w:r>
        <w:rPr>
          <w:spacing w:val="-2"/>
          <w:sz w:val="20"/>
        </w:rPr>
        <w:t xml:space="preserve"> </w:t>
      </w:r>
      <w:r>
        <w:rPr>
          <w:sz w:val="20"/>
        </w:rPr>
        <w:t>y</w:t>
      </w:r>
      <w:r>
        <w:rPr>
          <w:spacing w:val="-2"/>
          <w:sz w:val="20"/>
        </w:rPr>
        <w:t xml:space="preserve"> </w:t>
      </w:r>
      <w:r>
        <w:rPr>
          <w:sz w:val="20"/>
        </w:rPr>
        <w:t>no</w:t>
      </w:r>
      <w:r>
        <w:rPr>
          <w:spacing w:val="-2"/>
          <w:sz w:val="20"/>
        </w:rPr>
        <w:t xml:space="preserve"> </w:t>
      </w:r>
      <w:r>
        <w:rPr>
          <w:sz w:val="20"/>
        </w:rPr>
        <w:t>discriminación</w:t>
      </w:r>
      <w:r>
        <w:rPr>
          <w:spacing w:val="-2"/>
          <w:sz w:val="20"/>
        </w:rPr>
        <w:t xml:space="preserve"> </w:t>
      </w:r>
      <w:r>
        <w:rPr>
          <w:sz w:val="20"/>
        </w:rPr>
        <w:t>sin</w:t>
      </w:r>
      <w:r>
        <w:rPr>
          <w:spacing w:val="-2"/>
          <w:sz w:val="20"/>
        </w:rPr>
        <w:t xml:space="preserve"> </w:t>
      </w:r>
      <w:r>
        <w:rPr>
          <w:sz w:val="20"/>
        </w:rPr>
        <w:t>perjuicio</w:t>
      </w:r>
      <w:r>
        <w:rPr>
          <w:spacing w:val="-2"/>
          <w:sz w:val="20"/>
        </w:rPr>
        <w:t xml:space="preserve"> </w:t>
      </w:r>
      <w:r>
        <w:rPr>
          <w:sz w:val="20"/>
        </w:rPr>
        <w:t>del</w:t>
      </w:r>
      <w:r>
        <w:rPr>
          <w:spacing w:val="-2"/>
          <w:sz w:val="20"/>
        </w:rPr>
        <w:t xml:space="preserve"> </w:t>
      </w:r>
      <w:r>
        <w:rPr>
          <w:sz w:val="20"/>
        </w:rPr>
        <w:t>respeto a la autonomía de la voluntad y de la confidencialidad cuando sea procedente.</w:t>
      </w:r>
    </w:p>
    <w:p w:rsidR="0092635B" w:rsidRDefault="00000000">
      <w:pPr>
        <w:pStyle w:val="Textoindependiente"/>
        <w:spacing w:before="8" w:line="249" w:lineRule="auto"/>
        <w:ind w:right="1103"/>
      </w:pPr>
      <w:r>
        <w:t>Los sujetos obligados deberán aprobar unas instrucciones internas en materia de contratación que se adecuarán a lo previsto en el párrafo anterior y a la normativa comunitaria, y que deberán ser informadas antes de su aprobación por el órgano al que corresponda su asesoramiento jurídico. Estas instrucciones deberán publicarse en sus respectivas páginas web.</w:t>
      </w:r>
    </w:p>
    <w:p w:rsidR="0092635B" w:rsidRDefault="00000000">
      <w:pPr>
        <w:pStyle w:val="Prrafodelista"/>
        <w:numPr>
          <w:ilvl w:val="0"/>
          <w:numId w:val="349"/>
        </w:numPr>
        <w:tabs>
          <w:tab w:val="left" w:pos="1676"/>
        </w:tabs>
        <w:spacing w:before="4" w:line="249" w:lineRule="auto"/>
        <w:ind w:firstLine="340"/>
        <w:jc w:val="both"/>
        <w:rPr>
          <w:sz w:val="20"/>
        </w:rPr>
      </w:pPr>
      <w:r>
        <w:rPr>
          <w:sz w:val="20"/>
        </w:rPr>
        <w:t>Asimismo, quedarán sujetos a esta Ley las Corporaciones de derecho público cuando cumplan los requisitos para ser poder adjudicador de acuerdo con el apartado tercero, letra</w:t>
      </w:r>
    </w:p>
    <w:p w:rsidR="0092635B" w:rsidRDefault="00000000">
      <w:pPr>
        <w:pStyle w:val="Prrafodelista"/>
        <w:numPr>
          <w:ilvl w:val="0"/>
          <w:numId w:val="348"/>
        </w:numPr>
        <w:tabs>
          <w:tab w:val="left" w:pos="1339"/>
        </w:tabs>
        <w:ind w:right="0" w:hanging="233"/>
        <w:jc w:val="both"/>
        <w:rPr>
          <w:sz w:val="20"/>
        </w:rPr>
      </w:pPr>
      <w:r>
        <w:rPr>
          <w:sz w:val="20"/>
        </w:rPr>
        <w:t>del</w:t>
      </w:r>
      <w:r>
        <w:rPr>
          <w:spacing w:val="-5"/>
          <w:sz w:val="20"/>
        </w:rPr>
        <w:t xml:space="preserve"> </w:t>
      </w:r>
      <w:r>
        <w:rPr>
          <w:sz w:val="20"/>
        </w:rPr>
        <w:t>presente</w:t>
      </w:r>
      <w:r>
        <w:rPr>
          <w:spacing w:val="-4"/>
          <w:sz w:val="20"/>
        </w:rPr>
        <w:t xml:space="preserve"> </w:t>
      </w:r>
      <w:r>
        <w:rPr>
          <w:spacing w:val="-2"/>
          <w:sz w:val="20"/>
        </w:rPr>
        <w:t>artículo.</w:t>
      </w:r>
    </w:p>
    <w:p w:rsidR="0092635B" w:rsidRDefault="0092635B">
      <w:pPr>
        <w:pStyle w:val="Prrafodelista"/>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pPr>
      <w:bookmarkStart w:id="12" w:name="Sección_2.ª_Negocios_y_contratos_excluid"/>
      <w:bookmarkStart w:id="13" w:name="_bookmark4"/>
      <w:bookmarkEnd w:id="12"/>
      <w:bookmarkEnd w:id="13"/>
      <w:r>
        <w:t>Sección</w:t>
      </w:r>
      <w:r>
        <w:rPr>
          <w:spacing w:val="-4"/>
        </w:rPr>
        <w:t xml:space="preserve"> </w:t>
      </w:r>
      <w:r>
        <w:t>2.ª</w:t>
      </w:r>
      <w:r>
        <w:rPr>
          <w:spacing w:val="-3"/>
        </w:rPr>
        <w:t xml:space="preserve"> </w:t>
      </w:r>
      <w:r>
        <w:t>Negocios</w:t>
      </w:r>
      <w:r>
        <w:rPr>
          <w:spacing w:val="-4"/>
        </w:rPr>
        <w:t xml:space="preserve"> </w:t>
      </w:r>
      <w:r>
        <w:t>y</w:t>
      </w:r>
      <w:r>
        <w:rPr>
          <w:spacing w:val="-3"/>
        </w:rPr>
        <w:t xml:space="preserve"> </w:t>
      </w:r>
      <w:r>
        <w:t>contratos</w:t>
      </w:r>
      <w:r>
        <w:rPr>
          <w:spacing w:val="-3"/>
        </w:rPr>
        <w:t xml:space="preserve"> </w:t>
      </w:r>
      <w:r>
        <w:rPr>
          <w:spacing w:val="-2"/>
        </w:rPr>
        <w:t>excluidos</w:t>
      </w:r>
    </w:p>
    <w:p w:rsidR="0092635B" w:rsidRDefault="0092635B">
      <w:pPr>
        <w:pStyle w:val="Textoindependiente"/>
        <w:spacing w:before="6"/>
        <w:ind w:left="0" w:firstLine="0"/>
        <w:jc w:val="left"/>
        <w:rPr>
          <w:rFonts w:ascii="Arial"/>
          <w:b/>
          <w:i/>
        </w:rPr>
      </w:pPr>
    </w:p>
    <w:p w:rsidR="0092635B" w:rsidRDefault="00000000">
      <w:pPr>
        <w:ind w:left="1106"/>
        <w:rPr>
          <w:rFonts w:ascii="Arial" w:hAnsi="Arial"/>
          <w:i/>
          <w:sz w:val="20"/>
        </w:rPr>
      </w:pPr>
      <w:bookmarkStart w:id="14" w:name="Artículo_4._Régimen_aplicable_a_los_nego"/>
      <w:bookmarkEnd w:id="14"/>
      <w:r>
        <w:rPr>
          <w:rFonts w:ascii="Arial" w:hAnsi="Arial"/>
          <w:b/>
          <w:sz w:val="20"/>
        </w:rPr>
        <w:t>Artículo</w:t>
      </w:r>
      <w:r>
        <w:rPr>
          <w:rFonts w:ascii="Arial" w:hAnsi="Arial"/>
          <w:b/>
          <w:spacing w:val="-2"/>
          <w:sz w:val="20"/>
        </w:rPr>
        <w:t xml:space="preserve"> </w:t>
      </w:r>
      <w:r>
        <w:rPr>
          <w:rFonts w:ascii="Arial" w:hAnsi="Arial"/>
          <w:b/>
          <w:sz w:val="20"/>
        </w:rPr>
        <w:t>4.</w:t>
      </w:r>
      <w:r>
        <w:rPr>
          <w:rFonts w:ascii="Arial" w:hAnsi="Arial"/>
          <w:b/>
          <w:spacing w:val="51"/>
          <w:sz w:val="20"/>
        </w:rPr>
        <w:t xml:space="preserve"> </w:t>
      </w:r>
      <w:r>
        <w:rPr>
          <w:rFonts w:ascii="Arial" w:hAnsi="Arial"/>
          <w:i/>
          <w:sz w:val="20"/>
        </w:rPr>
        <w:t>Régimen</w:t>
      </w:r>
      <w:r>
        <w:rPr>
          <w:rFonts w:ascii="Arial" w:hAnsi="Arial"/>
          <w:i/>
          <w:spacing w:val="-2"/>
          <w:sz w:val="20"/>
        </w:rPr>
        <w:t xml:space="preserve"> </w:t>
      </w:r>
      <w:r>
        <w:rPr>
          <w:rFonts w:ascii="Arial" w:hAnsi="Arial"/>
          <w:i/>
          <w:sz w:val="20"/>
        </w:rPr>
        <w:t>aplicable</w:t>
      </w:r>
      <w:r>
        <w:rPr>
          <w:rFonts w:ascii="Arial" w:hAnsi="Arial"/>
          <w:i/>
          <w:spacing w:val="-1"/>
          <w:sz w:val="20"/>
        </w:rPr>
        <w:t xml:space="preserve"> </w:t>
      </w:r>
      <w:r>
        <w:rPr>
          <w:rFonts w:ascii="Arial" w:hAnsi="Arial"/>
          <w:i/>
          <w:sz w:val="20"/>
        </w:rPr>
        <w:t>a</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z w:val="20"/>
        </w:rPr>
        <w:t>negocios</w:t>
      </w:r>
      <w:r>
        <w:rPr>
          <w:rFonts w:ascii="Arial" w:hAnsi="Arial"/>
          <w:i/>
          <w:spacing w:val="-2"/>
          <w:sz w:val="20"/>
        </w:rPr>
        <w:t xml:space="preserve"> </w:t>
      </w:r>
      <w:r>
        <w:rPr>
          <w:rFonts w:ascii="Arial" w:hAnsi="Arial"/>
          <w:i/>
          <w:sz w:val="20"/>
        </w:rPr>
        <w:t>jurídicos</w:t>
      </w:r>
      <w:r>
        <w:rPr>
          <w:rFonts w:ascii="Arial" w:hAnsi="Arial"/>
          <w:i/>
          <w:spacing w:val="-1"/>
          <w:sz w:val="20"/>
        </w:rPr>
        <w:t xml:space="preserve"> </w:t>
      </w:r>
      <w:r>
        <w:rPr>
          <w:rFonts w:ascii="Arial" w:hAnsi="Arial"/>
          <w:i/>
          <w:spacing w:val="-2"/>
          <w:sz w:val="20"/>
        </w:rPr>
        <w:t>excluidos.</w:t>
      </w:r>
    </w:p>
    <w:p w:rsidR="0092635B" w:rsidRDefault="00000000">
      <w:pPr>
        <w:pStyle w:val="Textoindependiente"/>
        <w:spacing w:before="124" w:line="249" w:lineRule="auto"/>
        <w:ind w:right="1104"/>
      </w:pPr>
      <w:r>
        <w:t>Las relaciones jurídicas, negocios y contratos citados en esta sección quedan excluidos del ámbito de la presente Ley, y se regirán por sus normas especiales, aplicándose los principios de esta Ley para resolver las dudas y lagunas que pudieran presentarse.</w:t>
      </w:r>
    </w:p>
    <w:p w:rsidR="0092635B" w:rsidRDefault="00000000">
      <w:pPr>
        <w:spacing w:before="229" w:line="249" w:lineRule="auto"/>
        <w:ind w:left="1106" w:right="1120" w:hanging="1"/>
        <w:rPr>
          <w:rFonts w:ascii="Arial" w:hAnsi="Arial"/>
          <w:i/>
          <w:sz w:val="20"/>
        </w:rPr>
      </w:pPr>
      <w:bookmarkStart w:id="15" w:name="Artículo_5._Negocios_jurídicos_y_contrat"/>
      <w:bookmarkEnd w:id="15"/>
      <w:r>
        <w:rPr>
          <w:rFonts w:ascii="Arial" w:hAnsi="Arial"/>
          <w:b/>
          <w:sz w:val="20"/>
        </w:rPr>
        <w:t>Artículo</w:t>
      </w:r>
      <w:r>
        <w:rPr>
          <w:rFonts w:ascii="Arial" w:hAnsi="Arial"/>
          <w:b/>
          <w:spacing w:val="32"/>
          <w:sz w:val="20"/>
        </w:rPr>
        <w:t xml:space="preserve"> </w:t>
      </w:r>
      <w:r>
        <w:rPr>
          <w:rFonts w:ascii="Arial" w:hAnsi="Arial"/>
          <w:b/>
          <w:sz w:val="20"/>
        </w:rPr>
        <w:t>5.</w:t>
      </w:r>
      <w:r>
        <w:rPr>
          <w:rFonts w:ascii="Arial" w:hAnsi="Arial"/>
          <w:b/>
          <w:spacing w:val="80"/>
          <w:w w:val="150"/>
          <w:sz w:val="20"/>
        </w:rPr>
        <w:t xml:space="preserve"> </w:t>
      </w:r>
      <w:r>
        <w:rPr>
          <w:rFonts w:ascii="Arial" w:hAnsi="Arial"/>
          <w:i/>
          <w:sz w:val="20"/>
        </w:rPr>
        <w:t>Negocios</w:t>
      </w:r>
      <w:r>
        <w:rPr>
          <w:rFonts w:ascii="Arial" w:hAnsi="Arial"/>
          <w:i/>
          <w:spacing w:val="32"/>
          <w:sz w:val="20"/>
        </w:rPr>
        <w:t xml:space="preserve"> </w:t>
      </w:r>
      <w:r>
        <w:rPr>
          <w:rFonts w:ascii="Arial" w:hAnsi="Arial"/>
          <w:i/>
          <w:sz w:val="20"/>
        </w:rPr>
        <w:t>jurídicos</w:t>
      </w:r>
      <w:r>
        <w:rPr>
          <w:rFonts w:ascii="Arial" w:hAnsi="Arial"/>
          <w:i/>
          <w:spacing w:val="32"/>
          <w:sz w:val="20"/>
        </w:rPr>
        <w:t xml:space="preserve"> </w:t>
      </w:r>
      <w:r>
        <w:rPr>
          <w:rFonts w:ascii="Arial" w:hAnsi="Arial"/>
          <w:i/>
          <w:sz w:val="20"/>
        </w:rPr>
        <w:t>y</w:t>
      </w:r>
      <w:r>
        <w:rPr>
          <w:rFonts w:ascii="Arial" w:hAnsi="Arial"/>
          <w:i/>
          <w:spacing w:val="32"/>
          <w:sz w:val="20"/>
        </w:rPr>
        <w:t xml:space="preserve"> </w:t>
      </w:r>
      <w:r>
        <w:rPr>
          <w:rFonts w:ascii="Arial" w:hAnsi="Arial"/>
          <w:i/>
          <w:sz w:val="20"/>
        </w:rPr>
        <w:t>contratos</w:t>
      </w:r>
      <w:r>
        <w:rPr>
          <w:rFonts w:ascii="Arial" w:hAnsi="Arial"/>
          <w:i/>
          <w:spacing w:val="32"/>
          <w:sz w:val="20"/>
        </w:rPr>
        <w:t xml:space="preserve"> </w:t>
      </w:r>
      <w:r>
        <w:rPr>
          <w:rFonts w:ascii="Arial" w:hAnsi="Arial"/>
          <w:i/>
          <w:sz w:val="20"/>
        </w:rPr>
        <w:t>excluidos</w:t>
      </w:r>
      <w:r>
        <w:rPr>
          <w:rFonts w:ascii="Arial" w:hAnsi="Arial"/>
          <w:i/>
          <w:spacing w:val="32"/>
          <w:sz w:val="20"/>
        </w:rPr>
        <w:t xml:space="preserve"> </w:t>
      </w:r>
      <w:r>
        <w:rPr>
          <w:rFonts w:ascii="Arial" w:hAnsi="Arial"/>
          <w:i/>
          <w:sz w:val="20"/>
        </w:rPr>
        <w:t>en</w:t>
      </w:r>
      <w:r>
        <w:rPr>
          <w:rFonts w:ascii="Arial" w:hAnsi="Arial"/>
          <w:i/>
          <w:spacing w:val="32"/>
          <w:sz w:val="20"/>
        </w:rPr>
        <w:t xml:space="preserve"> </w:t>
      </w:r>
      <w:r>
        <w:rPr>
          <w:rFonts w:ascii="Arial" w:hAnsi="Arial"/>
          <w:i/>
          <w:sz w:val="20"/>
        </w:rPr>
        <w:t>el</w:t>
      </w:r>
      <w:r>
        <w:rPr>
          <w:rFonts w:ascii="Arial" w:hAnsi="Arial"/>
          <w:i/>
          <w:spacing w:val="32"/>
          <w:sz w:val="20"/>
        </w:rPr>
        <w:t xml:space="preserve"> </w:t>
      </w:r>
      <w:r>
        <w:rPr>
          <w:rFonts w:ascii="Arial" w:hAnsi="Arial"/>
          <w:i/>
          <w:sz w:val="20"/>
        </w:rPr>
        <w:t>ámbito</w:t>
      </w:r>
      <w:r>
        <w:rPr>
          <w:rFonts w:ascii="Arial" w:hAnsi="Arial"/>
          <w:i/>
          <w:spacing w:val="32"/>
          <w:sz w:val="20"/>
        </w:rPr>
        <w:t xml:space="preserve"> </w:t>
      </w:r>
      <w:r>
        <w:rPr>
          <w:rFonts w:ascii="Arial" w:hAnsi="Arial"/>
          <w:i/>
          <w:sz w:val="20"/>
        </w:rPr>
        <w:t>de</w:t>
      </w:r>
      <w:r>
        <w:rPr>
          <w:rFonts w:ascii="Arial" w:hAnsi="Arial"/>
          <w:i/>
          <w:spacing w:val="32"/>
          <w:sz w:val="20"/>
        </w:rPr>
        <w:t xml:space="preserve"> </w:t>
      </w:r>
      <w:r>
        <w:rPr>
          <w:rFonts w:ascii="Arial" w:hAnsi="Arial"/>
          <w:i/>
          <w:sz w:val="20"/>
        </w:rPr>
        <w:t>la</w:t>
      </w:r>
      <w:r>
        <w:rPr>
          <w:rFonts w:ascii="Arial" w:hAnsi="Arial"/>
          <w:i/>
          <w:spacing w:val="32"/>
          <w:sz w:val="20"/>
        </w:rPr>
        <w:t xml:space="preserve"> </w:t>
      </w:r>
      <w:r>
        <w:rPr>
          <w:rFonts w:ascii="Arial" w:hAnsi="Arial"/>
          <w:i/>
          <w:sz w:val="20"/>
        </w:rPr>
        <w:t>Defensa</w:t>
      </w:r>
      <w:r>
        <w:rPr>
          <w:rFonts w:ascii="Arial" w:hAnsi="Arial"/>
          <w:i/>
          <w:spacing w:val="32"/>
          <w:sz w:val="20"/>
        </w:rPr>
        <w:t xml:space="preserve"> </w:t>
      </w:r>
      <w:r>
        <w:rPr>
          <w:rFonts w:ascii="Arial" w:hAnsi="Arial"/>
          <w:i/>
          <w:sz w:val="20"/>
        </w:rPr>
        <w:t>y</w:t>
      </w:r>
      <w:r>
        <w:rPr>
          <w:rFonts w:ascii="Arial" w:hAnsi="Arial"/>
          <w:i/>
          <w:spacing w:val="32"/>
          <w:sz w:val="20"/>
        </w:rPr>
        <w:t xml:space="preserve"> </w:t>
      </w:r>
      <w:r>
        <w:rPr>
          <w:rFonts w:ascii="Arial" w:hAnsi="Arial"/>
          <w:i/>
          <w:sz w:val="20"/>
        </w:rPr>
        <w:t>de</w:t>
      </w:r>
      <w:r>
        <w:rPr>
          <w:rFonts w:ascii="Arial" w:hAnsi="Arial"/>
          <w:i/>
          <w:spacing w:val="32"/>
          <w:sz w:val="20"/>
        </w:rPr>
        <w:t xml:space="preserve"> </w:t>
      </w:r>
      <w:r>
        <w:rPr>
          <w:rFonts w:ascii="Arial" w:hAnsi="Arial"/>
          <w:i/>
          <w:sz w:val="20"/>
        </w:rPr>
        <w:t xml:space="preserve">la </w:t>
      </w:r>
      <w:r>
        <w:rPr>
          <w:rFonts w:ascii="Arial" w:hAnsi="Arial"/>
          <w:i/>
          <w:spacing w:val="-2"/>
          <w:sz w:val="20"/>
        </w:rPr>
        <w:t>Seguridad.</w:t>
      </w:r>
    </w:p>
    <w:p w:rsidR="0092635B" w:rsidRDefault="00000000">
      <w:pPr>
        <w:pStyle w:val="Prrafodelista"/>
        <w:numPr>
          <w:ilvl w:val="1"/>
          <w:numId w:val="348"/>
        </w:numPr>
        <w:tabs>
          <w:tab w:val="left" w:pos="1681"/>
        </w:tabs>
        <w:spacing w:before="115" w:line="249" w:lineRule="auto"/>
        <w:ind w:right="1104" w:firstLine="340"/>
        <w:jc w:val="both"/>
        <w:rPr>
          <w:sz w:val="20"/>
        </w:rPr>
      </w:pPr>
      <w:r>
        <w:rPr>
          <w:sz w:val="20"/>
        </w:rPr>
        <w:t>Quedan excluidos del ámbito de la presente Ley los convenios incluidos en el ámbito del artículo 346 del Tratado de Funcionamiento de la Unión Europea que se concluyan en el sector de la defensa y la seguridad.</w:t>
      </w:r>
    </w:p>
    <w:p w:rsidR="0092635B" w:rsidRDefault="00000000">
      <w:pPr>
        <w:pStyle w:val="Prrafodelista"/>
        <w:numPr>
          <w:ilvl w:val="1"/>
          <w:numId w:val="348"/>
        </w:numPr>
        <w:tabs>
          <w:tab w:val="left" w:pos="1733"/>
        </w:tabs>
        <w:spacing w:before="3" w:line="249" w:lineRule="auto"/>
        <w:ind w:firstLine="340"/>
        <w:jc w:val="both"/>
        <w:rPr>
          <w:sz w:val="20"/>
        </w:rPr>
      </w:pPr>
      <w:r>
        <w:rPr>
          <w:sz w:val="20"/>
        </w:rPr>
        <w:t>Se excluyen, asimismo, del ámbito de la presente Ley los contratos de obras, suministros y servicios que se celebren en el ámbito de la seguridad o de la defensa que estén comprendidos dentro del ámbito de aplicación de la Ley 24/2011, de 1 de agosto, de contratos del sector público en los ámbitos de la defensa y de la seguridad; así como los contratos a los que no resulte de aplicación la citada Ley en virtud de su artículo 7.</w:t>
      </w:r>
    </w:p>
    <w:p w:rsidR="0092635B" w:rsidRDefault="00000000">
      <w:pPr>
        <w:pStyle w:val="Textoindependiente"/>
        <w:spacing w:before="4" w:line="249" w:lineRule="auto"/>
        <w:ind w:right="1104"/>
      </w:pPr>
      <w:r>
        <w:t>Quedan también excluidos los contratos de concesiones de obras y concesiones de servicios, que se celebren en el ámbito de la seguridad y de la defensa, en los que concurra alguna de las circunstancias siguientes:</w:t>
      </w:r>
    </w:p>
    <w:p w:rsidR="0092635B" w:rsidRDefault="00000000">
      <w:pPr>
        <w:pStyle w:val="Prrafodelista"/>
        <w:numPr>
          <w:ilvl w:val="2"/>
          <w:numId w:val="348"/>
        </w:numPr>
        <w:tabs>
          <w:tab w:val="left" w:pos="1715"/>
        </w:tabs>
        <w:spacing w:before="122" w:line="249" w:lineRule="auto"/>
        <w:ind w:right="1105" w:firstLine="340"/>
        <w:jc w:val="both"/>
        <w:rPr>
          <w:sz w:val="20"/>
        </w:rPr>
      </w:pPr>
      <w:r>
        <w:rPr>
          <w:sz w:val="20"/>
        </w:rPr>
        <w:t>Que sean adjudicados en el marco de un programa de cooperación basado en la investigación</w:t>
      </w:r>
      <w:r>
        <w:rPr>
          <w:spacing w:val="-3"/>
          <w:sz w:val="20"/>
        </w:rPr>
        <w:t xml:space="preserve"> </w:t>
      </w:r>
      <w:r>
        <w:rPr>
          <w:sz w:val="20"/>
        </w:rPr>
        <w:t>y</w:t>
      </w:r>
      <w:r>
        <w:rPr>
          <w:spacing w:val="-3"/>
          <w:sz w:val="20"/>
        </w:rPr>
        <w:t xml:space="preserve"> </w:t>
      </w:r>
      <w:r>
        <w:rPr>
          <w:sz w:val="20"/>
        </w:rPr>
        <w:t>el</w:t>
      </w:r>
      <w:r>
        <w:rPr>
          <w:spacing w:val="-3"/>
          <w:sz w:val="20"/>
        </w:rPr>
        <w:t xml:space="preserve"> </w:t>
      </w:r>
      <w:r>
        <w:rPr>
          <w:sz w:val="20"/>
        </w:rPr>
        <w:t>desarrollo</w:t>
      </w:r>
      <w:r>
        <w:rPr>
          <w:spacing w:val="-3"/>
          <w:sz w:val="20"/>
        </w:rPr>
        <w:t xml:space="preserve"> </w:t>
      </w:r>
      <w:r>
        <w:rPr>
          <w:sz w:val="20"/>
        </w:rPr>
        <w:t>de</w:t>
      </w:r>
      <w:r>
        <w:rPr>
          <w:spacing w:val="-3"/>
          <w:sz w:val="20"/>
        </w:rPr>
        <w:t xml:space="preserve"> </w:t>
      </w:r>
      <w:r>
        <w:rPr>
          <w:sz w:val="20"/>
        </w:rPr>
        <w:t>un</w:t>
      </w:r>
      <w:r>
        <w:rPr>
          <w:spacing w:val="-3"/>
          <w:sz w:val="20"/>
        </w:rPr>
        <w:t xml:space="preserve"> </w:t>
      </w:r>
      <w:r>
        <w:rPr>
          <w:sz w:val="20"/>
        </w:rPr>
        <w:t>nuevo</w:t>
      </w:r>
      <w:r>
        <w:rPr>
          <w:spacing w:val="-3"/>
          <w:sz w:val="20"/>
        </w:rPr>
        <w:t xml:space="preserve"> </w:t>
      </w:r>
      <w:r>
        <w:rPr>
          <w:sz w:val="20"/>
        </w:rPr>
        <w:t>producto</w:t>
      </w:r>
      <w:r>
        <w:rPr>
          <w:spacing w:val="-3"/>
          <w:sz w:val="20"/>
        </w:rPr>
        <w:t xml:space="preserve"> </w:t>
      </w:r>
      <w:r>
        <w:rPr>
          <w:sz w:val="20"/>
        </w:rPr>
        <w:t>y,</w:t>
      </w:r>
      <w:r>
        <w:rPr>
          <w:spacing w:val="-3"/>
          <w:sz w:val="20"/>
        </w:rPr>
        <w:t xml:space="preserve"> </w:t>
      </w:r>
      <w:r>
        <w:rPr>
          <w:sz w:val="20"/>
        </w:rPr>
        <w:t>en</w:t>
      </w:r>
      <w:r>
        <w:rPr>
          <w:spacing w:val="-3"/>
          <w:sz w:val="20"/>
        </w:rPr>
        <w:t xml:space="preserve"> </w:t>
      </w:r>
      <w:r>
        <w:rPr>
          <w:sz w:val="20"/>
        </w:rPr>
        <w:t>su</w:t>
      </w:r>
      <w:r>
        <w:rPr>
          <w:spacing w:val="-3"/>
          <w:sz w:val="20"/>
        </w:rPr>
        <w:t xml:space="preserve"> </w:t>
      </w:r>
      <w:r>
        <w:rPr>
          <w:sz w:val="20"/>
        </w:rPr>
        <w:t>caso,</w:t>
      </w:r>
      <w:r>
        <w:rPr>
          <w:spacing w:val="-3"/>
          <w:sz w:val="20"/>
        </w:rPr>
        <w:t xml:space="preserve"> </w:t>
      </w:r>
      <w:r>
        <w:rPr>
          <w:sz w:val="20"/>
        </w:rPr>
        <w:t>también</w:t>
      </w:r>
      <w:r>
        <w:rPr>
          <w:spacing w:val="-3"/>
          <w:sz w:val="20"/>
        </w:rPr>
        <w:t xml:space="preserve"> </w:t>
      </w:r>
      <w:r>
        <w:rPr>
          <w:sz w:val="20"/>
        </w:rPr>
        <w:t>relacionados</w:t>
      </w:r>
      <w:r>
        <w:rPr>
          <w:spacing w:val="-3"/>
          <w:sz w:val="20"/>
        </w:rPr>
        <w:t xml:space="preserve"> </w:t>
      </w:r>
      <w:r>
        <w:rPr>
          <w:sz w:val="20"/>
        </w:rPr>
        <w:t>con</w:t>
      </w:r>
      <w:r>
        <w:rPr>
          <w:spacing w:val="-3"/>
          <w:sz w:val="20"/>
        </w:rPr>
        <w:t xml:space="preserve"> </w:t>
      </w:r>
      <w:r>
        <w:rPr>
          <w:sz w:val="20"/>
        </w:rPr>
        <w:t>el ciclo de vida del mismo o partes de dicho ciclo, siempre que participen en el programa al menos dos Estados miembros de la Unión Europea.</w:t>
      </w:r>
    </w:p>
    <w:p w:rsidR="0092635B" w:rsidRDefault="00000000">
      <w:pPr>
        <w:pStyle w:val="Prrafodelista"/>
        <w:numPr>
          <w:ilvl w:val="2"/>
          <w:numId w:val="348"/>
        </w:numPr>
        <w:tabs>
          <w:tab w:val="left" w:pos="1708"/>
        </w:tabs>
        <w:spacing w:before="3" w:line="249" w:lineRule="auto"/>
        <w:ind w:firstLine="340"/>
        <w:jc w:val="both"/>
        <w:rPr>
          <w:sz w:val="20"/>
        </w:rPr>
      </w:pPr>
      <w:r>
        <w:rPr>
          <w:sz w:val="20"/>
        </w:rPr>
        <w:t>Los que se adjudiquen en un tercer Estado no miembro de la Unión Europea para efectuar compras, incluidas las de carácter civil, cuando las Fuerzas Armadas estén desplegadas fuera del territorio de la Unión y las necesidades operativas hagan necesario que</w:t>
      </w:r>
      <w:r>
        <w:rPr>
          <w:spacing w:val="-2"/>
          <w:sz w:val="20"/>
        </w:rPr>
        <w:t xml:space="preserve"> </w:t>
      </w:r>
      <w:r>
        <w:rPr>
          <w:sz w:val="20"/>
        </w:rPr>
        <w:t>estos</w:t>
      </w:r>
      <w:r>
        <w:rPr>
          <w:spacing w:val="-2"/>
          <w:sz w:val="20"/>
        </w:rPr>
        <w:t xml:space="preserve"> </w:t>
      </w:r>
      <w:r>
        <w:rPr>
          <w:sz w:val="20"/>
        </w:rPr>
        <w:t>contratos</w:t>
      </w:r>
      <w:r>
        <w:rPr>
          <w:spacing w:val="-2"/>
          <w:sz w:val="20"/>
        </w:rPr>
        <w:t xml:space="preserve"> </w:t>
      </w:r>
      <w:r>
        <w:rPr>
          <w:sz w:val="20"/>
        </w:rPr>
        <w:t>se</w:t>
      </w:r>
      <w:r>
        <w:rPr>
          <w:spacing w:val="-2"/>
          <w:sz w:val="20"/>
        </w:rPr>
        <w:t xml:space="preserve"> </w:t>
      </w:r>
      <w:r>
        <w:rPr>
          <w:sz w:val="20"/>
        </w:rPr>
        <w:t>concluyan</w:t>
      </w:r>
      <w:r>
        <w:rPr>
          <w:spacing w:val="-2"/>
          <w:sz w:val="20"/>
        </w:rPr>
        <w:t xml:space="preserve"> </w:t>
      </w:r>
      <w:r>
        <w:rPr>
          <w:sz w:val="20"/>
        </w:rPr>
        <w:t>con</w:t>
      </w:r>
      <w:r>
        <w:rPr>
          <w:spacing w:val="-2"/>
          <w:sz w:val="20"/>
        </w:rPr>
        <w:t xml:space="preserve"> </w:t>
      </w:r>
      <w:r>
        <w:rPr>
          <w:sz w:val="20"/>
        </w:rPr>
        <w:t>empresarios</w:t>
      </w:r>
      <w:r>
        <w:rPr>
          <w:spacing w:val="-2"/>
          <w:sz w:val="20"/>
        </w:rPr>
        <w:t xml:space="preserve"> </w:t>
      </w:r>
      <w:r>
        <w:rPr>
          <w:sz w:val="20"/>
        </w:rPr>
        <w:t>situados</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zona</w:t>
      </w:r>
      <w:r>
        <w:rPr>
          <w:spacing w:val="-2"/>
          <w:sz w:val="20"/>
        </w:rPr>
        <w:t xml:space="preserve"> </w:t>
      </w:r>
      <w:r>
        <w:rPr>
          <w:sz w:val="20"/>
        </w:rPr>
        <w:t>de</w:t>
      </w:r>
      <w:r>
        <w:rPr>
          <w:spacing w:val="-2"/>
          <w:sz w:val="20"/>
        </w:rPr>
        <w:t xml:space="preserve"> </w:t>
      </w:r>
      <w:r>
        <w:rPr>
          <w:sz w:val="20"/>
        </w:rPr>
        <w:t>operaciones.</w:t>
      </w:r>
      <w:r>
        <w:rPr>
          <w:spacing w:val="-2"/>
          <w:sz w:val="20"/>
        </w:rPr>
        <w:t xml:space="preserve"> </w:t>
      </w:r>
      <w:r>
        <w:rPr>
          <w:sz w:val="20"/>
        </w:rPr>
        <w:t>A</w:t>
      </w:r>
      <w:r>
        <w:rPr>
          <w:spacing w:val="-2"/>
          <w:sz w:val="20"/>
        </w:rPr>
        <w:t xml:space="preserve"> </w:t>
      </w:r>
      <w:r>
        <w:rPr>
          <w:sz w:val="20"/>
        </w:rPr>
        <w:t>los efectos de esta Ley, se entenderán incluidos en la zona de operaciones los territorios de influencia de esta y las bases logísticas avanzadas.</w:t>
      </w:r>
    </w:p>
    <w:p w:rsidR="0092635B" w:rsidRDefault="00000000">
      <w:pPr>
        <w:pStyle w:val="Prrafodelista"/>
        <w:numPr>
          <w:ilvl w:val="2"/>
          <w:numId w:val="348"/>
        </w:numPr>
        <w:tabs>
          <w:tab w:val="left" w:pos="1691"/>
        </w:tabs>
        <w:spacing w:before="5" w:line="249" w:lineRule="auto"/>
        <w:ind w:right="1104" w:firstLine="340"/>
        <w:jc w:val="both"/>
        <w:rPr>
          <w:sz w:val="20"/>
        </w:rPr>
      </w:pPr>
      <w:r>
        <w:rPr>
          <w:sz w:val="20"/>
        </w:rPr>
        <w:t>Las concesiones que se adjudiquen a otro Estado en relación con obras y servicios directamente</w:t>
      </w:r>
      <w:r>
        <w:rPr>
          <w:spacing w:val="-1"/>
          <w:sz w:val="20"/>
        </w:rPr>
        <w:t xml:space="preserve"> </w:t>
      </w:r>
      <w:r>
        <w:rPr>
          <w:sz w:val="20"/>
        </w:rPr>
        <w:t>relacionados</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equipo</w:t>
      </w:r>
      <w:r>
        <w:rPr>
          <w:spacing w:val="-1"/>
          <w:sz w:val="20"/>
        </w:rPr>
        <w:t xml:space="preserve"> </w:t>
      </w:r>
      <w:r>
        <w:rPr>
          <w:sz w:val="20"/>
        </w:rPr>
        <w:t>militar</w:t>
      </w:r>
      <w:r>
        <w:rPr>
          <w:spacing w:val="-1"/>
          <w:sz w:val="20"/>
        </w:rPr>
        <w:t xml:space="preserve"> </w:t>
      </w:r>
      <w:r>
        <w:rPr>
          <w:sz w:val="20"/>
        </w:rPr>
        <w:t>sensible,</w:t>
      </w:r>
      <w:r>
        <w:rPr>
          <w:spacing w:val="-1"/>
          <w:sz w:val="20"/>
        </w:rPr>
        <w:t xml:space="preserve"> </w:t>
      </w:r>
      <w:r>
        <w:rPr>
          <w:sz w:val="20"/>
        </w:rPr>
        <w:t>u</w:t>
      </w:r>
      <w:r>
        <w:rPr>
          <w:spacing w:val="-1"/>
          <w:sz w:val="20"/>
        </w:rPr>
        <w:t xml:space="preserve"> </w:t>
      </w:r>
      <w:r>
        <w:rPr>
          <w:sz w:val="20"/>
        </w:rPr>
        <w:t>obras</w:t>
      </w:r>
      <w:r>
        <w:rPr>
          <w:spacing w:val="-1"/>
          <w:sz w:val="20"/>
        </w:rPr>
        <w:t xml:space="preserve"> </w:t>
      </w:r>
      <w:r>
        <w:rPr>
          <w:sz w:val="20"/>
        </w:rPr>
        <w:t>y</w:t>
      </w:r>
      <w:r>
        <w:rPr>
          <w:spacing w:val="-1"/>
          <w:sz w:val="20"/>
        </w:rPr>
        <w:t xml:space="preserve"> </w:t>
      </w:r>
      <w:r>
        <w:rPr>
          <w:sz w:val="20"/>
        </w:rPr>
        <w:t>servicios</w:t>
      </w:r>
      <w:r>
        <w:rPr>
          <w:spacing w:val="-1"/>
          <w:sz w:val="20"/>
        </w:rPr>
        <w:t xml:space="preserve"> </w:t>
      </w:r>
      <w:r>
        <w:rPr>
          <w:sz w:val="20"/>
        </w:rPr>
        <w:t>específicamente con fines militares, u obras y servicios sensibles.</w:t>
      </w:r>
    </w:p>
    <w:p w:rsidR="0092635B" w:rsidRDefault="00000000">
      <w:pPr>
        <w:pStyle w:val="Prrafodelista"/>
        <w:numPr>
          <w:ilvl w:val="1"/>
          <w:numId w:val="348"/>
        </w:numPr>
        <w:tabs>
          <w:tab w:val="left" w:pos="1676"/>
        </w:tabs>
        <w:spacing w:before="123" w:line="249" w:lineRule="auto"/>
        <w:ind w:right="1104" w:firstLine="340"/>
        <w:jc w:val="both"/>
        <w:rPr>
          <w:sz w:val="20"/>
        </w:rPr>
      </w:pPr>
      <w:r>
        <w:rPr>
          <w:sz w:val="20"/>
        </w:rPr>
        <w:t>Lo establecido en los dos apartados anteriores se aplicará aún en el supuesto de que parte de las prestaciones correspondientes estén sometidas a la presente Ley, y no se haya optado por adjudicar un contrato separado por cada una de las distintas prestaciones que constituyan el objeto del contrato.</w:t>
      </w:r>
    </w:p>
    <w:p w:rsidR="0092635B" w:rsidRDefault="00000000">
      <w:pPr>
        <w:pStyle w:val="Textoindependiente"/>
        <w:spacing w:before="3" w:line="249" w:lineRule="auto"/>
        <w:ind w:right="1103"/>
      </w:pPr>
      <w:r>
        <w:t>No obstante, constituirá una condición necesaria para la aplicación de lo señalado en el párrafo anterior el hecho de que la opción entre adjudicar un único contrato o varios</w:t>
      </w:r>
      <w:r>
        <w:rPr>
          <w:spacing w:val="40"/>
        </w:rPr>
        <w:t xml:space="preserve"> </w:t>
      </w:r>
      <w:r>
        <w:t>contratos por separado no se ejerza con el objetivo de excluir el contrato o contratos del ámbito de aplicación de la presente Ley.</w:t>
      </w:r>
    </w:p>
    <w:p w:rsidR="0092635B" w:rsidRDefault="00000000">
      <w:pPr>
        <w:pStyle w:val="Prrafodelista"/>
        <w:numPr>
          <w:ilvl w:val="1"/>
          <w:numId w:val="348"/>
        </w:numPr>
        <w:tabs>
          <w:tab w:val="left" w:pos="1687"/>
        </w:tabs>
        <w:spacing w:before="3" w:line="249" w:lineRule="auto"/>
        <w:ind w:firstLine="340"/>
        <w:jc w:val="both"/>
        <w:rPr>
          <w:sz w:val="20"/>
        </w:rPr>
      </w:pPr>
      <w:r>
        <w:rPr>
          <w:sz w:val="20"/>
        </w:rPr>
        <w:t>Quedan excluidos, también, del ámbito de la presente Ley los contratos y convenios que se celebren en los ámbitos de la defensa o de la seguridad y que deban adjudicarse de conformidad con un procedimiento de contratación específico que haya sido establecido de alguna de las siguientes maneras:</w:t>
      </w:r>
    </w:p>
    <w:p w:rsidR="0092635B" w:rsidRDefault="00000000">
      <w:pPr>
        <w:pStyle w:val="Prrafodelista"/>
        <w:numPr>
          <w:ilvl w:val="2"/>
          <w:numId w:val="348"/>
        </w:numPr>
        <w:tabs>
          <w:tab w:val="left" w:pos="1710"/>
        </w:tabs>
        <w:spacing w:before="124" w:line="249" w:lineRule="auto"/>
        <w:ind w:right="1104" w:firstLine="340"/>
        <w:jc w:val="both"/>
        <w:rPr>
          <w:sz w:val="20"/>
        </w:rPr>
      </w:pPr>
      <w:r>
        <w:rPr>
          <w:sz w:val="20"/>
        </w:rPr>
        <w:t>En virtud de un acuerdo o convenio internacional celebrado de conformidad con el Tratado de Funcionamiento de la Unión Europea con uno o varios Estados no signatarios de este último, relativo a las obras, suministros o servicios que resulten necesarios para la explotación o el desarrollo conjunto de un proyecto por los Estados firmantes.</w:t>
      </w:r>
    </w:p>
    <w:p w:rsidR="0092635B" w:rsidRDefault="00000000">
      <w:pPr>
        <w:pStyle w:val="Prrafodelista"/>
        <w:numPr>
          <w:ilvl w:val="2"/>
          <w:numId w:val="348"/>
        </w:numPr>
        <w:tabs>
          <w:tab w:val="left" w:pos="1683"/>
        </w:tabs>
        <w:spacing w:before="3" w:line="249" w:lineRule="auto"/>
        <w:ind w:firstLine="340"/>
        <w:jc w:val="both"/>
        <w:rPr>
          <w:sz w:val="20"/>
        </w:rPr>
      </w:pPr>
      <w:r>
        <w:rPr>
          <w:sz w:val="20"/>
        </w:rPr>
        <w:t xml:space="preserve">En virtud de un acuerdo o convenio internacional relativo al estacionamiento de tropas y que se refiera a las empresas de un Estado Miembro de la Unión Europea o de un tercer </w:t>
      </w:r>
      <w:r>
        <w:rPr>
          <w:spacing w:val="-2"/>
          <w:sz w:val="20"/>
        </w:rPr>
        <w:t>Estado.</w:t>
      </w:r>
    </w:p>
    <w:p w:rsidR="0092635B" w:rsidRDefault="00000000">
      <w:pPr>
        <w:pStyle w:val="Prrafodelista"/>
        <w:numPr>
          <w:ilvl w:val="2"/>
          <w:numId w:val="348"/>
        </w:numPr>
        <w:tabs>
          <w:tab w:val="left" w:pos="1767"/>
        </w:tabs>
        <w:spacing w:line="249" w:lineRule="auto"/>
        <w:ind w:right="1104" w:firstLine="340"/>
        <w:jc w:val="both"/>
        <w:rPr>
          <w:sz w:val="20"/>
        </w:rPr>
      </w:pPr>
      <w:r>
        <w:rPr>
          <w:sz w:val="20"/>
        </w:rPr>
        <w:t>En virtud de las normas de contratación establecidas por una organización internacional o por una institución financiera internacional, cuando además los contratos que se adjudiquen estén financiados íntegramente o en su mayor parte por esa institución.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16" w:name="Artículo_6._Convenios_y_encomiendas_de_g"/>
      <w:bookmarkEnd w:id="16"/>
      <w:r>
        <w:rPr>
          <w:rFonts w:ascii="Arial" w:hAnsi="Arial"/>
          <w:b/>
          <w:sz w:val="20"/>
        </w:rPr>
        <w:t>Artículo</w:t>
      </w:r>
      <w:r>
        <w:rPr>
          <w:rFonts w:ascii="Arial" w:hAnsi="Arial"/>
          <w:b/>
          <w:spacing w:val="-3"/>
          <w:sz w:val="20"/>
        </w:rPr>
        <w:t xml:space="preserve"> </w:t>
      </w:r>
      <w:r>
        <w:rPr>
          <w:rFonts w:ascii="Arial" w:hAnsi="Arial"/>
          <w:b/>
          <w:sz w:val="20"/>
        </w:rPr>
        <w:t>6.</w:t>
      </w:r>
      <w:r>
        <w:rPr>
          <w:rFonts w:ascii="Arial" w:hAnsi="Arial"/>
          <w:b/>
          <w:spacing w:val="54"/>
          <w:sz w:val="20"/>
        </w:rPr>
        <w:t xml:space="preserve"> </w:t>
      </w:r>
      <w:r>
        <w:rPr>
          <w:rFonts w:ascii="Arial" w:hAnsi="Arial"/>
          <w:i/>
          <w:sz w:val="20"/>
        </w:rPr>
        <w:t xml:space="preserve">Convenios y encomiendas de </w:t>
      </w:r>
      <w:r>
        <w:rPr>
          <w:rFonts w:ascii="Arial" w:hAnsi="Arial"/>
          <w:i/>
          <w:spacing w:val="-2"/>
          <w:sz w:val="20"/>
        </w:rPr>
        <w:t>gestión.</w:t>
      </w:r>
    </w:p>
    <w:p w:rsidR="0092635B" w:rsidRDefault="00000000">
      <w:pPr>
        <w:pStyle w:val="Prrafodelista"/>
        <w:numPr>
          <w:ilvl w:val="0"/>
          <w:numId w:val="347"/>
        </w:numPr>
        <w:tabs>
          <w:tab w:val="left" w:pos="1700"/>
        </w:tabs>
        <w:spacing w:before="123" w:line="249" w:lineRule="auto"/>
        <w:ind w:firstLine="340"/>
        <w:jc w:val="both"/>
        <w:rPr>
          <w:sz w:val="20"/>
        </w:rPr>
      </w:pPr>
      <w:r>
        <w:rPr>
          <w:sz w:val="20"/>
        </w:rPr>
        <w:t>Quedan excluidos del ámbito de la presente Ley los convenios, cuyo contenido no</w:t>
      </w:r>
      <w:r>
        <w:rPr>
          <w:spacing w:val="40"/>
          <w:sz w:val="20"/>
        </w:rPr>
        <w:t xml:space="preserve"> </w:t>
      </w:r>
      <w:r>
        <w:rPr>
          <w:sz w:val="20"/>
        </w:rPr>
        <w:t>esté comprendido en el de los contratos regulados en esta Ley o en normas administrativas especiales celebrados entre sí por la Administración General del Estado, las Entidades Gestoras y los Servicios Comunes de la Seguridad Social, las Universidades Públicas, las Comunidades Autónomas y las Ciudades Autónomas de Ceuta y Melilla, las Entidades locales,</w:t>
      </w:r>
      <w:r>
        <w:rPr>
          <w:spacing w:val="-3"/>
          <w:sz w:val="20"/>
        </w:rPr>
        <w:t xml:space="preserve"> </w:t>
      </w:r>
      <w:r>
        <w:rPr>
          <w:sz w:val="20"/>
        </w:rPr>
        <w:t>las</w:t>
      </w:r>
      <w:r>
        <w:rPr>
          <w:spacing w:val="-3"/>
          <w:sz w:val="20"/>
        </w:rPr>
        <w:t xml:space="preserve"> </w:t>
      </w:r>
      <w:r>
        <w:rPr>
          <w:sz w:val="20"/>
        </w:rPr>
        <w:t>entidades</w:t>
      </w:r>
      <w:r>
        <w:rPr>
          <w:spacing w:val="-3"/>
          <w:sz w:val="20"/>
        </w:rPr>
        <w:t xml:space="preserve"> </w:t>
      </w:r>
      <w:r>
        <w:rPr>
          <w:sz w:val="20"/>
        </w:rPr>
        <w:t>con</w:t>
      </w:r>
      <w:r>
        <w:rPr>
          <w:spacing w:val="-3"/>
          <w:sz w:val="20"/>
        </w:rPr>
        <w:t xml:space="preserve"> </w:t>
      </w:r>
      <w:r>
        <w:rPr>
          <w:sz w:val="20"/>
        </w:rPr>
        <w:t>personalidad</w:t>
      </w:r>
      <w:r>
        <w:rPr>
          <w:spacing w:val="-3"/>
          <w:sz w:val="20"/>
        </w:rPr>
        <w:t xml:space="preserve"> </w:t>
      </w:r>
      <w:r>
        <w:rPr>
          <w:sz w:val="20"/>
        </w:rPr>
        <w:t>jurídico</w:t>
      </w:r>
      <w:r>
        <w:rPr>
          <w:spacing w:val="-3"/>
          <w:sz w:val="20"/>
        </w:rPr>
        <w:t xml:space="preserve"> </w:t>
      </w:r>
      <w:r>
        <w:rPr>
          <w:sz w:val="20"/>
        </w:rPr>
        <w:t>pública</w:t>
      </w:r>
      <w:r>
        <w:rPr>
          <w:spacing w:val="-3"/>
          <w:sz w:val="20"/>
        </w:rPr>
        <w:t xml:space="preserve"> </w:t>
      </w:r>
      <w:r>
        <w:rPr>
          <w:sz w:val="20"/>
        </w:rPr>
        <w:t>de</w:t>
      </w:r>
      <w:r>
        <w:rPr>
          <w:spacing w:val="-3"/>
          <w:sz w:val="20"/>
        </w:rPr>
        <w:t xml:space="preserve"> </w:t>
      </w:r>
      <w:r>
        <w:rPr>
          <w:sz w:val="20"/>
        </w:rPr>
        <w:t>ellas</w:t>
      </w:r>
      <w:r>
        <w:rPr>
          <w:spacing w:val="-3"/>
          <w:sz w:val="20"/>
        </w:rPr>
        <w:t xml:space="preserve"> </w:t>
      </w:r>
      <w:r>
        <w:rPr>
          <w:sz w:val="20"/>
        </w:rPr>
        <w:t>dependientes</w:t>
      </w:r>
      <w:r>
        <w:rPr>
          <w:spacing w:val="-3"/>
          <w:sz w:val="20"/>
        </w:rPr>
        <w:t xml:space="preserve"> </w:t>
      </w:r>
      <w:r>
        <w:rPr>
          <w:sz w:val="20"/>
        </w:rPr>
        <w:t>y</w:t>
      </w:r>
      <w:r>
        <w:rPr>
          <w:spacing w:val="-3"/>
          <w:sz w:val="20"/>
        </w:rPr>
        <w:t xml:space="preserve"> </w:t>
      </w:r>
      <w:r>
        <w:rPr>
          <w:sz w:val="20"/>
        </w:rPr>
        <w:t>las</w:t>
      </w:r>
      <w:r>
        <w:rPr>
          <w:spacing w:val="-3"/>
          <w:sz w:val="20"/>
        </w:rPr>
        <w:t xml:space="preserve"> </w:t>
      </w:r>
      <w:r>
        <w:rPr>
          <w:sz w:val="20"/>
        </w:rPr>
        <w:t>entidades con personalidad jurídico privada, siempre que, en este último caso, tengan la condición de poder adjudicador.</w:t>
      </w:r>
    </w:p>
    <w:p w:rsidR="0092635B" w:rsidRDefault="00000000">
      <w:pPr>
        <w:pStyle w:val="Textoindependiente"/>
        <w:spacing w:before="7"/>
        <w:ind w:left="1446" w:firstLine="0"/>
      </w:pPr>
      <w:r>
        <w:t>Su</w:t>
      </w:r>
      <w:r>
        <w:rPr>
          <w:spacing w:val="-7"/>
        </w:rPr>
        <w:t xml:space="preserve"> </w:t>
      </w:r>
      <w:r>
        <w:t>exclusión</w:t>
      </w:r>
      <w:r>
        <w:rPr>
          <w:spacing w:val="-4"/>
        </w:rPr>
        <w:t xml:space="preserve"> </w:t>
      </w:r>
      <w:r>
        <w:t>queda</w:t>
      </w:r>
      <w:r>
        <w:rPr>
          <w:spacing w:val="-4"/>
        </w:rPr>
        <w:t xml:space="preserve"> </w:t>
      </w:r>
      <w:r>
        <w:t>condicionada</w:t>
      </w:r>
      <w:r>
        <w:rPr>
          <w:spacing w:val="-4"/>
        </w:rPr>
        <w:t xml:space="preserve"> </w:t>
      </w:r>
      <w:r>
        <w:t>al</w:t>
      </w:r>
      <w:r>
        <w:rPr>
          <w:spacing w:val="-4"/>
        </w:rPr>
        <w:t xml:space="preserve"> </w:t>
      </w:r>
      <w:r>
        <w:t>cumplimiento</w:t>
      </w:r>
      <w:r>
        <w:rPr>
          <w:spacing w:val="-4"/>
        </w:rPr>
        <w:t xml:space="preserve"> </w:t>
      </w:r>
      <w:r>
        <w:t>de</w:t>
      </w:r>
      <w:r>
        <w:rPr>
          <w:spacing w:val="-4"/>
        </w:rPr>
        <w:t xml:space="preserve"> </w:t>
      </w:r>
      <w:r>
        <w:t>las</w:t>
      </w:r>
      <w:r>
        <w:rPr>
          <w:spacing w:val="-4"/>
        </w:rPr>
        <w:t xml:space="preserve"> </w:t>
      </w:r>
      <w:r>
        <w:t>siguientes</w:t>
      </w:r>
      <w:r>
        <w:rPr>
          <w:spacing w:val="-4"/>
        </w:rPr>
        <w:t xml:space="preserve"> </w:t>
      </w:r>
      <w:r>
        <w:rPr>
          <w:spacing w:val="-2"/>
        </w:rPr>
        <w:t>condiciones:</w:t>
      </w:r>
    </w:p>
    <w:p w:rsidR="0092635B" w:rsidRDefault="00000000">
      <w:pPr>
        <w:pStyle w:val="Prrafodelista"/>
        <w:numPr>
          <w:ilvl w:val="1"/>
          <w:numId w:val="347"/>
        </w:numPr>
        <w:tabs>
          <w:tab w:val="left" w:pos="1744"/>
        </w:tabs>
        <w:spacing w:before="130" w:line="249" w:lineRule="auto"/>
        <w:ind w:firstLine="340"/>
        <w:jc w:val="both"/>
        <w:rPr>
          <w:sz w:val="20"/>
        </w:rPr>
      </w:pPr>
      <w:r>
        <w:rPr>
          <w:sz w:val="20"/>
        </w:rPr>
        <w:t>Las entidades intervinientes no han de tener vocación de mercado, la cual se presumirá cuando realicen en el mercado abierto un porcentaje igual o superior al 20 por ciento de las actividades objeto de colaboración. Para el cálculo de dicho porcentaje se tomará en consideración el promedio del volumen de negocios total u otro indicador alternativo</w:t>
      </w:r>
      <w:r>
        <w:rPr>
          <w:spacing w:val="-1"/>
          <w:sz w:val="20"/>
        </w:rPr>
        <w:t xml:space="preserve"> </w:t>
      </w:r>
      <w:r>
        <w:rPr>
          <w:sz w:val="20"/>
        </w:rPr>
        <w:t>de</w:t>
      </w:r>
      <w:r>
        <w:rPr>
          <w:spacing w:val="-1"/>
          <w:sz w:val="20"/>
        </w:rPr>
        <w:t xml:space="preserve"> </w:t>
      </w:r>
      <w:r>
        <w:rPr>
          <w:sz w:val="20"/>
        </w:rPr>
        <w:t>actividad</w:t>
      </w:r>
      <w:r>
        <w:rPr>
          <w:spacing w:val="-1"/>
          <w:sz w:val="20"/>
        </w:rPr>
        <w:t xml:space="preserve"> </w:t>
      </w:r>
      <w:r>
        <w:rPr>
          <w:sz w:val="20"/>
        </w:rPr>
        <w:t>apropiado,</w:t>
      </w:r>
      <w:r>
        <w:rPr>
          <w:spacing w:val="-1"/>
          <w:sz w:val="20"/>
        </w:rPr>
        <w:t xml:space="preserve"> </w:t>
      </w:r>
      <w:r>
        <w:rPr>
          <w:sz w:val="20"/>
        </w:rPr>
        <w:t>como</w:t>
      </w:r>
      <w:r>
        <w:rPr>
          <w:spacing w:val="-1"/>
          <w:sz w:val="20"/>
        </w:rPr>
        <w:t xml:space="preserve"> </w:t>
      </w:r>
      <w:r>
        <w:rPr>
          <w:sz w:val="20"/>
        </w:rPr>
        <w:t>los</w:t>
      </w:r>
      <w:r>
        <w:rPr>
          <w:spacing w:val="-1"/>
          <w:sz w:val="20"/>
        </w:rPr>
        <w:t xml:space="preserve"> </w:t>
      </w:r>
      <w:r>
        <w:rPr>
          <w:sz w:val="20"/>
        </w:rPr>
        <w:t>gastos</w:t>
      </w:r>
      <w:r>
        <w:rPr>
          <w:spacing w:val="-1"/>
          <w:sz w:val="20"/>
        </w:rPr>
        <w:t xml:space="preserve"> </w:t>
      </w:r>
      <w:r>
        <w:rPr>
          <w:sz w:val="20"/>
        </w:rPr>
        <w:t>soportados</w:t>
      </w:r>
      <w:r>
        <w:rPr>
          <w:spacing w:val="-1"/>
          <w:sz w:val="20"/>
        </w:rPr>
        <w:t xml:space="preserve"> </w:t>
      </w:r>
      <w:r>
        <w:rPr>
          <w:sz w:val="20"/>
        </w:rPr>
        <w:t>considerados</w:t>
      </w:r>
      <w:r>
        <w:rPr>
          <w:spacing w:val="-1"/>
          <w:sz w:val="20"/>
        </w:rPr>
        <w:t xml:space="preserve"> </w:t>
      </w:r>
      <w:r>
        <w:rPr>
          <w:sz w:val="20"/>
        </w:rPr>
        <w:t>en</w:t>
      </w:r>
      <w:r>
        <w:rPr>
          <w:spacing w:val="-1"/>
          <w:sz w:val="20"/>
        </w:rPr>
        <w:t xml:space="preserve"> </w:t>
      </w:r>
      <w:r>
        <w:rPr>
          <w:sz w:val="20"/>
        </w:rPr>
        <w:t>relación</w:t>
      </w:r>
      <w:r>
        <w:rPr>
          <w:spacing w:val="-1"/>
          <w:sz w:val="20"/>
        </w:rPr>
        <w:t xml:space="preserve"> </w:t>
      </w:r>
      <w:r>
        <w:rPr>
          <w:sz w:val="20"/>
        </w:rPr>
        <w:t>con la prestación que constituya el objeto del convenio en los tres ejercicios anteriores a la adjudicación del contrato. Cuando, debido a la fecha de creación o de inicio de actividad o a la reorganización de las actividades, el volumen de negocios u otro indicador alternativo de actividad apropiado, como los gastos, no estuvieran disponibles respecto de los tres ejercicios anteriores o hubieran perdido su vigencia, será suficiente con demostrar que el cálculo del nivel de actividad se corresponde con la realidad, en especial, mediante proyecciones de negocio.</w:t>
      </w:r>
    </w:p>
    <w:p w:rsidR="0092635B" w:rsidRDefault="00000000">
      <w:pPr>
        <w:pStyle w:val="Prrafodelista"/>
        <w:numPr>
          <w:ilvl w:val="1"/>
          <w:numId w:val="347"/>
        </w:numPr>
        <w:tabs>
          <w:tab w:val="left" w:pos="1757"/>
        </w:tabs>
        <w:spacing w:before="9" w:line="249" w:lineRule="auto"/>
        <w:ind w:right="1104" w:firstLine="340"/>
        <w:jc w:val="both"/>
        <w:rPr>
          <w:sz w:val="20"/>
        </w:rPr>
      </w:pPr>
      <w:r>
        <w:rPr>
          <w:sz w:val="20"/>
        </w:rPr>
        <w:t>Que el convenio establezca o desarrolle una cooperación entre las entidades participantes con la finalidad de garantizar que los servicios públicos que les incumben se prestan de modo que se logren los objetivos que tienen en común.</w:t>
      </w:r>
    </w:p>
    <w:p w:rsidR="0092635B" w:rsidRDefault="00000000">
      <w:pPr>
        <w:pStyle w:val="Prrafodelista"/>
        <w:numPr>
          <w:ilvl w:val="1"/>
          <w:numId w:val="347"/>
        </w:numPr>
        <w:tabs>
          <w:tab w:val="left" w:pos="1750"/>
        </w:tabs>
        <w:spacing w:before="3" w:line="249" w:lineRule="auto"/>
        <w:ind w:right="1105" w:firstLine="340"/>
        <w:jc w:val="both"/>
        <w:rPr>
          <w:sz w:val="20"/>
        </w:rPr>
      </w:pPr>
      <w:r>
        <w:rPr>
          <w:sz w:val="20"/>
        </w:rPr>
        <w:t>Que el desarrollo de la cooperación se guíe únicamente por consideraciones relacionadas con el interés público.</w:t>
      </w:r>
    </w:p>
    <w:p w:rsidR="0092635B" w:rsidRDefault="00000000">
      <w:pPr>
        <w:pStyle w:val="Prrafodelista"/>
        <w:numPr>
          <w:ilvl w:val="0"/>
          <w:numId w:val="347"/>
        </w:numPr>
        <w:tabs>
          <w:tab w:val="left" w:pos="1684"/>
        </w:tabs>
        <w:spacing w:before="122" w:line="249" w:lineRule="auto"/>
        <w:ind w:right="1104" w:firstLine="340"/>
        <w:jc w:val="both"/>
        <w:rPr>
          <w:sz w:val="20"/>
        </w:rPr>
      </w:pPr>
      <w:r>
        <w:rPr>
          <w:sz w:val="20"/>
        </w:rPr>
        <w:t>Estarán también excluidos del ámbito de la presente Ley los convenios que celebren las entidades del sector público con personas físicas o jurídicas sujetas al derecho privado, siempre que su contenido no esté comprendido en el de los contratos regulados en esta Ley o en normas administrativas especiales.</w:t>
      </w:r>
    </w:p>
    <w:p w:rsidR="0092635B" w:rsidRDefault="00000000">
      <w:pPr>
        <w:pStyle w:val="Prrafodelista"/>
        <w:numPr>
          <w:ilvl w:val="0"/>
          <w:numId w:val="347"/>
        </w:numPr>
        <w:tabs>
          <w:tab w:val="left" w:pos="1723"/>
        </w:tabs>
        <w:spacing w:before="3" w:line="249" w:lineRule="auto"/>
        <w:ind w:firstLine="340"/>
        <w:jc w:val="both"/>
        <w:rPr>
          <w:sz w:val="20"/>
        </w:rPr>
      </w:pPr>
      <w:r>
        <w:rPr>
          <w:sz w:val="20"/>
        </w:rPr>
        <w:t>Asimismo, quedan excluidas del ámbito de la presente Ley las encomiendas de gestión reguladas en la legislación vigente en materia de régimen jurídico del sector público.</w:t>
      </w:r>
    </w:p>
    <w:p w:rsidR="0092635B" w:rsidRDefault="00000000">
      <w:pPr>
        <w:spacing w:before="228"/>
        <w:ind w:left="1106"/>
        <w:rPr>
          <w:rFonts w:ascii="Arial" w:hAnsi="Arial"/>
          <w:i/>
          <w:sz w:val="20"/>
        </w:rPr>
      </w:pPr>
      <w:bookmarkStart w:id="17" w:name="Artículo_7._Negocios_jurídicos_y_contrat"/>
      <w:bookmarkEnd w:id="17"/>
      <w:r>
        <w:rPr>
          <w:rFonts w:ascii="Arial" w:hAnsi="Arial"/>
          <w:b/>
          <w:sz w:val="20"/>
        </w:rPr>
        <w:t>Artículo</w:t>
      </w:r>
      <w:r>
        <w:rPr>
          <w:rFonts w:ascii="Arial" w:hAnsi="Arial"/>
          <w:b/>
          <w:spacing w:val="-1"/>
          <w:sz w:val="20"/>
        </w:rPr>
        <w:t xml:space="preserve"> </w:t>
      </w:r>
      <w:r>
        <w:rPr>
          <w:rFonts w:ascii="Arial" w:hAnsi="Arial"/>
          <w:b/>
          <w:sz w:val="20"/>
        </w:rPr>
        <w:t>7.</w:t>
      </w:r>
      <w:r>
        <w:rPr>
          <w:rFonts w:ascii="Arial" w:hAnsi="Arial"/>
          <w:b/>
          <w:spacing w:val="53"/>
          <w:sz w:val="20"/>
        </w:rPr>
        <w:t xml:space="preserve"> </w:t>
      </w:r>
      <w:r>
        <w:rPr>
          <w:rFonts w:ascii="Arial" w:hAnsi="Arial"/>
          <w:i/>
          <w:sz w:val="20"/>
        </w:rPr>
        <w:t>Negocios</w:t>
      </w:r>
      <w:r>
        <w:rPr>
          <w:rFonts w:ascii="Arial" w:hAnsi="Arial"/>
          <w:i/>
          <w:spacing w:val="-1"/>
          <w:sz w:val="20"/>
        </w:rPr>
        <w:t xml:space="preserve"> </w:t>
      </w:r>
      <w:r>
        <w:rPr>
          <w:rFonts w:ascii="Arial" w:hAnsi="Arial"/>
          <w:i/>
          <w:sz w:val="20"/>
        </w:rPr>
        <w:t>jurídicos</w:t>
      </w:r>
      <w:r>
        <w:rPr>
          <w:rFonts w:ascii="Arial" w:hAnsi="Arial"/>
          <w:i/>
          <w:spacing w:val="-1"/>
          <w:sz w:val="20"/>
        </w:rPr>
        <w:t xml:space="preserve"> </w:t>
      </w:r>
      <w:r>
        <w:rPr>
          <w:rFonts w:ascii="Arial" w:hAnsi="Arial"/>
          <w:i/>
          <w:sz w:val="20"/>
        </w:rPr>
        <w:t>y contratos</w:t>
      </w:r>
      <w:r>
        <w:rPr>
          <w:rFonts w:ascii="Arial" w:hAnsi="Arial"/>
          <w:i/>
          <w:spacing w:val="-1"/>
          <w:sz w:val="20"/>
        </w:rPr>
        <w:t xml:space="preserve"> </w:t>
      </w:r>
      <w:r>
        <w:rPr>
          <w:rFonts w:ascii="Arial" w:hAnsi="Arial"/>
          <w:i/>
          <w:sz w:val="20"/>
        </w:rPr>
        <w:t>excluidos</w:t>
      </w:r>
      <w:r>
        <w:rPr>
          <w:rFonts w:ascii="Arial" w:hAnsi="Arial"/>
          <w:i/>
          <w:spacing w:val="-1"/>
          <w:sz w:val="20"/>
        </w:rPr>
        <w:t xml:space="preserve"> </w:t>
      </w:r>
      <w:r>
        <w:rPr>
          <w:rFonts w:ascii="Arial" w:hAnsi="Arial"/>
          <w:i/>
          <w:sz w:val="20"/>
        </w:rPr>
        <w:t>en el</w:t>
      </w:r>
      <w:r>
        <w:rPr>
          <w:rFonts w:ascii="Arial" w:hAnsi="Arial"/>
          <w:i/>
          <w:spacing w:val="-1"/>
          <w:sz w:val="20"/>
        </w:rPr>
        <w:t xml:space="preserve"> </w:t>
      </w:r>
      <w:r>
        <w:rPr>
          <w:rFonts w:ascii="Arial" w:hAnsi="Arial"/>
          <w:i/>
          <w:sz w:val="20"/>
        </w:rPr>
        <w:t xml:space="preserve">ámbito </w:t>
      </w:r>
      <w:r>
        <w:rPr>
          <w:rFonts w:ascii="Arial" w:hAnsi="Arial"/>
          <w:i/>
          <w:spacing w:val="-2"/>
          <w:sz w:val="20"/>
        </w:rPr>
        <w:t>internacional.</w:t>
      </w:r>
    </w:p>
    <w:p w:rsidR="0092635B" w:rsidRDefault="00000000">
      <w:pPr>
        <w:pStyle w:val="Prrafodelista"/>
        <w:numPr>
          <w:ilvl w:val="0"/>
          <w:numId w:val="346"/>
        </w:numPr>
        <w:tabs>
          <w:tab w:val="left" w:pos="1693"/>
        </w:tabs>
        <w:spacing w:before="124" w:line="249" w:lineRule="auto"/>
        <w:ind w:right="1107" w:firstLine="340"/>
        <w:jc w:val="both"/>
        <w:rPr>
          <w:sz w:val="20"/>
        </w:rPr>
      </w:pPr>
      <w:r>
        <w:rPr>
          <w:sz w:val="20"/>
        </w:rPr>
        <w:t>Se excluyen del ámbito de la presente Ley los acuerdos que celebre el Estado con otros Estados o con otros sujetos de derecho internacional.</w:t>
      </w:r>
    </w:p>
    <w:p w:rsidR="0092635B" w:rsidRDefault="00000000">
      <w:pPr>
        <w:pStyle w:val="Prrafodelista"/>
        <w:numPr>
          <w:ilvl w:val="0"/>
          <w:numId w:val="346"/>
        </w:numPr>
        <w:tabs>
          <w:tab w:val="left" w:pos="1705"/>
        </w:tabs>
        <w:spacing w:before="1" w:line="249" w:lineRule="auto"/>
        <w:ind w:right="1104" w:firstLine="340"/>
        <w:jc w:val="both"/>
        <w:rPr>
          <w:sz w:val="20"/>
        </w:rPr>
      </w:pPr>
      <w:r>
        <w:rPr>
          <w:sz w:val="20"/>
        </w:rPr>
        <w:t>Estarán también excluidos del ámbito de la presente Ley los contratos que deban adjudicarse de conformidad con un procedimiento de contratación específico que haya sido establecido en virtud de un instrumento jurídico, celebrado de conformidad con el Tratado de Funcionamiento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Unión</w:t>
      </w:r>
      <w:r>
        <w:rPr>
          <w:spacing w:val="-2"/>
          <w:sz w:val="20"/>
        </w:rPr>
        <w:t xml:space="preserve"> </w:t>
      </w:r>
      <w:r>
        <w:rPr>
          <w:sz w:val="20"/>
        </w:rPr>
        <w:t>Europea</w:t>
      </w:r>
      <w:r>
        <w:rPr>
          <w:spacing w:val="-2"/>
          <w:sz w:val="20"/>
        </w:rPr>
        <w:t xml:space="preserve"> </w:t>
      </w:r>
      <w:r>
        <w:rPr>
          <w:sz w:val="20"/>
        </w:rPr>
        <w:t>con</w:t>
      </w:r>
      <w:r>
        <w:rPr>
          <w:spacing w:val="-2"/>
          <w:sz w:val="20"/>
        </w:rPr>
        <w:t xml:space="preserve"> </w:t>
      </w:r>
      <w:r>
        <w:rPr>
          <w:sz w:val="20"/>
        </w:rPr>
        <w:t>uno</w:t>
      </w:r>
      <w:r>
        <w:rPr>
          <w:spacing w:val="-2"/>
          <w:sz w:val="20"/>
        </w:rPr>
        <w:t xml:space="preserve"> </w:t>
      </w:r>
      <w:r>
        <w:rPr>
          <w:sz w:val="20"/>
        </w:rPr>
        <w:t>o</w:t>
      </w:r>
      <w:r>
        <w:rPr>
          <w:spacing w:val="-2"/>
          <w:sz w:val="20"/>
        </w:rPr>
        <w:t xml:space="preserve"> </w:t>
      </w:r>
      <w:r>
        <w:rPr>
          <w:sz w:val="20"/>
        </w:rPr>
        <w:t>varios</w:t>
      </w:r>
      <w:r>
        <w:rPr>
          <w:spacing w:val="-2"/>
          <w:sz w:val="20"/>
        </w:rPr>
        <w:t xml:space="preserve"> </w:t>
      </w:r>
      <w:r>
        <w:rPr>
          <w:sz w:val="20"/>
        </w:rPr>
        <w:t>Estados</w:t>
      </w:r>
      <w:r>
        <w:rPr>
          <w:spacing w:val="-2"/>
          <w:sz w:val="20"/>
        </w:rPr>
        <w:t xml:space="preserve"> </w:t>
      </w:r>
      <w:r>
        <w:rPr>
          <w:sz w:val="20"/>
        </w:rPr>
        <w:t>no</w:t>
      </w:r>
      <w:r>
        <w:rPr>
          <w:spacing w:val="-2"/>
          <w:sz w:val="20"/>
        </w:rPr>
        <w:t xml:space="preserve"> </w:t>
      </w:r>
      <w:r>
        <w:rPr>
          <w:sz w:val="20"/>
        </w:rPr>
        <w:t>signatarios</w:t>
      </w:r>
      <w:r>
        <w:rPr>
          <w:spacing w:val="-2"/>
          <w:sz w:val="20"/>
        </w:rPr>
        <w:t xml:space="preserve"> </w:t>
      </w:r>
      <w:r>
        <w:rPr>
          <w:sz w:val="20"/>
        </w:rPr>
        <w:t>de</w:t>
      </w:r>
      <w:r>
        <w:rPr>
          <w:spacing w:val="-2"/>
          <w:sz w:val="20"/>
        </w:rPr>
        <w:t xml:space="preserve"> </w:t>
      </w:r>
      <w:r>
        <w:rPr>
          <w:sz w:val="20"/>
        </w:rPr>
        <w:t>este</w:t>
      </w:r>
      <w:r>
        <w:rPr>
          <w:spacing w:val="-2"/>
          <w:sz w:val="20"/>
        </w:rPr>
        <w:t xml:space="preserve"> </w:t>
      </w:r>
      <w:r>
        <w:rPr>
          <w:sz w:val="20"/>
        </w:rPr>
        <w:t xml:space="preserve">último, que cree obligaciones de derecho internacional relativo a las obras, suministros o servicios que resulten necesarios para la ejecución o la realización conjunta de un proyecto por sus </w:t>
      </w:r>
      <w:r>
        <w:rPr>
          <w:spacing w:val="-2"/>
          <w:sz w:val="20"/>
        </w:rPr>
        <w:t>signatarios.</w:t>
      </w:r>
    </w:p>
    <w:p w:rsidR="0092635B" w:rsidRDefault="00000000">
      <w:pPr>
        <w:pStyle w:val="Prrafodelista"/>
        <w:numPr>
          <w:ilvl w:val="0"/>
          <w:numId w:val="346"/>
        </w:numPr>
        <w:tabs>
          <w:tab w:val="left" w:pos="1678"/>
        </w:tabs>
        <w:spacing w:before="6" w:line="249" w:lineRule="auto"/>
        <w:ind w:right="1104" w:firstLine="340"/>
        <w:jc w:val="both"/>
        <w:rPr>
          <w:sz w:val="20"/>
        </w:rPr>
      </w:pPr>
      <w:r>
        <w:rPr>
          <w:sz w:val="20"/>
        </w:rPr>
        <w:t>Asimismo, quedarán excluidos del ámbito de la presente Ley los contratos que deban adjudicarse de conformidad con un procedimiento de contratación específico que haya sido establecido en virtud de las normas de contratación aprobadas por una organización internacional o por una institución financiera internacional, siempre y cuando estén financiados íntegramente o mayoritariamente por esa institución.</w:t>
      </w:r>
    </w:p>
    <w:p w:rsidR="0092635B" w:rsidRDefault="0092635B">
      <w:pPr>
        <w:pStyle w:val="Textoindependiente"/>
        <w:spacing w:before="1"/>
        <w:ind w:left="0" w:firstLine="0"/>
        <w:jc w:val="left"/>
      </w:pPr>
    </w:p>
    <w:p w:rsidR="0092635B" w:rsidRDefault="00000000">
      <w:pPr>
        <w:spacing w:line="249" w:lineRule="auto"/>
        <w:ind w:left="1106" w:right="1120"/>
        <w:rPr>
          <w:rFonts w:ascii="Arial" w:hAnsi="Arial"/>
          <w:i/>
          <w:sz w:val="20"/>
        </w:rPr>
      </w:pPr>
      <w:bookmarkStart w:id="18" w:name="Artículo_8._Negocios_y_contratos_excluid"/>
      <w:bookmarkEnd w:id="18"/>
      <w:r>
        <w:rPr>
          <w:rFonts w:ascii="Arial" w:hAnsi="Arial"/>
          <w:b/>
          <w:sz w:val="20"/>
        </w:rPr>
        <w:t>Artículo 8.</w:t>
      </w:r>
      <w:r>
        <w:rPr>
          <w:rFonts w:ascii="Arial" w:hAnsi="Arial"/>
          <w:b/>
          <w:spacing w:val="75"/>
          <w:sz w:val="20"/>
        </w:rPr>
        <w:t xml:space="preserve"> </w:t>
      </w:r>
      <w:r>
        <w:rPr>
          <w:rFonts w:ascii="Arial" w:hAnsi="Arial"/>
          <w:i/>
          <w:sz w:val="20"/>
        </w:rPr>
        <w:t>Negocios y contratos excluidos en el ámbito de la Investigación, el Desarrollo y la Innovación.</w:t>
      </w:r>
    </w:p>
    <w:p w:rsidR="0092635B" w:rsidRDefault="00000000">
      <w:pPr>
        <w:pStyle w:val="Textoindependiente"/>
        <w:spacing w:before="115" w:line="249" w:lineRule="auto"/>
        <w:ind w:right="1103"/>
      </w:pPr>
      <w:r>
        <w:t>Quedan excluidos de la presente Ley los contratos de investigación y desarrollo, excepto aquellos que además de estar incluidos en los códigos CPV 73000000-2 (servicios de investigación y desarrollo y servicios de consultoría conexos); 73100000-3 (servicio de investigación</w:t>
      </w:r>
      <w:r>
        <w:rPr>
          <w:spacing w:val="40"/>
        </w:rPr>
        <w:t xml:space="preserve">  </w:t>
      </w:r>
      <w:r>
        <w:t>y</w:t>
      </w:r>
      <w:r>
        <w:rPr>
          <w:spacing w:val="40"/>
        </w:rPr>
        <w:t xml:space="preserve">  </w:t>
      </w:r>
      <w:r>
        <w:t>desarrollo</w:t>
      </w:r>
      <w:r>
        <w:rPr>
          <w:spacing w:val="40"/>
        </w:rPr>
        <w:t xml:space="preserve">  </w:t>
      </w:r>
      <w:r>
        <w:t>experimental);</w:t>
      </w:r>
      <w:r>
        <w:rPr>
          <w:spacing w:val="40"/>
        </w:rPr>
        <w:t xml:space="preserve">  </w:t>
      </w:r>
      <w:r>
        <w:t>73110000-6</w:t>
      </w:r>
      <w:r>
        <w:rPr>
          <w:spacing w:val="40"/>
        </w:rPr>
        <w:t xml:space="preserve">  </w:t>
      </w:r>
      <w:r>
        <w:t>(servicios</w:t>
      </w:r>
      <w:r>
        <w:rPr>
          <w:spacing w:val="40"/>
        </w:rPr>
        <w:t xml:space="preserve">  </w:t>
      </w:r>
      <w:r>
        <w:t>de</w:t>
      </w:r>
      <w:r>
        <w:rPr>
          <w:spacing w:val="40"/>
        </w:rPr>
        <w:t xml:space="preserve">  </w:t>
      </w:r>
      <w:r>
        <w:t>investigación);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73111000-3 (servicios de laboratorio de investigación); 73112000-0 (servicios de investigación marina); 73120000-9 (servicios de desarrollo experimental); 73300000-5 (diseño y ejecución en materia de investigación y desarrollo); 73420000-2 (estudio de previabilidad y demostración tecnológica) y 73430000-5 (ensayo y evaluación), cumplan las dos condiciones siguientes:</w:t>
      </w:r>
    </w:p>
    <w:p w:rsidR="0092635B" w:rsidRDefault="00000000">
      <w:pPr>
        <w:pStyle w:val="Prrafodelista"/>
        <w:numPr>
          <w:ilvl w:val="1"/>
          <w:numId w:val="346"/>
        </w:numPr>
        <w:tabs>
          <w:tab w:val="left" w:pos="1766"/>
        </w:tabs>
        <w:spacing w:before="124" w:line="249" w:lineRule="auto"/>
        <w:ind w:right="1104" w:firstLine="340"/>
        <w:jc w:val="both"/>
        <w:rPr>
          <w:sz w:val="20"/>
        </w:rPr>
      </w:pPr>
      <w:r>
        <w:rPr>
          <w:sz w:val="20"/>
        </w:rPr>
        <w:t>Que los beneficios pertenezcan exclusivamente al poder adjudicador para su utilización en el ejercicio de su propia actividad.</w:t>
      </w:r>
    </w:p>
    <w:p w:rsidR="0092635B" w:rsidRDefault="00000000">
      <w:pPr>
        <w:pStyle w:val="Prrafodelista"/>
        <w:numPr>
          <w:ilvl w:val="1"/>
          <w:numId w:val="346"/>
        </w:numPr>
        <w:tabs>
          <w:tab w:val="left" w:pos="1679"/>
        </w:tabs>
        <w:spacing w:before="1"/>
        <w:ind w:left="1679" w:right="0" w:hanging="233"/>
        <w:rPr>
          <w:sz w:val="20"/>
        </w:rPr>
      </w:pPr>
      <w:r>
        <w:rPr>
          <w:sz w:val="20"/>
        </w:rPr>
        <w:t>Que</w:t>
      </w:r>
      <w:r>
        <w:rPr>
          <w:spacing w:val="-6"/>
          <w:sz w:val="20"/>
        </w:rPr>
        <w:t xml:space="preserve"> </w:t>
      </w:r>
      <w:r>
        <w:rPr>
          <w:sz w:val="20"/>
        </w:rPr>
        <w:t>el</w:t>
      </w:r>
      <w:r>
        <w:rPr>
          <w:spacing w:val="-4"/>
          <w:sz w:val="20"/>
        </w:rPr>
        <w:t xml:space="preserve"> </w:t>
      </w:r>
      <w:r>
        <w:rPr>
          <w:sz w:val="20"/>
        </w:rPr>
        <w:t>servicio</w:t>
      </w:r>
      <w:r>
        <w:rPr>
          <w:spacing w:val="-4"/>
          <w:sz w:val="20"/>
        </w:rPr>
        <w:t xml:space="preserve"> </w:t>
      </w:r>
      <w:r>
        <w:rPr>
          <w:sz w:val="20"/>
        </w:rPr>
        <w:t>prestado</w:t>
      </w:r>
      <w:r>
        <w:rPr>
          <w:spacing w:val="-4"/>
          <w:sz w:val="20"/>
        </w:rPr>
        <w:t xml:space="preserve"> </w:t>
      </w:r>
      <w:r>
        <w:rPr>
          <w:sz w:val="20"/>
        </w:rPr>
        <w:t>sea</w:t>
      </w:r>
      <w:r>
        <w:rPr>
          <w:spacing w:val="-4"/>
          <w:sz w:val="20"/>
        </w:rPr>
        <w:t xml:space="preserve"> </w:t>
      </w:r>
      <w:r>
        <w:rPr>
          <w:sz w:val="20"/>
        </w:rPr>
        <w:t>remunerado</w:t>
      </w:r>
      <w:r>
        <w:rPr>
          <w:spacing w:val="-4"/>
          <w:sz w:val="20"/>
        </w:rPr>
        <w:t xml:space="preserve"> </w:t>
      </w:r>
      <w:r>
        <w:rPr>
          <w:sz w:val="20"/>
        </w:rPr>
        <w:t>íntegramente</w:t>
      </w:r>
      <w:r>
        <w:rPr>
          <w:spacing w:val="-4"/>
          <w:sz w:val="20"/>
        </w:rPr>
        <w:t xml:space="preserve"> </w:t>
      </w:r>
      <w:r>
        <w:rPr>
          <w:sz w:val="20"/>
        </w:rPr>
        <w:t>por</w:t>
      </w:r>
      <w:r>
        <w:rPr>
          <w:spacing w:val="-4"/>
          <w:sz w:val="20"/>
        </w:rPr>
        <w:t xml:space="preserve"> </w:t>
      </w:r>
      <w:r>
        <w:rPr>
          <w:sz w:val="20"/>
        </w:rPr>
        <w:t>el</w:t>
      </w:r>
      <w:r>
        <w:rPr>
          <w:spacing w:val="-4"/>
          <w:sz w:val="20"/>
        </w:rPr>
        <w:t xml:space="preserve"> </w:t>
      </w:r>
      <w:r>
        <w:rPr>
          <w:sz w:val="20"/>
        </w:rPr>
        <w:t>poder</w:t>
      </w:r>
      <w:r>
        <w:rPr>
          <w:spacing w:val="-4"/>
          <w:sz w:val="20"/>
        </w:rPr>
        <w:t xml:space="preserve"> </w:t>
      </w:r>
      <w:r>
        <w:rPr>
          <w:spacing w:val="-2"/>
          <w:sz w:val="20"/>
        </w:rPr>
        <w:t>adjudicador.</w:t>
      </w:r>
    </w:p>
    <w:p w:rsidR="0092635B" w:rsidRDefault="0092635B">
      <w:pPr>
        <w:pStyle w:val="Textoindependiente"/>
        <w:spacing w:before="7"/>
        <w:ind w:left="0" w:firstLine="0"/>
        <w:jc w:val="left"/>
      </w:pPr>
    </w:p>
    <w:p w:rsidR="0092635B" w:rsidRDefault="00000000">
      <w:pPr>
        <w:spacing w:line="249" w:lineRule="auto"/>
        <w:ind w:left="1106" w:right="1120" w:hanging="1"/>
        <w:rPr>
          <w:rFonts w:ascii="Arial" w:hAnsi="Arial"/>
          <w:i/>
          <w:sz w:val="20"/>
        </w:rPr>
      </w:pPr>
      <w:bookmarkStart w:id="19" w:name="Artículo_9._Relaciones_jurídicas,_negoci"/>
      <w:bookmarkEnd w:id="19"/>
      <w:r>
        <w:rPr>
          <w:rFonts w:ascii="Arial" w:hAnsi="Arial"/>
          <w:b/>
          <w:sz w:val="20"/>
        </w:rPr>
        <w:t>Artículo</w:t>
      </w:r>
      <w:r>
        <w:rPr>
          <w:rFonts w:ascii="Arial" w:hAnsi="Arial"/>
          <w:b/>
          <w:spacing w:val="23"/>
          <w:sz w:val="20"/>
        </w:rPr>
        <w:t xml:space="preserve"> </w:t>
      </w:r>
      <w:r>
        <w:rPr>
          <w:rFonts w:ascii="Arial" w:hAnsi="Arial"/>
          <w:b/>
          <w:sz w:val="20"/>
        </w:rPr>
        <w:t>9.</w:t>
      </w:r>
      <w:r>
        <w:rPr>
          <w:rFonts w:ascii="Arial" w:hAnsi="Arial"/>
          <w:b/>
          <w:spacing w:val="80"/>
          <w:sz w:val="20"/>
        </w:rPr>
        <w:t xml:space="preserve"> </w:t>
      </w:r>
      <w:r>
        <w:rPr>
          <w:rFonts w:ascii="Arial" w:hAnsi="Arial"/>
          <w:i/>
          <w:sz w:val="20"/>
        </w:rPr>
        <w:t>Relaciones</w:t>
      </w:r>
      <w:r>
        <w:rPr>
          <w:rFonts w:ascii="Arial" w:hAnsi="Arial"/>
          <w:i/>
          <w:spacing w:val="23"/>
          <w:sz w:val="20"/>
        </w:rPr>
        <w:t xml:space="preserve"> </w:t>
      </w:r>
      <w:r>
        <w:rPr>
          <w:rFonts w:ascii="Arial" w:hAnsi="Arial"/>
          <w:i/>
          <w:sz w:val="20"/>
        </w:rPr>
        <w:t>jurídicas,</w:t>
      </w:r>
      <w:r>
        <w:rPr>
          <w:rFonts w:ascii="Arial" w:hAnsi="Arial"/>
          <w:i/>
          <w:spacing w:val="23"/>
          <w:sz w:val="20"/>
        </w:rPr>
        <w:t xml:space="preserve"> </w:t>
      </w:r>
      <w:r>
        <w:rPr>
          <w:rFonts w:ascii="Arial" w:hAnsi="Arial"/>
          <w:i/>
          <w:sz w:val="20"/>
        </w:rPr>
        <w:t>negocios</w:t>
      </w:r>
      <w:r>
        <w:rPr>
          <w:rFonts w:ascii="Arial" w:hAnsi="Arial"/>
          <w:i/>
          <w:spacing w:val="23"/>
          <w:sz w:val="20"/>
        </w:rPr>
        <w:t xml:space="preserve"> </w:t>
      </w:r>
      <w:r>
        <w:rPr>
          <w:rFonts w:ascii="Arial" w:hAnsi="Arial"/>
          <w:i/>
          <w:sz w:val="20"/>
        </w:rPr>
        <w:t>y</w:t>
      </w:r>
      <w:r>
        <w:rPr>
          <w:rFonts w:ascii="Arial" w:hAnsi="Arial"/>
          <w:i/>
          <w:spacing w:val="23"/>
          <w:sz w:val="20"/>
        </w:rPr>
        <w:t xml:space="preserve"> </w:t>
      </w:r>
      <w:r>
        <w:rPr>
          <w:rFonts w:ascii="Arial" w:hAnsi="Arial"/>
          <w:i/>
          <w:sz w:val="20"/>
        </w:rPr>
        <w:t>contratos</w:t>
      </w:r>
      <w:r>
        <w:rPr>
          <w:rFonts w:ascii="Arial" w:hAnsi="Arial"/>
          <w:i/>
          <w:spacing w:val="23"/>
          <w:sz w:val="20"/>
        </w:rPr>
        <w:t xml:space="preserve"> </w:t>
      </w:r>
      <w:r>
        <w:rPr>
          <w:rFonts w:ascii="Arial" w:hAnsi="Arial"/>
          <w:i/>
          <w:sz w:val="20"/>
        </w:rPr>
        <w:t>excluidos</w:t>
      </w:r>
      <w:r>
        <w:rPr>
          <w:rFonts w:ascii="Arial" w:hAnsi="Arial"/>
          <w:i/>
          <w:spacing w:val="23"/>
          <w:sz w:val="20"/>
        </w:rPr>
        <w:t xml:space="preserve"> </w:t>
      </w:r>
      <w:r>
        <w:rPr>
          <w:rFonts w:ascii="Arial" w:hAnsi="Arial"/>
          <w:i/>
          <w:sz w:val="20"/>
        </w:rPr>
        <w:t>en</w:t>
      </w:r>
      <w:r>
        <w:rPr>
          <w:rFonts w:ascii="Arial" w:hAnsi="Arial"/>
          <w:i/>
          <w:spacing w:val="23"/>
          <w:sz w:val="20"/>
        </w:rPr>
        <w:t xml:space="preserve"> </w:t>
      </w:r>
      <w:r>
        <w:rPr>
          <w:rFonts w:ascii="Arial" w:hAnsi="Arial"/>
          <w:i/>
          <w:sz w:val="20"/>
        </w:rPr>
        <w:t>el</w:t>
      </w:r>
      <w:r>
        <w:rPr>
          <w:rFonts w:ascii="Arial" w:hAnsi="Arial"/>
          <w:i/>
          <w:spacing w:val="23"/>
          <w:sz w:val="20"/>
        </w:rPr>
        <w:t xml:space="preserve"> </w:t>
      </w:r>
      <w:r>
        <w:rPr>
          <w:rFonts w:ascii="Arial" w:hAnsi="Arial"/>
          <w:i/>
          <w:sz w:val="20"/>
        </w:rPr>
        <w:t>ámbito</w:t>
      </w:r>
      <w:r>
        <w:rPr>
          <w:rFonts w:ascii="Arial" w:hAnsi="Arial"/>
          <w:i/>
          <w:spacing w:val="23"/>
          <w:sz w:val="20"/>
        </w:rPr>
        <w:t xml:space="preserve"> </w:t>
      </w:r>
      <w:r>
        <w:rPr>
          <w:rFonts w:ascii="Arial" w:hAnsi="Arial"/>
          <w:i/>
          <w:sz w:val="20"/>
        </w:rPr>
        <w:t>del</w:t>
      </w:r>
      <w:r>
        <w:rPr>
          <w:rFonts w:ascii="Arial" w:hAnsi="Arial"/>
          <w:i/>
          <w:spacing w:val="23"/>
          <w:sz w:val="20"/>
        </w:rPr>
        <w:t xml:space="preserve"> </w:t>
      </w:r>
      <w:r>
        <w:rPr>
          <w:rFonts w:ascii="Arial" w:hAnsi="Arial"/>
          <w:i/>
          <w:sz w:val="20"/>
        </w:rPr>
        <w:t>dominio público y en el ámbito patrimonial.</w:t>
      </w:r>
    </w:p>
    <w:p w:rsidR="0092635B" w:rsidRDefault="00000000">
      <w:pPr>
        <w:pStyle w:val="Prrafodelista"/>
        <w:numPr>
          <w:ilvl w:val="0"/>
          <w:numId w:val="345"/>
        </w:numPr>
        <w:tabs>
          <w:tab w:val="left" w:pos="1692"/>
        </w:tabs>
        <w:spacing w:before="115" w:line="249" w:lineRule="auto"/>
        <w:ind w:firstLine="340"/>
        <w:jc w:val="both"/>
        <w:rPr>
          <w:sz w:val="20"/>
        </w:rPr>
      </w:pPr>
      <w:r>
        <w:rPr>
          <w:sz w:val="20"/>
        </w:rPr>
        <w:t>Se encuentran excluidas de la presente Ley las autorizaciones y concesiones sobre bienes de dominio público y los contratos de explotación de bienes patrimoniales distintos a los definidos en el artículo 14, que se regularán por su legislación específica salvo en los casos en que expresamente se declaren de aplicación las prescripciones de la presente Ley.</w:t>
      </w:r>
    </w:p>
    <w:p w:rsidR="0092635B" w:rsidRDefault="00000000">
      <w:pPr>
        <w:pStyle w:val="Prrafodelista"/>
        <w:numPr>
          <w:ilvl w:val="0"/>
          <w:numId w:val="345"/>
        </w:numPr>
        <w:tabs>
          <w:tab w:val="left" w:pos="1728"/>
        </w:tabs>
        <w:spacing w:before="4" w:line="249" w:lineRule="auto"/>
        <w:ind w:right="1102" w:firstLine="340"/>
        <w:jc w:val="both"/>
        <w:rPr>
          <w:sz w:val="20"/>
        </w:rPr>
      </w:pPr>
      <w:r>
        <w:rPr>
          <w:sz w:val="20"/>
        </w:rPr>
        <w:t>Quedan, asimismo, excluidos de la presente Ley los contratos de compraventa, donación, permuta, arrendamiento y demás negocios jurídicos análogos sobre bienes inmuebles, valores negociables y propiedades incorporales, a no ser que recaigan sobre programas de ordenador y deban ser calificados como contratos de suministro o servicios, que tendrán siempre el carácter de contratos privados y se regirán por la legislación patrimonial. En estos contratos solo podrán incluirse prestaciones que sean propias de los contratos típicos regulados en la Sección 1.ª del Capítulo II del Título Preliminar, si el valor estimado de las mismas no es superior al 50 por 100 del importe total del negocio y, a su</w:t>
      </w:r>
      <w:r>
        <w:rPr>
          <w:spacing w:val="40"/>
          <w:sz w:val="20"/>
        </w:rPr>
        <w:t xml:space="preserve"> </w:t>
      </w:r>
      <w:r>
        <w:rPr>
          <w:sz w:val="20"/>
        </w:rPr>
        <w:t>vez, mantienen con la prestación característica del contrato patrimonial relaciones de vinculación y complementariedad en los términos previstos en el artículo 34.2.</w:t>
      </w:r>
    </w:p>
    <w:p w:rsidR="0092635B" w:rsidRDefault="0092635B">
      <w:pPr>
        <w:pStyle w:val="Textoindependiente"/>
        <w:spacing w:before="4"/>
        <w:ind w:left="0" w:firstLine="0"/>
        <w:jc w:val="left"/>
      </w:pPr>
    </w:p>
    <w:p w:rsidR="0092635B" w:rsidRDefault="00000000">
      <w:pPr>
        <w:ind w:left="1106"/>
        <w:rPr>
          <w:rFonts w:ascii="Arial" w:hAnsi="Arial"/>
          <w:i/>
          <w:sz w:val="20"/>
        </w:rPr>
      </w:pPr>
      <w:bookmarkStart w:id="20" w:name="Artículo_10._Negocios_y_contratos_exclui"/>
      <w:bookmarkEnd w:id="20"/>
      <w:r>
        <w:rPr>
          <w:rFonts w:ascii="Arial" w:hAnsi="Arial"/>
          <w:b/>
          <w:sz w:val="20"/>
        </w:rPr>
        <w:t>Artículo</w:t>
      </w:r>
      <w:r>
        <w:rPr>
          <w:rFonts w:ascii="Arial" w:hAnsi="Arial"/>
          <w:b/>
          <w:spacing w:val="-1"/>
          <w:sz w:val="20"/>
        </w:rPr>
        <w:t xml:space="preserve"> </w:t>
      </w:r>
      <w:r>
        <w:rPr>
          <w:rFonts w:ascii="Arial" w:hAnsi="Arial"/>
          <w:b/>
          <w:sz w:val="20"/>
        </w:rPr>
        <w:t>10.</w:t>
      </w:r>
      <w:r>
        <w:rPr>
          <w:rFonts w:ascii="Arial" w:hAnsi="Arial"/>
          <w:b/>
          <w:spacing w:val="52"/>
          <w:sz w:val="20"/>
        </w:rPr>
        <w:t xml:space="preserve"> </w:t>
      </w:r>
      <w:r>
        <w:rPr>
          <w:rFonts w:ascii="Arial" w:hAnsi="Arial"/>
          <w:i/>
          <w:sz w:val="20"/>
        </w:rPr>
        <w:t>Negocios y</w:t>
      </w:r>
      <w:r>
        <w:rPr>
          <w:rFonts w:ascii="Arial" w:hAnsi="Arial"/>
          <w:i/>
          <w:spacing w:val="-1"/>
          <w:sz w:val="20"/>
        </w:rPr>
        <w:t xml:space="preserve"> </w:t>
      </w:r>
      <w:r>
        <w:rPr>
          <w:rFonts w:ascii="Arial" w:hAnsi="Arial"/>
          <w:i/>
          <w:sz w:val="20"/>
        </w:rPr>
        <w:t>contratos</w:t>
      </w:r>
      <w:r>
        <w:rPr>
          <w:rFonts w:ascii="Arial" w:hAnsi="Arial"/>
          <w:i/>
          <w:spacing w:val="-1"/>
          <w:sz w:val="20"/>
        </w:rPr>
        <w:t xml:space="preserve"> </w:t>
      </w:r>
      <w:r>
        <w:rPr>
          <w:rFonts w:ascii="Arial" w:hAnsi="Arial"/>
          <w:i/>
          <w:sz w:val="20"/>
        </w:rPr>
        <w:t>excluidos en</w:t>
      </w:r>
      <w:r>
        <w:rPr>
          <w:rFonts w:ascii="Arial" w:hAnsi="Arial"/>
          <w:i/>
          <w:spacing w:val="-1"/>
          <w:sz w:val="20"/>
        </w:rPr>
        <w:t xml:space="preserve"> </w:t>
      </w:r>
      <w:r>
        <w:rPr>
          <w:rFonts w:ascii="Arial" w:hAnsi="Arial"/>
          <w:i/>
          <w:sz w:val="20"/>
        </w:rPr>
        <w:t>el</w:t>
      </w:r>
      <w:r>
        <w:rPr>
          <w:rFonts w:ascii="Arial" w:hAnsi="Arial"/>
          <w:i/>
          <w:spacing w:val="-1"/>
          <w:sz w:val="20"/>
        </w:rPr>
        <w:t xml:space="preserve"> </w:t>
      </w:r>
      <w:r>
        <w:rPr>
          <w:rFonts w:ascii="Arial" w:hAnsi="Arial"/>
          <w:i/>
          <w:sz w:val="20"/>
        </w:rPr>
        <w:t xml:space="preserve">ámbito </w:t>
      </w:r>
      <w:r>
        <w:rPr>
          <w:rFonts w:ascii="Arial" w:hAnsi="Arial"/>
          <w:i/>
          <w:spacing w:val="-2"/>
          <w:sz w:val="20"/>
        </w:rPr>
        <w:t>financiero.</w:t>
      </w:r>
    </w:p>
    <w:p w:rsidR="0092635B" w:rsidRDefault="00000000">
      <w:pPr>
        <w:pStyle w:val="Textoindependiente"/>
        <w:spacing w:before="124" w:line="249" w:lineRule="auto"/>
        <w:ind w:right="1102"/>
      </w:pPr>
      <w:r>
        <w:t>Están excluidos del ámbito de la presente Ley los contratos relativos a servicios financieros relacionados con la emisión, compra, venta o transferencia de valores o de otros instrumentos financieros en el sentido de la Directiva 2004/39/CE, del Parlamento Europeo y del Consejo, de 21 de abril de 2004, relativa a los mercados de instrumentos financieros, por la que se modifican las Directivas 85/611/CEE y 93/6/CEE, del Consejo y la Directiva 2000/12/CE, del Parlamento Europeo y del Consejo y se deroga la Directiva 93/22/ CEE, del Consejo. Asimismo quedan excluidos los servicios prestados por el Banco de España y las operaciones realizadas con la Facilidad Europea de Estabilización Financiera y el</w:t>
      </w:r>
      <w:r>
        <w:rPr>
          <w:spacing w:val="40"/>
        </w:rPr>
        <w:t xml:space="preserve"> </w:t>
      </w:r>
      <w:r>
        <w:t>Mecanismo Europeo de Estabilidad y los contratos de préstamo y operaciones de tesorería, estén o no relacionados con la emisión, venta, compra o transferencia de valores o de otros instrumentos financieros.</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21" w:name="Artículo_11._Otros_negocios_o_contratos_"/>
      <w:bookmarkEnd w:id="21"/>
      <w:r>
        <w:rPr>
          <w:rFonts w:ascii="Arial" w:hAnsi="Arial"/>
          <w:b/>
          <w:sz w:val="20"/>
        </w:rPr>
        <w:t>Artículo</w:t>
      </w:r>
      <w:r>
        <w:rPr>
          <w:rFonts w:ascii="Arial" w:hAnsi="Arial"/>
          <w:b/>
          <w:spacing w:val="-2"/>
          <w:sz w:val="20"/>
        </w:rPr>
        <w:t xml:space="preserve"> </w:t>
      </w:r>
      <w:r>
        <w:rPr>
          <w:rFonts w:ascii="Arial" w:hAnsi="Arial"/>
          <w:b/>
          <w:sz w:val="20"/>
        </w:rPr>
        <w:t>11.</w:t>
      </w:r>
      <w:r>
        <w:rPr>
          <w:rFonts w:ascii="Arial" w:hAnsi="Arial"/>
          <w:b/>
          <w:spacing w:val="50"/>
          <w:sz w:val="20"/>
        </w:rPr>
        <w:t xml:space="preserve"> </w:t>
      </w:r>
      <w:r>
        <w:rPr>
          <w:rFonts w:ascii="Arial" w:hAnsi="Arial"/>
          <w:i/>
          <w:sz w:val="20"/>
        </w:rPr>
        <w:t>Otros</w:t>
      </w:r>
      <w:r>
        <w:rPr>
          <w:rFonts w:ascii="Arial" w:hAnsi="Arial"/>
          <w:i/>
          <w:spacing w:val="-1"/>
          <w:sz w:val="20"/>
        </w:rPr>
        <w:t xml:space="preserve"> </w:t>
      </w:r>
      <w:r>
        <w:rPr>
          <w:rFonts w:ascii="Arial" w:hAnsi="Arial"/>
          <w:i/>
          <w:sz w:val="20"/>
        </w:rPr>
        <w:t>negocios</w:t>
      </w:r>
      <w:r>
        <w:rPr>
          <w:rFonts w:ascii="Arial" w:hAnsi="Arial"/>
          <w:i/>
          <w:spacing w:val="-2"/>
          <w:sz w:val="20"/>
        </w:rPr>
        <w:t xml:space="preserve"> </w:t>
      </w:r>
      <w:r>
        <w:rPr>
          <w:rFonts w:ascii="Arial" w:hAnsi="Arial"/>
          <w:i/>
          <w:sz w:val="20"/>
        </w:rPr>
        <w:t>o</w:t>
      </w:r>
      <w:r>
        <w:rPr>
          <w:rFonts w:ascii="Arial" w:hAnsi="Arial"/>
          <w:i/>
          <w:spacing w:val="-2"/>
          <w:sz w:val="20"/>
        </w:rPr>
        <w:t xml:space="preserve"> </w:t>
      </w:r>
      <w:r>
        <w:rPr>
          <w:rFonts w:ascii="Arial" w:hAnsi="Arial"/>
          <w:i/>
          <w:sz w:val="20"/>
        </w:rPr>
        <w:t>contratos</w:t>
      </w:r>
      <w:r>
        <w:rPr>
          <w:rFonts w:ascii="Arial" w:hAnsi="Arial"/>
          <w:i/>
          <w:spacing w:val="-1"/>
          <w:sz w:val="20"/>
        </w:rPr>
        <w:t xml:space="preserve"> </w:t>
      </w:r>
      <w:r>
        <w:rPr>
          <w:rFonts w:ascii="Arial" w:hAnsi="Arial"/>
          <w:i/>
          <w:spacing w:val="-2"/>
          <w:sz w:val="20"/>
        </w:rPr>
        <w:t>excluidos.</w:t>
      </w:r>
    </w:p>
    <w:p w:rsidR="0092635B" w:rsidRDefault="00000000">
      <w:pPr>
        <w:pStyle w:val="Prrafodelista"/>
        <w:numPr>
          <w:ilvl w:val="0"/>
          <w:numId w:val="344"/>
        </w:numPr>
        <w:tabs>
          <w:tab w:val="left" w:pos="1699"/>
        </w:tabs>
        <w:spacing w:before="123" w:line="249" w:lineRule="auto"/>
        <w:ind w:firstLine="340"/>
        <w:jc w:val="both"/>
        <w:rPr>
          <w:sz w:val="20"/>
        </w:rPr>
      </w:pPr>
      <w:r>
        <w:rPr>
          <w:sz w:val="20"/>
        </w:rPr>
        <w:t>La relación de servicio de los funcionarios públicos y los contratos regulados en la legislación laboral queda excluida del ámbito de la presente Ley.</w:t>
      </w:r>
    </w:p>
    <w:p w:rsidR="0092635B" w:rsidRDefault="00000000">
      <w:pPr>
        <w:pStyle w:val="Prrafodelista"/>
        <w:numPr>
          <w:ilvl w:val="0"/>
          <w:numId w:val="344"/>
        </w:numPr>
        <w:tabs>
          <w:tab w:val="left" w:pos="1681"/>
        </w:tabs>
        <w:spacing w:line="249" w:lineRule="auto"/>
        <w:ind w:right="1104" w:firstLine="340"/>
        <w:jc w:val="both"/>
        <w:rPr>
          <w:sz w:val="20"/>
        </w:rPr>
      </w:pPr>
      <w:r>
        <w:rPr>
          <w:sz w:val="20"/>
        </w:rPr>
        <w:t>Se excluyen, asimismo, de la presente Ley las relaciones jurídicas consistentes en la prestación de un servicio público cuya utilización por los usuarios requiera el abono de una tarifa, tasa o precio público de aplicación general.</w:t>
      </w:r>
    </w:p>
    <w:p w:rsidR="0092635B" w:rsidRDefault="00000000">
      <w:pPr>
        <w:pStyle w:val="Prrafodelista"/>
        <w:numPr>
          <w:ilvl w:val="0"/>
          <w:numId w:val="344"/>
        </w:numPr>
        <w:tabs>
          <w:tab w:val="left" w:pos="1691"/>
        </w:tabs>
        <w:spacing w:line="249" w:lineRule="auto"/>
        <w:ind w:right="1105" w:firstLine="340"/>
        <w:jc w:val="both"/>
        <w:rPr>
          <w:sz w:val="20"/>
        </w:rPr>
      </w:pPr>
      <w:r>
        <w:rPr>
          <w:sz w:val="20"/>
        </w:rPr>
        <w:t>Los contratos relativos a servicios de arbitraje y conciliación quedan excluidos de la presente Ley.</w:t>
      </w:r>
    </w:p>
    <w:p w:rsidR="0092635B" w:rsidRDefault="00000000">
      <w:pPr>
        <w:pStyle w:val="Prrafodelista"/>
        <w:numPr>
          <w:ilvl w:val="0"/>
          <w:numId w:val="344"/>
        </w:numPr>
        <w:tabs>
          <w:tab w:val="left" w:pos="1678"/>
        </w:tabs>
        <w:spacing w:line="249" w:lineRule="auto"/>
        <w:ind w:right="1104" w:firstLine="340"/>
        <w:jc w:val="both"/>
        <w:rPr>
          <w:sz w:val="20"/>
        </w:rPr>
      </w:pPr>
      <w:r>
        <w:rPr>
          <w:sz w:val="20"/>
        </w:rPr>
        <w:t>Asimismo, están excluidos los contratos por los que una entidad del sector público se obligue a entregar bienes o derechos o a prestar algún servicio, sin perjuicio de que el adquirente de los bienes o el receptor de los servicios, si es una entidad del sector público sujeta a esta Ley, deba ajustarse a sus prescripciones para la celebración del correspondiente contrato.</w:t>
      </w:r>
    </w:p>
    <w:p w:rsidR="0092635B" w:rsidRDefault="00000000">
      <w:pPr>
        <w:pStyle w:val="Prrafodelista"/>
        <w:numPr>
          <w:ilvl w:val="0"/>
          <w:numId w:val="344"/>
        </w:numPr>
        <w:tabs>
          <w:tab w:val="left" w:pos="1711"/>
        </w:tabs>
        <w:spacing w:before="4" w:line="249" w:lineRule="auto"/>
        <w:ind w:firstLine="340"/>
        <w:jc w:val="both"/>
        <w:rPr>
          <w:sz w:val="20"/>
        </w:rPr>
      </w:pPr>
      <w:r>
        <w:rPr>
          <w:sz w:val="20"/>
        </w:rPr>
        <w:t>Se encuentran, asimismo, excluidos los contratos que tengan por objeto servicios relacionados</w:t>
      </w:r>
      <w:r>
        <w:rPr>
          <w:spacing w:val="-3"/>
          <w:sz w:val="20"/>
        </w:rPr>
        <w:t xml:space="preserve"> </w:t>
      </w:r>
      <w:r>
        <w:rPr>
          <w:sz w:val="20"/>
        </w:rPr>
        <w:t>con</w:t>
      </w:r>
      <w:r>
        <w:rPr>
          <w:spacing w:val="-3"/>
          <w:sz w:val="20"/>
        </w:rPr>
        <w:t xml:space="preserve"> </w:t>
      </w:r>
      <w:r>
        <w:rPr>
          <w:sz w:val="20"/>
        </w:rPr>
        <w:t>campañas</w:t>
      </w:r>
      <w:r>
        <w:rPr>
          <w:spacing w:val="-3"/>
          <w:sz w:val="20"/>
        </w:rPr>
        <w:t xml:space="preserve"> </w:t>
      </w:r>
      <w:r>
        <w:rPr>
          <w:sz w:val="20"/>
        </w:rPr>
        <w:t>políticas,</w:t>
      </w:r>
      <w:r>
        <w:rPr>
          <w:spacing w:val="-3"/>
          <w:sz w:val="20"/>
        </w:rPr>
        <w:t xml:space="preserve"> </w:t>
      </w:r>
      <w:r>
        <w:rPr>
          <w:sz w:val="20"/>
        </w:rPr>
        <w:t>incluidos</w:t>
      </w:r>
      <w:r>
        <w:rPr>
          <w:spacing w:val="-3"/>
          <w:sz w:val="20"/>
        </w:rPr>
        <w:t xml:space="preserve"> </w:t>
      </w:r>
      <w:r>
        <w:rPr>
          <w:sz w:val="20"/>
        </w:rPr>
        <w:t>en</w:t>
      </w:r>
      <w:r>
        <w:rPr>
          <w:spacing w:val="-3"/>
          <w:sz w:val="20"/>
        </w:rPr>
        <w:t xml:space="preserve"> </w:t>
      </w:r>
      <w:r>
        <w:rPr>
          <w:sz w:val="20"/>
        </w:rPr>
        <w:t>los</w:t>
      </w:r>
      <w:r>
        <w:rPr>
          <w:spacing w:val="-3"/>
          <w:sz w:val="20"/>
        </w:rPr>
        <w:t xml:space="preserve"> </w:t>
      </w:r>
      <w:r>
        <w:rPr>
          <w:sz w:val="20"/>
        </w:rPr>
        <w:t>códigos</w:t>
      </w:r>
      <w:r>
        <w:rPr>
          <w:spacing w:val="-3"/>
          <w:sz w:val="20"/>
        </w:rPr>
        <w:t xml:space="preserve"> </w:t>
      </w:r>
      <w:r>
        <w:rPr>
          <w:sz w:val="20"/>
        </w:rPr>
        <w:t>CPV</w:t>
      </w:r>
      <w:r>
        <w:rPr>
          <w:spacing w:val="-3"/>
          <w:sz w:val="20"/>
        </w:rPr>
        <w:t xml:space="preserve"> </w:t>
      </w:r>
      <w:r>
        <w:rPr>
          <w:sz w:val="20"/>
        </w:rPr>
        <w:t>79341400-0,</w:t>
      </w:r>
      <w:r>
        <w:rPr>
          <w:spacing w:val="-3"/>
          <w:sz w:val="20"/>
        </w:rPr>
        <w:t xml:space="preserve"> </w:t>
      </w:r>
      <w:r>
        <w:rPr>
          <w:sz w:val="20"/>
        </w:rPr>
        <w:t>92111230-3 y 92111240-6, cuando sean adjudicados por un partido político.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344"/>
        </w:numPr>
        <w:tabs>
          <w:tab w:val="left" w:pos="1689"/>
        </w:tabs>
        <w:spacing w:before="1" w:line="249" w:lineRule="auto"/>
        <w:ind w:right="1104" w:firstLine="340"/>
        <w:jc w:val="both"/>
        <w:rPr>
          <w:sz w:val="20"/>
        </w:rPr>
      </w:pPr>
      <w:r>
        <w:rPr>
          <w:sz w:val="20"/>
        </w:rPr>
        <w:t>Queda excluida de la presente Ley la prestación de servicios sociales por entidades privadas, siempre que esta se realice sin necesidad de celebrar contratos públicos, a través, entre otros medios, de la simple financiación de estos servicios o la concesión de licencias o autorizaciones a todas las entidades que cumplan las condiciones previamente fijadas por el poder adjudicador, sin límites ni cuotas, y que dicho sistema garantice una publicidad suficiente y se ajuste a los principios de transparencia y no discriminación.</w:t>
      </w:r>
    </w:p>
    <w:p w:rsidR="0092635B" w:rsidRDefault="0092635B">
      <w:pPr>
        <w:pStyle w:val="Textoindependiente"/>
        <w:spacing w:before="115"/>
        <w:ind w:left="0" w:firstLine="0"/>
        <w:jc w:val="left"/>
      </w:pPr>
    </w:p>
    <w:p w:rsidR="0092635B" w:rsidRDefault="00000000">
      <w:pPr>
        <w:pStyle w:val="Textoindependiente"/>
        <w:spacing w:before="0"/>
        <w:ind w:left="0" w:firstLine="0"/>
        <w:jc w:val="center"/>
      </w:pPr>
      <w:bookmarkStart w:id="22" w:name="CAPÍTULO_II._Contratos_del_sector_públic"/>
      <w:bookmarkStart w:id="23" w:name="_bookmark5"/>
      <w:bookmarkEnd w:id="22"/>
      <w:bookmarkEnd w:id="23"/>
      <w:r>
        <w:t xml:space="preserve">CAPÍTULO </w:t>
      </w:r>
      <w:r>
        <w:rPr>
          <w:spacing w:val="-5"/>
        </w:rPr>
        <w:t>II</w:t>
      </w:r>
    </w:p>
    <w:p w:rsidR="0092635B" w:rsidRDefault="00000000">
      <w:pPr>
        <w:pStyle w:val="Ttulo2"/>
      </w:pPr>
      <w:r>
        <w:t>Contratos</w:t>
      </w:r>
      <w:r>
        <w:rPr>
          <w:spacing w:val="-5"/>
        </w:rPr>
        <w:t xml:space="preserve"> </w:t>
      </w:r>
      <w:r>
        <w:t>del</w:t>
      </w:r>
      <w:r>
        <w:rPr>
          <w:spacing w:val="-4"/>
        </w:rPr>
        <w:t xml:space="preserve"> </w:t>
      </w:r>
      <w:r>
        <w:t>sector</w:t>
      </w:r>
      <w:r>
        <w:rPr>
          <w:spacing w:val="-4"/>
        </w:rPr>
        <w:t xml:space="preserve"> </w:t>
      </w:r>
      <w:r>
        <w:rPr>
          <w:spacing w:val="-2"/>
        </w:rPr>
        <w:t>público</w:t>
      </w:r>
    </w:p>
    <w:p w:rsidR="0092635B" w:rsidRDefault="0092635B">
      <w:pPr>
        <w:pStyle w:val="Textoindependiente"/>
        <w:spacing w:before="7"/>
        <w:ind w:left="0" w:firstLine="0"/>
        <w:jc w:val="left"/>
        <w:rPr>
          <w:rFonts w:ascii="Arial"/>
          <w:b/>
        </w:rPr>
      </w:pPr>
    </w:p>
    <w:p w:rsidR="0092635B" w:rsidRDefault="00000000">
      <w:pPr>
        <w:pStyle w:val="Ttulo3"/>
      </w:pPr>
      <w:bookmarkStart w:id="24" w:name="Sección_1.ª_Delimitación_de_los_tipos_co"/>
      <w:bookmarkStart w:id="25" w:name="_bookmark6"/>
      <w:bookmarkEnd w:id="24"/>
      <w:bookmarkEnd w:id="25"/>
      <w:r>
        <w:t>Sección</w:t>
      </w:r>
      <w:r>
        <w:rPr>
          <w:spacing w:val="-2"/>
        </w:rPr>
        <w:t xml:space="preserve"> </w:t>
      </w:r>
      <w:r>
        <w:t>1.ª</w:t>
      </w:r>
      <w:r>
        <w:rPr>
          <w:spacing w:val="-1"/>
        </w:rPr>
        <w:t xml:space="preserve"> </w:t>
      </w:r>
      <w:r>
        <w:t>Delimitación</w:t>
      </w:r>
      <w:r>
        <w:rPr>
          <w:spacing w:val="-2"/>
        </w:rPr>
        <w:t xml:space="preserve"> </w:t>
      </w:r>
      <w:r>
        <w:t>de</w:t>
      </w:r>
      <w:r>
        <w:rPr>
          <w:spacing w:val="-1"/>
        </w:rPr>
        <w:t xml:space="preserve"> </w:t>
      </w:r>
      <w:r>
        <w:t>los</w:t>
      </w:r>
      <w:r>
        <w:rPr>
          <w:spacing w:val="-2"/>
        </w:rPr>
        <w:t xml:space="preserve"> </w:t>
      </w:r>
      <w:r>
        <w:t>tipos</w:t>
      </w:r>
      <w:r>
        <w:rPr>
          <w:spacing w:val="-1"/>
        </w:rPr>
        <w:t xml:space="preserve"> </w:t>
      </w:r>
      <w:r>
        <w:rPr>
          <w:spacing w:val="-2"/>
        </w:rPr>
        <w:t>contractuales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26" w:name="Artículo_12._Calificación_de_los_contrat"/>
      <w:bookmarkEnd w:id="26"/>
      <w:r>
        <w:rPr>
          <w:rFonts w:ascii="Arial" w:hAnsi="Arial"/>
          <w:b/>
          <w:sz w:val="20"/>
        </w:rPr>
        <w:t>Artículo</w:t>
      </w:r>
      <w:r>
        <w:rPr>
          <w:rFonts w:ascii="Arial" w:hAnsi="Arial"/>
          <w:b/>
          <w:spacing w:val="-2"/>
          <w:sz w:val="20"/>
        </w:rPr>
        <w:t xml:space="preserve"> </w:t>
      </w:r>
      <w:r>
        <w:rPr>
          <w:rFonts w:ascii="Arial" w:hAnsi="Arial"/>
          <w:b/>
          <w:sz w:val="20"/>
        </w:rPr>
        <w:t>12.</w:t>
      </w:r>
      <w:r>
        <w:rPr>
          <w:rFonts w:ascii="Arial" w:hAnsi="Arial"/>
          <w:b/>
          <w:spacing w:val="50"/>
          <w:sz w:val="20"/>
        </w:rPr>
        <w:t xml:space="preserve"> </w:t>
      </w:r>
      <w:r>
        <w:rPr>
          <w:rFonts w:ascii="Arial" w:hAnsi="Arial"/>
          <w:i/>
          <w:sz w:val="20"/>
        </w:rPr>
        <w:t>Calificación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contratos.</w:t>
      </w:r>
    </w:p>
    <w:p w:rsidR="0092635B" w:rsidRDefault="00000000">
      <w:pPr>
        <w:pStyle w:val="Prrafodelista"/>
        <w:numPr>
          <w:ilvl w:val="0"/>
          <w:numId w:val="343"/>
        </w:numPr>
        <w:tabs>
          <w:tab w:val="left" w:pos="1711"/>
        </w:tabs>
        <w:spacing w:before="123" w:line="249" w:lineRule="auto"/>
        <w:ind w:right="1104" w:firstLine="340"/>
        <w:jc w:val="both"/>
        <w:rPr>
          <w:sz w:val="20"/>
        </w:rPr>
      </w:pPr>
      <w:r>
        <w:rPr>
          <w:sz w:val="20"/>
        </w:rPr>
        <w:t>Los contratos de obras, concesión de obras, concesión de servicios, suministro y servicios que celebren las entidades pertenecientes al sector público se calificarán de acuerdo con las normas contenidas en la presente sección.</w:t>
      </w:r>
    </w:p>
    <w:p w:rsidR="0092635B" w:rsidRDefault="00000000">
      <w:pPr>
        <w:pStyle w:val="Prrafodelista"/>
        <w:numPr>
          <w:ilvl w:val="0"/>
          <w:numId w:val="343"/>
        </w:numPr>
        <w:tabs>
          <w:tab w:val="left" w:pos="1676"/>
        </w:tabs>
        <w:spacing w:before="3" w:line="249" w:lineRule="auto"/>
        <w:ind w:right="1106" w:firstLine="340"/>
        <w:jc w:val="both"/>
        <w:rPr>
          <w:sz w:val="20"/>
        </w:rPr>
      </w:pPr>
      <w:r>
        <w:rPr>
          <w:sz w:val="20"/>
        </w:rPr>
        <w:t>Los restantes contratos del sector público se calificarán según las normas de derecho administrativo o de derecho privado que les sean de aplicación.</w:t>
      </w:r>
    </w:p>
    <w:p w:rsidR="0092635B" w:rsidRDefault="00000000">
      <w:pPr>
        <w:spacing w:before="228"/>
        <w:ind w:left="1106"/>
        <w:rPr>
          <w:rFonts w:ascii="Arial" w:hAnsi="Arial"/>
          <w:i/>
          <w:sz w:val="20"/>
        </w:rPr>
      </w:pPr>
      <w:bookmarkStart w:id="27" w:name="Artículo_13._Contrato_de_obras."/>
      <w:bookmarkEnd w:id="27"/>
      <w:r>
        <w:rPr>
          <w:rFonts w:ascii="Arial" w:hAnsi="Arial"/>
          <w:b/>
          <w:sz w:val="20"/>
        </w:rPr>
        <w:t>Artículo</w:t>
      </w:r>
      <w:r>
        <w:rPr>
          <w:rFonts w:ascii="Arial" w:hAnsi="Arial"/>
          <w:b/>
          <w:spacing w:val="-2"/>
          <w:sz w:val="20"/>
        </w:rPr>
        <w:t xml:space="preserve"> </w:t>
      </w:r>
      <w:r>
        <w:rPr>
          <w:rFonts w:ascii="Arial" w:hAnsi="Arial"/>
          <w:b/>
          <w:sz w:val="20"/>
        </w:rPr>
        <w:t>13.</w:t>
      </w:r>
      <w:r>
        <w:rPr>
          <w:rFonts w:ascii="Arial" w:hAnsi="Arial"/>
          <w:b/>
          <w:spacing w:val="51"/>
          <w:sz w:val="20"/>
        </w:rPr>
        <w:t xml:space="preserve"> </w:t>
      </w:r>
      <w:r>
        <w:rPr>
          <w:rFonts w:ascii="Arial" w:hAnsi="Arial"/>
          <w:i/>
          <w:sz w:val="20"/>
        </w:rPr>
        <w:t>Contrato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obras.</w:t>
      </w:r>
    </w:p>
    <w:p w:rsidR="0092635B" w:rsidRDefault="00000000">
      <w:pPr>
        <w:pStyle w:val="Prrafodelista"/>
        <w:numPr>
          <w:ilvl w:val="0"/>
          <w:numId w:val="342"/>
        </w:numPr>
        <w:tabs>
          <w:tab w:val="left" w:pos="1668"/>
        </w:tabs>
        <w:spacing w:before="123"/>
        <w:ind w:right="0" w:hanging="222"/>
        <w:jc w:val="both"/>
        <w:rPr>
          <w:sz w:val="20"/>
        </w:rPr>
      </w:pPr>
      <w:r>
        <w:rPr>
          <w:sz w:val="20"/>
        </w:rPr>
        <w:t>Son</w:t>
      </w:r>
      <w:r>
        <w:rPr>
          <w:spacing w:val="-2"/>
          <w:sz w:val="20"/>
        </w:rPr>
        <w:t xml:space="preserve"> </w:t>
      </w:r>
      <w:r>
        <w:rPr>
          <w:sz w:val="20"/>
        </w:rPr>
        <w:t>contratos</w:t>
      </w:r>
      <w:r>
        <w:rPr>
          <w:spacing w:val="-1"/>
          <w:sz w:val="20"/>
        </w:rPr>
        <w:t xml:space="preserve"> </w:t>
      </w:r>
      <w:r>
        <w:rPr>
          <w:sz w:val="20"/>
        </w:rPr>
        <w:t>de</w:t>
      </w:r>
      <w:r>
        <w:rPr>
          <w:spacing w:val="-2"/>
          <w:sz w:val="20"/>
        </w:rPr>
        <w:t xml:space="preserve"> </w:t>
      </w:r>
      <w:r>
        <w:rPr>
          <w:sz w:val="20"/>
        </w:rPr>
        <w:t>obras</w:t>
      </w:r>
      <w:r>
        <w:rPr>
          <w:spacing w:val="-1"/>
          <w:sz w:val="20"/>
        </w:rPr>
        <w:t xml:space="preserve"> </w:t>
      </w:r>
      <w:r>
        <w:rPr>
          <w:sz w:val="20"/>
        </w:rPr>
        <w:t>aquellos</w:t>
      </w:r>
      <w:r>
        <w:rPr>
          <w:spacing w:val="-2"/>
          <w:sz w:val="20"/>
        </w:rPr>
        <w:t xml:space="preserve"> </w:t>
      </w:r>
      <w:r>
        <w:rPr>
          <w:sz w:val="20"/>
        </w:rPr>
        <w:t>que</w:t>
      </w:r>
      <w:r>
        <w:rPr>
          <w:spacing w:val="-1"/>
          <w:sz w:val="20"/>
        </w:rPr>
        <w:t xml:space="preserve"> </w:t>
      </w:r>
      <w:r>
        <w:rPr>
          <w:sz w:val="20"/>
        </w:rPr>
        <w:t>tienen</w:t>
      </w:r>
      <w:r>
        <w:rPr>
          <w:spacing w:val="-2"/>
          <w:sz w:val="20"/>
        </w:rPr>
        <w:t xml:space="preserve"> </w:t>
      </w:r>
      <w:r>
        <w:rPr>
          <w:sz w:val="20"/>
        </w:rPr>
        <w:t>por</w:t>
      </w:r>
      <w:r>
        <w:rPr>
          <w:spacing w:val="-1"/>
          <w:sz w:val="20"/>
        </w:rPr>
        <w:t xml:space="preserve"> </w:t>
      </w:r>
      <w:r>
        <w:rPr>
          <w:sz w:val="20"/>
        </w:rPr>
        <w:t>objeto</w:t>
      </w:r>
      <w:r>
        <w:rPr>
          <w:spacing w:val="-2"/>
          <w:sz w:val="20"/>
        </w:rPr>
        <w:t xml:space="preserve"> </w:t>
      </w:r>
      <w:r>
        <w:rPr>
          <w:sz w:val="20"/>
        </w:rPr>
        <w:t>uno</w:t>
      </w:r>
      <w:r>
        <w:rPr>
          <w:spacing w:val="-1"/>
          <w:sz w:val="20"/>
        </w:rPr>
        <w:t xml:space="preserve"> </w:t>
      </w:r>
      <w:r>
        <w:rPr>
          <w:sz w:val="20"/>
        </w:rPr>
        <w:t>de</w:t>
      </w:r>
      <w:r>
        <w:rPr>
          <w:spacing w:val="-2"/>
          <w:sz w:val="20"/>
        </w:rPr>
        <w:t xml:space="preserve"> </w:t>
      </w:r>
      <w:r>
        <w:rPr>
          <w:sz w:val="20"/>
        </w:rPr>
        <w:t>los</w:t>
      </w:r>
      <w:r>
        <w:rPr>
          <w:spacing w:val="-1"/>
          <w:sz w:val="20"/>
        </w:rPr>
        <w:t xml:space="preserve"> </w:t>
      </w:r>
      <w:r>
        <w:rPr>
          <w:spacing w:val="-2"/>
          <w:sz w:val="20"/>
        </w:rPr>
        <w:t>siguientes:</w:t>
      </w:r>
    </w:p>
    <w:p w:rsidR="0092635B" w:rsidRDefault="00000000">
      <w:pPr>
        <w:pStyle w:val="Prrafodelista"/>
        <w:numPr>
          <w:ilvl w:val="1"/>
          <w:numId w:val="342"/>
        </w:numPr>
        <w:tabs>
          <w:tab w:val="left" w:pos="1684"/>
        </w:tabs>
        <w:spacing w:before="130" w:line="249" w:lineRule="auto"/>
        <w:ind w:right="1105" w:firstLine="340"/>
        <w:jc w:val="both"/>
        <w:rPr>
          <w:sz w:val="20"/>
        </w:rPr>
      </w:pPr>
      <w:r>
        <w:rPr>
          <w:sz w:val="20"/>
        </w:rPr>
        <w:t>La ejecución de una obra, aislada o conjuntamente con la redacción del proyecto, o la realización de alguno de los trabajos enumerados en el Anexo I.</w:t>
      </w:r>
    </w:p>
    <w:p w:rsidR="0092635B" w:rsidRDefault="00000000">
      <w:pPr>
        <w:pStyle w:val="Prrafodelista"/>
        <w:numPr>
          <w:ilvl w:val="1"/>
          <w:numId w:val="342"/>
        </w:numPr>
        <w:tabs>
          <w:tab w:val="left" w:pos="1688"/>
        </w:tabs>
        <w:spacing w:line="249" w:lineRule="auto"/>
        <w:ind w:right="1104" w:firstLine="340"/>
        <w:jc w:val="both"/>
        <w:rPr>
          <w:sz w:val="20"/>
        </w:rPr>
      </w:pPr>
      <w:r>
        <w:rPr>
          <w:sz w:val="20"/>
        </w:rPr>
        <w:t>La realización, por cualquier medio, de una obra que cumpla los requisitos fijados por la entidad del sector público contratante que ejerza una influencia decisiva en el tipo o el proyecto de la obra.</w:t>
      </w:r>
    </w:p>
    <w:p w:rsidR="0092635B" w:rsidRDefault="00000000">
      <w:pPr>
        <w:pStyle w:val="Prrafodelista"/>
        <w:numPr>
          <w:ilvl w:val="0"/>
          <w:numId w:val="342"/>
        </w:numPr>
        <w:tabs>
          <w:tab w:val="left" w:pos="1674"/>
        </w:tabs>
        <w:spacing w:before="123" w:line="249" w:lineRule="auto"/>
        <w:ind w:left="1106" w:right="1104" w:firstLine="340"/>
        <w:jc w:val="both"/>
        <w:rPr>
          <w:sz w:val="20"/>
        </w:rPr>
      </w:pPr>
      <w:r>
        <w:rPr>
          <w:sz w:val="20"/>
        </w:rPr>
        <w:t>Por «obra» se entenderá el resultado de un conjunto de trabajos de construcción o de ingeniería civil, destinado a cumplir por sí mismo una función económica o técnica, que</w:t>
      </w:r>
      <w:r>
        <w:rPr>
          <w:spacing w:val="80"/>
          <w:sz w:val="20"/>
        </w:rPr>
        <w:t xml:space="preserve"> </w:t>
      </w:r>
      <w:r>
        <w:rPr>
          <w:sz w:val="20"/>
        </w:rPr>
        <w:t>tenga por objeto un bien inmueble.</w:t>
      </w:r>
    </w:p>
    <w:p w:rsidR="0092635B" w:rsidRDefault="00000000">
      <w:pPr>
        <w:pStyle w:val="Textoindependiente"/>
        <w:spacing w:line="249" w:lineRule="auto"/>
        <w:ind w:right="1105"/>
      </w:pPr>
      <w:r>
        <w:t>También se considerará «obra» la realización de trabajos que modifiquen la forma o sustancia del terreno o de su vuelo, o de mejora del medio físico o natural.</w:t>
      </w:r>
    </w:p>
    <w:p w:rsidR="0092635B" w:rsidRDefault="00000000">
      <w:pPr>
        <w:pStyle w:val="Prrafodelista"/>
        <w:numPr>
          <w:ilvl w:val="0"/>
          <w:numId w:val="342"/>
        </w:numPr>
        <w:tabs>
          <w:tab w:val="left" w:pos="1705"/>
        </w:tabs>
        <w:spacing w:line="249" w:lineRule="auto"/>
        <w:ind w:left="1106" w:right="1104" w:firstLine="340"/>
        <w:jc w:val="both"/>
        <w:rPr>
          <w:sz w:val="20"/>
        </w:rPr>
      </w:pPr>
      <w:r>
        <w:rPr>
          <w:sz w:val="20"/>
        </w:rPr>
        <w:t>Los contratos de obras se referirán a una obra completa, entendiendo por esta la susceptible de ser entregada al uso general o al servicio correspondiente, sin perjuicio de las ampliaciones de que posteriormente pueda ser objeto y comprenderá todos y cada uno de los elementos que sean precisos para la utilización de la obra.</w:t>
      </w:r>
    </w:p>
    <w:p w:rsidR="0092635B" w:rsidRDefault="00000000">
      <w:pPr>
        <w:pStyle w:val="Textoindependiente"/>
        <w:spacing w:before="3" w:line="249" w:lineRule="auto"/>
        <w:ind w:right="1103"/>
      </w:pPr>
      <w:r>
        <w:t>No obstante lo anterior, podrán contratarse obras definidas mediante proyectos independientes relativos a cada una de las partes de una obra completa, siempre que estas sean susceptibles de utilización independiente, en el sentido del uso general o del servicio, o puedan ser sustancialmente definidas y preceda autorización administrativa del órgano de contratación que funde la conveniencia de la referida contratación.</w:t>
      </w:r>
    </w:p>
    <w:p w:rsidR="0092635B" w:rsidRDefault="00000000">
      <w:pPr>
        <w:pStyle w:val="Textoindependiente"/>
        <w:spacing w:before="4" w:line="249" w:lineRule="auto"/>
        <w:ind w:right="1105"/>
      </w:pPr>
      <w:r>
        <w:t>Se podrán celebrar contratos de obras sin referirse a una obra completa en los</w:t>
      </w:r>
      <w:r>
        <w:rPr>
          <w:spacing w:val="40"/>
        </w:rPr>
        <w:t xml:space="preserve"> </w:t>
      </w:r>
      <w:r>
        <w:t>supuestos previstos en el apartado 4 del artículo 30 de la presente Ley cuando la responsabilidad de la obra completa corresponda a la Administración por tratarse de un supuesto de ejecución de obras por la propia Administración Pública.</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28" w:name="Artículo_14._Contrato_de_concesión_de_ob"/>
      <w:bookmarkEnd w:id="28"/>
      <w:r>
        <w:rPr>
          <w:rFonts w:ascii="Arial" w:hAnsi="Arial"/>
          <w:b/>
          <w:sz w:val="20"/>
        </w:rPr>
        <w:t>Artículo</w:t>
      </w:r>
      <w:r>
        <w:rPr>
          <w:rFonts w:ascii="Arial" w:hAnsi="Arial"/>
          <w:b/>
          <w:spacing w:val="-5"/>
          <w:sz w:val="20"/>
        </w:rPr>
        <w:t xml:space="preserve"> </w:t>
      </w:r>
      <w:r>
        <w:rPr>
          <w:rFonts w:ascii="Arial" w:hAnsi="Arial"/>
          <w:b/>
          <w:sz w:val="20"/>
        </w:rPr>
        <w:t>14.</w:t>
      </w:r>
      <w:r>
        <w:rPr>
          <w:rFonts w:ascii="Arial" w:hAnsi="Arial"/>
          <w:b/>
          <w:spacing w:val="49"/>
          <w:sz w:val="20"/>
        </w:rPr>
        <w:t xml:space="preserve"> </w:t>
      </w:r>
      <w:r>
        <w:rPr>
          <w:rFonts w:ascii="Arial" w:hAnsi="Arial"/>
          <w:i/>
          <w:sz w:val="20"/>
        </w:rPr>
        <w:t>Contrato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concesión</w:t>
      </w:r>
      <w:r>
        <w:rPr>
          <w:rFonts w:ascii="Arial" w:hAnsi="Arial"/>
          <w:i/>
          <w:spacing w:val="-2"/>
          <w:sz w:val="20"/>
        </w:rPr>
        <w:t xml:space="preserve"> </w:t>
      </w:r>
      <w:r>
        <w:rPr>
          <w:rFonts w:ascii="Arial" w:hAnsi="Arial"/>
          <w:i/>
          <w:sz w:val="20"/>
        </w:rPr>
        <w:t>de</w:t>
      </w:r>
      <w:r>
        <w:rPr>
          <w:rFonts w:ascii="Arial" w:hAnsi="Arial"/>
          <w:i/>
          <w:spacing w:val="-2"/>
          <w:sz w:val="20"/>
        </w:rPr>
        <w:t xml:space="preserve"> obras.</w:t>
      </w:r>
    </w:p>
    <w:p w:rsidR="0092635B" w:rsidRDefault="00000000">
      <w:pPr>
        <w:pStyle w:val="Prrafodelista"/>
        <w:numPr>
          <w:ilvl w:val="0"/>
          <w:numId w:val="341"/>
        </w:numPr>
        <w:tabs>
          <w:tab w:val="left" w:pos="1719"/>
        </w:tabs>
        <w:spacing w:before="124" w:line="249" w:lineRule="auto"/>
        <w:ind w:right="1104" w:firstLine="340"/>
        <w:jc w:val="both"/>
        <w:rPr>
          <w:sz w:val="20"/>
        </w:rPr>
      </w:pPr>
      <w:r>
        <w:rPr>
          <w:sz w:val="20"/>
        </w:rPr>
        <w:t>La concesión de obras es un contrato que tiene por objeto la realización por el concesionario de algunas de las prestaciones a que se refiere el artículo anterior, incluidas las de restauración y reparación de construcciones existentes, así como la conservación y mantenimiento de los elementos construidos, y en el que la contraprestación a favor de</w:t>
      </w:r>
      <w:r>
        <w:rPr>
          <w:spacing w:val="80"/>
          <w:sz w:val="20"/>
        </w:rPr>
        <w:t xml:space="preserve"> </w:t>
      </w:r>
      <w:r>
        <w:rPr>
          <w:sz w:val="20"/>
        </w:rPr>
        <w:t>aquel</w:t>
      </w:r>
      <w:r>
        <w:rPr>
          <w:spacing w:val="-1"/>
          <w:sz w:val="20"/>
        </w:rPr>
        <w:t xml:space="preserve"> </w:t>
      </w:r>
      <w:r>
        <w:rPr>
          <w:sz w:val="20"/>
        </w:rPr>
        <w:t>consiste,</w:t>
      </w:r>
      <w:r>
        <w:rPr>
          <w:spacing w:val="-1"/>
          <w:sz w:val="20"/>
        </w:rPr>
        <w:t xml:space="preserve"> </w:t>
      </w:r>
      <w:r>
        <w:rPr>
          <w:sz w:val="20"/>
        </w:rPr>
        <w:t>o</w:t>
      </w:r>
      <w:r>
        <w:rPr>
          <w:spacing w:val="-1"/>
          <w:sz w:val="20"/>
        </w:rPr>
        <w:t xml:space="preserve"> </w:t>
      </w:r>
      <w:r>
        <w:rPr>
          <w:sz w:val="20"/>
        </w:rPr>
        <w:t>bien</w:t>
      </w:r>
      <w:r>
        <w:rPr>
          <w:spacing w:val="-1"/>
          <w:sz w:val="20"/>
        </w:rPr>
        <w:t xml:space="preserve"> </w:t>
      </w:r>
      <w:r>
        <w:rPr>
          <w:sz w:val="20"/>
        </w:rPr>
        <w:t>únicamente</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derecho</w:t>
      </w:r>
      <w:r>
        <w:rPr>
          <w:spacing w:val="-1"/>
          <w:sz w:val="20"/>
        </w:rPr>
        <w:t xml:space="preserve"> </w:t>
      </w:r>
      <w:r>
        <w:rPr>
          <w:sz w:val="20"/>
        </w:rPr>
        <w:t>a</w:t>
      </w:r>
      <w:r>
        <w:rPr>
          <w:spacing w:val="-1"/>
          <w:sz w:val="20"/>
        </w:rPr>
        <w:t xml:space="preserve"> </w:t>
      </w:r>
      <w:r>
        <w:rPr>
          <w:sz w:val="20"/>
        </w:rPr>
        <w:t>explotar</w:t>
      </w:r>
      <w:r>
        <w:rPr>
          <w:spacing w:val="-1"/>
          <w:sz w:val="20"/>
        </w:rPr>
        <w:t xml:space="preserve"> </w:t>
      </w:r>
      <w:r>
        <w:rPr>
          <w:sz w:val="20"/>
        </w:rPr>
        <w:t>la</w:t>
      </w:r>
      <w:r>
        <w:rPr>
          <w:spacing w:val="-1"/>
          <w:sz w:val="20"/>
        </w:rPr>
        <w:t xml:space="preserve"> </w:t>
      </w:r>
      <w:r>
        <w:rPr>
          <w:sz w:val="20"/>
        </w:rPr>
        <w:t>obra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sentido</w:t>
      </w:r>
      <w:r>
        <w:rPr>
          <w:spacing w:val="-1"/>
          <w:sz w:val="20"/>
        </w:rPr>
        <w:t xml:space="preserve"> </w:t>
      </w:r>
      <w:r>
        <w:rPr>
          <w:sz w:val="20"/>
        </w:rPr>
        <w:t>del</w:t>
      </w:r>
      <w:r>
        <w:rPr>
          <w:spacing w:val="-1"/>
          <w:sz w:val="20"/>
        </w:rPr>
        <w:t xml:space="preserve"> </w:t>
      </w:r>
      <w:r>
        <w:rPr>
          <w:sz w:val="20"/>
        </w:rPr>
        <w:t>apartado cuarto siguiente, o bien en dicho derecho acompañado del de percibir un precio.</w:t>
      </w:r>
    </w:p>
    <w:p w:rsidR="0092635B" w:rsidRDefault="00000000">
      <w:pPr>
        <w:pStyle w:val="Prrafodelista"/>
        <w:numPr>
          <w:ilvl w:val="0"/>
          <w:numId w:val="341"/>
        </w:numPr>
        <w:tabs>
          <w:tab w:val="left" w:pos="1668"/>
        </w:tabs>
        <w:spacing w:before="4"/>
        <w:ind w:left="1668" w:right="0" w:hanging="222"/>
        <w:jc w:val="both"/>
        <w:rPr>
          <w:sz w:val="20"/>
        </w:rPr>
      </w:pPr>
      <w:r>
        <w:rPr>
          <w:sz w:val="20"/>
        </w:rPr>
        <w:t>El</w:t>
      </w:r>
      <w:r>
        <w:rPr>
          <w:spacing w:val="-7"/>
          <w:sz w:val="20"/>
        </w:rPr>
        <w:t xml:space="preserve"> </w:t>
      </w:r>
      <w:r>
        <w:rPr>
          <w:sz w:val="20"/>
        </w:rPr>
        <w:t>contrato</w:t>
      </w:r>
      <w:r>
        <w:rPr>
          <w:spacing w:val="-5"/>
          <w:sz w:val="20"/>
        </w:rPr>
        <w:t xml:space="preserve"> </w:t>
      </w:r>
      <w:r>
        <w:rPr>
          <w:sz w:val="20"/>
        </w:rPr>
        <w:t>podrá</w:t>
      </w:r>
      <w:r>
        <w:rPr>
          <w:spacing w:val="-4"/>
          <w:sz w:val="20"/>
        </w:rPr>
        <w:t xml:space="preserve"> </w:t>
      </w:r>
      <w:r>
        <w:rPr>
          <w:sz w:val="20"/>
        </w:rPr>
        <w:t>comprender,</w:t>
      </w:r>
      <w:r>
        <w:rPr>
          <w:spacing w:val="-5"/>
          <w:sz w:val="20"/>
        </w:rPr>
        <w:t xml:space="preserve"> </w:t>
      </w:r>
      <w:r>
        <w:rPr>
          <w:sz w:val="20"/>
        </w:rPr>
        <w:t>además,</w:t>
      </w:r>
      <w:r>
        <w:rPr>
          <w:spacing w:val="-4"/>
          <w:sz w:val="20"/>
        </w:rPr>
        <w:t xml:space="preserve"> </w:t>
      </w:r>
      <w:r>
        <w:rPr>
          <w:sz w:val="20"/>
        </w:rPr>
        <w:t>el</w:t>
      </w:r>
      <w:r>
        <w:rPr>
          <w:spacing w:val="-5"/>
          <w:sz w:val="20"/>
        </w:rPr>
        <w:t xml:space="preserve"> </w:t>
      </w:r>
      <w:r>
        <w:rPr>
          <w:sz w:val="20"/>
        </w:rPr>
        <w:t>siguiente</w:t>
      </w:r>
      <w:r>
        <w:rPr>
          <w:spacing w:val="-4"/>
          <w:sz w:val="20"/>
        </w:rPr>
        <w:t xml:space="preserve"> </w:t>
      </w:r>
      <w:r>
        <w:rPr>
          <w:spacing w:val="-2"/>
          <w:sz w:val="20"/>
        </w:rPr>
        <w:t>contenido:</w:t>
      </w:r>
    </w:p>
    <w:p w:rsidR="0092635B" w:rsidRDefault="0092635B">
      <w:pPr>
        <w:pStyle w:val="Prrafodelista"/>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341"/>
        </w:numPr>
        <w:tabs>
          <w:tab w:val="left" w:pos="1789"/>
        </w:tabs>
        <w:spacing w:before="1" w:line="249" w:lineRule="auto"/>
        <w:ind w:firstLine="340"/>
        <w:jc w:val="both"/>
        <w:rPr>
          <w:sz w:val="20"/>
        </w:rPr>
      </w:pPr>
      <w:r>
        <w:rPr>
          <w:sz w:val="20"/>
        </w:rPr>
        <w:t>La adecuación, reforma y modernización de la obra para adaptarla a las características técnicas y funcionales requeridas para la correcta prestación de los servicios</w:t>
      </w:r>
      <w:r>
        <w:rPr>
          <w:spacing w:val="40"/>
          <w:sz w:val="20"/>
        </w:rPr>
        <w:t xml:space="preserve"> </w:t>
      </w:r>
      <w:r>
        <w:rPr>
          <w:sz w:val="20"/>
        </w:rPr>
        <w:t>o la realización de las actividades económicas a las que sirve de soporte material.</w:t>
      </w:r>
    </w:p>
    <w:p w:rsidR="0092635B" w:rsidRDefault="00000000">
      <w:pPr>
        <w:pStyle w:val="Prrafodelista"/>
        <w:numPr>
          <w:ilvl w:val="1"/>
          <w:numId w:val="341"/>
        </w:numPr>
        <w:tabs>
          <w:tab w:val="left" w:pos="1700"/>
        </w:tabs>
        <w:spacing w:line="249" w:lineRule="auto"/>
        <w:ind w:firstLine="340"/>
        <w:jc w:val="both"/>
        <w:rPr>
          <w:sz w:val="20"/>
        </w:rPr>
      </w:pPr>
      <w:r>
        <w:rPr>
          <w:sz w:val="20"/>
        </w:rPr>
        <w:t>Las actuaciones de reposición y gran reparación que sean exigibles en relación con los elementos que ha de reunir cada una de las obras para mantenerse apta a fin de que los servicios y actividades a los que aquellas sirven puedan ser desarrollados adecuadamente de acuerdo con las exigencias económicas y las demandas sociales.</w:t>
      </w:r>
    </w:p>
    <w:p w:rsidR="0092635B" w:rsidRDefault="00000000">
      <w:pPr>
        <w:pStyle w:val="Prrafodelista"/>
        <w:numPr>
          <w:ilvl w:val="0"/>
          <w:numId w:val="341"/>
        </w:numPr>
        <w:tabs>
          <w:tab w:val="left" w:pos="1699"/>
        </w:tabs>
        <w:spacing w:before="123" w:line="249" w:lineRule="auto"/>
        <w:ind w:right="1102" w:firstLine="340"/>
        <w:jc w:val="both"/>
        <w:rPr>
          <w:sz w:val="20"/>
        </w:rPr>
      </w:pPr>
      <w:r>
        <w:rPr>
          <w:sz w:val="20"/>
        </w:rPr>
        <w:t>El contrato de concesión de obras podrá también prever que el concesionario esté obligado a proyectar, ejecutar, conservar, reponer y reparar aquellas obras que sean accesorias o estén vinculadas con la principal y que sean necesarias para que esta cumpla</w:t>
      </w:r>
      <w:r>
        <w:rPr>
          <w:spacing w:val="40"/>
          <w:sz w:val="20"/>
        </w:rPr>
        <w:t xml:space="preserve"> </w:t>
      </w:r>
      <w:r>
        <w:rPr>
          <w:sz w:val="20"/>
        </w:rPr>
        <w:t>la finalidad determinante de su construcción y que permitan su mejor funcionamiento y explotación, así como a efectuar las actuaciones ambientales relacionadas con las mismas que en ellos se prevean. En el supuesto de que las obras vinculadas o accesorias puedan ser objeto de explotación o aprovechamiento económico, estos corresponderán al concesionario conjuntamente con la explotación de la obra principal, en la forma</w:t>
      </w:r>
      <w:r>
        <w:rPr>
          <w:spacing w:val="80"/>
          <w:sz w:val="20"/>
        </w:rPr>
        <w:t xml:space="preserve"> </w:t>
      </w:r>
      <w:r>
        <w:rPr>
          <w:sz w:val="20"/>
        </w:rPr>
        <w:t>determinada por los pliegos respectivos.</w:t>
      </w:r>
    </w:p>
    <w:p w:rsidR="0092635B" w:rsidRDefault="00000000">
      <w:pPr>
        <w:pStyle w:val="Prrafodelista"/>
        <w:numPr>
          <w:ilvl w:val="0"/>
          <w:numId w:val="341"/>
        </w:numPr>
        <w:tabs>
          <w:tab w:val="left" w:pos="1684"/>
        </w:tabs>
        <w:spacing w:before="8" w:line="249" w:lineRule="auto"/>
        <w:ind w:right="1104" w:firstLine="340"/>
        <w:jc w:val="both"/>
        <w:rPr>
          <w:sz w:val="20"/>
        </w:rPr>
      </w:pPr>
      <w:r>
        <w:rPr>
          <w:sz w:val="20"/>
        </w:rPr>
        <w:t>El derecho de explotación de las obras, a que se refiere el apartado primero de este artículo, deberá implicar la transferencia al concesionario de un riesgo operacional en la explotación de dichas obras abarcando el riesgo de demanda o el de suministro, o ambos.</w:t>
      </w:r>
      <w:r>
        <w:rPr>
          <w:spacing w:val="40"/>
          <w:sz w:val="20"/>
        </w:rPr>
        <w:t xml:space="preserve"> </w:t>
      </w:r>
      <w:r>
        <w:rPr>
          <w:sz w:val="20"/>
        </w:rPr>
        <w:t>Se entiende por riesgo de demanda el que se debe a la demanda real de las obras o servicios objeto del contrato y riesgo de suministro el relativo al suministro de las obras o servicios objeto del contrato, en particular el riesgo de que la prestación de los servicios no se ajuste a la demanda.</w:t>
      </w:r>
    </w:p>
    <w:p w:rsidR="0092635B" w:rsidRDefault="00000000">
      <w:pPr>
        <w:pStyle w:val="Textoindependiente"/>
        <w:spacing w:before="6" w:line="249" w:lineRule="auto"/>
        <w:ind w:right="1103"/>
      </w:pPr>
      <w:r>
        <w:t>Se considerará que el concesionario asume un riesgo operacional cuando no esté garantizado que, en condiciones normales de funcionamiento, el mismo vaya a recuperar las inversiones realizadas ni a cubrir los costes en que hubiera incurrido como consecuencia de la explotación de las obras que sean objeto de la concesión. La parte de los riesgos transferidos al concesionario debe suponer una exposición real a las incertidumbres del mercado que implique que cualquier pérdida potencial estimada en que incurra el concesionario no es meramente nominal o desdeñable.</w:t>
      </w:r>
    </w:p>
    <w:p w:rsidR="0092635B" w:rsidRDefault="0092635B">
      <w:pPr>
        <w:pStyle w:val="Textoindependiente"/>
        <w:ind w:left="0" w:firstLine="0"/>
        <w:jc w:val="left"/>
      </w:pPr>
    </w:p>
    <w:p w:rsidR="0092635B" w:rsidRDefault="00000000">
      <w:pPr>
        <w:ind w:left="1106"/>
        <w:rPr>
          <w:rFonts w:ascii="Arial" w:hAnsi="Arial"/>
          <w:i/>
          <w:sz w:val="20"/>
        </w:rPr>
      </w:pPr>
      <w:bookmarkStart w:id="29" w:name="Artículo_15._Contrato_de_concesión_de_se"/>
      <w:bookmarkEnd w:id="29"/>
      <w:r>
        <w:rPr>
          <w:rFonts w:ascii="Arial" w:hAnsi="Arial"/>
          <w:b/>
          <w:sz w:val="20"/>
        </w:rPr>
        <w:t>Artículo</w:t>
      </w:r>
      <w:r>
        <w:rPr>
          <w:rFonts w:ascii="Arial" w:hAnsi="Arial"/>
          <w:b/>
          <w:spacing w:val="-5"/>
          <w:sz w:val="20"/>
        </w:rPr>
        <w:t xml:space="preserve"> </w:t>
      </w:r>
      <w:r>
        <w:rPr>
          <w:rFonts w:ascii="Arial" w:hAnsi="Arial"/>
          <w:b/>
          <w:sz w:val="20"/>
        </w:rPr>
        <w:t>15.</w:t>
      </w:r>
      <w:r>
        <w:rPr>
          <w:rFonts w:ascii="Arial" w:hAnsi="Arial"/>
          <w:b/>
          <w:spacing w:val="49"/>
          <w:sz w:val="20"/>
        </w:rPr>
        <w:t xml:space="preserve"> </w:t>
      </w:r>
      <w:r>
        <w:rPr>
          <w:rFonts w:ascii="Arial" w:hAnsi="Arial"/>
          <w:i/>
          <w:sz w:val="20"/>
        </w:rPr>
        <w:t>Contrato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concesión</w:t>
      </w:r>
      <w:r>
        <w:rPr>
          <w:rFonts w:ascii="Arial" w:hAnsi="Arial"/>
          <w:i/>
          <w:spacing w:val="-2"/>
          <w:sz w:val="20"/>
        </w:rPr>
        <w:t xml:space="preserve"> </w:t>
      </w:r>
      <w:r>
        <w:rPr>
          <w:rFonts w:ascii="Arial" w:hAnsi="Arial"/>
          <w:i/>
          <w:sz w:val="20"/>
        </w:rPr>
        <w:t>de</w:t>
      </w:r>
      <w:r>
        <w:rPr>
          <w:rFonts w:ascii="Arial" w:hAnsi="Arial"/>
          <w:i/>
          <w:spacing w:val="-2"/>
          <w:sz w:val="20"/>
        </w:rPr>
        <w:t xml:space="preserve"> servicios.</w:t>
      </w:r>
    </w:p>
    <w:p w:rsidR="0092635B" w:rsidRDefault="00000000">
      <w:pPr>
        <w:pStyle w:val="Prrafodelista"/>
        <w:numPr>
          <w:ilvl w:val="0"/>
          <w:numId w:val="340"/>
        </w:numPr>
        <w:tabs>
          <w:tab w:val="left" w:pos="1693"/>
        </w:tabs>
        <w:spacing w:before="123" w:line="249" w:lineRule="auto"/>
        <w:ind w:right="1104" w:firstLine="340"/>
        <w:jc w:val="both"/>
        <w:rPr>
          <w:sz w:val="20"/>
        </w:rPr>
      </w:pPr>
      <w:r>
        <w:rPr>
          <w:sz w:val="20"/>
        </w:rPr>
        <w:t>El contrato de concesión de servicios es aquel en cuya virtud uno o varios poderes adjudicadores encomiendan a título oneroso a una o varias personas, naturales o jurídicas,</w:t>
      </w:r>
      <w:r>
        <w:rPr>
          <w:spacing w:val="40"/>
          <w:sz w:val="20"/>
        </w:rPr>
        <w:t xml:space="preserve"> </w:t>
      </w:r>
      <w:r>
        <w:rPr>
          <w:sz w:val="20"/>
        </w:rPr>
        <w:t>la gestión de un servicio cuya prestación sea de su titularidad o competencia, y cuya contrapartida venga constituida bien por el derecho a explotar los servicios objeto del contrato o bien por dicho derecho acompañado del de percibir un precio.</w:t>
      </w:r>
    </w:p>
    <w:p w:rsidR="0092635B" w:rsidRDefault="00000000">
      <w:pPr>
        <w:pStyle w:val="Prrafodelista"/>
        <w:numPr>
          <w:ilvl w:val="0"/>
          <w:numId w:val="340"/>
        </w:numPr>
        <w:tabs>
          <w:tab w:val="left" w:pos="1685"/>
        </w:tabs>
        <w:spacing w:before="5" w:line="249" w:lineRule="auto"/>
        <w:ind w:right="1105" w:firstLine="340"/>
        <w:jc w:val="both"/>
        <w:rPr>
          <w:sz w:val="20"/>
        </w:rPr>
      </w:pPr>
      <w:r>
        <w:rPr>
          <w:sz w:val="20"/>
        </w:rPr>
        <w:t>El derecho de explotación de los servicios implicará la transferencia al concesionario del riesgo operacional, en los términos señalados en el apartado cuarto del artículo anterior.</w:t>
      </w:r>
    </w:p>
    <w:p w:rsidR="0092635B" w:rsidRDefault="00000000">
      <w:pPr>
        <w:spacing w:before="228"/>
        <w:ind w:left="1106"/>
        <w:rPr>
          <w:rFonts w:ascii="Arial" w:hAnsi="Arial"/>
          <w:i/>
          <w:sz w:val="20"/>
        </w:rPr>
      </w:pPr>
      <w:bookmarkStart w:id="30" w:name="Artículo_16._Contrato_de_suministro."/>
      <w:bookmarkEnd w:id="30"/>
      <w:r>
        <w:rPr>
          <w:rFonts w:ascii="Arial" w:hAnsi="Arial"/>
          <w:b/>
          <w:sz w:val="20"/>
        </w:rPr>
        <w:t>Artículo</w:t>
      </w:r>
      <w:r>
        <w:rPr>
          <w:rFonts w:ascii="Arial" w:hAnsi="Arial"/>
          <w:b/>
          <w:spacing w:val="-2"/>
          <w:sz w:val="20"/>
        </w:rPr>
        <w:t xml:space="preserve"> </w:t>
      </w:r>
      <w:r>
        <w:rPr>
          <w:rFonts w:ascii="Arial" w:hAnsi="Arial"/>
          <w:b/>
          <w:sz w:val="20"/>
        </w:rPr>
        <w:t>16.</w:t>
      </w:r>
      <w:r>
        <w:rPr>
          <w:rFonts w:ascii="Arial" w:hAnsi="Arial"/>
          <w:b/>
          <w:spacing w:val="51"/>
          <w:sz w:val="20"/>
        </w:rPr>
        <w:t xml:space="preserve"> </w:t>
      </w:r>
      <w:r>
        <w:rPr>
          <w:rFonts w:ascii="Arial" w:hAnsi="Arial"/>
          <w:i/>
          <w:sz w:val="20"/>
        </w:rPr>
        <w:t>Contrato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suministro.</w:t>
      </w:r>
    </w:p>
    <w:p w:rsidR="0092635B" w:rsidRDefault="00000000">
      <w:pPr>
        <w:pStyle w:val="Prrafodelista"/>
        <w:numPr>
          <w:ilvl w:val="0"/>
          <w:numId w:val="339"/>
        </w:numPr>
        <w:tabs>
          <w:tab w:val="left" w:pos="1676"/>
        </w:tabs>
        <w:spacing w:before="123" w:line="249" w:lineRule="auto"/>
        <w:ind w:right="1105" w:firstLine="340"/>
        <w:jc w:val="both"/>
        <w:rPr>
          <w:sz w:val="20"/>
        </w:rPr>
      </w:pPr>
      <w:r>
        <w:rPr>
          <w:sz w:val="20"/>
        </w:rPr>
        <w:t>Son contratos de suministro los que tienen por objeto la adquisición, el arrendamiento financiero, o el arrendamiento, con o sin opción de compra, de productos o bienes muebles.</w:t>
      </w:r>
    </w:p>
    <w:p w:rsidR="0092635B" w:rsidRDefault="00000000">
      <w:pPr>
        <w:pStyle w:val="Prrafodelista"/>
        <w:numPr>
          <w:ilvl w:val="0"/>
          <w:numId w:val="339"/>
        </w:numPr>
        <w:tabs>
          <w:tab w:val="left" w:pos="1679"/>
        </w:tabs>
        <w:spacing w:line="249" w:lineRule="auto"/>
        <w:ind w:right="1104" w:firstLine="340"/>
        <w:jc w:val="both"/>
        <w:rPr>
          <w:sz w:val="20"/>
        </w:rPr>
      </w:pPr>
      <w:r>
        <w:rPr>
          <w:sz w:val="20"/>
        </w:rPr>
        <w:t xml:space="preserve">Sin perjuicio de lo dispuesto en la letra b) del apartado 3 de este artículo respecto de los contratos que tengan por objeto programas de ordenador, no tendrán la consideración de contrato de suministro los contratos relativos a propiedades incorporales o valores </w:t>
      </w:r>
      <w:r>
        <w:rPr>
          <w:spacing w:val="-2"/>
          <w:sz w:val="20"/>
        </w:rPr>
        <w:t>negociables.</w:t>
      </w:r>
    </w:p>
    <w:p w:rsidR="0092635B" w:rsidRDefault="00000000">
      <w:pPr>
        <w:pStyle w:val="Prrafodelista"/>
        <w:numPr>
          <w:ilvl w:val="0"/>
          <w:numId w:val="339"/>
        </w:numPr>
        <w:tabs>
          <w:tab w:val="left" w:pos="1668"/>
        </w:tabs>
        <w:spacing w:before="3"/>
        <w:ind w:left="1668" w:right="0" w:hanging="222"/>
        <w:jc w:val="both"/>
        <w:rPr>
          <w:sz w:val="20"/>
        </w:rPr>
      </w:pPr>
      <w:r>
        <w:rPr>
          <w:sz w:val="20"/>
        </w:rPr>
        <w:t>En</w:t>
      </w:r>
      <w:r>
        <w:rPr>
          <w:spacing w:val="-3"/>
          <w:sz w:val="20"/>
        </w:rPr>
        <w:t xml:space="preserve"> </w:t>
      </w:r>
      <w:r>
        <w:rPr>
          <w:sz w:val="20"/>
        </w:rPr>
        <w:t>todo</w:t>
      </w:r>
      <w:r>
        <w:rPr>
          <w:spacing w:val="-3"/>
          <w:sz w:val="20"/>
        </w:rPr>
        <w:t xml:space="preserve"> </w:t>
      </w:r>
      <w:r>
        <w:rPr>
          <w:sz w:val="20"/>
        </w:rPr>
        <w:t>caso,</w:t>
      </w:r>
      <w:r>
        <w:rPr>
          <w:spacing w:val="-3"/>
          <w:sz w:val="20"/>
        </w:rPr>
        <w:t xml:space="preserve"> </w:t>
      </w:r>
      <w:r>
        <w:rPr>
          <w:sz w:val="20"/>
        </w:rPr>
        <w:t>se</w:t>
      </w:r>
      <w:r>
        <w:rPr>
          <w:spacing w:val="-3"/>
          <w:sz w:val="20"/>
        </w:rPr>
        <w:t xml:space="preserve"> </w:t>
      </w:r>
      <w:r>
        <w:rPr>
          <w:sz w:val="20"/>
        </w:rPr>
        <w:t>considerarán</w:t>
      </w:r>
      <w:r>
        <w:rPr>
          <w:spacing w:val="-3"/>
          <w:sz w:val="20"/>
        </w:rPr>
        <w:t xml:space="preserve"> </w:t>
      </w:r>
      <w:r>
        <w:rPr>
          <w:sz w:val="20"/>
        </w:rPr>
        <w:t>contratos</w:t>
      </w:r>
      <w:r>
        <w:rPr>
          <w:spacing w:val="-3"/>
          <w:sz w:val="20"/>
        </w:rPr>
        <w:t xml:space="preserve"> </w:t>
      </w:r>
      <w:r>
        <w:rPr>
          <w:sz w:val="20"/>
        </w:rPr>
        <w:t>de</w:t>
      </w:r>
      <w:r>
        <w:rPr>
          <w:spacing w:val="-3"/>
          <w:sz w:val="20"/>
        </w:rPr>
        <w:t xml:space="preserve"> </w:t>
      </w:r>
      <w:r>
        <w:rPr>
          <w:sz w:val="20"/>
        </w:rPr>
        <w:t>suministro</w:t>
      </w:r>
      <w:r>
        <w:rPr>
          <w:spacing w:val="-3"/>
          <w:sz w:val="20"/>
        </w:rPr>
        <w:t xml:space="preserve"> </w:t>
      </w:r>
      <w:r>
        <w:rPr>
          <w:sz w:val="20"/>
        </w:rPr>
        <w:t>los</w:t>
      </w:r>
      <w:r>
        <w:rPr>
          <w:spacing w:val="-2"/>
          <w:sz w:val="20"/>
        </w:rPr>
        <w:t xml:space="preserve"> siguientes:</w:t>
      </w:r>
    </w:p>
    <w:p w:rsidR="0092635B" w:rsidRDefault="00000000">
      <w:pPr>
        <w:pStyle w:val="Prrafodelista"/>
        <w:numPr>
          <w:ilvl w:val="1"/>
          <w:numId w:val="339"/>
        </w:numPr>
        <w:tabs>
          <w:tab w:val="left" w:pos="1695"/>
        </w:tabs>
        <w:spacing w:before="130" w:line="249" w:lineRule="auto"/>
        <w:ind w:right="1104" w:firstLine="340"/>
        <w:jc w:val="both"/>
        <w:rPr>
          <w:sz w:val="20"/>
        </w:rPr>
      </w:pPr>
      <w:r>
        <w:rPr>
          <w:sz w:val="20"/>
        </w:rPr>
        <w:t>Aquellos en los que el empresario se obligue a entregar una pluralidad de bienes de forma sucesiva y por precio unitario sin que la cuantía total se defina con exactitud al tiempo de celebrar el contrato, por estar subordinadas las entregas a las necesidades del</w:t>
      </w:r>
      <w:r>
        <w:rPr>
          <w:spacing w:val="40"/>
          <w:sz w:val="20"/>
        </w:rPr>
        <w:t xml:space="preserve"> </w:t>
      </w:r>
      <w:r>
        <w:rPr>
          <w:spacing w:val="-2"/>
          <w:sz w:val="20"/>
        </w:rPr>
        <w:t>adquirente.</w:t>
      </w:r>
    </w:p>
    <w:p w:rsidR="0092635B" w:rsidRDefault="00000000">
      <w:pPr>
        <w:pStyle w:val="Prrafodelista"/>
        <w:numPr>
          <w:ilvl w:val="1"/>
          <w:numId w:val="339"/>
        </w:numPr>
        <w:tabs>
          <w:tab w:val="left" w:pos="1684"/>
        </w:tabs>
        <w:spacing w:before="4" w:line="249" w:lineRule="auto"/>
        <w:ind w:right="1102" w:firstLine="340"/>
        <w:jc w:val="both"/>
        <w:rPr>
          <w:sz w:val="20"/>
        </w:rPr>
      </w:pPr>
      <w:r>
        <w:rPr>
          <w:sz w:val="20"/>
        </w:rPr>
        <w:t>Los que tengan por objeto la adquisición y el arrendamiento de equipos y sistemas de telecomunicaciones o para el tratamiento de la información, sus dispositivos y programas, y la cesión del derecho de uso de estos últimos, en cualquiera de sus modalidades de puesta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pPr>
      <w:r>
        <w:t>a disposición, a excepción de los contratos de adquisición de programas de ordenador desarrollados a medida, que se considerarán contratos de servicios.</w:t>
      </w:r>
    </w:p>
    <w:p w:rsidR="0092635B" w:rsidRDefault="00000000">
      <w:pPr>
        <w:pStyle w:val="Prrafodelista"/>
        <w:numPr>
          <w:ilvl w:val="1"/>
          <w:numId w:val="339"/>
        </w:numPr>
        <w:tabs>
          <w:tab w:val="left" w:pos="1688"/>
        </w:tabs>
        <w:spacing w:before="1" w:line="249" w:lineRule="auto"/>
        <w:ind w:right="1104" w:firstLine="340"/>
        <w:jc w:val="both"/>
        <w:rPr>
          <w:sz w:val="20"/>
        </w:rPr>
      </w:pPr>
      <w:r>
        <w:rPr>
          <w:sz w:val="20"/>
        </w:rPr>
        <w:t>Los de fabricación, por los que la cosa o cosas que hayan de ser entregadas por el empresario deban ser elaboradas con arreglo a características peculiares fijadas</w:t>
      </w:r>
      <w:r>
        <w:rPr>
          <w:spacing w:val="40"/>
          <w:sz w:val="20"/>
        </w:rPr>
        <w:t xml:space="preserve"> </w:t>
      </w:r>
      <w:r>
        <w:rPr>
          <w:sz w:val="20"/>
        </w:rPr>
        <w:t>previamente por la entidad contratante, aun cuando esta se obligue a aportar, total o parcialmente, los materiales precisos.</w:t>
      </w:r>
    </w:p>
    <w:p w:rsidR="0092635B" w:rsidRDefault="00000000">
      <w:pPr>
        <w:pStyle w:val="Prrafodelista"/>
        <w:numPr>
          <w:ilvl w:val="1"/>
          <w:numId w:val="339"/>
        </w:numPr>
        <w:tabs>
          <w:tab w:val="left" w:pos="1679"/>
        </w:tabs>
        <w:spacing w:before="4"/>
        <w:ind w:left="1679" w:right="0" w:hanging="233"/>
        <w:jc w:val="both"/>
        <w:rPr>
          <w:sz w:val="20"/>
        </w:rPr>
      </w:pPr>
      <w:r>
        <w:rPr>
          <w:sz w:val="20"/>
        </w:rPr>
        <w:t>Los</w:t>
      </w:r>
      <w:r>
        <w:rPr>
          <w:spacing w:val="-6"/>
          <w:sz w:val="20"/>
        </w:rPr>
        <w:t xml:space="preserve"> </w:t>
      </w:r>
      <w:r>
        <w:rPr>
          <w:sz w:val="20"/>
        </w:rPr>
        <w:t>que</w:t>
      </w:r>
      <w:r>
        <w:rPr>
          <w:spacing w:val="-4"/>
          <w:sz w:val="20"/>
        </w:rPr>
        <w:t xml:space="preserve"> </w:t>
      </w:r>
      <w:r>
        <w:rPr>
          <w:sz w:val="20"/>
        </w:rPr>
        <w:t>tengan</w:t>
      </w:r>
      <w:r>
        <w:rPr>
          <w:spacing w:val="-3"/>
          <w:sz w:val="20"/>
        </w:rPr>
        <w:t xml:space="preserve"> </w:t>
      </w:r>
      <w:r>
        <w:rPr>
          <w:sz w:val="20"/>
        </w:rPr>
        <w:t>por</w:t>
      </w:r>
      <w:r>
        <w:rPr>
          <w:spacing w:val="-4"/>
          <w:sz w:val="20"/>
        </w:rPr>
        <w:t xml:space="preserve"> </w:t>
      </w:r>
      <w:r>
        <w:rPr>
          <w:sz w:val="20"/>
        </w:rPr>
        <w:t>objeto</w:t>
      </w:r>
      <w:r>
        <w:rPr>
          <w:spacing w:val="-3"/>
          <w:sz w:val="20"/>
        </w:rPr>
        <w:t xml:space="preserve"> </w:t>
      </w:r>
      <w:r>
        <w:rPr>
          <w:sz w:val="20"/>
        </w:rPr>
        <w:t>la</w:t>
      </w:r>
      <w:r>
        <w:rPr>
          <w:spacing w:val="-4"/>
          <w:sz w:val="20"/>
        </w:rPr>
        <w:t xml:space="preserve"> </w:t>
      </w:r>
      <w:r>
        <w:rPr>
          <w:sz w:val="20"/>
        </w:rPr>
        <w:t>adquisición</w:t>
      </w:r>
      <w:r>
        <w:rPr>
          <w:spacing w:val="-4"/>
          <w:sz w:val="20"/>
        </w:rPr>
        <w:t xml:space="preserve"> </w:t>
      </w:r>
      <w:r>
        <w:rPr>
          <w:sz w:val="20"/>
        </w:rPr>
        <w:t>de</w:t>
      </w:r>
      <w:r>
        <w:rPr>
          <w:spacing w:val="-3"/>
          <w:sz w:val="20"/>
        </w:rPr>
        <w:t xml:space="preserve"> </w:t>
      </w:r>
      <w:r>
        <w:rPr>
          <w:sz w:val="20"/>
        </w:rPr>
        <w:t>energía</w:t>
      </w:r>
      <w:r>
        <w:rPr>
          <w:spacing w:val="-4"/>
          <w:sz w:val="20"/>
        </w:rPr>
        <w:t xml:space="preserve"> </w:t>
      </w:r>
      <w:r>
        <w:rPr>
          <w:sz w:val="20"/>
        </w:rPr>
        <w:t>primaria</w:t>
      </w:r>
      <w:r>
        <w:rPr>
          <w:spacing w:val="-3"/>
          <w:sz w:val="20"/>
        </w:rPr>
        <w:t xml:space="preserve"> </w:t>
      </w:r>
      <w:r>
        <w:rPr>
          <w:sz w:val="20"/>
        </w:rPr>
        <w:t>o</w:t>
      </w:r>
      <w:r>
        <w:rPr>
          <w:spacing w:val="-4"/>
          <w:sz w:val="20"/>
        </w:rPr>
        <w:t xml:space="preserve"> </w:t>
      </w:r>
      <w:r>
        <w:rPr>
          <w:sz w:val="20"/>
        </w:rPr>
        <w:t>energía</w:t>
      </w:r>
      <w:r>
        <w:rPr>
          <w:spacing w:val="-3"/>
          <w:sz w:val="20"/>
        </w:rPr>
        <w:t xml:space="preserve"> </w:t>
      </w:r>
      <w:r>
        <w:rPr>
          <w:spacing w:val="-2"/>
          <w:sz w:val="20"/>
        </w:rPr>
        <w:t>transformada.</w:t>
      </w:r>
    </w:p>
    <w:p w:rsidR="0092635B" w:rsidRDefault="0092635B">
      <w:pPr>
        <w:pStyle w:val="Textoindependiente"/>
        <w:spacing w:before="6"/>
        <w:ind w:left="0" w:firstLine="0"/>
        <w:jc w:val="left"/>
      </w:pPr>
    </w:p>
    <w:p w:rsidR="0092635B" w:rsidRDefault="00000000">
      <w:pPr>
        <w:ind w:left="1106"/>
        <w:jc w:val="both"/>
        <w:rPr>
          <w:rFonts w:ascii="Arial" w:hAnsi="Arial"/>
          <w:i/>
          <w:sz w:val="20"/>
        </w:rPr>
      </w:pPr>
      <w:bookmarkStart w:id="31" w:name="Artículo_17._Contrato_de_servicios."/>
      <w:bookmarkEnd w:id="31"/>
      <w:r>
        <w:rPr>
          <w:rFonts w:ascii="Arial" w:hAnsi="Arial"/>
          <w:b/>
          <w:sz w:val="20"/>
        </w:rPr>
        <w:t>Artículo</w:t>
      </w:r>
      <w:r>
        <w:rPr>
          <w:rFonts w:ascii="Arial" w:hAnsi="Arial"/>
          <w:b/>
          <w:spacing w:val="-2"/>
          <w:sz w:val="20"/>
        </w:rPr>
        <w:t xml:space="preserve"> </w:t>
      </w:r>
      <w:r>
        <w:rPr>
          <w:rFonts w:ascii="Arial" w:hAnsi="Arial"/>
          <w:b/>
          <w:sz w:val="20"/>
        </w:rPr>
        <w:t>17.</w:t>
      </w:r>
      <w:r>
        <w:rPr>
          <w:rFonts w:ascii="Arial" w:hAnsi="Arial"/>
          <w:b/>
          <w:spacing w:val="51"/>
          <w:sz w:val="20"/>
        </w:rPr>
        <w:t xml:space="preserve"> </w:t>
      </w:r>
      <w:r>
        <w:rPr>
          <w:rFonts w:ascii="Arial" w:hAnsi="Arial"/>
          <w:i/>
          <w:sz w:val="20"/>
        </w:rPr>
        <w:t>Contrato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servicios.</w:t>
      </w:r>
    </w:p>
    <w:p w:rsidR="0092635B" w:rsidRDefault="00000000">
      <w:pPr>
        <w:pStyle w:val="Textoindependiente"/>
        <w:spacing w:before="124" w:line="249" w:lineRule="auto"/>
        <w:ind w:right="1104"/>
      </w:pPr>
      <w:r>
        <w:t>Son contratos de servicios aquellos cuyo objeto son prestaciones de hacer consistentes en el desarrollo de una actividad o dirigidas a la obtención de un resultado distinto de una obra o suministro, incluyendo aquellos en que el adjudicatario se obligue a ejecutar el</w:t>
      </w:r>
      <w:r>
        <w:rPr>
          <w:spacing w:val="40"/>
        </w:rPr>
        <w:t xml:space="preserve"> </w:t>
      </w:r>
      <w:r>
        <w:t>servicio de forma sucesiva y por precio unitario.</w:t>
      </w:r>
    </w:p>
    <w:p w:rsidR="0092635B" w:rsidRDefault="00000000">
      <w:pPr>
        <w:pStyle w:val="Textoindependiente"/>
        <w:spacing w:before="3" w:line="249" w:lineRule="auto"/>
        <w:ind w:right="1105"/>
      </w:pPr>
      <w:r>
        <w:t>No podrán ser objeto de estos contratos los servicios que impliquen ejercicio de la autoridad inherente a los poderes públicos.</w:t>
      </w:r>
    </w:p>
    <w:p w:rsidR="0092635B" w:rsidRDefault="00000000">
      <w:pPr>
        <w:spacing w:before="228"/>
        <w:ind w:left="1106"/>
        <w:jc w:val="both"/>
        <w:rPr>
          <w:rFonts w:ascii="Arial" w:hAnsi="Arial"/>
          <w:i/>
          <w:sz w:val="20"/>
        </w:rPr>
      </w:pPr>
      <w:bookmarkStart w:id="32" w:name="Artículo_18._Contratos_mixtos."/>
      <w:bookmarkEnd w:id="32"/>
      <w:r>
        <w:rPr>
          <w:rFonts w:ascii="Arial" w:hAnsi="Arial"/>
          <w:b/>
          <w:sz w:val="20"/>
        </w:rPr>
        <w:t>Artículo 18.</w:t>
      </w:r>
      <w:r>
        <w:rPr>
          <w:rFonts w:ascii="Arial" w:hAnsi="Arial"/>
          <w:b/>
          <w:spacing w:val="54"/>
          <w:sz w:val="20"/>
        </w:rPr>
        <w:t xml:space="preserve"> </w:t>
      </w:r>
      <w:r>
        <w:rPr>
          <w:rFonts w:ascii="Arial" w:hAnsi="Arial"/>
          <w:i/>
          <w:sz w:val="20"/>
        </w:rPr>
        <w:t xml:space="preserve">Contratos </w:t>
      </w:r>
      <w:r>
        <w:rPr>
          <w:rFonts w:ascii="Arial" w:hAnsi="Arial"/>
          <w:i/>
          <w:spacing w:val="-2"/>
          <w:sz w:val="20"/>
        </w:rPr>
        <w:t>mixtos.</w:t>
      </w:r>
    </w:p>
    <w:p w:rsidR="0092635B" w:rsidRDefault="00000000">
      <w:pPr>
        <w:pStyle w:val="Prrafodelista"/>
        <w:numPr>
          <w:ilvl w:val="0"/>
          <w:numId w:val="338"/>
        </w:numPr>
        <w:tabs>
          <w:tab w:val="left" w:pos="1677"/>
        </w:tabs>
        <w:spacing w:before="124" w:line="249" w:lineRule="auto"/>
        <w:ind w:right="1104" w:firstLine="340"/>
        <w:jc w:val="both"/>
        <w:rPr>
          <w:sz w:val="20"/>
        </w:rPr>
      </w:pPr>
      <w:r>
        <w:rPr>
          <w:sz w:val="20"/>
        </w:rPr>
        <w:t>Se entenderá por contrato mixto aquel que contenga prestaciones correspondientes a otro u otros de distinta clase.</w:t>
      </w:r>
    </w:p>
    <w:p w:rsidR="0092635B" w:rsidRDefault="00000000">
      <w:pPr>
        <w:pStyle w:val="Textoindependiente"/>
        <w:spacing w:line="249" w:lineRule="auto"/>
        <w:ind w:right="1105"/>
      </w:pPr>
      <w:r>
        <w:t>Únicamente podrán celebrarse contratos mixtos en las condiciones establecidas en el artículo 34.2 de la presente Ley.</w:t>
      </w:r>
    </w:p>
    <w:p w:rsidR="0092635B" w:rsidRDefault="00000000">
      <w:pPr>
        <w:pStyle w:val="Textoindependiente"/>
        <w:spacing w:before="1" w:line="249" w:lineRule="auto"/>
        <w:ind w:right="1104"/>
      </w:pPr>
      <w:r>
        <w:t>El régimen jurídico de la preparación y adjudicación de los contratos mixtos se determinará de conformidad con lo establecido en este artículo; y el de sus efectos, cumplimiento y extinción se determinará de acuerdo con lo dispuesto en el artículo 122.2.</w:t>
      </w:r>
    </w:p>
    <w:p w:rsidR="0092635B" w:rsidRDefault="00000000">
      <w:pPr>
        <w:pStyle w:val="Textoindependiente"/>
        <w:spacing w:before="3" w:line="249" w:lineRule="auto"/>
        <w:ind w:right="1105"/>
      </w:pPr>
      <w:r>
        <w:t>Para la determinación de las normas que regirán la adjudicación de los contratos mixtos cuyo</w:t>
      </w:r>
      <w:r>
        <w:rPr>
          <w:spacing w:val="-3"/>
        </w:rPr>
        <w:t xml:space="preserve"> </w:t>
      </w:r>
      <w:r>
        <w:t>objeto</w:t>
      </w:r>
      <w:r>
        <w:rPr>
          <w:spacing w:val="-3"/>
        </w:rPr>
        <w:t xml:space="preserve"> </w:t>
      </w:r>
      <w:r>
        <w:t>contenga</w:t>
      </w:r>
      <w:r>
        <w:rPr>
          <w:spacing w:val="-3"/>
        </w:rPr>
        <w:t xml:space="preserve"> </w:t>
      </w:r>
      <w:r>
        <w:t>prestaciones</w:t>
      </w:r>
      <w:r>
        <w:rPr>
          <w:spacing w:val="-3"/>
        </w:rPr>
        <w:t xml:space="preserve"> </w:t>
      </w:r>
      <w:r>
        <w:t>de</w:t>
      </w:r>
      <w:r>
        <w:rPr>
          <w:spacing w:val="-3"/>
        </w:rPr>
        <w:t xml:space="preserve"> </w:t>
      </w:r>
      <w:r>
        <w:t>varios</w:t>
      </w:r>
      <w:r>
        <w:rPr>
          <w:spacing w:val="-3"/>
        </w:rPr>
        <w:t xml:space="preserve"> </w:t>
      </w:r>
      <w:r>
        <w:t>contratos</w:t>
      </w:r>
      <w:r>
        <w:rPr>
          <w:spacing w:val="-3"/>
        </w:rPr>
        <w:t xml:space="preserve"> </w:t>
      </w:r>
      <w:r>
        <w:t>regulados</w:t>
      </w:r>
      <w:r>
        <w:rPr>
          <w:spacing w:val="-3"/>
        </w:rPr>
        <w:t xml:space="preserve"> </w:t>
      </w:r>
      <w:r>
        <w:t>en</w:t>
      </w:r>
      <w:r>
        <w:rPr>
          <w:spacing w:val="-3"/>
        </w:rPr>
        <w:t xml:space="preserve"> </w:t>
      </w:r>
      <w:r>
        <w:t>esta</w:t>
      </w:r>
      <w:r>
        <w:rPr>
          <w:spacing w:val="-3"/>
        </w:rPr>
        <w:t xml:space="preserve"> </w:t>
      </w:r>
      <w:r>
        <w:t>Ley,</w:t>
      </w:r>
      <w:r>
        <w:rPr>
          <w:spacing w:val="-3"/>
        </w:rPr>
        <w:t xml:space="preserve"> </w:t>
      </w:r>
      <w:r>
        <w:t>se</w:t>
      </w:r>
      <w:r>
        <w:rPr>
          <w:spacing w:val="-3"/>
        </w:rPr>
        <w:t xml:space="preserve"> </w:t>
      </w:r>
      <w:r>
        <w:t>estará</w:t>
      </w:r>
      <w:r>
        <w:rPr>
          <w:spacing w:val="-3"/>
        </w:rPr>
        <w:t xml:space="preserve"> </w:t>
      </w:r>
      <w:r>
        <w:t>a</w:t>
      </w:r>
      <w:r>
        <w:rPr>
          <w:spacing w:val="-3"/>
        </w:rPr>
        <w:t xml:space="preserve"> </w:t>
      </w:r>
      <w:r>
        <w:t>las siguientes reglas:</w:t>
      </w:r>
    </w:p>
    <w:p w:rsidR="0092635B" w:rsidRDefault="00000000">
      <w:pPr>
        <w:pStyle w:val="Prrafodelista"/>
        <w:numPr>
          <w:ilvl w:val="1"/>
          <w:numId w:val="338"/>
        </w:numPr>
        <w:tabs>
          <w:tab w:val="left" w:pos="1682"/>
        </w:tabs>
        <w:spacing w:before="122" w:line="249" w:lineRule="auto"/>
        <w:ind w:right="1104" w:firstLine="340"/>
        <w:jc w:val="both"/>
        <w:rPr>
          <w:sz w:val="20"/>
        </w:rPr>
      </w:pPr>
      <w:r>
        <w:rPr>
          <w:sz w:val="20"/>
        </w:rPr>
        <w:t>Cuando un contrato mixto comprenda prestaciones propias de dos o más contratos de obras, suministros o servicios se atenderá al carácter de la prestación principal.</w:t>
      </w:r>
    </w:p>
    <w:p w:rsidR="0092635B" w:rsidRDefault="00000000">
      <w:pPr>
        <w:pStyle w:val="Textoindependiente"/>
        <w:spacing w:line="249" w:lineRule="auto"/>
        <w:ind w:right="1102"/>
      </w:pPr>
      <w:r>
        <w:t>En el caso de los contratos mixtos que comprendan en parte servicios especiales del anexo IV, y en parte otros servicios, o en el caso de los contratos mixtos compuestos en parte por servicios y en parte por suministros, el objeto principal se determinará en función</w:t>
      </w:r>
      <w:r>
        <w:rPr>
          <w:spacing w:val="40"/>
        </w:rPr>
        <w:t xml:space="preserve"> </w:t>
      </w:r>
      <w:r>
        <w:t>de cuál sea el mayor de los valores estimados de los respectivos servicios o suministros.</w:t>
      </w:r>
    </w:p>
    <w:p w:rsidR="0092635B" w:rsidRDefault="00000000">
      <w:pPr>
        <w:pStyle w:val="Prrafodelista"/>
        <w:numPr>
          <w:ilvl w:val="1"/>
          <w:numId w:val="338"/>
        </w:numPr>
        <w:tabs>
          <w:tab w:val="left" w:pos="1774"/>
        </w:tabs>
        <w:spacing w:before="3" w:line="249" w:lineRule="auto"/>
        <w:ind w:firstLine="340"/>
        <w:jc w:val="both"/>
        <w:rPr>
          <w:sz w:val="20"/>
        </w:rPr>
      </w:pPr>
      <w:r>
        <w:rPr>
          <w:sz w:val="20"/>
        </w:rPr>
        <w:t>Cuando el contrato mixto contenga prestaciones de los contratos de obras, suministros o servicios, por una parte, y contratos de concesiones de obra o concesiones de servicios, de otra, se actuará del siguiente modo:</w:t>
      </w:r>
    </w:p>
    <w:p w:rsidR="0092635B" w:rsidRDefault="00000000">
      <w:pPr>
        <w:pStyle w:val="Prrafodelista"/>
        <w:numPr>
          <w:ilvl w:val="2"/>
          <w:numId w:val="338"/>
        </w:numPr>
        <w:tabs>
          <w:tab w:val="left" w:pos="1610"/>
        </w:tabs>
        <w:spacing w:before="122" w:line="249" w:lineRule="auto"/>
        <w:ind w:firstLine="340"/>
        <w:jc w:val="both"/>
        <w:rPr>
          <w:sz w:val="20"/>
        </w:rPr>
      </w:pPr>
      <w:r>
        <w:rPr>
          <w:sz w:val="20"/>
        </w:rPr>
        <w:t>º Si las distintas prestaciones no son separables se atenderá al carácter de la prestación principal.</w:t>
      </w:r>
    </w:p>
    <w:p w:rsidR="0092635B" w:rsidRDefault="00000000">
      <w:pPr>
        <w:pStyle w:val="Prrafodelista"/>
        <w:numPr>
          <w:ilvl w:val="2"/>
          <w:numId w:val="338"/>
        </w:numPr>
        <w:tabs>
          <w:tab w:val="left" w:pos="1610"/>
        </w:tabs>
        <w:spacing w:line="249" w:lineRule="auto"/>
        <w:ind w:firstLine="340"/>
        <w:jc w:val="both"/>
        <w:rPr>
          <w:sz w:val="20"/>
        </w:rPr>
      </w:pPr>
      <w:r>
        <w:rPr>
          <w:sz w:val="20"/>
        </w:rPr>
        <w:t xml:space="preserve">º Si las distintas prestaciones son separables y se decide adjudicar un contrato único, se aplicarán las normas relativas a los contratos de obras, suministros o servicios cuando el valor estimado de las prestaciones correspondientes a estos contratos supere las cuantías establecidas en los artículos 20, 21 y 22 de la presente Ley, respectivamente. En otro caso, se aplicarán las normas relativas a los contratos de concesión de obras y concesión de </w:t>
      </w:r>
      <w:r>
        <w:rPr>
          <w:spacing w:val="-2"/>
          <w:sz w:val="20"/>
        </w:rPr>
        <w:t>servicios.</w:t>
      </w:r>
    </w:p>
    <w:p w:rsidR="0092635B" w:rsidRDefault="00000000">
      <w:pPr>
        <w:pStyle w:val="Prrafodelista"/>
        <w:numPr>
          <w:ilvl w:val="0"/>
          <w:numId w:val="337"/>
        </w:numPr>
        <w:tabs>
          <w:tab w:val="left" w:pos="1680"/>
        </w:tabs>
        <w:spacing w:before="125" w:line="249" w:lineRule="auto"/>
        <w:ind w:firstLine="340"/>
        <w:jc w:val="both"/>
        <w:rPr>
          <w:sz w:val="20"/>
        </w:rPr>
      </w:pPr>
      <w:r>
        <w:rPr>
          <w:sz w:val="20"/>
        </w:rPr>
        <w:t>Cuando el contrato mixto contemple prestaciones de contratos regulados en esta Ley con prestaciones de otros contratos distintos de los regulados en la misma, para determinar las normas aplicables a su adjudicación se atenderá a las siguientes reglas:</w:t>
      </w:r>
    </w:p>
    <w:p w:rsidR="0092635B" w:rsidRDefault="00000000">
      <w:pPr>
        <w:pStyle w:val="Prrafodelista"/>
        <w:numPr>
          <w:ilvl w:val="1"/>
          <w:numId w:val="337"/>
        </w:numPr>
        <w:tabs>
          <w:tab w:val="left" w:pos="1751"/>
        </w:tabs>
        <w:spacing w:before="122" w:line="249" w:lineRule="auto"/>
        <w:ind w:right="1105" w:firstLine="340"/>
        <w:jc w:val="both"/>
        <w:rPr>
          <w:sz w:val="20"/>
        </w:rPr>
      </w:pPr>
      <w:r>
        <w:rPr>
          <w:sz w:val="20"/>
        </w:rPr>
        <w:t>Si las distintas prestaciones no son separables se atenderá al carácter de la prestación principal.</w:t>
      </w:r>
    </w:p>
    <w:p w:rsidR="0092635B" w:rsidRDefault="00000000">
      <w:pPr>
        <w:pStyle w:val="Prrafodelista"/>
        <w:numPr>
          <w:ilvl w:val="1"/>
          <w:numId w:val="337"/>
        </w:numPr>
        <w:tabs>
          <w:tab w:val="left" w:pos="1686"/>
        </w:tabs>
        <w:spacing w:line="249" w:lineRule="auto"/>
        <w:ind w:right="1105" w:firstLine="340"/>
        <w:jc w:val="both"/>
        <w:rPr>
          <w:sz w:val="20"/>
        </w:rPr>
      </w:pPr>
      <w:r>
        <w:rPr>
          <w:sz w:val="20"/>
        </w:rPr>
        <w:t>Si las prestaciones son separables y se decide celebrar un único contrato, se aplicará lo dispuesto en esta Ley.</w:t>
      </w:r>
    </w:p>
    <w:p w:rsidR="0092635B" w:rsidRDefault="00000000">
      <w:pPr>
        <w:pStyle w:val="Prrafodelista"/>
        <w:numPr>
          <w:ilvl w:val="0"/>
          <w:numId w:val="337"/>
        </w:numPr>
        <w:tabs>
          <w:tab w:val="left" w:pos="1697"/>
        </w:tabs>
        <w:spacing w:before="122" w:line="249" w:lineRule="auto"/>
        <w:ind w:firstLine="340"/>
        <w:jc w:val="both"/>
        <w:rPr>
          <w:sz w:val="20"/>
        </w:rPr>
      </w:pPr>
      <w:r>
        <w:rPr>
          <w:sz w:val="20"/>
        </w:rPr>
        <w:t>No obstante lo establecido en el apartado 1, en los casos en que un elemento del contrato</w:t>
      </w:r>
      <w:r>
        <w:rPr>
          <w:spacing w:val="-2"/>
          <w:sz w:val="20"/>
        </w:rPr>
        <w:t xml:space="preserve"> </w:t>
      </w:r>
      <w:r>
        <w:rPr>
          <w:sz w:val="20"/>
        </w:rPr>
        <w:t>mixto</w:t>
      </w:r>
      <w:r>
        <w:rPr>
          <w:spacing w:val="-2"/>
          <w:sz w:val="20"/>
        </w:rPr>
        <w:t xml:space="preserve"> </w:t>
      </w:r>
      <w:r>
        <w:rPr>
          <w:sz w:val="20"/>
        </w:rPr>
        <w:t>sea</w:t>
      </w:r>
      <w:r>
        <w:rPr>
          <w:spacing w:val="-2"/>
          <w:sz w:val="20"/>
        </w:rPr>
        <w:t xml:space="preserve"> </w:t>
      </w:r>
      <w:r>
        <w:rPr>
          <w:sz w:val="20"/>
        </w:rPr>
        <w:t>una</w:t>
      </w:r>
      <w:r>
        <w:rPr>
          <w:spacing w:val="-2"/>
          <w:sz w:val="20"/>
        </w:rPr>
        <w:t xml:space="preserve"> </w:t>
      </w:r>
      <w:r>
        <w:rPr>
          <w:sz w:val="20"/>
        </w:rPr>
        <w:t>obra</w:t>
      </w:r>
      <w:r>
        <w:rPr>
          <w:spacing w:val="-2"/>
          <w:sz w:val="20"/>
        </w:rPr>
        <w:t xml:space="preserve"> </w:t>
      </w:r>
      <w:r>
        <w:rPr>
          <w:sz w:val="20"/>
        </w:rPr>
        <w:t>y</w:t>
      </w:r>
      <w:r>
        <w:rPr>
          <w:spacing w:val="-2"/>
          <w:sz w:val="20"/>
        </w:rPr>
        <w:t xml:space="preserve"> </w:t>
      </w:r>
      <w:r>
        <w:rPr>
          <w:sz w:val="20"/>
        </w:rPr>
        <w:t>esta</w:t>
      </w:r>
      <w:r>
        <w:rPr>
          <w:spacing w:val="-2"/>
          <w:sz w:val="20"/>
        </w:rPr>
        <w:t xml:space="preserve"> </w:t>
      </w:r>
      <w:r>
        <w:rPr>
          <w:sz w:val="20"/>
        </w:rPr>
        <w:t>supere</w:t>
      </w:r>
      <w:r>
        <w:rPr>
          <w:spacing w:val="-2"/>
          <w:sz w:val="20"/>
        </w:rPr>
        <w:t xml:space="preserve"> </w:t>
      </w:r>
      <w:r>
        <w:rPr>
          <w:sz w:val="20"/>
        </w:rPr>
        <w:t>los</w:t>
      </w:r>
      <w:r>
        <w:rPr>
          <w:spacing w:val="-2"/>
          <w:sz w:val="20"/>
        </w:rPr>
        <w:t xml:space="preserve"> </w:t>
      </w:r>
      <w:r>
        <w:rPr>
          <w:sz w:val="20"/>
        </w:rPr>
        <w:t>50.000</w:t>
      </w:r>
      <w:r>
        <w:rPr>
          <w:spacing w:val="-2"/>
          <w:sz w:val="20"/>
        </w:rPr>
        <w:t xml:space="preserve"> </w:t>
      </w:r>
      <w:r>
        <w:rPr>
          <w:sz w:val="20"/>
        </w:rPr>
        <w:t>euros,</w:t>
      </w:r>
      <w:r>
        <w:rPr>
          <w:spacing w:val="-2"/>
          <w:sz w:val="20"/>
        </w:rPr>
        <w:t xml:space="preserve"> </w:t>
      </w:r>
      <w:r>
        <w:rPr>
          <w:sz w:val="20"/>
        </w:rPr>
        <w:t>deberá</w:t>
      </w:r>
      <w:r>
        <w:rPr>
          <w:spacing w:val="-2"/>
          <w:sz w:val="20"/>
        </w:rPr>
        <w:t xml:space="preserve"> </w:t>
      </w:r>
      <w:r>
        <w:rPr>
          <w:sz w:val="20"/>
        </w:rPr>
        <w:t>elaborarse</w:t>
      </w:r>
      <w:r>
        <w:rPr>
          <w:spacing w:val="-2"/>
          <w:sz w:val="20"/>
        </w:rPr>
        <w:t xml:space="preserve"> </w:t>
      </w:r>
      <w:r>
        <w:rPr>
          <w:sz w:val="20"/>
        </w:rPr>
        <w:t>un</w:t>
      </w:r>
      <w:r>
        <w:rPr>
          <w:spacing w:val="-2"/>
          <w:sz w:val="20"/>
        </w:rPr>
        <w:t xml:space="preserve"> </w:t>
      </w:r>
      <w:r>
        <w:rPr>
          <w:sz w:val="20"/>
        </w:rPr>
        <w:t>proyecto</w:t>
      </w:r>
      <w:r>
        <w:rPr>
          <w:spacing w:val="-2"/>
          <w:sz w:val="20"/>
        </w:rPr>
        <w:t xml:space="preserve"> </w:t>
      </w:r>
      <w:r>
        <w:rPr>
          <w:sz w:val="20"/>
        </w:rPr>
        <w:t>y tramitarse de conformidad con los artículos 231 y siguientes de la presente Ley.</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pPr>
      <w:r>
        <w:t>En el supuesto de que el contrato mixto contenga elementos de una concesión de obras o de una concesión de servicios, deberá acompañarse del correspondiente estudio de viabilidad y, en su caso, del anteproyecto de construcción y explotación de las obras previstos en los artículos 247, 248 y 285 de la presente Ley.</w:t>
      </w:r>
    </w:p>
    <w:p w:rsidR="0092635B" w:rsidRDefault="0092635B">
      <w:pPr>
        <w:pStyle w:val="Textoindependiente"/>
        <w:spacing w:before="0"/>
        <w:ind w:left="0" w:firstLine="0"/>
        <w:jc w:val="left"/>
      </w:pPr>
    </w:p>
    <w:p w:rsidR="0092635B" w:rsidRDefault="00000000">
      <w:pPr>
        <w:pStyle w:val="Ttulo3"/>
      </w:pPr>
      <w:bookmarkStart w:id="33" w:name="Sección_2.ª_Contratos_sujetos_a_una_regu"/>
      <w:bookmarkStart w:id="34" w:name="_bookmark7"/>
      <w:bookmarkEnd w:id="33"/>
      <w:bookmarkEnd w:id="34"/>
      <w:r>
        <w:t>Sección</w:t>
      </w:r>
      <w:r>
        <w:rPr>
          <w:spacing w:val="-3"/>
        </w:rPr>
        <w:t xml:space="preserve"> </w:t>
      </w:r>
      <w:r>
        <w:t>2.ª</w:t>
      </w:r>
      <w:r>
        <w:rPr>
          <w:spacing w:val="-3"/>
        </w:rPr>
        <w:t xml:space="preserve"> </w:t>
      </w:r>
      <w:r>
        <w:t>Contratos</w:t>
      </w:r>
      <w:r>
        <w:rPr>
          <w:spacing w:val="-2"/>
        </w:rPr>
        <w:t xml:space="preserve"> </w:t>
      </w:r>
      <w:r>
        <w:t>sujetos</w:t>
      </w:r>
      <w:r>
        <w:rPr>
          <w:spacing w:val="-3"/>
        </w:rPr>
        <w:t xml:space="preserve"> </w:t>
      </w:r>
      <w:r>
        <w:t>a</w:t>
      </w:r>
      <w:r>
        <w:rPr>
          <w:spacing w:val="-2"/>
        </w:rPr>
        <w:t xml:space="preserve"> </w:t>
      </w:r>
      <w:r>
        <w:t>una</w:t>
      </w:r>
      <w:r>
        <w:rPr>
          <w:spacing w:val="-3"/>
        </w:rPr>
        <w:t xml:space="preserve"> </w:t>
      </w:r>
      <w:r>
        <w:t>regulación</w:t>
      </w:r>
      <w:r>
        <w:rPr>
          <w:spacing w:val="-2"/>
        </w:rPr>
        <w:t xml:space="preserve"> armonizada</w:t>
      </w:r>
    </w:p>
    <w:p w:rsidR="0092635B" w:rsidRDefault="0092635B">
      <w:pPr>
        <w:pStyle w:val="Textoindependiente"/>
        <w:spacing w:before="6"/>
        <w:ind w:left="0" w:firstLine="0"/>
        <w:jc w:val="left"/>
        <w:rPr>
          <w:rFonts w:ascii="Arial"/>
          <w:b/>
          <w:i/>
        </w:rPr>
      </w:pPr>
    </w:p>
    <w:p w:rsidR="0092635B" w:rsidRDefault="00000000">
      <w:pPr>
        <w:spacing w:before="1"/>
        <w:ind w:left="1106"/>
        <w:jc w:val="both"/>
        <w:rPr>
          <w:rFonts w:ascii="Arial" w:hAnsi="Arial"/>
          <w:i/>
          <w:sz w:val="20"/>
        </w:rPr>
      </w:pPr>
      <w:bookmarkStart w:id="35" w:name="Artículo_19._Delimitación_general."/>
      <w:bookmarkEnd w:id="35"/>
      <w:r>
        <w:rPr>
          <w:rFonts w:ascii="Arial" w:hAnsi="Arial"/>
          <w:b/>
          <w:sz w:val="20"/>
        </w:rPr>
        <w:t>Artículo</w:t>
      </w:r>
      <w:r>
        <w:rPr>
          <w:rFonts w:ascii="Arial" w:hAnsi="Arial"/>
          <w:b/>
          <w:spacing w:val="-3"/>
          <w:sz w:val="20"/>
        </w:rPr>
        <w:t xml:space="preserve"> </w:t>
      </w:r>
      <w:r>
        <w:rPr>
          <w:rFonts w:ascii="Arial" w:hAnsi="Arial"/>
          <w:b/>
          <w:sz w:val="20"/>
        </w:rPr>
        <w:t>19.</w:t>
      </w:r>
      <w:r>
        <w:rPr>
          <w:rFonts w:ascii="Arial" w:hAnsi="Arial"/>
          <w:b/>
          <w:spacing w:val="48"/>
          <w:sz w:val="20"/>
        </w:rPr>
        <w:t xml:space="preserve"> </w:t>
      </w:r>
      <w:r>
        <w:rPr>
          <w:rFonts w:ascii="Arial" w:hAnsi="Arial"/>
          <w:i/>
          <w:sz w:val="20"/>
        </w:rPr>
        <w:t>Delimitación</w:t>
      </w:r>
      <w:r>
        <w:rPr>
          <w:rFonts w:ascii="Arial" w:hAnsi="Arial"/>
          <w:i/>
          <w:spacing w:val="-2"/>
          <w:sz w:val="20"/>
        </w:rPr>
        <w:t xml:space="preserve"> general.</w:t>
      </w:r>
    </w:p>
    <w:p w:rsidR="0092635B" w:rsidRDefault="00000000">
      <w:pPr>
        <w:pStyle w:val="Prrafodelista"/>
        <w:numPr>
          <w:ilvl w:val="0"/>
          <w:numId w:val="336"/>
        </w:numPr>
        <w:tabs>
          <w:tab w:val="left" w:pos="1705"/>
        </w:tabs>
        <w:spacing w:before="123" w:line="249" w:lineRule="auto"/>
        <w:ind w:firstLine="340"/>
        <w:jc w:val="both"/>
        <w:rPr>
          <w:sz w:val="20"/>
        </w:rPr>
      </w:pPr>
      <w:r>
        <w:rPr>
          <w:sz w:val="20"/>
        </w:rPr>
        <w:t>Son contratos sujetos a una regulación armonizada los contratos de obras, los de concesión de obras, los de concesión de servicios, los de suministro, y los de servicios, cuyo valor estimado, calculado conforme a las reglas que se establecen en el artículo 101, sea igual o superior a las cuantías que se indican en los artículos siguientes, siempre que la entidad contratante tenga el carácter de poder adjudicador. Tendrán también la</w:t>
      </w:r>
      <w:r>
        <w:rPr>
          <w:spacing w:val="40"/>
          <w:sz w:val="20"/>
        </w:rPr>
        <w:t xml:space="preserve"> </w:t>
      </w:r>
      <w:r>
        <w:rPr>
          <w:sz w:val="20"/>
        </w:rPr>
        <w:t>consideración de contratos sujetos a regulación armonizada los contratos subvencionados por estas entidades a los que se refiere el artículo 23.</w:t>
      </w:r>
    </w:p>
    <w:p w:rsidR="0092635B" w:rsidRDefault="00000000">
      <w:pPr>
        <w:pStyle w:val="Prrafodelista"/>
        <w:numPr>
          <w:ilvl w:val="0"/>
          <w:numId w:val="336"/>
        </w:numPr>
        <w:tabs>
          <w:tab w:val="left" w:pos="1670"/>
        </w:tabs>
        <w:spacing w:before="6" w:line="249" w:lineRule="auto"/>
        <w:ind w:right="1106" w:firstLine="340"/>
        <w:jc w:val="both"/>
        <w:rPr>
          <w:sz w:val="20"/>
        </w:rPr>
      </w:pPr>
      <w:r>
        <w:rPr>
          <w:sz w:val="20"/>
        </w:rPr>
        <w:t>No</w:t>
      </w:r>
      <w:r>
        <w:rPr>
          <w:spacing w:val="-2"/>
          <w:sz w:val="20"/>
        </w:rPr>
        <w:t xml:space="preserve"> </w:t>
      </w:r>
      <w:r>
        <w:rPr>
          <w:sz w:val="20"/>
        </w:rPr>
        <w:t>obstante</w:t>
      </w:r>
      <w:r>
        <w:rPr>
          <w:spacing w:val="-2"/>
          <w:sz w:val="20"/>
        </w:rPr>
        <w:t xml:space="preserve"> </w:t>
      </w:r>
      <w:r>
        <w:rPr>
          <w:sz w:val="20"/>
        </w:rPr>
        <w:t>lo</w:t>
      </w:r>
      <w:r>
        <w:rPr>
          <w:spacing w:val="-2"/>
          <w:sz w:val="20"/>
        </w:rPr>
        <w:t xml:space="preserve"> </w:t>
      </w:r>
      <w:r>
        <w:rPr>
          <w:sz w:val="20"/>
        </w:rPr>
        <w:t>señalado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apartado</w:t>
      </w:r>
      <w:r>
        <w:rPr>
          <w:spacing w:val="-2"/>
          <w:sz w:val="20"/>
        </w:rPr>
        <w:t xml:space="preserve"> </w:t>
      </w:r>
      <w:r>
        <w:rPr>
          <w:sz w:val="20"/>
        </w:rPr>
        <w:t>anterior,</w:t>
      </w:r>
      <w:r>
        <w:rPr>
          <w:spacing w:val="-2"/>
          <w:sz w:val="20"/>
        </w:rPr>
        <w:t xml:space="preserve"> </w:t>
      </w:r>
      <w:r>
        <w:rPr>
          <w:sz w:val="20"/>
        </w:rPr>
        <w:t>no</w:t>
      </w:r>
      <w:r>
        <w:rPr>
          <w:spacing w:val="-2"/>
          <w:sz w:val="20"/>
        </w:rPr>
        <w:t xml:space="preserve"> </w:t>
      </w:r>
      <w:r>
        <w:rPr>
          <w:sz w:val="20"/>
        </w:rPr>
        <w:t>se</w:t>
      </w:r>
      <w:r>
        <w:rPr>
          <w:spacing w:val="-2"/>
          <w:sz w:val="20"/>
        </w:rPr>
        <w:t xml:space="preserve"> </w:t>
      </w:r>
      <w:r>
        <w:rPr>
          <w:sz w:val="20"/>
        </w:rPr>
        <w:t>consideran</w:t>
      </w:r>
      <w:r>
        <w:rPr>
          <w:spacing w:val="-2"/>
          <w:sz w:val="20"/>
        </w:rPr>
        <w:t xml:space="preserve"> </w:t>
      </w:r>
      <w:r>
        <w:rPr>
          <w:sz w:val="20"/>
        </w:rPr>
        <w:t>sujetos</w:t>
      </w:r>
      <w:r>
        <w:rPr>
          <w:spacing w:val="-2"/>
          <w:sz w:val="20"/>
        </w:rPr>
        <w:t xml:space="preserve"> </w:t>
      </w:r>
      <w:r>
        <w:rPr>
          <w:sz w:val="20"/>
        </w:rPr>
        <w:t>a</w:t>
      </w:r>
      <w:r>
        <w:rPr>
          <w:spacing w:val="-2"/>
          <w:sz w:val="20"/>
        </w:rPr>
        <w:t xml:space="preserve"> </w:t>
      </w:r>
      <w:r>
        <w:rPr>
          <w:sz w:val="20"/>
        </w:rPr>
        <w:t>regulación armonizada, cualquiera que sea su valor estimado, los contratos siguientes:</w:t>
      </w:r>
    </w:p>
    <w:p w:rsidR="0092635B" w:rsidRDefault="00000000">
      <w:pPr>
        <w:pStyle w:val="Prrafodelista"/>
        <w:numPr>
          <w:ilvl w:val="1"/>
          <w:numId w:val="336"/>
        </w:numPr>
        <w:tabs>
          <w:tab w:val="left" w:pos="1773"/>
        </w:tabs>
        <w:spacing w:before="121" w:line="249" w:lineRule="auto"/>
        <w:ind w:firstLine="340"/>
        <w:jc w:val="both"/>
        <w:rPr>
          <w:sz w:val="20"/>
        </w:rPr>
      </w:pPr>
      <w:r>
        <w:rPr>
          <w:sz w:val="20"/>
        </w:rPr>
        <w:t>Los que tengan por objeto la adquisición, el desarrollo, la producción o la coproducción de programas destinados a servicios de comunicación audiovisual o servicios de comunicación radiofónica, que sean adjudicados por proveedores del servicio de comunicación audiovisual o radiofónica, o los relativos al tiempo de radiodifusión o al suministro de programas que sean adjudicados a proveedores del servicio de comunicación audiovisual o radiofónica. A efectos de la presente letra, por «servicio de comunicación audiovisual» y «proveedor del servicio de comunicación» se entenderá, respectivamente, lo mismo que en el artículo 1, apartado 1, letras a) y d), de la Directiva 2010/13/UE, del Parlamento Europeo y del Consejo, de 10 de marzo de 2010, sobre la coordinación de determinadas disposiciones legales, reglamentarias y administrativas de los Estados miembros</w:t>
      </w:r>
      <w:r>
        <w:rPr>
          <w:spacing w:val="78"/>
          <w:w w:val="150"/>
          <w:sz w:val="20"/>
        </w:rPr>
        <w:t xml:space="preserve"> </w:t>
      </w:r>
      <w:r>
        <w:rPr>
          <w:sz w:val="20"/>
        </w:rPr>
        <w:t>relativas</w:t>
      </w:r>
      <w:r>
        <w:rPr>
          <w:spacing w:val="79"/>
          <w:w w:val="150"/>
          <w:sz w:val="20"/>
        </w:rPr>
        <w:t xml:space="preserve"> </w:t>
      </w:r>
      <w:r>
        <w:rPr>
          <w:sz w:val="20"/>
        </w:rPr>
        <w:t>a</w:t>
      </w:r>
      <w:r>
        <w:rPr>
          <w:spacing w:val="79"/>
          <w:w w:val="150"/>
          <w:sz w:val="20"/>
        </w:rPr>
        <w:t xml:space="preserve"> </w:t>
      </w:r>
      <w:r>
        <w:rPr>
          <w:sz w:val="20"/>
        </w:rPr>
        <w:t>la</w:t>
      </w:r>
      <w:r>
        <w:rPr>
          <w:spacing w:val="79"/>
          <w:w w:val="150"/>
          <w:sz w:val="20"/>
        </w:rPr>
        <w:t xml:space="preserve"> </w:t>
      </w:r>
      <w:r>
        <w:rPr>
          <w:sz w:val="20"/>
        </w:rPr>
        <w:t>prestación</w:t>
      </w:r>
      <w:r>
        <w:rPr>
          <w:spacing w:val="79"/>
          <w:w w:val="150"/>
          <w:sz w:val="20"/>
        </w:rPr>
        <w:t xml:space="preserve"> </w:t>
      </w:r>
      <w:r>
        <w:rPr>
          <w:sz w:val="20"/>
        </w:rPr>
        <w:t>de</w:t>
      </w:r>
      <w:r>
        <w:rPr>
          <w:spacing w:val="79"/>
          <w:w w:val="150"/>
          <w:sz w:val="20"/>
        </w:rPr>
        <w:t xml:space="preserve"> </w:t>
      </w:r>
      <w:r>
        <w:rPr>
          <w:sz w:val="20"/>
        </w:rPr>
        <w:t>servicios</w:t>
      </w:r>
      <w:r>
        <w:rPr>
          <w:spacing w:val="79"/>
          <w:w w:val="150"/>
          <w:sz w:val="20"/>
        </w:rPr>
        <w:t xml:space="preserve"> </w:t>
      </w:r>
      <w:r>
        <w:rPr>
          <w:sz w:val="20"/>
        </w:rPr>
        <w:t>de</w:t>
      </w:r>
      <w:r>
        <w:rPr>
          <w:spacing w:val="79"/>
          <w:w w:val="150"/>
          <w:sz w:val="20"/>
        </w:rPr>
        <w:t xml:space="preserve"> </w:t>
      </w:r>
      <w:r>
        <w:rPr>
          <w:sz w:val="20"/>
        </w:rPr>
        <w:t>comunicación</w:t>
      </w:r>
      <w:r>
        <w:rPr>
          <w:spacing w:val="79"/>
          <w:w w:val="150"/>
          <w:sz w:val="20"/>
        </w:rPr>
        <w:t xml:space="preserve"> </w:t>
      </w:r>
      <w:r>
        <w:rPr>
          <w:sz w:val="20"/>
        </w:rPr>
        <w:t>audiovisual.</w:t>
      </w:r>
      <w:r>
        <w:rPr>
          <w:spacing w:val="79"/>
          <w:w w:val="150"/>
          <w:sz w:val="20"/>
        </w:rPr>
        <w:t xml:space="preserve"> </w:t>
      </w:r>
      <w:r>
        <w:rPr>
          <w:spacing w:val="-5"/>
          <w:sz w:val="20"/>
        </w:rPr>
        <w:t>Por</w:t>
      </w:r>
    </w:p>
    <w:p w:rsidR="0092635B" w:rsidRDefault="00000000">
      <w:pPr>
        <w:pStyle w:val="Textoindependiente"/>
        <w:spacing w:before="9" w:line="249" w:lineRule="auto"/>
        <w:ind w:right="1102" w:hanging="1"/>
      </w:pPr>
      <w:r>
        <w:t>«programa» se entenderá lo mismo que en el artículo 1, apartado 1, letra b), de dicha Directiva, si bien se incluirán también los programas radiofónicos y los contenidos de los programas radiofónicos. Además, a efectos de la presente disposición, «contenidos del programa» tendrá el mismo significado que «programa».</w:t>
      </w:r>
    </w:p>
    <w:p w:rsidR="0092635B" w:rsidRDefault="00000000">
      <w:pPr>
        <w:pStyle w:val="Prrafodelista"/>
        <w:numPr>
          <w:ilvl w:val="1"/>
          <w:numId w:val="336"/>
        </w:numPr>
        <w:tabs>
          <w:tab w:val="left" w:pos="1770"/>
        </w:tabs>
        <w:spacing w:before="4" w:line="249" w:lineRule="auto"/>
        <w:ind w:right="1105" w:firstLine="340"/>
        <w:jc w:val="both"/>
        <w:rPr>
          <w:sz w:val="20"/>
        </w:rPr>
      </w:pPr>
      <w:r>
        <w:rPr>
          <w:sz w:val="20"/>
        </w:rPr>
        <w:t>Los incluidos dentro del ámbito definido por el artículo 346 del Tratado de Funcionamiento de la Unión Europea que se concluyan en el sector de la defensa.</w:t>
      </w:r>
    </w:p>
    <w:p w:rsidR="0092635B" w:rsidRDefault="00000000">
      <w:pPr>
        <w:pStyle w:val="Prrafodelista"/>
        <w:numPr>
          <w:ilvl w:val="1"/>
          <w:numId w:val="336"/>
        </w:numPr>
        <w:tabs>
          <w:tab w:val="left" w:pos="1672"/>
        </w:tabs>
        <w:spacing w:before="1" w:line="249" w:lineRule="auto"/>
        <w:ind w:firstLine="340"/>
        <w:jc w:val="both"/>
        <w:rPr>
          <w:sz w:val="20"/>
        </w:rPr>
      </w:pPr>
      <w:r>
        <w:rPr>
          <w:sz w:val="20"/>
        </w:rPr>
        <w:t>Los declarados secretos o reservados, o aquellos cuya ejecución deba ir acompañada de medidas de seguridad especiales conforme a la legislación vigente, o en los que lo exija</w:t>
      </w:r>
      <w:r>
        <w:rPr>
          <w:spacing w:val="40"/>
          <w:sz w:val="20"/>
        </w:rPr>
        <w:t xml:space="preserve"> </w:t>
      </w:r>
      <w:r>
        <w:rPr>
          <w:sz w:val="20"/>
        </w:rPr>
        <w:t>la protección de intereses esenciales para la seguridad del Estado, cuando la protección de los intereses esenciales de que se trate no pueda garantizarse mediante la aplicación de las normas que rigen los contratos sujetos a regulación armonizada en esta Ley.</w:t>
      </w:r>
    </w:p>
    <w:p w:rsidR="0092635B" w:rsidRDefault="00000000">
      <w:pPr>
        <w:pStyle w:val="Textoindependiente"/>
        <w:spacing w:before="4" w:line="249" w:lineRule="auto"/>
        <w:ind w:right="1104"/>
      </w:pPr>
      <w:r>
        <w:t>La declaración de que concurre la circunstancia relativa a la protección de intereses esenciales para la seguridad del Estado deberá hacerse de forma expresa en cada caso por el titular del Departamento ministerial del que dependa el órgano de contratación en el</w:t>
      </w:r>
      <w:r>
        <w:rPr>
          <w:spacing w:val="40"/>
        </w:rPr>
        <w:t xml:space="preserve"> </w:t>
      </w:r>
      <w:r>
        <w:t>ámbito de la Administración General del Estado, sus Organismos Autónomos, Entidades Gestoras y Servicios Comunes de la Seguridad Social y demás entidades públicas integrantes del sector público estatal, por el órgano competente de las Comunidades Autónomas, de las Ciudades Autónomas de Ceuta y Melilla, o por el órgano al que esté atribuida la competencia para celebrar el correspondiente contrato en las Entidades locales. La competencia para efectuar esta declaración no será susceptible de delegación, salvo que una ley expresamente lo autorice.</w:t>
      </w:r>
    </w:p>
    <w:p w:rsidR="0092635B" w:rsidRDefault="00000000">
      <w:pPr>
        <w:pStyle w:val="Prrafodelista"/>
        <w:numPr>
          <w:ilvl w:val="1"/>
          <w:numId w:val="336"/>
        </w:numPr>
        <w:tabs>
          <w:tab w:val="left" w:pos="1696"/>
        </w:tabs>
        <w:spacing w:before="9" w:line="249" w:lineRule="auto"/>
        <w:ind w:firstLine="340"/>
        <w:jc w:val="both"/>
        <w:rPr>
          <w:sz w:val="20"/>
        </w:rPr>
      </w:pPr>
      <w:r>
        <w:rPr>
          <w:sz w:val="20"/>
        </w:rPr>
        <w:t>Aquellos cuyo objeto principal sea permitir a los órganos de contratación la puesta a disposición o la explotación de redes públicas de comunicaciones o la prestación al público de</w:t>
      </w:r>
      <w:r>
        <w:rPr>
          <w:spacing w:val="18"/>
          <w:sz w:val="20"/>
        </w:rPr>
        <w:t xml:space="preserve"> </w:t>
      </w:r>
      <w:r>
        <w:rPr>
          <w:sz w:val="20"/>
        </w:rPr>
        <w:t>uno</w:t>
      </w:r>
      <w:r>
        <w:rPr>
          <w:spacing w:val="19"/>
          <w:sz w:val="20"/>
        </w:rPr>
        <w:t xml:space="preserve"> </w:t>
      </w:r>
      <w:r>
        <w:rPr>
          <w:sz w:val="20"/>
        </w:rPr>
        <w:t>o</w:t>
      </w:r>
      <w:r>
        <w:rPr>
          <w:spacing w:val="19"/>
          <w:sz w:val="20"/>
        </w:rPr>
        <w:t xml:space="preserve"> </w:t>
      </w:r>
      <w:r>
        <w:rPr>
          <w:sz w:val="20"/>
        </w:rPr>
        <w:t>varios</w:t>
      </w:r>
      <w:r>
        <w:rPr>
          <w:spacing w:val="19"/>
          <w:sz w:val="20"/>
        </w:rPr>
        <w:t xml:space="preserve"> </w:t>
      </w:r>
      <w:r>
        <w:rPr>
          <w:sz w:val="20"/>
        </w:rPr>
        <w:t>servicios</w:t>
      </w:r>
      <w:r>
        <w:rPr>
          <w:spacing w:val="19"/>
          <w:sz w:val="20"/>
        </w:rPr>
        <w:t xml:space="preserve"> </w:t>
      </w:r>
      <w:r>
        <w:rPr>
          <w:sz w:val="20"/>
        </w:rPr>
        <w:t>de</w:t>
      </w:r>
      <w:r>
        <w:rPr>
          <w:spacing w:val="19"/>
          <w:sz w:val="20"/>
        </w:rPr>
        <w:t xml:space="preserve"> </w:t>
      </w:r>
      <w:r>
        <w:rPr>
          <w:sz w:val="20"/>
        </w:rPr>
        <w:t>comunicaciones</w:t>
      </w:r>
      <w:r>
        <w:rPr>
          <w:spacing w:val="19"/>
          <w:sz w:val="20"/>
        </w:rPr>
        <w:t xml:space="preserve"> </w:t>
      </w:r>
      <w:r>
        <w:rPr>
          <w:sz w:val="20"/>
        </w:rPr>
        <w:t>electrónicas.</w:t>
      </w:r>
      <w:r>
        <w:rPr>
          <w:spacing w:val="19"/>
          <w:sz w:val="20"/>
        </w:rPr>
        <w:t xml:space="preserve"> </w:t>
      </w:r>
      <w:r>
        <w:rPr>
          <w:sz w:val="20"/>
        </w:rPr>
        <w:t>A</w:t>
      </w:r>
      <w:r>
        <w:rPr>
          <w:spacing w:val="19"/>
          <w:sz w:val="20"/>
        </w:rPr>
        <w:t xml:space="preserve"> </w:t>
      </w:r>
      <w:r>
        <w:rPr>
          <w:sz w:val="20"/>
        </w:rPr>
        <w:t>efectos</w:t>
      </w:r>
      <w:r>
        <w:rPr>
          <w:spacing w:val="19"/>
          <w:sz w:val="20"/>
        </w:rPr>
        <w:t xml:space="preserve"> </w:t>
      </w:r>
      <w:r>
        <w:rPr>
          <w:sz w:val="20"/>
        </w:rPr>
        <w:t>del</w:t>
      </w:r>
      <w:r>
        <w:rPr>
          <w:spacing w:val="19"/>
          <w:sz w:val="20"/>
        </w:rPr>
        <w:t xml:space="preserve"> </w:t>
      </w:r>
      <w:r>
        <w:rPr>
          <w:sz w:val="20"/>
        </w:rPr>
        <w:t>presente</w:t>
      </w:r>
      <w:r>
        <w:rPr>
          <w:spacing w:val="19"/>
          <w:sz w:val="20"/>
        </w:rPr>
        <w:t xml:space="preserve"> </w:t>
      </w:r>
      <w:r>
        <w:rPr>
          <w:spacing w:val="-2"/>
          <w:sz w:val="20"/>
        </w:rPr>
        <w:t>apartado</w:t>
      </w:r>
    </w:p>
    <w:p w:rsidR="0092635B" w:rsidRDefault="00000000">
      <w:pPr>
        <w:pStyle w:val="Textoindependiente"/>
        <w:spacing w:line="249" w:lineRule="auto"/>
        <w:ind w:right="1104" w:hanging="1"/>
      </w:pPr>
      <w:r>
        <w:t>«red pública de comunicaciones» y «servicio de comunicaciones electrónicas» tendrán el mismo significado que el que figura en la Directiva 2002/21/CE, del Parlamento Europeo y</w:t>
      </w:r>
      <w:r>
        <w:rPr>
          <w:spacing w:val="40"/>
        </w:rPr>
        <w:t xml:space="preserve"> </w:t>
      </w:r>
      <w:r>
        <w:t>del Consejo, de 7 de marzo de 2002, relativa a un marco regulador común de las redes y los servicios de comunicaciones electrónicas.</w:t>
      </w:r>
    </w:p>
    <w:p w:rsidR="0092635B" w:rsidRDefault="00000000">
      <w:pPr>
        <w:pStyle w:val="Prrafodelista"/>
        <w:numPr>
          <w:ilvl w:val="1"/>
          <w:numId w:val="336"/>
        </w:numPr>
        <w:tabs>
          <w:tab w:val="left" w:pos="1679"/>
        </w:tabs>
        <w:spacing w:before="3"/>
        <w:ind w:left="1679" w:right="0" w:hanging="233"/>
        <w:jc w:val="both"/>
        <w:rPr>
          <w:sz w:val="20"/>
        </w:rPr>
      </w:pPr>
      <w:r>
        <w:rPr>
          <w:sz w:val="20"/>
        </w:rPr>
        <w:t>Aquellos</w:t>
      </w:r>
      <w:r>
        <w:rPr>
          <w:spacing w:val="-3"/>
          <w:sz w:val="20"/>
        </w:rPr>
        <w:t xml:space="preserve"> </w:t>
      </w:r>
      <w:r>
        <w:rPr>
          <w:sz w:val="20"/>
        </w:rPr>
        <w:t>que</w:t>
      </w:r>
      <w:r>
        <w:rPr>
          <w:spacing w:val="-2"/>
          <w:sz w:val="20"/>
        </w:rPr>
        <w:t xml:space="preserve"> </w:t>
      </w:r>
      <w:r>
        <w:rPr>
          <w:sz w:val="20"/>
        </w:rPr>
        <w:t>tengan</w:t>
      </w:r>
      <w:r>
        <w:rPr>
          <w:spacing w:val="-2"/>
          <w:sz w:val="20"/>
        </w:rPr>
        <w:t xml:space="preserve"> </w:t>
      </w:r>
      <w:r>
        <w:rPr>
          <w:sz w:val="20"/>
        </w:rPr>
        <w:t>por</w:t>
      </w:r>
      <w:r>
        <w:rPr>
          <w:spacing w:val="-2"/>
          <w:sz w:val="20"/>
        </w:rPr>
        <w:t xml:space="preserve"> </w:t>
      </w:r>
      <w:r>
        <w:rPr>
          <w:sz w:val="20"/>
        </w:rPr>
        <w:t>objeto</w:t>
      </w:r>
      <w:r>
        <w:rPr>
          <w:spacing w:val="-2"/>
          <w:sz w:val="20"/>
        </w:rPr>
        <w:t xml:space="preserve"> </w:t>
      </w:r>
      <w:r>
        <w:rPr>
          <w:sz w:val="20"/>
        </w:rPr>
        <w:t>cualquiera</w:t>
      </w:r>
      <w:r>
        <w:rPr>
          <w:spacing w:val="-3"/>
          <w:sz w:val="20"/>
        </w:rPr>
        <w:t xml:space="preserve"> </w:t>
      </w:r>
      <w:r>
        <w:rPr>
          <w:sz w:val="20"/>
        </w:rPr>
        <w:t>de</w:t>
      </w:r>
      <w:r>
        <w:rPr>
          <w:spacing w:val="-2"/>
          <w:sz w:val="20"/>
        </w:rPr>
        <w:t xml:space="preserve"> </w:t>
      </w:r>
      <w:r>
        <w:rPr>
          <w:sz w:val="20"/>
        </w:rPr>
        <w:t>los</w:t>
      </w:r>
      <w:r>
        <w:rPr>
          <w:spacing w:val="-2"/>
          <w:sz w:val="20"/>
        </w:rPr>
        <w:t xml:space="preserve"> </w:t>
      </w:r>
      <w:r>
        <w:rPr>
          <w:sz w:val="20"/>
        </w:rPr>
        <w:t>siguientes</w:t>
      </w:r>
      <w:r>
        <w:rPr>
          <w:spacing w:val="-2"/>
          <w:sz w:val="20"/>
        </w:rPr>
        <w:t xml:space="preserve"> </w:t>
      </w:r>
      <w:r>
        <w:rPr>
          <w:sz w:val="20"/>
        </w:rPr>
        <w:t>servicios</w:t>
      </w:r>
      <w:r>
        <w:rPr>
          <w:spacing w:val="-2"/>
          <w:sz w:val="20"/>
        </w:rPr>
        <w:t xml:space="preserve"> jurídicos:</w:t>
      </w:r>
    </w:p>
    <w:p w:rsidR="0092635B" w:rsidRDefault="0092635B">
      <w:pPr>
        <w:pStyle w:val="Prrafodelista"/>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2"/>
          <w:numId w:val="336"/>
        </w:numPr>
        <w:tabs>
          <w:tab w:val="left" w:pos="1610"/>
        </w:tabs>
        <w:spacing w:before="1" w:line="249" w:lineRule="auto"/>
        <w:ind w:firstLine="340"/>
        <w:jc w:val="both"/>
        <w:rPr>
          <w:sz w:val="20"/>
        </w:rPr>
      </w:pPr>
      <w:r>
        <w:rPr>
          <w:sz w:val="20"/>
        </w:rPr>
        <w:t>º La representación y defensa legal de un cliente por un procurador o un abogado, ya sea en un arbitraje o una conciliación celebrada en un Estado o ante una instancia internacional de conciliación o arbitraje, o ya sea en un procedimiento judicial ante los órganos jurisdiccionales o las autoridades públicas de un Estado o ante órganos jurisdiccionales o instituciones internacionales.</w:t>
      </w:r>
    </w:p>
    <w:p w:rsidR="0092635B" w:rsidRDefault="00000000">
      <w:pPr>
        <w:pStyle w:val="Prrafodelista"/>
        <w:numPr>
          <w:ilvl w:val="2"/>
          <w:numId w:val="336"/>
        </w:numPr>
        <w:tabs>
          <w:tab w:val="left" w:pos="1610"/>
        </w:tabs>
        <w:spacing w:before="4" w:line="249" w:lineRule="auto"/>
        <w:ind w:right="1104" w:firstLine="340"/>
        <w:jc w:val="both"/>
        <w:rPr>
          <w:sz w:val="20"/>
        </w:rPr>
      </w:pPr>
      <w:r>
        <w:rPr>
          <w:sz w:val="20"/>
        </w:rPr>
        <w:t>º El asesoramiento jurídico prestado como preparación de uno de los procedimientos mencionados en el apartado anterior de la presente letra, o cuando exista una probabilidad alta de que el asunto sobre el que se asesora será objeto de dichos procedimientos, siempre que el asesoramiento lo preste un abogado.</w:t>
      </w:r>
    </w:p>
    <w:p w:rsidR="0092635B" w:rsidRDefault="00000000">
      <w:pPr>
        <w:pStyle w:val="Prrafodelista"/>
        <w:numPr>
          <w:ilvl w:val="2"/>
          <w:numId w:val="336"/>
        </w:numPr>
        <w:tabs>
          <w:tab w:val="left" w:pos="1610"/>
        </w:tabs>
        <w:spacing w:before="3" w:line="249" w:lineRule="auto"/>
        <w:ind w:right="1105" w:firstLine="340"/>
        <w:jc w:val="both"/>
        <w:rPr>
          <w:sz w:val="20"/>
        </w:rPr>
      </w:pPr>
      <w:r>
        <w:rPr>
          <w:sz w:val="20"/>
        </w:rPr>
        <w:t>º</w:t>
      </w:r>
      <w:r>
        <w:rPr>
          <w:spacing w:val="-2"/>
          <w:sz w:val="20"/>
        </w:rPr>
        <w:t xml:space="preserve"> </w:t>
      </w:r>
      <w:r>
        <w:rPr>
          <w:sz w:val="20"/>
        </w:rPr>
        <w:t>Los</w:t>
      </w:r>
      <w:r>
        <w:rPr>
          <w:spacing w:val="-2"/>
          <w:sz w:val="20"/>
        </w:rPr>
        <w:t xml:space="preserve"> </w:t>
      </w:r>
      <w:r>
        <w:rPr>
          <w:sz w:val="20"/>
        </w:rPr>
        <w:t>servicios</w:t>
      </w:r>
      <w:r>
        <w:rPr>
          <w:spacing w:val="-2"/>
          <w:sz w:val="20"/>
        </w:rPr>
        <w:t xml:space="preserve"> </w:t>
      </w:r>
      <w:r>
        <w:rPr>
          <w:sz w:val="20"/>
        </w:rPr>
        <w:t>de</w:t>
      </w:r>
      <w:r>
        <w:rPr>
          <w:spacing w:val="-2"/>
          <w:sz w:val="20"/>
        </w:rPr>
        <w:t xml:space="preserve"> </w:t>
      </w:r>
      <w:r>
        <w:rPr>
          <w:sz w:val="20"/>
        </w:rPr>
        <w:t>certificación</w:t>
      </w:r>
      <w:r>
        <w:rPr>
          <w:spacing w:val="-2"/>
          <w:sz w:val="20"/>
        </w:rPr>
        <w:t xml:space="preserve"> </w:t>
      </w:r>
      <w:r>
        <w:rPr>
          <w:sz w:val="20"/>
        </w:rPr>
        <w:t>y</w:t>
      </w:r>
      <w:r>
        <w:rPr>
          <w:spacing w:val="-2"/>
          <w:sz w:val="20"/>
        </w:rPr>
        <w:t xml:space="preserve"> </w:t>
      </w:r>
      <w:r>
        <w:rPr>
          <w:sz w:val="20"/>
        </w:rPr>
        <w:t>autenticación</w:t>
      </w:r>
      <w:r>
        <w:rPr>
          <w:spacing w:val="-2"/>
          <w:sz w:val="20"/>
        </w:rPr>
        <w:t xml:space="preserve"> </w:t>
      </w:r>
      <w:r>
        <w:rPr>
          <w:sz w:val="20"/>
        </w:rPr>
        <w:t>de</w:t>
      </w:r>
      <w:r>
        <w:rPr>
          <w:spacing w:val="-2"/>
          <w:sz w:val="20"/>
        </w:rPr>
        <w:t xml:space="preserve"> </w:t>
      </w:r>
      <w:r>
        <w:rPr>
          <w:sz w:val="20"/>
        </w:rPr>
        <w:t>documentos</w:t>
      </w:r>
      <w:r>
        <w:rPr>
          <w:spacing w:val="-2"/>
          <w:sz w:val="20"/>
        </w:rPr>
        <w:t xml:space="preserve"> </w:t>
      </w:r>
      <w:r>
        <w:rPr>
          <w:sz w:val="20"/>
        </w:rPr>
        <w:t>que</w:t>
      </w:r>
      <w:r>
        <w:rPr>
          <w:spacing w:val="-2"/>
          <w:sz w:val="20"/>
        </w:rPr>
        <w:t xml:space="preserve"> </w:t>
      </w:r>
      <w:r>
        <w:rPr>
          <w:sz w:val="20"/>
        </w:rPr>
        <w:t>deban</w:t>
      </w:r>
      <w:r>
        <w:rPr>
          <w:spacing w:val="-2"/>
          <w:sz w:val="20"/>
        </w:rPr>
        <w:t xml:space="preserve"> </w:t>
      </w:r>
      <w:r>
        <w:rPr>
          <w:sz w:val="20"/>
        </w:rPr>
        <w:t>ser</w:t>
      </w:r>
      <w:r>
        <w:rPr>
          <w:spacing w:val="-2"/>
          <w:sz w:val="20"/>
        </w:rPr>
        <w:t xml:space="preserve"> </w:t>
      </w:r>
      <w:r>
        <w:rPr>
          <w:sz w:val="20"/>
        </w:rPr>
        <w:t>prestados por un notario público.</w:t>
      </w:r>
    </w:p>
    <w:p w:rsidR="0092635B" w:rsidRDefault="00000000">
      <w:pPr>
        <w:pStyle w:val="Prrafodelista"/>
        <w:numPr>
          <w:ilvl w:val="2"/>
          <w:numId w:val="336"/>
        </w:numPr>
        <w:tabs>
          <w:tab w:val="left" w:pos="1610"/>
        </w:tabs>
        <w:spacing w:line="249" w:lineRule="auto"/>
        <w:ind w:right="1102" w:firstLine="340"/>
        <w:jc w:val="both"/>
        <w:rPr>
          <w:sz w:val="20"/>
        </w:rPr>
      </w:pPr>
      <w:r>
        <w:rPr>
          <w:sz w:val="20"/>
        </w:rPr>
        <w:t xml:space="preserve">º Los servicios jurídicos prestados por administradores, tutores u otros servicios jurídicos cuyos prestadores sean designados por un órgano jurisdiccional o designados por ley para desempeñar funciones específicas bajo la supervisión de dichos órganos </w:t>
      </w:r>
      <w:r>
        <w:rPr>
          <w:spacing w:val="-2"/>
          <w:sz w:val="20"/>
        </w:rPr>
        <w:t>jurisdiccionales.</w:t>
      </w:r>
    </w:p>
    <w:p w:rsidR="0092635B" w:rsidRDefault="00000000">
      <w:pPr>
        <w:pStyle w:val="Prrafodelista"/>
        <w:numPr>
          <w:ilvl w:val="2"/>
          <w:numId w:val="336"/>
        </w:numPr>
        <w:tabs>
          <w:tab w:val="left" w:pos="1610"/>
        </w:tabs>
        <w:spacing w:before="3" w:line="249" w:lineRule="auto"/>
        <w:ind w:right="1104" w:firstLine="340"/>
        <w:jc w:val="both"/>
        <w:rPr>
          <w:sz w:val="20"/>
        </w:rPr>
      </w:pPr>
      <w:r>
        <w:rPr>
          <w:sz w:val="20"/>
        </w:rPr>
        <w:t>º Otros servicios jurídicos que estén relacionados, incluso de forma ocasional, con el ejercicio del poder público.</w:t>
      </w:r>
    </w:p>
    <w:p w:rsidR="0092635B" w:rsidRDefault="00000000">
      <w:pPr>
        <w:pStyle w:val="Prrafodelista"/>
        <w:numPr>
          <w:ilvl w:val="1"/>
          <w:numId w:val="336"/>
        </w:numPr>
        <w:tabs>
          <w:tab w:val="left" w:pos="1642"/>
        </w:tabs>
        <w:spacing w:before="122" w:line="249" w:lineRule="auto"/>
        <w:ind w:firstLine="340"/>
        <w:jc w:val="both"/>
        <w:rPr>
          <w:sz w:val="20"/>
        </w:rPr>
      </w:pPr>
      <w:r>
        <w:rPr>
          <w:sz w:val="20"/>
        </w:rPr>
        <w:t>Los que tengan por objeto servicios de defensa civil, protección civil y prevención de riesgos</w:t>
      </w:r>
      <w:r>
        <w:rPr>
          <w:spacing w:val="-1"/>
          <w:sz w:val="20"/>
        </w:rPr>
        <w:t xml:space="preserve"> </w:t>
      </w:r>
      <w:r>
        <w:rPr>
          <w:sz w:val="20"/>
        </w:rPr>
        <w:t>laborales</w:t>
      </w:r>
      <w:r>
        <w:rPr>
          <w:spacing w:val="-1"/>
          <w:sz w:val="20"/>
        </w:rPr>
        <w:t xml:space="preserve"> </w:t>
      </w:r>
      <w:r>
        <w:rPr>
          <w:sz w:val="20"/>
        </w:rPr>
        <w:t>prestados</w:t>
      </w:r>
      <w:r>
        <w:rPr>
          <w:spacing w:val="-1"/>
          <w:sz w:val="20"/>
        </w:rPr>
        <w:t xml:space="preserve"> </w:t>
      </w:r>
      <w:r>
        <w:rPr>
          <w:sz w:val="20"/>
        </w:rPr>
        <w:t>por</w:t>
      </w:r>
      <w:r>
        <w:rPr>
          <w:spacing w:val="-1"/>
          <w:sz w:val="20"/>
        </w:rPr>
        <w:t xml:space="preserve"> </w:t>
      </w:r>
      <w:r>
        <w:rPr>
          <w:sz w:val="20"/>
        </w:rPr>
        <w:t>organizaciones</w:t>
      </w:r>
      <w:r>
        <w:rPr>
          <w:spacing w:val="-1"/>
          <w:sz w:val="20"/>
        </w:rPr>
        <w:t xml:space="preserve"> </w:t>
      </w:r>
      <w:r>
        <w:rPr>
          <w:sz w:val="20"/>
        </w:rPr>
        <w:t>o</w:t>
      </w:r>
      <w:r>
        <w:rPr>
          <w:spacing w:val="-1"/>
          <w:sz w:val="20"/>
        </w:rPr>
        <w:t xml:space="preserve"> </w:t>
      </w:r>
      <w:r>
        <w:rPr>
          <w:sz w:val="20"/>
        </w:rPr>
        <w:t>asociaciones</w:t>
      </w:r>
      <w:r>
        <w:rPr>
          <w:spacing w:val="-1"/>
          <w:sz w:val="20"/>
        </w:rPr>
        <w:t xml:space="preserve"> </w:t>
      </w:r>
      <w:r>
        <w:rPr>
          <w:sz w:val="20"/>
        </w:rPr>
        <w:t>sin</w:t>
      </w:r>
      <w:r>
        <w:rPr>
          <w:spacing w:val="-1"/>
          <w:sz w:val="20"/>
        </w:rPr>
        <w:t xml:space="preserve"> </w:t>
      </w:r>
      <w:r>
        <w:rPr>
          <w:sz w:val="20"/>
        </w:rPr>
        <w:t>ánimo</w:t>
      </w:r>
      <w:r>
        <w:rPr>
          <w:spacing w:val="-1"/>
          <w:sz w:val="20"/>
        </w:rPr>
        <w:t xml:space="preserve"> </w:t>
      </w:r>
      <w:r>
        <w:rPr>
          <w:sz w:val="20"/>
        </w:rPr>
        <w:t>de</w:t>
      </w:r>
      <w:r>
        <w:rPr>
          <w:spacing w:val="-1"/>
          <w:sz w:val="20"/>
        </w:rPr>
        <w:t xml:space="preserve"> </w:t>
      </w:r>
      <w:r>
        <w:rPr>
          <w:sz w:val="20"/>
        </w:rPr>
        <w:t>lucro</w:t>
      </w:r>
      <w:r>
        <w:rPr>
          <w:spacing w:val="-1"/>
          <w:sz w:val="20"/>
        </w:rPr>
        <w:t xml:space="preserve"> </w:t>
      </w:r>
      <w:r>
        <w:rPr>
          <w:sz w:val="20"/>
        </w:rPr>
        <w:t>e</w:t>
      </w:r>
      <w:r>
        <w:rPr>
          <w:spacing w:val="-1"/>
          <w:sz w:val="20"/>
        </w:rPr>
        <w:t xml:space="preserve"> </w:t>
      </w:r>
      <w:r>
        <w:rPr>
          <w:sz w:val="20"/>
        </w:rPr>
        <w:t>incluidos en</w:t>
      </w:r>
      <w:r>
        <w:rPr>
          <w:spacing w:val="70"/>
          <w:w w:val="150"/>
          <w:sz w:val="20"/>
        </w:rPr>
        <w:t xml:space="preserve"> </w:t>
      </w:r>
      <w:r>
        <w:rPr>
          <w:sz w:val="20"/>
        </w:rPr>
        <w:t>los</w:t>
      </w:r>
      <w:r>
        <w:rPr>
          <w:spacing w:val="70"/>
          <w:w w:val="150"/>
          <w:sz w:val="20"/>
        </w:rPr>
        <w:t xml:space="preserve"> </w:t>
      </w:r>
      <w:r>
        <w:rPr>
          <w:sz w:val="20"/>
        </w:rPr>
        <w:t>siguientes</w:t>
      </w:r>
      <w:r>
        <w:rPr>
          <w:spacing w:val="71"/>
          <w:w w:val="150"/>
          <w:sz w:val="20"/>
        </w:rPr>
        <w:t xml:space="preserve"> </w:t>
      </w:r>
      <w:r>
        <w:rPr>
          <w:sz w:val="20"/>
        </w:rPr>
        <w:t>códigos</w:t>
      </w:r>
      <w:r>
        <w:rPr>
          <w:spacing w:val="70"/>
          <w:w w:val="150"/>
          <w:sz w:val="20"/>
        </w:rPr>
        <w:t xml:space="preserve"> </w:t>
      </w:r>
      <w:r>
        <w:rPr>
          <w:sz w:val="20"/>
        </w:rPr>
        <w:t>CPV:</w:t>
      </w:r>
      <w:r>
        <w:rPr>
          <w:spacing w:val="70"/>
          <w:w w:val="150"/>
          <w:sz w:val="20"/>
        </w:rPr>
        <w:t xml:space="preserve"> </w:t>
      </w:r>
      <w:r>
        <w:rPr>
          <w:sz w:val="20"/>
        </w:rPr>
        <w:t>75250000-3,</w:t>
      </w:r>
      <w:r>
        <w:rPr>
          <w:spacing w:val="71"/>
          <w:w w:val="150"/>
          <w:sz w:val="20"/>
        </w:rPr>
        <w:t xml:space="preserve"> </w:t>
      </w:r>
      <w:r>
        <w:rPr>
          <w:sz w:val="20"/>
        </w:rPr>
        <w:t>75251000-0,</w:t>
      </w:r>
      <w:r>
        <w:rPr>
          <w:spacing w:val="70"/>
          <w:w w:val="150"/>
          <w:sz w:val="20"/>
        </w:rPr>
        <w:t xml:space="preserve"> </w:t>
      </w:r>
      <w:r>
        <w:rPr>
          <w:sz w:val="20"/>
        </w:rPr>
        <w:t>75251100-1,</w:t>
      </w:r>
      <w:r>
        <w:rPr>
          <w:spacing w:val="70"/>
          <w:w w:val="150"/>
          <w:sz w:val="20"/>
        </w:rPr>
        <w:t xml:space="preserve"> </w:t>
      </w:r>
      <w:r>
        <w:rPr>
          <w:sz w:val="20"/>
        </w:rPr>
        <w:t>75251110-</w:t>
      </w:r>
      <w:r>
        <w:rPr>
          <w:spacing w:val="-5"/>
          <w:sz w:val="20"/>
        </w:rPr>
        <w:t>4,</w:t>
      </w:r>
    </w:p>
    <w:p w:rsidR="0092635B" w:rsidRDefault="00000000">
      <w:pPr>
        <w:pStyle w:val="Textoindependiente"/>
        <w:ind w:firstLine="0"/>
      </w:pPr>
      <w:r>
        <w:t>75251120-7,</w:t>
      </w:r>
      <w:r>
        <w:rPr>
          <w:spacing w:val="44"/>
        </w:rPr>
        <w:t xml:space="preserve"> </w:t>
      </w:r>
      <w:r>
        <w:t>75252000-7,</w:t>
      </w:r>
      <w:r>
        <w:rPr>
          <w:spacing w:val="46"/>
        </w:rPr>
        <w:t xml:space="preserve"> </w:t>
      </w:r>
      <w:r>
        <w:t>75222000-</w:t>
      </w:r>
      <w:r>
        <w:rPr>
          <w:spacing w:val="47"/>
        </w:rPr>
        <w:t xml:space="preserve"> </w:t>
      </w:r>
      <w:r>
        <w:t>8;</w:t>
      </w:r>
      <w:r>
        <w:rPr>
          <w:spacing w:val="46"/>
        </w:rPr>
        <w:t xml:space="preserve"> </w:t>
      </w:r>
      <w:r>
        <w:t>98113100-9;</w:t>
      </w:r>
      <w:r>
        <w:rPr>
          <w:spacing w:val="47"/>
        </w:rPr>
        <w:t xml:space="preserve"> </w:t>
      </w:r>
      <w:r>
        <w:t>85143000-3,</w:t>
      </w:r>
      <w:r>
        <w:rPr>
          <w:spacing w:val="46"/>
        </w:rPr>
        <w:t xml:space="preserve"> </w:t>
      </w:r>
      <w:r>
        <w:t>salvo</w:t>
      </w:r>
      <w:r>
        <w:rPr>
          <w:spacing w:val="47"/>
        </w:rPr>
        <w:t xml:space="preserve"> </w:t>
      </w:r>
      <w:r>
        <w:t>los</w:t>
      </w:r>
      <w:r>
        <w:rPr>
          <w:spacing w:val="46"/>
        </w:rPr>
        <w:t xml:space="preserve"> </w:t>
      </w:r>
      <w:r>
        <w:t>servicios</w:t>
      </w:r>
      <w:r>
        <w:rPr>
          <w:spacing w:val="47"/>
        </w:rPr>
        <w:t xml:space="preserve"> </w:t>
      </w:r>
      <w:r>
        <w:rPr>
          <w:spacing w:val="-5"/>
        </w:rPr>
        <w:t>de</w:t>
      </w:r>
    </w:p>
    <w:p w:rsidR="0092635B" w:rsidRDefault="00000000">
      <w:pPr>
        <w:pStyle w:val="Textoindependiente"/>
        <w:spacing w:before="10"/>
        <w:ind w:firstLine="0"/>
      </w:pPr>
      <w:r>
        <w:t>transporte</w:t>
      </w:r>
      <w:r>
        <w:rPr>
          <w:spacing w:val="-5"/>
        </w:rPr>
        <w:t xml:space="preserve"> </w:t>
      </w:r>
      <w:r>
        <w:t>en</w:t>
      </w:r>
      <w:r>
        <w:rPr>
          <w:spacing w:val="-5"/>
        </w:rPr>
        <w:t xml:space="preserve"> </w:t>
      </w:r>
      <w:r>
        <w:t>ambulancia</w:t>
      </w:r>
      <w:r>
        <w:rPr>
          <w:spacing w:val="-5"/>
        </w:rPr>
        <w:t xml:space="preserve"> </w:t>
      </w:r>
      <w:r>
        <w:t>de</w:t>
      </w:r>
      <w:r>
        <w:rPr>
          <w:spacing w:val="-5"/>
        </w:rPr>
        <w:t xml:space="preserve"> </w:t>
      </w:r>
      <w:r>
        <w:rPr>
          <w:spacing w:val="-2"/>
        </w:rPr>
        <w:t>pacientes.</w:t>
      </w:r>
    </w:p>
    <w:p w:rsidR="0092635B" w:rsidRDefault="00000000">
      <w:pPr>
        <w:pStyle w:val="Prrafodelista"/>
        <w:numPr>
          <w:ilvl w:val="1"/>
          <w:numId w:val="336"/>
        </w:numPr>
        <w:tabs>
          <w:tab w:val="left" w:pos="1685"/>
        </w:tabs>
        <w:spacing w:before="10" w:line="249" w:lineRule="auto"/>
        <w:ind w:firstLine="340"/>
        <w:jc w:val="both"/>
        <w:rPr>
          <w:sz w:val="20"/>
        </w:rPr>
      </w:pPr>
      <w:r>
        <w:rPr>
          <w:sz w:val="20"/>
        </w:rPr>
        <w:t>Los que tengan por objeto servicios públicos de transporte de viajeros por ferrocarril o en metro, así como las concesiones de servicios de transporte de viajeros, sin perjuicio de la aplicación</w:t>
      </w:r>
      <w:r>
        <w:rPr>
          <w:spacing w:val="-1"/>
          <w:sz w:val="20"/>
        </w:rPr>
        <w:t xml:space="preserve"> </w:t>
      </w:r>
      <w:r>
        <w:rPr>
          <w:sz w:val="20"/>
        </w:rPr>
        <w:t>del</w:t>
      </w:r>
      <w:r>
        <w:rPr>
          <w:spacing w:val="-1"/>
          <w:sz w:val="20"/>
        </w:rPr>
        <w:t xml:space="preserve"> </w:t>
      </w:r>
      <w:r>
        <w:rPr>
          <w:sz w:val="20"/>
        </w:rPr>
        <w:t>Reglamento</w:t>
      </w:r>
      <w:r>
        <w:rPr>
          <w:spacing w:val="-1"/>
          <w:sz w:val="20"/>
        </w:rPr>
        <w:t xml:space="preserve"> </w:t>
      </w:r>
      <w:r>
        <w:rPr>
          <w:sz w:val="20"/>
        </w:rPr>
        <w:t>(UE)</w:t>
      </w:r>
      <w:r>
        <w:rPr>
          <w:spacing w:val="-1"/>
          <w:sz w:val="20"/>
        </w:rPr>
        <w:t xml:space="preserve"> </w:t>
      </w:r>
      <w:r>
        <w:rPr>
          <w:sz w:val="20"/>
        </w:rPr>
        <w:t>n.º</w:t>
      </w:r>
      <w:r>
        <w:rPr>
          <w:spacing w:val="-1"/>
          <w:sz w:val="20"/>
        </w:rPr>
        <w:t xml:space="preserve"> </w:t>
      </w:r>
      <w:r>
        <w:rPr>
          <w:sz w:val="20"/>
        </w:rPr>
        <w:t>1370/2007,</w:t>
      </w:r>
      <w:r>
        <w:rPr>
          <w:spacing w:val="-1"/>
          <w:sz w:val="20"/>
        </w:rPr>
        <w:t xml:space="preserve"> </w:t>
      </w:r>
      <w:r>
        <w:rPr>
          <w:sz w:val="20"/>
        </w:rPr>
        <w:t>del</w:t>
      </w:r>
      <w:r>
        <w:rPr>
          <w:spacing w:val="-1"/>
          <w:sz w:val="20"/>
        </w:rPr>
        <w:t xml:space="preserve"> </w:t>
      </w:r>
      <w:r>
        <w:rPr>
          <w:sz w:val="20"/>
        </w:rPr>
        <w:t>Parlamento</w:t>
      </w:r>
      <w:r>
        <w:rPr>
          <w:spacing w:val="-1"/>
          <w:sz w:val="20"/>
        </w:rPr>
        <w:t xml:space="preserve"> </w:t>
      </w:r>
      <w:r>
        <w:rPr>
          <w:sz w:val="20"/>
        </w:rPr>
        <w:t>Europeo</w:t>
      </w:r>
      <w:r>
        <w:rPr>
          <w:spacing w:val="-1"/>
          <w:sz w:val="20"/>
        </w:rPr>
        <w:t xml:space="preserve"> </w:t>
      </w:r>
      <w:r>
        <w:rPr>
          <w:sz w:val="20"/>
        </w:rPr>
        <w:t>y</w:t>
      </w:r>
      <w:r>
        <w:rPr>
          <w:spacing w:val="-1"/>
          <w:sz w:val="20"/>
        </w:rPr>
        <w:t xml:space="preserve"> </w:t>
      </w:r>
      <w:r>
        <w:rPr>
          <w:sz w:val="20"/>
        </w:rPr>
        <w:t>del</w:t>
      </w:r>
      <w:r>
        <w:rPr>
          <w:spacing w:val="-1"/>
          <w:sz w:val="20"/>
        </w:rPr>
        <w:t xml:space="preserve"> </w:t>
      </w:r>
      <w:r>
        <w:rPr>
          <w:sz w:val="20"/>
        </w:rPr>
        <w:t>Consejo,</w:t>
      </w:r>
      <w:r>
        <w:rPr>
          <w:spacing w:val="-1"/>
          <w:sz w:val="20"/>
        </w:rPr>
        <w:t xml:space="preserve"> </w:t>
      </w:r>
      <w:r>
        <w:rPr>
          <w:sz w:val="20"/>
        </w:rPr>
        <w:t>de</w:t>
      </w:r>
      <w:r>
        <w:rPr>
          <w:spacing w:val="-1"/>
          <w:sz w:val="20"/>
        </w:rPr>
        <w:t xml:space="preserve"> </w:t>
      </w:r>
      <w:r>
        <w:rPr>
          <w:sz w:val="20"/>
        </w:rPr>
        <w:t>23 de octubre de 2007, sobre los servicios públicos de transporte de viajeros por ferrocarril y carretera y por el que se derogan los Reglamentos (CEE) n.º 1191/69 y (CEE) n.º 1107/70 del Consejo.</w:t>
      </w:r>
    </w:p>
    <w:p w:rsidR="0092635B" w:rsidRDefault="00000000">
      <w:pPr>
        <w:pStyle w:val="Prrafodelista"/>
        <w:numPr>
          <w:ilvl w:val="1"/>
          <w:numId w:val="336"/>
        </w:numPr>
        <w:tabs>
          <w:tab w:val="left" w:pos="1679"/>
        </w:tabs>
        <w:spacing w:before="5"/>
        <w:ind w:left="1679" w:right="0" w:hanging="233"/>
        <w:jc w:val="both"/>
        <w:rPr>
          <w:sz w:val="20"/>
        </w:rPr>
      </w:pPr>
      <w:r>
        <w:rPr>
          <w:sz w:val="20"/>
        </w:rPr>
        <w:t>Los</w:t>
      </w:r>
      <w:r>
        <w:rPr>
          <w:spacing w:val="-2"/>
          <w:sz w:val="20"/>
        </w:rPr>
        <w:t xml:space="preserve"> </w:t>
      </w:r>
      <w:r>
        <w:rPr>
          <w:sz w:val="20"/>
        </w:rPr>
        <w:t>contratos</w:t>
      </w:r>
      <w:r>
        <w:rPr>
          <w:spacing w:val="-2"/>
          <w:sz w:val="20"/>
        </w:rPr>
        <w:t xml:space="preserve"> </w:t>
      </w:r>
      <w:r>
        <w:rPr>
          <w:sz w:val="20"/>
        </w:rPr>
        <w:t>de</w:t>
      </w:r>
      <w:r>
        <w:rPr>
          <w:spacing w:val="-2"/>
          <w:sz w:val="20"/>
        </w:rPr>
        <w:t xml:space="preserve"> </w:t>
      </w:r>
      <w:r>
        <w:rPr>
          <w:sz w:val="20"/>
        </w:rPr>
        <w:t>concesión</w:t>
      </w:r>
      <w:r>
        <w:rPr>
          <w:spacing w:val="-2"/>
          <w:sz w:val="20"/>
        </w:rPr>
        <w:t xml:space="preserve"> </w:t>
      </w:r>
      <w:r>
        <w:rPr>
          <w:sz w:val="20"/>
        </w:rPr>
        <w:t>adjudicados</w:t>
      </w:r>
      <w:r>
        <w:rPr>
          <w:spacing w:val="-1"/>
          <w:sz w:val="20"/>
        </w:rPr>
        <w:t xml:space="preserve"> </w:t>
      </w:r>
      <w:r>
        <w:rPr>
          <w:spacing w:val="-2"/>
          <w:sz w:val="20"/>
        </w:rPr>
        <w:t>para:</w:t>
      </w:r>
    </w:p>
    <w:p w:rsidR="0092635B" w:rsidRDefault="00000000">
      <w:pPr>
        <w:pStyle w:val="Prrafodelista"/>
        <w:numPr>
          <w:ilvl w:val="2"/>
          <w:numId w:val="336"/>
        </w:numPr>
        <w:tabs>
          <w:tab w:val="left" w:pos="1610"/>
        </w:tabs>
        <w:spacing w:before="130" w:line="249" w:lineRule="auto"/>
        <w:ind w:right="1105" w:firstLine="340"/>
        <w:jc w:val="both"/>
        <w:rPr>
          <w:sz w:val="20"/>
        </w:rPr>
      </w:pPr>
      <w:r>
        <w:rPr>
          <w:sz w:val="20"/>
        </w:rPr>
        <w:t>º La puesta a disposición o la explotación de redes fijas destinadas a prestar un</w:t>
      </w:r>
      <w:r>
        <w:rPr>
          <w:spacing w:val="40"/>
          <w:sz w:val="20"/>
        </w:rPr>
        <w:t xml:space="preserve"> </w:t>
      </w:r>
      <w:r>
        <w:rPr>
          <w:sz w:val="20"/>
        </w:rPr>
        <w:t xml:space="preserve">servicio al público en relación con la producción, el transporte o la distribución de agua </w:t>
      </w:r>
      <w:r>
        <w:rPr>
          <w:spacing w:val="-2"/>
          <w:sz w:val="20"/>
        </w:rPr>
        <w:t>potable;</w:t>
      </w:r>
    </w:p>
    <w:p w:rsidR="0092635B" w:rsidRDefault="00000000">
      <w:pPr>
        <w:pStyle w:val="Prrafodelista"/>
        <w:numPr>
          <w:ilvl w:val="2"/>
          <w:numId w:val="336"/>
        </w:numPr>
        <w:tabs>
          <w:tab w:val="left" w:pos="1610"/>
        </w:tabs>
        <w:ind w:left="1610" w:right="0" w:hanging="164"/>
        <w:jc w:val="both"/>
        <w:rPr>
          <w:sz w:val="20"/>
        </w:rPr>
      </w:pPr>
      <w:r>
        <w:rPr>
          <w:sz w:val="20"/>
        </w:rPr>
        <w:t>º</w:t>
      </w:r>
      <w:r>
        <w:rPr>
          <w:spacing w:val="-6"/>
          <w:sz w:val="20"/>
        </w:rPr>
        <w:t xml:space="preserve"> </w:t>
      </w:r>
      <w:r>
        <w:rPr>
          <w:sz w:val="20"/>
        </w:rPr>
        <w:t>El</w:t>
      </w:r>
      <w:r>
        <w:rPr>
          <w:spacing w:val="-2"/>
          <w:sz w:val="20"/>
        </w:rPr>
        <w:t xml:space="preserve"> </w:t>
      </w:r>
      <w:r>
        <w:rPr>
          <w:sz w:val="20"/>
        </w:rPr>
        <w:t>suministro</w:t>
      </w:r>
      <w:r>
        <w:rPr>
          <w:spacing w:val="-3"/>
          <w:sz w:val="20"/>
        </w:rPr>
        <w:t xml:space="preserve"> </w:t>
      </w:r>
      <w:r>
        <w:rPr>
          <w:sz w:val="20"/>
        </w:rPr>
        <w:t>de</w:t>
      </w:r>
      <w:r>
        <w:rPr>
          <w:spacing w:val="-2"/>
          <w:sz w:val="20"/>
        </w:rPr>
        <w:t xml:space="preserve"> </w:t>
      </w:r>
      <w:r>
        <w:rPr>
          <w:sz w:val="20"/>
        </w:rPr>
        <w:t>agua</w:t>
      </w:r>
      <w:r>
        <w:rPr>
          <w:spacing w:val="-3"/>
          <w:sz w:val="20"/>
        </w:rPr>
        <w:t xml:space="preserve"> </w:t>
      </w:r>
      <w:r>
        <w:rPr>
          <w:sz w:val="20"/>
        </w:rPr>
        <w:t>potable</w:t>
      </w:r>
      <w:r>
        <w:rPr>
          <w:spacing w:val="-2"/>
          <w:sz w:val="20"/>
        </w:rPr>
        <w:t xml:space="preserve"> </w:t>
      </w:r>
      <w:r>
        <w:rPr>
          <w:sz w:val="20"/>
        </w:rPr>
        <w:t>a</w:t>
      </w:r>
      <w:r>
        <w:rPr>
          <w:spacing w:val="-3"/>
          <w:sz w:val="20"/>
        </w:rPr>
        <w:t xml:space="preserve"> </w:t>
      </w:r>
      <w:r>
        <w:rPr>
          <w:sz w:val="20"/>
        </w:rPr>
        <w:t>dichas</w:t>
      </w:r>
      <w:r>
        <w:rPr>
          <w:spacing w:val="-2"/>
          <w:sz w:val="20"/>
        </w:rPr>
        <w:t xml:space="preserve"> redes.</w:t>
      </w:r>
    </w:p>
    <w:p w:rsidR="0092635B" w:rsidRDefault="00000000">
      <w:pPr>
        <w:pStyle w:val="Textoindependiente"/>
        <w:spacing w:before="131" w:line="249" w:lineRule="auto"/>
        <w:ind w:right="1104"/>
      </w:pPr>
      <w:r>
        <w:t>Asimismo, tampoco se considerarán sujetos a regulación armonizada los contratos de concesión que se refieran a uno de los objetos siguientes o a ambos que estén relacionadas con una de las actividades contempladas en los números 1.º y 2.º anteriores:</w:t>
      </w:r>
    </w:p>
    <w:p w:rsidR="0092635B" w:rsidRDefault="00000000">
      <w:pPr>
        <w:pStyle w:val="Prrafodelista"/>
        <w:numPr>
          <w:ilvl w:val="0"/>
          <w:numId w:val="335"/>
        </w:numPr>
        <w:tabs>
          <w:tab w:val="left" w:pos="1648"/>
        </w:tabs>
        <w:spacing w:before="122" w:line="249" w:lineRule="auto"/>
        <w:ind w:firstLine="340"/>
        <w:jc w:val="both"/>
        <w:rPr>
          <w:sz w:val="20"/>
        </w:rPr>
      </w:pPr>
      <w:r>
        <w:rPr>
          <w:sz w:val="20"/>
        </w:rPr>
        <w:t>Proyectos de ingeniería hidráulica, irrigación o drenaje, siempre que el volumen de agua destinado al abastecimiento de agua potable represente más del 20 por ciento del volumen total de agua disponible gracias a dichos proyectos o a dichas instalaciones de irrigación o drenaje, o</w:t>
      </w:r>
    </w:p>
    <w:p w:rsidR="0092635B" w:rsidRDefault="00000000">
      <w:pPr>
        <w:pStyle w:val="Prrafodelista"/>
        <w:numPr>
          <w:ilvl w:val="0"/>
          <w:numId w:val="335"/>
        </w:numPr>
        <w:tabs>
          <w:tab w:val="left" w:pos="1668"/>
        </w:tabs>
        <w:spacing w:before="3"/>
        <w:ind w:left="1668" w:right="0" w:hanging="222"/>
        <w:jc w:val="both"/>
        <w:rPr>
          <w:sz w:val="20"/>
        </w:rPr>
      </w:pPr>
      <w:r>
        <w:rPr>
          <w:sz w:val="20"/>
        </w:rPr>
        <w:t>Eliminación</w:t>
      </w:r>
      <w:r>
        <w:rPr>
          <w:spacing w:val="-7"/>
          <w:sz w:val="20"/>
        </w:rPr>
        <w:t xml:space="preserve"> </w:t>
      </w:r>
      <w:r>
        <w:rPr>
          <w:sz w:val="20"/>
        </w:rPr>
        <w:t>o</w:t>
      </w:r>
      <w:r>
        <w:rPr>
          <w:spacing w:val="-4"/>
          <w:sz w:val="20"/>
        </w:rPr>
        <w:t xml:space="preserve"> </w:t>
      </w:r>
      <w:r>
        <w:rPr>
          <w:sz w:val="20"/>
        </w:rPr>
        <w:t>tratamiento</w:t>
      </w:r>
      <w:r>
        <w:rPr>
          <w:spacing w:val="-4"/>
          <w:sz w:val="20"/>
        </w:rPr>
        <w:t xml:space="preserve"> </w:t>
      </w:r>
      <w:r>
        <w:rPr>
          <w:sz w:val="20"/>
        </w:rPr>
        <w:t>de</w:t>
      </w:r>
      <w:r>
        <w:rPr>
          <w:spacing w:val="-4"/>
          <w:sz w:val="20"/>
        </w:rPr>
        <w:t xml:space="preserve"> </w:t>
      </w:r>
      <w:r>
        <w:rPr>
          <w:sz w:val="20"/>
        </w:rPr>
        <w:t>aguas</w:t>
      </w:r>
      <w:r>
        <w:rPr>
          <w:spacing w:val="-4"/>
          <w:sz w:val="20"/>
        </w:rPr>
        <w:t xml:space="preserve"> </w:t>
      </w:r>
      <w:r>
        <w:rPr>
          <w:spacing w:val="-2"/>
          <w:sz w:val="20"/>
        </w:rPr>
        <w:t>residuales.</w:t>
      </w:r>
    </w:p>
    <w:p w:rsidR="0092635B" w:rsidRDefault="0092635B">
      <w:pPr>
        <w:pStyle w:val="Textoindependiente"/>
        <w:spacing w:before="7"/>
        <w:ind w:left="0" w:firstLine="0"/>
        <w:jc w:val="left"/>
      </w:pPr>
    </w:p>
    <w:p w:rsidR="0092635B" w:rsidRDefault="00000000">
      <w:pPr>
        <w:spacing w:line="249" w:lineRule="auto"/>
        <w:ind w:left="1106" w:right="1103" w:hanging="1"/>
        <w:jc w:val="both"/>
        <w:rPr>
          <w:rFonts w:ascii="Arial" w:hAnsi="Arial"/>
          <w:i/>
          <w:sz w:val="20"/>
        </w:rPr>
      </w:pPr>
      <w:bookmarkStart w:id="36" w:name="Artículo_20._Contratos_de_obras,_de_conc"/>
      <w:bookmarkEnd w:id="36"/>
      <w:r>
        <w:rPr>
          <w:rFonts w:ascii="Arial" w:hAnsi="Arial"/>
          <w:b/>
          <w:sz w:val="20"/>
        </w:rPr>
        <w:t>Artículo 20.</w:t>
      </w:r>
      <w:r>
        <w:rPr>
          <w:rFonts w:ascii="Arial" w:hAnsi="Arial"/>
          <w:b/>
          <w:spacing w:val="40"/>
          <w:sz w:val="20"/>
        </w:rPr>
        <w:t xml:space="preserve"> </w:t>
      </w:r>
      <w:r>
        <w:rPr>
          <w:rFonts w:ascii="Arial" w:hAnsi="Arial"/>
          <w:i/>
          <w:sz w:val="20"/>
        </w:rPr>
        <w:t>Contratos de obras, de concesión de obras y de concesión de servicios sujetos a una regulación armonizada: Umbral.</w:t>
      </w:r>
    </w:p>
    <w:p w:rsidR="0092635B" w:rsidRDefault="00000000">
      <w:pPr>
        <w:pStyle w:val="Prrafodelista"/>
        <w:numPr>
          <w:ilvl w:val="1"/>
          <w:numId w:val="335"/>
        </w:numPr>
        <w:tabs>
          <w:tab w:val="left" w:pos="1677"/>
        </w:tabs>
        <w:spacing w:before="115" w:line="249" w:lineRule="auto"/>
        <w:ind w:firstLine="340"/>
        <w:jc w:val="both"/>
        <w:rPr>
          <w:sz w:val="20"/>
        </w:rPr>
      </w:pPr>
      <w:r>
        <w:rPr>
          <w:sz w:val="20"/>
        </w:rPr>
        <w:t>Están sujetos a regulación armonizada los contratos de obras, de concesión de obras</w:t>
      </w:r>
      <w:r>
        <w:rPr>
          <w:spacing w:val="40"/>
          <w:sz w:val="20"/>
        </w:rPr>
        <w:t xml:space="preserve"> </w:t>
      </w:r>
      <w:r>
        <w:rPr>
          <w:sz w:val="20"/>
        </w:rPr>
        <w:t>y de concesión de servicios cuyo valor estimado sea igual o superior a 5.538.000 euros.</w:t>
      </w:r>
    </w:p>
    <w:p w:rsidR="0092635B" w:rsidRDefault="00000000">
      <w:pPr>
        <w:pStyle w:val="Prrafodelista"/>
        <w:numPr>
          <w:ilvl w:val="1"/>
          <w:numId w:val="335"/>
        </w:numPr>
        <w:tabs>
          <w:tab w:val="left" w:pos="1682"/>
        </w:tabs>
        <w:spacing w:line="249" w:lineRule="auto"/>
        <w:ind w:firstLine="340"/>
        <w:jc w:val="both"/>
        <w:rPr>
          <w:sz w:val="20"/>
        </w:rPr>
      </w:pPr>
      <w:r>
        <w:rPr>
          <w:sz w:val="20"/>
        </w:rPr>
        <w:t>En el supuesto previsto en el artículo 101.12 relativo al cálculo del valor estimado en los</w:t>
      </w:r>
      <w:r>
        <w:rPr>
          <w:spacing w:val="-1"/>
          <w:sz w:val="20"/>
        </w:rPr>
        <w:t xml:space="preserve"> </w:t>
      </w:r>
      <w:r>
        <w:rPr>
          <w:sz w:val="20"/>
        </w:rPr>
        <w:t>contratos</w:t>
      </w:r>
      <w:r>
        <w:rPr>
          <w:spacing w:val="-1"/>
          <w:sz w:val="20"/>
        </w:rPr>
        <w:t xml:space="preserve"> </w:t>
      </w:r>
      <w:r>
        <w:rPr>
          <w:sz w:val="20"/>
        </w:rPr>
        <w:t>de</w:t>
      </w:r>
      <w:r>
        <w:rPr>
          <w:spacing w:val="-1"/>
          <w:sz w:val="20"/>
        </w:rPr>
        <w:t xml:space="preserve"> </w:t>
      </w:r>
      <w:r>
        <w:rPr>
          <w:sz w:val="20"/>
        </w:rPr>
        <w:t>obras</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adjudiquen</w:t>
      </w:r>
      <w:r>
        <w:rPr>
          <w:spacing w:val="-1"/>
          <w:sz w:val="20"/>
        </w:rPr>
        <w:t xml:space="preserve"> </w:t>
      </w:r>
      <w:r>
        <w:rPr>
          <w:sz w:val="20"/>
        </w:rPr>
        <w:t>por</w:t>
      </w:r>
      <w:r>
        <w:rPr>
          <w:spacing w:val="-1"/>
          <w:sz w:val="20"/>
        </w:rPr>
        <w:t xml:space="preserve"> </w:t>
      </w:r>
      <w:r>
        <w:rPr>
          <w:sz w:val="20"/>
        </w:rPr>
        <w:t>lotes</w:t>
      </w:r>
      <w:r>
        <w:rPr>
          <w:spacing w:val="-1"/>
          <w:sz w:val="20"/>
        </w:rPr>
        <w:t xml:space="preserve"> </w:t>
      </w:r>
      <w:r>
        <w:rPr>
          <w:sz w:val="20"/>
        </w:rPr>
        <w:t>separados,</w:t>
      </w:r>
      <w:r>
        <w:rPr>
          <w:spacing w:val="-1"/>
          <w:sz w:val="20"/>
        </w:rPr>
        <w:t xml:space="preserve"> </w:t>
      </w:r>
      <w:r>
        <w:rPr>
          <w:sz w:val="20"/>
        </w:rPr>
        <w:t>cuando</w:t>
      </w:r>
      <w:r>
        <w:rPr>
          <w:spacing w:val="-1"/>
          <w:sz w:val="20"/>
        </w:rPr>
        <w:t xml:space="preserve"> </w:t>
      </w:r>
      <w:r>
        <w:rPr>
          <w:sz w:val="20"/>
        </w:rPr>
        <w:t>el</w:t>
      </w:r>
      <w:r>
        <w:rPr>
          <w:spacing w:val="-1"/>
          <w:sz w:val="20"/>
        </w:rPr>
        <w:t xml:space="preserve"> </w:t>
      </w:r>
      <w:r>
        <w:rPr>
          <w:sz w:val="20"/>
        </w:rPr>
        <w:t>valor</w:t>
      </w:r>
      <w:r>
        <w:rPr>
          <w:spacing w:val="-1"/>
          <w:sz w:val="20"/>
        </w:rPr>
        <w:t xml:space="preserve"> </w:t>
      </w:r>
      <w:r>
        <w:rPr>
          <w:sz w:val="20"/>
        </w:rPr>
        <w:t>acumulado</w:t>
      </w:r>
      <w:r>
        <w:rPr>
          <w:spacing w:val="-1"/>
          <w:sz w:val="20"/>
        </w:rPr>
        <w:t xml:space="preserve"> </w:t>
      </w:r>
      <w:r>
        <w:rPr>
          <w:sz w:val="20"/>
        </w:rPr>
        <w:t>de los</w:t>
      </w:r>
      <w:r>
        <w:rPr>
          <w:spacing w:val="-3"/>
          <w:sz w:val="20"/>
        </w:rPr>
        <w:t xml:space="preserve"> </w:t>
      </w:r>
      <w:r>
        <w:rPr>
          <w:sz w:val="20"/>
        </w:rPr>
        <w:t>lotes</w:t>
      </w:r>
      <w:r>
        <w:rPr>
          <w:spacing w:val="-3"/>
          <w:sz w:val="20"/>
        </w:rPr>
        <w:t xml:space="preserve"> </w:t>
      </w:r>
      <w:r>
        <w:rPr>
          <w:sz w:val="20"/>
        </w:rPr>
        <w:t>en</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divida</w:t>
      </w:r>
      <w:r>
        <w:rPr>
          <w:spacing w:val="-3"/>
          <w:sz w:val="20"/>
        </w:rPr>
        <w:t xml:space="preserve"> </w:t>
      </w:r>
      <w:r>
        <w:rPr>
          <w:sz w:val="20"/>
        </w:rPr>
        <w:t>la</w:t>
      </w:r>
      <w:r>
        <w:rPr>
          <w:spacing w:val="-3"/>
          <w:sz w:val="20"/>
        </w:rPr>
        <w:t xml:space="preserve"> </w:t>
      </w:r>
      <w:r>
        <w:rPr>
          <w:sz w:val="20"/>
        </w:rPr>
        <w:t>obra</w:t>
      </w:r>
      <w:r>
        <w:rPr>
          <w:spacing w:val="-3"/>
          <w:sz w:val="20"/>
        </w:rPr>
        <w:t xml:space="preserve"> </w:t>
      </w:r>
      <w:r>
        <w:rPr>
          <w:sz w:val="20"/>
        </w:rPr>
        <w:t>iguale</w:t>
      </w:r>
      <w:r>
        <w:rPr>
          <w:spacing w:val="-3"/>
          <w:sz w:val="20"/>
        </w:rPr>
        <w:t xml:space="preserve"> </w:t>
      </w:r>
      <w:r>
        <w:rPr>
          <w:sz w:val="20"/>
        </w:rPr>
        <w:t>o</w:t>
      </w:r>
      <w:r>
        <w:rPr>
          <w:spacing w:val="-3"/>
          <w:sz w:val="20"/>
        </w:rPr>
        <w:t xml:space="preserve"> </w:t>
      </w:r>
      <w:r>
        <w:rPr>
          <w:sz w:val="20"/>
        </w:rPr>
        <w:t>supere</w:t>
      </w:r>
      <w:r>
        <w:rPr>
          <w:spacing w:val="-3"/>
          <w:sz w:val="20"/>
        </w:rPr>
        <w:t xml:space="preserve"> </w:t>
      </w:r>
      <w:r>
        <w:rPr>
          <w:sz w:val="20"/>
        </w:rPr>
        <w:t>la</w:t>
      </w:r>
      <w:r>
        <w:rPr>
          <w:spacing w:val="-3"/>
          <w:sz w:val="20"/>
        </w:rPr>
        <w:t xml:space="preserve"> </w:t>
      </w:r>
      <w:r>
        <w:rPr>
          <w:sz w:val="20"/>
        </w:rPr>
        <w:t>cantidad</w:t>
      </w:r>
      <w:r>
        <w:rPr>
          <w:spacing w:val="-3"/>
          <w:sz w:val="20"/>
        </w:rPr>
        <w:t xml:space="preserve"> </w:t>
      </w:r>
      <w:r>
        <w:rPr>
          <w:sz w:val="20"/>
        </w:rPr>
        <w:t>indicada</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apartado</w:t>
      </w:r>
      <w:r>
        <w:rPr>
          <w:spacing w:val="-3"/>
          <w:sz w:val="20"/>
        </w:rPr>
        <w:t xml:space="preserve"> </w:t>
      </w:r>
      <w:r>
        <w:rPr>
          <w:sz w:val="20"/>
        </w:rPr>
        <w:t>anterior, se aplicarán las normas de la regulación armonizada a la adjudicación de cada lote.</w:t>
      </w:r>
    </w:p>
    <w:p w:rsidR="0092635B" w:rsidRDefault="00000000">
      <w:pPr>
        <w:pStyle w:val="Textoindependiente"/>
        <w:spacing w:before="3" w:line="249" w:lineRule="auto"/>
        <w:ind w:right="1103"/>
      </w:pPr>
      <w:r>
        <w:t>No obstante lo dispuesto en el párrafo anterior, los órganos de contratación podrán exceptuar de estas normas a los lotes cuyo valor estimado sea inferior a un millón de euros, siempre que el importe acumulado de los lotes exceptuados no sobrepase el 20 por 100 del valor acumulado de la totalidad de los mismos.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37" w:name="Artículo_21._Contratos_de_suministro_suj"/>
      <w:bookmarkEnd w:id="37"/>
      <w:r>
        <w:rPr>
          <w:rFonts w:ascii="Arial" w:hAnsi="Arial"/>
          <w:b/>
          <w:sz w:val="20"/>
        </w:rPr>
        <w:t>Artículo</w:t>
      </w:r>
      <w:r>
        <w:rPr>
          <w:rFonts w:ascii="Arial" w:hAnsi="Arial"/>
          <w:b/>
          <w:spacing w:val="-2"/>
          <w:sz w:val="20"/>
        </w:rPr>
        <w:t xml:space="preserve"> </w:t>
      </w:r>
      <w:r>
        <w:rPr>
          <w:rFonts w:ascii="Arial" w:hAnsi="Arial"/>
          <w:b/>
          <w:sz w:val="20"/>
        </w:rPr>
        <w:t>21.</w:t>
      </w:r>
      <w:r>
        <w:rPr>
          <w:rFonts w:ascii="Arial" w:hAnsi="Arial"/>
          <w:b/>
          <w:spacing w:val="50"/>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suministro</w:t>
      </w:r>
      <w:r>
        <w:rPr>
          <w:rFonts w:ascii="Arial" w:hAnsi="Arial"/>
          <w:i/>
          <w:spacing w:val="-2"/>
          <w:sz w:val="20"/>
        </w:rPr>
        <w:t xml:space="preserve"> </w:t>
      </w:r>
      <w:r>
        <w:rPr>
          <w:rFonts w:ascii="Arial" w:hAnsi="Arial"/>
          <w:i/>
          <w:sz w:val="20"/>
        </w:rPr>
        <w:t>sujetos</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una</w:t>
      </w:r>
      <w:r>
        <w:rPr>
          <w:rFonts w:ascii="Arial" w:hAnsi="Arial"/>
          <w:i/>
          <w:spacing w:val="-2"/>
          <w:sz w:val="20"/>
        </w:rPr>
        <w:t xml:space="preserve"> </w:t>
      </w:r>
      <w:r>
        <w:rPr>
          <w:rFonts w:ascii="Arial" w:hAnsi="Arial"/>
          <w:i/>
          <w:sz w:val="20"/>
        </w:rPr>
        <w:t>regulación</w:t>
      </w:r>
      <w:r>
        <w:rPr>
          <w:rFonts w:ascii="Arial" w:hAnsi="Arial"/>
          <w:i/>
          <w:spacing w:val="-2"/>
          <w:sz w:val="20"/>
        </w:rPr>
        <w:t xml:space="preserve"> </w:t>
      </w:r>
      <w:r>
        <w:rPr>
          <w:rFonts w:ascii="Arial" w:hAnsi="Arial"/>
          <w:i/>
          <w:sz w:val="20"/>
        </w:rPr>
        <w:t>armonizada:</w:t>
      </w:r>
      <w:r>
        <w:rPr>
          <w:rFonts w:ascii="Arial" w:hAnsi="Arial"/>
          <w:i/>
          <w:spacing w:val="-1"/>
          <w:sz w:val="20"/>
        </w:rPr>
        <w:t xml:space="preserve"> </w:t>
      </w:r>
      <w:r>
        <w:rPr>
          <w:rFonts w:ascii="Arial" w:hAnsi="Arial"/>
          <w:i/>
          <w:spacing w:val="-2"/>
          <w:sz w:val="20"/>
        </w:rPr>
        <w:t>Umbral.</w:t>
      </w:r>
    </w:p>
    <w:p w:rsidR="0092635B" w:rsidRDefault="00000000">
      <w:pPr>
        <w:pStyle w:val="Prrafodelista"/>
        <w:numPr>
          <w:ilvl w:val="0"/>
          <w:numId w:val="334"/>
        </w:numPr>
        <w:tabs>
          <w:tab w:val="left" w:pos="1746"/>
        </w:tabs>
        <w:spacing w:before="123" w:line="249" w:lineRule="auto"/>
        <w:ind w:right="1104" w:firstLine="340"/>
        <w:jc w:val="both"/>
        <w:rPr>
          <w:sz w:val="20"/>
        </w:rPr>
      </w:pPr>
      <w:r>
        <w:rPr>
          <w:sz w:val="20"/>
        </w:rPr>
        <w:t>Están sujetos a regulación armonizada los contratos de suministro cuyo valor estimado sea igual o superior a las siguientes cantidades:</w:t>
      </w:r>
    </w:p>
    <w:p w:rsidR="0092635B" w:rsidRDefault="00000000">
      <w:pPr>
        <w:pStyle w:val="Prrafodelista"/>
        <w:numPr>
          <w:ilvl w:val="1"/>
          <w:numId w:val="334"/>
        </w:numPr>
        <w:tabs>
          <w:tab w:val="left" w:pos="1745"/>
        </w:tabs>
        <w:spacing w:before="122" w:line="249" w:lineRule="auto"/>
        <w:ind w:right="1102" w:firstLine="340"/>
        <w:jc w:val="both"/>
        <w:rPr>
          <w:sz w:val="20"/>
        </w:rPr>
      </w:pPr>
      <w:r>
        <w:rPr>
          <w:sz w:val="20"/>
        </w:rPr>
        <w:t>143.000 euros, cuando se trate de contratos adjudicados por la Administración General del Estado, sus Organismos Autónomos, o las Entidades Gestoras y Servicios Comunes de la Seguridad Social. No obstante, cuando los contratos se adjudiquen por órganos de contratación que pertenezcan al sector de la defensa, este umbral solo se aplicará respecto de los contratos de suministro que tengan por objeto los productos enumerados en el anexo II.</w:t>
      </w:r>
    </w:p>
    <w:p w:rsidR="0092635B" w:rsidRDefault="00000000">
      <w:pPr>
        <w:pStyle w:val="Prrafodelista"/>
        <w:numPr>
          <w:ilvl w:val="1"/>
          <w:numId w:val="334"/>
        </w:numPr>
        <w:tabs>
          <w:tab w:val="left" w:pos="1714"/>
        </w:tabs>
        <w:spacing w:before="5" w:line="249" w:lineRule="auto"/>
        <w:ind w:right="1105" w:firstLine="340"/>
        <w:jc w:val="both"/>
        <w:rPr>
          <w:sz w:val="20"/>
        </w:rPr>
      </w:pPr>
      <w:r>
        <w:rPr>
          <w:sz w:val="20"/>
        </w:rPr>
        <w:t>221.000 euros, cuando se trate de contratos de suministro distintos, por razón del sujeto contratante o por razón de su objeto, de los contemplados en la letra anterior.</w:t>
      </w:r>
    </w:p>
    <w:p w:rsidR="0092635B" w:rsidRDefault="00000000">
      <w:pPr>
        <w:pStyle w:val="Prrafodelista"/>
        <w:numPr>
          <w:ilvl w:val="0"/>
          <w:numId w:val="334"/>
        </w:numPr>
        <w:tabs>
          <w:tab w:val="left" w:pos="1682"/>
        </w:tabs>
        <w:spacing w:before="121" w:line="249" w:lineRule="auto"/>
        <w:ind w:firstLine="340"/>
        <w:jc w:val="both"/>
        <w:rPr>
          <w:sz w:val="20"/>
        </w:rPr>
      </w:pPr>
      <w:r>
        <w:rPr>
          <w:sz w:val="20"/>
        </w:rPr>
        <w:t>En el supuesto previsto en el artículo 101.12 relativo al cálculo del valor estimado en los contratos que se adjudiquen por lotes separados, cuando el valor acumulado de los lotes en que se divida el suministro iguale o supere las cantidades indicadas en el apartado anterior, se aplicarán las normas de la regulación armonizada a la adjudicación de cada lote. No obstante, los órganos de contratación podrán exceptuar de estas normas a los lotes cuyo valor estimado sea inferior a 80.000 euros, siempre que el importe acumulado de los lotes exceptuados no sobrepase el 20 por 100 del valor acumulado de la totalidad de los mismos.</w:t>
      </w:r>
    </w:p>
    <w:p w:rsidR="0092635B" w:rsidRDefault="0092635B">
      <w:pPr>
        <w:pStyle w:val="Textoindependiente"/>
        <w:spacing w:before="3"/>
        <w:ind w:left="0" w:firstLine="0"/>
        <w:jc w:val="left"/>
      </w:pPr>
    </w:p>
    <w:p w:rsidR="0092635B" w:rsidRDefault="00000000">
      <w:pPr>
        <w:ind w:left="1106"/>
        <w:rPr>
          <w:rFonts w:ascii="Arial" w:hAnsi="Arial"/>
          <w:i/>
          <w:sz w:val="20"/>
        </w:rPr>
      </w:pPr>
      <w:bookmarkStart w:id="38" w:name="Artículo_22._Contratos_de_servicios_suje"/>
      <w:bookmarkEnd w:id="38"/>
      <w:r>
        <w:rPr>
          <w:rFonts w:ascii="Arial" w:hAnsi="Arial"/>
          <w:b/>
          <w:sz w:val="20"/>
        </w:rPr>
        <w:t>Artículo</w:t>
      </w:r>
      <w:r>
        <w:rPr>
          <w:rFonts w:ascii="Arial" w:hAnsi="Arial"/>
          <w:b/>
          <w:spacing w:val="-2"/>
          <w:sz w:val="20"/>
        </w:rPr>
        <w:t xml:space="preserve"> </w:t>
      </w:r>
      <w:r>
        <w:rPr>
          <w:rFonts w:ascii="Arial" w:hAnsi="Arial"/>
          <w:b/>
          <w:sz w:val="20"/>
        </w:rPr>
        <w:t>22.</w:t>
      </w:r>
      <w:r>
        <w:rPr>
          <w:rFonts w:ascii="Arial" w:hAnsi="Arial"/>
          <w:b/>
          <w:spacing w:val="52"/>
          <w:sz w:val="20"/>
        </w:rPr>
        <w:t xml:space="preserve"> </w:t>
      </w:r>
      <w:r>
        <w:rPr>
          <w:rFonts w:ascii="Arial" w:hAnsi="Arial"/>
          <w:i/>
          <w:sz w:val="20"/>
        </w:rPr>
        <w:t>Contratos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servicios</w:t>
      </w:r>
      <w:r>
        <w:rPr>
          <w:rFonts w:ascii="Arial" w:hAnsi="Arial"/>
          <w:i/>
          <w:spacing w:val="-1"/>
          <w:sz w:val="20"/>
        </w:rPr>
        <w:t xml:space="preserve"> </w:t>
      </w:r>
      <w:r>
        <w:rPr>
          <w:rFonts w:ascii="Arial" w:hAnsi="Arial"/>
          <w:i/>
          <w:sz w:val="20"/>
        </w:rPr>
        <w:t>sujetos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una</w:t>
      </w:r>
      <w:r>
        <w:rPr>
          <w:rFonts w:ascii="Arial" w:hAnsi="Arial"/>
          <w:i/>
          <w:spacing w:val="-1"/>
          <w:sz w:val="20"/>
        </w:rPr>
        <w:t xml:space="preserve"> </w:t>
      </w:r>
      <w:r>
        <w:rPr>
          <w:rFonts w:ascii="Arial" w:hAnsi="Arial"/>
          <w:i/>
          <w:sz w:val="20"/>
        </w:rPr>
        <w:t>regulación</w:t>
      </w:r>
      <w:r>
        <w:rPr>
          <w:rFonts w:ascii="Arial" w:hAnsi="Arial"/>
          <w:i/>
          <w:spacing w:val="-1"/>
          <w:sz w:val="20"/>
        </w:rPr>
        <w:t xml:space="preserve"> </w:t>
      </w:r>
      <w:r>
        <w:rPr>
          <w:rFonts w:ascii="Arial" w:hAnsi="Arial"/>
          <w:i/>
          <w:sz w:val="20"/>
        </w:rPr>
        <w:t>armonizada:</w:t>
      </w:r>
      <w:r>
        <w:rPr>
          <w:rFonts w:ascii="Arial" w:hAnsi="Arial"/>
          <w:i/>
          <w:spacing w:val="-1"/>
          <w:sz w:val="20"/>
        </w:rPr>
        <w:t xml:space="preserve"> </w:t>
      </w:r>
      <w:r>
        <w:rPr>
          <w:rFonts w:ascii="Arial" w:hAnsi="Arial"/>
          <w:i/>
          <w:spacing w:val="-2"/>
          <w:sz w:val="20"/>
        </w:rPr>
        <w:t>umbral.</w:t>
      </w:r>
    </w:p>
    <w:p w:rsidR="0092635B" w:rsidRDefault="00000000">
      <w:pPr>
        <w:pStyle w:val="Prrafodelista"/>
        <w:numPr>
          <w:ilvl w:val="0"/>
          <w:numId w:val="333"/>
        </w:numPr>
        <w:tabs>
          <w:tab w:val="left" w:pos="1679"/>
        </w:tabs>
        <w:spacing w:before="123" w:line="249" w:lineRule="auto"/>
        <w:ind w:right="1105" w:firstLine="340"/>
        <w:jc w:val="both"/>
        <w:rPr>
          <w:sz w:val="20"/>
        </w:rPr>
      </w:pPr>
      <w:r>
        <w:rPr>
          <w:sz w:val="20"/>
        </w:rPr>
        <w:t>Están sujetos a regulación armonizada los contratos de servicios cuyo valor estimado sea igual o superior a las siguientes cantidades:</w:t>
      </w:r>
    </w:p>
    <w:p w:rsidR="0092635B" w:rsidRDefault="00000000">
      <w:pPr>
        <w:pStyle w:val="Prrafodelista"/>
        <w:numPr>
          <w:ilvl w:val="1"/>
          <w:numId w:val="333"/>
        </w:numPr>
        <w:tabs>
          <w:tab w:val="left" w:pos="1696"/>
        </w:tabs>
        <w:spacing w:before="122" w:line="249" w:lineRule="auto"/>
        <w:ind w:right="1102" w:firstLine="340"/>
        <w:jc w:val="both"/>
        <w:rPr>
          <w:sz w:val="20"/>
        </w:rPr>
      </w:pPr>
      <w:r>
        <w:rPr>
          <w:sz w:val="20"/>
        </w:rPr>
        <w:t>143.000 euros, cuando los contratos hayan de ser adjudicados por la Administración General del Estado, sus Organismos Autónomos, o las Entidades Gestoras y Servicios Comunes de la Seguridad Social.</w:t>
      </w:r>
    </w:p>
    <w:p w:rsidR="0092635B" w:rsidRDefault="00000000">
      <w:pPr>
        <w:pStyle w:val="Prrafodelista"/>
        <w:numPr>
          <w:ilvl w:val="1"/>
          <w:numId w:val="333"/>
        </w:numPr>
        <w:tabs>
          <w:tab w:val="left" w:pos="1705"/>
        </w:tabs>
        <w:spacing w:line="249" w:lineRule="auto"/>
        <w:ind w:firstLine="340"/>
        <w:jc w:val="both"/>
        <w:rPr>
          <w:sz w:val="20"/>
        </w:rPr>
      </w:pPr>
      <w:r>
        <w:rPr>
          <w:sz w:val="20"/>
        </w:rPr>
        <w:t>221.000 euros, cuando los contratos hayan de adjudicarse por entidades del sector público distintas a la Administración General del Estado, sus Organismos Autónomos o las Entidades Gestoras y Servicios Comunes de la Seguridad Social.</w:t>
      </w:r>
    </w:p>
    <w:p w:rsidR="0092635B" w:rsidRDefault="00000000">
      <w:pPr>
        <w:pStyle w:val="Prrafodelista"/>
        <w:numPr>
          <w:ilvl w:val="1"/>
          <w:numId w:val="333"/>
        </w:numPr>
        <w:tabs>
          <w:tab w:val="left" w:pos="1717"/>
        </w:tabs>
        <w:spacing w:before="3" w:line="249" w:lineRule="auto"/>
        <w:ind w:firstLine="340"/>
        <w:jc w:val="both"/>
        <w:rPr>
          <w:sz w:val="20"/>
        </w:rPr>
      </w:pPr>
      <w:r>
        <w:rPr>
          <w:sz w:val="20"/>
        </w:rPr>
        <w:t>750.000 euros, cuando se trate de contratos que tengan por objeto los servicios sociales y otros servicios específicos enumerados en el anexo IV.</w:t>
      </w:r>
    </w:p>
    <w:p w:rsidR="0092635B" w:rsidRDefault="00000000">
      <w:pPr>
        <w:pStyle w:val="Prrafodelista"/>
        <w:numPr>
          <w:ilvl w:val="0"/>
          <w:numId w:val="333"/>
        </w:numPr>
        <w:tabs>
          <w:tab w:val="left" w:pos="1682"/>
        </w:tabs>
        <w:spacing w:before="121" w:line="249" w:lineRule="auto"/>
        <w:ind w:firstLine="340"/>
        <w:jc w:val="both"/>
        <w:rPr>
          <w:sz w:val="20"/>
        </w:rPr>
      </w:pPr>
      <w:r>
        <w:rPr>
          <w:sz w:val="20"/>
        </w:rPr>
        <w:t xml:space="preserve">En el supuesto previsto en el artículo 101.12 relativo al cálculo del valor estimado en los contratos que se adjudiquen por lotes separados, cuando el valor acumulado de los lotes en que se divida la contratación de servicios iguale o supere los importes indicados en el apartado anterior, se aplicarán las normas de la regulación armonizada a la adjudicación de cada lote. No obstante, los órganos de contratación podrán exceptuar de estas normas a los lotes cuyo valor estimado sea inferior a 80.000 euros, siempre que el importe acumulado de los lotes exceptuados no sobrepase el 20 por 100 del valor acumulado de la totalidad de los </w:t>
      </w:r>
      <w:r>
        <w:rPr>
          <w:spacing w:val="-2"/>
          <w:sz w:val="20"/>
        </w:rPr>
        <w:t>mismos.</w:t>
      </w:r>
    </w:p>
    <w:p w:rsidR="0092635B" w:rsidRDefault="0092635B">
      <w:pPr>
        <w:pStyle w:val="Textoindependiente"/>
        <w:spacing w:before="4"/>
        <w:ind w:left="0" w:firstLine="0"/>
        <w:jc w:val="left"/>
      </w:pPr>
    </w:p>
    <w:p w:rsidR="0092635B" w:rsidRDefault="00000000">
      <w:pPr>
        <w:ind w:left="1106"/>
        <w:rPr>
          <w:rFonts w:ascii="Arial" w:hAnsi="Arial"/>
          <w:i/>
          <w:sz w:val="20"/>
        </w:rPr>
      </w:pPr>
      <w:bookmarkStart w:id="39" w:name="Artículo_23._Contratos_subvencionados_su"/>
      <w:bookmarkEnd w:id="39"/>
      <w:r>
        <w:rPr>
          <w:rFonts w:ascii="Arial" w:hAnsi="Arial"/>
          <w:b/>
          <w:sz w:val="20"/>
        </w:rPr>
        <w:t>Artículo</w:t>
      </w:r>
      <w:r>
        <w:rPr>
          <w:rFonts w:ascii="Arial" w:hAnsi="Arial"/>
          <w:b/>
          <w:spacing w:val="-2"/>
          <w:sz w:val="20"/>
        </w:rPr>
        <w:t xml:space="preserve"> </w:t>
      </w:r>
      <w:r>
        <w:rPr>
          <w:rFonts w:ascii="Arial" w:hAnsi="Arial"/>
          <w:b/>
          <w:sz w:val="20"/>
        </w:rPr>
        <w:t>23.</w:t>
      </w:r>
      <w:r>
        <w:rPr>
          <w:rFonts w:ascii="Arial" w:hAnsi="Arial"/>
          <w:b/>
          <w:spacing w:val="52"/>
          <w:sz w:val="20"/>
        </w:rPr>
        <w:t xml:space="preserve"> </w:t>
      </w:r>
      <w:r>
        <w:rPr>
          <w:rFonts w:ascii="Arial" w:hAnsi="Arial"/>
          <w:i/>
          <w:sz w:val="20"/>
        </w:rPr>
        <w:t>Contratos</w:t>
      </w:r>
      <w:r>
        <w:rPr>
          <w:rFonts w:ascii="Arial" w:hAnsi="Arial"/>
          <w:i/>
          <w:spacing w:val="-1"/>
          <w:sz w:val="20"/>
        </w:rPr>
        <w:t xml:space="preserve"> </w:t>
      </w:r>
      <w:r>
        <w:rPr>
          <w:rFonts w:ascii="Arial" w:hAnsi="Arial"/>
          <w:i/>
          <w:sz w:val="20"/>
        </w:rPr>
        <w:t>subvencionados</w:t>
      </w:r>
      <w:r>
        <w:rPr>
          <w:rFonts w:ascii="Arial" w:hAnsi="Arial"/>
          <w:i/>
          <w:spacing w:val="-2"/>
          <w:sz w:val="20"/>
        </w:rPr>
        <w:t xml:space="preserve"> </w:t>
      </w:r>
      <w:r>
        <w:rPr>
          <w:rFonts w:ascii="Arial" w:hAnsi="Arial"/>
          <w:i/>
          <w:sz w:val="20"/>
        </w:rPr>
        <w:t>sujetos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una</w:t>
      </w:r>
      <w:r>
        <w:rPr>
          <w:rFonts w:ascii="Arial" w:hAnsi="Arial"/>
          <w:i/>
          <w:spacing w:val="-1"/>
          <w:sz w:val="20"/>
        </w:rPr>
        <w:t xml:space="preserve"> </w:t>
      </w:r>
      <w:r>
        <w:rPr>
          <w:rFonts w:ascii="Arial" w:hAnsi="Arial"/>
          <w:i/>
          <w:sz w:val="20"/>
        </w:rPr>
        <w:t>regulación</w:t>
      </w:r>
      <w:r>
        <w:rPr>
          <w:rFonts w:ascii="Arial" w:hAnsi="Arial"/>
          <w:i/>
          <w:spacing w:val="-1"/>
          <w:sz w:val="20"/>
        </w:rPr>
        <w:t xml:space="preserve"> </w:t>
      </w:r>
      <w:r>
        <w:rPr>
          <w:rFonts w:ascii="Arial" w:hAnsi="Arial"/>
          <w:i/>
          <w:spacing w:val="-2"/>
          <w:sz w:val="20"/>
        </w:rPr>
        <w:t>armonizada.</w:t>
      </w:r>
    </w:p>
    <w:p w:rsidR="0092635B" w:rsidRDefault="00000000">
      <w:pPr>
        <w:pStyle w:val="Prrafodelista"/>
        <w:numPr>
          <w:ilvl w:val="0"/>
          <w:numId w:val="332"/>
        </w:numPr>
        <w:tabs>
          <w:tab w:val="left" w:pos="1685"/>
        </w:tabs>
        <w:spacing w:before="123" w:line="249" w:lineRule="auto"/>
        <w:ind w:firstLine="340"/>
        <w:jc w:val="both"/>
        <w:rPr>
          <w:sz w:val="20"/>
        </w:rPr>
      </w:pPr>
      <w:r>
        <w:rPr>
          <w:sz w:val="20"/>
        </w:rPr>
        <w:t>Son contratos subvencionados sujetos a una regulación armonizada los contratos de obras y los contratos de servicios definidos conforme a lo previsto en los artículos 13 y 17, respectivamente, que sean subvencionados, de forma directa y en más de un 50 por 100 de su importe, por entidades que tengan la consideración de poderes adjudicadores, siempre que pertenezcan a alguna de las categorías siguientes:</w:t>
      </w:r>
    </w:p>
    <w:p w:rsidR="0092635B" w:rsidRDefault="00000000">
      <w:pPr>
        <w:pStyle w:val="Prrafodelista"/>
        <w:numPr>
          <w:ilvl w:val="1"/>
          <w:numId w:val="332"/>
        </w:numPr>
        <w:tabs>
          <w:tab w:val="left" w:pos="1687"/>
        </w:tabs>
        <w:spacing w:before="124" w:line="249" w:lineRule="auto"/>
        <w:ind w:firstLine="340"/>
        <w:jc w:val="both"/>
        <w:rPr>
          <w:sz w:val="20"/>
        </w:rPr>
      </w:pPr>
      <w:r>
        <w:rPr>
          <w:sz w:val="20"/>
        </w:rPr>
        <w:t>Contratos de obras que tengan por objeto actividades de ingeniería civil de la sección F, división 45, grupo 45.2 de la Nomenclatura General de Actividades Económicas de las Comunidades Europeas (NACE), o la construcción de hospitales, centros deportivos, recreativos o de ocio, edificios escolares o universitarios y edificios de uso administrativo, siempre que su valor estimado sea igual o superior a 5.538.000 euros.</w:t>
      </w:r>
    </w:p>
    <w:p w:rsidR="0092635B" w:rsidRDefault="00000000">
      <w:pPr>
        <w:pStyle w:val="Prrafodelista"/>
        <w:numPr>
          <w:ilvl w:val="1"/>
          <w:numId w:val="332"/>
        </w:numPr>
        <w:tabs>
          <w:tab w:val="left" w:pos="1698"/>
        </w:tabs>
        <w:spacing w:before="4" w:line="249" w:lineRule="auto"/>
        <w:ind w:right="1104" w:firstLine="340"/>
        <w:jc w:val="both"/>
        <w:rPr>
          <w:sz w:val="20"/>
        </w:rPr>
      </w:pPr>
      <w:r>
        <w:rPr>
          <w:sz w:val="20"/>
        </w:rPr>
        <w:t>Contratos de servicios vinculados a un contrato de obras de los definidos en la letra</w:t>
      </w:r>
      <w:r>
        <w:rPr>
          <w:spacing w:val="40"/>
          <w:sz w:val="20"/>
        </w:rPr>
        <w:t xml:space="preserve"> </w:t>
      </w:r>
      <w:r>
        <w:rPr>
          <w:sz w:val="20"/>
        </w:rPr>
        <w:t>a), cuyo valor estimado sea igual o superior a 221.000 euros.</w:t>
      </w:r>
    </w:p>
    <w:p w:rsidR="0092635B" w:rsidRDefault="00000000">
      <w:pPr>
        <w:pStyle w:val="Prrafodelista"/>
        <w:numPr>
          <w:ilvl w:val="0"/>
          <w:numId w:val="332"/>
        </w:numPr>
        <w:tabs>
          <w:tab w:val="left" w:pos="1718"/>
        </w:tabs>
        <w:spacing w:before="122" w:line="249" w:lineRule="auto"/>
        <w:ind w:right="1104" w:firstLine="340"/>
        <w:jc w:val="both"/>
        <w:rPr>
          <w:sz w:val="20"/>
        </w:rPr>
      </w:pPr>
      <w:r>
        <w:rPr>
          <w:sz w:val="20"/>
        </w:rPr>
        <w:t>Las normas previstas para los contratos subvencionados se aplicarán a aquellos celebrados</w:t>
      </w:r>
      <w:r>
        <w:rPr>
          <w:spacing w:val="75"/>
          <w:w w:val="150"/>
          <w:sz w:val="20"/>
        </w:rPr>
        <w:t xml:space="preserve"> </w:t>
      </w:r>
      <w:r>
        <w:rPr>
          <w:sz w:val="20"/>
        </w:rPr>
        <w:t>por</w:t>
      </w:r>
      <w:r>
        <w:rPr>
          <w:spacing w:val="76"/>
          <w:w w:val="150"/>
          <w:sz w:val="20"/>
        </w:rPr>
        <w:t xml:space="preserve"> </w:t>
      </w:r>
      <w:r>
        <w:rPr>
          <w:sz w:val="20"/>
        </w:rPr>
        <w:t>particulares</w:t>
      </w:r>
      <w:r>
        <w:rPr>
          <w:spacing w:val="76"/>
          <w:w w:val="150"/>
          <w:sz w:val="20"/>
        </w:rPr>
        <w:t xml:space="preserve"> </w:t>
      </w:r>
      <w:r>
        <w:rPr>
          <w:sz w:val="20"/>
        </w:rPr>
        <w:t>o</w:t>
      </w:r>
      <w:r>
        <w:rPr>
          <w:spacing w:val="76"/>
          <w:w w:val="150"/>
          <w:sz w:val="20"/>
        </w:rPr>
        <w:t xml:space="preserve"> </w:t>
      </w:r>
      <w:r>
        <w:rPr>
          <w:sz w:val="20"/>
        </w:rPr>
        <w:t>por</w:t>
      </w:r>
      <w:r>
        <w:rPr>
          <w:spacing w:val="76"/>
          <w:w w:val="150"/>
          <w:sz w:val="20"/>
        </w:rPr>
        <w:t xml:space="preserve"> </w:t>
      </w:r>
      <w:r>
        <w:rPr>
          <w:sz w:val="20"/>
        </w:rPr>
        <w:t>entidades</w:t>
      </w:r>
      <w:r>
        <w:rPr>
          <w:spacing w:val="76"/>
          <w:w w:val="150"/>
          <w:sz w:val="20"/>
        </w:rPr>
        <w:t xml:space="preserve"> </w:t>
      </w:r>
      <w:r>
        <w:rPr>
          <w:sz w:val="20"/>
        </w:rPr>
        <w:t>del</w:t>
      </w:r>
      <w:r>
        <w:rPr>
          <w:spacing w:val="76"/>
          <w:w w:val="150"/>
          <w:sz w:val="20"/>
        </w:rPr>
        <w:t xml:space="preserve"> </w:t>
      </w:r>
      <w:r>
        <w:rPr>
          <w:sz w:val="20"/>
        </w:rPr>
        <w:t>sector</w:t>
      </w:r>
      <w:r>
        <w:rPr>
          <w:spacing w:val="76"/>
          <w:w w:val="150"/>
          <w:sz w:val="20"/>
        </w:rPr>
        <w:t xml:space="preserve"> </w:t>
      </w:r>
      <w:r>
        <w:rPr>
          <w:sz w:val="20"/>
        </w:rPr>
        <w:t>público</w:t>
      </w:r>
      <w:r>
        <w:rPr>
          <w:spacing w:val="75"/>
          <w:w w:val="150"/>
          <w:sz w:val="20"/>
        </w:rPr>
        <w:t xml:space="preserve"> </w:t>
      </w:r>
      <w:r>
        <w:rPr>
          <w:sz w:val="20"/>
        </w:rPr>
        <w:t>que</w:t>
      </w:r>
      <w:r>
        <w:rPr>
          <w:spacing w:val="76"/>
          <w:w w:val="150"/>
          <w:sz w:val="20"/>
        </w:rPr>
        <w:t xml:space="preserve"> </w:t>
      </w:r>
      <w:r>
        <w:rPr>
          <w:sz w:val="20"/>
        </w:rPr>
        <w:t>no</w:t>
      </w:r>
      <w:r>
        <w:rPr>
          <w:spacing w:val="76"/>
          <w:w w:val="150"/>
          <w:sz w:val="20"/>
        </w:rPr>
        <w:t xml:space="preserve"> </w:t>
      </w:r>
      <w:r>
        <w:rPr>
          <w:sz w:val="20"/>
        </w:rPr>
        <w:t>tengan</w:t>
      </w:r>
      <w:r>
        <w:rPr>
          <w:spacing w:val="76"/>
          <w:w w:val="150"/>
          <w:sz w:val="20"/>
        </w:rPr>
        <w:t xml:space="preserve"> </w:t>
      </w:r>
      <w:r>
        <w:rPr>
          <w:spacing w:val="-5"/>
          <w:sz w:val="20"/>
        </w:rPr>
        <w:t>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3" w:firstLine="0"/>
      </w:pPr>
      <w:r>
        <w:t>consideración de poderes adjudicadores, en conjunción, en este último caso, con las establecidas en el Título II del Libro Tercero de esta Ley. Cuando el contrato subvencionado se adjudique por entidades del sector público que tengan la consideración de poder adjudicador, se aplicarán las normas de contratación previstas para estas entidades, de acuerdo con su naturaleza, salvo la relativa a la determinación de la competencia para resolver</w:t>
      </w:r>
      <w:r>
        <w:rPr>
          <w:spacing w:val="-3"/>
        </w:rPr>
        <w:t xml:space="preserve"> </w:t>
      </w:r>
      <w:r>
        <w:t>el</w:t>
      </w:r>
      <w:r>
        <w:rPr>
          <w:spacing w:val="-3"/>
        </w:rPr>
        <w:t xml:space="preserve"> </w:t>
      </w:r>
      <w:r>
        <w:t>recurso</w:t>
      </w:r>
      <w:r>
        <w:rPr>
          <w:spacing w:val="-3"/>
        </w:rPr>
        <w:t xml:space="preserve"> </w:t>
      </w:r>
      <w:r>
        <w:t>especial</w:t>
      </w:r>
      <w:r>
        <w:rPr>
          <w:spacing w:val="-3"/>
        </w:rPr>
        <w:t xml:space="preserve"> </w:t>
      </w:r>
      <w:r>
        <w:t>en</w:t>
      </w:r>
      <w:r>
        <w:rPr>
          <w:spacing w:val="-3"/>
        </w:rPr>
        <w:t xml:space="preserve"> </w:t>
      </w:r>
      <w:r>
        <w:t>materia</w:t>
      </w:r>
      <w:r>
        <w:rPr>
          <w:spacing w:val="-3"/>
        </w:rPr>
        <w:t xml:space="preserve"> </w:t>
      </w:r>
      <w:r>
        <w:t>de</w:t>
      </w:r>
      <w:r>
        <w:rPr>
          <w:spacing w:val="-3"/>
        </w:rPr>
        <w:t xml:space="preserve"> </w:t>
      </w:r>
      <w:r>
        <w:t>contratación</w:t>
      </w:r>
      <w:r>
        <w:rPr>
          <w:spacing w:val="-3"/>
        </w:rPr>
        <w:t xml:space="preserve"> </w:t>
      </w:r>
      <w:r>
        <w:t>y</w:t>
      </w:r>
      <w:r>
        <w:rPr>
          <w:spacing w:val="-3"/>
        </w:rPr>
        <w:t xml:space="preserve"> </w:t>
      </w:r>
      <w:r>
        <w:t>para</w:t>
      </w:r>
      <w:r>
        <w:rPr>
          <w:spacing w:val="-3"/>
        </w:rPr>
        <w:t xml:space="preserve"> </w:t>
      </w:r>
      <w:r>
        <w:t>adoptar</w:t>
      </w:r>
      <w:r>
        <w:rPr>
          <w:spacing w:val="-3"/>
        </w:rPr>
        <w:t xml:space="preserve"> </w:t>
      </w:r>
      <w:r>
        <w:t>medidas</w:t>
      </w:r>
      <w:r>
        <w:rPr>
          <w:spacing w:val="-3"/>
        </w:rPr>
        <w:t xml:space="preserve"> </w:t>
      </w:r>
      <w:r>
        <w:t>cautelares</w:t>
      </w:r>
      <w:r>
        <w:rPr>
          <w:spacing w:val="-3"/>
        </w:rPr>
        <w:t xml:space="preserve"> </w:t>
      </w:r>
      <w:r>
        <w:t>en el procedimiento de adjudicación, que se regirá, en todo caso, por la regla establecida en el apartado 2 del artículo 47.</w:t>
      </w:r>
    </w:p>
    <w:p w:rsidR="0092635B" w:rsidRDefault="0092635B">
      <w:pPr>
        <w:pStyle w:val="Textoindependiente"/>
        <w:spacing w:before="3"/>
        <w:ind w:left="0" w:firstLine="0"/>
        <w:jc w:val="left"/>
      </w:pPr>
    </w:p>
    <w:p w:rsidR="0092635B" w:rsidRDefault="00000000">
      <w:pPr>
        <w:pStyle w:val="Ttulo3"/>
        <w:ind w:right="1"/>
      </w:pPr>
      <w:bookmarkStart w:id="40" w:name="Sección_3.ª_Contratos_administrativos_y_"/>
      <w:bookmarkStart w:id="41" w:name="_bookmark8"/>
      <w:bookmarkEnd w:id="40"/>
      <w:bookmarkEnd w:id="41"/>
      <w:r>
        <w:t>Sección</w:t>
      </w:r>
      <w:r>
        <w:rPr>
          <w:spacing w:val="-6"/>
        </w:rPr>
        <w:t xml:space="preserve"> </w:t>
      </w:r>
      <w:r>
        <w:t>3.ª</w:t>
      </w:r>
      <w:r>
        <w:rPr>
          <w:spacing w:val="-5"/>
        </w:rPr>
        <w:t xml:space="preserve"> </w:t>
      </w:r>
      <w:r>
        <w:t>Contratos</w:t>
      </w:r>
      <w:r>
        <w:rPr>
          <w:spacing w:val="-5"/>
        </w:rPr>
        <w:t xml:space="preserve"> </w:t>
      </w:r>
      <w:r>
        <w:t>administrativos</w:t>
      </w:r>
      <w:r>
        <w:rPr>
          <w:spacing w:val="-6"/>
        </w:rPr>
        <w:t xml:space="preserve"> </w:t>
      </w:r>
      <w:r>
        <w:t>y</w:t>
      </w:r>
      <w:r>
        <w:rPr>
          <w:spacing w:val="-5"/>
        </w:rPr>
        <w:t xml:space="preserve"> </w:t>
      </w:r>
      <w:r>
        <w:t>contratos</w:t>
      </w:r>
      <w:r>
        <w:rPr>
          <w:spacing w:val="-5"/>
        </w:rPr>
        <w:t xml:space="preserve"> </w:t>
      </w:r>
      <w:r>
        <w:rPr>
          <w:spacing w:val="-2"/>
        </w:rPr>
        <w:t>privados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2" w:name="Artículo_24._Régimen_jurídico_aplicable_"/>
      <w:bookmarkEnd w:id="42"/>
      <w:r>
        <w:rPr>
          <w:rFonts w:ascii="Arial" w:hAnsi="Arial"/>
          <w:b/>
          <w:sz w:val="20"/>
        </w:rPr>
        <w:t>Artículo</w:t>
      </w:r>
      <w:r>
        <w:rPr>
          <w:rFonts w:ascii="Arial" w:hAnsi="Arial"/>
          <w:b/>
          <w:spacing w:val="-3"/>
          <w:sz w:val="20"/>
        </w:rPr>
        <w:t xml:space="preserve"> </w:t>
      </w:r>
      <w:r>
        <w:rPr>
          <w:rFonts w:ascii="Arial" w:hAnsi="Arial"/>
          <w:b/>
          <w:sz w:val="20"/>
        </w:rPr>
        <w:t>24.</w:t>
      </w:r>
      <w:r>
        <w:rPr>
          <w:rFonts w:ascii="Arial" w:hAnsi="Arial"/>
          <w:b/>
          <w:spacing w:val="50"/>
          <w:sz w:val="20"/>
        </w:rPr>
        <w:t xml:space="preserve"> </w:t>
      </w:r>
      <w:r>
        <w:rPr>
          <w:rFonts w:ascii="Arial" w:hAnsi="Arial"/>
          <w:i/>
          <w:sz w:val="20"/>
        </w:rPr>
        <w:t>Régimen</w:t>
      </w:r>
      <w:r>
        <w:rPr>
          <w:rFonts w:ascii="Arial" w:hAnsi="Arial"/>
          <w:i/>
          <w:spacing w:val="-2"/>
          <w:sz w:val="20"/>
        </w:rPr>
        <w:t xml:space="preserve"> </w:t>
      </w:r>
      <w:r>
        <w:rPr>
          <w:rFonts w:ascii="Arial" w:hAnsi="Arial"/>
          <w:i/>
          <w:sz w:val="20"/>
        </w:rPr>
        <w:t>jurídico</w:t>
      </w:r>
      <w:r>
        <w:rPr>
          <w:rFonts w:ascii="Arial" w:hAnsi="Arial"/>
          <w:i/>
          <w:spacing w:val="-2"/>
          <w:sz w:val="20"/>
        </w:rPr>
        <w:t xml:space="preserve"> </w:t>
      </w:r>
      <w:r>
        <w:rPr>
          <w:rFonts w:ascii="Arial" w:hAnsi="Arial"/>
          <w:i/>
          <w:sz w:val="20"/>
        </w:rPr>
        <w:t>aplicable</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los</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sector</w:t>
      </w:r>
      <w:r>
        <w:rPr>
          <w:rFonts w:ascii="Arial" w:hAnsi="Arial"/>
          <w:i/>
          <w:spacing w:val="-2"/>
          <w:sz w:val="20"/>
        </w:rPr>
        <w:t xml:space="preserve"> público.</w:t>
      </w:r>
    </w:p>
    <w:p w:rsidR="0092635B" w:rsidRDefault="00000000">
      <w:pPr>
        <w:pStyle w:val="Textoindependiente"/>
        <w:spacing w:before="123" w:line="249" w:lineRule="auto"/>
        <w:ind w:right="1104"/>
      </w:pPr>
      <w:r>
        <w:t>Los contratos del sector público podrán estar sometidos a un régimen jurídico de</w:t>
      </w:r>
      <w:r>
        <w:rPr>
          <w:spacing w:val="80"/>
        </w:rPr>
        <w:t xml:space="preserve"> </w:t>
      </w:r>
      <w:r>
        <w:t>derecho administrativo o de derecho privado.</w:t>
      </w:r>
    </w:p>
    <w:p w:rsidR="0092635B" w:rsidRDefault="00000000">
      <w:pPr>
        <w:spacing w:before="229"/>
        <w:ind w:left="1106"/>
        <w:rPr>
          <w:rFonts w:ascii="Arial" w:hAnsi="Arial"/>
          <w:i/>
          <w:sz w:val="20"/>
        </w:rPr>
      </w:pPr>
      <w:bookmarkStart w:id="43" w:name="Artículo_25._Contratos_administrativos."/>
      <w:bookmarkEnd w:id="43"/>
      <w:r>
        <w:rPr>
          <w:rFonts w:ascii="Arial" w:hAnsi="Arial"/>
          <w:b/>
          <w:sz w:val="20"/>
        </w:rPr>
        <w:t>Artículo</w:t>
      </w:r>
      <w:r>
        <w:rPr>
          <w:rFonts w:ascii="Arial" w:hAnsi="Arial"/>
          <w:b/>
          <w:spacing w:val="-2"/>
          <w:sz w:val="20"/>
        </w:rPr>
        <w:t xml:space="preserve"> </w:t>
      </w:r>
      <w:r>
        <w:rPr>
          <w:rFonts w:ascii="Arial" w:hAnsi="Arial"/>
          <w:b/>
          <w:sz w:val="20"/>
        </w:rPr>
        <w:t>25.</w:t>
      </w:r>
      <w:r>
        <w:rPr>
          <w:rFonts w:ascii="Arial" w:hAnsi="Arial"/>
          <w:b/>
          <w:spacing w:val="54"/>
          <w:sz w:val="20"/>
        </w:rPr>
        <w:t xml:space="preserve"> </w:t>
      </w:r>
      <w:r>
        <w:rPr>
          <w:rFonts w:ascii="Arial" w:hAnsi="Arial"/>
          <w:i/>
          <w:sz w:val="20"/>
        </w:rPr>
        <w:t xml:space="preserve">Contratos </w:t>
      </w:r>
      <w:r>
        <w:rPr>
          <w:rFonts w:ascii="Arial" w:hAnsi="Arial"/>
          <w:i/>
          <w:spacing w:val="-2"/>
          <w:sz w:val="20"/>
        </w:rPr>
        <w:t>administrativos.</w:t>
      </w:r>
    </w:p>
    <w:p w:rsidR="0092635B" w:rsidRDefault="00000000">
      <w:pPr>
        <w:pStyle w:val="Prrafodelista"/>
        <w:numPr>
          <w:ilvl w:val="0"/>
          <w:numId w:val="331"/>
        </w:numPr>
        <w:tabs>
          <w:tab w:val="left" w:pos="1680"/>
        </w:tabs>
        <w:spacing w:before="123" w:line="249" w:lineRule="auto"/>
        <w:ind w:right="1105" w:firstLine="340"/>
        <w:jc w:val="both"/>
        <w:rPr>
          <w:sz w:val="20"/>
        </w:rPr>
      </w:pPr>
      <w:r>
        <w:rPr>
          <w:sz w:val="20"/>
        </w:rPr>
        <w:t>Tendrán carácter administrativo los contratos siguientes, siempre que se celebren por una Administración Pública:</w:t>
      </w:r>
    </w:p>
    <w:p w:rsidR="0092635B" w:rsidRDefault="00000000">
      <w:pPr>
        <w:pStyle w:val="Prrafodelista"/>
        <w:numPr>
          <w:ilvl w:val="1"/>
          <w:numId w:val="331"/>
        </w:numPr>
        <w:tabs>
          <w:tab w:val="left" w:pos="1738"/>
        </w:tabs>
        <w:spacing w:before="122" w:line="249" w:lineRule="auto"/>
        <w:ind w:firstLine="340"/>
        <w:jc w:val="both"/>
        <w:rPr>
          <w:sz w:val="20"/>
        </w:rPr>
      </w:pPr>
      <w:r>
        <w:rPr>
          <w:sz w:val="20"/>
        </w:rPr>
        <w:t>Los contratos de obra, concesión de obra, concesión de servicios, suministro y servicios. No obstante, tendrán carácter privado los siguientes contratos:</w:t>
      </w:r>
    </w:p>
    <w:p w:rsidR="0092635B" w:rsidRDefault="00000000">
      <w:pPr>
        <w:pStyle w:val="Prrafodelista"/>
        <w:numPr>
          <w:ilvl w:val="2"/>
          <w:numId w:val="331"/>
        </w:numPr>
        <w:tabs>
          <w:tab w:val="left" w:pos="1610"/>
        </w:tabs>
        <w:spacing w:before="121" w:line="249" w:lineRule="auto"/>
        <w:ind w:right="1104" w:firstLine="340"/>
        <w:jc w:val="both"/>
        <w:rPr>
          <w:sz w:val="20"/>
        </w:rPr>
      </w:pPr>
      <w:r>
        <w:rPr>
          <w:sz w:val="20"/>
        </w:rPr>
        <w:t>º Los contratos de servicios que tengan por objeto servicios financieros con número de referencia CPV de 66100000-1 a 66720000-3 y los que tengan por objeto la creación e interpretación artística y literaria y los de espectáculos con número de referencia CPV de 79995000-5</w:t>
      </w:r>
      <w:r>
        <w:rPr>
          <w:spacing w:val="80"/>
          <w:w w:val="150"/>
          <w:sz w:val="20"/>
        </w:rPr>
        <w:t xml:space="preserve"> </w:t>
      </w:r>
      <w:r>
        <w:rPr>
          <w:sz w:val="20"/>
        </w:rPr>
        <w:t>a</w:t>
      </w:r>
      <w:r>
        <w:rPr>
          <w:spacing w:val="80"/>
          <w:w w:val="150"/>
          <w:sz w:val="20"/>
        </w:rPr>
        <w:t xml:space="preserve"> </w:t>
      </w:r>
      <w:r>
        <w:rPr>
          <w:sz w:val="20"/>
        </w:rPr>
        <w:t>79995200-7,</w:t>
      </w:r>
      <w:r>
        <w:rPr>
          <w:spacing w:val="80"/>
          <w:w w:val="150"/>
          <w:sz w:val="20"/>
        </w:rPr>
        <w:t xml:space="preserve"> </w:t>
      </w:r>
      <w:r>
        <w:rPr>
          <w:sz w:val="20"/>
        </w:rPr>
        <w:t>y</w:t>
      </w:r>
      <w:r>
        <w:rPr>
          <w:spacing w:val="80"/>
          <w:w w:val="150"/>
          <w:sz w:val="20"/>
        </w:rPr>
        <w:t xml:space="preserve"> </w:t>
      </w:r>
      <w:r>
        <w:rPr>
          <w:sz w:val="20"/>
        </w:rPr>
        <w:t>de</w:t>
      </w:r>
      <w:r>
        <w:rPr>
          <w:spacing w:val="80"/>
          <w:w w:val="150"/>
          <w:sz w:val="20"/>
        </w:rPr>
        <w:t xml:space="preserve"> </w:t>
      </w:r>
      <w:r>
        <w:rPr>
          <w:sz w:val="20"/>
        </w:rPr>
        <w:t>92000000-1</w:t>
      </w:r>
      <w:r>
        <w:rPr>
          <w:spacing w:val="80"/>
          <w:w w:val="150"/>
          <w:sz w:val="20"/>
        </w:rPr>
        <w:t xml:space="preserve"> </w:t>
      </w:r>
      <w:r>
        <w:rPr>
          <w:sz w:val="20"/>
        </w:rPr>
        <w:t>a</w:t>
      </w:r>
      <w:r>
        <w:rPr>
          <w:spacing w:val="80"/>
          <w:w w:val="150"/>
          <w:sz w:val="20"/>
        </w:rPr>
        <w:t xml:space="preserve"> </w:t>
      </w:r>
      <w:r>
        <w:rPr>
          <w:sz w:val="20"/>
        </w:rPr>
        <w:t>92700000-8,</w:t>
      </w:r>
      <w:r>
        <w:rPr>
          <w:spacing w:val="80"/>
          <w:w w:val="150"/>
          <w:sz w:val="20"/>
        </w:rPr>
        <w:t xml:space="preserve"> </w:t>
      </w:r>
      <w:r>
        <w:rPr>
          <w:sz w:val="20"/>
        </w:rPr>
        <w:t>excepto</w:t>
      </w:r>
      <w:r>
        <w:rPr>
          <w:spacing w:val="80"/>
          <w:w w:val="150"/>
          <w:sz w:val="20"/>
        </w:rPr>
        <w:t xml:space="preserve"> </w:t>
      </w:r>
      <w:r>
        <w:rPr>
          <w:sz w:val="20"/>
        </w:rPr>
        <w:t>92230000-2,</w:t>
      </w:r>
    </w:p>
    <w:p w:rsidR="0092635B" w:rsidRDefault="00000000">
      <w:pPr>
        <w:pStyle w:val="Textoindependiente"/>
        <w:spacing w:before="4"/>
        <w:ind w:firstLine="0"/>
      </w:pPr>
      <w:r>
        <w:t>92231000-9</w:t>
      </w:r>
      <w:r>
        <w:rPr>
          <w:spacing w:val="-5"/>
        </w:rPr>
        <w:t xml:space="preserve"> </w:t>
      </w:r>
      <w:r>
        <w:t>y</w:t>
      </w:r>
      <w:r>
        <w:rPr>
          <w:spacing w:val="-4"/>
        </w:rPr>
        <w:t xml:space="preserve"> </w:t>
      </w:r>
      <w:r>
        <w:t>92232000-</w:t>
      </w:r>
      <w:r>
        <w:rPr>
          <w:spacing w:val="-5"/>
        </w:rPr>
        <w:t>6.</w:t>
      </w:r>
    </w:p>
    <w:p w:rsidR="0092635B" w:rsidRDefault="00000000">
      <w:pPr>
        <w:pStyle w:val="Prrafodelista"/>
        <w:numPr>
          <w:ilvl w:val="2"/>
          <w:numId w:val="331"/>
        </w:numPr>
        <w:tabs>
          <w:tab w:val="left" w:pos="1610"/>
        </w:tabs>
        <w:spacing w:before="10" w:line="249" w:lineRule="auto"/>
        <w:ind w:right="1104" w:firstLine="340"/>
        <w:jc w:val="both"/>
        <w:rPr>
          <w:sz w:val="20"/>
        </w:rPr>
      </w:pPr>
      <w:r>
        <w:rPr>
          <w:sz w:val="20"/>
        </w:rPr>
        <w:t>º Aquellos cuyo objeto sea la suscripción a revistas, publicaciones periódicas y bases de datos.</w:t>
      </w:r>
    </w:p>
    <w:p w:rsidR="0092635B" w:rsidRDefault="00000000">
      <w:pPr>
        <w:pStyle w:val="Prrafodelista"/>
        <w:numPr>
          <w:ilvl w:val="1"/>
          <w:numId w:val="331"/>
        </w:numPr>
        <w:tabs>
          <w:tab w:val="left" w:pos="1704"/>
        </w:tabs>
        <w:spacing w:before="121" w:line="249" w:lineRule="auto"/>
        <w:ind w:right="1104" w:firstLine="340"/>
        <w:jc w:val="both"/>
        <w:rPr>
          <w:sz w:val="20"/>
        </w:rPr>
      </w:pPr>
      <w:r>
        <w:rPr>
          <w:sz w:val="20"/>
        </w:rPr>
        <w:t>Los contratos declarados así expresamente por una Ley, y aquellos otros de objeto distinto a los expresados en la letra anterior, pero que tengan naturaleza administrativa especial por estar vinculados al giro o tráfico específico de la Administración contratante o por satisfacer de forma directa o inmediata una finalidad pública de la específica</w:t>
      </w:r>
      <w:r>
        <w:rPr>
          <w:spacing w:val="40"/>
          <w:sz w:val="20"/>
        </w:rPr>
        <w:t xml:space="preserve"> </w:t>
      </w:r>
      <w:r>
        <w:rPr>
          <w:sz w:val="20"/>
        </w:rPr>
        <w:t>competencia de aquella.</w:t>
      </w:r>
    </w:p>
    <w:p w:rsidR="0092635B" w:rsidRDefault="00000000">
      <w:pPr>
        <w:pStyle w:val="Prrafodelista"/>
        <w:numPr>
          <w:ilvl w:val="0"/>
          <w:numId w:val="331"/>
        </w:numPr>
        <w:tabs>
          <w:tab w:val="left" w:pos="1700"/>
        </w:tabs>
        <w:spacing w:before="124" w:line="249" w:lineRule="auto"/>
        <w:ind w:firstLine="340"/>
        <w:jc w:val="both"/>
        <w:rPr>
          <w:sz w:val="20"/>
        </w:rPr>
      </w:pPr>
      <w:r>
        <w:rPr>
          <w:sz w:val="20"/>
        </w:rPr>
        <w:t>Los contratos administrativos se regirán, en cuanto a su preparación, adjudicación, efectos, modificación y extinción, por esta Ley y sus disposiciones de desarrollo; supletoriamente se aplicarán las restantes normas de derecho administrativo y, en su defecto, las normas de derecho privado. No obstante, a los contratos administrativos especiales a que se refiere la letra b) del apartado anterior les serán de aplicación, en primer término, sus normas específicas.</w:t>
      </w:r>
    </w:p>
    <w:p w:rsidR="0092635B" w:rsidRDefault="0092635B">
      <w:pPr>
        <w:pStyle w:val="Textoindependiente"/>
        <w:ind w:left="0" w:firstLine="0"/>
        <w:jc w:val="left"/>
      </w:pPr>
    </w:p>
    <w:p w:rsidR="0092635B" w:rsidRDefault="00000000">
      <w:pPr>
        <w:ind w:left="1106"/>
        <w:rPr>
          <w:rFonts w:ascii="Arial" w:hAnsi="Arial"/>
          <w:i/>
          <w:sz w:val="20"/>
        </w:rPr>
      </w:pPr>
      <w:bookmarkStart w:id="44" w:name="Artículo_26._Contratos_privados."/>
      <w:bookmarkEnd w:id="44"/>
      <w:r>
        <w:rPr>
          <w:rFonts w:ascii="Arial" w:hAnsi="Arial"/>
          <w:b/>
          <w:sz w:val="20"/>
        </w:rPr>
        <w:t>Artículo 26.</w:t>
      </w:r>
      <w:r>
        <w:rPr>
          <w:rFonts w:ascii="Arial" w:hAnsi="Arial"/>
          <w:b/>
          <w:spacing w:val="54"/>
          <w:sz w:val="20"/>
        </w:rPr>
        <w:t xml:space="preserve"> </w:t>
      </w:r>
      <w:r>
        <w:rPr>
          <w:rFonts w:ascii="Arial" w:hAnsi="Arial"/>
          <w:i/>
          <w:sz w:val="20"/>
        </w:rPr>
        <w:t xml:space="preserve">Contratos </w:t>
      </w:r>
      <w:r>
        <w:rPr>
          <w:rFonts w:ascii="Arial" w:hAnsi="Arial"/>
          <w:i/>
          <w:spacing w:val="-2"/>
          <w:sz w:val="20"/>
        </w:rPr>
        <w:t>privados.</w:t>
      </w:r>
    </w:p>
    <w:p w:rsidR="0092635B" w:rsidRDefault="00000000">
      <w:pPr>
        <w:pStyle w:val="Prrafodelista"/>
        <w:numPr>
          <w:ilvl w:val="0"/>
          <w:numId w:val="330"/>
        </w:numPr>
        <w:tabs>
          <w:tab w:val="left" w:pos="1668"/>
        </w:tabs>
        <w:spacing w:before="123"/>
        <w:ind w:right="0" w:hanging="222"/>
        <w:rPr>
          <w:sz w:val="20"/>
        </w:rPr>
      </w:pPr>
      <w:r>
        <w:rPr>
          <w:sz w:val="20"/>
        </w:rPr>
        <w:t>Tendrán</w:t>
      </w:r>
      <w:r>
        <w:rPr>
          <w:spacing w:val="-9"/>
          <w:sz w:val="20"/>
        </w:rPr>
        <w:t xml:space="preserve"> </w:t>
      </w:r>
      <w:r>
        <w:rPr>
          <w:sz w:val="20"/>
        </w:rPr>
        <w:t>la</w:t>
      </w:r>
      <w:r>
        <w:rPr>
          <w:spacing w:val="-8"/>
          <w:sz w:val="20"/>
        </w:rPr>
        <w:t xml:space="preserve"> </w:t>
      </w:r>
      <w:r>
        <w:rPr>
          <w:sz w:val="20"/>
        </w:rPr>
        <w:t>consideración</w:t>
      </w:r>
      <w:r>
        <w:rPr>
          <w:spacing w:val="-9"/>
          <w:sz w:val="20"/>
        </w:rPr>
        <w:t xml:space="preserve"> </w:t>
      </w:r>
      <w:r>
        <w:rPr>
          <w:sz w:val="20"/>
        </w:rPr>
        <w:t>de</w:t>
      </w:r>
      <w:r>
        <w:rPr>
          <w:spacing w:val="-8"/>
          <w:sz w:val="20"/>
        </w:rPr>
        <w:t xml:space="preserve"> </w:t>
      </w:r>
      <w:r>
        <w:rPr>
          <w:sz w:val="20"/>
        </w:rPr>
        <w:t>contratos</w:t>
      </w:r>
      <w:r>
        <w:rPr>
          <w:spacing w:val="-8"/>
          <w:sz w:val="20"/>
        </w:rPr>
        <w:t xml:space="preserve"> </w:t>
      </w:r>
      <w:r>
        <w:rPr>
          <w:spacing w:val="-2"/>
          <w:sz w:val="20"/>
        </w:rPr>
        <w:t>privados:</w:t>
      </w:r>
    </w:p>
    <w:p w:rsidR="0092635B" w:rsidRDefault="00000000">
      <w:pPr>
        <w:pStyle w:val="Prrafodelista"/>
        <w:numPr>
          <w:ilvl w:val="1"/>
          <w:numId w:val="330"/>
        </w:numPr>
        <w:tabs>
          <w:tab w:val="left" w:pos="1739"/>
        </w:tabs>
        <w:spacing w:before="130" w:line="249" w:lineRule="auto"/>
        <w:ind w:right="1105" w:firstLine="340"/>
        <w:rPr>
          <w:sz w:val="20"/>
        </w:rPr>
      </w:pPr>
      <w:r>
        <w:rPr>
          <w:sz w:val="20"/>
        </w:rPr>
        <w:t>Los</w:t>
      </w:r>
      <w:r>
        <w:rPr>
          <w:spacing w:val="40"/>
          <w:sz w:val="20"/>
        </w:rPr>
        <w:t xml:space="preserve"> </w:t>
      </w:r>
      <w:r>
        <w:rPr>
          <w:sz w:val="20"/>
        </w:rPr>
        <w:t>que</w:t>
      </w:r>
      <w:r>
        <w:rPr>
          <w:spacing w:val="40"/>
          <w:sz w:val="20"/>
        </w:rPr>
        <w:t xml:space="preserve"> </w:t>
      </w:r>
      <w:r>
        <w:rPr>
          <w:sz w:val="20"/>
        </w:rPr>
        <w:t>celebren</w:t>
      </w:r>
      <w:r>
        <w:rPr>
          <w:spacing w:val="40"/>
          <w:sz w:val="20"/>
        </w:rPr>
        <w:t xml:space="preserve"> </w:t>
      </w:r>
      <w:r>
        <w:rPr>
          <w:sz w:val="20"/>
        </w:rPr>
        <w:t>las</w:t>
      </w:r>
      <w:r>
        <w:rPr>
          <w:spacing w:val="40"/>
          <w:sz w:val="20"/>
        </w:rPr>
        <w:t xml:space="preserve"> </w:t>
      </w:r>
      <w:r>
        <w:rPr>
          <w:sz w:val="20"/>
        </w:rPr>
        <w:t>Administraciones</w:t>
      </w:r>
      <w:r>
        <w:rPr>
          <w:spacing w:val="40"/>
          <w:sz w:val="20"/>
        </w:rPr>
        <w:t xml:space="preserve"> </w:t>
      </w:r>
      <w:r>
        <w:rPr>
          <w:sz w:val="20"/>
        </w:rPr>
        <w:t>Públicas</w:t>
      </w:r>
      <w:r>
        <w:rPr>
          <w:spacing w:val="40"/>
          <w:sz w:val="20"/>
        </w:rPr>
        <w:t xml:space="preserve"> </w:t>
      </w:r>
      <w:r>
        <w:rPr>
          <w:sz w:val="20"/>
        </w:rPr>
        <w:t>cuyo</w:t>
      </w:r>
      <w:r>
        <w:rPr>
          <w:spacing w:val="40"/>
          <w:sz w:val="20"/>
        </w:rPr>
        <w:t xml:space="preserve"> </w:t>
      </w:r>
      <w:r>
        <w:rPr>
          <w:sz w:val="20"/>
        </w:rPr>
        <w:t>objeto</w:t>
      </w:r>
      <w:r>
        <w:rPr>
          <w:spacing w:val="40"/>
          <w:sz w:val="20"/>
        </w:rPr>
        <w:t xml:space="preserve"> </w:t>
      </w:r>
      <w:r>
        <w:rPr>
          <w:sz w:val="20"/>
        </w:rPr>
        <w:t>sea</w:t>
      </w:r>
      <w:r>
        <w:rPr>
          <w:spacing w:val="40"/>
          <w:sz w:val="20"/>
        </w:rPr>
        <w:t xml:space="preserve"> </w:t>
      </w:r>
      <w:r>
        <w:rPr>
          <w:sz w:val="20"/>
        </w:rPr>
        <w:t>distinto</w:t>
      </w:r>
      <w:r>
        <w:rPr>
          <w:spacing w:val="40"/>
          <w:sz w:val="20"/>
        </w:rPr>
        <w:t xml:space="preserve"> </w:t>
      </w:r>
      <w:r>
        <w:rPr>
          <w:sz w:val="20"/>
        </w:rPr>
        <w:t>de</w:t>
      </w:r>
      <w:r>
        <w:rPr>
          <w:spacing w:val="40"/>
          <w:sz w:val="20"/>
        </w:rPr>
        <w:t xml:space="preserve"> </w:t>
      </w:r>
      <w:r>
        <w:rPr>
          <w:sz w:val="20"/>
        </w:rPr>
        <w:t>los referidos en las letras a) y b) del apartado primero del artículo anterior.</w:t>
      </w:r>
    </w:p>
    <w:p w:rsidR="0092635B" w:rsidRDefault="00000000">
      <w:pPr>
        <w:pStyle w:val="Prrafodelista"/>
        <w:numPr>
          <w:ilvl w:val="1"/>
          <w:numId w:val="330"/>
        </w:numPr>
        <w:tabs>
          <w:tab w:val="left" w:pos="1720"/>
        </w:tabs>
        <w:spacing w:line="249" w:lineRule="auto"/>
        <w:ind w:firstLine="340"/>
        <w:rPr>
          <w:sz w:val="20"/>
        </w:rPr>
      </w:pPr>
      <w:r>
        <w:rPr>
          <w:sz w:val="20"/>
        </w:rPr>
        <w:t>Los</w:t>
      </w:r>
      <w:r>
        <w:rPr>
          <w:spacing w:val="38"/>
          <w:sz w:val="20"/>
        </w:rPr>
        <w:t xml:space="preserve"> </w:t>
      </w:r>
      <w:r>
        <w:rPr>
          <w:sz w:val="20"/>
        </w:rPr>
        <w:t>celebrados</w:t>
      </w:r>
      <w:r>
        <w:rPr>
          <w:spacing w:val="38"/>
          <w:sz w:val="20"/>
        </w:rPr>
        <w:t xml:space="preserve"> </w:t>
      </w:r>
      <w:r>
        <w:rPr>
          <w:sz w:val="20"/>
        </w:rPr>
        <w:t>por</w:t>
      </w:r>
      <w:r>
        <w:rPr>
          <w:spacing w:val="38"/>
          <w:sz w:val="20"/>
        </w:rPr>
        <w:t xml:space="preserve"> </w:t>
      </w:r>
      <w:r>
        <w:rPr>
          <w:sz w:val="20"/>
        </w:rPr>
        <w:t>entidades</w:t>
      </w:r>
      <w:r>
        <w:rPr>
          <w:spacing w:val="38"/>
          <w:sz w:val="20"/>
        </w:rPr>
        <w:t xml:space="preserve"> </w:t>
      </w:r>
      <w:r>
        <w:rPr>
          <w:sz w:val="20"/>
        </w:rPr>
        <w:t>del</w:t>
      </w:r>
      <w:r>
        <w:rPr>
          <w:spacing w:val="38"/>
          <w:sz w:val="20"/>
        </w:rPr>
        <w:t xml:space="preserve"> </w:t>
      </w:r>
      <w:r>
        <w:rPr>
          <w:sz w:val="20"/>
        </w:rPr>
        <w:t>sector</w:t>
      </w:r>
      <w:r>
        <w:rPr>
          <w:spacing w:val="38"/>
          <w:sz w:val="20"/>
        </w:rPr>
        <w:t xml:space="preserve"> </w:t>
      </w:r>
      <w:r>
        <w:rPr>
          <w:sz w:val="20"/>
        </w:rPr>
        <w:t>público</w:t>
      </w:r>
      <w:r>
        <w:rPr>
          <w:spacing w:val="38"/>
          <w:sz w:val="20"/>
        </w:rPr>
        <w:t xml:space="preserve"> </w:t>
      </w:r>
      <w:r>
        <w:rPr>
          <w:sz w:val="20"/>
        </w:rPr>
        <w:t>que</w:t>
      </w:r>
      <w:r>
        <w:rPr>
          <w:spacing w:val="38"/>
          <w:sz w:val="20"/>
        </w:rPr>
        <w:t xml:space="preserve"> </w:t>
      </w:r>
      <w:r>
        <w:rPr>
          <w:sz w:val="20"/>
        </w:rPr>
        <w:t>siendo</w:t>
      </w:r>
      <w:r>
        <w:rPr>
          <w:spacing w:val="38"/>
          <w:sz w:val="20"/>
        </w:rPr>
        <w:t xml:space="preserve"> </w:t>
      </w:r>
      <w:r>
        <w:rPr>
          <w:sz w:val="20"/>
        </w:rPr>
        <w:t>poder</w:t>
      </w:r>
      <w:r>
        <w:rPr>
          <w:spacing w:val="38"/>
          <w:sz w:val="20"/>
        </w:rPr>
        <w:t xml:space="preserve"> </w:t>
      </w:r>
      <w:r>
        <w:rPr>
          <w:sz w:val="20"/>
        </w:rPr>
        <w:t>adjudicador</w:t>
      </w:r>
      <w:r>
        <w:rPr>
          <w:spacing w:val="38"/>
          <w:sz w:val="20"/>
        </w:rPr>
        <w:t xml:space="preserve"> </w:t>
      </w:r>
      <w:r>
        <w:rPr>
          <w:sz w:val="20"/>
        </w:rPr>
        <w:t>no reúnan la condición de Administraciones Públicas.</w:t>
      </w:r>
    </w:p>
    <w:p w:rsidR="0092635B" w:rsidRDefault="00000000">
      <w:pPr>
        <w:pStyle w:val="Prrafodelista"/>
        <w:numPr>
          <w:ilvl w:val="1"/>
          <w:numId w:val="330"/>
        </w:numPr>
        <w:tabs>
          <w:tab w:val="left" w:pos="1680"/>
        </w:tabs>
        <w:spacing w:line="249" w:lineRule="auto"/>
        <w:ind w:right="1104" w:firstLine="340"/>
        <w:rPr>
          <w:sz w:val="20"/>
        </w:rPr>
      </w:pPr>
      <w:r>
        <w:rPr>
          <w:sz w:val="20"/>
        </w:rPr>
        <w:t xml:space="preserve">Los celebrados por entidades del sector público que no reúnan la condición de poder </w:t>
      </w:r>
      <w:r>
        <w:rPr>
          <w:spacing w:val="-2"/>
          <w:sz w:val="20"/>
        </w:rPr>
        <w:t>adjudicador.</w:t>
      </w:r>
    </w:p>
    <w:p w:rsidR="0092635B" w:rsidRDefault="00000000">
      <w:pPr>
        <w:pStyle w:val="Prrafodelista"/>
        <w:numPr>
          <w:ilvl w:val="0"/>
          <w:numId w:val="330"/>
        </w:numPr>
        <w:tabs>
          <w:tab w:val="left" w:pos="1713"/>
        </w:tabs>
        <w:spacing w:before="121" w:line="249" w:lineRule="auto"/>
        <w:ind w:left="1106" w:right="1104" w:firstLine="340"/>
        <w:jc w:val="both"/>
        <w:rPr>
          <w:sz w:val="20"/>
        </w:rPr>
      </w:pPr>
      <w:r>
        <w:rPr>
          <w:sz w:val="20"/>
        </w:rPr>
        <w:t>Los contratos privados que celebren las Administraciones Públicas se regirán, en cuanto</w:t>
      </w:r>
      <w:r>
        <w:rPr>
          <w:spacing w:val="-2"/>
          <w:sz w:val="20"/>
        </w:rPr>
        <w:t xml:space="preserve"> </w:t>
      </w:r>
      <w:r>
        <w:rPr>
          <w:sz w:val="20"/>
        </w:rPr>
        <w:t>a</w:t>
      </w:r>
      <w:r>
        <w:rPr>
          <w:spacing w:val="-2"/>
          <w:sz w:val="20"/>
        </w:rPr>
        <w:t xml:space="preserve"> </w:t>
      </w:r>
      <w:r>
        <w:rPr>
          <w:sz w:val="20"/>
        </w:rPr>
        <w:t>su</w:t>
      </w:r>
      <w:r>
        <w:rPr>
          <w:spacing w:val="-2"/>
          <w:sz w:val="20"/>
        </w:rPr>
        <w:t xml:space="preserve"> </w:t>
      </w:r>
      <w:r>
        <w:rPr>
          <w:sz w:val="20"/>
        </w:rPr>
        <w:t>preparación</w:t>
      </w:r>
      <w:r>
        <w:rPr>
          <w:spacing w:val="-2"/>
          <w:sz w:val="20"/>
        </w:rPr>
        <w:t xml:space="preserve"> </w:t>
      </w:r>
      <w:r>
        <w:rPr>
          <w:sz w:val="20"/>
        </w:rPr>
        <w:t>y</w:t>
      </w:r>
      <w:r>
        <w:rPr>
          <w:spacing w:val="-2"/>
          <w:sz w:val="20"/>
        </w:rPr>
        <w:t xml:space="preserve"> </w:t>
      </w:r>
      <w:r>
        <w:rPr>
          <w:sz w:val="20"/>
        </w:rPr>
        <w:t>adjudicación,</w:t>
      </w:r>
      <w:r>
        <w:rPr>
          <w:spacing w:val="-2"/>
          <w:sz w:val="20"/>
        </w:rPr>
        <w:t xml:space="preserve"> </w:t>
      </w:r>
      <w:r>
        <w:rPr>
          <w:sz w:val="20"/>
        </w:rPr>
        <w:t>en</w:t>
      </w:r>
      <w:r>
        <w:rPr>
          <w:spacing w:val="-2"/>
          <w:sz w:val="20"/>
        </w:rPr>
        <w:t xml:space="preserve"> </w:t>
      </w:r>
      <w:r>
        <w:rPr>
          <w:sz w:val="20"/>
        </w:rPr>
        <w:t>defecto</w:t>
      </w:r>
      <w:r>
        <w:rPr>
          <w:spacing w:val="-2"/>
          <w:sz w:val="20"/>
        </w:rPr>
        <w:t xml:space="preserve"> </w:t>
      </w:r>
      <w:r>
        <w:rPr>
          <w:sz w:val="20"/>
        </w:rPr>
        <w:t>de</w:t>
      </w:r>
      <w:r>
        <w:rPr>
          <w:spacing w:val="-2"/>
          <w:sz w:val="20"/>
        </w:rPr>
        <w:t xml:space="preserve"> </w:t>
      </w:r>
      <w:r>
        <w:rPr>
          <w:sz w:val="20"/>
        </w:rPr>
        <w:t>normas</w:t>
      </w:r>
      <w:r>
        <w:rPr>
          <w:spacing w:val="-2"/>
          <w:sz w:val="20"/>
        </w:rPr>
        <w:t xml:space="preserve"> </w:t>
      </w:r>
      <w:r>
        <w:rPr>
          <w:sz w:val="20"/>
        </w:rPr>
        <w:t>específicas,</w:t>
      </w:r>
      <w:r>
        <w:rPr>
          <w:spacing w:val="-2"/>
          <w:sz w:val="20"/>
        </w:rPr>
        <w:t xml:space="preserve"> </w:t>
      </w:r>
      <w:r>
        <w:rPr>
          <w:sz w:val="20"/>
        </w:rPr>
        <w:t>por</w:t>
      </w:r>
      <w:r>
        <w:rPr>
          <w:spacing w:val="-2"/>
          <w:sz w:val="20"/>
        </w:rPr>
        <w:t xml:space="preserve"> </w:t>
      </w:r>
      <w:r>
        <w:rPr>
          <w:sz w:val="20"/>
        </w:rPr>
        <w:t>las</w:t>
      </w:r>
      <w:r>
        <w:rPr>
          <w:spacing w:val="-2"/>
          <w:sz w:val="20"/>
        </w:rPr>
        <w:t xml:space="preserve"> </w:t>
      </w:r>
      <w:r>
        <w:rPr>
          <w:sz w:val="20"/>
        </w:rPr>
        <w:t>Secciones</w:t>
      </w:r>
    </w:p>
    <w:p w:rsidR="0092635B" w:rsidRDefault="00000000">
      <w:pPr>
        <w:pStyle w:val="Textoindependiente"/>
        <w:spacing w:line="249" w:lineRule="auto"/>
        <w:ind w:right="1104" w:hanging="1"/>
      </w:pPr>
      <w:r>
        <w:t>1.ª y 2.ª del Capítulo I del Título I del Libro Segundo de la presente Ley con carácter general, y por sus disposiciones de desarrollo, aplicándose supletoriamente las restantes normas de derecho</w:t>
      </w:r>
      <w:r>
        <w:rPr>
          <w:spacing w:val="25"/>
        </w:rPr>
        <w:t xml:space="preserve"> </w:t>
      </w:r>
      <w:r>
        <w:t>administrativo</w:t>
      </w:r>
      <w:r>
        <w:rPr>
          <w:spacing w:val="25"/>
        </w:rPr>
        <w:t xml:space="preserve"> </w:t>
      </w:r>
      <w:r>
        <w:t>o,</w:t>
      </w:r>
      <w:r>
        <w:rPr>
          <w:spacing w:val="25"/>
        </w:rPr>
        <w:t xml:space="preserve"> </w:t>
      </w:r>
      <w:r>
        <w:t>en</w:t>
      </w:r>
      <w:r>
        <w:rPr>
          <w:spacing w:val="25"/>
        </w:rPr>
        <w:t xml:space="preserve"> </w:t>
      </w:r>
      <w:r>
        <w:t>su</w:t>
      </w:r>
      <w:r>
        <w:rPr>
          <w:spacing w:val="25"/>
        </w:rPr>
        <w:t xml:space="preserve"> </w:t>
      </w:r>
      <w:r>
        <w:t>caso,</w:t>
      </w:r>
      <w:r>
        <w:rPr>
          <w:spacing w:val="25"/>
        </w:rPr>
        <w:t xml:space="preserve"> </w:t>
      </w:r>
      <w:r>
        <w:t>las</w:t>
      </w:r>
      <w:r>
        <w:rPr>
          <w:spacing w:val="25"/>
        </w:rPr>
        <w:t xml:space="preserve"> </w:t>
      </w:r>
      <w:r>
        <w:t>normas</w:t>
      </w:r>
      <w:r>
        <w:rPr>
          <w:spacing w:val="25"/>
        </w:rPr>
        <w:t xml:space="preserve"> </w:t>
      </w:r>
      <w:r>
        <w:t>de</w:t>
      </w:r>
      <w:r>
        <w:rPr>
          <w:spacing w:val="25"/>
        </w:rPr>
        <w:t xml:space="preserve"> </w:t>
      </w:r>
      <w:r>
        <w:t>derecho</w:t>
      </w:r>
      <w:r>
        <w:rPr>
          <w:spacing w:val="25"/>
        </w:rPr>
        <w:t xml:space="preserve"> </w:t>
      </w:r>
      <w:r>
        <w:t>privado,</w:t>
      </w:r>
      <w:r>
        <w:rPr>
          <w:spacing w:val="25"/>
        </w:rPr>
        <w:t xml:space="preserve"> </w:t>
      </w:r>
      <w:r>
        <w:t>según</w:t>
      </w:r>
      <w:r>
        <w:rPr>
          <w:spacing w:val="25"/>
        </w:rPr>
        <w:t xml:space="preserve"> </w:t>
      </w:r>
      <w:r>
        <w:t>corresponda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5" w:firstLine="0"/>
      </w:pPr>
      <w:r>
        <w:t>por razón del sujeto o entidad contratante. En lo que respecta a su efectos, modificación y extinción, estos contratos se regirán por el derecho privado.</w:t>
      </w:r>
    </w:p>
    <w:p w:rsidR="0092635B" w:rsidRDefault="00000000">
      <w:pPr>
        <w:pStyle w:val="Textoindependiente"/>
        <w:spacing w:before="1" w:line="249" w:lineRule="auto"/>
        <w:ind w:right="1104"/>
      </w:pPr>
      <w:r>
        <w:t>No obstante lo establecido en el párrafo anterior, a los contratos mencionados en los números 1.º y 2.º de la letra a) del apartado primero del artículo anterior, les resultarán de aplicación, además del Libro Primero de la presente Ley, el Libro Segundo de la misma en cuanto a su preparación y adjudicación. En cuanto a sus efectos y extinción les serán aplicables las normas de derecho privado, salvo lo establecido en los artículos de esta Ley relativos a las condiciones especiales de ejecución, modificación, cesión, subcontratación y resolución de los contratos, que les serán de aplicación cuando el contrato esté sujeto a regulación armonizada.</w:t>
      </w:r>
    </w:p>
    <w:p w:rsidR="0092635B" w:rsidRDefault="00000000">
      <w:pPr>
        <w:pStyle w:val="Prrafodelista"/>
        <w:numPr>
          <w:ilvl w:val="0"/>
          <w:numId w:val="330"/>
        </w:numPr>
        <w:tabs>
          <w:tab w:val="left" w:pos="1677"/>
        </w:tabs>
        <w:spacing w:before="7" w:line="249" w:lineRule="auto"/>
        <w:ind w:left="1106" w:firstLine="340"/>
        <w:jc w:val="both"/>
        <w:rPr>
          <w:sz w:val="20"/>
        </w:rPr>
      </w:pPr>
      <w:r>
        <w:rPr>
          <w:sz w:val="20"/>
        </w:rPr>
        <w:t>Los contratos privados que celebren los poderes adjudicadores que no pertenezcan a la categoría de Administraciones Públicas mencionados en la letra b) del apartado primero del presente artículo, cuyo objeto esté comprendido en el ámbito de la presente Ley, se regirán por lo dispuesto en el Título I del Libro Tercero de la misma, en cuanto a su preparación y adjudicación.</w:t>
      </w:r>
    </w:p>
    <w:p w:rsidR="0092635B" w:rsidRDefault="00000000">
      <w:pPr>
        <w:pStyle w:val="Textoindependiente"/>
        <w:spacing w:before="4" w:line="249" w:lineRule="auto"/>
        <w:ind w:right="1102"/>
      </w:pPr>
      <w:r>
        <w:t>En cuanto a sus efectos y extinción les serán aplicables las normas de derecho privado,</w:t>
      </w:r>
      <w:r>
        <w:rPr>
          <w:spacing w:val="40"/>
        </w:rPr>
        <w:t xml:space="preserve"> </w:t>
      </w:r>
      <w:r>
        <w:t>y aquellas normas a las que se refiere el párrafo primero del artículo 319 en materia medioambiental, social o laboral, de condiciones especiales de ejecución, de modificación</w:t>
      </w:r>
      <w:r>
        <w:rPr>
          <w:spacing w:val="40"/>
        </w:rPr>
        <w:t xml:space="preserve"> </w:t>
      </w:r>
      <w:r>
        <w:t>del contrato, de cesión y subcontratación, de racionalización técnica de la contratación; y la causa de resolución del contrato referida a la imposibilidad de ejecutar la prestación en los términos inicialmente pactados, cuando no sea posible modificar el contrato conforme a los artículos 204 y 205.</w:t>
      </w:r>
    </w:p>
    <w:p w:rsidR="0092635B" w:rsidRDefault="00000000">
      <w:pPr>
        <w:pStyle w:val="Prrafodelista"/>
        <w:numPr>
          <w:ilvl w:val="0"/>
          <w:numId w:val="330"/>
        </w:numPr>
        <w:tabs>
          <w:tab w:val="left" w:pos="1728"/>
        </w:tabs>
        <w:spacing w:before="6" w:line="249" w:lineRule="auto"/>
        <w:ind w:left="1106" w:right="1104" w:firstLine="340"/>
        <w:jc w:val="both"/>
        <w:rPr>
          <w:sz w:val="20"/>
        </w:rPr>
      </w:pPr>
      <w:r>
        <w:rPr>
          <w:sz w:val="20"/>
        </w:rPr>
        <w:t>Los contratos que celebren las Entidades del Sector Público que no posean la condición de poder adjudicador, se regirán por lo dispuesto en los artículos 321 y 322.</w:t>
      </w:r>
    </w:p>
    <w:p w:rsidR="0092635B" w:rsidRDefault="00000000">
      <w:pPr>
        <w:pStyle w:val="Textoindependiente"/>
        <w:spacing w:before="1" w:line="249" w:lineRule="auto"/>
        <w:ind w:right="1103"/>
      </w:pPr>
      <w:r>
        <w:t>En lo que se refiere a sus efectos, modificación y extinción se regularán por las normas de derecho privado que les resulten de aplicación.</w:t>
      </w:r>
    </w:p>
    <w:p w:rsidR="0092635B" w:rsidRDefault="00000000">
      <w:pPr>
        <w:spacing w:before="229"/>
        <w:ind w:left="1106"/>
        <w:jc w:val="both"/>
        <w:rPr>
          <w:rFonts w:ascii="Arial" w:hAnsi="Arial"/>
          <w:i/>
          <w:sz w:val="20"/>
        </w:rPr>
      </w:pPr>
      <w:bookmarkStart w:id="45" w:name="Artículo_27._Jurisdicción_competente."/>
      <w:bookmarkEnd w:id="45"/>
      <w:r>
        <w:rPr>
          <w:rFonts w:ascii="Arial" w:hAnsi="Arial"/>
          <w:b/>
          <w:sz w:val="20"/>
        </w:rPr>
        <w:t>Artículo</w:t>
      </w:r>
      <w:r>
        <w:rPr>
          <w:rFonts w:ascii="Arial" w:hAnsi="Arial"/>
          <w:b/>
          <w:spacing w:val="-5"/>
          <w:sz w:val="20"/>
        </w:rPr>
        <w:t xml:space="preserve"> </w:t>
      </w:r>
      <w:r>
        <w:rPr>
          <w:rFonts w:ascii="Arial" w:hAnsi="Arial"/>
          <w:b/>
          <w:sz w:val="20"/>
        </w:rPr>
        <w:t>27.</w:t>
      </w:r>
      <w:r>
        <w:rPr>
          <w:rFonts w:ascii="Arial" w:hAnsi="Arial"/>
          <w:b/>
          <w:spacing w:val="48"/>
          <w:sz w:val="20"/>
        </w:rPr>
        <w:t xml:space="preserve"> </w:t>
      </w:r>
      <w:r>
        <w:rPr>
          <w:rFonts w:ascii="Arial" w:hAnsi="Arial"/>
          <w:i/>
          <w:sz w:val="20"/>
        </w:rPr>
        <w:t>Jurisdicción</w:t>
      </w:r>
      <w:r>
        <w:rPr>
          <w:rFonts w:ascii="Arial" w:hAnsi="Arial"/>
          <w:i/>
          <w:spacing w:val="-2"/>
          <w:sz w:val="20"/>
        </w:rPr>
        <w:t xml:space="preserve"> competente.</w:t>
      </w:r>
    </w:p>
    <w:p w:rsidR="0092635B" w:rsidRDefault="00000000">
      <w:pPr>
        <w:pStyle w:val="Prrafodelista"/>
        <w:numPr>
          <w:ilvl w:val="0"/>
          <w:numId w:val="329"/>
        </w:numPr>
        <w:tabs>
          <w:tab w:val="left" w:pos="1694"/>
        </w:tabs>
        <w:spacing w:before="123" w:line="249" w:lineRule="auto"/>
        <w:ind w:right="1105" w:firstLine="340"/>
        <w:jc w:val="both"/>
        <w:rPr>
          <w:sz w:val="20"/>
        </w:rPr>
      </w:pPr>
      <w:r>
        <w:rPr>
          <w:sz w:val="20"/>
        </w:rPr>
        <w:t xml:space="preserve">Serán competencia del orden jurisdiccional contencioso-administrativo las siguientes </w:t>
      </w:r>
      <w:r>
        <w:rPr>
          <w:spacing w:val="-2"/>
          <w:sz w:val="20"/>
        </w:rPr>
        <w:t>cuestiones:</w:t>
      </w:r>
    </w:p>
    <w:p w:rsidR="0092635B" w:rsidRDefault="00000000">
      <w:pPr>
        <w:pStyle w:val="Prrafodelista"/>
        <w:numPr>
          <w:ilvl w:val="1"/>
          <w:numId w:val="329"/>
        </w:numPr>
        <w:tabs>
          <w:tab w:val="left" w:pos="1704"/>
        </w:tabs>
        <w:spacing w:before="122" w:line="249" w:lineRule="auto"/>
        <w:ind w:right="1104" w:firstLine="340"/>
        <w:jc w:val="both"/>
        <w:rPr>
          <w:sz w:val="20"/>
        </w:rPr>
      </w:pPr>
      <w:r>
        <w:rPr>
          <w:sz w:val="20"/>
        </w:rPr>
        <w:t>Las relativas a la preparación, adjudicación, efectos, modificación y extinción de los contratos administrativos.</w:t>
      </w:r>
    </w:p>
    <w:p w:rsidR="0092635B" w:rsidRDefault="00000000">
      <w:pPr>
        <w:pStyle w:val="Prrafodelista"/>
        <w:numPr>
          <w:ilvl w:val="1"/>
          <w:numId w:val="329"/>
        </w:numPr>
        <w:tabs>
          <w:tab w:val="left" w:pos="1707"/>
        </w:tabs>
        <w:spacing w:before="1" w:line="249" w:lineRule="auto"/>
        <w:ind w:firstLine="340"/>
        <w:jc w:val="both"/>
        <w:rPr>
          <w:sz w:val="20"/>
        </w:rPr>
      </w:pPr>
      <w:r>
        <w:rPr>
          <w:sz w:val="20"/>
        </w:rPr>
        <w:t>Las que se susciten en relación con la preparación y adjudicación de los contratos privados de las Administraciones Públicas.</w:t>
      </w:r>
    </w:p>
    <w:p w:rsidR="0092635B" w:rsidRDefault="00000000">
      <w:pPr>
        <w:pStyle w:val="Textoindependiente"/>
        <w:spacing w:line="249" w:lineRule="auto"/>
        <w:ind w:right="1103"/>
      </w:pPr>
      <w:r>
        <w:t>Adicionalmente, respecto de los contratos referidos en los números 1.º y 2.º de la letra a) del apartado primero del artículo 25 de la presente Ley que estén sujetos a regulación armonizada, las impugnaciones de las modificaciones basadas en el incumplimiento de lo establecido en los artículos 204 y 205 de la presente Ley, por entender que la modificación debió ser objeto de una nueva adjudicación.</w:t>
      </w:r>
    </w:p>
    <w:p w:rsidR="0092635B" w:rsidRDefault="00000000">
      <w:pPr>
        <w:pStyle w:val="Prrafodelista"/>
        <w:numPr>
          <w:ilvl w:val="1"/>
          <w:numId w:val="329"/>
        </w:numPr>
        <w:tabs>
          <w:tab w:val="left" w:pos="1676"/>
        </w:tabs>
        <w:spacing w:before="4" w:line="249" w:lineRule="auto"/>
        <w:ind w:firstLine="340"/>
        <w:jc w:val="both"/>
        <w:rPr>
          <w:sz w:val="20"/>
        </w:rPr>
      </w:pPr>
      <w:r>
        <w:rPr>
          <w:sz w:val="20"/>
        </w:rPr>
        <w:t>Las referidas a la preparación, adjudicación y modificaciones contractuales, cuando la impugnación de estas últimas se base en el incumplimiento de lo establecido en los artículos 204</w:t>
      </w:r>
      <w:r>
        <w:rPr>
          <w:spacing w:val="-3"/>
          <w:sz w:val="20"/>
        </w:rPr>
        <w:t xml:space="preserve"> </w:t>
      </w:r>
      <w:r>
        <w:rPr>
          <w:sz w:val="20"/>
        </w:rPr>
        <w:t>y</w:t>
      </w:r>
      <w:r>
        <w:rPr>
          <w:spacing w:val="-3"/>
          <w:sz w:val="20"/>
        </w:rPr>
        <w:t xml:space="preserve"> </w:t>
      </w:r>
      <w:r>
        <w:rPr>
          <w:sz w:val="20"/>
        </w:rPr>
        <w:t>205</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presente</w:t>
      </w:r>
      <w:r>
        <w:rPr>
          <w:spacing w:val="-3"/>
          <w:sz w:val="20"/>
        </w:rPr>
        <w:t xml:space="preserve"> </w:t>
      </w:r>
      <w:r>
        <w:rPr>
          <w:sz w:val="20"/>
        </w:rPr>
        <w:t>Ley,</w:t>
      </w:r>
      <w:r>
        <w:rPr>
          <w:spacing w:val="-3"/>
          <w:sz w:val="20"/>
        </w:rPr>
        <w:t xml:space="preserve"> </w:t>
      </w:r>
      <w:r>
        <w:rPr>
          <w:sz w:val="20"/>
        </w:rPr>
        <w:t>cuando</w:t>
      </w:r>
      <w:r>
        <w:rPr>
          <w:spacing w:val="-3"/>
          <w:sz w:val="20"/>
        </w:rPr>
        <w:t xml:space="preserve"> </w:t>
      </w:r>
      <w:r>
        <w:rPr>
          <w:sz w:val="20"/>
        </w:rPr>
        <w:t>se</w:t>
      </w:r>
      <w:r>
        <w:rPr>
          <w:spacing w:val="-3"/>
          <w:sz w:val="20"/>
        </w:rPr>
        <w:t xml:space="preserve"> </w:t>
      </w:r>
      <w:r>
        <w:rPr>
          <w:sz w:val="20"/>
        </w:rPr>
        <w:t>entienda</w:t>
      </w:r>
      <w:r>
        <w:rPr>
          <w:spacing w:val="-3"/>
          <w:sz w:val="20"/>
        </w:rPr>
        <w:t xml:space="preserve"> </w:t>
      </w:r>
      <w:r>
        <w:rPr>
          <w:sz w:val="20"/>
        </w:rPr>
        <w:t>que</w:t>
      </w:r>
      <w:r>
        <w:rPr>
          <w:spacing w:val="-3"/>
          <w:sz w:val="20"/>
        </w:rPr>
        <w:t xml:space="preserve"> </w:t>
      </w:r>
      <w:r>
        <w:rPr>
          <w:sz w:val="20"/>
        </w:rPr>
        <w:t>dicha</w:t>
      </w:r>
      <w:r>
        <w:rPr>
          <w:spacing w:val="-3"/>
          <w:sz w:val="20"/>
        </w:rPr>
        <w:t xml:space="preserve"> </w:t>
      </w:r>
      <w:r>
        <w:rPr>
          <w:sz w:val="20"/>
        </w:rPr>
        <w:t>modificación</w:t>
      </w:r>
      <w:r>
        <w:rPr>
          <w:spacing w:val="-3"/>
          <w:sz w:val="20"/>
        </w:rPr>
        <w:t xml:space="preserve"> </w:t>
      </w:r>
      <w:r>
        <w:rPr>
          <w:sz w:val="20"/>
        </w:rPr>
        <w:t>debió</w:t>
      </w:r>
      <w:r>
        <w:rPr>
          <w:spacing w:val="-3"/>
          <w:sz w:val="20"/>
        </w:rPr>
        <w:t xml:space="preserve"> </w:t>
      </w:r>
      <w:r>
        <w:rPr>
          <w:sz w:val="20"/>
        </w:rPr>
        <w:t>ser</w:t>
      </w:r>
      <w:r>
        <w:rPr>
          <w:spacing w:val="-3"/>
          <w:sz w:val="20"/>
        </w:rPr>
        <w:t xml:space="preserve"> </w:t>
      </w:r>
      <w:r>
        <w:rPr>
          <w:sz w:val="20"/>
        </w:rPr>
        <w:t>objeto</w:t>
      </w:r>
      <w:r>
        <w:rPr>
          <w:spacing w:val="-3"/>
          <w:sz w:val="20"/>
        </w:rPr>
        <w:t xml:space="preserve"> </w:t>
      </w:r>
      <w:r>
        <w:rPr>
          <w:sz w:val="20"/>
        </w:rPr>
        <w:t>de una nueva adjudicación de los contratos celebrados por los poderes adjudicadores que no tengan la consideración de Administración Pública.</w:t>
      </w:r>
    </w:p>
    <w:p w:rsidR="0092635B" w:rsidRDefault="00000000">
      <w:pPr>
        <w:pStyle w:val="Prrafodelista"/>
        <w:numPr>
          <w:ilvl w:val="1"/>
          <w:numId w:val="329"/>
        </w:numPr>
        <w:tabs>
          <w:tab w:val="left" w:pos="1691"/>
        </w:tabs>
        <w:spacing w:before="4" w:line="249" w:lineRule="auto"/>
        <w:ind w:right="1105" w:firstLine="340"/>
        <w:jc w:val="both"/>
        <w:rPr>
          <w:sz w:val="20"/>
        </w:rPr>
      </w:pPr>
      <w:r>
        <w:rPr>
          <w:sz w:val="20"/>
        </w:rPr>
        <w:t>Las relativas a la preparación y adjudicación de los contratos de entidades del sector público que no tengan el carácter de poderes adjudicadores.</w:t>
      </w:r>
    </w:p>
    <w:p w:rsidR="0092635B" w:rsidRDefault="00000000">
      <w:pPr>
        <w:pStyle w:val="Prrafodelista"/>
        <w:numPr>
          <w:ilvl w:val="1"/>
          <w:numId w:val="329"/>
        </w:numPr>
        <w:tabs>
          <w:tab w:val="left" w:pos="1731"/>
        </w:tabs>
        <w:spacing w:line="249" w:lineRule="auto"/>
        <w:ind w:firstLine="340"/>
        <w:jc w:val="both"/>
        <w:rPr>
          <w:sz w:val="20"/>
        </w:rPr>
      </w:pPr>
      <w:r>
        <w:rPr>
          <w:sz w:val="20"/>
        </w:rPr>
        <w:t>Los recursos interpuestos contra las resoluciones que se dicten por los órganos administrativos de resolución de los recursos previstos en el artículo 44 de esta Ley, así como en el artículo 321.5.</w:t>
      </w:r>
    </w:p>
    <w:p w:rsidR="0092635B" w:rsidRDefault="00000000">
      <w:pPr>
        <w:pStyle w:val="Prrafodelista"/>
        <w:numPr>
          <w:ilvl w:val="1"/>
          <w:numId w:val="329"/>
        </w:numPr>
        <w:tabs>
          <w:tab w:val="left" w:pos="1695"/>
        </w:tabs>
        <w:spacing w:line="249" w:lineRule="auto"/>
        <w:ind w:right="1104" w:firstLine="340"/>
        <w:jc w:val="both"/>
        <w:rPr>
          <w:sz w:val="20"/>
        </w:rPr>
      </w:pPr>
      <w:r>
        <w:rPr>
          <w:sz w:val="20"/>
        </w:rPr>
        <w:t xml:space="preserve">Las cuestiones que se susciten en relación con la preparación, adjudicación y modificación de los contratos subvencionados a que se refiere el artículo 23 de la presente </w:t>
      </w:r>
      <w:r>
        <w:rPr>
          <w:spacing w:val="-4"/>
          <w:sz w:val="20"/>
        </w:rPr>
        <w:t>Ley.</w:t>
      </w:r>
    </w:p>
    <w:p w:rsidR="0092635B" w:rsidRDefault="00000000">
      <w:pPr>
        <w:pStyle w:val="Prrafodelista"/>
        <w:numPr>
          <w:ilvl w:val="0"/>
          <w:numId w:val="329"/>
        </w:numPr>
        <w:tabs>
          <w:tab w:val="left" w:pos="1668"/>
        </w:tabs>
        <w:spacing w:before="123"/>
        <w:ind w:left="1668" w:right="0" w:hanging="222"/>
        <w:rPr>
          <w:sz w:val="20"/>
        </w:rPr>
      </w:pPr>
      <w:r>
        <w:rPr>
          <w:sz w:val="20"/>
        </w:rPr>
        <w:t>El</w:t>
      </w:r>
      <w:r>
        <w:rPr>
          <w:spacing w:val="-5"/>
          <w:sz w:val="20"/>
        </w:rPr>
        <w:t xml:space="preserve"> </w:t>
      </w:r>
      <w:r>
        <w:rPr>
          <w:sz w:val="20"/>
        </w:rPr>
        <w:t>orden</w:t>
      </w:r>
      <w:r>
        <w:rPr>
          <w:spacing w:val="-5"/>
          <w:sz w:val="20"/>
        </w:rPr>
        <w:t xml:space="preserve"> </w:t>
      </w:r>
      <w:r>
        <w:rPr>
          <w:sz w:val="20"/>
        </w:rPr>
        <w:t>jurisdiccional</w:t>
      </w:r>
      <w:r>
        <w:rPr>
          <w:spacing w:val="-5"/>
          <w:sz w:val="20"/>
        </w:rPr>
        <w:t xml:space="preserve"> </w:t>
      </w:r>
      <w:r>
        <w:rPr>
          <w:sz w:val="20"/>
        </w:rPr>
        <w:t>civil</w:t>
      </w:r>
      <w:r>
        <w:rPr>
          <w:spacing w:val="-4"/>
          <w:sz w:val="20"/>
        </w:rPr>
        <w:t xml:space="preserve"> </w:t>
      </w:r>
      <w:r>
        <w:rPr>
          <w:sz w:val="20"/>
        </w:rPr>
        <w:t>será</w:t>
      </w:r>
      <w:r>
        <w:rPr>
          <w:spacing w:val="-5"/>
          <w:sz w:val="20"/>
        </w:rPr>
        <w:t xml:space="preserve"> </w:t>
      </w:r>
      <w:r>
        <w:rPr>
          <w:sz w:val="20"/>
        </w:rPr>
        <w:t>el</w:t>
      </w:r>
      <w:r>
        <w:rPr>
          <w:spacing w:val="-5"/>
          <w:sz w:val="20"/>
        </w:rPr>
        <w:t xml:space="preserve"> </w:t>
      </w:r>
      <w:r>
        <w:rPr>
          <w:sz w:val="20"/>
        </w:rPr>
        <w:t>competente</w:t>
      </w:r>
      <w:r>
        <w:rPr>
          <w:spacing w:val="-5"/>
          <w:sz w:val="20"/>
        </w:rPr>
        <w:t xml:space="preserve"> </w:t>
      </w:r>
      <w:r>
        <w:rPr>
          <w:sz w:val="20"/>
        </w:rPr>
        <w:t>para</w:t>
      </w:r>
      <w:r>
        <w:rPr>
          <w:spacing w:val="-4"/>
          <w:sz w:val="20"/>
        </w:rPr>
        <w:t xml:space="preserve"> </w:t>
      </w:r>
      <w:r>
        <w:rPr>
          <w:spacing w:val="-2"/>
          <w:sz w:val="20"/>
        </w:rPr>
        <w:t>resolver:</w:t>
      </w:r>
    </w:p>
    <w:p w:rsidR="0092635B" w:rsidRDefault="00000000">
      <w:pPr>
        <w:pStyle w:val="Prrafodelista"/>
        <w:numPr>
          <w:ilvl w:val="1"/>
          <w:numId w:val="329"/>
        </w:numPr>
        <w:tabs>
          <w:tab w:val="left" w:pos="1726"/>
        </w:tabs>
        <w:spacing w:before="130" w:line="249" w:lineRule="auto"/>
        <w:ind w:right="1104" w:firstLine="340"/>
        <w:jc w:val="both"/>
        <w:rPr>
          <w:sz w:val="20"/>
        </w:rPr>
      </w:pPr>
      <w:r>
        <w:rPr>
          <w:sz w:val="20"/>
        </w:rPr>
        <w:t>Las controversias que se susciten entre las partes en relación con los efectos y extinción de los contratos privados de las entidades que tengan la consideración de poderes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4" w:hanging="1"/>
      </w:pPr>
      <w:r>
        <w:t>adjudicadores, sean o no Administraciones Públicas, con excepción de las modificaciones contractuales citadas en las letras b) y c) del apartado anterior.</w:t>
      </w:r>
    </w:p>
    <w:p w:rsidR="0092635B" w:rsidRDefault="00000000">
      <w:pPr>
        <w:pStyle w:val="Prrafodelista"/>
        <w:numPr>
          <w:ilvl w:val="1"/>
          <w:numId w:val="329"/>
        </w:numPr>
        <w:tabs>
          <w:tab w:val="left" w:pos="1709"/>
        </w:tabs>
        <w:spacing w:before="1" w:line="249" w:lineRule="auto"/>
        <w:ind w:firstLine="340"/>
        <w:jc w:val="both"/>
        <w:rPr>
          <w:sz w:val="20"/>
        </w:rPr>
      </w:pPr>
      <w:r>
        <w:rPr>
          <w:sz w:val="20"/>
        </w:rPr>
        <w:t>De las cuestiones referidas a efectos y extinción de los contratos que celebren las entidades del sector público que no tengan el carácter de poderes adjudicadores.</w:t>
      </w:r>
    </w:p>
    <w:p w:rsidR="0092635B" w:rsidRDefault="00000000">
      <w:pPr>
        <w:pStyle w:val="Prrafodelista"/>
        <w:numPr>
          <w:ilvl w:val="1"/>
          <w:numId w:val="329"/>
        </w:numPr>
        <w:tabs>
          <w:tab w:val="left" w:pos="1713"/>
        </w:tabs>
        <w:spacing w:line="249" w:lineRule="auto"/>
        <w:ind w:right="1104" w:firstLine="340"/>
        <w:jc w:val="both"/>
        <w:rPr>
          <w:sz w:val="20"/>
        </w:rPr>
      </w:pPr>
      <w:r>
        <w:rPr>
          <w:sz w:val="20"/>
        </w:rPr>
        <w:t>El conocimiento de las cuestiones litigiosas relativas a la financiación privada del contrato de concesión de obra pública o de concesión de servicios, salvo en lo relativo a las actuaciones en ejercicio de las obligaciones y potestades administrativas que, con arreglo a lo dispuesto en esta Ley, se atribuyen a la Administración concedente, y en las que será competente el orden jurisdiccional contencioso-administrativo.</w:t>
      </w:r>
    </w:p>
    <w:p w:rsidR="0092635B" w:rsidRDefault="0092635B">
      <w:pPr>
        <w:pStyle w:val="Textoindependiente"/>
        <w:spacing w:before="227"/>
        <w:ind w:left="0" w:firstLine="0"/>
        <w:jc w:val="left"/>
      </w:pPr>
    </w:p>
    <w:p w:rsidR="0092635B" w:rsidRDefault="00000000">
      <w:pPr>
        <w:pStyle w:val="Textoindependiente"/>
        <w:spacing w:before="1"/>
        <w:ind w:left="0" w:firstLine="0"/>
        <w:jc w:val="center"/>
      </w:pPr>
      <w:bookmarkStart w:id="46" w:name="LIBRO_PRIMERO._Configuración_general_de_"/>
      <w:bookmarkStart w:id="47" w:name="_bookmark9"/>
      <w:bookmarkEnd w:id="46"/>
      <w:bookmarkEnd w:id="47"/>
      <w:r>
        <w:t xml:space="preserve">LIBRO </w:t>
      </w:r>
      <w:r>
        <w:rPr>
          <w:spacing w:val="-2"/>
        </w:rPr>
        <w:t>PRIMERO</w:t>
      </w:r>
    </w:p>
    <w:p w:rsidR="0092635B" w:rsidRDefault="00000000">
      <w:pPr>
        <w:pStyle w:val="Ttulo2"/>
        <w:spacing w:line="249" w:lineRule="auto"/>
        <w:ind w:left="1446" w:right="1442"/>
      </w:pPr>
      <w:r>
        <w:t>Configuración</w:t>
      </w:r>
      <w:r>
        <w:rPr>
          <w:spacing w:val="77"/>
        </w:rPr>
        <w:t xml:space="preserve"> </w:t>
      </w:r>
      <w:r>
        <w:t>general</w:t>
      </w:r>
      <w:r>
        <w:rPr>
          <w:spacing w:val="77"/>
        </w:rPr>
        <w:t xml:space="preserve"> </w:t>
      </w:r>
      <w:r>
        <w:t>de</w:t>
      </w:r>
      <w:r>
        <w:rPr>
          <w:spacing w:val="77"/>
        </w:rPr>
        <w:t xml:space="preserve"> </w:t>
      </w:r>
      <w:r>
        <w:t>la</w:t>
      </w:r>
      <w:r>
        <w:rPr>
          <w:spacing w:val="77"/>
        </w:rPr>
        <w:t xml:space="preserve"> </w:t>
      </w:r>
      <w:r>
        <w:t>contratación</w:t>
      </w:r>
      <w:r>
        <w:rPr>
          <w:spacing w:val="77"/>
        </w:rPr>
        <w:t xml:space="preserve"> </w:t>
      </w:r>
      <w:r>
        <w:t>del</w:t>
      </w:r>
      <w:r>
        <w:rPr>
          <w:spacing w:val="77"/>
        </w:rPr>
        <w:t xml:space="preserve"> </w:t>
      </w:r>
      <w:r>
        <w:t>sector</w:t>
      </w:r>
      <w:r>
        <w:rPr>
          <w:spacing w:val="77"/>
        </w:rPr>
        <w:t xml:space="preserve"> </w:t>
      </w:r>
      <w:r>
        <w:t>público</w:t>
      </w:r>
      <w:r>
        <w:rPr>
          <w:spacing w:val="77"/>
        </w:rPr>
        <w:t xml:space="preserve"> </w:t>
      </w:r>
      <w:r>
        <w:t>y</w:t>
      </w:r>
      <w:r>
        <w:rPr>
          <w:spacing w:val="77"/>
        </w:rPr>
        <w:t xml:space="preserve"> </w:t>
      </w:r>
      <w:r>
        <w:t>elementos estructurales de los contratos</w:t>
      </w:r>
    </w:p>
    <w:p w:rsidR="0092635B" w:rsidRDefault="0092635B">
      <w:pPr>
        <w:pStyle w:val="Textoindependiente"/>
        <w:spacing w:before="225"/>
        <w:ind w:left="0" w:firstLine="0"/>
        <w:jc w:val="left"/>
        <w:rPr>
          <w:rFonts w:ascii="Arial"/>
          <w:b/>
        </w:rPr>
      </w:pPr>
    </w:p>
    <w:p w:rsidR="0092635B" w:rsidRDefault="00000000">
      <w:pPr>
        <w:pStyle w:val="Textoindependiente"/>
        <w:spacing w:before="0"/>
        <w:ind w:left="0" w:firstLine="0"/>
        <w:jc w:val="center"/>
      </w:pPr>
      <w:bookmarkStart w:id="48" w:name="TÍTULO_I._Disposiciones_generales_sobre_"/>
      <w:bookmarkStart w:id="49" w:name="_bookmark10"/>
      <w:bookmarkEnd w:id="48"/>
      <w:bookmarkEnd w:id="49"/>
      <w:r>
        <w:t xml:space="preserve">TÍTULO </w:t>
      </w:r>
      <w:r>
        <w:rPr>
          <w:spacing w:val="-10"/>
        </w:rPr>
        <w:t>I</w:t>
      </w:r>
    </w:p>
    <w:p w:rsidR="0092635B" w:rsidRDefault="00000000">
      <w:pPr>
        <w:pStyle w:val="Ttulo2"/>
        <w:spacing w:before="124"/>
      </w:pPr>
      <w:r>
        <w:t>Disposiciones</w:t>
      </w:r>
      <w:r>
        <w:rPr>
          <w:spacing w:val="-7"/>
        </w:rPr>
        <w:t xml:space="preserve"> </w:t>
      </w:r>
      <w:r>
        <w:t>generales</w:t>
      </w:r>
      <w:r>
        <w:rPr>
          <w:spacing w:val="-4"/>
        </w:rPr>
        <w:t xml:space="preserve"> </w:t>
      </w:r>
      <w:r>
        <w:t>sobre</w:t>
      </w:r>
      <w:r>
        <w:rPr>
          <w:spacing w:val="-4"/>
        </w:rPr>
        <w:t xml:space="preserve"> </w:t>
      </w:r>
      <w:r>
        <w:t>la</w:t>
      </w:r>
      <w:r>
        <w:rPr>
          <w:spacing w:val="-5"/>
        </w:rPr>
        <w:t xml:space="preserve"> </w:t>
      </w:r>
      <w:r>
        <w:t>contratación</w:t>
      </w:r>
      <w:r>
        <w:rPr>
          <w:spacing w:val="-4"/>
        </w:rPr>
        <w:t xml:space="preserve"> </w:t>
      </w:r>
      <w:r>
        <w:t>del</w:t>
      </w:r>
      <w:r>
        <w:rPr>
          <w:spacing w:val="-4"/>
        </w:rPr>
        <w:t xml:space="preserve"> </w:t>
      </w:r>
      <w:r>
        <w:t>sector</w:t>
      </w:r>
      <w:r>
        <w:rPr>
          <w:spacing w:val="-4"/>
        </w:rPr>
        <w:t xml:space="preserve"> </w:t>
      </w:r>
      <w:r>
        <w:rPr>
          <w:spacing w:val="-2"/>
        </w:rPr>
        <w:t>público</w:t>
      </w:r>
    </w:p>
    <w:p w:rsidR="0092635B" w:rsidRDefault="0092635B">
      <w:pPr>
        <w:pStyle w:val="Textoindependiente"/>
        <w:spacing w:before="120"/>
        <w:ind w:left="0" w:firstLine="0"/>
        <w:jc w:val="left"/>
        <w:rPr>
          <w:rFonts w:ascii="Arial"/>
          <w:b/>
        </w:rPr>
      </w:pPr>
    </w:p>
    <w:p w:rsidR="0092635B" w:rsidRDefault="00000000">
      <w:pPr>
        <w:pStyle w:val="Textoindependiente"/>
        <w:spacing w:before="0"/>
        <w:ind w:left="0" w:firstLine="0"/>
        <w:jc w:val="center"/>
      </w:pPr>
      <w:bookmarkStart w:id="50" w:name="CAPÍTULO_I._Racionalidad_y_consistencia_"/>
      <w:bookmarkStart w:id="51" w:name="_bookmark11"/>
      <w:bookmarkEnd w:id="50"/>
      <w:bookmarkEnd w:id="51"/>
      <w:r>
        <w:t xml:space="preserve">CAPÍTULO </w:t>
      </w:r>
      <w:r>
        <w:rPr>
          <w:spacing w:val="-10"/>
        </w:rPr>
        <w:t>I</w:t>
      </w:r>
    </w:p>
    <w:p w:rsidR="0092635B" w:rsidRDefault="00000000">
      <w:pPr>
        <w:pStyle w:val="Ttulo2"/>
      </w:pPr>
      <w:r>
        <w:t>Racionalidad</w:t>
      </w:r>
      <w:r>
        <w:rPr>
          <w:spacing w:val="-3"/>
        </w:rPr>
        <w:t xml:space="preserve"> </w:t>
      </w:r>
      <w:r>
        <w:t>y</w:t>
      </w:r>
      <w:r>
        <w:rPr>
          <w:spacing w:val="-2"/>
        </w:rPr>
        <w:t xml:space="preserve"> </w:t>
      </w:r>
      <w:r>
        <w:t>consistencia</w:t>
      </w:r>
      <w:r>
        <w:rPr>
          <w:spacing w:val="-2"/>
        </w:rPr>
        <w:t xml:space="preserve"> </w:t>
      </w:r>
      <w:r>
        <w:t>de</w:t>
      </w:r>
      <w:r>
        <w:rPr>
          <w:spacing w:val="-2"/>
        </w:rPr>
        <w:t xml:space="preserve"> </w:t>
      </w:r>
      <w:r>
        <w:t>la</w:t>
      </w:r>
      <w:r>
        <w:rPr>
          <w:spacing w:val="-3"/>
        </w:rPr>
        <w:t xml:space="preserve"> </w:t>
      </w:r>
      <w:r>
        <w:t>contratación</w:t>
      </w:r>
      <w:r>
        <w:rPr>
          <w:spacing w:val="-2"/>
        </w:rPr>
        <w:t xml:space="preserve"> </w:t>
      </w:r>
      <w:r>
        <w:t>del</w:t>
      </w:r>
      <w:r>
        <w:rPr>
          <w:spacing w:val="-2"/>
        </w:rPr>
        <w:t xml:space="preserve"> </w:t>
      </w:r>
      <w:r>
        <w:t>sector</w:t>
      </w:r>
      <w:r>
        <w:rPr>
          <w:spacing w:val="-2"/>
        </w:rPr>
        <w:t xml:space="preserve"> público</w:t>
      </w:r>
    </w:p>
    <w:p w:rsidR="0092635B" w:rsidRDefault="0092635B">
      <w:pPr>
        <w:pStyle w:val="Textoindependiente"/>
        <w:spacing w:before="7"/>
        <w:ind w:left="0" w:firstLine="0"/>
        <w:jc w:val="left"/>
        <w:rPr>
          <w:rFonts w:ascii="Arial"/>
          <w:b/>
        </w:rPr>
      </w:pPr>
    </w:p>
    <w:p w:rsidR="0092635B" w:rsidRDefault="00000000">
      <w:pPr>
        <w:ind w:left="1106"/>
        <w:jc w:val="both"/>
        <w:rPr>
          <w:rFonts w:ascii="Arial" w:hAnsi="Arial"/>
          <w:i/>
          <w:sz w:val="20"/>
        </w:rPr>
      </w:pPr>
      <w:bookmarkStart w:id="52" w:name="Artículo_28._Necesidad_e_idoneidad_del_c"/>
      <w:bookmarkEnd w:id="52"/>
      <w:r>
        <w:rPr>
          <w:rFonts w:ascii="Arial" w:hAnsi="Arial"/>
          <w:b/>
          <w:sz w:val="20"/>
        </w:rPr>
        <w:t>Artículo</w:t>
      </w:r>
      <w:r>
        <w:rPr>
          <w:rFonts w:ascii="Arial" w:hAnsi="Arial"/>
          <w:b/>
          <w:spacing w:val="-5"/>
          <w:sz w:val="20"/>
        </w:rPr>
        <w:t xml:space="preserve"> </w:t>
      </w:r>
      <w:r>
        <w:rPr>
          <w:rFonts w:ascii="Arial" w:hAnsi="Arial"/>
          <w:b/>
          <w:sz w:val="20"/>
        </w:rPr>
        <w:t>28.</w:t>
      </w:r>
      <w:r>
        <w:rPr>
          <w:rFonts w:ascii="Arial" w:hAnsi="Arial"/>
          <w:b/>
          <w:spacing w:val="48"/>
          <w:sz w:val="20"/>
        </w:rPr>
        <w:t xml:space="preserve"> </w:t>
      </w:r>
      <w:r>
        <w:rPr>
          <w:rFonts w:ascii="Arial" w:hAnsi="Arial"/>
          <w:i/>
          <w:sz w:val="20"/>
        </w:rPr>
        <w:t>Necesidad</w:t>
      </w:r>
      <w:r>
        <w:rPr>
          <w:rFonts w:ascii="Arial" w:hAnsi="Arial"/>
          <w:i/>
          <w:spacing w:val="-3"/>
          <w:sz w:val="20"/>
        </w:rPr>
        <w:t xml:space="preserve"> </w:t>
      </w:r>
      <w:r>
        <w:rPr>
          <w:rFonts w:ascii="Arial" w:hAnsi="Arial"/>
          <w:i/>
          <w:sz w:val="20"/>
        </w:rPr>
        <w:t>e</w:t>
      </w:r>
      <w:r>
        <w:rPr>
          <w:rFonts w:ascii="Arial" w:hAnsi="Arial"/>
          <w:i/>
          <w:spacing w:val="-3"/>
          <w:sz w:val="20"/>
        </w:rPr>
        <w:t xml:space="preserve"> </w:t>
      </w:r>
      <w:r>
        <w:rPr>
          <w:rFonts w:ascii="Arial" w:hAnsi="Arial"/>
          <w:i/>
          <w:sz w:val="20"/>
        </w:rPr>
        <w:t>idoneidad</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contrato</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eficiencia</w:t>
      </w:r>
      <w:r>
        <w:rPr>
          <w:rFonts w:ascii="Arial" w:hAnsi="Arial"/>
          <w:i/>
          <w:spacing w:val="-3"/>
          <w:sz w:val="20"/>
        </w:rPr>
        <w:t xml:space="preserve"> </w:t>
      </w:r>
      <w:r>
        <w:rPr>
          <w:rFonts w:ascii="Arial" w:hAnsi="Arial"/>
          <w:i/>
          <w:sz w:val="20"/>
        </w:rPr>
        <w:t>en</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pacing w:val="-2"/>
          <w:sz w:val="20"/>
        </w:rPr>
        <w:t>contratación.</w:t>
      </w:r>
    </w:p>
    <w:p w:rsidR="0092635B" w:rsidRDefault="00000000">
      <w:pPr>
        <w:pStyle w:val="Prrafodelista"/>
        <w:numPr>
          <w:ilvl w:val="0"/>
          <w:numId w:val="328"/>
        </w:numPr>
        <w:tabs>
          <w:tab w:val="left" w:pos="1680"/>
        </w:tabs>
        <w:spacing w:before="123" w:line="249" w:lineRule="auto"/>
        <w:ind w:firstLine="340"/>
        <w:jc w:val="both"/>
        <w:rPr>
          <w:sz w:val="20"/>
        </w:rPr>
      </w:pPr>
      <w:r>
        <w:rPr>
          <w:sz w:val="20"/>
        </w:rPr>
        <w:t>Las entidades del sector público no podrán celebrar otros contratos que aquellos que sean necesarios para el cumplimiento y realización de sus fines institucionales. A tal efecto, la naturaleza y extensión de las necesidades que pretenden cubrirse mediante el contrato proyectado, así como la idoneidad de su objeto y contenido para satisfacerlas, cuando se adjudique por un procedimiento abierto, restringido o negociado sin publicidad, deben ser determinadas con precisión, dejando constancia de ello en la documentación preparatoria, antes de iniciar el procedimiento encaminado a su adjudicación.</w:t>
      </w:r>
    </w:p>
    <w:p w:rsidR="0092635B" w:rsidRDefault="00000000">
      <w:pPr>
        <w:pStyle w:val="Prrafodelista"/>
        <w:numPr>
          <w:ilvl w:val="0"/>
          <w:numId w:val="328"/>
        </w:numPr>
        <w:tabs>
          <w:tab w:val="left" w:pos="1695"/>
        </w:tabs>
        <w:spacing w:before="6" w:line="249" w:lineRule="auto"/>
        <w:ind w:firstLine="340"/>
        <w:jc w:val="both"/>
        <w:rPr>
          <w:sz w:val="20"/>
        </w:rPr>
      </w:pPr>
      <w:r>
        <w:rPr>
          <w:sz w:val="20"/>
        </w:rPr>
        <w:t>Las entidades del sector público velarán por la eficiencia y el mantenimiento de los términos acordados en la ejecución de los procesos de contratación pública, favorecerán la agilización de trámites, valorarán la incorporación de consideraciones sociales, medioambientales y de innovación como aspectos positivos en los procedimientos de contratación pública y promoverán la participación de la pequeña y mediana empresa y el acceso sin coste a la información, en los términos previstos en la presente Ley.</w:t>
      </w:r>
    </w:p>
    <w:p w:rsidR="0092635B" w:rsidRDefault="00000000">
      <w:pPr>
        <w:pStyle w:val="Prrafodelista"/>
        <w:numPr>
          <w:ilvl w:val="0"/>
          <w:numId w:val="328"/>
        </w:numPr>
        <w:tabs>
          <w:tab w:val="left" w:pos="1698"/>
        </w:tabs>
        <w:spacing w:before="5" w:line="249" w:lineRule="auto"/>
        <w:ind w:firstLine="340"/>
        <w:jc w:val="both"/>
        <w:rPr>
          <w:sz w:val="20"/>
        </w:rPr>
      </w:pPr>
      <w:r>
        <w:rPr>
          <w:sz w:val="20"/>
        </w:rPr>
        <w:t>De acuerdo con los principios de necesidad, idoneidad y eficiencia establecidos en este artículo, las entidades del sector público podrán, previo cumplimiento de los requisitos legalmente establecidos, celebrar contratos derivados de proyectos promovidos por la iniciativa privada, en particular con respecto a los contratos de concesión de obras y concesión de servicios, incluidos en su modalidad de sociedad de economía mixta.</w:t>
      </w:r>
    </w:p>
    <w:p w:rsidR="0092635B" w:rsidRDefault="00000000">
      <w:pPr>
        <w:pStyle w:val="Prrafodelista"/>
        <w:numPr>
          <w:ilvl w:val="0"/>
          <w:numId w:val="328"/>
        </w:numPr>
        <w:tabs>
          <w:tab w:val="left" w:pos="1671"/>
        </w:tabs>
        <w:spacing w:before="4" w:line="249" w:lineRule="auto"/>
        <w:ind w:right="1104" w:firstLine="340"/>
        <w:jc w:val="both"/>
        <w:rPr>
          <w:sz w:val="20"/>
        </w:rPr>
      </w:pPr>
      <w:r>
        <w:rPr>
          <w:sz w:val="20"/>
        </w:rPr>
        <w:t>Las entidades del sector público programarán la actividad de contratación pública, que desarrollarán en un ejercicio presupuestario o períodos plurianuales y darán a conocer su plan de contratación anticipadamente mediante un anuncio de información previa previsto en el artículo 134 que al menos recoja aquellos contratos que quedarán sujetos a una</w:t>
      </w:r>
      <w:r>
        <w:rPr>
          <w:spacing w:val="40"/>
          <w:sz w:val="20"/>
        </w:rPr>
        <w:t xml:space="preserve"> </w:t>
      </w:r>
      <w:r>
        <w:rPr>
          <w:sz w:val="20"/>
        </w:rPr>
        <w:t>regulación armonizada.</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53" w:name="Artículo_29._Plazo_de_duración_de_los_co"/>
      <w:bookmarkEnd w:id="53"/>
      <w:r>
        <w:rPr>
          <w:rFonts w:ascii="Arial" w:hAnsi="Arial"/>
          <w:b/>
          <w:sz w:val="20"/>
        </w:rPr>
        <w:t>Artículo</w:t>
      </w:r>
      <w:r>
        <w:rPr>
          <w:rFonts w:ascii="Arial" w:hAnsi="Arial"/>
          <w:b/>
          <w:spacing w:val="-2"/>
          <w:sz w:val="20"/>
        </w:rPr>
        <w:t xml:space="preserve"> </w:t>
      </w:r>
      <w:r>
        <w:rPr>
          <w:rFonts w:ascii="Arial" w:hAnsi="Arial"/>
          <w:b/>
          <w:sz w:val="20"/>
        </w:rPr>
        <w:t>29.</w:t>
      </w:r>
      <w:r>
        <w:rPr>
          <w:rFonts w:ascii="Arial" w:hAnsi="Arial"/>
          <w:b/>
          <w:spacing w:val="50"/>
          <w:sz w:val="20"/>
        </w:rPr>
        <w:t xml:space="preserve"> </w:t>
      </w:r>
      <w:r>
        <w:rPr>
          <w:rFonts w:ascii="Arial" w:hAnsi="Arial"/>
          <w:i/>
          <w:sz w:val="20"/>
        </w:rPr>
        <w:t>Plazo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duración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ejecución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prestación.</w:t>
      </w:r>
    </w:p>
    <w:p w:rsidR="0092635B" w:rsidRDefault="00000000">
      <w:pPr>
        <w:pStyle w:val="Prrafodelista"/>
        <w:numPr>
          <w:ilvl w:val="0"/>
          <w:numId w:val="327"/>
        </w:numPr>
        <w:tabs>
          <w:tab w:val="left" w:pos="1719"/>
        </w:tabs>
        <w:spacing w:before="123" w:line="249" w:lineRule="auto"/>
        <w:ind w:right="1104" w:firstLine="340"/>
        <w:jc w:val="both"/>
        <w:rPr>
          <w:sz w:val="20"/>
        </w:rPr>
      </w:pPr>
      <w:r>
        <w:rPr>
          <w:sz w:val="20"/>
        </w:rPr>
        <w:t>La duración de los contratos del sector público deberá establecerse teniendo en cuenta la naturaleza de las prestaciones, las características de su financiación y la</w:t>
      </w:r>
      <w:r>
        <w:rPr>
          <w:spacing w:val="80"/>
          <w:sz w:val="20"/>
        </w:rPr>
        <w:t xml:space="preserve"> </w:t>
      </w:r>
      <w:r>
        <w:rPr>
          <w:sz w:val="20"/>
        </w:rPr>
        <w:t>necesidad de someter periódicamente a concurrencia la realización de las mismas, sin perjuicio de las normas especiales aplicables a determinados contratos.</w:t>
      </w:r>
    </w:p>
    <w:p w:rsidR="0092635B" w:rsidRDefault="00000000">
      <w:pPr>
        <w:pStyle w:val="Prrafodelista"/>
        <w:numPr>
          <w:ilvl w:val="0"/>
          <w:numId w:val="327"/>
        </w:numPr>
        <w:tabs>
          <w:tab w:val="left" w:pos="1721"/>
        </w:tabs>
        <w:spacing w:before="4" w:line="249" w:lineRule="auto"/>
        <w:ind w:firstLine="340"/>
        <w:jc w:val="both"/>
        <w:rPr>
          <w:sz w:val="20"/>
        </w:rPr>
      </w:pPr>
      <w:r>
        <w:rPr>
          <w:sz w:val="20"/>
        </w:rPr>
        <w:t>El contrato podrá prever una o varias prórrogas siempre que sus características permanezcan</w:t>
      </w:r>
      <w:r>
        <w:rPr>
          <w:spacing w:val="40"/>
          <w:sz w:val="20"/>
        </w:rPr>
        <w:t xml:space="preserve"> </w:t>
      </w:r>
      <w:r>
        <w:rPr>
          <w:sz w:val="20"/>
        </w:rPr>
        <w:t>inalterables</w:t>
      </w:r>
      <w:r>
        <w:rPr>
          <w:spacing w:val="40"/>
          <w:sz w:val="20"/>
        </w:rPr>
        <w:t xml:space="preserve"> </w:t>
      </w:r>
      <w:r>
        <w:rPr>
          <w:sz w:val="20"/>
        </w:rPr>
        <w:t>durante</w:t>
      </w:r>
      <w:r>
        <w:rPr>
          <w:spacing w:val="40"/>
          <w:sz w:val="20"/>
        </w:rPr>
        <w:t xml:space="preserve"> </w:t>
      </w:r>
      <w:r>
        <w:rPr>
          <w:sz w:val="20"/>
        </w:rPr>
        <w:t>el</w:t>
      </w:r>
      <w:r>
        <w:rPr>
          <w:spacing w:val="40"/>
          <w:sz w:val="20"/>
        </w:rPr>
        <w:t xml:space="preserve"> </w:t>
      </w:r>
      <w:r>
        <w:rPr>
          <w:sz w:val="20"/>
        </w:rPr>
        <w:t>período</w:t>
      </w:r>
      <w:r>
        <w:rPr>
          <w:spacing w:val="40"/>
          <w:sz w:val="20"/>
        </w:rPr>
        <w:t xml:space="preserve"> </w:t>
      </w:r>
      <w:r>
        <w:rPr>
          <w:sz w:val="20"/>
        </w:rPr>
        <w:t>de</w:t>
      </w:r>
      <w:r>
        <w:rPr>
          <w:spacing w:val="40"/>
          <w:sz w:val="20"/>
        </w:rPr>
        <w:t xml:space="preserve"> </w:t>
      </w:r>
      <w:r>
        <w:rPr>
          <w:sz w:val="20"/>
        </w:rPr>
        <w:t>duración</w:t>
      </w:r>
      <w:r>
        <w:rPr>
          <w:spacing w:val="40"/>
          <w:sz w:val="20"/>
        </w:rPr>
        <w:t xml:space="preserve"> </w:t>
      </w:r>
      <w:r>
        <w:rPr>
          <w:sz w:val="20"/>
        </w:rPr>
        <w:t>de</w:t>
      </w:r>
      <w:r>
        <w:rPr>
          <w:spacing w:val="40"/>
          <w:sz w:val="20"/>
        </w:rPr>
        <w:t xml:space="preserve"> </w:t>
      </w:r>
      <w:r>
        <w:rPr>
          <w:sz w:val="20"/>
        </w:rPr>
        <w:t>estas,</w:t>
      </w:r>
      <w:r>
        <w:rPr>
          <w:spacing w:val="40"/>
          <w:sz w:val="20"/>
        </w:rPr>
        <w:t xml:space="preserve"> </w:t>
      </w:r>
      <w:r>
        <w:rPr>
          <w:sz w:val="20"/>
        </w:rPr>
        <w:t>sin</w:t>
      </w:r>
      <w:r>
        <w:rPr>
          <w:spacing w:val="40"/>
          <w:sz w:val="20"/>
        </w:rPr>
        <w:t xml:space="preserve"> </w:t>
      </w:r>
      <w:r>
        <w:rPr>
          <w:sz w:val="20"/>
        </w:rPr>
        <w:t>perjuicio</w:t>
      </w:r>
      <w:r>
        <w:rPr>
          <w:spacing w:val="40"/>
          <w:sz w:val="20"/>
        </w:rPr>
        <w:t xml:space="preserve"> </w:t>
      </w:r>
      <w:r>
        <w:rPr>
          <w:sz w:val="20"/>
        </w:rPr>
        <w:t>de</w:t>
      </w:r>
      <w:r>
        <w:rPr>
          <w:spacing w:val="40"/>
          <w:sz w:val="20"/>
        </w:rPr>
        <w:t xml:space="preserve"> </w:t>
      </w:r>
      <w:r>
        <w:rPr>
          <w:sz w:val="20"/>
        </w:rPr>
        <w:t>las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pPr>
      <w:r>
        <w:t>modificaciones</w:t>
      </w:r>
      <w:r>
        <w:rPr>
          <w:spacing w:val="40"/>
        </w:rPr>
        <w:t xml:space="preserve"> </w:t>
      </w:r>
      <w:r>
        <w:t>que</w:t>
      </w:r>
      <w:r>
        <w:rPr>
          <w:spacing w:val="40"/>
        </w:rPr>
        <w:t xml:space="preserve"> </w:t>
      </w:r>
      <w:r>
        <w:t>se</w:t>
      </w:r>
      <w:r>
        <w:rPr>
          <w:spacing w:val="40"/>
        </w:rPr>
        <w:t xml:space="preserve"> </w:t>
      </w:r>
      <w:r>
        <w:t>puedan</w:t>
      </w:r>
      <w:r>
        <w:rPr>
          <w:spacing w:val="40"/>
        </w:rPr>
        <w:t xml:space="preserve"> </w:t>
      </w:r>
      <w:r>
        <w:t>introducir</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w:t>
      </w:r>
      <w:r>
        <w:rPr>
          <w:spacing w:val="40"/>
        </w:rPr>
        <w:t xml:space="preserve"> </w:t>
      </w:r>
      <w:r>
        <w:t>establecido</w:t>
      </w:r>
      <w:r>
        <w:rPr>
          <w:spacing w:val="40"/>
        </w:rPr>
        <w:t xml:space="preserve"> </w:t>
      </w:r>
      <w:r>
        <w:t>en</w:t>
      </w:r>
      <w:r>
        <w:rPr>
          <w:spacing w:val="40"/>
        </w:rPr>
        <w:t xml:space="preserve"> </w:t>
      </w:r>
      <w:r>
        <w:t>los artículos 203 a 207 de la presente Ley.</w:t>
      </w:r>
    </w:p>
    <w:p w:rsidR="0092635B" w:rsidRDefault="00000000">
      <w:pPr>
        <w:pStyle w:val="Textoindependiente"/>
        <w:spacing w:before="1" w:line="249" w:lineRule="auto"/>
        <w:ind w:right="1104"/>
      </w:pPr>
      <w:r>
        <w:t>La prórroga se acordará por el órgano de contratación y será obligatoria para el empresario, siempre que su preaviso se produzca al menos con dos meses de antelación a la</w:t>
      </w:r>
      <w:r>
        <w:rPr>
          <w:spacing w:val="-2"/>
        </w:rPr>
        <w:t xml:space="preserve"> </w:t>
      </w:r>
      <w:r>
        <w:t>finalización</w:t>
      </w:r>
      <w:r>
        <w:rPr>
          <w:spacing w:val="-2"/>
        </w:rPr>
        <w:t xml:space="preserve"> </w:t>
      </w:r>
      <w:r>
        <w:t>del</w:t>
      </w:r>
      <w:r>
        <w:rPr>
          <w:spacing w:val="-2"/>
        </w:rPr>
        <w:t xml:space="preserve"> </w:t>
      </w:r>
      <w:r>
        <w:t>plazo</w:t>
      </w:r>
      <w:r>
        <w:rPr>
          <w:spacing w:val="-2"/>
        </w:rPr>
        <w:t xml:space="preserve"> </w:t>
      </w:r>
      <w:r>
        <w:t>de</w:t>
      </w:r>
      <w:r>
        <w:rPr>
          <w:spacing w:val="-2"/>
        </w:rPr>
        <w:t xml:space="preserve"> </w:t>
      </w:r>
      <w:r>
        <w:t>duración</w:t>
      </w:r>
      <w:r>
        <w:rPr>
          <w:spacing w:val="-2"/>
        </w:rPr>
        <w:t xml:space="preserve"> </w:t>
      </w:r>
      <w:r>
        <w:t>del</w:t>
      </w:r>
      <w:r>
        <w:rPr>
          <w:spacing w:val="-2"/>
        </w:rPr>
        <w:t xml:space="preserve"> </w:t>
      </w:r>
      <w:r>
        <w:t>contrato,</w:t>
      </w:r>
      <w:r>
        <w:rPr>
          <w:spacing w:val="-2"/>
        </w:rPr>
        <w:t xml:space="preserve"> </w:t>
      </w:r>
      <w:r>
        <w:t>salvo</w:t>
      </w:r>
      <w:r>
        <w:rPr>
          <w:spacing w:val="-2"/>
        </w:rPr>
        <w:t xml:space="preserve"> </w:t>
      </w:r>
      <w:r>
        <w:t>que</w:t>
      </w:r>
      <w:r>
        <w:rPr>
          <w:spacing w:val="-2"/>
        </w:rPr>
        <w:t xml:space="preserve"> </w:t>
      </w:r>
      <w:r>
        <w:t>en</w:t>
      </w:r>
      <w:r>
        <w:rPr>
          <w:spacing w:val="-2"/>
        </w:rPr>
        <w:t xml:space="preserve"> </w:t>
      </w:r>
      <w:r>
        <w:t>el</w:t>
      </w:r>
      <w:r>
        <w:rPr>
          <w:spacing w:val="-2"/>
        </w:rPr>
        <w:t xml:space="preserve"> </w:t>
      </w:r>
      <w:r>
        <w:t>pliego</w:t>
      </w:r>
      <w:r>
        <w:rPr>
          <w:spacing w:val="-2"/>
        </w:rPr>
        <w:t xml:space="preserve"> </w:t>
      </w:r>
      <w:r>
        <w:t>que</w:t>
      </w:r>
      <w:r>
        <w:rPr>
          <w:spacing w:val="-2"/>
        </w:rPr>
        <w:t xml:space="preserve"> </w:t>
      </w:r>
      <w:r>
        <w:t>rija</w:t>
      </w:r>
      <w:r>
        <w:rPr>
          <w:spacing w:val="-2"/>
        </w:rPr>
        <w:t xml:space="preserve"> </w:t>
      </w:r>
      <w:r>
        <w:t>el</w:t>
      </w:r>
      <w:r>
        <w:rPr>
          <w:spacing w:val="-2"/>
        </w:rPr>
        <w:t xml:space="preserve"> </w:t>
      </w:r>
      <w:r>
        <w:t>contrato</w:t>
      </w:r>
      <w:r>
        <w:rPr>
          <w:spacing w:val="-2"/>
        </w:rPr>
        <w:t xml:space="preserve"> </w:t>
      </w:r>
      <w:r>
        <w:t>se establezca uno mayor. Quedan exceptuados de la obligación de preaviso los contratos cuya duración fuera inferior a dos meses.</w:t>
      </w:r>
    </w:p>
    <w:p w:rsidR="0092635B" w:rsidRDefault="00000000">
      <w:pPr>
        <w:pStyle w:val="Textoindependiente"/>
        <w:spacing w:before="4"/>
        <w:ind w:left="1446" w:firstLine="0"/>
      </w:pPr>
      <w:r>
        <w:t>En</w:t>
      </w:r>
      <w:r>
        <w:rPr>
          <w:spacing w:val="-6"/>
        </w:rPr>
        <w:t xml:space="preserve"> </w:t>
      </w:r>
      <w:r>
        <w:t>ningún</w:t>
      </w:r>
      <w:r>
        <w:rPr>
          <w:spacing w:val="-4"/>
        </w:rPr>
        <w:t xml:space="preserve"> </w:t>
      </w:r>
      <w:r>
        <w:t>caso</w:t>
      </w:r>
      <w:r>
        <w:rPr>
          <w:spacing w:val="-4"/>
        </w:rPr>
        <w:t xml:space="preserve"> </w:t>
      </w:r>
      <w:r>
        <w:t>podrá</w:t>
      </w:r>
      <w:r>
        <w:rPr>
          <w:spacing w:val="-4"/>
        </w:rPr>
        <w:t xml:space="preserve"> </w:t>
      </w:r>
      <w:r>
        <w:t>producirse</w:t>
      </w:r>
      <w:r>
        <w:rPr>
          <w:spacing w:val="-4"/>
        </w:rPr>
        <w:t xml:space="preserve"> </w:t>
      </w:r>
      <w:r>
        <w:t>la</w:t>
      </w:r>
      <w:r>
        <w:rPr>
          <w:spacing w:val="-4"/>
        </w:rPr>
        <w:t xml:space="preserve"> </w:t>
      </w:r>
      <w:r>
        <w:t>prórroga</w:t>
      </w:r>
      <w:r>
        <w:rPr>
          <w:spacing w:val="-3"/>
        </w:rPr>
        <w:t xml:space="preserve"> </w:t>
      </w:r>
      <w:r>
        <w:t>por</w:t>
      </w:r>
      <w:r>
        <w:rPr>
          <w:spacing w:val="-4"/>
        </w:rPr>
        <w:t xml:space="preserve"> </w:t>
      </w:r>
      <w:r>
        <w:t>el</w:t>
      </w:r>
      <w:r>
        <w:rPr>
          <w:spacing w:val="-4"/>
        </w:rPr>
        <w:t xml:space="preserve"> </w:t>
      </w:r>
      <w:r>
        <w:t>consentimiento</w:t>
      </w:r>
      <w:r>
        <w:rPr>
          <w:spacing w:val="-4"/>
        </w:rPr>
        <w:t xml:space="preserve"> </w:t>
      </w:r>
      <w:r>
        <w:t>tácito</w:t>
      </w:r>
      <w:r>
        <w:rPr>
          <w:spacing w:val="-4"/>
        </w:rPr>
        <w:t xml:space="preserve"> </w:t>
      </w:r>
      <w:r>
        <w:t>de</w:t>
      </w:r>
      <w:r>
        <w:rPr>
          <w:spacing w:val="-4"/>
        </w:rPr>
        <w:t xml:space="preserve"> </w:t>
      </w:r>
      <w:r>
        <w:t>las</w:t>
      </w:r>
      <w:r>
        <w:rPr>
          <w:spacing w:val="-3"/>
        </w:rPr>
        <w:t xml:space="preserve"> </w:t>
      </w:r>
      <w:r>
        <w:rPr>
          <w:spacing w:val="-2"/>
        </w:rPr>
        <w:t>partes.</w:t>
      </w:r>
    </w:p>
    <w:p w:rsidR="0092635B" w:rsidRDefault="00000000">
      <w:pPr>
        <w:pStyle w:val="Textoindependiente"/>
        <w:spacing w:before="10" w:line="249" w:lineRule="auto"/>
        <w:ind w:right="1104"/>
      </w:pPr>
      <w:r>
        <w:t xml:space="preserve">La prórroga del contrato establecida en este apartado no será obligatoria para el contratista en los casos en que en el contrato se dé la causa de resolución establecida en el artículo 198.6 por haberse demorado la Administración en el abono del precio más de seis </w:t>
      </w:r>
      <w:r>
        <w:rPr>
          <w:spacing w:val="-2"/>
        </w:rPr>
        <w:t>meses.</w:t>
      </w:r>
    </w:p>
    <w:p w:rsidR="0092635B" w:rsidRDefault="00000000">
      <w:pPr>
        <w:pStyle w:val="Prrafodelista"/>
        <w:numPr>
          <w:ilvl w:val="0"/>
          <w:numId w:val="327"/>
        </w:numPr>
        <w:tabs>
          <w:tab w:val="left" w:pos="1752"/>
        </w:tabs>
        <w:spacing w:before="4" w:line="249" w:lineRule="auto"/>
        <w:ind w:firstLine="340"/>
        <w:jc w:val="both"/>
        <w:rPr>
          <w:sz w:val="20"/>
        </w:rPr>
      </w:pPr>
      <w:r>
        <w:rPr>
          <w:sz w:val="20"/>
        </w:rPr>
        <w:t>Cuando se produzca demora en la ejecución de la prestación por parte del empresario, el órgano de contratación podrá conceder una ampliación del plazo de</w:t>
      </w:r>
      <w:r>
        <w:rPr>
          <w:spacing w:val="40"/>
          <w:sz w:val="20"/>
        </w:rPr>
        <w:t xml:space="preserve"> </w:t>
      </w:r>
      <w:r>
        <w:rPr>
          <w:sz w:val="20"/>
        </w:rPr>
        <w:t>ejecución, sin perjuicio de las penalidades que en su caso procedan, resultando aplicables</w:t>
      </w:r>
      <w:r>
        <w:rPr>
          <w:spacing w:val="40"/>
          <w:sz w:val="20"/>
        </w:rPr>
        <w:t xml:space="preserve"> </w:t>
      </w:r>
      <w:r>
        <w:rPr>
          <w:sz w:val="20"/>
        </w:rPr>
        <w:t>en el caso de los contratos administrativos lo previsto en los artículos 192 y siguientes de esta Ley.</w:t>
      </w:r>
    </w:p>
    <w:p w:rsidR="0092635B" w:rsidRDefault="00000000">
      <w:pPr>
        <w:pStyle w:val="Prrafodelista"/>
        <w:numPr>
          <w:ilvl w:val="0"/>
          <w:numId w:val="327"/>
        </w:numPr>
        <w:tabs>
          <w:tab w:val="left" w:pos="1688"/>
        </w:tabs>
        <w:spacing w:before="4" w:line="249" w:lineRule="auto"/>
        <w:ind w:right="1104" w:firstLine="340"/>
        <w:jc w:val="both"/>
        <w:rPr>
          <w:sz w:val="20"/>
        </w:rPr>
      </w:pPr>
      <w:r>
        <w:rPr>
          <w:sz w:val="20"/>
        </w:rPr>
        <w:t>Los contratos de suministros y de servicios de prestación sucesiva tendrán un plazo máximo de duración de cinco años, incluyendo las posibles prórrogas que en aplicación del apartado segundo de este artículo acuerde el órgano de contratación, respetando las condiciones y límites establecidos en las respectivas normas presupuestarias que sean aplicables al ente contratante.</w:t>
      </w:r>
    </w:p>
    <w:p w:rsidR="0092635B" w:rsidRDefault="00000000">
      <w:pPr>
        <w:pStyle w:val="Textoindependiente"/>
        <w:spacing w:before="4" w:line="249" w:lineRule="auto"/>
        <w:ind w:right="1104"/>
      </w:pPr>
      <w:r>
        <w:t>Excepcionalmente, en los contratos de suministros y de servicios se podrá establecer un plazo de duración superior al establecido en el párrafo anterior, cuando lo exija el período de recuperación de las inversiones directamente relacionadas con el contrato y estas no sean susceptibles de utilizarse en el resto de la actividad productiva del contratista o su utilización fuera antieconómica, siempre que la amortización de dichas inversiones sea un coste relevante en la prestación del suministro o servicio, circunstancias que deberán ser justificadas en el expediente de contratación con indicación de las inversiones a las que se refiera y de su período de recuperación. El concepto de coste relevante en la prestación del suministro o servicio será objeto de desarrollo reglamentario.</w:t>
      </w:r>
    </w:p>
    <w:p w:rsidR="0092635B" w:rsidRDefault="00000000">
      <w:pPr>
        <w:pStyle w:val="Textoindependiente"/>
        <w:spacing w:before="7" w:line="249" w:lineRule="auto"/>
        <w:ind w:right="1104"/>
      </w:pPr>
      <w:r>
        <w:t>El contrato de servicios de mantenimiento que se concierte conjuntamente con el de la compra del bien a mantener, cuando dicho mantenimiento solo pueda ser prestado por razones de exclusividad por la empresa que suministró dicho bien, podrá tener como plazo de duración el de la vida útil del producto adquirido.</w:t>
      </w:r>
    </w:p>
    <w:p w:rsidR="0092635B" w:rsidRDefault="00000000">
      <w:pPr>
        <w:pStyle w:val="Textoindependiente"/>
        <w:spacing w:before="4" w:line="249" w:lineRule="auto"/>
        <w:ind w:right="1103"/>
      </w:pPr>
      <w:r>
        <w:t xml:space="preserve">Asimismo podrá establecerse en los contratos de servicios relativos a los servicios a las personas un plazo de duración mayor cuando ello fuera necesario para la continuidad de aquellos tratamientos a los usuarios en los que el cambio del prestador pudiera repercutir </w:t>
      </w:r>
      <w:r>
        <w:rPr>
          <w:spacing w:val="-2"/>
        </w:rPr>
        <w:t>negativamente.</w:t>
      </w:r>
    </w:p>
    <w:p w:rsidR="0092635B" w:rsidRDefault="00000000">
      <w:pPr>
        <w:pStyle w:val="Textoindependiente"/>
        <w:spacing w:before="3" w:line="249" w:lineRule="auto"/>
        <w:ind w:right="1104"/>
      </w:pPr>
      <w:r>
        <w:t>No obstante lo establecido en los apartados anteriores, cuando al vencimiento de un contrato no se hubiera formalizado el nuevo contrato que garantice la continuidad de la prestación a realizar por el contratista como consecuencia de incidencias resultantes de acontecimientos</w:t>
      </w:r>
      <w:r>
        <w:rPr>
          <w:spacing w:val="-2"/>
        </w:rPr>
        <w:t xml:space="preserve"> </w:t>
      </w:r>
      <w:r>
        <w:t>imprevisibles</w:t>
      </w:r>
      <w:r>
        <w:rPr>
          <w:spacing w:val="-2"/>
        </w:rPr>
        <w:t xml:space="preserve"> </w:t>
      </w:r>
      <w:r>
        <w:t>para</w:t>
      </w:r>
      <w:r>
        <w:rPr>
          <w:spacing w:val="-2"/>
        </w:rPr>
        <w:t xml:space="preserve"> </w:t>
      </w:r>
      <w:r>
        <w:t>el</w:t>
      </w:r>
      <w:r>
        <w:rPr>
          <w:spacing w:val="-2"/>
        </w:rPr>
        <w:t xml:space="preserve"> </w:t>
      </w:r>
      <w:r>
        <w:t>órgano</w:t>
      </w:r>
      <w:r>
        <w:rPr>
          <w:spacing w:val="-2"/>
        </w:rPr>
        <w:t xml:space="preserve"> </w:t>
      </w:r>
      <w:r>
        <w:t>de</w:t>
      </w:r>
      <w:r>
        <w:rPr>
          <w:spacing w:val="-2"/>
        </w:rPr>
        <w:t xml:space="preserve"> </w:t>
      </w:r>
      <w:r>
        <w:t>contratación</w:t>
      </w:r>
      <w:r>
        <w:rPr>
          <w:spacing w:val="-2"/>
        </w:rPr>
        <w:t xml:space="preserve"> </w:t>
      </w:r>
      <w:r>
        <w:t>producidas</w:t>
      </w:r>
      <w:r>
        <w:rPr>
          <w:spacing w:val="-2"/>
        </w:rPr>
        <w:t xml:space="preserve"> </w:t>
      </w:r>
      <w:r>
        <w:t>en</w:t>
      </w:r>
      <w:r>
        <w:rPr>
          <w:spacing w:val="-2"/>
        </w:rPr>
        <w:t xml:space="preserve"> </w:t>
      </w:r>
      <w:r>
        <w:t>el</w:t>
      </w:r>
      <w:r>
        <w:rPr>
          <w:spacing w:val="-2"/>
        </w:rPr>
        <w:t xml:space="preserve"> </w:t>
      </w:r>
      <w:r>
        <w:t>procedimiento de adjudicación y existan razones de interés público para no interrumpir la prestación, se podrá prorrogar el contrato originario hasta que comience la ejecución del nuevo contrato y en todo caso por un periodo máximo de nueve meses, sin modificar las restantes</w:t>
      </w:r>
      <w:r>
        <w:rPr>
          <w:spacing w:val="40"/>
        </w:rPr>
        <w:t xml:space="preserve"> </w:t>
      </w:r>
      <w:r>
        <w:t>condiciones del contrato, siempre que el anuncio de licitación del nuevo contrato se haya publicado con una antelación mínima de tres meses respecto de la fecha de finalización del contrato originario o, tratándose de un contrato basado en un acuerdo marco o un contrato específico en el marco un sistema dinámico de adquisición, se hayan enviado las</w:t>
      </w:r>
      <w:r>
        <w:rPr>
          <w:spacing w:val="40"/>
        </w:rPr>
        <w:t xml:space="preserve"> </w:t>
      </w:r>
      <w:r>
        <w:t>invitaciones a presentar oferta del nuevo contrato basado o específico al menos quince días antes de la finalización del contrato originario.</w:t>
      </w:r>
    </w:p>
    <w:p w:rsidR="0092635B" w:rsidRDefault="00000000">
      <w:pPr>
        <w:pStyle w:val="Prrafodelista"/>
        <w:numPr>
          <w:ilvl w:val="0"/>
          <w:numId w:val="327"/>
        </w:numPr>
        <w:tabs>
          <w:tab w:val="left" w:pos="1682"/>
        </w:tabs>
        <w:spacing w:before="10" w:line="249" w:lineRule="auto"/>
        <w:ind w:right="1105" w:firstLine="340"/>
        <w:jc w:val="both"/>
        <w:rPr>
          <w:sz w:val="20"/>
        </w:rPr>
      </w:pPr>
      <w:r>
        <w:rPr>
          <w:sz w:val="20"/>
        </w:rPr>
        <w:t>La duración de los contratos de arrendamiento de bienes muebles no podrá exceder, incluyendo las posibles prórrogas que en aplicación del apartado segundo de este artículo acuerde el órgano de contratación, de cinco años.</w:t>
      </w:r>
    </w:p>
    <w:p w:rsidR="0092635B" w:rsidRDefault="00000000">
      <w:pPr>
        <w:pStyle w:val="Prrafodelista"/>
        <w:numPr>
          <w:ilvl w:val="0"/>
          <w:numId w:val="327"/>
        </w:numPr>
        <w:tabs>
          <w:tab w:val="left" w:pos="1676"/>
        </w:tabs>
        <w:spacing w:before="3" w:line="249" w:lineRule="auto"/>
        <w:ind w:right="1105" w:firstLine="340"/>
        <w:jc w:val="both"/>
        <w:rPr>
          <w:sz w:val="20"/>
        </w:rPr>
      </w:pPr>
      <w:r>
        <w:rPr>
          <w:sz w:val="20"/>
        </w:rPr>
        <w:t>Los contratos de concesión de obras y de concesión de servicios tendrán un plazo de duración limitado, el cual se calculará en función de las obras y de los servicios que constituyan</w:t>
      </w:r>
      <w:r>
        <w:rPr>
          <w:spacing w:val="-1"/>
          <w:sz w:val="20"/>
        </w:rPr>
        <w:t xml:space="preserve"> </w:t>
      </w:r>
      <w:r>
        <w:rPr>
          <w:sz w:val="20"/>
        </w:rPr>
        <w:t>su</w:t>
      </w:r>
      <w:r>
        <w:rPr>
          <w:spacing w:val="-1"/>
          <w:sz w:val="20"/>
        </w:rPr>
        <w:t xml:space="preserve"> </w:t>
      </w:r>
      <w:r>
        <w:rPr>
          <w:sz w:val="20"/>
        </w:rPr>
        <w:t>objeto</w:t>
      </w:r>
      <w:r>
        <w:rPr>
          <w:spacing w:val="-1"/>
          <w:sz w:val="20"/>
        </w:rPr>
        <w:t xml:space="preserve"> </w:t>
      </w:r>
      <w:r>
        <w:rPr>
          <w:sz w:val="20"/>
        </w:rPr>
        <w:t>y</w:t>
      </w:r>
      <w:r>
        <w:rPr>
          <w:spacing w:val="-1"/>
          <w:sz w:val="20"/>
        </w:rPr>
        <w:t xml:space="preserve"> </w:t>
      </w:r>
      <w:r>
        <w:rPr>
          <w:sz w:val="20"/>
        </w:rPr>
        <w:t>se</w:t>
      </w:r>
      <w:r>
        <w:rPr>
          <w:spacing w:val="-1"/>
          <w:sz w:val="20"/>
        </w:rPr>
        <w:t xml:space="preserve"> </w:t>
      </w:r>
      <w:r>
        <w:rPr>
          <w:sz w:val="20"/>
        </w:rPr>
        <w:t>hará</w:t>
      </w:r>
      <w:r>
        <w:rPr>
          <w:spacing w:val="-1"/>
          <w:sz w:val="20"/>
        </w:rPr>
        <w:t xml:space="preserve"> </w:t>
      </w:r>
      <w:r>
        <w:rPr>
          <w:sz w:val="20"/>
        </w:rPr>
        <w:t>constar</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pliego</w:t>
      </w:r>
      <w:r>
        <w:rPr>
          <w:spacing w:val="-1"/>
          <w:sz w:val="20"/>
        </w:rPr>
        <w:t xml:space="preserve"> </w:t>
      </w:r>
      <w:r>
        <w:rPr>
          <w:sz w:val="20"/>
        </w:rPr>
        <w:t>de</w:t>
      </w:r>
      <w:r>
        <w:rPr>
          <w:spacing w:val="-1"/>
          <w:sz w:val="20"/>
        </w:rPr>
        <w:t xml:space="preserve"> </w:t>
      </w:r>
      <w:r>
        <w:rPr>
          <w:sz w:val="20"/>
        </w:rPr>
        <w:t>cláusulas</w:t>
      </w:r>
      <w:r>
        <w:rPr>
          <w:spacing w:val="-1"/>
          <w:sz w:val="20"/>
        </w:rPr>
        <w:t xml:space="preserve"> </w:t>
      </w:r>
      <w:r>
        <w:rPr>
          <w:sz w:val="20"/>
        </w:rPr>
        <w:t>administrativas</w:t>
      </w:r>
      <w:r>
        <w:rPr>
          <w:spacing w:val="-1"/>
          <w:sz w:val="20"/>
        </w:rPr>
        <w:t xml:space="preserve"> </w:t>
      </w:r>
      <w:r>
        <w:rPr>
          <w:sz w:val="20"/>
        </w:rPr>
        <w:t>particulares.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Si la concesión de obras o de servicios sobrepasara el plazo de cinco años, la duración máxima de la misma no podrá exceder del tiempo que se calcule razonable para que el concesionario recupere las inversiones realizadas para la explotación de las obras o servicios, junto con un rendimiento sobre el capital invertido, teniendo en cuenta las inversiones necesarias para alcanzar los objetivos contractuales específicos.</w:t>
      </w:r>
    </w:p>
    <w:p w:rsidR="0092635B" w:rsidRDefault="00000000">
      <w:pPr>
        <w:pStyle w:val="Textoindependiente"/>
        <w:spacing w:before="4" w:line="249" w:lineRule="auto"/>
        <w:ind w:right="1104"/>
      </w:pPr>
      <w:r>
        <w:t>Las inversiones que se tengan en cuenta a efectos del cálculo incluirán tanto las inversiones iniciales como las realizadas durante la vida de la concesión.</w:t>
      </w:r>
    </w:p>
    <w:p w:rsidR="0092635B" w:rsidRDefault="00000000">
      <w:pPr>
        <w:pStyle w:val="Textoindependiente"/>
        <w:spacing w:before="1" w:line="249" w:lineRule="auto"/>
        <w:ind w:right="1104"/>
      </w:pPr>
      <w:r>
        <w:t>En cualquier caso, la duración de los contratos de concesión de obras o de concesión de servicios a la que se refiere el segundo párrafo del presente apartado, no podrá exceder, incluyendo las posibles prórrogas, de:</w:t>
      </w:r>
    </w:p>
    <w:p w:rsidR="0092635B" w:rsidRDefault="00000000">
      <w:pPr>
        <w:pStyle w:val="Prrafodelista"/>
        <w:numPr>
          <w:ilvl w:val="1"/>
          <w:numId w:val="327"/>
        </w:numPr>
        <w:tabs>
          <w:tab w:val="left" w:pos="1687"/>
        </w:tabs>
        <w:spacing w:before="123" w:line="249" w:lineRule="auto"/>
        <w:ind w:right="1105" w:firstLine="340"/>
        <w:jc w:val="both"/>
        <w:rPr>
          <w:sz w:val="20"/>
        </w:rPr>
      </w:pPr>
      <w:r>
        <w:rPr>
          <w:sz w:val="20"/>
        </w:rPr>
        <w:t>Cuarenta años para los contratos de concesión de obras, y de concesión de servicios que comprendan la ejecución de obras y la explotación de servicio.</w:t>
      </w:r>
    </w:p>
    <w:p w:rsidR="0092635B" w:rsidRDefault="00000000">
      <w:pPr>
        <w:pStyle w:val="Prrafodelista"/>
        <w:numPr>
          <w:ilvl w:val="1"/>
          <w:numId w:val="327"/>
        </w:numPr>
        <w:tabs>
          <w:tab w:val="left" w:pos="1734"/>
        </w:tabs>
        <w:spacing w:before="1" w:line="249" w:lineRule="auto"/>
        <w:ind w:right="1105" w:firstLine="340"/>
        <w:jc w:val="both"/>
        <w:rPr>
          <w:sz w:val="20"/>
        </w:rPr>
      </w:pPr>
      <w:r>
        <w:rPr>
          <w:sz w:val="20"/>
        </w:rPr>
        <w:t>Veinticinco años en los contratos de concesión de servicios que comprendan la explotación de un servicio no relacionado con la prestación de servicios sanitarios.</w:t>
      </w:r>
    </w:p>
    <w:p w:rsidR="0092635B" w:rsidRDefault="00000000">
      <w:pPr>
        <w:pStyle w:val="Prrafodelista"/>
        <w:numPr>
          <w:ilvl w:val="1"/>
          <w:numId w:val="327"/>
        </w:numPr>
        <w:tabs>
          <w:tab w:val="left" w:pos="1681"/>
        </w:tabs>
        <w:spacing w:line="249" w:lineRule="auto"/>
        <w:ind w:firstLine="340"/>
        <w:jc w:val="both"/>
        <w:rPr>
          <w:sz w:val="20"/>
        </w:rPr>
      </w:pPr>
      <w:r>
        <w:rPr>
          <w:sz w:val="20"/>
        </w:rPr>
        <w:t>Diez años en los contratos de concesión de servicios que comprendan la explotación de un servicio cuyo objeto consista en la prestación de servicios sanitarios siempre que no estén comprendidos en la letra a).</w:t>
      </w:r>
    </w:p>
    <w:p w:rsidR="0092635B" w:rsidRDefault="00000000">
      <w:pPr>
        <w:pStyle w:val="Textoindependiente"/>
        <w:spacing w:before="123" w:line="249" w:lineRule="auto"/>
        <w:ind w:right="1103"/>
      </w:pPr>
      <w:r>
        <w:t>Los plazos fijados en los pliegos de condiciones solo podrán ser ampliados en un 15 por ciento de su duración inicial para restablecer el equilibrio económico del contrato en las circunstancias previstas en los artículos 270 y 290.</w:t>
      </w:r>
    </w:p>
    <w:p w:rsidR="0092635B" w:rsidRDefault="00000000">
      <w:pPr>
        <w:pStyle w:val="Textoindependiente"/>
        <w:spacing w:line="249" w:lineRule="auto"/>
        <w:ind w:right="1103"/>
      </w:pPr>
      <w:r>
        <w:t xml:space="preserve">No se tendrán en cuenta a efectos del cómputo del plazo de duración de la concesión y del establecido para la ejecución de las obras aquellos períodos en los que estas deban suspenderse por una causa imputable a la Administración concedente o debida a fuerza mayor. Si el concesionario fuera responsable del retraso en la ejecución de las obras se estará a lo dispuesto en el régimen de penalidades contenido en el pliego de cláusulas administrativas particulares y en esta Ley, sin que haya lugar a la ampliación del plazo de la </w:t>
      </w:r>
      <w:r>
        <w:rPr>
          <w:spacing w:val="-2"/>
        </w:rPr>
        <w:t>concesión.</w:t>
      </w:r>
    </w:p>
    <w:p w:rsidR="0092635B" w:rsidRDefault="00000000">
      <w:pPr>
        <w:pStyle w:val="Prrafodelista"/>
        <w:numPr>
          <w:ilvl w:val="0"/>
          <w:numId w:val="327"/>
        </w:numPr>
        <w:tabs>
          <w:tab w:val="left" w:pos="1757"/>
        </w:tabs>
        <w:spacing w:before="6" w:line="249" w:lineRule="auto"/>
        <w:ind w:right="1104" w:firstLine="340"/>
        <w:jc w:val="both"/>
        <w:rPr>
          <w:sz w:val="20"/>
        </w:rPr>
      </w:pPr>
      <w:r>
        <w:rPr>
          <w:sz w:val="20"/>
        </w:rPr>
        <w:t>No obstante lo dispuesto anteriormente, los contratos de servicios que sean complementarios de otros contratos de obras o de suministro podrán tener un plazo de vigencia superior al señalado en el apartado 4 que, en ningún caso, excederá del plazo de duración del contrato principal, salvo en los contratos que comprendan trabajos relacionados con la liquidación del contrato principal, cuyo plazo final excederá al del mismo en el tiempo necesario para realizarlos.</w:t>
      </w:r>
    </w:p>
    <w:p w:rsidR="0092635B" w:rsidRDefault="00000000">
      <w:pPr>
        <w:pStyle w:val="Textoindependiente"/>
        <w:spacing w:before="5" w:line="249" w:lineRule="auto"/>
        <w:ind w:right="1104"/>
      </w:pPr>
      <w:r>
        <w:t xml:space="preserve">Ha de entenderse por contratos complementarios aquellos que tienen una relación de dependencia respecto de otro, el principal, y cuyo objeto se considere necesario para la correcta realización de la prestación o prestaciones a las que se refiera dicho contrato </w:t>
      </w:r>
      <w:r>
        <w:rPr>
          <w:spacing w:val="-2"/>
        </w:rPr>
        <w:t>principal.</w:t>
      </w:r>
    </w:p>
    <w:p w:rsidR="0092635B" w:rsidRDefault="00000000">
      <w:pPr>
        <w:pStyle w:val="Textoindependiente"/>
        <w:spacing w:before="3" w:line="249" w:lineRule="auto"/>
        <w:ind w:right="1104"/>
      </w:pPr>
      <w:r>
        <w:t>Los contratos de servicios complementarios de un contrato menor de obras podrán tramitarse también como contratos menores, aun cuando su duración exceda del año previsto en el apartado siguiente de este artículo, siempre que cumplan los requisitos previstos en el artículo 118 de esta ley, que su duración no exceda de 30 meses y que el exceso sobre el año de duración venga justificado exclusivamente por la duración del</w:t>
      </w:r>
      <w:r>
        <w:rPr>
          <w:spacing w:val="40"/>
        </w:rPr>
        <w:t xml:space="preserve"> </w:t>
      </w:r>
      <w:r>
        <w:t>período de garantía establecido en el contrato de obras principal y los trabajos relacionados con la liquidación de dicho contrato principal.</w:t>
      </w:r>
    </w:p>
    <w:p w:rsidR="0092635B" w:rsidRDefault="00000000">
      <w:pPr>
        <w:pStyle w:val="Prrafodelista"/>
        <w:numPr>
          <w:ilvl w:val="0"/>
          <w:numId w:val="327"/>
        </w:numPr>
        <w:tabs>
          <w:tab w:val="left" w:pos="1697"/>
        </w:tabs>
        <w:spacing w:before="6" w:line="249" w:lineRule="auto"/>
        <w:ind w:right="1104" w:firstLine="340"/>
        <w:jc w:val="both"/>
        <w:rPr>
          <w:sz w:val="20"/>
        </w:rPr>
      </w:pPr>
      <w:r>
        <w:rPr>
          <w:sz w:val="20"/>
        </w:rPr>
        <w:t>Los contratos menores definidos en el apartado primero del artículo 118 no podrán tener una duración superior a un año ni ser objeto de prórroga.</w:t>
      </w:r>
    </w:p>
    <w:p w:rsidR="0092635B" w:rsidRDefault="00000000">
      <w:pPr>
        <w:pStyle w:val="Prrafodelista"/>
        <w:numPr>
          <w:ilvl w:val="0"/>
          <w:numId w:val="327"/>
        </w:numPr>
        <w:tabs>
          <w:tab w:val="left" w:pos="1690"/>
        </w:tabs>
        <w:spacing w:before="1" w:line="249" w:lineRule="auto"/>
        <w:ind w:firstLine="340"/>
        <w:jc w:val="both"/>
        <w:rPr>
          <w:sz w:val="20"/>
        </w:rPr>
      </w:pPr>
      <w:r>
        <w:rPr>
          <w:sz w:val="20"/>
        </w:rPr>
        <w:t>El período de recuperación de la inversión a que se refieren los apartados 4 y 6 de este artículo será calculado de acuerdo con lo establecido en el Real Decreto al que se refieren los artículos 4 y 5 de la Ley 2/2015, de 30 de marzo, de desindexación de la economía española.</w:t>
      </w:r>
    </w:p>
    <w:p w:rsidR="0092635B" w:rsidRDefault="0092635B">
      <w:pPr>
        <w:pStyle w:val="Textoindependiente"/>
        <w:spacing w:before="0"/>
        <w:ind w:left="0" w:firstLine="0"/>
        <w:jc w:val="left"/>
      </w:pPr>
    </w:p>
    <w:p w:rsidR="0092635B" w:rsidRDefault="00000000">
      <w:pPr>
        <w:tabs>
          <w:tab w:val="left" w:pos="2522"/>
        </w:tabs>
        <w:spacing w:line="249" w:lineRule="auto"/>
        <w:ind w:left="1106" w:right="1120" w:hanging="1"/>
        <w:rPr>
          <w:rFonts w:ascii="Arial" w:hAnsi="Arial"/>
          <w:i/>
          <w:sz w:val="20"/>
        </w:rPr>
      </w:pPr>
      <w:bookmarkStart w:id="54" w:name="Artículo_30._Ejecución_directa_de_presta"/>
      <w:bookmarkEnd w:id="54"/>
      <w:r>
        <w:rPr>
          <w:rFonts w:ascii="Arial" w:hAnsi="Arial"/>
          <w:b/>
          <w:sz w:val="20"/>
        </w:rPr>
        <w:t>Artículo</w:t>
      </w:r>
      <w:r>
        <w:rPr>
          <w:rFonts w:ascii="Arial" w:hAnsi="Arial"/>
          <w:b/>
          <w:spacing w:val="40"/>
          <w:sz w:val="20"/>
        </w:rPr>
        <w:t xml:space="preserve"> </w:t>
      </w:r>
      <w:r>
        <w:rPr>
          <w:rFonts w:ascii="Arial" w:hAnsi="Arial"/>
          <w:b/>
          <w:sz w:val="20"/>
        </w:rPr>
        <w:t>30.</w:t>
      </w:r>
      <w:r>
        <w:rPr>
          <w:rFonts w:ascii="Arial" w:hAnsi="Arial"/>
          <w:b/>
          <w:sz w:val="20"/>
        </w:rPr>
        <w:tab/>
      </w:r>
      <w:r>
        <w:rPr>
          <w:rFonts w:ascii="Arial" w:hAnsi="Arial"/>
          <w:i/>
          <w:sz w:val="20"/>
        </w:rPr>
        <w:t>Ejecución</w:t>
      </w:r>
      <w:r>
        <w:rPr>
          <w:rFonts w:ascii="Arial" w:hAnsi="Arial"/>
          <w:i/>
          <w:spacing w:val="40"/>
          <w:sz w:val="20"/>
        </w:rPr>
        <w:t xml:space="preserve"> </w:t>
      </w:r>
      <w:r>
        <w:rPr>
          <w:rFonts w:ascii="Arial" w:hAnsi="Arial"/>
          <w:i/>
          <w:sz w:val="20"/>
        </w:rPr>
        <w:t>directa</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prestaciones</w:t>
      </w:r>
      <w:r>
        <w:rPr>
          <w:rFonts w:ascii="Arial" w:hAnsi="Arial"/>
          <w:i/>
          <w:spacing w:val="40"/>
          <w:sz w:val="20"/>
        </w:rPr>
        <w:t xml:space="preserve"> </w:t>
      </w:r>
      <w:r>
        <w:rPr>
          <w:rFonts w:ascii="Arial" w:hAnsi="Arial"/>
          <w:i/>
          <w:sz w:val="20"/>
        </w:rPr>
        <w:t>por</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Administración</w:t>
      </w:r>
      <w:r>
        <w:rPr>
          <w:rFonts w:ascii="Arial" w:hAnsi="Arial"/>
          <w:i/>
          <w:spacing w:val="40"/>
          <w:sz w:val="20"/>
        </w:rPr>
        <w:t xml:space="preserve"> </w:t>
      </w:r>
      <w:r>
        <w:rPr>
          <w:rFonts w:ascii="Arial" w:hAnsi="Arial"/>
          <w:i/>
          <w:sz w:val="20"/>
        </w:rPr>
        <w:t>Pública</w:t>
      </w:r>
      <w:r>
        <w:rPr>
          <w:rFonts w:ascii="Arial" w:hAnsi="Arial"/>
          <w:i/>
          <w:spacing w:val="40"/>
          <w:sz w:val="20"/>
        </w:rPr>
        <w:t xml:space="preserve"> </w:t>
      </w:r>
      <w:r>
        <w:rPr>
          <w:rFonts w:ascii="Arial" w:hAnsi="Arial"/>
          <w:i/>
          <w:sz w:val="20"/>
        </w:rPr>
        <w:t>con</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colaboración de empresarios particulares o a través de medios propios no personificados.</w:t>
      </w:r>
    </w:p>
    <w:p w:rsidR="0092635B" w:rsidRDefault="00000000">
      <w:pPr>
        <w:pStyle w:val="Prrafodelista"/>
        <w:numPr>
          <w:ilvl w:val="0"/>
          <w:numId w:val="326"/>
        </w:numPr>
        <w:tabs>
          <w:tab w:val="left" w:pos="1680"/>
        </w:tabs>
        <w:spacing w:before="115" w:line="249" w:lineRule="auto"/>
        <w:ind w:firstLine="340"/>
        <w:jc w:val="both"/>
        <w:rPr>
          <w:sz w:val="20"/>
        </w:rPr>
      </w:pPr>
      <w:r>
        <w:rPr>
          <w:sz w:val="20"/>
        </w:rPr>
        <w:t>La ejecución de obras podrá realizarse por los servicios de la Administración Pública, ya sea empleando exclusivamente medios propios no personificados o con la colaboración de empresarios particulares cuando concurra alguna de estas circunstancias: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326"/>
        </w:numPr>
        <w:tabs>
          <w:tab w:val="left" w:pos="1705"/>
        </w:tabs>
        <w:spacing w:before="1" w:line="249" w:lineRule="auto"/>
        <w:ind w:right="1104" w:firstLine="340"/>
        <w:jc w:val="both"/>
        <w:rPr>
          <w:sz w:val="20"/>
        </w:rPr>
      </w:pPr>
      <w:r>
        <w:rPr>
          <w:sz w:val="20"/>
        </w:rPr>
        <w:t>Que la Administración tenga montadas fábricas, arsenales, maestranzas o servicios técnicos o industriales suficientemente aptos para la realización de la prestación, en cuyo caso deberá normalmente utilizarse este sistema de ejecución.</w:t>
      </w:r>
    </w:p>
    <w:p w:rsidR="0092635B" w:rsidRDefault="00000000">
      <w:pPr>
        <w:pStyle w:val="Prrafodelista"/>
        <w:numPr>
          <w:ilvl w:val="1"/>
          <w:numId w:val="326"/>
        </w:numPr>
        <w:tabs>
          <w:tab w:val="left" w:pos="1705"/>
        </w:tabs>
        <w:spacing w:line="249" w:lineRule="auto"/>
        <w:ind w:right="1104" w:firstLine="340"/>
        <w:jc w:val="both"/>
        <w:rPr>
          <w:sz w:val="20"/>
        </w:rPr>
      </w:pPr>
      <w:r>
        <w:rPr>
          <w:sz w:val="20"/>
        </w:rPr>
        <w:t xml:space="preserve">Que la Administración posea elementos auxiliares utilizables, cuyo empleo suponga una economía superior al 5 por 100 del importe del presupuesto del contrato o una mayor celeridad en su ejecución, justificándose, en este caso, las ventajas que se sigan de la </w:t>
      </w:r>
      <w:r>
        <w:rPr>
          <w:spacing w:val="-2"/>
          <w:sz w:val="20"/>
        </w:rPr>
        <w:t>misma.</w:t>
      </w:r>
    </w:p>
    <w:p w:rsidR="0092635B" w:rsidRDefault="00000000">
      <w:pPr>
        <w:pStyle w:val="Prrafodelista"/>
        <w:numPr>
          <w:ilvl w:val="1"/>
          <w:numId w:val="326"/>
        </w:numPr>
        <w:tabs>
          <w:tab w:val="left" w:pos="1668"/>
        </w:tabs>
        <w:spacing w:before="3"/>
        <w:ind w:left="1668" w:right="0" w:hanging="222"/>
        <w:jc w:val="both"/>
        <w:rPr>
          <w:sz w:val="20"/>
        </w:rPr>
      </w:pPr>
      <w:r>
        <w:rPr>
          <w:sz w:val="20"/>
        </w:rPr>
        <w:t>Que</w:t>
      </w:r>
      <w:r>
        <w:rPr>
          <w:spacing w:val="-5"/>
          <w:sz w:val="20"/>
        </w:rPr>
        <w:t xml:space="preserve"> </w:t>
      </w:r>
      <w:r>
        <w:rPr>
          <w:sz w:val="20"/>
        </w:rPr>
        <w:t>no</w:t>
      </w:r>
      <w:r>
        <w:rPr>
          <w:spacing w:val="-3"/>
          <w:sz w:val="20"/>
        </w:rPr>
        <w:t xml:space="preserve"> </w:t>
      </w:r>
      <w:r>
        <w:rPr>
          <w:sz w:val="20"/>
        </w:rPr>
        <w:t>haya</w:t>
      </w:r>
      <w:r>
        <w:rPr>
          <w:spacing w:val="-3"/>
          <w:sz w:val="20"/>
        </w:rPr>
        <w:t xml:space="preserve"> </w:t>
      </w:r>
      <w:r>
        <w:rPr>
          <w:sz w:val="20"/>
        </w:rPr>
        <w:t>habido</w:t>
      </w:r>
      <w:r>
        <w:rPr>
          <w:spacing w:val="-3"/>
          <w:sz w:val="20"/>
        </w:rPr>
        <w:t xml:space="preserve"> </w:t>
      </w:r>
      <w:r>
        <w:rPr>
          <w:sz w:val="20"/>
        </w:rPr>
        <w:t>ofertas</w:t>
      </w:r>
      <w:r>
        <w:rPr>
          <w:spacing w:val="-3"/>
          <w:sz w:val="20"/>
        </w:rPr>
        <w:t xml:space="preserve"> </w:t>
      </w:r>
      <w:r>
        <w:rPr>
          <w:sz w:val="20"/>
        </w:rPr>
        <w:t>de</w:t>
      </w:r>
      <w:r>
        <w:rPr>
          <w:spacing w:val="-3"/>
          <w:sz w:val="20"/>
        </w:rPr>
        <w:t xml:space="preserve"> </w:t>
      </w:r>
      <w:r>
        <w:rPr>
          <w:sz w:val="20"/>
        </w:rPr>
        <w:t>empresarios</w:t>
      </w:r>
      <w:r>
        <w:rPr>
          <w:spacing w:val="-3"/>
          <w:sz w:val="20"/>
        </w:rPr>
        <w:t xml:space="preserve"> </w:t>
      </w:r>
      <w:r>
        <w:rPr>
          <w:sz w:val="20"/>
        </w:rPr>
        <w:t>en</w:t>
      </w:r>
      <w:r>
        <w:rPr>
          <w:spacing w:val="-3"/>
          <w:sz w:val="20"/>
        </w:rPr>
        <w:t xml:space="preserve"> </w:t>
      </w:r>
      <w:r>
        <w:rPr>
          <w:sz w:val="20"/>
        </w:rPr>
        <w:t>la</w:t>
      </w:r>
      <w:r>
        <w:rPr>
          <w:spacing w:val="-3"/>
          <w:sz w:val="20"/>
        </w:rPr>
        <w:t xml:space="preserve"> </w:t>
      </w:r>
      <w:r>
        <w:rPr>
          <w:sz w:val="20"/>
        </w:rPr>
        <w:t>licitación</w:t>
      </w:r>
      <w:r>
        <w:rPr>
          <w:spacing w:val="-3"/>
          <w:sz w:val="20"/>
        </w:rPr>
        <w:t xml:space="preserve"> </w:t>
      </w:r>
      <w:r>
        <w:rPr>
          <w:sz w:val="20"/>
        </w:rPr>
        <w:t>previamente</w:t>
      </w:r>
      <w:r>
        <w:rPr>
          <w:spacing w:val="-3"/>
          <w:sz w:val="20"/>
        </w:rPr>
        <w:t xml:space="preserve"> </w:t>
      </w:r>
      <w:r>
        <w:rPr>
          <w:spacing w:val="-2"/>
          <w:sz w:val="20"/>
        </w:rPr>
        <w:t>efectuada.</w:t>
      </w:r>
    </w:p>
    <w:p w:rsidR="0092635B" w:rsidRDefault="00000000">
      <w:pPr>
        <w:pStyle w:val="Prrafodelista"/>
        <w:numPr>
          <w:ilvl w:val="1"/>
          <w:numId w:val="326"/>
        </w:numPr>
        <w:tabs>
          <w:tab w:val="left" w:pos="1713"/>
        </w:tabs>
        <w:spacing w:before="10" w:line="249" w:lineRule="auto"/>
        <w:ind w:right="1106" w:firstLine="340"/>
        <w:rPr>
          <w:sz w:val="20"/>
        </w:rPr>
      </w:pPr>
      <w:r>
        <w:rPr>
          <w:sz w:val="20"/>
        </w:rPr>
        <w:t>Cuando</w:t>
      </w:r>
      <w:r>
        <w:rPr>
          <w:spacing w:val="33"/>
          <w:sz w:val="20"/>
        </w:rPr>
        <w:t xml:space="preserve"> </w:t>
      </w:r>
      <w:r>
        <w:rPr>
          <w:sz w:val="20"/>
        </w:rPr>
        <w:t>se</w:t>
      </w:r>
      <w:r>
        <w:rPr>
          <w:spacing w:val="33"/>
          <w:sz w:val="20"/>
        </w:rPr>
        <w:t xml:space="preserve"> </w:t>
      </w:r>
      <w:r>
        <w:rPr>
          <w:sz w:val="20"/>
        </w:rPr>
        <w:t>trate</w:t>
      </w:r>
      <w:r>
        <w:rPr>
          <w:spacing w:val="33"/>
          <w:sz w:val="20"/>
        </w:rPr>
        <w:t xml:space="preserve"> </w:t>
      </w:r>
      <w:r>
        <w:rPr>
          <w:sz w:val="20"/>
        </w:rPr>
        <w:t>de</w:t>
      </w:r>
      <w:r>
        <w:rPr>
          <w:spacing w:val="33"/>
          <w:sz w:val="20"/>
        </w:rPr>
        <w:t xml:space="preserve"> </w:t>
      </w:r>
      <w:r>
        <w:rPr>
          <w:sz w:val="20"/>
        </w:rPr>
        <w:t>un</w:t>
      </w:r>
      <w:r>
        <w:rPr>
          <w:spacing w:val="33"/>
          <w:sz w:val="20"/>
        </w:rPr>
        <w:t xml:space="preserve"> </w:t>
      </w:r>
      <w:r>
        <w:rPr>
          <w:sz w:val="20"/>
        </w:rPr>
        <w:t>supuesto</w:t>
      </w:r>
      <w:r>
        <w:rPr>
          <w:spacing w:val="33"/>
          <w:sz w:val="20"/>
        </w:rPr>
        <w:t xml:space="preserve"> </w:t>
      </w:r>
      <w:r>
        <w:rPr>
          <w:sz w:val="20"/>
        </w:rPr>
        <w:t>de</w:t>
      </w:r>
      <w:r>
        <w:rPr>
          <w:spacing w:val="33"/>
          <w:sz w:val="20"/>
        </w:rPr>
        <w:t xml:space="preserve"> </w:t>
      </w:r>
      <w:r>
        <w:rPr>
          <w:sz w:val="20"/>
        </w:rPr>
        <w:t>emergencia,</w:t>
      </w:r>
      <w:r>
        <w:rPr>
          <w:spacing w:val="33"/>
          <w:sz w:val="20"/>
        </w:rPr>
        <w:t xml:space="preserve"> </w:t>
      </w:r>
      <w:r>
        <w:rPr>
          <w:sz w:val="20"/>
        </w:rPr>
        <w:t>de</w:t>
      </w:r>
      <w:r>
        <w:rPr>
          <w:spacing w:val="33"/>
          <w:sz w:val="20"/>
        </w:rPr>
        <w:t xml:space="preserve"> </w:t>
      </w:r>
      <w:r>
        <w:rPr>
          <w:sz w:val="20"/>
        </w:rPr>
        <w:t>acuerdo</w:t>
      </w:r>
      <w:r>
        <w:rPr>
          <w:spacing w:val="33"/>
          <w:sz w:val="20"/>
        </w:rPr>
        <w:t xml:space="preserve"> </w:t>
      </w:r>
      <w:r>
        <w:rPr>
          <w:sz w:val="20"/>
        </w:rPr>
        <w:t>con</w:t>
      </w:r>
      <w:r>
        <w:rPr>
          <w:spacing w:val="33"/>
          <w:sz w:val="20"/>
        </w:rPr>
        <w:t xml:space="preserve"> </w:t>
      </w:r>
      <w:r>
        <w:rPr>
          <w:sz w:val="20"/>
        </w:rPr>
        <w:t>lo</w:t>
      </w:r>
      <w:r>
        <w:rPr>
          <w:spacing w:val="33"/>
          <w:sz w:val="20"/>
        </w:rPr>
        <w:t xml:space="preserve"> </w:t>
      </w:r>
      <w:r>
        <w:rPr>
          <w:sz w:val="20"/>
        </w:rPr>
        <w:t>previsto</w:t>
      </w:r>
      <w:r>
        <w:rPr>
          <w:spacing w:val="33"/>
          <w:sz w:val="20"/>
        </w:rPr>
        <w:t xml:space="preserve"> </w:t>
      </w:r>
      <w:r>
        <w:rPr>
          <w:sz w:val="20"/>
        </w:rPr>
        <w:t>en</w:t>
      </w:r>
      <w:r>
        <w:rPr>
          <w:spacing w:val="33"/>
          <w:sz w:val="20"/>
        </w:rPr>
        <w:t xml:space="preserve"> </w:t>
      </w:r>
      <w:r>
        <w:rPr>
          <w:sz w:val="20"/>
        </w:rPr>
        <w:t>el artículo 120.</w:t>
      </w:r>
    </w:p>
    <w:p w:rsidR="0092635B" w:rsidRDefault="00000000">
      <w:pPr>
        <w:pStyle w:val="Prrafodelista"/>
        <w:numPr>
          <w:ilvl w:val="1"/>
          <w:numId w:val="326"/>
        </w:numPr>
        <w:tabs>
          <w:tab w:val="left" w:pos="1706"/>
        </w:tabs>
        <w:spacing w:line="249" w:lineRule="auto"/>
        <w:ind w:right="1105" w:firstLine="340"/>
        <w:rPr>
          <w:sz w:val="20"/>
        </w:rPr>
      </w:pPr>
      <w:r>
        <w:rPr>
          <w:sz w:val="20"/>
        </w:rPr>
        <w:t>Cuando,</w:t>
      </w:r>
      <w:r>
        <w:rPr>
          <w:spacing w:val="26"/>
          <w:sz w:val="20"/>
        </w:rPr>
        <w:t xml:space="preserve"> </w:t>
      </w:r>
      <w:r>
        <w:rPr>
          <w:sz w:val="20"/>
        </w:rPr>
        <w:t>dada</w:t>
      </w:r>
      <w:r>
        <w:rPr>
          <w:spacing w:val="26"/>
          <w:sz w:val="20"/>
        </w:rPr>
        <w:t xml:space="preserve"> </w:t>
      </w:r>
      <w:r>
        <w:rPr>
          <w:sz w:val="20"/>
        </w:rPr>
        <w:t>la</w:t>
      </w:r>
      <w:r>
        <w:rPr>
          <w:spacing w:val="26"/>
          <w:sz w:val="20"/>
        </w:rPr>
        <w:t xml:space="preserve"> </w:t>
      </w:r>
      <w:r>
        <w:rPr>
          <w:sz w:val="20"/>
        </w:rPr>
        <w:t>naturaleza</w:t>
      </w:r>
      <w:r>
        <w:rPr>
          <w:spacing w:val="26"/>
          <w:sz w:val="20"/>
        </w:rPr>
        <w:t xml:space="preserve"> </w:t>
      </w:r>
      <w:r>
        <w:rPr>
          <w:sz w:val="20"/>
        </w:rPr>
        <w:t>de</w:t>
      </w:r>
      <w:r>
        <w:rPr>
          <w:spacing w:val="26"/>
          <w:sz w:val="20"/>
        </w:rPr>
        <w:t xml:space="preserve"> </w:t>
      </w:r>
      <w:r>
        <w:rPr>
          <w:sz w:val="20"/>
        </w:rPr>
        <w:t>la</w:t>
      </w:r>
      <w:r>
        <w:rPr>
          <w:spacing w:val="26"/>
          <w:sz w:val="20"/>
        </w:rPr>
        <w:t xml:space="preserve"> </w:t>
      </w:r>
      <w:r>
        <w:rPr>
          <w:sz w:val="20"/>
        </w:rPr>
        <w:t>prestación,</w:t>
      </w:r>
      <w:r>
        <w:rPr>
          <w:spacing w:val="26"/>
          <w:sz w:val="20"/>
        </w:rPr>
        <w:t xml:space="preserve"> </w:t>
      </w:r>
      <w:r>
        <w:rPr>
          <w:sz w:val="20"/>
        </w:rPr>
        <w:t>sea</w:t>
      </w:r>
      <w:r>
        <w:rPr>
          <w:spacing w:val="26"/>
          <w:sz w:val="20"/>
        </w:rPr>
        <w:t xml:space="preserve"> </w:t>
      </w:r>
      <w:r>
        <w:rPr>
          <w:sz w:val="20"/>
        </w:rPr>
        <w:t>imposible</w:t>
      </w:r>
      <w:r>
        <w:rPr>
          <w:spacing w:val="26"/>
          <w:sz w:val="20"/>
        </w:rPr>
        <w:t xml:space="preserve"> </w:t>
      </w:r>
      <w:r>
        <w:rPr>
          <w:sz w:val="20"/>
        </w:rPr>
        <w:t>la</w:t>
      </w:r>
      <w:r>
        <w:rPr>
          <w:spacing w:val="26"/>
          <w:sz w:val="20"/>
        </w:rPr>
        <w:t xml:space="preserve"> </w:t>
      </w:r>
      <w:r>
        <w:rPr>
          <w:sz w:val="20"/>
        </w:rPr>
        <w:t>fijación</w:t>
      </w:r>
      <w:r>
        <w:rPr>
          <w:spacing w:val="26"/>
          <w:sz w:val="20"/>
        </w:rPr>
        <w:t xml:space="preserve"> </w:t>
      </w:r>
      <w:r>
        <w:rPr>
          <w:sz w:val="20"/>
        </w:rPr>
        <w:t>previa</w:t>
      </w:r>
      <w:r>
        <w:rPr>
          <w:spacing w:val="26"/>
          <w:sz w:val="20"/>
        </w:rPr>
        <w:t xml:space="preserve"> </w:t>
      </w:r>
      <w:r>
        <w:rPr>
          <w:sz w:val="20"/>
        </w:rPr>
        <w:t>de</w:t>
      </w:r>
      <w:r>
        <w:rPr>
          <w:spacing w:val="26"/>
          <w:sz w:val="20"/>
        </w:rPr>
        <w:t xml:space="preserve"> </w:t>
      </w:r>
      <w:r>
        <w:rPr>
          <w:sz w:val="20"/>
        </w:rPr>
        <w:t>un precio cierto o la de un presupuesto por unidades simples de trabajo.</w:t>
      </w:r>
    </w:p>
    <w:p w:rsidR="0092635B" w:rsidRDefault="00000000">
      <w:pPr>
        <w:pStyle w:val="Prrafodelista"/>
        <w:numPr>
          <w:ilvl w:val="1"/>
          <w:numId w:val="326"/>
        </w:numPr>
        <w:tabs>
          <w:tab w:val="left" w:pos="1639"/>
        </w:tabs>
        <w:spacing w:line="249" w:lineRule="auto"/>
        <w:ind w:right="1104" w:firstLine="340"/>
        <w:rPr>
          <w:sz w:val="20"/>
        </w:rPr>
      </w:pPr>
      <w:r>
        <w:rPr>
          <w:sz w:val="20"/>
        </w:rPr>
        <w:t>Cuando sea necesario relevar al contratista de realizar algunas unidades de obra por no haberse llegado a un acuerdo en los precios contradictorios correspondientes.</w:t>
      </w:r>
    </w:p>
    <w:p w:rsidR="0092635B" w:rsidRDefault="00000000">
      <w:pPr>
        <w:pStyle w:val="Prrafodelista"/>
        <w:numPr>
          <w:ilvl w:val="1"/>
          <w:numId w:val="326"/>
        </w:numPr>
        <w:tabs>
          <w:tab w:val="left" w:pos="1679"/>
        </w:tabs>
        <w:spacing w:before="1"/>
        <w:ind w:left="1679" w:right="0" w:hanging="233"/>
        <w:rPr>
          <w:sz w:val="20"/>
        </w:rPr>
      </w:pPr>
      <w:r>
        <w:rPr>
          <w:sz w:val="20"/>
        </w:rPr>
        <w:t>Las</w:t>
      </w:r>
      <w:r>
        <w:rPr>
          <w:spacing w:val="-3"/>
          <w:sz w:val="20"/>
        </w:rPr>
        <w:t xml:space="preserve"> </w:t>
      </w:r>
      <w:r>
        <w:rPr>
          <w:sz w:val="20"/>
        </w:rPr>
        <w:t>obras</w:t>
      </w:r>
      <w:r>
        <w:rPr>
          <w:spacing w:val="-2"/>
          <w:sz w:val="20"/>
        </w:rPr>
        <w:t xml:space="preserve"> </w:t>
      </w:r>
      <w:r>
        <w:rPr>
          <w:sz w:val="20"/>
        </w:rPr>
        <w:t>de</w:t>
      </w:r>
      <w:r>
        <w:rPr>
          <w:spacing w:val="-2"/>
          <w:sz w:val="20"/>
        </w:rPr>
        <w:t xml:space="preserve"> </w:t>
      </w:r>
      <w:r>
        <w:rPr>
          <w:sz w:val="20"/>
        </w:rPr>
        <w:t>mera</w:t>
      </w:r>
      <w:r>
        <w:rPr>
          <w:spacing w:val="-2"/>
          <w:sz w:val="20"/>
        </w:rPr>
        <w:t xml:space="preserve"> </w:t>
      </w:r>
      <w:r>
        <w:rPr>
          <w:sz w:val="20"/>
        </w:rPr>
        <w:t>conservación</w:t>
      </w:r>
      <w:r>
        <w:rPr>
          <w:spacing w:val="-2"/>
          <w:sz w:val="20"/>
        </w:rPr>
        <w:t xml:space="preserve"> </w:t>
      </w:r>
      <w:r>
        <w:rPr>
          <w:sz w:val="20"/>
        </w:rPr>
        <w:t>y</w:t>
      </w:r>
      <w:r>
        <w:rPr>
          <w:spacing w:val="-3"/>
          <w:sz w:val="20"/>
        </w:rPr>
        <w:t xml:space="preserve"> </w:t>
      </w:r>
      <w:r>
        <w:rPr>
          <w:sz w:val="20"/>
        </w:rPr>
        <w:t>mantenimiento,</w:t>
      </w:r>
      <w:r>
        <w:rPr>
          <w:spacing w:val="-2"/>
          <w:sz w:val="20"/>
        </w:rPr>
        <w:t xml:space="preserve"> </w:t>
      </w:r>
      <w:r>
        <w:rPr>
          <w:sz w:val="20"/>
        </w:rPr>
        <w:t>definidas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232.5.</w:t>
      </w:r>
    </w:p>
    <w:p w:rsidR="0092635B" w:rsidRDefault="00000000">
      <w:pPr>
        <w:pStyle w:val="Prrafodelista"/>
        <w:numPr>
          <w:ilvl w:val="1"/>
          <w:numId w:val="326"/>
        </w:numPr>
        <w:tabs>
          <w:tab w:val="left" w:pos="1729"/>
        </w:tabs>
        <w:spacing w:before="10" w:line="249" w:lineRule="auto"/>
        <w:ind w:firstLine="340"/>
        <w:jc w:val="both"/>
        <w:rPr>
          <w:sz w:val="20"/>
        </w:rPr>
      </w:pPr>
      <w:r>
        <w:rPr>
          <w:sz w:val="20"/>
        </w:rPr>
        <w:t>Excepcionalmente, la ejecución de obras definidas en virtud de un anteproyecto, cuando no se aplique el artículo 146.2 relativo a la valoración de las ofertas con más de un criterio de adjudicación.</w:t>
      </w:r>
    </w:p>
    <w:p w:rsidR="0092635B" w:rsidRDefault="00000000">
      <w:pPr>
        <w:pStyle w:val="Textoindependiente"/>
        <w:spacing w:before="123" w:line="249" w:lineRule="auto"/>
        <w:ind w:right="1102"/>
      </w:pPr>
      <w:r>
        <w:t>En los supuestos contemplados en las letras a), b), c), e) y f) anteriores, deberá redactarse el correspondiente proyecto, cuyo contenido se fijará reglamentariamente.</w:t>
      </w:r>
    </w:p>
    <w:p w:rsidR="0092635B" w:rsidRDefault="00000000">
      <w:pPr>
        <w:pStyle w:val="Prrafodelista"/>
        <w:numPr>
          <w:ilvl w:val="0"/>
          <w:numId w:val="326"/>
        </w:numPr>
        <w:tabs>
          <w:tab w:val="left" w:pos="1767"/>
        </w:tabs>
        <w:spacing w:before="1" w:line="249" w:lineRule="auto"/>
        <w:ind w:right="1104" w:firstLine="340"/>
        <w:jc w:val="both"/>
        <w:rPr>
          <w:sz w:val="20"/>
        </w:rPr>
      </w:pPr>
      <w:r>
        <w:rPr>
          <w:sz w:val="20"/>
        </w:rPr>
        <w:t>La fabricación de bienes muebles podrá efectuarse por los servicios de la Administración, ya sea empleando de forma exclusiva medios propios no personificados o con la colaboración de empresarios particulares cuando concurra alguna de las circunstancias previstas en las letras a), c), d) y e) del apartado anterior, o cuando, en el supuesto definido en la letra b) de este mismo apartado, el ahorro que pueda obtenerse sea superior al 20 por 100 del presupuesto del suministro o pueda obtenerse una mayor</w:t>
      </w:r>
      <w:r>
        <w:rPr>
          <w:spacing w:val="40"/>
          <w:sz w:val="20"/>
        </w:rPr>
        <w:t xml:space="preserve"> </w:t>
      </w:r>
      <w:r>
        <w:rPr>
          <w:sz w:val="20"/>
        </w:rPr>
        <w:t>celeridad en su ejecución.</w:t>
      </w:r>
    </w:p>
    <w:p w:rsidR="0092635B" w:rsidRDefault="00000000">
      <w:pPr>
        <w:pStyle w:val="Textoindependiente"/>
        <w:spacing w:before="6" w:line="249" w:lineRule="auto"/>
        <w:ind w:right="1103"/>
      </w:pPr>
      <w:r>
        <w:t xml:space="preserve">Se exceptúan de estas limitaciones aquellas fabricaciones de bienes muebles que, por razones de defensa o de interés militar, resulte conveniente que se ejecuten por la </w:t>
      </w:r>
      <w:r>
        <w:rPr>
          <w:spacing w:val="-2"/>
        </w:rPr>
        <w:t>Administración.</w:t>
      </w:r>
    </w:p>
    <w:p w:rsidR="0092635B" w:rsidRDefault="00000000">
      <w:pPr>
        <w:pStyle w:val="Prrafodelista"/>
        <w:numPr>
          <w:ilvl w:val="0"/>
          <w:numId w:val="326"/>
        </w:numPr>
        <w:tabs>
          <w:tab w:val="left" w:pos="1685"/>
        </w:tabs>
        <w:spacing w:before="3" w:line="249" w:lineRule="auto"/>
        <w:ind w:right="1104" w:firstLine="340"/>
        <w:jc w:val="both"/>
        <w:rPr>
          <w:sz w:val="20"/>
        </w:rPr>
      </w:pPr>
      <w:r>
        <w:rPr>
          <w:sz w:val="20"/>
        </w:rPr>
        <w:t>La prestación de servicios se realizará normalmente por la propia Administración por sus propios medios. No obstante, cuando carezca de medios suficientes, previa la debida justificación en el expediente, se podrá contratar de conformidad con lo establecido en el Capítulo V del Título II del Libro II de la presente Ley.</w:t>
      </w:r>
    </w:p>
    <w:p w:rsidR="0092635B" w:rsidRDefault="00000000">
      <w:pPr>
        <w:pStyle w:val="Prrafodelista"/>
        <w:numPr>
          <w:ilvl w:val="0"/>
          <w:numId w:val="326"/>
        </w:numPr>
        <w:tabs>
          <w:tab w:val="left" w:pos="1673"/>
        </w:tabs>
        <w:spacing w:before="3" w:line="249" w:lineRule="auto"/>
        <w:ind w:firstLine="340"/>
        <w:jc w:val="both"/>
        <w:rPr>
          <w:sz w:val="20"/>
        </w:rPr>
      </w:pPr>
      <w:r>
        <w:rPr>
          <w:sz w:val="20"/>
        </w:rPr>
        <w:t>Cuando, de conformidad con los apartados anteriores de este artículo, la ejecución de las obras o la fabricación de los bienes muebles se efectúe en colaboración con empresarios particulares,</w:t>
      </w:r>
      <w:r>
        <w:rPr>
          <w:spacing w:val="-2"/>
          <w:sz w:val="20"/>
        </w:rPr>
        <w:t xml:space="preserve"> </w:t>
      </w:r>
      <w:r>
        <w:rPr>
          <w:sz w:val="20"/>
        </w:rPr>
        <w:t>el</w:t>
      </w:r>
      <w:r>
        <w:rPr>
          <w:spacing w:val="-2"/>
          <w:sz w:val="20"/>
        </w:rPr>
        <w:t xml:space="preserve"> </w:t>
      </w:r>
      <w:r>
        <w:rPr>
          <w:sz w:val="20"/>
        </w:rPr>
        <w:t>régimen</w:t>
      </w:r>
      <w:r>
        <w:rPr>
          <w:spacing w:val="-2"/>
          <w:sz w:val="20"/>
        </w:rPr>
        <w:t xml:space="preserve"> </w:t>
      </w:r>
      <w:r>
        <w:rPr>
          <w:sz w:val="20"/>
        </w:rPr>
        <w:t>jurídico</w:t>
      </w:r>
      <w:r>
        <w:rPr>
          <w:spacing w:val="-2"/>
          <w:sz w:val="20"/>
        </w:rPr>
        <w:t xml:space="preserve"> </w:t>
      </w:r>
      <w:r>
        <w:rPr>
          <w:sz w:val="20"/>
        </w:rPr>
        <w:t>aplicable</w:t>
      </w:r>
      <w:r>
        <w:rPr>
          <w:spacing w:val="-2"/>
          <w:sz w:val="20"/>
        </w:rPr>
        <w:t xml:space="preserve"> </w:t>
      </w:r>
      <w:r>
        <w:rPr>
          <w:sz w:val="20"/>
        </w:rPr>
        <w:t>a</w:t>
      </w:r>
      <w:r>
        <w:rPr>
          <w:spacing w:val="-2"/>
          <w:sz w:val="20"/>
        </w:rPr>
        <w:t xml:space="preserve"> </w:t>
      </w:r>
      <w:r>
        <w:rPr>
          <w:sz w:val="20"/>
        </w:rPr>
        <w:t>estos</w:t>
      </w:r>
      <w:r>
        <w:rPr>
          <w:spacing w:val="-2"/>
          <w:sz w:val="20"/>
        </w:rPr>
        <w:t xml:space="preserve"> </w:t>
      </w:r>
      <w:r>
        <w:rPr>
          <w:sz w:val="20"/>
        </w:rPr>
        <w:t>contratos</w:t>
      </w:r>
      <w:r>
        <w:rPr>
          <w:spacing w:val="-2"/>
          <w:sz w:val="20"/>
        </w:rPr>
        <w:t xml:space="preserve"> </w:t>
      </w:r>
      <w:r>
        <w:rPr>
          <w:sz w:val="20"/>
        </w:rPr>
        <w:t>será</w:t>
      </w:r>
      <w:r>
        <w:rPr>
          <w:spacing w:val="-2"/>
          <w:sz w:val="20"/>
        </w:rPr>
        <w:t xml:space="preserve"> </w:t>
      </w:r>
      <w:r>
        <w:rPr>
          <w:sz w:val="20"/>
        </w:rPr>
        <w:t>el</w:t>
      </w:r>
      <w:r>
        <w:rPr>
          <w:spacing w:val="-2"/>
          <w:sz w:val="20"/>
        </w:rPr>
        <w:t xml:space="preserve"> </w:t>
      </w:r>
      <w:r>
        <w:rPr>
          <w:sz w:val="20"/>
        </w:rPr>
        <w:t>previsto</w:t>
      </w:r>
      <w:r>
        <w:rPr>
          <w:spacing w:val="-2"/>
          <w:sz w:val="20"/>
        </w:rPr>
        <w:t xml:space="preserve"> </w:t>
      </w:r>
      <w:r>
        <w:rPr>
          <w:sz w:val="20"/>
        </w:rPr>
        <w:t>para</w:t>
      </w:r>
      <w:r>
        <w:rPr>
          <w:spacing w:val="-2"/>
          <w:sz w:val="20"/>
        </w:rPr>
        <w:t xml:space="preserve"> </w:t>
      </w:r>
      <w:r>
        <w:rPr>
          <w:sz w:val="20"/>
        </w:rPr>
        <w:t>los</w:t>
      </w:r>
      <w:r>
        <w:rPr>
          <w:spacing w:val="-2"/>
          <w:sz w:val="20"/>
        </w:rPr>
        <w:t xml:space="preserve"> </w:t>
      </w:r>
      <w:r>
        <w:rPr>
          <w:sz w:val="20"/>
        </w:rPr>
        <w:t>contratos de obras o de suministro en la presente Ley. La selección del empresario colaborador se efectuará por los procedimientos de adjudicación establecidos en el artículo 131, salvo en el caso previsto en la letra d) del apartado 1 del presente artículo.</w:t>
      </w:r>
    </w:p>
    <w:p w:rsidR="0092635B" w:rsidRDefault="00000000">
      <w:pPr>
        <w:pStyle w:val="Textoindependiente"/>
        <w:spacing w:before="5" w:line="249" w:lineRule="auto"/>
        <w:ind w:right="1104"/>
      </w:pPr>
      <w:r>
        <w:t>En los supuestos de obras incluidas en las letras a) y b) del apartado 1 del presente artículo, la contratación con colaboradores no podrá sobrepasar el 60 por ciento del importe total del proyecto.</w:t>
      </w:r>
    </w:p>
    <w:p w:rsidR="0092635B" w:rsidRDefault="00000000">
      <w:pPr>
        <w:pStyle w:val="Prrafodelista"/>
        <w:numPr>
          <w:ilvl w:val="0"/>
          <w:numId w:val="326"/>
        </w:numPr>
        <w:tabs>
          <w:tab w:val="left" w:pos="1684"/>
        </w:tabs>
        <w:spacing w:line="249" w:lineRule="auto"/>
        <w:ind w:firstLine="340"/>
        <w:jc w:val="both"/>
        <w:rPr>
          <w:sz w:val="20"/>
        </w:rPr>
      </w:pPr>
      <w:r>
        <w:rPr>
          <w:sz w:val="20"/>
        </w:rPr>
        <w:t>La autorización de la ejecución de obras y de la fabricación de bienes muebles y, en</w:t>
      </w:r>
      <w:r>
        <w:rPr>
          <w:spacing w:val="40"/>
          <w:sz w:val="20"/>
        </w:rPr>
        <w:t xml:space="preserve"> </w:t>
      </w:r>
      <w:r>
        <w:rPr>
          <w:sz w:val="20"/>
        </w:rPr>
        <w:t>su</w:t>
      </w:r>
      <w:r>
        <w:rPr>
          <w:spacing w:val="-1"/>
          <w:sz w:val="20"/>
        </w:rPr>
        <w:t xml:space="preserve"> </w:t>
      </w:r>
      <w:r>
        <w:rPr>
          <w:sz w:val="20"/>
        </w:rPr>
        <w:t>caso,</w:t>
      </w:r>
      <w:r>
        <w:rPr>
          <w:spacing w:val="-1"/>
          <w:sz w:val="20"/>
        </w:rPr>
        <w:t xml:space="preserve"> </w:t>
      </w:r>
      <w:r>
        <w:rPr>
          <w:sz w:val="20"/>
        </w:rPr>
        <w:t>la</w:t>
      </w:r>
      <w:r>
        <w:rPr>
          <w:spacing w:val="-1"/>
          <w:sz w:val="20"/>
        </w:rPr>
        <w:t xml:space="preserve"> </w:t>
      </w:r>
      <w:r>
        <w:rPr>
          <w:sz w:val="20"/>
        </w:rPr>
        <w:t>aprobación</w:t>
      </w:r>
      <w:r>
        <w:rPr>
          <w:spacing w:val="-1"/>
          <w:sz w:val="20"/>
        </w:rPr>
        <w:t xml:space="preserve"> </w:t>
      </w:r>
      <w:r>
        <w:rPr>
          <w:sz w:val="20"/>
        </w:rPr>
        <w:t>del</w:t>
      </w:r>
      <w:r>
        <w:rPr>
          <w:spacing w:val="-1"/>
          <w:sz w:val="20"/>
        </w:rPr>
        <w:t xml:space="preserve"> </w:t>
      </w:r>
      <w:r>
        <w:rPr>
          <w:sz w:val="20"/>
        </w:rPr>
        <w:t>proyecto,</w:t>
      </w:r>
      <w:r>
        <w:rPr>
          <w:spacing w:val="-1"/>
          <w:sz w:val="20"/>
        </w:rPr>
        <w:t xml:space="preserve"> </w:t>
      </w:r>
      <w:r>
        <w:rPr>
          <w:sz w:val="20"/>
        </w:rPr>
        <w:t>corresponderá</w:t>
      </w:r>
      <w:r>
        <w:rPr>
          <w:spacing w:val="-1"/>
          <w:sz w:val="20"/>
        </w:rPr>
        <w:t xml:space="preserve"> </w:t>
      </w:r>
      <w:r>
        <w:rPr>
          <w:sz w:val="20"/>
        </w:rPr>
        <w:t>al</w:t>
      </w:r>
      <w:r>
        <w:rPr>
          <w:spacing w:val="-1"/>
          <w:sz w:val="20"/>
        </w:rPr>
        <w:t xml:space="preserve"> </w:t>
      </w:r>
      <w:r>
        <w:rPr>
          <w:sz w:val="20"/>
        </w:rPr>
        <w:t>órgano</w:t>
      </w:r>
      <w:r>
        <w:rPr>
          <w:spacing w:val="-1"/>
          <w:sz w:val="20"/>
        </w:rPr>
        <w:t xml:space="preserve"> </w:t>
      </w:r>
      <w:r>
        <w:rPr>
          <w:sz w:val="20"/>
        </w:rPr>
        <w:t>competente</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aprobación del gasto o al órgano que determinen las disposiciones orgánicas de las Comunidades Autónomas, en su respectivo ámbito.</w:t>
      </w:r>
    </w:p>
    <w:p w:rsidR="0092635B" w:rsidRDefault="00000000">
      <w:pPr>
        <w:pStyle w:val="Textoindependiente"/>
        <w:spacing w:before="4" w:line="249" w:lineRule="auto"/>
        <w:ind w:right="1104"/>
      </w:pPr>
      <w:r>
        <w:t>Lo</w:t>
      </w:r>
      <w:r>
        <w:rPr>
          <w:spacing w:val="-1"/>
        </w:rPr>
        <w:t xml:space="preserve"> </w:t>
      </w:r>
      <w:r>
        <w:t>dispuesto</w:t>
      </w:r>
      <w:r>
        <w:rPr>
          <w:spacing w:val="-1"/>
        </w:rPr>
        <w:t xml:space="preserve"> </w:t>
      </w:r>
      <w:r>
        <w:t>en</w:t>
      </w:r>
      <w:r>
        <w:rPr>
          <w:spacing w:val="-1"/>
        </w:rPr>
        <w:t xml:space="preserve"> </w:t>
      </w:r>
      <w:r>
        <w:t>el</w:t>
      </w:r>
      <w:r>
        <w:rPr>
          <w:spacing w:val="-1"/>
        </w:rPr>
        <w:t xml:space="preserve"> </w:t>
      </w:r>
      <w:r>
        <w:t>párrafo</w:t>
      </w:r>
      <w:r>
        <w:rPr>
          <w:spacing w:val="-1"/>
        </w:rPr>
        <w:t xml:space="preserve"> </w:t>
      </w:r>
      <w:r>
        <w:t>anterior</w:t>
      </w:r>
      <w:r>
        <w:rPr>
          <w:spacing w:val="-1"/>
        </w:rPr>
        <w:t xml:space="preserve"> </w:t>
      </w:r>
      <w:r>
        <w:t>también</w:t>
      </w:r>
      <w:r>
        <w:rPr>
          <w:spacing w:val="-1"/>
        </w:rPr>
        <w:t xml:space="preserve"> </w:t>
      </w:r>
      <w:r>
        <w:t>resulta</w:t>
      </w:r>
      <w:r>
        <w:rPr>
          <w:spacing w:val="-1"/>
        </w:rPr>
        <w:t xml:space="preserve"> </w:t>
      </w:r>
      <w:r>
        <w:t>de</w:t>
      </w:r>
      <w:r>
        <w:rPr>
          <w:spacing w:val="-1"/>
        </w:rPr>
        <w:t xml:space="preserve"> </w:t>
      </w:r>
      <w:r>
        <w:t>aplicación</w:t>
      </w:r>
      <w:r>
        <w:rPr>
          <w:spacing w:val="-1"/>
        </w:rPr>
        <w:t xml:space="preserve"> </w:t>
      </w:r>
      <w:r>
        <w:t>a</w:t>
      </w:r>
      <w:r>
        <w:rPr>
          <w:spacing w:val="-1"/>
        </w:rPr>
        <w:t xml:space="preserve"> </w:t>
      </w:r>
      <w:r>
        <w:t>los</w:t>
      </w:r>
      <w:r>
        <w:rPr>
          <w:spacing w:val="-1"/>
        </w:rPr>
        <w:t xml:space="preserve"> </w:t>
      </w:r>
      <w:r>
        <w:t>encargos</w:t>
      </w:r>
      <w:r>
        <w:rPr>
          <w:spacing w:val="-1"/>
        </w:rPr>
        <w:t xml:space="preserve"> </w:t>
      </w:r>
      <w:r>
        <w:t>a</w:t>
      </w:r>
      <w:r>
        <w:rPr>
          <w:spacing w:val="-1"/>
        </w:rPr>
        <w:t xml:space="preserve"> </w:t>
      </w:r>
      <w:r>
        <w:t>medios propios personificados regulados en los artículos 32 y 33.</w:t>
      </w:r>
    </w:p>
    <w:p w:rsidR="0092635B" w:rsidRDefault="00000000">
      <w:pPr>
        <w:spacing w:before="228" w:line="249" w:lineRule="auto"/>
        <w:ind w:left="1106" w:right="1120" w:hanging="1"/>
        <w:rPr>
          <w:rFonts w:ascii="Arial" w:hAnsi="Arial"/>
          <w:i/>
          <w:sz w:val="20"/>
        </w:rPr>
      </w:pPr>
      <w:bookmarkStart w:id="55" w:name="Artículo_31._Potestad_de_auto_organizaci"/>
      <w:bookmarkEnd w:id="55"/>
      <w:r>
        <w:rPr>
          <w:rFonts w:ascii="Arial" w:hAnsi="Arial"/>
          <w:b/>
          <w:sz w:val="20"/>
        </w:rPr>
        <w:t>Artículo</w:t>
      </w:r>
      <w:r>
        <w:rPr>
          <w:rFonts w:ascii="Arial" w:hAnsi="Arial"/>
          <w:b/>
          <w:spacing w:val="29"/>
          <w:sz w:val="20"/>
        </w:rPr>
        <w:t xml:space="preserve"> </w:t>
      </w:r>
      <w:r>
        <w:rPr>
          <w:rFonts w:ascii="Arial" w:hAnsi="Arial"/>
          <w:b/>
          <w:sz w:val="20"/>
        </w:rPr>
        <w:t>31.</w:t>
      </w:r>
      <w:r>
        <w:rPr>
          <w:rFonts w:ascii="Arial" w:hAnsi="Arial"/>
          <w:b/>
          <w:spacing w:val="80"/>
          <w:sz w:val="20"/>
        </w:rPr>
        <w:t xml:space="preserve"> </w:t>
      </w:r>
      <w:r>
        <w:rPr>
          <w:rFonts w:ascii="Arial" w:hAnsi="Arial"/>
          <w:i/>
          <w:sz w:val="20"/>
        </w:rPr>
        <w:t>Potestad</w:t>
      </w:r>
      <w:r>
        <w:rPr>
          <w:rFonts w:ascii="Arial" w:hAnsi="Arial"/>
          <w:i/>
          <w:spacing w:val="29"/>
          <w:sz w:val="20"/>
        </w:rPr>
        <w:t xml:space="preserve"> </w:t>
      </w:r>
      <w:r>
        <w:rPr>
          <w:rFonts w:ascii="Arial" w:hAnsi="Arial"/>
          <w:i/>
          <w:sz w:val="20"/>
        </w:rPr>
        <w:t>de</w:t>
      </w:r>
      <w:r>
        <w:rPr>
          <w:rFonts w:ascii="Arial" w:hAnsi="Arial"/>
          <w:i/>
          <w:spacing w:val="29"/>
          <w:sz w:val="20"/>
        </w:rPr>
        <w:t xml:space="preserve"> </w:t>
      </w:r>
      <w:r>
        <w:rPr>
          <w:rFonts w:ascii="Arial" w:hAnsi="Arial"/>
          <w:i/>
          <w:sz w:val="20"/>
        </w:rPr>
        <w:t>auto</w:t>
      </w:r>
      <w:r>
        <w:rPr>
          <w:rFonts w:ascii="Arial" w:hAnsi="Arial"/>
          <w:i/>
          <w:spacing w:val="29"/>
          <w:sz w:val="20"/>
        </w:rPr>
        <w:t xml:space="preserve"> </w:t>
      </w:r>
      <w:r>
        <w:rPr>
          <w:rFonts w:ascii="Arial" w:hAnsi="Arial"/>
          <w:i/>
          <w:sz w:val="20"/>
        </w:rPr>
        <w:t>organización</w:t>
      </w:r>
      <w:r>
        <w:rPr>
          <w:rFonts w:ascii="Arial" w:hAnsi="Arial"/>
          <w:i/>
          <w:spacing w:val="29"/>
          <w:sz w:val="20"/>
        </w:rPr>
        <w:t xml:space="preserve"> </w:t>
      </w:r>
      <w:r>
        <w:rPr>
          <w:rFonts w:ascii="Arial" w:hAnsi="Arial"/>
          <w:i/>
          <w:sz w:val="20"/>
        </w:rPr>
        <w:t>y</w:t>
      </w:r>
      <w:r>
        <w:rPr>
          <w:rFonts w:ascii="Arial" w:hAnsi="Arial"/>
          <w:i/>
          <w:spacing w:val="29"/>
          <w:sz w:val="20"/>
        </w:rPr>
        <w:t xml:space="preserve"> </w:t>
      </w:r>
      <w:r>
        <w:rPr>
          <w:rFonts w:ascii="Arial" w:hAnsi="Arial"/>
          <w:i/>
          <w:sz w:val="20"/>
        </w:rPr>
        <w:t>sistemas</w:t>
      </w:r>
      <w:r>
        <w:rPr>
          <w:rFonts w:ascii="Arial" w:hAnsi="Arial"/>
          <w:i/>
          <w:spacing w:val="29"/>
          <w:sz w:val="20"/>
        </w:rPr>
        <w:t xml:space="preserve"> </w:t>
      </w:r>
      <w:r>
        <w:rPr>
          <w:rFonts w:ascii="Arial" w:hAnsi="Arial"/>
          <w:i/>
          <w:sz w:val="20"/>
        </w:rPr>
        <w:t>de</w:t>
      </w:r>
      <w:r>
        <w:rPr>
          <w:rFonts w:ascii="Arial" w:hAnsi="Arial"/>
          <w:i/>
          <w:spacing w:val="29"/>
          <w:sz w:val="20"/>
        </w:rPr>
        <w:t xml:space="preserve"> </w:t>
      </w:r>
      <w:r>
        <w:rPr>
          <w:rFonts w:ascii="Arial" w:hAnsi="Arial"/>
          <w:i/>
          <w:sz w:val="20"/>
        </w:rPr>
        <w:t>cooperación</w:t>
      </w:r>
      <w:r>
        <w:rPr>
          <w:rFonts w:ascii="Arial" w:hAnsi="Arial"/>
          <w:i/>
          <w:spacing w:val="29"/>
          <w:sz w:val="20"/>
        </w:rPr>
        <w:t xml:space="preserve"> </w:t>
      </w:r>
      <w:r>
        <w:rPr>
          <w:rFonts w:ascii="Arial" w:hAnsi="Arial"/>
          <w:i/>
          <w:sz w:val="20"/>
        </w:rPr>
        <w:t>pública</w:t>
      </w:r>
      <w:r>
        <w:rPr>
          <w:rFonts w:ascii="Arial" w:hAnsi="Arial"/>
          <w:i/>
          <w:spacing w:val="29"/>
          <w:sz w:val="20"/>
        </w:rPr>
        <w:t xml:space="preserve"> </w:t>
      </w:r>
      <w:r>
        <w:rPr>
          <w:rFonts w:ascii="Arial" w:hAnsi="Arial"/>
          <w:i/>
          <w:sz w:val="20"/>
        </w:rPr>
        <w:t>vertical</w:t>
      </w:r>
      <w:r>
        <w:rPr>
          <w:rFonts w:ascii="Arial" w:hAnsi="Arial"/>
          <w:i/>
          <w:spacing w:val="29"/>
          <w:sz w:val="20"/>
        </w:rPr>
        <w:t xml:space="preserve"> </w:t>
      </w:r>
      <w:r>
        <w:rPr>
          <w:rFonts w:ascii="Arial" w:hAnsi="Arial"/>
          <w:i/>
          <w:sz w:val="20"/>
        </w:rPr>
        <w:t xml:space="preserve">y </w:t>
      </w:r>
      <w:r>
        <w:rPr>
          <w:rFonts w:ascii="Arial" w:hAnsi="Arial"/>
          <w:i/>
          <w:spacing w:val="-2"/>
          <w:sz w:val="20"/>
        </w:rPr>
        <w:t>horizontal.</w:t>
      </w:r>
    </w:p>
    <w:p w:rsidR="0092635B" w:rsidRDefault="00000000">
      <w:pPr>
        <w:pStyle w:val="Prrafodelista"/>
        <w:numPr>
          <w:ilvl w:val="0"/>
          <w:numId w:val="325"/>
        </w:numPr>
        <w:tabs>
          <w:tab w:val="left" w:pos="1679"/>
        </w:tabs>
        <w:spacing w:before="115" w:line="249" w:lineRule="auto"/>
        <w:ind w:right="1104" w:firstLine="340"/>
        <w:jc w:val="both"/>
        <w:rPr>
          <w:sz w:val="20"/>
        </w:rPr>
      </w:pPr>
      <w:r>
        <w:rPr>
          <w:sz w:val="20"/>
        </w:rPr>
        <w:t xml:space="preserve">Las entidades pertenecientes al sector público podrán cooperar entre sí de alguna de las siguientes formas, sin que el resultado de esa cooperación pueda calificarse de </w:t>
      </w:r>
      <w:r>
        <w:rPr>
          <w:spacing w:val="-2"/>
          <w:sz w:val="20"/>
        </w:rPr>
        <w:t>contractual: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325"/>
        </w:numPr>
        <w:tabs>
          <w:tab w:val="left" w:pos="1695"/>
        </w:tabs>
        <w:spacing w:before="1" w:line="249" w:lineRule="auto"/>
        <w:ind w:firstLine="340"/>
        <w:jc w:val="both"/>
        <w:rPr>
          <w:sz w:val="20"/>
        </w:rPr>
      </w:pPr>
      <w:r>
        <w:rPr>
          <w:sz w:val="20"/>
        </w:rPr>
        <w:t>Mediante sistemas de cooperación vertical consistentes en el uso de medios propios personificados en el sentido y con los límites establecidos en el artículo 32 para los poderes adjudicadores, y en el artículo 33 para los entes del sector público que no tengan la consideración de poder adjudicador, en el ejercicio de su potestad de auto organización, mediante el oportuno acuerdo de encargo.</w:t>
      </w:r>
    </w:p>
    <w:p w:rsidR="0092635B" w:rsidRDefault="00000000">
      <w:pPr>
        <w:pStyle w:val="Prrafodelista"/>
        <w:numPr>
          <w:ilvl w:val="1"/>
          <w:numId w:val="325"/>
        </w:numPr>
        <w:tabs>
          <w:tab w:val="left" w:pos="1686"/>
        </w:tabs>
        <w:spacing w:before="4" w:line="249" w:lineRule="auto"/>
        <w:ind w:firstLine="340"/>
        <w:jc w:val="both"/>
        <w:rPr>
          <w:sz w:val="20"/>
        </w:rPr>
      </w:pPr>
      <w:r>
        <w:rPr>
          <w:sz w:val="20"/>
        </w:rPr>
        <w:t>Mediante sistemas de cooperación horizontal entre entidades pertenecientes al sector público, previa celebración de los correspondientes convenios, en las condiciones y con los límites que se establecen en el apartado 1 del artículo 6.</w:t>
      </w:r>
    </w:p>
    <w:p w:rsidR="0092635B" w:rsidRDefault="00000000">
      <w:pPr>
        <w:pStyle w:val="Prrafodelista"/>
        <w:numPr>
          <w:ilvl w:val="0"/>
          <w:numId w:val="325"/>
        </w:numPr>
        <w:tabs>
          <w:tab w:val="left" w:pos="1710"/>
        </w:tabs>
        <w:spacing w:before="122" w:line="249" w:lineRule="auto"/>
        <w:ind w:right="1104" w:firstLine="340"/>
        <w:jc w:val="both"/>
        <w:rPr>
          <w:sz w:val="20"/>
        </w:rPr>
      </w:pPr>
      <w:r>
        <w:rPr>
          <w:sz w:val="20"/>
        </w:rPr>
        <w:t xml:space="preserve">A efectos de lo dispuesto en el apartado anterior, las entidades pertenecientes al sector público podrán en todo caso, acordar la realización conjunta de contrataciones </w:t>
      </w:r>
      <w:r>
        <w:rPr>
          <w:spacing w:val="-2"/>
          <w:sz w:val="20"/>
        </w:rPr>
        <w:t>específicas.</w:t>
      </w:r>
    </w:p>
    <w:p w:rsidR="0092635B" w:rsidRDefault="00000000">
      <w:pPr>
        <w:pStyle w:val="Prrafodelista"/>
        <w:numPr>
          <w:ilvl w:val="0"/>
          <w:numId w:val="325"/>
        </w:numPr>
        <w:tabs>
          <w:tab w:val="left" w:pos="1717"/>
        </w:tabs>
        <w:spacing w:before="3" w:line="249" w:lineRule="auto"/>
        <w:ind w:right="1104" w:firstLine="340"/>
        <w:jc w:val="both"/>
        <w:rPr>
          <w:sz w:val="20"/>
        </w:rPr>
      </w:pPr>
      <w:r>
        <w:rPr>
          <w:sz w:val="20"/>
        </w:rPr>
        <w:t>Cuando un procedimiento de contratación se desarrolle en su totalidad de forma conjunta en nombre y por cuenta de varias entidades, estas tendrán la responsabilidad conjunta del cumplimiento de sus obligaciones. Ello se aplicará también en aquellos casos</w:t>
      </w:r>
      <w:r>
        <w:rPr>
          <w:spacing w:val="40"/>
          <w:sz w:val="20"/>
        </w:rPr>
        <w:t xml:space="preserve"> </w:t>
      </w:r>
      <w:r>
        <w:rPr>
          <w:sz w:val="20"/>
        </w:rPr>
        <w:t>en que una sola entidad administre el procedimiento, por cuenta propia y por cuenta de las demás entidades interesadas.</w:t>
      </w:r>
    </w:p>
    <w:p w:rsidR="0092635B" w:rsidRDefault="00000000">
      <w:pPr>
        <w:pStyle w:val="Textoindependiente"/>
        <w:spacing w:before="4" w:line="249" w:lineRule="auto"/>
        <w:ind w:right="1104"/>
      </w:pPr>
      <w:r>
        <w:t>Cuando un procedimiento de contratación no se desarrolle en su totalidad en nombre y por cuenta de las entidades interesadas, estas solo tendrán la responsabilidad conjunta por aquellas partes que se hayan llevado a cabo conjuntamente. Cada entidad será única responsable</w:t>
      </w:r>
      <w:r>
        <w:rPr>
          <w:spacing w:val="-2"/>
        </w:rPr>
        <w:t xml:space="preserve"> </w:t>
      </w:r>
      <w:r>
        <w:t>del</w:t>
      </w:r>
      <w:r>
        <w:rPr>
          <w:spacing w:val="-2"/>
        </w:rPr>
        <w:t xml:space="preserve"> </w:t>
      </w:r>
      <w:r>
        <w:t>cumplimiento</w:t>
      </w:r>
      <w:r>
        <w:rPr>
          <w:spacing w:val="-2"/>
        </w:rPr>
        <w:t xml:space="preserve"> </w:t>
      </w:r>
      <w:r>
        <w:t>de</w:t>
      </w:r>
      <w:r>
        <w:rPr>
          <w:spacing w:val="-2"/>
        </w:rPr>
        <w:t xml:space="preserve"> </w:t>
      </w:r>
      <w:r>
        <w:t>sus</w:t>
      </w:r>
      <w:r>
        <w:rPr>
          <w:spacing w:val="-2"/>
        </w:rPr>
        <w:t xml:space="preserve"> </w:t>
      </w:r>
      <w:r>
        <w:t>obligaciones</w:t>
      </w:r>
      <w:r>
        <w:rPr>
          <w:spacing w:val="-2"/>
        </w:rPr>
        <w:t xml:space="preserve"> </w:t>
      </w:r>
      <w:r>
        <w:t>con</w:t>
      </w:r>
      <w:r>
        <w:rPr>
          <w:spacing w:val="-2"/>
        </w:rPr>
        <w:t xml:space="preserve"> </w:t>
      </w:r>
      <w:r>
        <w:t>respecto</w:t>
      </w:r>
      <w:r>
        <w:rPr>
          <w:spacing w:val="-2"/>
        </w:rPr>
        <w:t xml:space="preserve"> </w:t>
      </w:r>
      <w:r>
        <w:t>a</w:t>
      </w:r>
      <w:r>
        <w:rPr>
          <w:spacing w:val="-2"/>
        </w:rPr>
        <w:t xml:space="preserve"> </w:t>
      </w:r>
      <w:r>
        <w:t>las</w:t>
      </w:r>
      <w:r>
        <w:rPr>
          <w:spacing w:val="-2"/>
        </w:rPr>
        <w:t xml:space="preserve"> </w:t>
      </w:r>
      <w:r>
        <w:t>partes</w:t>
      </w:r>
      <w:r>
        <w:rPr>
          <w:spacing w:val="-2"/>
        </w:rPr>
        <w:t xml:space="preserve"> </w:t>
      </w:r>
      <w:r>
        <w:t>que</w:t>
      </w:r>
      <w:r>
        <w:rPr>
          <w:spacing w:val="-2"/>
        </w:rPr>
        <w:t xml:space="preserve"> </w:t>
      </w:r>
      <w:r>
        <w:t>lleve</w:t>
      </w:r>
      <w:r>
        <w:rPr>
          <w:spacing w:val="-2"/>
        </w:rPr>
        <w:t xml:space="preserve"> </w:t>
      </w:r>
      <w:r>
        <w:t>a</w:t>
      </w:r>
      <w:r>
        <w:rPr>
          <w:spacing w:val="-2"/>
        </w:rPr>
        <w:t xml:space="preserve"> </w:t>
      </w:r>
      <w:r>
        <w:t>cabo en su propio nombre y por cuenta propia.</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56" w:name="Artículo_32._Encargos_de_los_poderes_adj"/>
      <w:bookmarkEnd w:id="56"/>
      <w:r>
        <w:rPr>
          <w:rFonts w:ascii="Arial" w:hAnsi="Arial"/>
          <w:b/>
          <w:sz w:val="20"/>
        </w:rPr>
        <w:t>Artículo</w:t>
      </w:r>
      <w:r>
        <w:rPr>
          <w:rFonts w:ascii="Arial" w:hAnsi="Arial"/>
          <w:b/>
          <w:spacing w:val="-1"/>
          <w:sz w:val="20"/>
        </w:rPr>
        <w:t xml:space="preserve"> </w:t>
      </w:r>
      <w:r>
        <w:rPr>
          <w:rFonts w:ascii="Arial" w:hAnsi="Arial"/>
          <w:b/>
          <w:sz w:val="20"/>
        </w:rPr>
        <w:t>32.</w:t>
      </w:r>
      <w:r>
        <w:rPr>
          <w:rFonts w:ascii="Arial" w:hAnsi="Arial"/>
          <w:b/>
          <w:spacing w:val="54"/>
          <w:sz w:val="20"/>
        </w:rPr>
        <w:t xml:space="preserve"> </w:t>
      </w:r>
      <w:r>
        <w:rPr>
          <w:rFonts w:ascii="Arial" w:hAnsi="Arial"/>
          <w:i/>
          <w:sz w:val="20"/>
        </w:rPr>
        <w:t xml:space="preserve">Encargos de los poderes adjudicadores a medios propios </w:t>
      </w:r>
      <w:r>
        <w:rPr>
          <w:rFonts w:ascii="Arial" w:hAnsi="Arial"/>
          <w:i/>
          <w:spacing w:val="-2"/>
          <w:sz w:val="20"/>
        </w:rPr>
        <w:t>personificados.</w:t>
      </w:r>
    </w:p>
    <w:p w:rsidR="0092635B" w:rsidRDefault="00000000">
      <w:pPr>
        <w:pStyle w:val="Prrafodelista"/>
        <w:numPr>
          <w:ilvl w:val="0"/>
          <w:numId w:val="324"/>
        </w:numPr>
        <w:tabs>
          <w:tab w:val="left" w:pos="1760"/>
        </w:tabs>
        <w:spacing w:before="123" w:line="249" w:lineRule="auto"/>
        <w:ind w:firstLine="340"/>
        <w:jc w:val="both"/>
        <w:rPr>
          <w:sz w:val="20"/>
        </w:rPr>
      </w:pPr>
      <w:r>
        <w:rPr>
          <w:sz w:val="20"/>
        </w:rPr>
        <w:t>Los poderes adjudicadores podrán organizarse ejecutando de manera directa prestaciones propias de los contratos de obras, suministros, servicios, concesión de obras y concesión de servicios, a cambio de una compensación tarifaria, valiéndose de otra persona jurídica distinta a ellos, ya sea de derecho público o de derecho privado, previo encargo a esta, con sujeción a lo dispuesto en este artículo, siempre y cuando la persona jurídica que utilicen merezca la calificación jurídica de medio propio personificado respecto de ellos de conformidad con lo dispuesto en los tres apartados siguientes, y sin perjuicio de los</w:t>
      </w:r>
      <w:r>
        <w:rPr>
          <w:spacing w:val="40"/>
          <w:sz w:val="20"/>
        </w:rPr>
        <w:t xml:space="preserve"> </w:t>
      </w:r>
      <w:r>
        <w:rPr>
          <w:sz w:val="20"/>
        </w:rPr>
        <w:t>requisitos</w:t>
      </w:r>
      <w:r>
        <w:rPr>
          <w:spacing w:val="-1"/>
          <w:sz w:val="20"/>
        </w:rPr>
        <w:t xml:space="preserve"> </w:t>
      </w:r>
      <w:r>
        <w:rPr>
          <w:sz w:val="20"/>
        </w:rPr>
        <w:t>establecidos</w:t>
      </w:r>
      <w:r>
        <w:rPr>
          <w:spacing w:val="-1"/>
          <w:sz w:val="20"/>
        </w:rPr>
        <w:t xml:space="preserve"> </w:t>
      </w:r>
      <w:r>
        <w:rPr>
          <w:sz w:val="20"/>
        </w:rPr>
        <w:t>para</w:t>
      </w:r>
      <w:r>
        <w:rPr>
          <w:spacing w:val="-1"/>
          <w:sz w:val="20"/>
        </w:rPr>
        <w:t xml:space="preserve"> </w:t>
      </w:r>
      <w:r>
        <w:rPr>
          <w:sz w:val="20"/>
        </w:rPr>
        <w:t>los</w:t>
      </w:r>
      <w:r>
        <w:rPr>
          <w:spacing w:val="-1"/>
          <w:sz w:val="20"/>
        </w:rPr>
        <w:t xml:space="preserve"> </w:t>
      </w:r>
      <w:r>
        <w:rPr>
          <w:sz w:val="20"/>
        </w:rPr>
        <w:t>medios</w:t>
      </w:r>
      <w:r>
        <w:rPr>
          <w:spacing w:val="-1"/>
          <w:sz w:val="20"/>
        </w:rPr>
        <w:t xml:space="preserve"> </w:t>
      </w:r>
      <w:r>
        <w:rPr>
          <w:sz w:val="20"/>
        </w:rPr>
        <w:t>propios</w:t>
      </w:r>
      <w:r>
        <w:rPr>
          <w:spacing w:val="-1"/>
          <w:sz w:val="20"/>
        </w:rPr>
        <w:t xml:space="preserve"> </w:t>
      </w:r>
      <w:r>
        <w:rPr>
          <w:sz w:val="20"/>
        </w:rPr>
        <w:t>del</w:t>
      </w:r>
      <w:r>
        <w:rPr>
          <w:spacing w:val="-1"/>
          <w:sz w:val="20"/>
        </w:rPr>
        <w:t xml:space="preserve"> </w:t>
      </w:r>
      <w:r>
        <w:rPr>
          <w:sz w:val="20"/>
        </w:rPr>
        <w:t>ámbito</w:t>
      </w:r>
      <w:r>
        <w:rPr>
          <w:spacing w:val="-1"/>
          <w:sz w:val="20"/>
        </w:rPr>
        <w:t xml:space="preserve"> </w:t>
      </w:r>
      <w:r>
        <w:rPr>
          <w:sz w:val="20"/>
        </w:rPr>
        <w:t>estatal</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40/2015,</w:t>
      </w:r>
      <w:r>
        <w:rPr>
          <w:spacing w:val="-1"/>
          <w:sz w:val="20"/>
        </w:rPr>
        <w:t xml:space="preserve"> </w:t>
      </w:r>
      <w:r>
        <w:rPr>
          <w:sz w:val="20"/>
        </w:rPr>
        <w:t>de</w:t>
      </w:r>
      <w:r>
        <w:rPr>
          <w:spacing w:val="-1"/>
          <w:sz w:val="20"/>
        </w:rPr>
        <w:t xml:space="preserve"> </w:t>
      </w:r>
      <w:r>
        <w:rPr>
          <w:sz w:val="20"/>
        </w:rPr>
        <w:t>1</w:t>
      </w:r>
      <w:r>
        <w:rPr>
          <w:spacing w:val="-1"/>
          <w:sz w:val="20"/>
        </w:rPr>
        <w:t xml:space="preserve"> </w:t>
      </w:r>
      <w:r>
        <w:rPr>
          <w:sz w:val="20"/>
        </w:rPr>
        <w:t>de octubre, de Régimen Jurídico del Sector Público.</w:t>
      </w:r>
    </w:p>
    <w:p w:rsidR="0092635B" w:rsidRDefault="00000000">
      <w:pPr>
        <w:pStyle w:val="Textoindependiente"/>
        <w:spacing w:before="7"/>
        <w:ind w:left="1446" w:firstLine="0"/>
      </w:pPr>
      <w:r>
        <w:t>El</w:t>
      </w:r>
      <w:r>
        <w:rPr>
          <w:spacing w:val="-4"/>
        </w:rPr>
        <w:t xml:space="preserve"> </w:t>
      </w:r>
      <w:r>
        <w:t>encargo</w:t>
      </w:r>
      <w:r>
        <w:rPr>
          <w:spacing w:val="-3"/>
        </w:rPr>
        <w:t xml:space="preserve"> </w:t>
      </w:r>
      <w:r>
        <w:t>que</w:t>
      </w:r>
      <w:r>
        <w:rPr>
          <w:spacing w:val="-3"/>
        </w:rPr>
        <w:t xml:space="preserve"> </w:t>
      </w:r>
      <w:r>
        <w:t>cumpla</w:t>
      </w:r>
      <w:r>
        <w:rPr>
          <w:spacing w:val="-3"/>
        </w:rPr>
        <w:t xml:space="preserve"> </w:t>
      </w:r>
      <w:r>
        <w:t>dichos</w:t>
      </w:r>
      <w:r>
        <w:rPr>
          <w:spacing w:val="-3"/>
        </w:rPr>
        <w:t xml:space="preserve"> </w:t>
      </w:r>
      <w:r>
        <w:t>requisitos</w:t>
      </w:r>
      <w:r>
        <w:rPr>
          <w:spacing w:val="-3"/>
        </w:rPr>
        <w:t xml:space="preserve"> </w:t>
      </w:r>
      <w:r>
        <w:t>no</w:t>
      </w:r>
      <w:r>
        <w:rPr>
          <w:spacing w:val="-3"/>
        </w:rPr>
        <w:t xml:space="preserve"> </w:t>
      </w:r>
      <w:r>
        <w:t>tendrá</w:t>
      </w:r>
      <w:r>
        <w:rPr>
          <w:spacing w:val="-3"/>
        </w:rPr>
        <w:t xml:space="preserve"> </w:t>
      </w:r>
      <w:r>
        <w:t>la</w:t>
      </w:r>
      <w:r>
        <w:rPr>
          <w:spacing w:val="-3"/>
        </w:rPr>
        <w:t xml:space="preserve"> </w:t>
      </w:r>
      <w:r>
        <w:t>consideración</w:t>
      </w:r>
      <w:r>
        <w:rPr>
          <w:spacing w:val="-3"/>
        </w:rPr>
        <w:t xml:space="preserve"> </w:t>
      </w:r>
      <w:r>
        <w:t>de</w:t>
      </w:r>
      <w:r>
        <w:rPr>
          <w:spacing w:val="-3"/>
        </w:rPr>
        <w:t xml:space="preserve"> </w:t>
      </w:r>
      <w:r>
        <w:rPr>
          <w:spacing w:val="-2"/>
        </w:rPr>
        <w:t>contrato.</w:t>
      </w:r>
    </w:p>
    <w:p w:rsidR="0092635B" w:rsidRDefault="00000000">
      <w:pPr>
        <w:pStyle w:val="Prrafodelista"/>
        <w:numPr>
          <w:ilvl w:val="0"/>
          <w:numId w:val="324"/>
        </w:numPr>
        <w:tabs>
          <w:tab w:val="left" w:pos="1669"/>
        </w:tabs>
        <w:spacing w:before="10" w:line="249" w:lineRule="auto"/>
        <w:ind w:right="1104" w:firstLine="340"/>
        <w:jc w:val="both"/>
        <w:rPr>
          <w:sz w:val="20"/>
        </w:rPr>
      </w:pPr>
      <w:r>
        <w:rPr>
          <w:sz w:val="20"/>
        </w:rPr>
        <w:t>Tendrán</w:t>
      </w:r>
      <w:r>
        <w:rPr>
          <w:spacing w:val="-4"/>
          <w:sz w:val="20"/>
        </w:rPr>
        <w:t xml:space="preserve"> </w:t>
      </w:r>
      <w:r>
        <w:rPr>
          <w:sz w:val="20"/>
        </w:rPr>
        <w:t>la</w:t>
      </w:r>
      <w:r>
        <w:rPr>
          <w:spacing w:val="-4"/>
          <w:sz w:val="20"/>
        </w:rPr>
        <w:t xml:space="preserve"> </w:t>
      </w:r>
      <w:r>
        <w:rPr>
          <w:sz w:val="20"/>
        </w:rPr>
        <w:t>consideración</w:t>
      </w:r>
      <w:r>
        <w:rPr>
          <w:spacing w:val="-4"/>
          <w:sz w:val="20"/>
        </w:rPr>
        <w:t xml:space="preserve"> </w:t>
      </w:r>
      <w:r>
        <w:rPr>
          <w:sz w:val="20"/>
        </w:rPr>
        <w:t>de</w:t>
      </w:r>
      <w:r>
        <w:rPr>
          <w:spacing w:val="-4"/>
          <w:sz w:val="20"/>
        </w:rPr>
        <w:t xml:space="preserve"> </w:t>
      </w:r>
      <w:r>
        <w:rPr>
          <w:sz w:val="20"/>
        </w:rPr>
        <w:t>medio</w:t>
      </w:r>
      <w:r>
        <w:rPr>
          <w:spacing w:val="-4"/>
          <w:sz w:val="20"/>
        </w:rPr>
        <w:t xml:space="preserve"> </w:t>
      </w:r>
      <w:r>
        <w:rPr>
          <w:sz w:val="20"/>
        </w:rPr>
        <w:t>propio</w:t>
      </w:r>
      <w:r>
        <w:rPr>
          <w:spacing w:val="-4"/>
          <w:sz w:val="20"/>
        </w:rPr>
        <w:t xml:space="preserve"> </w:t>
      </w:r>
      <w:r>
        <w:rPr>
          <w:sz w:val="20"/>
        </w:rPr>
        <w:t>personificado</w:t>
      </w:r>
      <w:r>
        <w:rPr>
          <w:spacing w:val="-4"/>
          <w:sz w:val="20"/>
        </w:rPr>
        <w:t xml:space="preserve"> </w:t>
      </w:r>
      <w:r>
        <w:rPr>
          <w:sz w:val="20"/>
        </w:rPr>
        <w:t>respecto</w:t>
      </w:r>
      <w:r>
        <w:rPr>
          <w:spacing w:val="-4"/>
          <w:sz w:val="20"/>
        </w:rPr>
        <w:t xml:space="preserve"> </w:t>
      </w:r>
      <w:r>
        <w:rPr>
          <w:sz w:val="20"/>
        </w:rPr>
        <w:t>de</w:t>
      </w:r>
      <w:r>
        <w:rPr>
          <w:spacing w:val="-4"/>
          <w:sz w:val="20"/>
        </w:rPr>
        <w:t xml:space="preserve"> </w:t>
      </w:r>
      <w:r>
        <w:rPr>
          <w:sz w:val="20"/>
        </w:rPr>
        <w:t>una</w:t>
      </w:r>
      <w:r>
        <w:rPr>
          <w:spacing w:val="-4"/>
          <w:sz w:val="20"/>
        </w:rPr>
        <w:t xml:space="preserve"> </w:t>
      </w:r>
      <w:r>
        <w:rPr>
          <w:sz w:val="20"/>
        </w:rPr>
        <w:t>única</w:t>
      </w:r>
      <w:r>
        <w:rPr>
          <w:spacing w:val="-4"/>
          <w:sz w:val="20"/>
        </w:rPr>
        <w:t xml:space="preserve"> </w:t>
      </w:r>
      <w:r>
        <w:rPr>
          <w:sz w:val="20"/>
        </w:rPr>
        <w:t>entidad concreta del sector público aquellas personas jurídicas, de derecho público o de derecho privado, que cumplan todos y cada uno de los requisitos que se establecen a continuación:</w:t>
      </w:r>
    </w:p>
    <w:p w:rsidR="0092635B" w:rsidRDefault="00000000">
      <w:pPr>
        <w:pStyle w:val="Prrafodelista"/>
        <w:numPr>
          <w:ilvl w:val="1"/>
          <w:numId w:val="324"/>
        </w:numPr>
        <w:tabs>
          <w:tab w:val="left" w:pos="1752"/>
        </w:tabs>
        <w:spacing w:before="123" w:line="249" w:lineRule="auto"/>
        <w:ind w:firstLine="340"/>
        <w:jc w:val="both"/>
        <w:rPr>
          <w:sz w:val="20"/>
        </w:rPr>
      </w:pPr>
      <w:r>
        <w:rPr>
          <w:sz w:val="20"/>
        </w:rPr>
        <w:t>Que el poder adjudicador que pueda conferirle encargos ejerza sobre el ente destinatario de los mismos un control, directo o indirecto, análogo al que ostentaría sobre</w:t>
      </w:r>
      <w:r>
        <w:rPr>
          <w:spacing w:val="80"/>
          <w:sz w:val="20"/>
        </w:rPr>
        <w:t xml:space="preserve"> </w:t>
      </w:r>
      <w:r>
        <w:rPr>
          <w:sz w:val="20"/>
        </w:rPr>
        <w:t>sus propios servicios o unidades, de manera que el primero pueda ejercer sobre el segundo una influencia decisiva sobre sus objetivos estratégicos y decisiones significativas.</w:t>
      </w:r>
    </w:p>
    <w:p w:rsidR="0092635B" w:rsidRDefault="00000000">
      <w:pPr>
        <w:pStyle w:val="Textoindependiente"/>
        <w:spacing w:before="3" w:line="249" w:lineRule="auto"/>
        <w:ind w:right="1104"/>
      </w:pPr>
      <w:r>
        <w:t xml:space="preserve">En todo caso se entenderá que el poder adjudicador que puede conferirle encargos ostenta sobre el ente destinatario del mismo un control análogo al que ejerce sobre sus propios servicios o unidades cuando él mismo o bien otro u otros poderes adjudicadores o personas jurídicas controlados del mismo modo por el primero puedan conferirle encargos que sean de ejecución obligatoria para el ente destinatario del encargo por así establecerlo los estatutos o el acto de creación, de manera que exista una unidad de decisión entre ellos, de acuerdo con instrucciones fijadas unilateralmente por el ente que puede realizar el </w:t>
      </w:r>
      <w:r>
        <w:rPr>
          <w:spacing w:val="-2"/>
        </w:rPr>
        <w:t>encargo.</w:t>
      </w:r>
    </w:p>
    <w:p w:rsidR="0092635B" w:rsidRDefault="00000000">
      <w:pPr>
        <w:pStyle w:val="Textoindependiente"/>
        <w:spacing w:before="7" w:line="249" w:lineRule="auto"/>
        <w:ind w:right="1104"/>
      </w:pPr>
      <w:r>
        <w:t>La compensación se establecerá por referencia a tarifas aprobadas por la entidad</w:t>
      </w:r>
      <w:r>
        <w:rPr>
          <w:spacing w:val="80"/>
        </w:rPr>
        <w:t xml:space="preserve"> </w:t>
      </w:r>
      <w:r>
        <w:t>pública de la que depende el medio propio personificado para las actividades objeto de encargo realizadas por el medio propio directamente y, en la forma que reglamentariamente se determine, atendiendo al coste efectivo soportado por el medio propio para las</w:t>
      </w:r>
      <w:r>
        <w:rPr>
          <w:spacing w:val="80"/>
        </w:rPr>
        <w:t xml:space="preserve"> </w:t>
      </w:r>
      <w:r>
        <w:t xml:space="preserve">actividades objeto del encargo que se subcontraten con empresarios particulares en los casos en que este coste sea inferior al resultante de aplicar las tarifas a las actividades </w:t>
      </w:r>
      <w:r>
        <w:rPr>
          <w:spacing w:val="-2"/>
        </w:rPr>
        <w:t>subcontratadas.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6"/>
      </w:pPr>
      <w:r>
        <w:t>Dichas tarifas se calcularán de manera que representen los costes reales de realización de las unidades producidas directamente por el medio propio.</w:t>
      </w:r>
    </w:p>
    <w:p w:rsidR="0092635B" w:rsidRDefault="00000000">
      <w:pPr>
        <w:pStyle w:val="Prrafodelista"/>
        <w:numPr>
          <w:ilvl w:val="1"/>
          <w:numId w:val="324"/>
        </w:numPr>
        <w:tabs>
          <w:tab w:val="left" w:pos="1711"/>
        </w:tabs>
        <w:spacing w:before="1" w:line="249" w:lineRule="auto"/>
        <w:ind w:right="1104" w:firstLine="340"/>
        <w:jc w:val="both"/>
        <w:rPr>
          <w:sz w:val="20"/>
        </w:rPr>
      </w:pPr>
      <w:r>
        <w:rPr>
          <w:sz w:val="20"/>
        </w:rPr>
        <w:t>Que más del 80 por ciento de las actividades del ente destinatario del encargo se lleven a cabo en el ejercicio de los cometidos que le han sido confiados por el poder adjudicador que hace el encargo y que lo controla o por otras personas jurídicas controladas del mismo modo por la entidad que hace el encargo.</w:t>
      </w:r>
    </w:p>
    <w:p w:rsidR="0092635B" w:rsidRDefault="00000000">
      <w:pPr>
        <w:pStyle w:val="Textoindependiente"/>
        <w:spacing w:before="4" w:line="249" w:lineRule="auto"/>
        <w:ind w:right="1104"/>
      </w:pPr>
      <w:r>
        <w:t>A estos efectos, para calcular el 80 por ciento de las actividades del ente destinatario del encargo se tomarán en consideración el promedio del volumen global de negocios, los</w:t>
      </w:r>
      <w:r>
        <w:rPr>
          <w:spacing w:val="40"/>
        </w:rPr>
        <w:t xml:space="preserve"> </w:t>
      </w:r>
      <w:r>
        <w:t>gastos soportados por los servicios prestados al poder adjudicador en relación con la totalidad de los gastos en que haya incurrido el medio propio por razón de las prestaciones que haya realizado a cualquier entidad, u otro indicador alternativo de actividad que sea fiable, y todo ello referido a los tres ejercicios anteriores al de formalización del encargo.</w:t>
      </w:r>
    </w:p>
    <w:p w:rsidR="0092635B" w:rsidRDefault="00000000">
      <w:pPr>
        <w:pStyle w:val="Textoindependiente"/>
        <w:spacing w:before="4" w:line="249" w:lineRule="auto"/>
        <w:ind w:right="1104"/>
      </w:pPr>
      <w:r>
        <w:t>Cuando debido a la fecha de creación o de inicio de actividad del poder adjudicador que hace el encargo, o debido a la reorganización de las actividades de este, el volumen global de negocios, u otro indicador alternativo de actividad, de acuerdo con lo establecido en el párrafo anterior, no estuvieran disponibles respecto de los tres ejercicios anteriores a la formalización del encargo o hubieran perdido su vigencia, será suficiente con justificar que el cálculo del nivel de actividad se corresponde con la realidad, en especial mediante proyecciones de negocio.</w:t>
      </w:r>
    </w:p>
    <w:p w:rsidR="0092635B" w:rsidRDefault="00000000">
      <w:pPr>
        <w:pStyle w:val="Prrafodelista"/>
        <w:numPr>
          <w:ilvl w:val="1"/>
          <w:numId w:val="324"/>
        </w:numPr>
        <w:tabs>
          <w:tab w:val="left" w:pos="1720"/>
        </w:tabs>
        <w:spacing w:before="6" w:line="249" w:lineRule="auto"/>
        <w:ind w:right="1104" w:firstLine="340"/>
        <w:jc w:val="both"/>
        <w:rPr>
          <w:sz w:val="20"/>
        </w:rPr>
      </w:pPr>
      <w:r>
        <w:rPr>
          <w:sz w:val="20"/>
        </w:rPr>
        <w:t>Cuando el ente destinatario del encargo sea un ente de personificación jurídico- privada, además, la totalidad de su capital o patrimonio tendrá que ser de titularidad o aportación pública.</w:t>
      </w:r>
    </w:p>
    <w:p w:rsidR="0092635B" w:rsidRDefault="00000000">
      <w:pPr>
        <w:pStyle w:val="Prrafodelista"/>
        <w:numPr>
          <w:ilvl w:val="1"/>
          <w:numId w:val="324"/>
        </w:numPr>
        <w:tabs>
          <w:tab w:val="left" w:pos="1716"/>
        </w:tabs>
        <w:spacing w:before="3" w:line="249" w:lineRule="auto"/>
        <w:ind w:firstLine="340"/>
        <w:jc w:val="both"/>
        <w:rPr>
          <w:sz w:val="20"/>
        </w:rPr>
      </w:pPr>
      <w:r>
        <w:rPr>
          <w:sz w:val="20"/>
        </w:rPr>
        <w:t xml:space="preserve">La condición de medio propio personificado de la entidad destinataria del encargo respecto del concreto poder adjudicador que hace el encargo deberá reconocerse expresamente en sus estatutos o actos de creación, previo cumplimiento de los siguientes </w:t>
      </w:r>
      <w:r>
        <w:rPr>
          <w:spacing w:val="-2"/>
          <w:sz w:val="20"/>
        </w:rPr>
        <w:t>requisitos:</w:t>
      </w:r>
    </w:p>
    <w:p w:rsidR="0092635B" w:rsidRDefault="00000000">
      <w:pPr>
        <w:pStyle w:val="Prrafodelista"/>
        <w:numPr>
          <w:ilvl w:val="2"/>
          <w:numId w:val="324"/>
        </w:numPr>
        <w:tabs>
          <w:tab w:val="left" w:pos="1610"/>
        </w:tabs>
        <w:spacing w:before="123" w:line="249" w:lineRule="auto"/>
        <w:ind w:right="1104" w:firstLine="340"/>
        <w:jc w:val="both"/>
        <w:rPr>
          <w:sz w:val="20"/>
        </w:rPr>
      </w:pPr>
      <w:r>
        <w:rPr>
          <w:sz w:val="20"/>
        </w:rPr>
        <w:t>º Conformidad o autorización expresa del poder adjudicador respecto del que vaya a ser medio propio.</w:t>
      </w:r>
    </w:p>
    <w:p w:rsidR="0092635B" w:rsidRDefault="00000000">
      <w:pPr>
        <w:pStyle w:val="Prrafodelista"/>
        <w:numPr>
          <w:ilvl w:val="2"/>
          <w:numId w:val="324"/>
        </w:numPr>
        <w:tabs>
          <w:tab w:val="left" w:pos="1610"/>
        </w:tabs>
        <w:spacing w:line="249" w:lineRule="auto"/>
        <w:ind w:right="1105" w:firstLine="340"/>
        <w:jc w:val="both"/>
        <w:rPr>
          <w:sz w:val="20"/>
        </w:rPr>
      </w:pPr>
      <w:r>
        <w:rPr>
          <w:sz w:val="20"/>
        </w:rPr>
        <w:t>º Verificación por la entidad pública de que dependa el ente que vaya a ser medio propio, de que cuenta con medios personales y materiales apropiados para la realización de los encargos de conformidad con su objeto social.</w:t>
      </w:r>
    </w:p>
    <w:p w:rsidR="0092635B" w:rsidRDefault="00000000">
      <w:pPr>
        <w:pStyle w:val="Textoindependiente"/>
        <w:spacing w:before="122" w:line="249" w:lineRule="auto"/>
        <w:ind w:right="1103"/>
      </w:pPr>
      <w:r>
        <w:t>Los estatutos o acto de creación del ente destinatario del encargo deberá determinar: el poder adjudicador respecto del cual tiene esa condición; precisar el régimen jurídico y administrativo de los encargos que se les puedan conferir; y establecer la imposibilidad de que participen en licitaciones públicas convocadas por el poder adjudicador del que sean medio propio personificado, sin perjuicio de que, cuando no concurra ningún licitador, pueda encargárseles la ejecución de la prestación objeto de las mismas.</w:t>
      </w:r>
    </w:p>
    <w:p w:rsidR="0092635B" w:rsidRDefault="00000000">
      <w:pPr>
        <w:pStyle w:val="Textoindependiente"/>
        <w:spacing w:before="5" w:line="249" w:lineRule="auto"/>
        <w:ind w:right="1105"/>
      </w:pPr>
      <w:r>
        <w:t>En todo caso, se presumirá que cumple el requisito establecido en el número 2.º de la presente letra cuando haya obtenido la correspondiente clasificación respecto a los grupos, subgrupos y categorías que ostente.</w:t>
      </w:r>
    </w:p>
    <w:p w:rsidR="0092635B" w:rsidRDefault="00000000">
      <w:pPr>
        <w:pStyle w:val="Prrafodelista"/>
        <w:numPr>
          <w:ilvl w:val="2"/>
          <w:numId w:val="324"/>
        </w:numPr>
        <w:tabs>
          <w:tab w:val="left" w:pos="1670"/>
        </w:tabs>
        <w:spacing w:line="249" w:lineRule="auto"/>
        <w:ind w:right="1104" w:firstLine="340"/>
        <w:jc w:val="both"/>
        <w:rPr>
          <w:sz w:val="20"/>
        </w:rPr>
      </w:pPr>
      <w:r>
        <w:rPr>
          <w:sz w:val="20"/>
        </w:rPr>
        <w:t>El apartado 2 del presente artículo también se aplicará en los casos en que la persona jurídica</w:t>
      </w:r>
      <w:r>
        <w:rPr>
          <w:spacing w:val="-4"/>
          <w:sz w:val="20"/>
        </w:rPr>
        <w:t xml:space="preserve"> </w:t>
      </w:r>
      <w:r>
        <w:rPr>
          <w:sz w:val="20"/>
        </w:rPr>
        <w:t>controlada,</w:t>
      </w:r>
      <w:r>
        <w:rPr>
          <w:spacing w:val="-4"/>
          <w:sz w:val="20"/>
        </w:rPr>
        <w:t xml:space="preserve"> </w:t>
      </w:r>
      <w:r>
        <w:rPr>
          <w:sz w:val="20"/>
        </w:rPr>
        <w:t>siendo</w:t>
      </w:r>
      <w:r>
        <w:rPr>
          <w:spacing w:val="-4"/>
          <w:sz w:val="20"/>
        </w:rPr>
        <w:t xml:space="preserve"> </w:t>
      </w:r>
      <w:r>
        <w:rPr>
          <w:sz w:val="20"/>
        </w:rPr>
        <w:t>un</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realice</w:t>
      </w:r>
      <w:r>
        <w:rPr>
          <w:spacing w:val="-4"/>
          <w:sz w:val="20"/>
        </w:rPr>
        <w:t xml:space="preserve"> </w:t>
      </w:r>
      <w:r>
        <w:rPr>
          <w:sz w:val="20"/>
        </w:rPr>
        <w:t>un</w:t>
      </w:r>
      <w:r>
        <w:rPr>
          <w:spacing w:val="-4"/>
          <w:sz w:val="20"/>
        </w:rPr>
        <w:t xml:space="preserve"> </w:t>
      </w:r>
      <w:r>
        <w:rPr>
          <w:sz w:val="20"/>
        </w:rPr>
        <w:t>encargo</w:t>
      </w:r>
      <w:r>
        <w:rPr>
          <w:spacing w:val="-4"/>
          <w:sz w:val="20"/>
        </w:rPr>
        <w:t xml:space="preserve"> </w:t>
      </w:r>
      <w:r>
        <w:rPr>
          <w:sz w:val="20"/>
        </w:rPr>
        <w:t>al</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que la controla o a otra persona jurídica controlada, directa o indirectamente, por el mismo poder adjudicador, siempre que no exista participación directa de capital privado en la persona jurídica a la que se realice el encargo.</w:t>
      </w:r>
    </w:p>
    <w:p w:rsidR="0092635B" w:rsidRDefault="00000000">
      <w:pPr>
        <w:pStyle w:val="Prrafodelista"/>
        <w:numPr>
          <w:ilvl w:val="2"/>
          <w:numId w:val="324"/>
        </w:numPr>
        <w:tabs>
          <w:tab w:val="left" w:pos="1723"/>
        </w:tabs>
        <w:spacing w:before="5" w:line="249" w:lineRule="auto"/>
        <w:ind w:firstLine="340"/>
        <w:jc w:val="both"/>
        <w:rPr>
          <w:sz w:val="20"/>
        </w:rPr>
      </w:pPr>
      <w:r>
        <w:rPr>
          <w:sz w:val="20"/>
        </w:rPr>
        <w:t>Tendrán la consideración de medio propio personificado respecto de dos o más poderes adjudicadores que sean independientes entre sí aquellas personas jurídicas, de derecho público o de derecho privado, que cumplan todos y cada uno de los requisitos que se establecen a continuación:</w:t>
      </w:r>
    </w:p>
    <w:p w:rsidR="0092635B" w:rsidRDefault="00000000">
      <w:pPr>
        <w:pStyle w:val="Prrafodelista"/>
        <w:numPr>
          <w:ilvl w:val="3"/>
          <w:numId w:val="324"/>
        </w:numPr>
        <w:tabs>
          <w:tab w:val="left" w:pos="1691"/>
        </w:tabs>
        <w:spacing w:before="123" w:line="249" w:lineRule="auto"/>
        <w:ind w:firstLine="340"/>
        <w:jc w:val="both"/>
        <w:rPr>
          <w:sz w:val="20"/>
        </w:rPr>
      </w:pPr>
      <w:r>
        <w:rPr>
          <w:sz w:val="20"/>
        </w:rPr>
        <w:t>Que los poderes adjudicadores que puedan conferirle encargos ejerzan sobre el ente destinatario del mismo un control conjunto análogo al que ostentarían sobre sus propios servicios o unidades.</w:t>
      </w:r>
    </w:p>
    <w:p w:rsidR="0092635B" w:rsidRDefault="00000000">
      <w:pPr>
        <w:pStyle w:val="Textoindependiente"/>
        <w:spacing w:line="249" w:lineRule="auto"/>
        <w:ind w:right="1105"/>
      </w:pPr>
      <w:r>
        <w:t xml:space="preserve">Se entenderá que existe control conjunto cuando se cumplan todas las condiciones </w:t>
      </w:r>
      <w:r>
        <w:rPr>
          <w:spacing w:val="-2"/>
        </w:rPr>
        <w:t>siguientes: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323"/>
        </w:numPr>
        <w:tabs>
          <w:tab w:val="left" w:pos="1610"/>
        </w:tabs>
        <w:spacing w:before="1" w:line="249" w:lineRule="auto"/>
        <w:ind w:right="1104" w:firstLine="340"/>
        <w:jc w:val="both"/>
        <w:rPr>
          <w:sz w:val="20"/>
        </w:rPr>
      </w:pPr>
      <w:r>
        <w:rPr>
          <w:sz w:val="20"/>
        </w:rPr>
        <w:t>º Que en los órganos decisorios del ente destinatario del encargo estén representados todos los entes que puedan conferirle encargos, pudiendo cada representante representar a varios de estos últimos o a la totalidad de ellos.</w:t>
      </w:r>
    </w:p>
    <w:p w:rsidR="0092635B" w:rsidRDefault="00000000">
      <w:pPr>
        <w:pStyle w:val="Prrafodelista"/>
        <w:numPr>
          <w:ilvl w:val="0"/>
          <w:numId w:val="323"/>
        </w:numPr>
        <w:tabs>
          <w:tab w:val="left" w:pos="1610"/>
        </w:tabs>
        <w:spacing w:line="249" w:lineRule="auto"/>
        <w:ind w:firstLine="340"/>
        <w:jc w:val="both"/>
        <w:rPr>
          <w:sz w:val="20"/>
        </w:rPr>
      </w:pPr>
      <w:r>
        <w:rPr>
          <w:sz w:val="20"/>
        </w:rPr>
        <w:t xml:space="preserve">º Que estos últimos puedan ejercer directa y conjuntamente una influencia decisiva sobre los objetivos estratégicos y sobre las decisiones significativas del ente destinatario del </w:t>
      </w:r>
      <w:r>
        <w:rPr>
          <w:spacing w:val="-2"/>
          <w:sz w:val="20"/>
        </w:rPr>
        <w:t>encargo.</w:t>
      </w:r>
    </w:p>
    <w:p w:rsidR="0092635B" w:rsidRDefault="00000000">
      <w:pPr>
        <w:pStyle w:val="Prrafodelista"/>
        <w:numPr>
          <w:ilvl w:val="0"/>
          <w:numId w:val="323"/>
        </w:numPr>
        <w:tabs>
          <w:tab w:val="left" w:pos="1610"/>
        </w:tabs>
        <w:spacing w:before="3" w:line="249" w:lineRule="auto"/>
        <w:ind w:right="1108" w:firstLine="340"/>
        <w:jc w:val="both"/>
        <w:rPr>
          <w:sz w:val="20"/>
        </w:rPr>
      </w:pPr>
      <w:r>
        <w:rPr>
          <w:sz w:val="20"/>
        </w:rPr>
        <w:t>º</w:t>
      </w:r>
      <w:r>
        <w:rPr>
          <w:spacing w:val="-4"/>
          <w:sz w:val="20"/>
        </w:rPr>
        <w:t xml:space="preserve"> </w:t>
      </w:r>
      <w:r>
        <w:rPr>
          <w:sz w:val="20"/>
        </w:rPr>
        <w:t>Que</w:t>
      </w:r>
      <w:r>
        <w:rPr>
          <w:spacing w:val="-3"/>
          <w:sz w:val="20"/>
        </w:rPr>
        <w:t xml:space="preserve"> </w:t>
      </w:r>
      <w:r>
        <w:rPr>
          <w:sz w:val="20"/>
        </w:rPr>
        <w:t>el</w:t>
      </w:r>
      <w:r>
        <w:rPr>
          <w:spacing w:val="-3"/>
          <w:sz w:val="20"/>
        </w:rPr>
        <w:t xml:space="preserve"> </w:t>
      </w:r>
      <w:r>
        <w:rPr>
          <w:sz w:val="20"/>
        </w:rPr>
        <w:t>ente</w:t>
      </w:r>
      <w:r>
        <w:rPr>
          <w:spacing w:val="-3"/>
          <w:sz w:val="20"/>
        </w:rPr>
        <w:t xml:space="preserve"> </w:t>
      </w:r>
      <w:r>
        <w:rPr>
          <w:sz w:val="20"/>
        </w:rPr>
        <w:t>destinatario</w:t>
      </w:r>
      <w:r>
        <w:rPr>
          <w:spacing w:val="-3"/>
          <w:sz w:val="20"/>
        </w:rPr>
        <w:t xml:space="preserve"> </w:t>
      </w:r>
      <w:r>
        <w:rPr>
          <w:sz w:val="20"/>
        </w:rPr>
        <w:t>del</w:t>
      </w:r>
      <w:r>
        <w:rPr>
          <w:spacing w:val="-3"/>
          <w:sz w:val="20"/>
        </w:rPr>
        <w:t xml:space="preserve"> </w:t>
      </w:r>
      <w:r>
        <w:rPr>
          <w:sz w:val="20"/>
        </w:rPr>
        <w:t>encargo</w:t>
      </w:r>
      <w:r>
        <w:rPr>
          <w:spacing w:val="-3"/>
          <w:sz w:val="20"/>
        </w:rPr>
        <w:t xml:space="preserve"> </w:t>
      </w:r>
      <w:r>
        <w:rPr>
          <w:sz w:val="20"/>
        </w:rPr>
        <w:t>no</w:t>
      </w:r>
      <w:r>
        <w:rPr>
          <w:spacing w:val="-3"/>
          <w:sz w:val="20"/>
        </w:rPr>
        <w:t xml:space="preserve"> </w:t>
      </w:r>
      <w:r>
        <w:rPr>
          <w:sz w:val="20"/>
        </w:rPr>
        <w:t>persiga</w:t>
      </w:r>
      <w:r>
        <w:rPr>
          <w:spacing w:val="-3"/>
          <w:sz w:val="20"/>
        </w:rPr>
        <w:t xml:space="preserve"> </w:t>
      </w:r>
      <w:r>
        <w:rPr>
          <w:sz w:val="20"/>
        </w:rPr>
        <w:t>intereses</w:t>
      </w:r>
      <w:r>
        <w:rPr>
          <w:spacing w:val="-3"/>
          <w:sz w:val="20"/>
        </w:rPr>
        <w:t xml:space="preserve"> </w:t>
      </w:r>
      <w:r>
        <w:rPr>
          <w:sz w:val="20"/>
        </w:rPr>
        <w:t>contrarios</w:t>
      </w:r>
      <w:r>
        <w:rPr>
          <w:spacing w:val="-3"/>
          <w:sz w:val="20"/>
        </w:rPr>
        <w:t xml:space="preserve"> </w:t>
      </w:r>
      <w:r>
        <w:rPr>
          <w:sz w:val="20"/>
        </w:rPr>
        <w:t>a</w:t>
      </w:r>
      <w:r>
        <w:rPr>
          <w:spacing w:val="-3"/>
          <w:sz w:val="20"/>
        </w:rPr>
        <w:t xml:space="preserve"> </w:t>
      </w:r>
      <w:r>
        <w:rPr>
          <w:sz w:val="20"/>
        </w:rPr>
        <w:t>los</w:t>
      </w:r>
      <w:r>
        <w:rPr>
          <w:spacing w:val="-3"/>
          <w:sz w:val="20"/>
        </w:rPr>
        <w:t xml:space="preserve"> </w:t>
      </w:r>
      <w:r>
        <w:rPr>
          <w:sz w:val="20"/>
        </w:rPr>
        <w:t>intereses</w:t>
      </w:r>
      <w:r>
        <w:rPr>
          <w:spacing w:val="-3"/>
          <w:sz w:val="20"/>
        </w:rPr>
        <w:t xml:space="preserve"> </w:t>
      </w:r>
      <w:r>
        <w:rPr>
          <w:sz w:val="20"/>
        </w:rPr>
        <w:t>de los entes que puedan conferirle encargos.</w:t>
      </w:r>
    </w:p>
    <w:p w:rsidR="0092635B" w:rsidRDefault="00000000">
      <w:pPr>
        <w:pStyle w:val="Textoindependiente"/>
        <w:spacing w:before="121" w:line="249" w:lineRule="auto"/>
        <w:ind w:right="1103"/>
      </w:pPr>
      <w:r>
        <w:t>La compensación se establecerá, por referencia a tarifas aprobadas por la entidad pública de la que depende el medio propio personificado para las actividades objeto de encargo realizadas por el medio propio directamente y, en la forma que reglamentariamente se determine, atendiendo al coste efectivo soportado por el medio propio para las</w:t>
      </w:r>
      <w:r>
        <w:rPr>
          <w:spacing w:val="80"/>
        </w:rPr>
        <w:t xml:space="preserve"> </w:t>
      </w:r>
      <w:r>
        <w:t xml:space="preserve">actividades objeto del encargo que se subcontraten con empresarios particulares en los casos en que este coste sea inferior al resultante de aplicar las tarifas a las actividades </w:t>
      </w:r>
      <w:r>
        <w:rPr>
          <w:spacing w:val="-2"/>
        </w:rPr>
        <w:t>subcontratadas.</w:t>
      </w:r>
    </w:p>
    <w:p w:rsidR="0092635B" w:rsidRDefault="00000000">
      <w:pPr>
        <w:pStyle w:val="Textoindependiente"/>
        <w:spacing w:before="6" w:line="249" w:lineRule="auto"/>
        <w:ind w:right="1106"/>
      </w:pPr>
      <w:r>
        <w:t>Dichas tarifas se calcularán de manera que representen los costes reales de realización de las unidades producidas directamente por el medio propio.</w:t>
      </w:r>
    </w:p>
    <w:p w:rsidR="0092635B" w:rsidRDefault="00000000">
      <w:pPr>
        <w:pStyle w:val="Prrafodelista"/>
        <w:numPr>
          <w:ilvl w:val="3"/>
          <w:numId w:val="324"/>
        </w:numPr>
        <w:tabs>
          <w:tab w:val="left" w:pos="1711"/>
        </w:tabs>
        <w:spacing w:line="249" w:lineRule="auto"/>
        <w:ind w:right="1104" w:firstLine="340"/>
        <w:jc w:val="both"/>
        <w:rPr>
          <w:sz w:val="20"/>
        </w:rPr>
      </w:pPr>
      <w:r>
        <w:rPr>
          <w:sz w:val="20"/>
        </w:rPr>
        <w:t>Que más del 80 por ciento de las actividades del ente destinatario del encargo se lleven a cabo en el ejercicio de los cometidos que le han sido confiados por los poderes adjudicadores que lo controlan o por otras personas jurídicas controladas por los mismos poderes adjudicadores. El cálculo del 80 por ciento se hará de acuerdo con lo establecido en la letra b) del apartado 2 de este artículo.</w:t>
      </w:r>
    </w:p>
    <w:p w:rsidR="0092635B" w:rsidRDefault="00000000">
      <w:pPr>
        <w:pStyle w:val="Prrafodelista"/>
        <w:numPr>
          <w:ilvl w:val="3"/>
          <w:numId w:val="324"/>
        </w:numPr>
        <w:tabs>
          <w:tab w:val="left" w:pos="1668"/>
        </w:tabs>
        <w:spacing w:before="4"/>
        <w:ind w:left="1668" w:right="0" w:hanging="222"/>
        <w:jc w:val="both"/>
        <w:rPr>
          <w:sz w:val="20"/>
        </w:rPr>
      </w:pPr>
      <w:r>
        <w:rPr>
          <w:sz w:val="20"/>
        </w:rPr>
        <w:t>Que</w:t>
      </w:r>
      <w:r>
        <w:rPr>
          <w:spacing w:val="-5"/>
          <w:sz w:val="20"/>
        </w:rPr>
        <w:t xml:space="preserve"> </w:t>
      </w:r>
      <w:r>
        <w:rPr>
          <w:sz w:val="20"/>
        </w:rPr>
        <w:t>cumplan</w:t>
      </w:r>
      <w:r>
        <w:rPr>
          <w:spacing w:val="-2"/>
          <w:sz w:val="20"/>
        </w:rPr>
        <w:t xml:space="preserve"> </w:t>
      </w:r>
      <w:r>
        <w:rPr>
          <w:sz w:val="20"/>
        </w:rPr>
        <w:t>los</w:t>
      </w:r>
      <w:r>
        <w:rPr>
          <w:spacing w:val="-3"/>
          <w:sz w:val="20"/>
        </w:rPr>
        <w:t xml:space="preserve"> </w:t>
      </w:r>
      <w:r>
        <w:rPr>
          <w:sz w:val="20"/>
        </w:rPr>
        <w:t>requisitos</w:t>
      </w:r>
      <w:r>
        <w:rPr>
          <w:spacing w:val="-2"/>
          <w:sz w:val="20"/>
        </w:rPr>
        <w:t xml:space="preserve"> </w:t>
      </w:r>
      <w:r>
        <w:rPr>
          <w:sz w:val="20"/>
        </w:rPr>
        <w:t>que</w:t>
      </w:r>
      <w:r>
        <w:rPr>
          <w:spacing w:val="-3"/>
          <w:sz w:val="20"/>
        </w:rPr>
        <w:t xml:space="preserve"> </w:t>
      </w:r>
      <w:r>
        <w:rPr>
          <w:sz w:val="20"/>
        </w:rPr>
        <w:t>establece</w:t>
      </w:r>
      <w:r>
        <w:rPr>
          <w:spacing w:val="-2"/>
          <w:sz w:val="20"/>
        </w:rPr>
        <w:t xml:space="preserve"> </w:t>
      </w:r>
      <w:r>
        <w:rPr>
          <w:sz w:val="20"/>
        </w:rPr>
        <w:t>este</w:t>
      </w:r>
      <w:r>
        <w:rPr>
          <w:spacing w:val="-3"/>
          <w:sz w:val="20"/>
        </w:rPr>
        <w:t xml:space="preserve"> </w:t>
      </w:r>
      <w:r>
        <w:rPr>
          <w:sz w:val="20"/>
        </w:rPr>
        <w:t>artículo</w:t>
      </w:r>
      <w:r>
        <w:rPr>
          <w:spacing w:val="-2"/>
          <w:sz w:val="20"/>
        </w:rPr>
        <w:t xml:space="preserve"> </w:t>
      </w:r>
      <w:r>
        <w:rPr>
          <w:sz w:val="20"/>
        </w:rPr>
        <w:t>en</w:t>
      </w:r>
      <w:r>
        <w:rPr>
          <w:spacing w:val="-3"/>
          <w:sz w:val="20"/>
        </w:rPr>
        <w:t xml:space="preserve"> </w:t>
      </w:r>
      <w:r>
        <w:rPr>
          <w:sz w:val="20"/>
        </w:rPr>
        <w:t>su</w:t>
      </w:r>
      <w:r>
        <w:rPr>
          <w:spacing w:val="-2"/>
          <w:sz w:val="20"/>
        </w:rPr>
        <w:t xml:space="preserve"> </w:t>
      </w:r>
      <w:r>
        <w:rPr>
          <w:sz w:val="20"/>
        </w:rPr>
        <w:t>apartado</w:t>
      </w:r>
      <w:r>
        <w:rPr>
          <w:spacing w:val="-3"/>
          <w:sz w:val="20"/>
        </w:rPr>
        <w:t xml:space="preserve"> </w:t>
      </w:r>
      <w:r>
        <w:rPr>
          <w:sz w:val="20"/>
        </w:rPr>
        <w:t>2</w:t>
      </w:r>
      <w:r>
        <w:rPr>
          <w:spacing w:val="-2"/>
          <w:sz w:val="20"/>
        </w:rPr>
        <w:t xml:space="preserve"> </w:t>
      </w:r>
      <w:r>
        <w:rPr>
          <w:sz w:val="20"/>
        </w:rPr>
        <w:t>letras</w:t>
      </w:r>
      <w:r>
        <w:rPr>
          <w:spacing w:val="-3"/>
          <w:sz w:val="20"/>
        </w:rPr>
        <w:t xml:space="preserve"> </w:t>
      </w:r>
      <w:r>
        <w:rPr>
          <w:sz w:val="20"/>
        </w:rPr>
        <w:t>c)</w:t>
      </w:r>
      <w:r>
        <w:rPr>
          <w:spacing w:val="-2"/>
          <w:sz w:val="20"/>
        </w:rPr>
        <w:t xml:space="preserve"> </w:t>
      </w:r>
      <w:r>
        <w:rPr>
          <w:sz w:val="20"/>
        </w:rPr>
        <w:t>y</w:t>
      </w:r>
      <w:r>
        <w:rPr>
          <w:spacing w:val="-2"/>
          <w:sz w:val="20"/>
        </w:rPr>
        <w:t xml:space="preserve"> </w:t>
      </w:r>
      <w:r>
        <w:rPr>
          <w:spacing w:val="-5"/>
          <w:sz w:val="20"/>
        </w:rPr>
        <w:t>d).</w:t>
      </w:r>
    </w:p>
    <w:p w:rsidR="0092635B" w:rsidRDefault="00000000">
      <w:pPr>
        <w:pStyle w:val="Ttulo2"/>
        <w:numPr>
          <w:ilvl w:val="2"/>
          <w:numId w:val="324"/>
        </w:numPr>
        <w:tabs>
          <w:tab w:val="left" w:pos="1667"/>
        </w:tabs>
        <w:spacing w:before="130"/>
        <w:ind w:left="1667" w:hanging="221"/>
        <w:jc w:val="both"/>
      </w:pPr>
      <w:r>
        <w:rPr>
          <w:spacing w:val="-2"/>
        </w:rPr>
        <w:t>(Suprimido)</w:t>
      </w:r>
    </w:p>
    <w:p w:rsidR="0092635B" w:rsidRDefault="00000000">
      <w:pPr>
        <w:pStyle w:val="Prrafodelista"/>
        <w:numPr>
          <w:ilvl w:val="2"/>
          <w:numId w:val="324"/>
        </w:numPr>
        <w:tabs>
          <w:tab w:val="left" w:pos="1676"/>
        </w:tabs>
        <w:spacing w:before="10" w:line="249" w:lineRule="auto"/>
        <w:ind w:firstLine="340"/>
        <w:jc w:val="both"/>
        <w:rPr>
          <w:sz w:val="20"/>
        </w:rPr>
      </w:pPr>
      <w:r>
        <w:rPr>
          <w:sz w:val="20"/>
        </w:rPr>
        <w:t>Los encargos que realicen las entidades del sector público a un ente que, de acuerdo con los apartados segundo, tercero o cuarto de este artículo, pueda ser calificado como medio propio personificado del primero o primeros, no tendrán la consideración jurídica de contrato, debiendo únicamente cumplir las siguientes normas:</w:t>
      </w:r>
    </w:p>
    <w:p w:rsidR="0092635B" w:rsidRDefault="00000000">
      <w:pPr>
        <w:pStyle w:val="Prrafodelista"/>
        <w:numPr>
          <w:ilvl w:val="3"/>
          <w:numId w:val="324"/>
        </w:numPr>
        <w:tabs>
          <w:tab w:val="left" w:pos="1780"/>
        </w:tabs>
        <w:spacing w:before="123" w:line="249" w:lineRule="auto"/>
        <w:ind w:right="1104" w:firstLine="340"/>
        <w:jc w:val="both"/>
        <w:rPr>
          <w:sz w:val="20"/>
        </w:rPr>
      </w:pPr>
      <w:r>
        <w:rPr>
          <w:sz w:val="20"/>
        </w:rPr>
        <w:t>El medio propio personificado deberá haber publicado en la Plataforma de Contratación correspondiente su condición de tal; respecto de qué poderes adjudicadores la ostenta; y los sectores de actividad en los que, estando comprendidos en su objeto social, sería apto para ejecutar las prestaciones que vayan a ser objeto de encargo.</w:t>
      </w:r>
    </w:p>
    <w:p w:rsidR="0092635B" w:rsidRDefault="00000000">
      <w:pPr>
        <w:pStyle w:val="Prrafodelista"/>
        <w:numPr>
          <w:ilvl w:val="3"/>
          <w:numId w:val="324"/>
        </w:numPr>
        <w:tabs>
          <w:tab w:val="left" w:pos="1700"/>
        </w:tabs>
        <w:spacing w:before="3" w:line="249" w:lineRule="auto"/>
        <w:ind w:right="1104" w:firstLine="340"/>
        <w:jc w:val="both"/>
        <w:rPr>
          <w:sz w:val="20"/>
        </w:rPr>
      </w:pPr>
      <w:r>
        <w:rPr>
          <w:sz w:val="20"/>
        </w:rPr>
        <w:t>El encargo deberá ser objeto de formalización en un documento que será publicado</w:t>
      </w:r>
      <w:r>
        <w:rPr>
          <w:spacing w:val="40"/>
          <w:sz w:val="20"/>
        </w:rPr>
        <w:t xml:space="preserve"> </w:t>
      </w:r>
      <w:r>
        <w:rPr>
          <w:sz w:val="20"/>
        </w:rPr>
        <w:t>en</w:t>
      </w:r>
      <w:r>
        <w:rPr>
          <w:spacing w:val="34"/>
          <w:sz w:val="20"/>
        </w:rPr>
        <w:t xml:space="preserve"> </w:t>
      </w:r>
      <w:r>
        <w:rPr>
          <w:sz w:val="20"/>
        </w:rPr>
        <w:t>la</w:t>
      </w:r>
      <w:r>
        <w:rPr>
          <w:spacing w:val="34"/>
          <w:sz w:val="20"/>
        </w:rPr>
        <w:t xml:space="preserve"> </w:t>
      </w:r>
      <w:r>
        <w:rPr>
          <w:sz w:val="20"/>
        </w:rPr>
        <w:t>Plataforma</w:t>
      </w:r>
      <w:r>
        <w:rPr>
          <w:spacing w:val="34"/>
          <w:sz w:val="20"/>
        </w:rPr>
        <w:t xml:space="preserve"> </w:t>
      </w:r>
      <w:r>
        <w:rPr>
          <w:sz w:val="20"/>
        </w:rPr>
        <w:t>de</w:t>
      </w:r>
      <w:r>
        <w:rPr>
          <w:spacing w:val="34"/>
          <w:sz w:val="20"/>
        </w:rPr>
        <w:t xml:space="preserve"> </w:t>
      </w:r>
      <w:r>
        <w:rPr>
          <w:sz w:val="20"/>
        </w:rPr>
        <w:t>Contratación</w:t>
      </w:r>
      <w:r>
        <w:rPr>
          <w:spacing w:val="34"/>
          <w:sz w:val="20"/>
        </w:rPr>
        <w:t xml:space="preserve"> </w:t>
      </w:r>
      <w:r>
        <w:rPr>
          <w:sz w:val="20"/>
        </w:rPr>
        <w:t>correspondiente</w:t>
      </w:r>
      <w:r>
        <w:rPr>
          <w:spacing w:val="34"/>
          <w:sz w:val="20"/>
        </w:rPr>
        <w:t xml:space="preserve"> </w:t>
      </w:r>
      <w:r>
        <w:rPr>
          <w:sz w:val="20"/>
        </w:rPr>
        <w:t>en</w:t>
      </w:r>
      <w:r>
        <w:rPr>
          <w:spacing w:val="34"/>
          <w:sz w:val="20"/>
        </w:rPr>
        <w:t xml:space="preserve"> </w:t>
      </w:r>
      <w:r>
        <w:rPr>
          <w:sz w:val="20"/>
        </w:rPr>
        <w:t>los</w:t>
      </w:r>
      <w:r>
        <w:rPr>
          <w:spacing w:val="34"/>
          <w:sz w:val="20"/>
        </w:rPr>
        <w:t xml:space="preserve"> </w:t>
      </w:r>
      <w:r>
        <w:rPr>
          <w:sz w:val="20"/>
        </w:rPr>
        <w:t>supuestos</w:t>
      </w:r>
      <w:r>
        <w:rPr>
          <w:spacing w:val="34"/>
          <w:sz w:val="20"/>
        </w:rPr>
        <w:t xml:space="preserve"> </w:t>
      </w:r>
      <w:r>
        <w:rPr>
          <w:sz w:val="20"/>
        </w:rPr>
        <w:t>previstos</w:t>
      </w:r>
      <w:r>
        <w:rPr>
          <w:spacing w:val="34"/>
          <w:sz w:val="20"/>
        </w:rPr>
        <w:t xml:space="preserve"> </w:t>
      </w:r>
      <w:r>
        <w:rPr>
          <w:sz w:val="20"/>
        </w:rPr>
        <w:t>del</w:t>
      </w:r>
      <w:r>
        <w:rPr>
          <w:spacing w:val="34"/>
          <w:sz w:val="20"/>
        </w:rPr>
        <w:t xml:space="preserve"> </w:t>
      </w:r>
      <w:r>
        <w:rPr>
          <w:sz w:val="20"/>
        </w:rPr>
        <w:t>artículo</w:t>
      </w:r>
    </w:p>
    <w:p w:rsidR="0092635B" w:rsidRDefault="00000000">
      <w:pPr>
        <w:pStyle w:val="Textoindependiente"/>
        <w:ind w:firstLine="0"/>
      </w:pPr>
      <w:r>
        <w:t>63.6.</w:t>
      </w:r>
      <w:r>
        <w:rPr>
          <w:spacing w:val="-7"/>
        </w:rPr>
        <w:t xml:space="preserve"> </w:t>
      </w:r>
      <w:r>
        <w:t>El</w:t>
      </w:r>
      <w:r>
        <w:rPr>
          <w:spacing w:val="-4"/>
        </w:rPr>
        <w:t xml:space="preserve"> </w:t>
      </w:r>
      <w:r>
        <w:t>documento</w:t>
      </w:r>
      <w:r>
        <w:rPr>
          <w:spacing w:val="-4"/>
        </w:rPr>
        <w:t xml:space="preserve"> </w:t>
      </w:r>
      <w:r>
        <w:t>de</w:t>
      </w:r>
      <w:r>
        <w:rPr>
          <w:spacing w:val="-5"/>
        </w:rPr>
        <w:t xml:space="preserve"> </w:t>
      </w:r>
      <w:r>
        <w:t>formalización</w:t>
      </w:r>
      <w:r>
        <w:rPr>
          <w:spacing w:val="-4"/>
        </w:rPr>
        <w:t xml:space="preserve"> </w:t>
      </w:r>
      <w:r>
        <w:t>establecerá</w:t>
      </w:r>
      <w:r>
        <w:rPr>
          <w:spacing w:val="-4"/>
        </w:rPr>
        <w:t xml:space="preserve"> </w:t>
      </w:r>
      <w:r>
        <w:t>el</w:t>
      </w:r>
      <w:r>
        <w:rPr>
          <w:spacing w:val="-4"/>
        </w:rPr>
        <w:t xml:space="preserve"> </w:t>
      </w:r>
      <w:r>
        <w:t>plazo</w:t>
      </w:r>
      <w:r>
        <w:rPr>
          <w:spacing w:val="-5"/>
        </w:rPr>
        <w:t xml:space="preserve"> </w:t>
      </w:r>
      <w:r>
        <w:t>de</w:t>
      </w:r>
      <w:r>
        <w:rPr>
          <w:spacing w:val="-4"/>
        </w:rPr>
        <w:t xml:space="preserve"> </w:t>
      </w:r>
      <w:r>
        <w:t>duración</w:t>
      </w:r>
      <w:r>
        <w:rPr>
          <w:spacing w:val="-4"/>
        </w:rPr>
        <w:t xml:space="preserve"> </w:t>
      </w:r>
      <w:r>
        <w:t>del</w:t>
      </w:r>
      <w:r>
        <w:rPr>
          <w:spacing w:val="-4"/>
        </w:rPr>
        <w:t xml:space="preserve"> </w:t>
      </w:r>
      <w:r>
        <w:rPr>
          <w:spacing w:val="-2"/>
        </w:rPr>
        <w:t>encargo.</w:t>
      </w:r>
    </w:p>
    <w:p w:rsidR="0092635B" w:rsidRDefault="00000000">
      <w:pPr>
        <w:pStyle w:val="Prrafodelista"/>
        <w:numPr>
          <w:ilvl w:val="3"/>
          <w:numId w:val="324"/>
        </w:numPr>
        <w:tabs>
          <w:tab w:val="left" w:pos="1695"/>
        </w:tabs>
        <w:spacing w:before="10" w:line="249" w:lineRule="auto"/>
        <w:ind w:right="1105" w:firstLine="340"/>
        <w:jc w:val="both"/>
        <w:rPr>
          <w:sz w:val="20"/>
        </w:rPr>
      </w:pPr>
      <w:r>
        <w:rPr>
          <w:sz w:val="20"/>
        </w:rPr>
        <w:t>Los órganos de las entidades del sector público estatal que tengan la condición de poder adjudicador en virtud de lo dispuesto en el artículo 3.3 de esta Ley, necesitarán autorización</w:t>
      </w:r>
      <w:r>
        <w:rPr>
          <w:spacing w:val="-1"/>
          <w:sz w:val="20"/>
        </w:rPr>
        <w:t xml:space="preserve"> </w:t>
      </w:r>
      <w:r>
        <w:rPr>
          <w:sz w:val="20"/>
        </w:rPr>
        <w:t>del</w:t>
      </w:r>
      <w:r>
        <w:rPr>
          <w:spacing w:val="-1"/>
          <w:sz w:val="20"/>
        </w:rPr>
        <w:t xml:space="preserve"> </w:t>
      </w:r>
      <w:r>
        <w:rPr>
          <w:sz w:val="20"/>
        </w:rPr>
        <w:t>Consejo</w:t>
      </w:r>
      <w:r>
        <w:rPr>
          <w:spacing w:val="-1"/>
          <w:sz w:val="20"/>
        </w:rPr>
        <w:t xml:space="preserve"> </w:t>
      </w:r>
      <w:r>
        <w:rPr>
          <w:sz w:val="20"/>
        </w:rPr>
        <w:t>de</w:t>
      </w:r>
      <w:r>
        <w:rPr>
          <w:spacing w:val="-1"/>
          <w:sz w:val="20"/>
        </w:rPr>
        <w:t xml:space="preserve"> </w:t>
      </w:r>
      <w:r>
        <w:rPr>
          <w:sz w:val="20"/>
        </w:rPr>
        <w:t>Ministros</w:t>
      </w:r>
      <w:r>
        <w:rPr>
          <w:spacing w:val="-1"/>
          <w:sz w:val="20"/>
        </w:rPr>
        <w:t xml:space="preserve"> </w:t>
      </w:r>
      <w:r>
        <w:rPr>
          <w:sz w:val="20"/>
        </w:rPr>
        <w:t>cuando</w:t>
      </w:r>
      <w:r>
        <w:rPr>
          <w:spacing w:val="-1"/>
          <w:sz w:val="20"/>
        </w:rPr>
        <w:t xml:space="preserve"> </w:t>
      </w:r>
      <w:r>
        <w:rPr>
          <w:sz w:val="20"/>
        </w:rPr>
        <w:t>el</w:t>
      </w:r>
      <w:r>
        <w:rPr>
          <w:spacing w:val="-1"/>
          <w:sz w:val="20"/>
        </w:rPr>
        <w:t xml:space="preserve"> </w:t>
      </w:r>
      <w:r>
        <w:rPr>
          <w:sz w:val="20"/>
        </w:rPr>
        <w:t>importe</w:t>
      </w:r>
      <w:r>
        <w:rPr>
          <w:spacing w:val="-1"/>
          <w:sz w:val="20"/>
        </w:rPr>
        <w:t xml:space="preserve"> </w:t>
      </w:r>
      <w:r>
        <w:rPr>
          <w:sz w:val="20"/>
        </w:rPr>
        <w:t>del</w:t>
      </w:r>
      <w:r>
        <w:rPr>
          <w:spacing w:val="-1"/>
          <w:sz w:val="20"/>
        </w:rPr>
        <w:t xml:space="preserve"> </w:t>
      </w:r>
      <w:r>
        <w:rPr>
          <w:sz w:val="20"/>
        </w:rPr>
        <w:t>gasto</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derive</w:t>
      </w:r>
      <w:r>
        <w:rPr>
          <w:spacing w:val="-1"/>
          <w:sz w:val="20"/>
        </w:rPr>
        <w:t xml:space="preserve"> </w:t>
      </w:r>
      <w:r>
        <w:rPr>
          <w:sz w:val="20"/>
        </w:rPr>
        <w:t>del</w:t>
      </w:r>
      <w:r>
        <w:rPr>
          <w:spacing w:val="-1"/>
          <w:sz w:val="20"/>
        </w:rPr>
        <w:t xml:space="preserve"> </w:t>
      </w:r>
      <w:r>
        <w:rPr>
          <w:sz w:val="20"/>
        </w:rPr>
        <w:t>encargo, sea igual o superior a doce millones de euros.</w:t>
      </w:r>
    </w:p>
    <w:p w:rsidR="0092635B" w:rsidRDefault="00000000">
      <w:pPr>
        <w:pStyle w:val="Textoindependiente"/>
        <w:spacing w:before="123" w:line="249" w:lineRule="auto"/>
        <w:ind w:right="1103"/>
      </w:pPr>
      <w:r>
        <w:t>La autorización del Consejo de Ministros a que se refiere el párrafo anterior deberá obtenerse antes de la suscripción del encargo por el órgano competente. Una vez obtenida</w:t>
      </w:r>
      <w:r>
        <w:rPr>
          <w:spacing w:val="40"/>
        </w:rPr>
        <w:t xml:space="preserve"> </w:t>
      </w:r>
      <w:r>
        <w:t>la autorización, corresponderá a los órganos competentes la aprobación del gasto y suscripción del encargo, de conformidad con lo dispuesto en las respectivas normas.</w:t>
      </w:r>
    </w:p>
    <w:p w:rsidR="0092635B" w:rsidRDefault="00000000">
      <w:pPr>
        <w:pStyle w:val="Textoindependiente"/>
        <w:spacing w:before="4" w:line="249" w:lineRule="auto"/>
        <w:ind w:right="1103"/>
      </w:pPr>
      <w:r>
        <w:t xml:space="preserve">A efectos de obtener la citada autorización, los órganos competentes deberán remitir al menos los siguientes documentos: el texto del encargo; el informe del servicio jurídico; así como el certificado de existencia de crédito o, tratándose de poderes adjudicadores con presupuesto estimativo, los documentos equivalentes que acrediten la existencia de </w:t>
      </w:r>
      <w:r>
        <w:rPr>
          <w:spacing w:val="-2"/>
        </w:rPr>
        <w:t>financiación.</w:t>
      </w:r>
    </w:p>
    <w:p w:rsidR="0092635B" w:rsidRDefault="00000000">
      <w:pPr>
        <w:pStyle w:val="Textoindependiente"/>
        <w:spacing w:before="4" w:line="249" w:lineRule="auto"/>
        <w:ind w:right="1103"/>
      </w:pPr>
      <w:r>
        <w:t>Requerirán igualmente la previa autorización del Consejo de Ministros las modificaciones de encargos autorizados por el Consejo de Ministros, cuando superen el 20 por cien del importe del encargo.</w:t>
      </w:r>
    </w:p>
    <w:p w:rsidR="0092635B" w:rsidRDefault="00000000">
      <w:pPr>
        <w:pStyle w:val="Textoindependiente"/>
        <w:spacing w:line="249" w:lineRule="auto"/>
        <w:ind w:right="1104"/>
      </w:pPr>
      <w:r>
        <w:t>La</w:t>
      </w:r>
      <w:r>
        <w:rPr>
          <w:spacing w:val="-2"/>
        </w:rPr>
        <w:t xml:space="preserve"> </w:t>
      </w:r>
      <w:r>
        <w:t>autorización</w:t>
      </w:r>
      <w:r>
        <w:rPr>
          <w:spacing w:val="-2"/>
        </w:rPr>
        <w:t xml:space="preserve"> </w:t>
      </w:r>
      <w:r>
        <w:t>que</w:t>
      </w:r>
      <w:r>
        <w:rPr>
          <w:spacing w:val="-2"/>
        </w:rPr>
        <w:t xml:space="preserve"> </w:t>
      </w:r>
      <w:r>
        <w:t>otorgue</w:t>
      </w:r>
      <w:r>
        <w:rPr>
          <w:spacing w:val="-2"/>
        </w:rPr>
        <w:t xml:space="preserve"> </w:t>
      </w:r>
      <w:r>
        <w:t>el</w:t>
      </w:r>
      <w:r>
        <w:rPr>
          <w:spacing w:val="-2"/>
        </w:rPr>
        <w:t xml:space="preserve"> </w:t>
      </w:r>
      <w:r>
        <w:t>Consejo</w:t>
      </w:r>
      <w:r>
        <w:rPr>
          <w:spacing w:val="-2"/>
        </w:rPr>
        <w:t xml:space="preserve"> </w:t>
      </w:r>
      <w:r>
        <w:t>de</w:t>
      </w:r>
      <w:r>
        <w:rPr>
          <w:spacing w:val="-2"/>
        </w:rPr>
        <w:t xml:space="preserve"> </w:t>
      </w:r>
      <w:r>
        <w:t>Ministros</w:t>
      </w:r>
      <w:r>
        <w:rPr>
          <w:spacing w:val="-2"/>
        </w:rPr>
        <w:t xml:space="preserve"> </w:t>
      </w:r>
      <w:r>
        <w:t>será</w:t>
      </w:r>
      <w:r>
        <w:rPr>
          <w:spacing w:val="-2"/>
        </w:rPr>
        <w:t xml:space="preserve"> </w:t>
      </w:r>
      <w:r>
        <w:t>genérica</w:t>
      </w:r>
      <w:r>
        <w:rPr>
          <w:spacing w:val="-2"/>
        </w:rPr>
        <w:t xml:space="preserve"> </w:t>
      </w:r>
      <w:r>
        <w:t>para</w:t>
      </w:r>
      <w:r>
        <w:rPr>
          <w:spacing w:val="-2"/>
        </w:rPr>
        <w:t xml:space="preserve"> </w:t>
      </w:r>
      <w:r>
        <w:t>la</w:t>
      </w:r>
      <w:r>
        <w:rPr>
          <w:spacing w:val="-2"/>
        </w:rPr>
        <w:t xml:space="preserve"> </w:t>
      </w:r>
      <w:r>
        <w:t>suscripción</w:t>
      </w:r>
      <w:r>
        <w:rPr>
          <w:spacing w:val="-2"/>
        </w:rPr>
        <w:t xml:space="preserve"> </w:t>
      </w:r>
      <w:r>
        <w:t>del encargo, sin que en ningún caso implique una validación de los trámites realizados, ni exima de la responsabilidad que corresponda a las partes respecto de la correcta tramitación y realización del encargo.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2"/>
          <w:numId w:val="324"/>
        </w:numPr>
        <w:tabs>
          <w:tab w:val="left" w:pos="1673"/>
        </w:tabs>
        <w:spacing w:before="1" w:line="249" w:lineRule="auto"/>
        <w:ind w:right="1105" w:firstLine="340"/>
        <w:jc w:val="both"/>
        <w:rPr>
          <w:sz w:val="20"/>
        </w:rPr>
      </w:pPr>
      <w:r>
        <w:rPr>
          <w:sz w:val="20"/>
        </w:rPr>
        <w:t xml:space="preserve">A los negocios jurídicos que los entes destinatarios del encargo celebren en ejecución del encargo recibido de conformidad con el presente artículo, se le aplicarán las siguientes </w:t>
      </w:r>
      <w:r>
        <w:rPr>
          <w:spacing w:val="-2"/>
          <w:sz w:val="20"/>
        </w:rPr>
        <w:t>reglas:</w:t>
      </w:r>
    </w:p>
    <w:p w:rsidR="0092635B" w:rsidRDefault="00000000">
      <w:pPr>
        <w:pStyle w:val="Prrafodelista"/>
        <w:numPr>
          <w:ilvl w:val="3"/>
          <w:numId w:val="324"/>
        </w:numPr>
        <w:tabs>
          <w:tab w:val="left" w:pos="1699"/>
        </w:tabs>
        <w:spacing w:before="122" w:line="249" w:lineRule="auto"/>
        <w:ind w:right="1104" w:firstLine="340"/>
        <w:jc w:val="both"/>
        <w:rPr>
          <w:sz w:val="20"/>
        </w:rPr>
      </w:pPr>
      <w:r>
        <w:rPr>
          <w:sz w:val="20"/>
        </w:rPr>
        <w:t>El contrato quedará sometido a esta Ley, en los términos que sean procedentes, de acuerdo con la naturaleza de la entidad que los celebre y el tipo y valor estimado de los mismos y, en todo caso, cuando el medio propio no sea un poder adjudicador se le aplicarán las normas contenidas en el Título I del Libro Tercero de la presente Ley.</w:t>
      </w:r>
    </w:p>
    <w:p w:rsidR="0092635B" w:rsidRDefault="00000000">
      <w:pPr>
        <w:pStyle w:val="Prrafodelista"/>
        <w:numPr>
          <w:ilvl w:val="3"/>
          <w:numId w:val="324"/>
        </w:numPr>
        <w:tabs>
          <w:tab w:val="left" w:pos="1718"/>
        </w:tabs>
        <w:spacing w:before="3" w:line="249" w:lineRule="auto"/>
        <w:ind w:firstLine="340"/>
        <w:jc w:val="both"/>
        <w:rPr>
          <w:sz w:val="20"/>
        </w:rPr>
      </w:pPr>
      <w:r>
        <w:rPr>
          <w:sz w:val="20"/>
        </w:rPr>
        <w:t>El importe de las prestaciones parciales que el medio propio pueda contratar con terceros no excederá del 50 por ciento de la cuantía del encargo. No se considerarán prestaciones parciales aquellas que el medio propio adquiera a otras empresas cuando se trate de suministros o servicios auxiliares o instrumentales que no constituyen una parte autónoma y diferenciable de la prestación principal, aunque sean parte del proceso</w:t>
      </w:r>
      <w:r>
        <w:rPr>
          <w:spacing w:val="40"/>
          <w:sz w:val="20"/>
        </w:rPr>
        <w:t xml:space="preserve"> </w:t>
      </w:r>
      <w:r>
        <w:rPr>
          <w:sz w:val="20"/>
        </w:rPr>
        <w:t>necesario para producir dicha prestación.</w:t>
      </w:r>
    </w:p>
    <w:p w:rsidR="0092635B" w:rsidRDefault="00000000">
      <w:pPr>
        <w:pStyle w:val="Textoindependiente"/>
        <w:spacing w:before="5" w:line="249" w:lineRule="auto"/>
        <w:ind w:right="1102"/>
      </w:pPr>
      <w:r>
        <w:t>No será aplicable lo establecido en esta letra a los contratos de obras que celebren los medios propios a los que se les haya encargado una concesión, ya sea de obras o de servicios. Igualmente no será de aplicación en los supuestos en los que la gestión del servicio público se efectúe mediante la creación de entidades de derecho público destinadas a</w:t>
      </w:r>
      <w:r>
        <w:rPr>
          <w:spacing w:val="-1"/>
        </w:rPr>
        <w:t xml:space="preserve"> </w:t>
      </w:r>
      <w:r>
        <w:t>este</w:t>
      </w:r>
      <w:r>
        <w:rPr>
          <w:spacing w:val="-1"/>
        </w:rPr>
        <w:t xml:space="preserve"> </w:t>
      </w:r>
      <w:r>
        <w:t>fin,</w:t>
      </w:r>
      <w:r>
        <w:rPr>
          <w:spacing w:val="-1"/>
        </w:rPr>
        <w:t xml:space="preserve"> </w:t>
      </w:r>
      <w:r>
        <w:t>ni</w:t>
      </w:r>
      <w:r>
        <w:rPr>
          <w:spacing w:val="-1"/>
        </w:rPr>
        <w:t xml:space="preserve"> </w:t>
      </w:r>
      <w:r>
        <w:t>a</w:t>
      </w:r>
      <w:r>
        <w:rPr>
          <w:spacing w:val="-1"/>
        </w:rPr>
        <w:t xml:space="preserve"> </w:t>
      </w:r>
      <w:r>
        <w:t>aquellos</w:t>
      </w:r>
      <w:r>
        <w:rPr>
          <w:spacing w:val="-1"/>
        </w:rPr>
        <w:t xml:space="preserve"> </w:t>
      </w:r>
      <w:r>
        <w:t>en</w:t>
      </w:r>
      <w:r>
        <w:rPr>
          <w:spacing w:val="-1"/>
        </w:rPr>
        <w:t xml:space="preserve"> </w:t>
      </w:r>
      <w:r>
        <w:t>que</w:t>
      </w:r>
      <w:r>
        <w:rPr>
          <w:spacing w:val="-1"/>
        </w:rPr>
        <w:t xml:space="preserve"> </w:t>
      </w:r>
      <w:r>
        <w:t>la</w:t>
      </w:r>
      <w:r>
        <w:rPr>
          <w:spacing w:val="-1"/>
        </w:rPr>
        <w:t xml:space="preserve"> </w:t>
      </w:r>
      <w:r>
        <w:t>misma</w:t>
      </w:r>
      <w:r>
        <w:rPr>
          <w:spacing w:val="-1"/>
        </w:rPr>
        <w:t xml:space="preserve"> </w:t>
      </w:r>
      <w:r>
        <w:t>se</w:t>
      </w:r>
      <w:r>
        <w:rPr>
          <w:spacing w:val="-1"/>
        </w:rPr>
        <w:t xml:space="preserve"> </w:t>
      </w:r>
      <w:r>
        <w:t>atribuya</w:t>
      </w:r>
      <w:r>
        <w:rPr>
          <w:spacing w:val="-1"/>
        </w:rPr>
        <w:t xml:space="preserve"> </w:t>
      </w:r>
      <w:r>
        <w:t>a</w:t>
      </w:r>
      <w:r>
        <w:rPr>
          <w:spacing w:val="-1"/>
        </w:rPr>
        <w:t xml:space="preserve"> </w:t>
      </w:r>
      <w:r>
        <w:t>una</w:t>
      </w:r>
      <w:r>
        <w:rPr>
          <w:spacing w:val="-1"/>
        </w:rPr>
        <w:t xml:space="preserve"> </w:t>
      </w:r>
      <w:r>
        <w:t>sociedad</w:t>
      </w:r>
      <w:r>
        <w:rPr>
          <w:spacing w:val="-1"/>
        </w:rPr>
        <w:t xml:space="preserve"> </w:t>
      </w:r>
      <w:r>
        <w:t>de</w:t>
      </w:r>
      <w:r>
        <w:rPr>
          <w:spacing w:val="-1"/>
        </w:rPr>
        <w:t xml:space="preserve"> </w:t>
      </w:r>
      <w:r>
        <w:t>derecho</w:t>
      </w:r>
      <w:r>
        <w:rPr>
          <w:spacing w:val="-1"/>
        </w:rPr>
        <w:t xml:space="preserve"> </w:t>
      </w:r>
      <w:r>
        <w:t>privado</w:t>
      </w:r>
      <w:r>
        <w:rPr>
          <w:spacing w:val="-1"/>
        </w:rPr>
        <w:t xml:space="preserve"> </w:t>
      </w:r>
      <w:r>
        <w:t>cuyo capital sea, en su totalidad, de titularidad pública.</w:t>
      </w:r>
    </w:p>
    <w:p w:rsidR="0092635B" w:rsidRDefault="00000000">
      <w:pPr>
        <w:pStyle w:val="Textoindependiente"/>
        <w:spacing w:before="5" w:line="249" w:lineRule="auto"/>
        <w:ind w:right="1102"/>
      </w:pPr>
      <w:r>
        <w:t>Tampoco será aplicable a los contratos que celebren los medios propios a los que se les haya encargado la prestación de servicios informáticos y tecnológicos a la Administración Pública con el fin de garantizar la compatibilidad, la comunicabilidad y la seguridad de redes y sistemas, la integridad, fiabilidad y confidencialidad de la información, así como a los que celebren los medios propios cuyas funciones sean el fomento de las telecomunicaciones, el desarrollo de la sociedad de la información y sociedad digital.</w:t>
      </w:r>
    </w:p>
    <w:p w:rsidR="0092635B" w:rsidRDefault="00000000">
      <w:pPr>
        <w:pStyle w:val="Textoindependiente"/>
        <w:spacing w:before="5" w:line="249" w:lineRule="auto"/>
        <w:ind w:right="1103"/>
      </w:pPr>
      <w:r>
        <w:t>Excepcionalmente podrá superarse dicho porcentaje de contratación siempre que el encargo al medio propio se base en razones de seguridad, en la naturaleza de la prestación que requiera un mayor control en la ejecución de la misma, o en razones de urgencia que demanden una mayor celeridad en su ejecución. La justificación de que concurren estas circunstancias se acompañará al documento de formalización del encargo y se publicará en la Plataforma de Contratación correspondiente conjuntamente con éste.</w:t>
      </w:r>
    </w:p>
    <w:p w:rsidR="0092635B" w:rsidRDefault="0092635B">
      <w:pPr>
        <w:pStyle w:val="Textoindependiente"/>
        <w:ind w:left="0" w:firstLine="0"/>
        <w:jc w:val="left"/>
      </w:pPr>
    </w:p>
    <w:p w:rsidR="0092635B" w:rsidRDefault="00000000">
      <w:pPr>
        <w:tabs>
          <w:tab w:val="left" w:pos="2448"/>
        </w:tabs>
        <w:spacing w:line="249" w:lineRule="auto"/>
        <w:ind w:left="1106" w:right="1120" w:hanging="1"/>
        <w:rPr>
          <w:rFonts w:ascii="Arial" w:hAnsi="Arial"/>
          <w:i/>
          <w:sz w:val="20"/>
        </w:rPr>
      </w:pPr>
      <w:bookmarkStart w:id="57" w:name="Artículo_33._Encargos_de_entidades_perte"/>
      <w:bookmarkEnd w:id="57"/>
      <w:r>
        <w:rPr>
          <w:rFonts w:ascii="Arial" w:hAnsi="Arial"/>
          <w:b/>
          <w:sz w:val="20"/>
        </w:rPr>
        <w:t>Artículo</w:t>
      </w:r>
      <w:r>
        <w:rPr>
          <w:rFonts w:ascii="Arial" w:hAnsi="Arial"/>
          <w:b/>
          <w:spacing w:val="40"/>
          <w:sz w:val="20"/>
        </w:rPr>
        <w:t xml:space="preserve"> </w:t>
      </w:r>
      <w:r>
        <w:rPr>
          <w:rFonts w:ascii="Arial" w:hAnsi="Arial"/>
          <w:b/>
          <w:sz w:val="20"/>
        </w:rPr>
        <w:t>33.</w:t>
      </w:r>
      <w:r>
        <w:rPr>
          <w:rFonts w:ascii="Arial" w:hAnsi="Arial"/>
          <w:b/>
          <w:sz w:val="20"/>
        </w:rPr>
        <w:tab/>
      </w:r>
      <w:r>
        <w:rPr>
          <w:rFonts w:ascii="Arial" w:hAnsi="Arial"/>
          <w:i/>
          <w:sz w:val="20"/>
        </w:rPr>
        <w:t>Encargos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entidades</w:t>
      </w:r>
      <w:r>
        <w:rPr>
          <w:rFonts w:ascii="Arial" w:hAnsi="Arial"/>
          <w:i/>
          <w:spacing w:val="40"/>
          <w:sz w:val="20"/>
        </w:rPr>
        <w:t xml:space="preserve"> </w:t>
      </w:r>
      <w:r>
        <w:rPr>
          <w:rFonts w:ascii="Arial" w:hAnsi="Arial"/>
          <w:i/>
          <w:sz w:val="20"/>
        </w:rPr>
        <w:t>pertenecientes</w:t>
      </w:r>
      <w:r>
        <w:rPr>
          <w:rFonts w:ascii="Arial" w:hAnsi="Arial"/>
          <w:i/>
          <w:spacing w:val="40"/>
          <w:sz w:val="20"/>
        </w:rPr>
        <w:t xml:space="preserve"> </w:t>
      </w:r>
      <w:r>
        <w:rPr>
          <w:rFonts w:ascii="Arial" w:hAnsi="Arial"/>
          <w:i/>
          <w:sz w:val="20"/>
        </w:rPr>
        <w:t>al</w:t>
      </w:r>
      <w:r>
        <w:rPr>
          <w:rFonts w:ascii="Arial" w:hAnsi="Arial"/>
          <w:i/>
          <w:spacing w:val="40"/>
          <w:sz w:val="20"/>
        </w:rPr>
        <w:t xml:space="preserve"> </w:t>
      </w:r>
      <w:r>
        <w:rPr>
          <w:rFonts w:ascii="Arial" w:hAnsi="Arial"/>
          <w:i/>
          <w:sz w:val="20"/>
        </w:rPr>
        <w:t>sector</w:t>
      </w:r>
      <w:r>
        <w:rPr>
          <w:rFonts w:ascii="Arial" w:hAnsi="Arial"/>
          <w:i/>
          <w:spacing w:val="40"/>
          <w:sz w:val="20"/>
        </w:rPr>
        <w:t xml:space="preserve"> </w:t>
      </w:r>
      <w:r>
        <w:rPr>
          <w:rFonts w:ascii="Arial" w:hAnsi="Arial"/>
          <w:i/>
          <w:sz w:val="20"/>
        </w:rPr>
        <w:t>público</w:t>
      </w:r>
      <w:r>
        <w:rPr>
          <w:rFonts w:ascii="Arial" w:hAnsi="Arial"/>
          <w:i/>
          <w:spacing w:val="40"/>
          <w:sz w:val="20"/>
        </w:rPr>
        <w:t xml:space="preserve"> </w:t>
      </w:r>
      <w:r>
        <w:rPr>
          <w:rFonts w:ascii="Arial" w:hAnsi="Arial"/>
          <w:i/>
          <w:sz w:val="20"/>
        </w:rPr>
        <w:t>que</w:t>
      </w:r>
      <w:r>
        <w:rPr>
          <w:rFonts w:ascii="Arial" w:hAnsi="Arial"/>
          <w:i/>
          <w:spacing w:val="40"/>
          <w:sz w:val="20"/>
        </w:rPr>
        <w:t xml:space="preserve"> </w:t>
      </w:r>
      <w:r>
        <w:rPr>
          <w:rFonts w:ascii="Arial" w:hAnsi="Arial"/>
          <w:i/>
          <w:sz w:val="20"/>
        </w:rPr>
        <w:t>no</w:t>
      </w:r>
      <w:r>
        <w:rPr>
          <w:rFonts w:ascii="Arial" w:hAnsi="Arial"/>
          <w:i/>
          <w:spacing w:val="40"/>
          <w:sz w:val="20"/>
        </w:rPr>
        <w:t xml:space="preserve"> </w:t>
      </w:r>
      <w:r>
        <w:rPr>
          <w:rFonts w:ascii="Arial" w:hAnsi="Arial"/>
          <w:i/>
          <w:sz w:val="20"/>
        </w:rPr>
        <w:t>tengan</w:t>
      </w:r>
      <w:r>
        <w:rPr>
          <w:rFonts w:ascii="Arial" w:hAnsi="Arial"/>
          <w:i/>
          <w:spacing w:val="40"/>
          <w:sz w:val="20"/>
        </w:rPr>
        <w:t xml:space="preserve"> </w:t>
      </w:r>
      <w:r>
        <w:rPr>
          <w:rFonts w:ascii="Arial" w:hAnsi="Arial"/>
          <w:i/>
          <w:sz w:val="20"/>
        </w:rPr>
        <w:t>la consideración de poder adjudicador a medios propios personificados.</w:t>
      </w:r>
    </w:p>
    <w:p w:rsidR="0092635B" w:rsidRDefault="00000000">
      <w:pPr>
        <w:pStyle w:val="Prrafodelista"/>
        <w:numPr>
          <w:ilvl w:val="0"/>
          <w:numId w:val="322"/>
        </w:numPr>
        <w:tabs>
          <w:tab w:val="left" w:pos="1674"/>
        </w:tabs>
        <w:spacing w:before="115" w:line="249" w:lineRule="auto"/>
        <w:ind w:right="1104" w:firstLine="340"/>
        <w:jc w:val="both"/>
        <w:rPr>
          <w:sz w:val="20"/>
        </w:rPr>
      </w:pPr>
      <w:r>
        <w:rPr>
          <w:sz w:val="20"/>
        </w:rPr>
        <w:t>Las entidades del sector público que no tengan la consideración de poder adjudicador podrán ejecutar de manera directa prestaciones propias de los contratos de obras, suministros, servicios, concesión de obras y concesión de servicios a cambio de una compensación</w:t>
      </w:r>
      <w:r>
        <w:rPr>
          <w:spacing w:val="-1"/>
          <w:sz w:val="20"/>
        </w:rPr>
        <w:t xml:space="preserve"> </w:t>
      </w:r>
      <w:r>
        <w:rPr>
          <w:sz w:val="20"/>
        </w:rPr>
        <w:t>valiéndose</w:t>
      </w:r>
      <w:r>
        <w:rPr>
          <w:spacing w:val="-1"/>
          <w:sz w:val="20"/>
        </w:rPr>
        <w:t xml:space="preserve"> </w:t>
      </w:r>
      <w:r>
        <w:rPr>
          <w:sz w:val="20"/>
        </w:rPr>
        <w:t>de</w:t>
      </w:r>
      <w:r>
        <w:rPr>
          <w:spacing w:val="-1"/>
          <w:sz w:val="20"/>
        </w:rPr>
        <w:t xml:space="preserve"> </w:t>
      </w:r>
      <w:r>
        <w:rPr>
          <w:sz w:val="20"/>
        </w:rPr>
        <w:t>otra</w:t>
      </w:r>
      <w:r>
        <w:rPr>
          <w:spacing w:val="-1"/>
          <w:sz w:val="20"/>
        </w:rPr>
        <w:t xml:space="preserve"> </w:t>
      </w:r>
      <w:r>
        <w:rPr>
          <w:sz w:val="20"/>
        </w:rPr>
        <w:t>persona</w:t>
      </w:r>
      <w:r>
        <w:rPr>
          <w:spacing w:val="-1"/>
          <w:sz w:val="20"/>
        </w:rPr>
        <w:t xml:space="preserve"> </w:t>
      </w:r>
      <w:r>
        <w:rPr>
          <w:sz w:val="20"/>
        </w:rPr>
        <w:t>jurídica</w:t>
      </w:r>
      <w:r>
        <w:rPr>
          <w:spacing w:val="-1"/>
          <w:sz w:val="20"/>
        </w:rPr>
        <w:t xml:space="preserve"> </w:t>
      </w:r>
      <w:r>
        <w:rPr>
          <w:sz w:val="20"/>
        </w:rPr>
        <w:t>distinta</w:t>
      </w:r>
      <w:r>
        <w:rPr>
          <w:spacing w:val="-1"/>
          <w:sz w:val="20"/>
        </w:rPr>
        <w:t xml:space="preserve"> </w:t>
      </w:r>
      <w:r>
        <w:rPr>
          <w:sz w:val="20"/>
        </w:rPr>
        <w:t>a</w:t>
      </w:r>
      <w:r>
        <w:rPr>
          <w:spacing w:val="-1"/>
          <w:sz w:val="20"/>
        </w:rPr>
        <w:t xml:space="preserve"> </w:t>
      </w:r>
      <w:r>
        <w:rPr>
          <w:sz w:val="20"/>
        </w:rPr>
        <w:t>ellos,</w:t>
      </w:r>
      <w:r>
        <w:rPr>
          <w:spacing w:val="-1"/>
          <w:sz w:val="20"/>
        </w:rPr>
        <w:t xml:space="preserve"> </w:t>
      </w:r>
      <w:r>
        <w:rPr>
          <w:sz w:val="20"/>
        </w:rPr>
        <w:t>previo</w:t>
      </w:r>
      <w:r>
        <w:rPr>
          <w:spacing w:val="-1"/>
          <w:sz w:val="20"/>
        </w:rPr>
        <w:t xml:space="preserve"> </w:t>
      </w:r>
      <w:r>
        <w:rPr>
          <w:sz w:val="20"/>
        </w:rPr>
        <w:t>encargo</w:t>
      </w:r>
      <w:r>
        <w:rPr>
          <w:spacing w:val="-1"/>
          <w:sz w:val="20"/>
        </w:rPr>
        <w:t xml:space="preserve"> </w:t>
      </w:r>
      <w:r>
        <w:rPr>
          <w:sz w:val="20"/>
        </w:rPr>
        <w:t>a</w:t>
      </w:r>
      <w:r>
        <w:rPr>
          <w:spacing w:val="-1"/>
          <w:sz w:val="20"/>
        </w:rPr>
        <w:t xml:space="preserve"> </w:t>
      </w:r>
      <w:r>
        <w:rPr>
          <w:sz w:val="20"/>
        </w:rPr>
        <w:t>esta,</w:t>
      </w:r>
      <w:r>
        <w:rPr>
          <w:spacing w:val="-1"/>
          <w:sz w:val="20"/>
        </w:rPr>
        <w:t xml:space="preserve"> </w:t>
      </w:r>
      <w:r>
        <w:rPr>
          <w:sz w:val="20"/>
        </w:rPr>
        <w:t>con sujeción a lo dispuesto en este artículo, siempre y cuando la persona jurídica que utilicen merezca la calificación jurídica de medio propio personificado respecto de ellos, de conformidad con lo dispuesto en el apartado siguiente. El encargo que cumpla estos requisitos no tendrá la consideración de contrato.</w:t>
      </w:r>
    </w:p>
    <w:p w:rsidR="0092635B" w:rsidRDefault="00000000">
      <w:pPr>
        <w:pStyle w:val="Prrafodelista"/>
        <w:numPr>
          <w:ilvl w:val="0"/>
          <w:numId w:val="322"/>
        </w:numPr>
        <w:tabs>
          <w:tab w:val="left" w:pos="1717"/>
        </w:tabs>
        <w:spacing w:before="6" w:line="249" w:lineRule="auto"/>
        <w:ind w:firstLine="340"/>
        <w:jc w:val="both"/>
        <w:rPr>
          <w:sz w:val="20"/>
        </w:rPr>
      </w:pPr>
      <w:r>
        <w:rPr>
          <w:sz w:val="20"/>
        </w:rPr>
        <w:t>Tendrán la consideración de medio propio personificado respecto de una entidad perteneciente</w:t>
      </w:r>
      <w:r>
        <w:rPr>
          <w:spacing w:val="-4"/>
          <w:sz w:val="20"/>
        </w:rPr>
        <w:t xml:space="preserve"> </w:t>
      </w:r>
      <w:r>
        <w:rPr>
          <w:sz w:val="20"/>
        </w:rPr>
        <w:t>al</w:t>
      </w:r>
      <w:r>
        <w:rPr>
          <w:spacing w:val="-4"/>
          <w:sz w:val="20"/>
        </w:rPr>
        <w:t xml:space="preserve"> </w:t>
      </w:r>
      <w:r>
        <w:rPr>
          <w:sz w:val="20"/>
        </w:rPr>
        <w:t>Sector</w:t>
      </w:r>
      <w:r>
        <w:rPr>
          <w:spacing w:val="-4"/>
          <w:sz w:val="20"/>
        </w:rPr>
        <w:t xml:space="preserve"> </w:t>
      </w:r>
      <w:r>
        <w:rPr>
          <w:sz w:val="20"/>
        </w:rPr>
        <w:t>Público</w:t>
      </w:r>
      <w:r>
        <w:rPr>
          <w:spacing w:val="-4"/>
          <w:sz w:val="20"/>
        </w:rPr>
        <w:t xml:space="preserve"> </w:t>
      </w:r>
      <w:r>
        <w:rPr>
          <w:sz w:val="20"/>
        </w:rPr>
        <w:t>que</w:t>
      </w:r>
      <w:r>
        <w:rPr>
          <w:spacing w:val="-4"/>
          <w:sz w:val="20"/>
        </w:rPr>
        <w:t xml:space="preserve"> </w:t>
      </w:r>
      <w:r>
        <w:rPr>
          <w:sz w:val="20"/>
        </w:rPr>
        <w:t>no</w:t>
      </w:r>
      <w:r>
        <w:rPr>
          <w:spacing w:val="-4"/>
          <w:sz w:val="20"/>
        </w:rPr>
        <w:t xml:space="preserve"> </w:t>
      </w:r>
      <w:r>
        <w:rPr>
          <w:sz w:val="20"/>
        </w:rPr>
        <w:t>tenga</w:t>
      </w:r>
      <w:r>
        <w:rPr>
          <w:spacing w:val="-4"/>
          <w:sz w:val="20"/>
        </w:rPr>
        <w:t xml:space="preserve"> </w:t>
      </w:r>
      <w:r>
        <w:rPr>
          <w:sz w:val="20"/>
        </w:rPr>
        <w:t>la</w:t>
      </w:r>
      <w:r>
        <w:rPr>
          <w:spacing w:val="-4"/>
          <w:sz w:val="20"/>
        </w:rPr>
        <w:t xml:space="preserve"> </w:t>
      </w:r>
      <w:r>
        <w:rPr>
          <w:sz w:val="20"/>
        </w:rPr>
        <w:t>consideración</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aquellas personas jurídicas, de derecho público o de derecho privado, que cumplan todos y cada uno de los requisitos siguientes:</w:t>
      </w:r>
    </w:p>
    <w:p w:rsidR="0092635B" w:rsidRDefault="00000000">
      <w:pPr>
        <w:pStyle w:val="Prrafodelista"/>
        <w:numPr>
          <w:ilvl w:val="1"/>
          <w:numId w:val="322"/>
        </w:numPr>
        <w:tabs>
          <w:tab w:val="left" w:pos="1690"/>
        </w:tabs>
        <w:spacing w:before="124" w:line="249" w:lineRule="auto"/>
        <w:ind w:right="1105" w:firstLine="340"/>
        <w:jc w:val="both"/>
        <w:rPr>
          <w:sz w:val="20"/>
        </w:rPr>
      </w:pPr>
      <w:r>
        <w:rPr>
          <w:sz w:val="20"/>
        </w:rPr>
        <w:t>Que el ente que hace el encargo ostente control, directo o indirecto, en el sentido del artículo</w:t>
      </w:r>
      <w:r>
        <w:rPr>
          <w:spacing w:val="-1"/>
          <w:sz w:val="20"/>
        </w:rPr>
        <w:t xml:space="preserve"> </w:t>
      </w:r>
      <w:r>
        <w:rPr>
          <w:sz w:val="20"/>
        </w:rPr>
        <w:t>32.2.a),</w:t>
      </w:r>
      <w:r>
        <w:rPr>
          <w:spacing w:val="-1"/>
          <w:sz w:val="20"/>
        </w:rPr>
        <w:t xml:space="preserve"> </w:t>
      </w:r>
      <w:r>
        <w:rPr>
          <w:sz w:val="20"/>
        </w:rPr>
        <w:t>primer</w:t>
      </w:r>
      <w:r>
        <w:rPr>
          <w:spacing w:val="-1"/>
          <w:sz w:val="20"/>
        </w:rPr>
        <w:t xml:space="preserve"> </w:t>
      </w:r>
      <w:r>
        <w:rPr>
          <w:sz w:val="20"/>
        </w:rPr>
        <w:t>y</w:t>
      </w:r>
      <w:r>
        <w:rPr>
          <w:spacing w:val="-1"/>
          <w:sz w:val="20"/>
        </w:rPr>
        <w:t xml:space="preserve"> </w:t>
      </w:r>
      <w:r>
        <w:rPr>
          <w:sz w:val="20"/>
        </w:rPr>
        <w:t>segundo</w:t>
      </w:r>
      <w:r>
        <w:rPr>
          <w:spacing w:val="-1"/>
          <w:sz w:val="20"/>
        </w:rPr>
        <w:t xml:space="preserve"> </w:t>
      </w:r>
      <w:r>
        <w:rPr>
          <w:sz w:val="20"/>
        </w:rPr>
        <w:t>párrafos</w:t>
      </w:r>
      <w:r>
        <w:rPr>
          <w:spacing w:val="-1"/>
          <w:sz w:val="20"/>
        </w:rPr>
        <w:t xml:space="preserve"> </w:t>
      </w:r>
      <w:r>
        <w:rPr>
          <w:sz w:val="20"/>
        </w:rPr>
        <w:t>de</w:t>
      </w:r>
      <w:r>
        <w:rPr>
          <w:spacing w:val="-1"/>
          <w:sz w:val="20"/>
        </w:rPr>
        <w:t xml:space="preserve"> </w:t>
      </w:r>
      <w:r>
        <w:rPr>
          <w:sz w:val="20"/>
        </w:rPr>
        <w:t>esta</w:t>
      </w:r>
      <w:r>
        <w:rPr>
          <w:spacing w:val="-1"/>
          <w:sz w:val="20"/>
        </w:rPr>
        <w:t xml:space="preserve"> </w:t>
      </w:r>
      <w:r>
        <w:rPr>
          <w:sz w:val="20"/>
        </w:rPr>
        <w:t>Ley,</w:t>
      </w:r>
      <w:r>
        <w:rPr>
          <w:spacing w:val="-1"/>
          <w:sz w:val="20"/>
        </w:rPr>
        <w:t xml:space="preserve"> </w:t>
      </w:r>
      <w:r>
        <w:rPr>
          <w:sz w:val="20"/>
        </w:rPr>
        <w:t>sobre</w:t>
      </w:r>
      <w:r>
        <w:rPr>
          <w:spacing w:val="-1"/>
          <w:sz w:val="20"/>
        </w:rPr>
        <w:t xml:space="preserve"> </w:t>
      </w:r>
      <w:r>
        <w:rPr>
          <w:sz w:val="20"/>
        </w:rPr>
        <w:t>el</w:t>
      </w:r>
      <w:r>
        <w:rPr>
          <w:spacing w:val="-1"/>
          <w:sz w:val="20"/>
        </w:rPr>
        <w:t xml:space="preserve"> </w:t>
      </w:r>
      <w:r>
        <w:rPr>
          <w:sz w:val="20"/>
        </w:rPr>
        <w:t>ente</w:t>
      </w:r>
      <w:r>
        <w:rPr>
          <w:spacing w:val="-1"/>
          <w:sz w:val="20"/>
        </w:rPr>
        <w:t xml:space="preserve"> </w:t>
      </w:r>
      <w:r>
        <w:rPr>
          <w:sz w:val="20"/>
        </w:rPr>
        <w:t>destinatario</w:t>
      </w:r>
      <w:r>
        <w:rPr>
          <w:spacing w:val="-1"/>
          <w:sz w:val="20"/>
        </w:rPr>
        <w:t xml:space="preserve"> </w:t>
      </w:r>
      <w:r>
        <w:rPr>
          <w:sz w:val="20"/>
        </w:rPr>
        <w:t>del</w:t>
      </w:r>
      <w:r>
        <w:rPr>
          <w:spacing w:val="-1"/>
          <w:sz w:val="20"/>
        </w:rPr>
        <w:t xml:space="preserve"> </w:t>
      </w:r>
      <w:r>
        <w:rPr>
          <w:sz w:val="20"/>
        </w:rPr>
        <w:t>mismo.</w:t>
      </w:r>
    </w:p>
    <w:p w:rsidR="0092635B" w:rsidRDefault="00000000">
      <w:pPr>
        <w:pStyle w:val="Prrafodelista"/>
        <w:numPr>
          <w:ilvl w:val="1"/>
          <w:numId w:val="322"/>
        </w:numPr>
        <w:tabs>
          <w:tab w:val="left" w:pos="1678"/>
        </w:tabs>
        <w:spacing w:before="1" w:line="249" w:lineRule="auto"/>
        <w:ind w:right="1106" w:firstLine="339"/>
        <w:jc w:val="both"/>
        <w:rPr>
          <w:sz w:val="20"/>
        </w:rPr>
      </w:pPr>
      <w:r>
        <w:rPr>
          <w:sz w:val="20"/>
        </w:rPr>
        <w:t>Que</w:t>
      </w:r>
      <w:r>
        <w:rPr>
          <w:spacing w:val="-2"/>
          <w:sz w:val="20"/>
        </w:rPr>
        <w:t xml:space="preserve"> </w:t>
      </w:r>
      <w:r>
        <w:rPr>
          <w:sz w:val="20"/>
        </w:rPr>
        <w:t>la</w:t>
      </w:r>
      <w:r>
        <w:rPr>
          <w:spacing w:val="-2"/>
          <w:sz w:val="20"/>
        </w:rPr>
        <w:t xml:space="preserve"> </w:t>
      </w:r>
      <w:r>
        <w:rPr>
          <w:sz w:val="20"/>
        </w:rPr>
        <w:t>totalidad</w:t>
      </w:r>
      <w:r>
        <w:rPr>
          <w:spacing w:val="-2"/>
          <w:sz w:val="20"/>
        </w:rPr>
        <w:t xml:space="preserve"> </w:t>
      </w:r>
      <w:r>
        <w:rPr>
          <w:sz w:val="20"/>
        </w:rPr>
        <w:t>del</w:t>
      </w:r>
      <w:r>
        <w:rPr>
          <w:spacing w:val="-2"/>
          <w:sz w:val="20"/>
        </w:rPr>
        <w:t xml:space="preserve"> </w:t>
      </w:r>
      <w:r>
        <w:rPr>
          <w:sz w:val="20"/>
        </w:rPr>
        <w:t>capital</w:t>
      </w:r>
      <w:r>
        <w:rPr>
          <w:spacing w:val="-2"/>
          <w:sz w:val="20"/>
        </w:rPr>
        <w:t xml:space="preserve"> </w:t>
      </w:r>
      <w:r>
        <w:rPr>
          <w:sz w:val="20"/>
        </w:rPr>
        <w:t>social</w:t>
      </w:r>
      <w:r>
        <w:rPr>
          <w:spacing w:val="-2"/>
          <w:sz w:val="20"/>
        </w:rPr>
        <w:t xml:space="preserve"> </w:t>
      </w:r>
      <w:r>
        <w:rPr>
          <w:sz w:val="20"/>
        </w:rPr>
        <w:t>o</w:t>
      </w:r>
      <w:r>
        <w:rPr>
          <w:spacing w:val="-2"/>
          <w:sz w:val="20"/>
        </w:rPr>
        <w:t xml:space="preserve"> </w:t>
      </w:r>
      <w:r>
        <w:rPr>
          <w:sz w:val="20"/>
        </w:rPr>
        <w:t>patrimonio</w:t>
      </w:r>
      <w:r>
        <w:rPr>
          <w:spacing w:val="-2"/>
          <w:sz w:val="20"/>
        </w:rPr>
        <w:t xml:space="preserve"> </w:t>
      </w:r>
      <w:r>
        <w:rPr>
          <w:sz w:val="20"/>
        </w:rPr>
        <w:t>del</w:t>
      </w:r>
      <w:r>
        <w:rPr>
          <w:spacing w:val="-2"/>
          <w:sz w:val="20"/>
        </w:rPr>
        <w:t xml:space="preserve"> </w:t>
      </w:r>
      <w:r>
        <w:rPr>
          <w:sz w:val="20"/>
        </w:rPr>
        <w:t>ente</w:t>
      </w:r>
      <w:r>
        <w:rPr>
          <w:spacing w:val="-2"/>
          <w:sz w:val="20"/>
        </w:rPr>
        <w:t xml:space="preserve"> </w:t>
      </w:r>
      <w:r>
        <w:rPr>
          <w:sz w:val="20"/>
        </w:rPr>
        <w:t>destinatario</w:t>
      </w:r>
      <w:r>
        <w:rPr>
          <w:spacing w:val="-2"/>
          <w:sz w:val="20"/>
        </w:rPr>
        <w:t xml:space="preserve"> </w:t>
      </w:r>
      <w:r>
        <w:rPr>
          <w:sz w:val="20"/>
        </w:rPr>
        <w:t>del</w:t>
      </w:r>
      <w:r>
        <w:rPr>
          <w:spacing w:val="-2"/>
          <w:sz w:val="20"/>
        </w:rPr>
        <w:t xml:space="preserve"> </w:t>
      </w:r>
      <w:r>
        <w:rPr>
          <w:sz w:val="20"/>
        </w:rPr>
        <w:t>encargo</w:t>
      </w:r>
      <w:r>
        <w:rPr>
          <w:spacing w:val="-2"/>
          <w:sz w:val="20"/>
        </w:rPr>
        <w:t xml:space="preserve"> </w:t>
      </w:r>
      <w:r>
        <w:rPr>
          <w:sz w:val="20"/>
        </w:rPr>
        <w:t>sea</w:t>
      </w:r>
      <w:r>
        <w:rPr>
          <w:spacing w:val="-2"/>
          <w:sz w:val="20"/>
        </w:rPr>
        <w:t xml:space="preserve"> </w:t>
      </w:r>
      <w:r>
        <w:rPr>
          <w:sz w:val="20"/>
        </w:rPr>
        <w:t>de titularidad pública.</w:t>
      </w:r>
    </w:p>
    <w:p w:rsidR="0092635B" w:rsidRDefault="00000000">
      <w:pPr>
        <w:pStyle w:val="Prrafodelista"/>
        <w:numPr>
          <w:ilvl w:val="1"/>
          <w:numId w:val="322"/>
        </w:numPr>
        <w:tabs>
          <w:tab w:val="left" w:pos="1700"/>
        </w:tabs>
        <w:spacing w:line="249" w:lineRule="auto"/>
        <w:ind w:right="1105" w:firstLine="340"/>
        <w:jc w:val="both"/>
        <w:rPr>
          <w:sz w:val="20"/>
        </w:rPr>
      </w:pPr>
      <w:r>
        <w:rPr>
          <w:sz w:val="20"/>
        </w:rPr>
        <w:t>Que más del 80 por ciento de las actividades del ente destinatario del encargo se lleven a cabo en el ejercicio de los cometidos que le han sido confiados por la entidad que realiza el encargo y que lo controla o por otras personas jurídicas controladas del mismo modo por la entidad que realiza el encargo.</w:t>
      </w:r>
    </w:p>
    <w:p w:rsidR="0092635B" w:rsidRDefault="00000000">
      <w:pPr>
        <w:pStyle w:val="Prrafodelista"/>
        <w:numPr>
          <w:ilvl w:val="0"/>
          <w:numId w:val="322"/>
        </w:numPr>
        <w:tabs>
          <w:tab w:val="left" w:pos="1710"/>
        </w:tabs>
        <w:spacing w:before="3" w:line="249" w:lineRule="auto"/>
        <w:ind w:right="1104" w:firstLine="340"/>
        <w:jc w:val="both"/>
        <w:rPr>
          <w:sz w:val="20"/>
        </w:rPr>
      </w:pPr>
      <w:r>
        <w:rPr>
          <w:sz w:val="20"/>
        </w:rPr>
        <w:t>El apartado 2 del presente artículo también se aplicará en los casos en que una entidad del Sector Público estatal realice un encargo a otra del mismo sector, siempre que 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entidad que realiza el encargo y la que lo reciba estén controladas, directa o indirectamente, por</w:t>
      </w:r>
      <w:r>
        <w:rPr>
          <w:spacing w:val="-3"/>
        </w:rPr>
        <w:t xml:space="preserve"> </w:t>
      </w:r>
      <w:r>
        <w:t>la</w:t>
      </w:r>
      <w:r>
        <w:rPr>
          <w:spacing w:val="-3"/>
        </w:rPr>
        <w:t xml:space="preserve"> </w:t>
      </w:r>
      <w:r>
        <w:t>misma</w:t>
      </w:r>
      <w:r>
        <w:rPr>
          <w:spacing w:val="-3"/>
        </w:rPr>
        <w:t xml:space="preserve"> </w:t>
      </w:r>
      <w:r>
        <w:t>entidad</w:t>
      </w:r>
      <w:r>
        <w:rPr>
          <w:spacing w:val="-3"/>
        </w:rPr>
        <w:t xml:space="preserve"> </w:t>
      </w:r>
      <w:r>
        <w:t>de</w:t>
      </w:r>
      <w:r>
        <w:rPr>
          <w:spacing w:val="-3"/>
        </w:rPr>
        <w:t xml:space="preserve"> </w:t>
      </w:r>
      <w:r>
        <w:t>dicho</w:t>
      </w:r>
      <w:r>
        <w:rPr>
          <w:spacing w:val="-3"/>
        </w:rPr>
        <w:t xml:space="preserve"> </w:t>
      </w:r>
      <w:r>
        <w:t>sector</w:t>
      </w:r>
      <w:r>
        <w:rPr>
          <w:spacing w:val="-3"/>
        </w:rPr>
        <w:t xml:space="preserve"> </w:t>
      </w:r>
      <w:r>
        <w:t>y,</w:t>
      </w:r>
      <w:r>
        <w:rPr>
          <w:spacing w:val="-3"/>
        </w:rPr>
        <w:t xml:space="preserve"> </w:t>
      </w:r>
      <w:r>
        <w:t>además,</w:t>
      </w:r>
      <w:r>
        <w:rPr>
          <w:spacing w:val="-3"/>
        </w:rPr>
        <w:t xml:space="preserve"> </w:t>
      </w:r>
      <w:r>
        <w:t>la</w:t>
      </w:r>
      <w:r>
        <w:rPr>
          <w:spacing w:val="-3"/>
        </w:rPr>
        <w:t xml:space="preserve"> </w:t>
      </w:r>
      <w:r>
        <w:t>totalidad</w:t>
      </w:r>
      <w:r>
        <w:rPr>
          <w:spacing w:val="-3"/>
        </w:rPr>
        <w:t xml:space="preserve"> </w:t>
      </w:r>
      <w:r>
        <w:t>del</w:t>
      </w:r>
      <w:r>
        <w:rPr>
          <w:spacing w:val="-3"/>
        </w:rPr>
        <w:t xml:space="preserve"> </w:t>
      </w:r>
      <w:r>
        <w:t>capital</w:t>
      </w:r>
      <w:r>
        <w:rPr>
          <w:spacing w:val="-3"/>
        </w:rPr>
        <w:t xml:space="preserve"> </w:t>
      </w:r>
      <w:r>
        <w:t>social</w:t>
      </w:r>
      <w:r>
        <w:rPr>
          <w:spacing w:val="-3"/>
        </w:rPr>
        <w:t xml:space="preserve"> </w:t>
      </w:r>
      <w:r>
        <w:t>o</w:t>
      </w:r>
      <w:r>
        <w:rPr>
          <w:spacing w:val="-3"/>
        </w:rPr>
        <w:t xml:space="preserve"> </w:t>
      </w:r>
      <w:r>
        <w:t>patrimonio</w:t>
      </w:r>
      <w:r>
        <w:rPr>
          <w:spacing w:val="-3"/>
        </w:rPr>
        <w:t xml:space="preserve"> </w:t>
      </w:r>
      <w:r>
        <w:t xml:space="preserve">de la entidad destinataria del encargo sea de titularidad pública. En este supuesto, el requisito del apartado 2.c) anterior, cuya acreditación deberá reflejarse en la forma dispuesta en él, se entenderá cumplido por referencia al conjunto de actividades que se hagan en el ejercicio de los cometidos que le hayan sido confiados por la entidad que realiza el encargo, por la entidad que controla directa o indirectamente tanto a la entidad que realiza el encargo como a la que lo recibe, así como por cualquier otra entidad también controlada directa o indirectamente por la anterior. En estos casos, la compensación a percibir por la entidad que reciba el encargo deberá ser aprobada por la entidad pública que controla a la entidad que realiza el encargo y a la que lo recibe, debiendo adecuarse dicha compensación y las demás condiciones del encargo a las generales del mercado de forma que no se distorsione la libre </w:t>
      </w:r>
      <w:r>
        <w:rPr>
          <w:spacing w:val="-2"/>
        </w:rPr>
        <w:t>competencia.</w:t>
      </w:r>
    </w:p>
    <w:p w:rsidR="0092635B" w:rsidRDefault="00000000">
      <w:pPr>
        <w:pStyle w:val="Textoindependiente"/>
        <w:spacing w:before="10" w:line="249" w:lineRule="auto"/>
        <w:ind w:right="1103"/>
      </w:pPr>
      <w:r>
        <w:t>La posibilidad que establece el párrafo anterior también podrá ser utilizada por las Comunidades Autónomas y Ciudades Autónomas dentro de cada uno sus respectivos sectores públicos.</w:t>
      </w:r>
    </w:p>
    <w:p w:rsidR="0092635B" w:rsidRDefault="0092635B">
      <w:pPr>
        <w:pStyle w:val="Textoindependiente"/>
        <w:spacing w:before="113"/>
        <w:ind w:left="0" w:firstLine="0"/>
        <w:jc w:val="left"/>
      </w:pPr>
    </w:p>
    <w:p w:rsidR="0092635B" w:rsidRDefault="00000000">
      <w:pPr>
        <w:pStyle w:val="Textoindependiente"/>
        <w:spacing w:before="0"/>
        <w:ind w:left="0" w:firstLine="0"/>
        <w:jc w:val="center"/>
      </w:pPr>
      <w:bookmarkStart w:id="58" w:name="CAPÍTULO_II._Libertad_de_pactos_y_conten"/>
      <w:bookmarkStart w:id="59" w:name="_bookmark12"/>
      <w:bookmarkEnd w:id="58"/>
      <w:bookmarkEnd w:id="59"/>
      <w:r>
        <w:t xml:space="preserve">CAPÍTULO </w:t>
      </w:r>
      <w:r>
        <w:rPr>
          <w:spacing w:val="-5"/>
        </w:rPr>
        <w:t>II</w:t>
      </w:r>
    </w:p>
    <w:p w:rsidR="0092635B" w:rsidRDefault="00000000">
      <w:pPr>
        <w:pStyle w:val="Ttulo2"/>
      </w:pPr>
      <w:r>
        <w:t>Libertad</w:t>
      </w:r>
      <w:r>
        <w:rPr>
          <w:spacing w:val="-1"/>
        </w:rPr>
        <w:t xml:space="preserve"> </w:t>
      </w:r>
      <w:r>
        <w:t>de</w:t>
      </w:r>
      <w:r>
        <w:rPr>
          <w:spacing w:val="-1"/>
        </w:rPr>
        <w:t xml:space="preserve"> </w:t>
      </w:r>
      <w:r>
        <w:t>pactos</w:t>
      </w:r>
      <w:r>
        <w:rPr>
          <w:spacing w:val="-1"/>
        </w:rPr>
        <w:t xml:space="preserve"> </w:t>
      </w:r>
      <w:r>
        <w:t>y</w:t>
      </w:r>
      <w:r>
        <w:rPr>
          <w:spacing w:val="-1"/>
        </w:rPr>
        <w:t xml:space="preserve"> </w:t>
      </w:r>
      <w:r>
        <w:t>contenido</w:t>
      </w:r>
      <w:r>
        <w:rPr>
          <w:spacing w:val="-1"/>
        </w:rPr>
        <w:t xml:space="preserve"> </w:t>
      </w:r>
      <w:r>
        <w:t>mínimo</w:t>
      </w:r>
      <w:r>
        <w:rPr>
          <w:spacing w:val="-1"/>
        </w:rPr>
        <w:t xml:space="preserve"> </w:t>
      </w:r>
      <w:r>
        <w:t xml:space="preserve">del </w:t>
      </w:r>
      <w:r>
        <w:rPr>
          <w:spacing w:val="-2"/>
        </w:rPr>
        <w:t>contrato</w:t>
      </w:r>
    </w:p>
    <w:p w:rsidR="0092635B" w:rsidRDefault="0092635B">
      <w:pPr>
        <w:pStyle w:val="Textoindependiente"/>
        <w:spacing w:before="7"/>
        <w:ind w:left="0" w:firstLine="0"/>
        <w:jc w:val="left"/>
        <w:rPr>
          <w:rFonts w:ascii="Arial"/>
          <w:b/>
        </w:rPr>
      </w:pPr>
    </w:p>
    <w:p w:rsidR="0092635B" w:rsidRDefault="00000000">
      <w:pPr>
        <w:ind w:left="1106"/>
        <w:jc w:val="both"/>
        <w:rPr>
          <w:rFonts w:ascii="Arial" w:hAnsi="Arial"/>
          <w:i/>
          <w:sz w:val="20"/>
        </w:rPr>
      </w:pPr>
      <w:bookmarkStart w:id="60" w:name="Artículo_34._Libertad_de_pactos."/>
      <w:bookmarkEnd w:id="60"/>
      <w:r>
        <w:rPr>
          <w:rFonts w:ascii="Arial" w:hAnsi="Arial"/>
          <w:b/>
          <w:sz w:val="20"/>
        </w:rPr>
        <w:t>Artículo</w:t>
      </w:r>
      <w:r>
        <w:rPr>
          <w:rFonts w:ascii="Arial" w:hAnsi="Arial"/>
          <w:b/>
          <w:spacing w:val="-2"/>
          <w:sz w:val="20"/>
        </w:rPr>
        <w:t xml:space="preserve"> </w:t>
      </w:r>
      <w:r>
        <w:rPr>
          <w:rFonts w:ascii="Arial" w:hAnsi="Arial"/>
          <w:b/>
          <w:sz w:val="20"/>
        </w:rPr>
        <w:t>34.</w:t>
      </w:r>
      <w:r>
        <w:rPr>
          <w:rFonts w:ascii="Arial" w:hAnsi="Arial"/>
          <w:b/>
          <w:spacing w:val="51"/>
          <w:sz w:val="20"/>
        </w:rPr>
        <w:t xml:space="preserve"> </w:t>
      </w:r>
      <w:r>
        <w:rPr>
          <w:rFonts w:ascii="Arial" w:hAnsi="Arial"/>
          <w:i/>
          <w:sz w:val="20"/>
        </w:rPr>
        <w:t>Libertad</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pactos.</w:t>
      </w:r>
    </w:p>
    <w:p w:rsidR="0092635B" w:rsidRDefault="00000000">
      <w:pPr>
        <w:pStyle w:val="Prrafodelista"/>
        <w:numPr>
          <w:ilvl w:val="0"/>
          <w:numId w:val="321"/>
        </w:numPr>
        <w:tabs>
          <w:tab w:val="left" w:pos="1690"/>
        </w:tabs>
        <w:spacing w:before="124" w:line="249" w:lineRule="auto"/>
        <w:ind w:firstLine="340"/>
        <w:jc w:val="both"/>
        <w:rPr>
          <w:sz w:val="20"/>
        </w:rPr>
      </w:pPr>
      <w:r>
        <w:rPr>
          <w:sz w:val="20"/>
        </w:rPr>
        <w:t>En los contratos del sector público podrán incluirse cualesquiera pactos, cláusulas y condiciones, siempre que no sean contrarios al interés público, al ordenamiento jurídico y a los principios de buena administración.</w:t>
      </w:r>
    </w:p>
    <w:p w:rsidR="0092635B" w:rsidRDefault="00000000">
      <w:pPr>
        <w:pStyle w:val="Prrafodelista"/>
        <w:numPr>
          <w:ilvl w:val="0"/>
          <w:numId w:val="321"/>
        </w:numPr>
        <w:tabs>
          <w:tab w:val="left" w:pos="1701"/>
        </w:tabs>
        <w:spacing w:line="249" w:lineRule="auto"/>
        <w:ind w:firstLine="340"/>
        <w:jc w:val="both"/>
        <w:rPr>
          <w:sz w:val="20"/>
        </w:rPr>
      </w:pPr>
      <w:r>
        <w:rPr>
          <w:sz w:val="20"/>
        </w:rPr>
        <w:t>Solo podrán fusionarse prestaciones correspondientes a diferentes contratos en un contrato mixto cuando esas prestaciones se encuentren directamente vinculadas entre sí y mantengan relaciones de complementariedad que exijan su consideración y tratamiento como una unidad funcional dirigida a la satisfacción de una determinada necesidad o a la consecución de un fin institucional propio de la entidad contratante.</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61" w:name="Artículo_35._Contenido_mínimo_del_contra"/>
      <w:bookmarkEnd w:id="61"/>
      <w:r>
        <w:rPr>
          <w:rFonts w:ascii="Arial" w:hAnsi="Arial"/>
          <w:b/>
          <w:sz w:val="20"/>
        </w:rPr>
        <w:t>Artículo</w:t>
      </w:r>
      <w:r>
        <w:rPr>
          <w:rFonts w:ascii="Arial" w:hAnsi="Arial"/>
          <w:b/>
          <w:spacing w:val="-3"/>
          <w:sz w:val="20"/>
        </w:rPr>
        <w:t xml:space="preserve"> </w:t>
      </w:r>
      <w:r>
        <w:rPr>
          <w:rFonts w:ascii="Arial" w:hAnsi="Arial"/>
          <w:b/>
          <w:sz w:val="20"/>
        </w:rPr>
        <w:t>35.</w:t>
      </w:r>
      <w:r>
        <w:rPr>
          <w:rFonts w:ascii="Arial" w:hAnsi="Arial"/>
          <w:b/>
          <w:spacing w:val="49"/>
          <w:sz w:val="20"/>
        </w:rPr>
        <w:t xml:space="preserve"> </w:t>
      </w:r>
      <w:r>
        <w:rPr>
          <w:rFonts w:ascii="Arial" w:hAnsi="Arial"/>
          <w:i/>
          <w:sz w:val="20"/>
        </w:rPr>
        <w:t>Contenido</w:t>
      </w:r>
      <w:r>
        <w:rPr>
          <w:rFonts w:ascii="Arial" w:hAnsi="Arial"/>
          <w:i/>
          <w:spacing w:val="-2"/>
          <w:sz w:val="20"/>
        </w:rPr>
        <w:t xml:space="preserve"> </w:t>
      </w:r>
      <w:r>
        <w:rPr>
          <w:rFonts w:ascii="Arial" w:hAnsi="Arial"/>
          <w:i/>
          <w:sz w:val="20"/>
        </w:rPr>
        <w:t>mínimo</w:t>
      </w:r>
      <w:r>
        <w:rPr>
          <w:rFonts w:ascii="Arial" w:hAnsi="Arial"/>
          <w:i/>
          <w:spacing w:val="-3"/>
          <w:sz w:val="20"/>
        </w:rPr>
        <w:t xml:space="preserve"> </w:t>
      </w:r>
      <w:r>
        <w:rPr>
          <w:rFonts w:ascii="Arial" w:hAnsi="Arial"/>
          <w:i/>
          <w:sz w:val="20"/>
        </w:rPr>
        <w:t>del</w:t>
      </w:r>
      <w:r>
        <w:rPr>
          <w:rFonts w:ascii="Arial" w:hAnsi="Arial"/>
          <w:i/>
          <w:spacing w:val="-2"/>
          <w:sz w:val="20"/>
        </w:rPr>
        <w:t xml:space="preserve"> contrato.</w:t>
      </w:r>
    </w:p>
    <w:p w:rsidR="0092635B" w:rsidRDefault="00000000">
      <w:pPr>
        <w:pStyle w:val="Prrafodelista"/>
        <w:numPr>
          <w:ilvl w:val="0"/>
          <w:numId w:val="320"/>
        </w:numPr>
        <w:tabs>
          <w:tab w:val="left" w:pos="1672"/>
        </w:tabs>
        <w:spacing w:before="123" w:line="249" w:lineRule="auto"/>
        <w:ind w:right="1105" w:firstLine="340"/>
        <w:jc w:val="both"/>
        <w:rPr>
          <w:sz w:val="20"/>
        </w:rPr>
      </w:pPr>
      <w:r>
        <w:rPr>
          <w:sz w:val="20"/>
        </w:rPr>
        <w:t>Los documentos en los que se formalicen los contratos que celebren las entidades del sector público, salvo que ya se encuentren recogidas en los pliegos, deberán incluir, necesariamente, las siguientes menciones:</w:t>
      </w:r>
    </w:p>
    <w:p w:rsidR="0092635B" w:rsidRDefault="00000000">
      <w:pPr>
        <w:pStyle w:val="Prrafodelista"/>
        <w:numPr>
          <w:ilvl w:val="1"/>
          <w:numId w:val="320"/>
        </w:numPr>
        <w:tabs>
          <w:tab w:val="left" w:pos="1679"/>
        </w:tabs>
        <w:spacing w:before="123"/>
        <w:ind w:right="0" w:hanging="233"/>
        <w:jc w:val="both"/>
        <w:rPr>
          <w:sz w:val="20"/>
        </w:rPr>
      </w:pPr>
      <w:r>
        <w:rPr>
          <w:sz w:val="20"/>
        </w:rPr>
        <w:t>La</w:t>
      </w:r>
      <w:r>
        <w:rPr>
          <w:spacing w:val="-4"/>
          <w:sz w:val="20"/>
        </w:rPr>
        <w:t xml:space="preserve"> </w:t>
      </w:r>
      <w:r>
        <w:rPr>
          <w:sz w:val="20"/>
        </w:rPr>
        <w:t>identificación</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pacing w:val="-2"/>
          <w:sz w:val="20"/>
        </w:rPr>
        <w:t>partes.</w:t>
      </w:r>
    </w:p>
    <w:p w:rsidR="0092635B" w:rsidRDefault="00000000">
      <w:pPr>
        <w:pStyle w:val="Prrafodelista"/>
        <w:numPr>
          <w:ilvl w:val="1"/>
          <w:numId w:val="320"/>
        </w:numPr>
        <w:tabs>
          <w:tab w:val="left" w:pos="1679"/>
        </w:tabs>
        <w:spacing w:before="10"/>
        <w:ind w:right="0" w:hanging="233"/>
        <w:jc w:val="both"/>
        <w:rPr>
          <w:sz w:val="20"/>
        </w:rPr>
      </w:pPr>
      <w:r>
        <w:rPr>
          <w:sz w:val="20"/>
        </w:rPr>
        <w:t>La</w:t>
      </w:r>
      <w:r>
        <w:rPr>
          <w:spacing w:val="-3"/>
          <w:sz w:val="20"/>
        </w:rPr>
        <w:t xml:space="preserve"> </w:t>
      </w:r>
      <w:r>
        <w:rPr>
          <w:sz w:val="20"/>
        </w:rPr>
        <w:t>acreditación</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capacidad</w:t>
      </w:r>
      <w:r>
        <w:rPr>
          <w:spacing w:val="-3"/>
          <w:sz w:val="20"/>
        </w:rPr>
        <w:t xml:space="preserve"> </w:t>
      </w:r>
      <w:r>
        <w:rPr>
          <w:sz w:val="20"/>
        </w:rPr>
        <w:t>de</w:t>
      </w:r>
      <w:r>
        <w:rPr>
          <w:spacing w:val="-2"/>
          <w:sz w:val="20"/>
        </w:rPr>
        <w:t xml:space="preserve"> </w:t>
      </w:r>
      <w:r>
        <w:rPr>
          <w:sz w:val="20"/>
        </w:rPr>
        <w:t>los</w:t>
      </w:r>
      <w:r>
        <w:rPr>
          <w:spacing w:val="-3"/>
          <w:sz w:val="20"/>
        </w:rPr>
        <w:t xml:space="preserve"> </w:t>
      </w:r>
      <w:r>
        <w:rPr>
          <w:sz w:val="20"/>
        </w:rPr>
        <w:t>firmantes</w:t>
      </w:r>
      <w:r>
        <w:rPr>
          <w:spacing w:val="-2"/>
          <w:sz w:val="20"/>
        </w:rPr>
        <w:t xml:space="preserve"> </w:t>
      </w:r>
      <w:r>
        <w:rPr>
          <w:sz w:val="20"/>
        </w:rPr>
        <w:t>para</w:t>
      </w:r>
      <w:r>
        <w:rPr>
          <w:spacing w:val="-3"/>
          <w:sz w:val="20"/>
        </w:rPr>
        <w:t xml:space="preserve"> </w:t>
      </w:r>
      <w:r>
        <w:rPr>
          <w:sz w:val="20"/>
        </w:rPr>
        <w:t>suscribir</w:t>
      </w:r>
      <w:r>
        <w:rPr>
          <w:spacing w:val="-2"/>
          <w:sz w:val="20"/>
        </w:rPr>
        <w:t xml:space="preserve"> </w:t>
      </w:r>
      <w:r>
        <w:rPr>
          <w:sz w:val="20"/>
        </w:rPr>
        <w:t>el</w:t>
      </w:r>
      <w:r>
        <w:rPr>
          <w:spacing w:val="-2"/>
          <w:sz w:val="20"/>
        </w:rPr>
        <w:t xml:space="preserve"> contrato.</w:t>
      </w:r>
    </w:p>
    <w:p w:rsidR="0092635B" w:rsidRDefault="00000000">
      <w:pPr>
        <w:pStyle w:val="Prrafodelista"/>
        <w:numPr>
          <w:ilvl w:val="1"/>
          <w:numId w:val="320"/>
        </w:numPr>
        <w:tabs>
          <w:tab w:val="left" w:pos="1678"/>
        </w:tabs>
        <w:spacing w:before="10" w:line="249" w:lineRule="auto"/>
        <w:ind w:left="1106" w:right="1106" w:firstLine="340"/>
        <w:jc w:val="both"/>
        <w:rPr>
          <w:sz w:val="20"/>
        </w:rPr>
      </w:pPr>
      <w:r>
        <w:rPr>
          <w:sz w:val="20"/>
        </w:rPr>
        <w:t>Definición del objeto y tipo del contrato, teniendo en cuenta en la definición del objeto las consideraciones sociales, ambientales y de innovación.</w:t>
      </w:r>
    </w:p>
    <w:p w:rsidR="0092635B" w:rsidRDefault="00000000">
      <w:pPr>
        <w:pStyle w:val="Prrafodelista"/>
        <w:numPr>
          <w:ilvl w:val="1"/>
          <w:numId w:val="320"/>
        </w:numPr>
        <w:tabs>
          <w:tab w:val="left" w:pos="1684"/>
        </w:tabs>
        <w:spacing w:before="1" w:line="249" w:lineRule="auto"/>
        <w:ind w:left="1106" w:right="1104" w:firstLine="340"/>
        <w:jc w:val="both"/>
        <w:rPr>
          <w:sz w:val="20"/>
        </w:rPr>
      </w:pPr>
      <w:r>
        <w:rPr>
          <w:sz w:val="20"/>
        </w:rPr>
        <w:t>Referencia a la legislación aplicable al contrato, con expresa mención al sometimiento a la normativa nacional y de la Unión Europea en materia de protección de datos.</w:t>
      </w:r>
    </w:p>
    <w:p w:rsidR="0092635B" w:rsidRDefault="00000000">
      <w:pPr>
        <w:pStyle w:val="Prrafodelista"/>
        <w:numPr>
          <w:ilvl w:val="1"/>
          <w:numId w:val="320"/>
        </w:numPr>
        <w:tabs>
          <w:tab w:val="left" w:pos="1695"/>
        </w:tabs>
        <w:spacing w:line="249" w:lineRule="auto"/>
        <w:ind w:left="1106" w:firstLine="340"/>
        <w:jc w:val="both"/>
        <w:rPr>
          <w:sz w:val="20"/>
        </w:rPr>
      </w:pPr>
      <w:r>
        <w:rPr>
          <w:sz w:val="20"/>
        </w:rPr>
        <w:t>La enumeración de los documentos que integran el contrato. Si así se expresa en el contrato, esta enumeración podrá estar jerarquizada, ordenándose según el orden de prioridad acordado por las partes, en cuyo supuesto, y salvo caso de error manifiesto, el orden pactado se utilizará para determinar la prevalencia respectiva, en caso de que existan contradicciones entre diversos documentos.</w:t>
      </w:r>
    </w:p>
    <w:p w:rsidR="0092635B" w:rsidRDefault="00000000">
      <w:pPr>
        <w:pStyle w:val="Prrafodelista"/>
        <w:numPr>
          <w:ilvl w:val="1"/>
          <w:numId w:val="320"/>
        </w:numPr>
        <w:tabs>
          <w:tab w:val="left" w:pos="1623"/>
        </w:tabs>
        <w:spacing w:before="4"/>
        <w:ind w:left="1623" w:right="0" w:hanging="177"/>
        <w:jc w:val="both"/>
        <w:rPr>
          <w:sz w:val="20"/>
        </w:rPr>
      </w:pPr>
      <w:r>
        <w:rPr>
          <w:sz w:val="20"/>
        </w:rPr>
        <w:t>El</w:t>
      </w:r>
      <w:r>
        <w:rPr>
          <w:spacing w:val="-2"/>
          <w:sz w:val="20"/>
        </w:rPr>
        <w:t xml:space="preserve"> </w:t>
      </w:r>
      <w:r>
        <w:rPr>
          <w:sz w:val="20"/>
        </w:rPr>
        <w:t>precio</w:t>
      </w:r>
      <w:r>
        <w:rPr>
          <w:spacing w:val="-2"/>
          <w:sz w:val="20"/>
        </w:rPr>
        <w:t xml:space="preserve"> </w:t>
      </w:r>
      <w:r>
        <w:rPr>
          <w:sz w:val="20"/>
        </w:rPr>
        <w:t>cierto,</w:t>
      </w:r>
      <w:r>
        <w:rPr>
          <w:spacing w:val="-1"/>
          <w:sz w:val="20"/>
        </w:rPr>
        <w:t xml:space="preserve"> </w:t>
      </w:r>
      <w:r>
        <w:rPr>
          <w:sz w:val="20"/>
        </w:rPr>
        <w:t>o</w:t>
      </w:r>
      <w:r>
        <w:rPr>
          <w:spacing w:val="-2"/>
          <w:sz w:val="20"/>
        </w:rPr>
        <w:t xml:space="preserve"> </w:t>
      </w:r>
      <w:r>
        <w:rPr>
          <w:sz w:val="20"/>
        </w:rPr>
        <w:t>el</w:t>
      </w:r>
      <w:r>
        <w:rPr>
          <w:spacing w:val="-1"/>
          <w:sz w:val="20"/>
        </w:rPr>
        <w:t xml:space="preserve"> </w:t>
      </w:r>
      <w:r>
        <w:rPr>
          <w:sz w:val="20"/>
        </w:rPr>
        <w:t>modo</w:t>
      </w:r>
      <w:r>
        <w:rPr>
          <w:spacing w:val="-2"/>
          <w:sz w:val="20"/>
        </w:rPr>
        <w:t xml:space="preserve"> </w:t>
      </w:r>
      <w:r>
        <w:rPr>
          <w:sz w:val="20"/>
        </w:rPr>
        <w:t>de</w:t>
      </w:r>
      <w:r>
        <w:rPr>
          <w:spacing w:val="-1"/>
          <w:sz w:val="20"/>
        </w:rPr>
        <w:t xml:space="preserve"> </w:t>
      </w:r>
      <w:r>
        <w:rPr>
          <w:spacing w:val="-2"/>
          <w:sz w:val="20"/>
        </w:rPr>
        <w:t>determinarlo.</w:t>
      </w:r>
    </w:p>
    <w:p w:rsidR="0092635B" w:rsidRDefault="00000000">
      <w:pPr>
        <w:pStyle w:val="Prrafodelista"/>
        <w:numPr>
          <w:ilvl w:val="1"/>
          <w:numId w:val="320"/>
        </w:numPr>
        <w:tabs>
          <w:tab w:val="left" w:pos="1698"/>
        </w:tabs>
        <w:spacing w:before="10" w:line="249" w:lineRule="auto"/>
        <w:ind w:left="1106" w:right="1105" w:firstLine="340"/>
        <w:jc w:val="both"/>
        <w:rPr>
          <w:sz w:val="20"/>
        </w:rPr>
      </w:pPr>
      <w:r>
        <w:rPr>
          <w:sz w:val="20"/>
        </w:rPr>
        <w:t>La duración del contrato o las fechas estimadas para el comienzo de su ejecución y para su finalización, así como la de la prórroga o prórrogas, si estuviesen previstas.</w:t>
      </w:r>
    </w:p>
    <w:p w:rsidR="0092635B" w:rsidRDefault="00000000">
      <w:pPr>
        <w:pStyle w:val="Prrafodelista"/>
        <w:numPr>
          <w:ilvl w:val="1"/>
          <w:numId w:val="320"/>
        </w:numPr>
        <w:tabs>
          <w:tab w:val="left" w:pos="1679"/>
        </w:tabs>
        <w:ind w:right="0" w:hanging="233"/>
        <w:rPr>
          <w:sz w:val="20"/>
        </w:rPr>
      </w:pPr>
      <w:r>
        <w:rPr>
          <w:sz w:val="20"/>
        </w:rPr>
        <w:t>Las</w:t>
      </w:r>
      <w:r>
        <w:rPr>
          <w:spacing w:val="-4"/>
          <w:sz w:val="20"/>
        </w:rPr>
        <w:t xml:space="preserve"> </w:t>
      </w:r>
      <w:r>
        <w:rPr>
          <w:sz w:val="20"/>
        </w:rPr>
        <w:t>condiciones</w:t>
      </w:r>
      <w:r>
        <w:rPr>
          <w:spacing w:val="-2"/>
          <w:sz w:val="20"/>
        </w:rPr>
        <w:t xml:space="preserve"> </w:t>
      </w:r>
      <w:r>
        <w:rPr>
          <w:sz w:val="20"/>
        </w:rPr>
        <w:t>de</w:t>
      </w:r>
      <w:r>
        <w:rPr>
          <w:spacing w:val="-1"/>
          <w:sz w:val="20"/>
        </w:rPr>
        <w:t xml:space="preserve"> </w:t>
      </w:r>
      <w:r>
        <w:rPr>
          <w:sz w:val="20"/>
        </w:rPr>
        <w:t>recepción,</w:t>
      </w:r>
      <w:r>
        <w:rPr>
          <w:spacing w:val="-2"/>
          <w:sz w:val="20"/>
        </w:rPr>
        <w:t xml:space="preserve"> </w:t>
      </w:r>
      <w:r>
        <w:rPr>
          <w:sz w:val="20"/>
        </w:rPr>
        <w:t>entrega</w:t>
      </w:r>
      <w:r>
        <w:rPr>
          <w:spacing w:val="-2"/>
          <w:sz w:val="20"/>
        </w:rPr>
        <w:t xml:space="preserve"> </w:t>
      </w:r>
      <w:r>
        <w:rPr>
          <w:sz w:val="20"/>
        </w:rPr>
        <w:t>o</w:t>
      </w:r>
      <w:r>
        <w:rPr>
          <w:spacing w:val="-1"/>
          <w:sz w:val="20"/>
        </w:rPr>
        <w:t xml:space="preserve"> </w:t>
      </w:r>
      <w:r>
        <w:rPr>
          <w:sz w:val="20"/>
        </w:rPr>
        <w:t>admisión</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prestaciones.</w:t>
      </w:r>
    </w:p>
    <w:p w:rsidR="0092635B" w:rsidRDefault="00000000">
      <w:pPr>
        <w:pStyle w:val="Prrafodelista"/>
        <w:numPr>
          <w:ilvl w:val="1"/>
          <w:numId w:val="320"/>
        </w:numPr>
        <w:tabs>
          <w:tab w:val="left" w:pos="1612"/>
        </w:tabs>
        <w:spacing w:before="10"/>
        <w:ind w:left="1612" w:right="0" w:hanging="166"/>
        <w:rPr>
          <w:sz w:val="20"/>
        </w:rPr>
      </w:pPr>
      <w:r>
        <w:rPr>
          <w:sz w:val="20"/>
        </w:rPr>
        <w:t>Las</w:t>
      </w:r>
      <w:r>
        <w:rPr>
          <w:spacing w:val="-1"/>
          <w:sz w:val="20"/>
        </w:rPr>
        <w:t xml:space="preserve"> </w:t>
      </w:r>
      <w:r>
        <w:rPr>
          <w:sz w:val="20"/>
        </w:rPr>
        <w:t xml:space="preserve">condiciones de </w:t>
      </w:r>
      <w:r>
        <w:rPr>
          <w:spacing w:val="-2"/>
          <w:sz w:val="20"/>
        </w:rPr>
        <w:t>pago.</w:t>
      </w:r>
    </w:p>
    <w:p w:rsidR="0092635B" w:rsidRDefault="00000000">
      <w:pPr>
        <w:pStyle w:val="Prrafodelista"/>
        <w:numPr>
          <w:ilvl w:val="1"/>
          <w:numId w:val="320"/>
        </w:numPr>
        <w:tabs>
          <w:tab w:val="left" w:pos="1612"/>
        </w:tabs>
        <w:spacing w:before="10"/>
        <w:ind w:left="1612" w:right="0" w:hanging="166"/>
        <w:rPr>
          <w:sz w:val="20"/>
        </w:rPr>
      </w:pPr>
      <w:r>
        <w:rPr>
          <w:sz w:val="20"/>
        </w:rPr>
        <w:t>Los</w:t>
      </w:r>
      <w:r>
        <w:rPr>
          <w:spacing w:val="-2"/>
          <w:sz w:val="20"/>
        </w:rPr>
        <w:t xml:space="preserve"> </w:t>
      </w:r>
      <w:r>
        <w:rPr>
          <w:sz w:val="20"/>
        </w:rPr>
        <w:t>supuestos</w:t>
      </w:r>
      <w:r>
        <w:rPr>
          <w:spacing w:val="-1"/>
          <w:sz w:val="20"/>
        </w:rPr>
        <w:t xml:space="preserve"> </w:t>
      </w:r>
      <w:r>
        <w:rPr>
          <w:sz w:val="20"/>
        </w:rPr>
        <w:t>en</w:t>
      </w:r>
      <w:r>
        <w:rPr>
          <w:spacing w:val="-1"/>
          <w:sz w:val="20"/>
        </w:rPr>
        <w:t xml:space="preserve"> </w:t>
      </w:r>
      <w:r>
        <w:rPr>
          <w:sz w:val="20"/>
        </w:rPr>
        <w:t>que</w:t>
      </w:r>
      <w:r>
        <w:rPr>
          <w:spacing w:val="-2"/>
          <w:sz w:val="20"/>
        </w:rPr>
        <w:t xml:space="preserve"> </w:t>
      </w:r>
      <w:r>
        <w:rPr>
          <w:sz w:val="20"/>
        </w:rPr>
        <w:t>procede</w:t>
      </w:r>
      <w:r>
        <w:rPr>
          <w:spacing w:val="-1"/>
          <w:sz w:val="20"/>
        </w:rPr>
        <w:t xml:space="preserve"> </w:t>
      </w:r>
      <w:r>
        <w:rPr>
          <w:sz w:val="20"/>
        </w:rPr>
        <w:t>la</w:t>
      </w:r>
      <w:r>
        <w:rPr>
          <w:spacing w:val="-1"/>
          <w:sz w:val="20"/>
        </w:rPr>
        <w:t xml:space="preserve"> </w:t>
      </w:r>
      <w:r>
        <w:rPr>
          <w:sz w:val="20"/>
        </w:rPr>
        <w:t>modificación,</w:t>
      </w:r>
      <w:r>
        <w:rPr>
          <w:spacing w:val="-2"/>
          <w:sz w:val="20"/>
        </w:rPr>
        <w:t xml:space="preserve"> </w:t>
      </w:r>
      <w:r>
        <w:rPr>
          <w:sz w:val="20"/>
        </w:rPr>
        <w:t>en</w:t>
      </w:r>
      <w:r>
        <w:rPr>
          <w:spacing w:val="-1"/>
          <w:sz w:val="20"/>
        </w:rPr>
        <w:t xml:space="preserve"> </w:t>
      </w:r>
      <w:r>
        <w:rPr>
          <w:sz w:val="20"/>
        </w:rPr>
        <w:t>su</w:t>
      </w:r>
      <w:r>
        <w:rPr>
          <w:spacing w:val="-1"/>
          <w:sz w:val="20"/>
        </w:rPr>
        <w:t xml:space="preserve"> </w:t>
      </w:r>
      <w:r>
        <w:rPr>
          <w:spacing w:val="-2"/>
          <w:sz w:val="20"/>
        </w:rPr>
        <w:t>caso.</w:t>
      </w:r>
    </w:p>
    <w:p w:rsidR="0092635B" w:rsidRDefault="00000000">
      <w:pPr>
        <w:pStyle w:val="Prrafodelista"/>
        <w:numPr>
          <w:ilvl w:val="1"/>
          <w:numId w:val="320"/>
        </w:numPr>
        <w:tabs>
          <w:tab w:val="left" w:pos="1668"/>
        </w:tabs>
        <w:spacing w:before="10"/>
        <w:ind w:left="1668" w:right="0" w:hanging="222"/>
        <w:rPr>
          <w:sz w:val="20"/>
        </w:rPr>
      </w:pPr>
      <w:r>
        <w:rPr>
          <w:sz w:val="20"/>
        </w:rPr>
        <w:t>Los</w:t>
      </w:r>
      <w:r>
        <w:rPr>
          <w:spacing w:val="-4"/>
          <w:sz w:val="20"/>
        </w:rPr>
        <w:t xml:space="preserve"> </w:t>
      </w:r>
      <w:r>
        <w:rPr>
          <w:sz w:val="20"/>
        </w:rPr>
        <w:t>supuestos</w:t>
      </w:r>
      <w:r>
        <w:rPr>
          <w:spacing w:val="-2"/>
          <w:sz w:val="20"/>
        </w:rPr>
        <w:t xml:space="preserve"> </w:t>
      </w:r>
      <w:r>
        <w:rPr>
          <w:sz w:val="20"/>
        </w:rPr>
        <w:t>en</w:t>
      </w:r>
      <w:r>
        <w:rPr>
          <w:spacing w:val="-1"/>
          <w:sz w:val="20"/>
        </w:rPr>
        <w:t xml:space="preserve"> </w:t>
      </w:r>
      <w:r>
        <w:rPr>
          <w:sz w:val="20"/>
        </w:rPr>
        <w:t>que</w:t>
      </w:r>
      <w:r>
        <w:rPr>
          <w:spacing w:val="-2"/>
          <w:sz w:val="20"/>
        </w:rPr>
        <w:t xml:space="preserve"> </w:t>
      </w:r>
      <w:r>
        <w:rPr>
          <w:sz w:val="20"/>
        </w:rPr>
        <w:t>procede</w:t>
      </w:r>
      <w:r>
        <w:rPr>
          <w:spacing w:val="-2"/>
          <w:sz w:val="20"/>
        </w:rPr>
        <w:t xml:space="preserve"> </w:t>
      </w:r>
      <w:r>
        <w:rPr>
          <w:sz w:val="20"/>
        </w:rPr>
        <w:t>la</w:t>
      </w:r>
      <w:r>
        <w:rPr>
          <w:spacing w:val="-1"/>
          <w:sz w:val="20"/>
        </w:rPr>
        <w:t xml:space="preserve"> </w:t>
      </w:r>
      <w:r>
        <w:rPr>
          <w:spacing w:val="-2"/>
          <w:sz w:val="20"/>
        </w:rPr>
        <w:t>resolución.</w:t>
      </w:r>
    </w:p>
    <w:p w:rsidR="0092635B" w:rsidRDefault="00000000">
      <w:pPr>
        <w:pStyle w:val="Prrafodelista"/>
        <w:numPr>
          <w:ilvl w:val="1"/>
          <w:numId w:val="320"/>
        </w:numPr>
        <w:tabs>
          <w:tab w:val="left" w:pos="1614"/>
        </w:tabs>
        <w:spacing w:before="10" w:line="249" w:lineRule="auto"/>
        <w:ind w:left="1106" w:right="1105" w:firstLine="340"/>
        <w:rPr>
          <w:sz w:val="20"/>
        </w:rPr>
      </w:pPr>
      <w:r>
        <w:rPr>
          <w:sz w:val="20"/>
        </w:rPr>
        <w:t>El</w:t>
      </w:r>
      <w:r>
        <w:rPr>
          <w:spacing w:val="-1"/>
          <w:sz w:val="20"/>
        </w:rPr>
        <w:t xml:space="preserve"> </w:t>
      </w:r>
      <w:r>
        <w:rPr>
          <w:sz w:val="20"/>
        </w:rPr>
        <w:t>crédito</w:t>
      </w:r>
      <w:r>
        <w:rPr>
          <w:spacing w:val="-1"/>
          <w:sz w:val="20"/>
        </w:rPr>
        <w:t xml:space="preserve"> </w:t>
      </w:r>
      <w:r>
        <w:rPr>
          <w:sz w:val="20"/>
        </w:rPr>
        <w:t>presupuestario</w:t>
      </w:r>
      <w:r>
        <w:rPr>
          <w:spacing w:val="-1"/>
          <w:sz w:val="20"/>
        </w:rPr>
        <w:t xml:space="preserve"> </w:t>
      </w:r>
      <w:r>
        <w:rPr>
          <w:sz w:val="20"/>
        </w:rPr>
        <w:t>o</w:t>
      </w:r>
      <w:r>
        <w:rPr>
          <w:spacing w:val="-1"/>
          <w:sz w:val="20"/>
        </w:rPr>
        <w:t xml:space="preserve"> </w:t>
      </w:r>
      <w:r>
        <w:rPr>
          <w:sz w:val="20"/>
        </w:rPr>
        <w:t>el</w:t>
      </w:r>
      <w:r>
        <w:rPr>
          <w:spacing w:val="-1"/>
          <w:sz w:val="20"/>
        </w:rPr>
        <w:t xml:space="preserve"> </w:t>
      </w:r>
      <w:r>
        <w:rPr>
          <w:sz w:val="20"/>
        </w:rPr>
        <w:t>programa</w:t>
      </w:r>
      <w:r>
        <w:rPr>
          <w:spacing w:val="-1"/>
          <w:sz w:val="20"/>
        </w:rPr>
        <w:t xml:space="preserve"> </w:t>
      </w:r>
      <w:r>
        <w:rPr>
          <w:sz w:val="20"/>
        </w:rPr>
        <w:t>o</w:t>
      </w:r>
      <w:r>
        <w:rPr>
          <w:spacing w:val="-1"/>
          <w:sz w:val="20"/>
        </w:rPr>
        <w:t xml:space="preserve"> </w:t>
      </w:r>
      <w:r>
        <w:rPr>
          <w:sz w:val="20"/>
        </w:rPr>
        <w:t>rúbrica</w:t>
      </w:r>
      <w:r>
        <w:rPr>
          <w:spacing w:val="-1"/>
          <w:sz w:val="20"/>
        </w:rPr>
        <w:t xml:space="preserve"> </w:t>
      </w:r>
      <w:r>
        <w:rPr>
          <w:sz w:val="20"/>
        </w:rPr>
        <w:t>contable</w:t>
      </w:r>
      <w:r>
        <w:rPr>
          <w:spacing w:val="-1"/>
          <w:sz w:val="20"/>
        </w:rPr>
        <w:t xml:space="preserve"> </w:t>
      </w:r>
      <w:r>
        <w:rPr>
          <w:sz w:val="20"/>
        </w:rPr>
        <w:t>con</w:t>
      </w:r>
      <w:r>
        <w:rPr>
          <w:spacing w:val="-1"/>
          <w:sz w:val="20"/>
        </w:rPr>
        <w:t xml:space="preserve"> </w:t>
      </w:r>
      <w:r>
        <w:rPr>
          <w:sz w:val="20"/>
        </w:rPr>
        <w:t>cargo</w:t>
      </w:r>
      <w:r>
        <w:rPr>
          <w:spacing w:val="-1"/>
          <w:sz w:val="20"/>
        </w:rPr>
        <w:t xml:space="preserve"> </w:t>
      </w:r>
      <w:r>
        <w:rPr>
          <w:sz w:val="20"/>
        </w:rPr>
        <w:t>al</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abonará el precio, en su caso.</w:t>
      </w:r>
    </w:p>
    <w:p w:rsidR="0092635B" w:rsidRDefault="00000000">
      <w:pPr>
        <w:pStyle w:val="Prrafodelista"/>
        <w:numPr>
          <w:ilvl w:val="1"/>
          <w:numId w:val="320"/>
        </w:numPr>
        <w:tabs>
          <w:tab w:val="left" w:pos="1757"/>
        </w:tabs>
        <w:spacing w:line="249" w:lineRule="auto"/>
        <w:ind w:left="1106" w:right="1104" w:firstLine="340"/>
        <w:rPr>
          <w:sz w:val="20"/>
        </w:rPr>
      </w:pPr>
      <w:r>
        <w:rPr>
          <w:sz w:val="20"/>
        </w:rPr>
        <w:t>La extensión objetiva y temporal del deber de confidencialidad que, en su caso, se</w:t>
      </w:r>
      <w:r>
        <w:rPr>
          <w:spacing w:val="40"/>
          <w:sz w:val="20"/>
        </w:rPr>
        <w:t xml:space="preserve"> </w:t>
      </w:r>
      <w:r>
        <w:rPr>
          <w:sz w:val="20"/>
        </w:rPr>
        <w:t>imponga al contratista.</w:t>
      </w:r>
    </w:p>
    <w:p w:rsidR="0092635B" w:rsidRDefault="0092635B">
      <w:pPr>
        <w:pStyle w:val="Prrafodelista"/>
        <w:spacing w:line="249" w:lineRule="auto"/>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320"/>
        </w:numPr>
        <w:tabs>
          <w:tab w:val="left" w:pos="1744"/>
        </w:tabs>
        <w:spacing w:before="1" w:line="249" w:lineRule="auto"/>
        <w:ind w:left="1106" w:right="1105" w:firstLine="340"/>
        <w:jc w:val="both"/>
        <w:rPr>
          <w:sz w:val="20"/>
        </w:rPr>
      </w:pPr>
      <w:r>
        <w:rPr>
          <w:sz w:val="20"/>
        </w:rPr>
        <w:t>La obligación de la empresa contratista de cumplir durante todo el periodo de ejecución de contrato las normas y condiciones fijadas en el convenio colectivo de</w:t>
      </w:r>
      <w:r>
        <w:rPr>
          <w:spacing w:val="80"/>
          <w:sz w:val="20"/>
        </w:rPr>
        <w:t xml:space="preserve"> </w:t>
      </w:r>
      <w:r>
        <w:rPr>
          <w:spacing w:val="-2"/>
          <w:sz w:val="20"/>
        </w:rPr>
        <w:t>aplicación.</w:t>
      </w:r>
    </w:p>
    <w:p w:rsidR="0092635B" w:rsidRDefault="00000000">
      <w:pPr>
        <w:pStyle w:val="Prrafodelista"/>
        <w:numPr>
          <w:ilvl w:val="0"/>
          <w:numId w:val="320"/>
        </w:numPr>
        <w:tabs>
          <w:tab w:val="left" w:pos="1683"/>
        </w:tabs>
        <w:spacing w:before="122" w:line="249" w:lineRule="auto"/>
        <w:ind w:right="1102" w:firstLine="340"/>
        <w:jc w:val="both"/>
        <w:rPr>
          <w:sz w:val="20"/>
        </w:rPr>
      </w:pPr>
      <w:r>
        <w:rPr>
          <w:sz w:val="20"/>
        </w:rPr>
        <w:t>El documento contractual no podrá incluir estipulaciones que establezcan derechos y obligaciones para las partes distintos de los previstos en los pliegos, concretados, en su caso, en la forma que resulte de la proposición del adjudicatario, o de los precisados en el acto de adjudicación del contrato de acuerdo con lo actuado en el procedimiento, de no existir aquellos.</w:t>
      </w:r>
    </w:p>
    <w:p w:rsidR="0092635B" w:rsidRDefault="0092635B">
      <w:pPr>
        <w:pStyle w:val="Textoindependiente"/>
        <w:spacing w:before="114"/>
        <w:ind w:left="0" w:firstLine="0"/>
        <w:jc w:val="left"/>
      </w:pPr>
    </w:p>
    <w:p w:rsidR="0092635B" w:rsidRDefault="00000000">
      <w:pPr>
        <w:pStyle w:val="Textoindependiente"/>
        <w:spacing w:before="0"/>
        <w:ind w:left="0" w:firstLine="0"/>
        <w:jc w:val="center"/>
      </w:pPr>
      <w:bookmarkStart w:id="62" w:name="CAPÍTULO_III._Perfección_y_forma_del_con"/>
      <w:bookmarkStart w:id="63" w:name="_bookmark13"/>
      <w:bookmarkEnd w:id="62"/>
      <w:bookmarkEnd w:id="63"/>
      <w:r>
        <w:t xml:space="preserve">CAPÍTULO </w:t>
      </w:r>
      <w:r>
        <w:rPr>
          <w:spacing w:val="-5"/>
        </w:rPr>
        <w:t>III</w:t>
      </w:r>
    </w:p>
    <w:p w:rsidR="0092635B" w:rsidRDefault="00000000">
      <w:pPr>
        <w:pStyle w:val="Ttulo2"/>
        <w:spacing w:before="124"/>
      </w:pPr>
      <w:r>
        <w:t>Perfección</w:t>
      </w:r>
      <w:r>
        <w:rPr>
          <w:spacing w:val="-1"/>
        </w:rPr>
        <w:t xml:space="preserve"> </w:t>
      </w:r>
      <w:r>
        <w:t>y</w:t>
      </w:r>
      <w:r>
        <w:rPr>
          <w:spacing w:val="-1"/>
        </w:rPr>
        <w:t xml:space="preserve"> </w:t>
      </w:r>
      <w:r>
        <w:t>forma</w:t>
      </w:r>
      <w:r>
        <w:rPr>
          <w:spacing w:val="-1"/>
        </w:rPr>
        <w:t xml:space="preserve"> </w:t>
      </w:r>
      <w:r>
        <w:t>del</w:t>
      </w:r>
      <w:r>
        <w:rPr>
          <w:spacing w:val="-1"/>
        </w:rPr>
        <w:t xml:space="preserve"> </w:t>
      </w:r>
      <w:r>
        <w:rPr>
          <w:spacing w:val="-2"/>
        </w:rPr>
        <w:t>contrato</w:t>
      </w:r>
    </w:p>
    <w:p w:rsidR="0092635B" w:rsidRDefault="0092635B">
      <w:pPr>
        <w:pStyle w:val="Textoindependiente"/>
        <w:spacing w:before="6"/>
        <w:ind w:left="0" w:firstLine="0"/>
        <w:jc w:val="left"/>
        <w:rPr>
          <w:rFonts w:ascii="Arial"/>
          <w:b/>
        </w:rPr>
      </w:pPr>
    </w:p>
    <w:p w:rsidR="0092635B" w:rsidRDefault="00000000">
      <w:pPr>
        <w:spacing w:before="1"/>
        <w:ind w:left="1106"/>
        <w:rPr>
          <w:rFonts w:ascii="Arial" w:hAnsi="Arial"/>
          <w:i/>
          <w:sz w:val="20"/>
        </w:rPr>
      </w:pPr>
      <w:bookmarkStart w:id="64" w:name="Artículo_36._Perfección_de_los_contratos"/>
      <w:bookmarkEnd w:id="64"/>
      <w:r>
        <w:rPr>
          <w:rFonts w:ascii="Arial" w:hAnsi="Arial"/>
          <w:b/>
          <w:sz w:val="20"/>
        </w:rPr>
        <w:t>Artículo</w:t>
      </w:r>
      <w:r>
        <w:rPr>
          <w:rFonts w:ascii="Arial" w:hAnsi="Arial"/>
          <w:b/>
          <w:spacing w:val="-2"/>
          <w:sz w:val="20"/>
        </w:rPr>
        <w:t xml:space="preserve"> </w:t>
      </w:r>
      <w:r>
        <w:rPr>
          <w:rFonts w:ascii="Arial" w:hAnsi="Arial"/>
          <w:b/>
          <w:sz w:val="20"/>
        </w:rPr>
        <w:t>36.</w:t>
      </w:r>
      <w:r>
        <w:rPr>
          <w:rFonts w:ascii="Arial" w:hAnsi="Arial"/>
          <w:b/>
          <w:spacing w:val="51"/>
          <w:sz w:val="20"/>
        </w:rPr>
        <w:t xml:space="preserve"> </w:t>
      </w:r>
      <w:r>
        <w:rPr>
          <w:rFonts w:ascii="Arial" w:hAnsi="Arial"/>
          <w:i/>
          <w:sz w:val="20"/>
        </w:rPr>
        <w:t>Perfección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contratos.</w:t>
      </w:r>
    </w:p>
    <w:p w:rsidR="0092635B" w:rsidRDefault="00000000">
      <w:pPr>
        <w:pStyle w:val="Prrafodelista"/>
        <w:numPr>
          <w:ilvl w:val="0"/>
          <w:numId w:val="319"/>
        </w:numPr>
        <w:tabs>
          <w:tab w:val="left" w:pos="1690"/>
        </w:tabs>
        <w:spacing w:before="123" w:line="249" w:lineRule="auto"/>
        <w:ind w:firstLine="340"/>
        <w:jc w:val="both"/>
        <w:rPr>
          <w:sz w:val="20"/>
        </w:rPr>
      </w:pPr>
      <w:r>
        <w:rPr>
          <w:sz w:val="20"/>
        </w:rPr>
        <w:t>Los contratos que celebren los poderes adjudicadores, a excepción de los contratos menores y de los contratos basados en un acuerdo marco y los contratos específicos en el marco de un sistema dinámico de adquisición a los que se refiere el apartado 3 de este artículo, se perfeccionan con su formalización.</w:t>
      </w:r>
    </w:p>
    <w:p w:rsidR="0092635B" w:rsidRDefault="00000000">
      <w:pPr>
        <w:pStyle w:val="Prrafodelista"/>
        <w:numPr>
          <w:ilvl w:val="0"/>
          <w:numId w:val="319"/>
        </w:numPr>
        <w:tabs>
          <w:tab w:val="left" w:pos="1679"/>
        </w:tabs>
        <w:spacing w:before="3" w:line="249" w:lineRule="auto"/>
        <w:ind w:right="1105" w:firstLine="340"/>
        <w:jc w:val="both"/>
        <w:rPr>
          <w:sz w:val="20"/>
        </w:rPr>
      </w:pPr>
      <w:r>
        <w:rPr>
          <w:sz w:val="20"/>
        </w:rPr>
        <w:t>Los contratos subvencionados que, de conformidad con lo dispuesto en el artículo 23 de esta Ley, deban considerarse sujetos a regulación armonizada, se perfeccionarán de conformidad con la legislación por la que se rijan. Las partes deberán notificar su formalización al órgano que otorgó la subvención.</w:t>
      </w:r>
    </w:p>
    <w:p w:rsidR="0092635B" w:rsidRDefault="00000000">
      <w:pPr>
        <w:pStyle w:val="Prrafodelista"/>
        <w:numPr>
          <w:ilvl w:val="0"/>
          <w:numId w:val="319"/>
        </w:numPr>
        <w:tabs>
          <w:tab w:val="left" w:pos="1686"/>
        </w:tabs>
        <w:spacing w:before="4" w:line="249" w:lineRule="auto"/>
        <w:ind w:right="1104" w:firstLine="340"/>
        <w:jc w:val="both"/>
        <w:rPr>
          <w:sz w:val="20"/>
        </w:rPr>
      </w:pPr>
      <w:r>
        <w:rPr>
          <w:sz w:val="20"/>
        </w:rPr>
        <w:t>Los contratos basados en un acuerdo marco y los contratos específicos en el marco</w:t>
      </w:r>
      <w:r>
        <w:rPr>
          <w:spacing w:val="40"/>
          <w:sz w:val="20"/>
        </w:rPr>
        <w:t xml:space="preserve"> </w:t>
      </w:r>
      <w:r>
        <w:rPr>
          <w:sz w:val="20"/>
        </w:rPr>
        <w:t>de un sistema dinámico de adquisición, se perfeccionan con su adjudicación.</w:t>
      </w:r>
    </w:p>
    <w:p w:rsidR="0092635B" w:rsidRDefault="00000000">
      <w:pPr>
        <w:pStyle w:val="Prrafodelista"/>
        <w:numPr>
          <w:ilvl w:val="0"/>
          <w:numId w:val="319"/>
        </w:numPr>
        <w:tabs>
          <w:tab w:val="left" w:pos="1688"/>
        </w:tabs>
        <w:spacing w:before="1" w:line="249" w:lineRule="auto"/>
        <w:ind w:firstLine="340"/>
        <w:jc w:val="both"/>
        <w:rPr>
          <w:sz w:val="20"/>
        </w:rPr>
      </w:pPr>
      <w:r>
        <w:rPr>
          <w:sz w:val="20"/>
        </w:rPr>
        <w:t>Salvo que se indique otra cosa en su clausulado, los contratos del sector público se entenderán celebrados en el lugar donde se encuentre la sede del órgano de contratación.</w:t>
      </w:r>
    </w:p>
    <w:p w:rsidR="0092635B" w:rsidRDefault="00000000">
      <w:pPr>
        <w:spacing w:before="229"/>
        <w:ind w:left="1106"/>
        <w:rPr>
          <w:rFonts w:ascii="Arial" w:hAnsi="Arial"/>
          <w:i/>
          <w:sz w:val="20"/>
        </w:rPr>
      </w:pPr>
      <w:bookmarkStart w:id="65" w:name="Artículo_37._Carácter_formal_de_la_contr"/>
      <w:bookmarkEnd w:id="65"/>
      <w:r>
        <w:rPr>
          <w:rFonts w:ascii="Arial" w:hAnsi="Arial"/>
          <w:b/>
          <w:sz w:val="20"/>
        </w:rPr>
        <w:t>Artículo</w:t>
      </w:r>
      <w:r>
        <w:rPr>
          <w:rFonts w:ascii="Arial" w:hAnsi="Arial"/>
          <w:b/>
          <w:spacing w:val="-4"/>
          <w:sz w:val="20"/>
        </w:rPr>
        <w:t xml:space="preserve"> </w:t>
      </w:r>
      <w:r>
        <w:rPr>
          <w:rFonts w:ascii="Arial" w:hAnsi="Arial"/>
          <w:b/>
          <w:sz w:val="20"/>
        </w:rPr>
        <w:t>37.</w:t>
      </w:r>
      <w:r>
        <w:rPr>
          <w:rFonts w:ascii="Arial" w:hAnsi="Arial"/>
          <w:b/>
          <w:spacing w:val="50"/>
          <w:sz w:val="20"/>
        </w:rPr>
        <w:t xml:space="preserve"> </w:t>
      </w:r>
      <w:r>
        <w:rPr>
          <w:rFonts w:ascii="Arial" w:hAnsi="Arial"/>
          <w:i/>
          <w:sz w:val="20"/>
        </w:rPr>
        <w:t>Carácter</w:t>
      </w:r>
      <w:r>
        <w:rPr>
          <w:rFonts w:ascii="Arial" w:hAnsi="Arial"/>
          <w:i/>
          <w:spacing w:val="-2"/>
          <w:sz w:val="20"/>
        </w:rPr>
        <w:t xml:space="preserve"> </w:t>
      </w:r>
      <w:r>
        <w:rPr>
          <w:rFonts w:ascii="Arial" w:hAnsi="Arial"/>
          <w:i/>
          <w:sz w:val="20"/>
        </w:rPr>
        <w:t>formal</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contratación</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sector</w:t>
      </w:r>
      <w:r>
        <w:rPr>
          <w:rFonts w:ascii="Arial" w:hAnsi="Arial"/>
          <w:i/>
          <w:spacing w:val="-2"/>
          <w:sz w:val="20"/>
        </w:rPr>
        <w:t xml:space="preserve"> público.</w:t>
      </w:r>
    </w:p>
    <w:p w:rsidR="0092635B" w:rsidRDefault="00000000">
      <w:pPr>
        <w:pStyle w:val="Prrafodelista"/>
        <w:numPr>
          <w:ilvl w:val="0"/>
          <w:numId w:val="318"/>
        </w:numPr>
        <w:tabs>
          <w:tab w:val="left" w:pos="1727"/>
        </w:tabs>
        <w:spacing w:before="123" w:line="249" w:lineRule="auto"/>
        <w:ind w:firstLine="340"/>
        <w:jc w:val="both"/>
        <w:rPr>
          <w:sz w:val="20"/>
        </w:rPr>
      </w:pPr>
      <w:r>
        <w:rPr>
          <w:sz w:val="20"/>
        </w:rPr>
        <w:t>Las entidades del sector público no podrán contratar verbalmente, salvo que el contrato tenga, conforme a lo señalado en el artículo 120.1, carácter de emergencia.</w:t>
      </w:r>
    </w:p>
    <w:p w:rsidR="0092635B" w:rsidRDefault="00000000">
      <w:pPr>
        <w:pStyle w:val="Prrafodelista"/>
        <w:numPr>
          <w:ilvl w:val="0"/>
          <w:numId w:val="318"/>
        </w:numPr>
        <w:tabs>
          <w:tab w:val="left" w:pos="1679"/>
        </w:tabs>
        <w:spacing w:line="249" w:lineRule="auto"/>
        <w:ind w:firstLine="340"/>
        <w:jc w:val="both"/>
        <w:rPr>
          <w:sz w:val="20"/>
        </w:rPr>
      </w:pPr>
      <w:r>
        <w:rPr>
          <w:sz w:val="20"/>
        </w:rPr>
        <w:t>Los contratos que celebren las Administraciones Públicas se formalizarán de acuerdo con lo previsto en el artículo 153, sin perjuicio de lo señalado para los contratos menores en el artículo 118.</w:t>
      </w:r>
    </w:p>
    <w:p w:rsidR="0092635B" w:rsidRDefault="00000000">
      <w:pPr>
        <w:pStyle w:val="Prrafodelista"/>
        <w:numPr>
          <w:ilvl w:val="0"/>
          <w:numId w:val="318"/>
        </w:numPr>
        <w:tabs>
          <w:tab w:val="left" w:pos="1674"/>
        </w:tabs>
        <w:spacing w:line="249" w:lineRule="auto"/>
        <w:ind w:right="1104" w:firstLine="340"/>
        <w:jc w:val="both"/>
        <w:rPr>
          <w:sz w:val="20"/>
        </w:rPr>
      </w:pPr>
      <w:r>
        <w:rPr>
          <w:sz w:val="20"/>
        </w:rPr>
        <w:t>Los contratos que celebren los poderes adjudicadores que no tengan la consideración de Administraciones Públicas cuando sean susceptibles de recurso especial en materia de contratación conforme al artículo 44 deberán formalizarse en los plazos establecidos en el artículo 153.</w:t>
      </w:r>
    </w:p>
    <w:p w:rsidR="0092635B" w:rsidRDefault="0092635B">
      <w:pPr>
        <w:pStyle w:val="Textoindependiente"/>
        <w:spacing w:before="113"/>
        <w:ind w:left="0" w:firstLine="0"/>
        <w:jc w:val="left"/>
      </w:pPr>
    </w:p>
    <w:p w:rsidR="0092635B" w:rsidRDefault="00000000">
      <w:pPr>
        <w:pStyle w:val="Textoindependiente"/>
        <w:spacing w:before="1"/>
        <w:ind w:left="0" w:firstLine="0"/>
        <w:jc w:val="center"/>
      </w:pPr>
      <w:bookmarkStart w:id="66" w:name="CAPÍTULO_IV._Régimen_de_invalidez"/>
      <w:bookmarkStart w:id="67" w:name="_bookmark14"/>
      <w:bookmarkEnd w:id="66"/>
      <w:bookmarkEnd w:id="67"/>
      <w:r>
        <w:t xml:space="preserve">CAPÍTULO </w:t>
      </w:r>
      <w:r>
        <w:rPr>
          <w:spacing w:val="-5"/>
        </w:rPr>
        <w:t>IV</w:t>
      </w:r>
    </w:p>
    <w:p w:rsidR="0092635B" w:rsidRDefault="00000000">
      <w:pPr>
        <w:pStyle w:val="Ttulo2"/>
      </w:pPr>
      <w:r>
        <w:t>Régimen</w:t>
      </w:r>
      <w:r>
        <w:rPr>
          <w:spacing w:val="-1"/>
        </w:rPr>
        <w:t xml:space="preserve"> </w:t>
      </w:r>
      <w:r>
        <w:t xml:space="preserve">de </w:t>
      </w:r>
      <w:r>
        <w:rPr>
          <w:spacing w:val="-2"/>
        </w:rPr>
        <w:t>invalidez</w:t>
      </w:r>
    </w:p>
    <w:p w:rsidR="0092635B" w:rsidRDefault="0092635B">
      <w:pPr>
        <w:pStyle w:val="Textoindependiente"/>
        <w:spacing w:before="7"/>
        <w:ind w:left="0" w:firstLine="0"/>
        <w:jc w:val="left"/>
        <w:rPr>
          <w:rFonts w:ascii="Arial"/>
          <w:b/>
        </w:rPr>
      </w:pPr>
    </w:p>
    <w:p w:rsidR="0092635B" w:rsidRDefault="00000000">
      <w:pPr>
        <w:ind w:left="1106"/>
        <w:rPr>
          <w:rFonts w:ascii="Arial" w:hAnsi="Arial"/>
          <w:i/>
          <w:sz w:val="20"/>
        </w:rPr>
      </w:pPr>
      <w:bookmarkStart w:id="68" w:name="Artículo_38._Supuestos_de_invalidez."/>
      <w:bookmarkEnd w:id="68"/>
      <w:r>
        <w:rPr>
          <w:rFonts w:ascii="Arial" w:hAnsi="Arial"/>
          <w:b/>
          <w:sz w:val="20"/>
        </w:rPr>
        <w:t>Artículo</w:t>
      </w:r>
      <w:r>
        <w:rPr>
          <w:rFonts w:ascii="Arial" w:hAnsi="Arial"/>
          <w:b/>
          <w:spacing w:val="-1"/>
          <w:sz w:val="20"/>
        </w:rPr>
        <w:t xml:space="preserve"> </w:t>
      </w:r>
      <w:r>
        <w:rPr>
          <w:rFonts w:ascii="Arial" w:hAnsi="Arial"/>
          <w:b/>
          <w:sz w:val="20"/>
        </w:rPr>
        <w:t>38.</w:t>
      </w:r>
      <w:r>
        <w:rPr>
          <w:rFonts w:ascii="Arial" w:hAnsi="Arial"/>
          <w:b/>
          <w:spacing w:val="54"/>
          <w:sz w:val="20"/>
        </w:rPr>
        <w:t xml:space="preserve"> </w:t>
      </w:r>
      <w:r>
        <w:rPr>
          <w:rFonts w:ascii="Arial" w:hAnsi="Arial"/>
          <w:i/>
          <w:sz w:val="20"/>
        </w:rPr>
        <w:t xml:space="preserve">Supuestos de </w:t>
      </w:r>
      <w:r>
        <w:rPr>
          <w:rFonts w:ascii="Arial" w:hAnsi="Arial"/>
          <w:i/>
          <w:spacing w:val="-2"/>
          <w:sz w:val="20"/>
        </w:rPr>
        <w:t>invalidez.</w:t>
      </w:r>
    </w:p>
    <w:p w:rsidR="0092635B" w:rsidRDefault="00000000">
      <w:pPr>
        <w:pStyle w:val="Textoindependiente"/>
        <w:spacing w:before="123" w:line="249" w:lineRule="auto"/>
        <w:jc w:val="left"/>
      </w:pPr>
      <w:r>
        <w:t>Los</w:t>
      </w:r>
      <w:r>
        <w:rPr>
          <w:spacing w:val="80"/>
        </w:rPr>
        <w:t xml:space="preserve"> </w:t>
      </w:r>
      <w:r>
        <w:t>contratos</w:t>
      </w:r>
      <w:r>
        <w:rPr>
          <w:spacing w:val="80"/>
        </w:rPr>
        <w:t xml:space="preserve"> </w:t>
      </w:r>
      <w:r>
        <w:t>celebrados</w:t>
      </w:r>
      <w:r>
        <w:rPr>
          <w:spacing w:val="80"/>
        </w:rPr>
        <w:t xml:space="preserve"> </w:t>
      </w:r>
      <w:r>
        <w:t>por</w:t>
      </w:r>
      <w:r>
        <w:rPr>
          <w:spacing w:val="80"/>
        </w:rPr>
        <w:t xml:space="preserve"> </w:t>
      </w:r>
      <w:r>
        <w:t>los</w:t>
      </w:r>
      <w:r>
        <w:rPr>
          <w:spacing w:val="80"/>
        </w:rPr>
        <w:t xml:space="preserve"> </w:t>
      </w:r>
      <w:r>
        <w:t>poderes</w:t>
      </w:r>
      <w:r>
        <w:rPr>
          <w:spacing w:val="80"/>
        </w:rPr>
        <w:t xml:space="preserve"> </w:t>
      </w:r>
      <w:r>
        <w:t>adjudicadores,</w:t>
      </w:r>
      <w:r>
        <w:rPr>
          <w:spacing w:val="80"/>
        </w:rPr>
        <w:t xml:space="preserve"> </w:t>
      </w:r>
      <w:r>
        <w:t>incluidos</w:t>
      </w:r>
      <w:r>
        <w:rPr>
          <w:spacing w:val="80"/>
        </w:rPr>
        <w:t xml:space="preserve"> </w:t>
      </w:r>
      <w:r>
        <w:t>los</w:t>
      </w:r>
      <w:r>
        <w:rPr>
          <w:spacing w:val="80"/>
        </w:rPr>
        <w:t xml:space="preserve"> </w:t>
      </w:r>
      <w:r>
        <w:t>contratos subvencionados a que se refiere el artículo 23, serán inválidos:</w:t>
      </w:r>
    </w:p>
    <w:p w:rsidR="0092635B" w:rsidRDefault="00000000">
      <w:pPr>
        <w:pStyle w:val="Prrafodelista"/>
        <w:numPr>
          <w:ilvl w:val="1"/>
          <w:numId w:val="318"/>
        </w:numPr>
        <w:tabs>
          <w:tab w:val="left" w:pos="1688"/>
        </w:tabs>
        <w:spacing w:before="122" w:line="249" w:lineRule="auto"/>
        <w:ind w:right="1105" w:firstLine="340"/>
        <w:jc w:val="both"/>
        <w:rPr>
          <w:sz w:val="20"/>
        </w:rPr>
      </w:pPr>
      <w:r>
        <w:rPr>
          <w:sz w:val="20"/>
        </w:rPr>
        <w:t>Cuando concurra en ellos alguna de las causas que los invalidan de conformidad con las disposiciones del derecho civil.</w:t>
      </w:r>
    </w:p>
    <w:p w:rsidR="0092635B" w:rsidRDefault="00000000">
      <w:pPr>
        <w:pStyle w:val="Prrafodelista"/>
        <w:numPr>
          <w:ilvl w:val="1"/>
          <w:numId w:val="318"/>
        </w:numPr>
        <w:tabs>
          <w:tab w:val="left" w:pos="1682"/>
        </w:tabs>
        <w:spacing w:before="1" w:line="249" w:lineRule="auto"/>
        <w:ind w:firstLine="340"/>
        <w:jc w:val="both"/>
        <w:rPr>
          <w:sz w:val="20"/>
        </w:rPr>
      </w:pPr>
      <w:r>
        <w:rPr>
          <w:sz w:val="20"/>
        </w:rPr>
        <w:t>Cuando lo sea alguno de sus actos preparatorios o del procedimiento de adjudicación, por concurrir en los mismos alguna de las causas de derecho administrativo a que se</w:t>
      </w:r>
      <w:r>
        <w:rPr>
          <w:spacing w:val="40"/>
          <w:sz w:val="20"/>
        </w:rPr>
        <w:t xml:space="preserve"> </w:t>
      </w:r>
      <w:r>
        <w:rPr>
          <w:sz w:val="20"/>
        </w:rPr>
        <w:t>refieren los artículos siguientes.</w:t>
      </w:r>
    </w:p>
    <w:p w:rsidR="0092635B" w:rsidRDefault="00000000">
      <w:pPr>
        <w:pStyle w:val="Prrafodelista"/>
        <w:numPr>
          <w:ilvl w:val="1"/>
          <w:numId w:val="318"/>
        </w:numPr>
        <w:tabs>
          <w:tab w:val="left" w:pos="1668"/>
        </w:tabs>
        <w:spacing w:before="3"/>
        <w:ind w:left="1668" w:right="0" w:hanging="222"/>
        <w:jc w:val="both"/>
        <w:rPr>
          <w:sz w:val="20"/>
        </w:rPr>
      </w:pPr>
      <w:r>
        <w:rPr>
          <w:sz w:val="20"/>
        </w:rPr>
        <w:t>En</w:t>
      </w:r>
      <w:r>
        <w:rPr>
          <w:spacing w:val="-2"/>
          <w:sz w:val="20"/>
        </w:rPr>
        <w:t xml:space="preserve"> </w:t>
      </w:r>
      <w:r>
        <w:rPr>
          <w:sz w:val="20"/>
        </w:rPr>
        <w:t>aquellos</w:t>
      </w:r>
      <w:r>
        <w:rPr>
          <w:spacing w:val="-2"/>
          <w:sz w:val="20"/>
        </w:rPr>
        <w:t xml:space="preserve"> </w:t>
      </w:r>
      <w:r>
        <w:rPr>
          <w:sz w:val="20"/>
        </w:rPr>
        <w:t>casos</w:t>
      </w:r>
      <w:r>
        <w:rPr>
          <w:spacing w:val="-2"/>
          <w:sz w:val="20"/>
        </w:rPr>
        <w:t xml:space="preserve"> </w:t>
      </w:r>
      <w:r>
        <w:rPr>
          <w:sz w:val="20"/>
        </w:rPr>
        <w:t>en</w:t>
      </w:r>
      <w:r>
        <w:rPr>
          <w:spacing w:val="-2"/>
          <w:sz w:val="20"/>
        </w:rPr>
        <w:t xml:space="preserve"> </w:t>
      </w:r>
      <w:r>
        <w:rPr>
          <w:sz w:val="20"/>
        </w:rPr>
        <w:t>que</w:t>
      </w:r>
      <w:r>
        <w:rPr>
          <w:spacing w:val="-1"/>
          <w:sz w:val="20"/>
        </w:rPr>
        <w:t xml:space="preserve"> </w:t>
      </w:r>
      <w:r>
        <w:rPr>
          <w:sz w:val="20"/>
        </w:rPr>
        <w:t>la</w:t>
      </w:r>
      <w:r>
        <w:rPr>
          <w:spacing w:val="-2"/>
          <w:sz w:val="20"/>
        </w:rPr>
        <w:t xml:space="preserve"> </w:t>
      </w:r>
      <w:r>
        <w:rPr>
          <w:sz w:val="20"/>
        </w:rPr>
        <w:t>invalidez</w:t>
      </w:r>
      <w:r>
        <w:rPr>
          <w:spacing w:val="-2"/>
          <w:sz w:val="20"/>
        </w:rPr>
        <w:t xml:space="preserve"> </w:t>
      </w:r>
      <w:r>
        <w:rPr>
          <w:sz w:val="20"/>
        </w:rPr>
        <w:t>derive</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ilegalidad</w:t>
      </w:r>
      <w:r>
        <w:rPr>
          <w:spacing w:val="-2"/>
          <w:sz w:val="20"/>
        </w:rPr>
        <w:t xml:space="preserve"> </w:t>
      </w:r>
      <w:r>
        <w:rPr>
          <w:sz w:val="20"/>
        </w:rPr>
        <w:t>de</w:t>
      </w:r>
      <w:r>
        <w:rPr>
          <w:spacing w:val="-2"/>
          <w:sz w:val="20"/>
        </w:rPr>
        <w:t xml:space="preserve"> </w:t>
      </w:r>
      <w:r>
        <w:rPr>
          <w:sz w:val="20"/>
        </w:rPr>
        <w:t>su</w:t>
      </w:r>
      <w:r>
        <w:rPr>
          <w:spacing w:val="-1"/>
          <w:sz w:val="20"/>
        </w:rPr>
        <w:t xml:space="preserve"> </w:t>
      </w:r>
      <w:r>
        <w:rPr>
          <w:spacing w:val="-2"/>
          <w:sz w:val="20"/>
        </w:rPr>
        <w:t>clausulado.</w:t>
      </w:r>
    </w:p>
    <w:p w:rsidR="0092635B" w:rsidRDefault="0092635B">
      <w:pPr>
        <w:pStyle w:val="Prrafodelista"/>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69" w:name="Artículo_39._Causas_de_nulidad_de_derech"/>
      <w:bookmarkEnd w:id="69"/>
      <w:r>
        <w:rPr>
          <w:rFonts w:ascii="Arial" w:hAnsi="Arial"/>
          <w:b/>
          <w:sz w:val="20"/>
        </w:rPr>
        <w:t>Artículo</w:t>
      </w:r>
      <w:r>
        <w:rPr>
          <w:rFonts w:ascii="Arial" w:hAnsi="Arial"/>
          <w:b/>
          <w:spacing w:val="-2"/>
          <w:sz w:val="20"/>
        </w:rPr>
        <w:t xml:space="preserve"> </w:t>
      </w:r>
      <w:r>
        <w:rPr>
          <w:rFonts w:ascii="Arial" w:hAnsi="Arial"/>
          <w:b/>
          <w:sz w:val="20"/>
        </w:rPr>
        <w:t>39.</w:t>
      </w:r>
      <w:r>
        <w:rPr>
          <w:rFonts w:ascii="Arial" w:hAnsi="Arial"/>
          <w:b/>
          <w:spacing w:val="50"/>
          <w:sz w:val="20"/>
        </w:rPr>
        <w:t xml:space="preserve"> </w:t>
      </w:r>
      <w:r>
        <w:rPr>
          <w:rFonts w:ascii="Arial" w:hAnsi="Arial"/>
          <w:i/>
          <w:sz w:val="20"/>
        </w:rPr>
        <w:t>Causas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nulidad</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derecho</w:t>
      </w:r>
      <w:r>
        <w:rPr>
          <w:rFonts w:ascii="Arial" w:hAnsi="Arial"/>
          <w:i/>
          <w:spacing w:val="-1"/>
          <w:sz w:val="20"/>
        </w:rPr>
        <w:t xml:space="preserve"> </w:t>
      </w:r>
      <w:r>
        <w:rPr>
          <w:rFonts w:ascii="Arial" w:hAnsi="Arial"/>
          <w:i/>
          <w:spacing w:val="-2"/>
          <w:sz w:val="20"/>
        </w:rPr>
        <w:t>administrativo.</w:t>
      </w:r>
    </w:p>
    <w:p w:rsidR="0092635B" w:rsidRDefault="00000000">
      <w:pPr>
        <w:pStyle w:val="Prrafodelista"/>
        <w:numPr>
          <w:ilvl w:val="0"/>
          <w:numId w:val="317"/>
        </w:numPr>
        <w:tabs>
          <w:tab w:val="left" w:pos="1679"/>
        </w:tabs>
        <w:spacing w:before="123" w:line="249" w:lineRule="auto"/>
        <w:ind w:right="1104" w:firstLine="340"/>
        <w:jc w:val="both"/>
        <w:rPr>
          <w:sz w:val="20"/>
        </w:rPr>
      </w:pPr>
      <w:r>
        <w:rPr>
          <w:sz w:val="20"/>
        </w:rPr>
        <w:t>Son causas de nulidad de derecho administrativo las indicadas en el artículo 47 de la Ley 39/2015, de 1 de octubre, del Procedimiento Administrativo Común de las Administraciones Públicas.</w:t>
      </w:r>
    </w:p>
    <w:p w:rsidR="0092635B" w:rsidRDefault="00000000">
      <w:pPr>
        <w:pStyle w:val="Prrafodelista"/>
        <w:numPr>
          <w:ilvl w:val="0"/>
          <w:numId w:val="317"/>
        </w:numPr>
        <w:tabs>
          <w:tab w:val="left" w:pos="1728"/>
        </w:tabs>
        <w:spacing w:before="3" w:line="249" w:lineRule="auto"/>
        <w:ind w:firstLine="340"/>
        <w:jc w:val="both"/>
        <w:rPr>
          <w:sz w:val="20"/>
        </w:rPr>
      </w:pPr>
      <w:r>
        <w:rPr>
          <w:sz w:val="20"/>
        </w:rPr>
        <w:t>Serán igualmente nulos de pleno derecho los contratos celebrados por poderes adjudicadores en los que concurra alguna de las causas siguientes:</w:t>
      </w:r>
    </w:p>
    <w:p w:rsidR="0092635B" w:rsidRDefault="00000000">
      <w:pPr>
        <w:pStyle w:val="Prrafodelista"/>
        <w:numPr>
          <w:ilvl w:val="1"/>
          <w:numId w:val="317"/>
        </w:numPr>
        <w:tabs>
          <w:tab w:val="left" w:pos="1736"/>
        </w:tabs>
        <w:spacing w:before="121" w:line="249" w:lineRule="auto"/>
        <w:ind w:right="1102" w:firstLine="340"/>
        <w:jc w:val="both"/>
        <w:rPr>
          <w:sz w:val="20"/>
        </w:rPr>
      </w:pPr>
      <w:r>
        <w:rPr>
          <w:sz w:val="20"/>
        </w:rPr>
        <w:t>La falta de capacidad de obrar o de solvencia económica, financiera, técnica o profesional; o la falta de habilitación empresarial o profesional cuando sea exigible para la realización de la actividad o prestación que constituya el objeto del contrato; o la falta de clasificación,</w:t>
      </w:r>
      <w:r>
        <w:rPr>
          <w:spacing w:val="-1"/>
          <w:sz w:val="20"/>
        </w:rPr>
        <w:t xml:space="preserve"> </w:t>
      </w:r>
      <w:r>
        <w:rPr>
          <w:sz w:val="20"/>
        </w:rPr>
        <w:t>cuando</w:t>
      </w:r>
      <w:r>
        <w:rPr>
          <w:spacing w:val="-1"/>
          <w:sz w:val="20"/>
        </w:rPr>
        <w:t xml:space="preserve"> </w:t>
      </w:r>
      <w:r>
        <w:rPr>
          <w:sz w:val="20"/>
        </w:rPr>
        <w:t>esta</w:t>
      </w:r>
      <w:r>
        <w:rPr>
          <w:spacing w:val="-1"/>
          <w:sz w:val="20"/>
        </w:rPr>
        <w:t xml:space="preserve"> </w:t>
      </w:r>
      <w:r>
        <w:rPr>
          <w:sz w:val="20"/>
        </w:rPr>
        <w:t>proceda,</w:t>
      </w:r>
      <w:r>
        <w:rPr>
          <w:spacing w:val="-1"/>
          <w:sz w:val="20"/>
        </w:rPr>
        <w:t xml:space="preserve"> </w:t>
      </w:r>
      <w:r>
        <w:rPr>
          <w:sz w:val="20"/>
        </w:rPr>
        <w:t>debidamente</w:t>
      </w:r>
      <w:r>
        <w:rPr>
          <w:spacing w:val="-1"/>
          <w:sz w:val="20"/>
        </w:rPr>
        <w:t xml:space="preserve"> </w:t>
      </w:r>
      <w:r>
        <w:rPr>
          <w:sz w:val="20"/>
        </w:rPr>
        <w:t>acreditada,</w:t>
      </w:r>
      <w:r>
        <w:rPr>
          <w:spacing w:val="-1"/>
          <w:sz w:val="20"/>
        </w:rPr>
        <w:t xml:space="preserve"> </w:t>
      </w:r>
      <w:r>
        <w:rPr>
          <w:sz w:val="20"/>
        </w:rPr>
        <w:t>del</w:t>
      </w:r>
      <w:r>
        <w:rPr>
          <w:spacing w:val="-1"/>
          <w:sz w:val="20"/>
        </w:rPr>
        <w:t xml:space="preserve"> </w:t>
      </w:r>
      <w:r>
        <w:rPr>
          <w:sz w:val="20"/>
        </w:rPr>
        <w:t>adjudicatario;</w:t>
      </w:r>
      <w:r>
        <w:rPr>
          <w:spacing w:val="-1"/>
          <w:sz w:val="20"/>
        </w:rPr>
        <w:t xml:space="preserve"> </w:t>
      </w:r>
      <w:r>
        <w:rPr>
          <w:sz w:val="20"/>
        </w:rPr>
        <w:t>o</w:t>
      </w:r>
      <w:r>
        <w:rPr>
          <w:spacing w:val="-1"/>
          <w:sz w:val="20"/>
        </w:rPr>
        <w:t xml:space="preserve"> </w:t>
      </w:r>
      <w:r>
        <w:rPr>
          <w:sz w:val="20"/>
        </w:rPr>
        <w:t>el</w:t>
      </w:r>
      <w:r>
        <w:rPr>
          <w:spacing w:val="-1"/>
          <w:sz w:val="20"/>
        </w:rPr>
        <w:t xml:space="preserve"> </w:t>
      </w:r>
      <w:r>
        <w:rPr>
          <w:sz w:val="20"/>
        </w:rPr>
        <w:t>estar</w:t>
      </w:r>
      <w:r>
        <w:rPr>
          <w:spacing w:val="-1"/>
          <w:sz w:val="20"/>
        </w:rPr>
        <w:t xml:space="preserve"> </w:t>
      </w:r>
      <w:r>
        <w:rPr>
          <w:sz w:val="20"/>
        </w:rPr>
        <w:t>este incurso en alguna de las prohibiciones para contratar señaladas en el artículo 71.</w:t>
      </w:r>
    </w:p>
    <w:p w:rsidR="0092635B" w:rsidRDefault="00000000">
      <w:pPr>
        <w:pStyle w:val="Prrafodelista"/>
        <w:numPr>
          <w:ilvl w:val="1"/>
          <w:numId w:val="317"/>
        </w:numPr>
        <w:tabs>
          <w:tab w:val="left" w:pos="1739"/>
        </w:tabs>
        <w:spacing w:before="4" w:line="249" w:lineRule="auto"/>
        <w:ind w:firstLine="340"/>
        <w:jc w:val="both"/>
        <w:rPr>
          <w:sz w:val="20"/>
        </w:rPr>
      </w:pPr>
      <w:r>
        <w:rPr>
          <w:sz w:val="20"/>
        </w:rPr>
        <w:t>La</w:t>
      </w:r>
      <w:r>
        <w:rPr>
          <w:spacing w:val="40"/>
          <w:sz w:val="20"/>
        </w:rPr>
        <w:t xml:space="preserve"> </w:t>
      </w:r>
      <w:r>
        <w:rPr>
          <w:sz w:val="20"/>
        </w:rPr>
        <w:t>carencia</w:t>
      </w:r>
      <w:r>
        <w:rPr>
          <w:spacing w:val="40"/>
          <w:sz w:val="20"/>
        </w:rPr>
        <w:t xml:space="preserve"> </w:t>
      </w:r>
      <w:r>
        <w:rPr>
          <w:sz w:val="20"/>
        </w:rPr>
        <w:t>o</w:t>
      </w:r>
      <w:r>
        <w:rPr>
          <w:spacing w:val="40"/>
          <w:sz w:val="20"/>
        </w:rPr>
        <w:t xml:space="preserve"> </w:t>
      </w:r>
      <w:r>
        <w:rPr>
          <w:sz w:val="20"/>
        </w:rPr>
        <w:t>insuficiencia</w:t>
      </w:r>
      <w:r>
        <w:rPr>
          <w:spacing w:val="40"/>
          <w:sz w:val="20"/>
        </w:rPr>
        <w:t xml:space="preserve"> </w:t>
      </w:r>
      <w:r>
        <w:rPr>
          <w:sz w:val="20"/>
        </w:rPr>
        <w:t>de</w:t>
      </w:r>
      <w:r>
        <w:rPr>
          <w:spacing w:val="40"/>
          <w:sz w:val="20"/>
        </w:rPr>
        <w:t xml:space="preserve"> </w:t>
      </w:r>
      <w:r>
        <w:rPr>
          <w:sz w:val="20"/>
        </w:rPr>
        <w:t>crédito,</w:t>
      </w:r>
      <w:r>
        <w:rPr>
          <w:spacing w:val="40"/>
          <w:sz w:val="20"/>
        </w:rPr>
        <w:t xml:space="preserve"> </w:t>
      </w:r>
      <w:r>
        <w:rPr>
          <w:sz w:val="20"/>
        </w:rPr>
        <w:t>de</w:t>
      </w:r>
      <w:r>
        <w:rPr>
          <w:spacing w:val="40"/>
          <w:sz w:val="20"/>
        </w:rPr>
        <w:t xml:space="preserve"> </w:t>
      </w:r>
      <w:r>
        <w:rPr>
          <w:sz w:val="20"/>
        </w:rPr>
        <w:t>conformidad</w:t>
      </w:r>
      <w:r>
        <w:rPr>
          <w:spacing w:val="40"/>
          <w:sz w:val="20"/>
        </w:rPr>
        <w:t xml:space="preserve"> </w:t>
      </w:r>
      <w:r>
        <w:rPr>
          <w:sz w:val="20"/>
        </w:rPr>
        <w:t>con</w:t>
      </w:r>
      <w:r>
        <w:rPr>
          <w:spacing w:val="40"/>
          <w:sz w:val="20"/>
        </w:rPr>
        <w:t xml:space="preserve"> </w:t>
      </w:r>
      <w:r>
        <w:rPr>
          <w:sz w:val="20"/>
        </w:rPr>
        <w:t>lo</w:t>
      </w:r>
      <w:r>
        <w:rPr>
          <w:spacing w:val="40"/>
          <w:sz w:val="20"/>
        </w:rPr>
        <w:t xml:space="preserve"> </w:t>
      </w:r>
      <w:r>
        <w:rPr>
          <w:sz w:val="20"/>
        </w:rPr>
        <w:t>establecido</w:t>
      </w:r>
      <w:r>
        <w:rPr>
          <w:spacing w:val="40"/>
          <w:sz w:val="20"/>
        </w:rPr>
        <w:t xml:space="preserve"> </w:t>
      </w:r>
      <w:r>
        <w:rPr>
          <w:sz w:val="20"/>
        </w:rPr>
        <w:t>en</w:t>
      </w:r>
      <w:r>
        <w:rPr>
          <w:spacing w:val="40"/>
          <w:sz w:val="20"/>
        </w:rPr>
        <w:t xml:space="preserve"> </w:t>
      </w:r>
      <w:r>
        <w:rPr>
          <w:sz w:val="20"/>
        </w:rPr>
        <w:t xml:space="preserve">la Ley 47/2003, de 26 de noviembre, General Presupuestaria, o en las normas presupuestarias de las restantes Administraciones Públicas sujetas a esta Ley, salvo los supuestos de </w:t>
      </w:r>
      <w:r>
        <w:rPr>
          <w:spacing w:val="-2"/>
          <w:sz w:val="20"/>
        </w:rPr>
        <w:t>emergencia.</w:t>
      </w:r>
    </w:p>
    <w:p w:rsidR="0092635B" w:rsidRDefault="00000000">
      <w:pPr>
        <w:pStyle w:val="Prrafodelista"/>
        <w:numPr>
          <w:ilvl w:val="1"/>
          <w:numId w:val="317"/>
        </w:numPr>
        <w:tabs>
          <w:tab w:val="left" w:pos="1670"/>
        </w:tabs>
        <w:spacing w:before="4" w:line="249" w:lineRule="auto"/>
        <w:ind w:right="1104" w:firstLine="340"/>
        <w:jc w:val="both"/>
        <w:rPr>
          <w:sz w:val="20"/>
        </w:rPr>
      </w:pPr>
      <w:r>
        <w:rPr>
          <w:sz w:val="20"/>
        </w:rPr>
        <w:t>La falta de publicación del anuncio de licitación en el perfil de contratante alojado en la Plataforma de Contratación del Sector Público o en los servicios de información similares de las Comunidades Autónomas, en el «Diario Oficial de la Unión Europea» o en el medio de publicidad en que sea preceptivo, de conformidad con el artículo 135.</w:t>
      </w:r>
    </w:p>
    <w:p w:rsidR="0092635B" w:rsidRDefault="00000000">
      <w:pPr>
        <w:pStyle w:val="Prrafodelista"/>
        <w:numPr>
          <w:ilvl w:val="1"/>
          <w:numId w:val="317"/>
        </w:numPr>
        <w:tabs>
          <w:tab w:val="left" w:pos="1690"/>
        </w:tabs>
        <w:spacing w:before="3" w:line="249" w:lineRule="auto"/>
        <w:ind w:right="1107" w:firstLine="340"/>
        <w:jc w:val="both"/>
        <w:rPr>
          <w:sz w:val="20"/>
        </w:rPr>
      </w:pPr>
      <w:r>
        <w:rPr>
          <w:sz w:val="20"/>
        </w:rPr>
        <w:t>La inobservancia por parte del órgano de contratación del plazo para la formalización del contrato siempre que concurran los dos siguientes requisitos:</w:t>
      </w:r>
    </w:p>
    <w:p w:rsidR="0092635B" w:rsidRDefault="00000000">
      <w:pPr>
        <w:pStyle w:val="Prrafodelista"/>
        <w:numPr>
          <w:ilvl w:val="2"/>
          <w:numId w:val="317"/>
        </w:numPr>
        <w:tabs>
          <w:tab w:val="left" w:pos="1610"/>
        </w:tabs>
        <w:spacing w:before="121" w:line="249" w:lineRule="auto"/>
        <w:ind w:right="1105" w:firstLine="340"/>
        <w:jc w:val="both"/>
        <w:rPr>
          <w:sz w:val="20"/>
        </w:rPr>
      </w:pPr>
      <w:r>
        <w:rPr>
          <w:sz w:val="20"/>
        </w:rPr>
        <w:t>º</w:t>
      </w:r>
      <w:r>
        <w:rPr>
          <w:spacing w:val="-3"/>
          <w:sz w:val="20"/>
        </w:rPr>
        <w:t xml:space="preserve"> </w:t>
      </w:r>
      <w:r>
        <w:rPr>
          <w:sz w:val="20"/>
        </w:rPr>
        <w:t>Que</w:t>
      </w:r>
      <w:r>
        <w:rPr>
          <w:spacing w:val="-2"/>
          <w:sz w:val="20"/>
        </w:rPr>
        <w:t xml:space="preserve"> </w:t>
      </w:r>
      <w:r>
        <w:rPr>
          <w:sz w:val="20"/>
        </w:rPr>
        <w:t>por</w:t>
      </w:r>
      <w:r>
        <w:rPr>
          <w:spacing w:val="-2"/>
          <w:sz w:val="20"/>
        </w:rPr>
        <w:t xml:space="preserve"> </w:t>
      </w:r>
      <w:r>
        <w:rPr>
          <w:sz w:val="20"/>
        </w:rPr>
        <w:t>esta</w:t>
      </w:r>
      <w:r>
        <w:rPr>
          <w:spacing w:val="-2"/>
          <w:sz w:val="20"/>
        </w:rPr>
        <w:t xml:space="preserve"> </w:t>
      </w:r>
      <w:r>
        <w:rPr>
          <w:sz w:val="20"/>
        </w:rPr>
        <w:t>causa</w:t>
      </w:r>
      <w:r>
        <w:rPr>
          <w:spacing w:val="-2"/>
          <w:sz w:val="20"/>
        </w:rPr>
        <w:t xml:space="preserve"> </w:t>
      </w:r>
      <w:r>
        <w:rPr>
          <w:sz w:val="20"/>
        </w:rPr>
        <w:t>el</w:t>
      </w:r>
      <w:r>
        <w:rPr>
          <w:spacing w:val="-2"/>
          <w:sz w:val="20"/>
        </w:rPr>
        <w:t xml:space="preserve"> </w:t>
      </w:r>
      <w:r>
        <w:rPr>
          <w:sz w:val="20"/>
        </w:rPr>
        <w:t>licitador</w:t>
      </w:r>
      <w:r>
        <w:rPr>
          <w:spacing w:val="-2"/>
          <w:sz w:val="20"/>
        </w:rPr>
        <w:t xml:space="preserve"> </w:t>
      </w:r>
      <w:r>
        <w:rPr>
          <w:sz w:val="20"/>
        </w:rPr>
        <w:t>se</w:t>
      </w:r>
      <w:r>
        <w:rPr>
          <w:spacing w:val="-2"/>
          <w:sz w:val="20"/>
        </w:rPr>
        <w:t xml:space="preserve"> </w:t>
      </w:r>
      <w:r>
        <w:rPr>
          <w:sz w:val="20"/>
        </w:rPr>
        <w:t>hubiese</w:t>
      </w:r>
      <w:r>
        <w:rPr>
          <w:spacing w:val="-2"/>
          <w:sz w:val="20"/>
        </w:rPr>
        <w:t xml:space="preserve"> </w:t>
      </w:r>
      <w:r>
        <w:rPr>
          <w:sz w:val="20"/>
        </w:rPr>
        <w:t>visto</w:t>
      </w:r>
      <w:r>
        <w:rPr>
          <w:spacing w:val="-2"/>
          <w:sz w:val="20"/>
        </w:rPr>
        <w:t xml:space="preserve"> </w:t>
      </w:r>
      <w:r>
        <w:rPr>
          <w:sz w:val="20"/>
        </w:rPr>
        <w:t>privado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posibilidad</w:t>
      </w:r>
      <w:r>
        <w:rPr>
          <w:spacing w:val="-2"/>
          <w:sz w:val="20"/>
        </w:rPr>
        <w:t xml:space="preserve"> </w:t>
      </w:r>
      <w:r>
        <w:rPr>
          <w:sz w:val="20"/>
        </w:rPr>
        <w:t>de</w:t>
      </w:r>
      <w:r>
        <w:rPr>
          <w:spacing w:val="-2"/>
          <w:sz w:val="20"/>
        </w:rPr>
        <w:t xml:space="preserve"> </w:t>
      </w:r>
      <w:r>
        <w:rPr>
          <w:sz w:val="20"/>
        </w:rPr>
        <w:t>interponer recurso contra alguno de los actos del procedimiento de adjudicación y,</w:t>
      </w:r>
    </w:p>
    <w:p w:rsidR="0092635B" w:rsidRDefault="00000000">
      <w:pPr>
        <w:pStyle w:val="Prrafodelista"/>
        <w:numPr>
          <w:ilvl w:val="2"/>
          <w:numId w:val="317"/>
        </w:numPr>
        <w:tabs>
          <w:tab w:val="left" w:pos="1610"/>
        </w:tabs>
        <w:spacing w:line="249" w:lineRule="auto"/>
        <w:ind w:right="1104" w:firstLine="340"/>
        <w:jc w:val="both"/>
        <w:rPr>
          <w:sz w:val="20"/>
        </w:rPr>
      </w:pPr>
      <w:r>
        <w:rPr>
          <w:sz w:val="20"/>
        </w:rPr>
        <w:t>º Que, además, concurra alguna infracción de los preceptos que regulan el procedimiento de adjudicación de los contratos que le hubiera impedido obtener esta.</w:t>
      </w:r>
    </w:p>
    <w:p w:rsidR="0092635B" w:rsidRDefault="00000000">
      <w:pPr>
        <w:pStyle w:val="Prrafodelista"/>
        <w:numPr>
          <w:ilvl w:val="1"/>
          <w:numId w:val="317"/>
        </w:numPr>
        <w:tabs>
          <w:tab w:val="left" w:pos="1695"/>
        </w:tabs>
        <w:spacing w:before="122" w:line="249" w:lineRule="auto"/>
        <w:ind w:right="1104" w:firstLine="340"/>
        <w:jc w:val="both"/>
        <w:rPr>
          <w:sz w:val="20"/>
        </w:rPr>
      </w:pPr>
      <w:r>
        <w:rPr>
          <w:sz w:val="20"/>
        </w:rPr>
        <w:t>Haber llevado a efecto la formalización del contrato, en los casos en que se hubiese interpuesto</w:t>
      </w:r>
      <w:r>
        <w:rPr>
          <w:spacing w:val="-1"/>
          <w:sz w:val="20"/>
        </w:rPr>
        <w:t xml:space="preserve"> </w:t>
      </w:r>
      <w:r>
        <w:rPr>
          <w:sz w:val="20"/>
        </w:rPr>
        <w:t>el</w:t>
      </w:r>
      <w:r>
        <w:rPr>
          <w:spacing w:val="-1"/>
          <w:sz w:val="20"/>
        </w:rPr>
        <w:t xml:space="preserve"> </w:t>
      </w:r>
      <w:r>
        <w:rPr>
          <w:sz w:val="20"/>
        </w:rPr>
        <w:t>recurso</w:t>
      </w:r>
      <w:r>
        <w:rPr>
          <w:spacing w:val="-1"/>
          <w:sz w:val="20"/>
        </w:rPr>
        <w:t xml:space="preserve"> </w:t>
      </w:r>
      <w:r>
        <w:rPr>
          <w:sz w:val="20"/>
        </w:rPr>
        <w:t>especial</w:t>
      </w:r>
      <w:r>
        <w:rPr>
          <w:spacing w:val="-1"/>
          <w:sz w:val="20"/>
        </w:rPr>
        <w:t xml:space="preserve"> </w:t>
      </w:r>
      <w:r>
        <w:rPr>
          <w:sz w:val="20"/>
        </w:rPr>
        <w:t>en</w:t>
      </w:r>
      <w:r>
        <w:rPr>
          <w:spacing w:val="-1"/>
          <w:sz w:val="20"/>
        </w:rPr>
        <w:t xml:space="preserve"> </w:t>
      </w:r>
      <w:r>
        <w:rPr>
          <w:sz w:val="20"/>
        </w:rPr>
        <w:t>materia</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refieren</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44</w:t>
      </w:r>
      <w:r>
        <w:rPr>
          <w:spacing w:val="-1"/>
          <w:sz w:val="20"/>
        </w:rPr>
        <w:t xml:space="preserve"> </w:t>
      </w:r>
      <w:r>
        <w:rPr>
          <w:sz w:val="20"/>
        </w:rPr>
        <w:t>y siguientes, sin respetar la suspensión automática del acto recurrido en los casos en que</w:t>
      </w:r>
      <w:r>
        <w:rPr>
          <w:spacing w:val="40"/>
          <w:sz w:val="20"/>
        </w:rPr>
        <w:t xml:space="preserve"> </w:t>
      </w:r>
      <w:r>
        <w:rPr>
          <w:sz w:val="20"/>
        </w:rPr>
        <w:t>fuera procedente, o la medida cautelar de suspensión acordada por el órgano competente para conocer del recurso especial en materia de contratación que se hubiera interpuesto.</w:t>
      </w:r>
    </w:p>
    <w:p w:rsidR="0092635B" w:rsidRDefault="00000000">
      <w:pPr>
        <w:pStyle w:val="Prrafodelista"/>
        <w:numPr>
          <w:ilvl w:val="1"/>
          <w:numId w:val="317"/>
        </w:numPr>
        <w:tabs>
          <w:tab w:val="left" w:pos="1657"/>
        </w:tabs>
        <w:spacing w:before="4" w:line="249" w:lineRule="auto"/>
        <w:ind w:right="1104" w:firstLine="340"/>
        <w:jc w:val="both"/>
        <w:rPr>
          <w:sz w:val="20"/>
        </w:rPr>
      </w:pPr>
      <w:r>
        <w:rPr>
          <w:sz w:val="20"/>
        </w:rPr>
        <w:t>El incumplimiento de las normas establecidas para la adjudicación de los contratos basados en un acuerdo marco celebrado con varios empresarios o de los contratos específicos basados en un sistema dinámico de adquisición en el que estuviesen admitidos varios empresarios, siempre que dicho incumplimiento hubiera determinado la adjudicación del contrato de que se trate a otro licitador.</w:t>
      </w:r>
    </w:p>
    <w:p w:rsidR="0092635B" w:rsidRDefault="00000000">
      <w:pPr>
        <w:pStyle w:val="Prrafodelista"/>
        <w:numPr>
          <w:ilvl w:val="1"/>
          <w:numId w:val="317"/>
        </w:numPr>
        <w:tabs>
          <w:tab w:val="left" w:pos="1705"/>
        </w:tabs>
        <w:spacing w:before="4" w:line="249" w:lineRule="auto"/>
        <w:ind w:right="1104" w:firstLine="340"/>
        <w:jc w:val="both"/>
        <w:rPr>
          <w:sz w:val="20"/>
        </w:rPr>
      </w:pPr>
      <w:r>
        <w:rPr>
          <w:sz w:val="20"/>
        </w:rPr>
        <w:t>El incumplimiento grave de normas de derecho de la Unión Europea en materia de contratación pública que conllevara que el contrato no hubiera debido adjudicarse al contratista, declarado por el TJUE en un procedimiento con arreglo al artículo 260 del Tratado de Funcionamiento de la Unión Europea.</w:t>
      </w:r>
    </w:p>
    <w:p w:rsidR="0092635B" w:rsidRDefault="00000000">
      <w:pPr>
        <w:pStyle w:val="Prrafodelista"/>
        <w:numPr>
          <w:ilvl w:val="1"/>
          <w:numId w:val="317"/>
        </w:numPr>
        <w:tabs>
          <w:tab w:val="left" w:pos="1713"/>
        </w:tabs>
        <w:spacing w:before="3" w:line="249" w:lineRule="auto"/>
        <w:ind w:right="1106" w:firstLine="340"/>
        <w:jc w:val="both"/>
        <w:rPr>
          <w:sz w:val="20"/>
        </w:rPr>
      </w:pPr>
      <w:r>
        <w:rPr>
          <w:sz w:val="20"/>
        </w:rPr>
        <w:t>La falta de mención en los pliegos de lo previsto en los párrafos tercero, cuarto y quinto del apartado 2 del artículo 122.</w:t>
      </w:r>
    </w:p>
    <w:p w:rsidR="0092635B" w:rsidRDefault="00000000">
      <w:pPr>
        <w:spacing w:before="229"/>
        <w:ind w:left="1106"/>
        <w:rPr>
          <w:rFonts w:ascii="Arial" w:hAnsi="Arial"/>
          <w:i/>
          <w:sz w:val="20"/>
        </w:rPr>
      </w:pPr>
      <w:bookmarkStart w:id="70" w:name="Artículo_40._Causas_de_anulabilidad_de_d"/>
      <w:bookmarkEnd w:id="70"/>
      <w:r>
        <w:rPr>
          <w:rFonts w:ascii="Arial" w:hAnsi="Arial"/>
          <w:b/>
          <w:sz w:val="20"/>
        </w:rPr>
        <w:t>Artículo</w:t>
      </w:r>
      <w:r>
        <w:rPr>
          <w:rFonts w:ascii="Arial" w:hAnsi="Arial"/>
          <w:b/>
          <w:spacing w:val="-3"/>
          <w:sz w:val="20"/>
        </w:rPr>
        <w:t xml:space="preserve"> </w:t>
      </w:r>
      <w:r>
        <w:rPr>
          <w:rFonts w:ascii="Arial" w:hAnsi="Arial"/>
          <w:b/>
          <w:sz w:val="20"/>
        </w:rPr>
        <w:t>40.</w:t>
      </w:r>
      <w:r>
        <w:rPr>
          <w:rFonts w:ascii="Arial" w:hAnsi="Arial"/>
          <w:b/>
          <w:spacing w:val="49"/>
          <w:sz w:val="20"/>
        </w:rPr>
        <w:t xml:space="preserve"> </w:t>
      </w:r>
      <w:r>
        <w:rPr>
          <w:rFonts w:ascii="Arial" w:hAnsi="Arial"/>
          <w:i/>
          <w:sz w:val="20"/>
        </w:rPr>
        <w:t>Causas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anulabilidad</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derecho</w:t>
      </w:r>
      <w:r>
        <w:rPr>
          <w:rFonts w:ascii="Arial" w:hAnsi="Arial"/>
          <w:i/>
          <w:spacing w:val="-2"/>
          <w:sz w:val="20"/>
        </w:rPr>
        <w:t xml:space="preserve"> administrativo.</w:t>
      </w:r>
    </w:p>
    <w:p w:rsidR="0092635B" w:rsidRDefault="00000000">
      <w:pPr>
        <w:pStyle w:val="Textoindependiente"/>
        <w:spacing w:before="123" w:line="249" w:lineRule="auto"/>
        <w:ind w:right="1105"/>
      </w:pPr>
      <w:r>
        <w:t>Son causas de anulabilidad de derecho administrativo las demás infracciones del ordenamiento jurídico y, en especial, las de las reglas contenidas en la presente Ley, de conformidad con lo establecido en el artículo 48 de la Ley 39/2015, de 1 de octubre, del Procedimiento Administrativo Común de las Administraciones Públicas.</w:t>
      </w:r>
    </w:p>
    <w:p w:rsidR="0092635B" w:rsidRDefault="00000000">
      <w:pPr>
        <w:pStyle w:val="Textoindependiente"/>
        <w:spacing w:before="3" w:line="249" w:lineRule="auto"/>
        <w:ind w:right="1104"/>
      </w:pPr>
      <w:r>
        <w:t>En particular, se incluyen entre las causas de anulabilidad a las que se refiere el párrafo anterior, las siguientes:</w:t>
      </w:r>
    </w:p>
    <w:p w:rsidR="0092635B" w:rsidRDefault="00000000">
      <w:pPr>
        <w:pStyle w:val="Prrafodelista"/>
        <w:numPr>
          <w:ilvl w:val="0"/>
          <w:numId w:val="316"/>
        </w:numPr>
        <w:tabs>
          <w:tab w:val="left" w:pos="1700"/>
        </w:tabs>
        <w:spacing w:before="122" w:line="249" w:lineRule="auto"/>
        <w:ind w:right="1106" w:firstLine="340"/>
        <w:jc w:val="both"/>
        <w:rPr>
          <w:sz w:val="20"/>
        </w:rPr>
      </w:pPr>
      <w:r>
        <w:rPr>
          <w:sz w:val="20"/>
        </w:rPr>
        <w:t>El incumplimiento de las circunstancias y requisitos exigidos para la modificación de los contratos en los artículos 204 y 205.</w:t>
      </w:r>
    </w:p>
    <w:p w:rsidR="0092635B" w:rsidRDefault="00000000">
      <w:pPr>
        <w:pStyle w:val="Prrafodelista"/>
        <w:numPr>
          <w:ilvl w:val="0"/>
          <w:numId w:val="316"/>
        </w:numPr>
        <w:tabs>
          <w:tab w:val="left" w:pos="1689"/>
        </w:tabs>
        <w:spacing w:line="249" w:lineRule="auto"/>
        <w:ind w:firstLine="340"/>
        <w:jc w:val="both"/>
        <w:rPr>
          <w:sz w:val="20"/>
        </w:rPr>
      </w:pPr>
      <w:r>
        <w:rPr>
          <w:sz w:val="20"/>
        </w:rPr>
        <w:t>Todas aquellas disposiciones, resoluciones, cláusulas o actos emanados de cualquier poder adjudicador que otorguen, de forma directa o indirecta, ventajas a las empresas que hayan contratado previamente con cualquier Administración.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316"/>
        </w:numPr>
        <w:tabs>
          <w:tab w:val="left" w:pos="1696"/>
        </w:tabs>
        <w:spacing w:before="1" w:line="249" w:lineRule="auto"/>
        <w:ind w:firstLine="340"/>
        <w:jc w:val="both"/>
        <w:rPr>
          <w:sz w:val="20"/>
        </w:rPr>
      </w:pPr>
      <w:r>
        <w:rPr>
          <w:sz w:val="20"/>
        </w:rPr>
        <w:t xml:space="preserve">Los encargos que acuerden los poderes adjudicadores para la ejecución directa de prestaciones a través de medios propios, cuando no observen alguno de los requisitos establecidos en los apartados 2, 3 y 4 del artículo 32, relativos a la condición de medio </w:t>
      </w:r>
      <w:r>
        <w:rPr>
          <w:spacing w:val="-2"/>
          <w:sz w:val="20"/>
        </w:rPr>
        <w:t>propio.</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71" w:name="Artículo_41._Revisión_de_oficio."/>
      <w:bookmarkEnd w:id="71"/>
      <w:r>
        <w:rPr>
          <w:rFonts w:ascii="Arial" w:hAnsi="Arial"/>
          <w:b/>
          <w:sz w:val="20"/>
        </w:rPr>
        <w:t>Artículo</w:t>
      </w:r>
      <w:r>
        <w:rPr>
          <w:rFonts w:ascii="Arial" w:hAnsi="Arial"/>
          <w:b/>
          <w:spacing w:val="-2"/>
          <w:sz w:val="20"/>
        </w:rPr>
        <w:t xml:space="preserve"> </w:t>
      </w:r>
      <w:r>
        <w:rPr>
          <w:rFonts w:ascii="Arial" w:hAnsi="Arial"/>
          <w:b/>
          <w:sz w:val="20"/>
        </w:rPr>
        <w:t>41.</w:t>
      </w:r>
      <w:r>
        <w:rPr>
          <w:rFonts w:ascii="Arial" w:hAnsi="Arial"/>
          <w:b/>
          <w:spacing w:val="51"/>
          <w:sz w:val="20"/>
        </w:rPr>
        <w:t xml:space="preserve"> </w:t>
      </w:r>
      <w:r>
        <w:rPr>
          <w:rFonts w:ascii="Arial" w:hAnsi="Arial"/>
          <w:i/>
          <w:sz w:val="20"/>
        </w:rPr>
        <w:t>Revisión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oficio.</w:t>
      </w:r>
    </w:p>
    <w:p w:rsidR="0092635B" w:rsidRDefault="00000000">
      <w:pPr>
        <w:pStyle w:val="Prrafodelista"/>
        <w:numPr>
          <w:ilvl w:val="0"/>
          <w:numId w:val="315"/>
        </w:numPr>
        <w:tabs>
          <w:tab w:val="left" w:pos="1685"/>
        </w:tabs>
        <w:spacing w:before="123" w:line="249" w:lineRule="auto"/>
        <w:ind w:firstLine="340"/>
        <w:jc w:val="both"/>
        <w:rPr>
          <w:sz w:val="20"/>
        </w:rPr>
      </w:pPr>
      <w:r>
        <w:rPr>
          <w:sz w:val="20"/>
        </w:rPr>
        <w:t>La revisión de oficio de los actos preparatorios y de los actos de adjudicación de los contratos se efectuará de conformidad con lo establecido en el Capítulo I del Título V de la Ley 39/2015, de 1 de octubre, del Procedimiento Administrativo Común de las Administraciones Públicas.</w:t>
      </w:r>
    </w:p>
    <w:p w:rsidR="0092635B" w:rsidRDefault="00000000">
      <w:pPr>
        <w:pStyle w:val="Prrafodelista"/>
        <w:numPr>
          <w:ilvl w:val="0"/>
          <w:numId w:val="315"/>
        </w:numPr>
        <w:tabs>
          <w:tab w:val="left" w:pos="1729"/>
        </w:tabs>
        <w:spacing w:before="3" w:line="249" w:lineRule="auto"/>
        <w:ind w:firstLine="340"/>
        <w:jc w:val="both"/>
        <w:rPr>
          <w:sz w:val="20"/>
        </w:rPr>
      </w:pPr>
      <w:r>
        <w:rPr>
          <w:sz w:val="20"/>
        </w:rPr>
        <w:t>A los exclusivos efectos de la presente Ley, tendrán la consideración de actos administrativos los actos preparatorios y los actos de adjudicación de los contratos de las entidades del sector público que no sean Administraciones Públicas, así como los actos preparatorios</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actos</w:t>
      </w:r>
      <w:r>
        <w:rPr>
          <w:spacing w:val="-1"/>
          <w:sz w:val="20"/>
        </w:rPr>
        <w:t xml:space="preserve"> </w:t>
      </w:r>
      <w:r>
        <w:rPr>
          <w:sz w:val="20"/>
        </w:rPr>
        <w:t>de</w:t>
      </w:r>
      <w:r>
        <w:rPr>
          <w:spacing w:val="-1"/>
          <w:sz w:val="20"/>
        </w:rPr>
        <w:t xml:space="preserve"> </w:t>
      </w:r>
      <w:r>
        <w:rPr>
          <w:sz w:val="20"/>
        </w:rPr>
        <w:t>adjudicación</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subvencionados</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w:t>
      </w:r>
      <w:r>
        <w:rPr>
          <w:spacing w:val="-1"/>
          <w:sz w:val="20"/>
        </w:rPr>
        <w:t xml:space="preserve"> </w:t>
      </w:r>
      <w:r>
        <w:rPr>
          <w:sz w:val="20"/>
        </w:rPr>
        <w:t>el artículo 23 de la presente Ley. La revisión de oficio de dichos actos se efectuará de conformidad con lo dispuesto en el apartado anterior.</w:t>
      </w:r>
    </w:p>
    <w:p w:rsidR="0092635B" w:rsidRDefault="00000000">
      <w:pPr>
        <w:pStyle w:val="Prrafodelista"/>
        <w:numPr>
          <w:ilvl w:val="0"/>
          <w:numId w:val="315"/>
        </w:numPr>
        <w:tabs>
          <w:tab w:val="left" w:pos="1691"/>
        </w:tabs>
        <w:spacing w:before="5" w:line="249" w:lineRule="auto"/>
        <w:ind w:firstLine="340"/>
        <w:jc w:val="both"/>
        <w:rPr>
          <w:sz w:val="20"/>
        </w:rPr>
      </w:pPr>
      <w:r>
        <w:rPr>
          <w:sz w:val="20"/>
        </w:rPr>
        <w:t>Sin perjuicio de lo que, para el ámbito de las Comunidades Autónomas establezcan sus normas respectivas que, en todo caso, deberán atribuir esta competencia a un órgano cuyas resoluciones agoten la vía administrativa, serán competentes para declarar la nulidad</w:t>
      </w:r>
      <w:r>
        <w:rPr>
          <w:spacing w:val="40"/>
          <w:sz w:val="20"/>
        </w:rPr>
        <w:t xml:space="preserve"> </w:t>
      </w:r>
      <w:r>
        <w:rPr>
          <w:sz w:val="20"/>
        </w:rPr>
        <w:t>o lesividad de los actos a que se refieren los apartados anteriores el órgano de contratación, cuando se trate de contratos de una Administración Pública, o el titular del departamento, órgano,</w:t>
      </w:r>
      <w:r>
        <w:rPr>
          <w:spacing w:val="-1"/>
          <w:sz w:val="20"/>
        </w:rPr>
        <w:t xml:space="preserve"> </w:t>
      </w:r>
      <w:r>
        <w:rPr>
          <w:sz w:val="20"/>
        </w:rPr>
        <w:t>ente</w:t>
      </w:r>
      <w:r>
        <w:rPr>
          <w:spacing w:val="-1"/>
          <w:sz w:val="20"/>
        </w:rPr>
        <w:t xml:space="preserve"> </w:t>
      </w:r>
      <w:r>
        <w:rPr>
          <w:sz w:val="20"/>
        </w:rPr>
        <w:t>u</w:t>
      </w:r>
      <w:r>
        <w:rPr>
          <w:spacing w:val="-1"/>
          <w:sz w:val="20"/>
        </w:rPr>
        <w:t xml:space="preserve"> </w:t>
      </w:r>
      <w:r>
        <w:rPr>
          <w:sz w:val="20"/>
        </w:rPr>
        <w:t>organismo</w:t>
      </w:r>
      <w:r>
        <w:rPr>
          <w:spacing w:val="-1"/>
          <w:sz w:val="20"/>
        </w:rPr>
        <w:t xml:space="preserve"> </w:t>
      </w:r>
      <w:r>
        <w:rPr>
          <w:sz w:val="20"/>
        </w:rPr>
        <w:t>al</w:t>
      </w:r>
      <w:r>
        <w:rPr>
          <w:spacing w:val="-1"/>
          <w:sz w:val="20"/>
        </w:rPr>
        <w:t xml:space="preserve"> </w:t>
      </w:r>
      <w:r>
        <w:rPr>
          <w:sz w:val="20"/>
        </w:rPr>
        <w:t>que</w:t>
      </w:r>
      <w:r>
        <w:rPr>
          <w:spacing w:val="-1"/>
          <w:sz w:val="20"/>
        </w:rPr>
        <w:t xml:space="preserve"> </w:t>
      </w:r>
      <w:r>
        <w:rPr>
          <w:sz w:val="20"/>
        </w:rPr>
        <w:t>esté</w:t>
      </w:r>
      <w:r>
        <w:rPr>
          <w:spacing w:val="-1"/>
          <w:sz w:val="20"/>
        </w:rPr>
        <w:t xml:space="preserve"> </w:t>
      </w:r>
      <w:r>
        <w:rPr>
          <w:sz w:val="20"/>
        </w:rPr>
        <w:t>adscrita</w:t>
      </w:r>
      <w:r>
        <w:rPr>
          <w:spacing w:val="-1"/>
          <w:sz w:val="20"/>
        </w:rPr>
        <w:t xml:space="preserve"> </w:t>
      </w:r>
      <w:r>
        <w:rPr>
          <w:sz w:val="20"/>
        </w:rPr>
        <w:t>la</w:t>
      </w:r>
      <w:r>
        <w:rPr>
          <w:spacing w:val="-1"/>
          <w:sz w:val="20"/>
        </w:rPr>
        <w:t xml:space="preserve"> </w:t>
      </w:r>
      <w:r>
        <w:rPr>
          <w:sz w:val="20"/>
        </w:rPr>
        <w:t>entidad</w:t>
      </w:r>
      <w:r>
        <w:rPr>
          <w:spacing w:val="-1"/>
          <w:sz w:val="20"/>
        </w:rPr>
        <w:t xml:space="preserve"> </w:t>
      </w:r>
      <w:r>
        <w:rPr>
          <w:sz w:val="20"/>
        </w:rPr>
        <w:t>contratante</w:t>
      </w:r>
      <w:r>
        <w:rPr>
          <w:spacing w:val="-1"/>
          <w:sz w:val="20"/>
        </w:rPr>
        <w:t xml:space="preserve"> </w:t>
      </w:r>
      <w:r>
        <w:rPr>
          <w:sz w:val="20"/>
        </w:rPr>
        <w:t>o</w:t>
      </w:r>
      <w:r>
        <w:rPr>
          <w:spacing w:val="-1"/>
          <w:sz w:val="20"/>
        </w:rPr>
        <w:t xml:space="preserve"> </w:t>
      </w:r>
      <w:r>
        <w:rPr>
          <w:sz w:val="20"/>
        </w:rPr>
        <w:t>al</w:t>
      </w:r>
      <w:r>
        <w:rPr>
          <w:spacing w:val="-1"/>
          <w:sz w:val="20"/>
        </w:rPr>
        <w:t xml:space="preserve"> </w:t>
      </w:r>
      <w:r>
        <w:rPr>
          <w:sz w:val="20"/>
        </w:rPr>
        <w:t>que</w:t>
      </w:r>
      <w:r>
        <w:rPr>
          <w:spacing w:val="-1"/>
          <w:sz w:val="20"/>
        </w:rPr>
        <w:t xml:space="preserve"> </w:t>
      </w:r>
      <w:r>
        <w:rPr>
          <w:sz w:val="20"/>
        </w:rPr>
        <w:t>corresponda</w:t>
      </w:r>
      <w:r>
        <w:rPr>
          <w:spacing w:val="-1"/>
          <w:sz w:val="20"/>
        </w:rPr>
        <w:t xml:space="preserve"> </w:t>
      </w:r>
      <w:r>
        <w:rPr>
          <w:sz w:val="20"/>
        </w:rPr>
        <w:t>su tutela, cuando esta no tenga el carácter de Administración Pública. En este último caso, si la entidad contratante estuviera vinculada a más de una Administración, será competente el órgano correspondiente de la que ostente el control o participación mayoritaria.</w:t>
      </w:r>
    </w:p>
    <w:p w:rsidR="0092635B" w:rsidRDefault="00000000">
      <w:pPr>
        <w:pStyle w:val="Textoindependiente"/>
        <w:spacing w:before="8" w:line="249" w:lineRule="auto"/>
        <w:ind w:right="1103"/>
      </w:pPr>
      <w:r>
        <w:t>En el supuesto de contratos subvencionados, la competencia corresponderá al titular del departamento, presidente o director de la entidad que hubiese otorgado la subvención, o al que esté adscrita la entidad que la hubiese concedido, cuando esta no tenga el carácter de Administración Pública. En el supuesto de concurrencia de subvenciones por parte de distintos sujetos del sector público, la competencia se determinará atendiendo a la subvención de mayor cuantía y, a igualdad de importe, atendiendo a la subvención primeramente concedida.</w:t>
      </w:r>
    </w:p>
    <w:p w:rsidR="0092635B" w:rsidRDefault="00000000">
      <w:pPr>
        <w:pStyle w:val="Textoindependiente"/>
        <w:spacing w:before="19"/>
        <w:ind w:left="0" w:firstLine="0"/>
        <w:jc w:val="left"/>
      </w:pPr>
      <w:r>
        <w:rPr>
          <w:noProof/>
        </w:rPr>
        <mc:AlternateContent>
          <mc:Choice Requires="wps">
            <w:drawing>
              <wp:anchor distT="0" distB="0" distL="0" distR="0" simplePos="0" relativeHeight="487589376" behindDoc="1" locked="0" layoutInCell="1" allowOverlap="1">
                <wp:simplePos x="0" y="0"/>
                <wp:positionH relativeFrom="page">
                  <wp:posOffset>1156762</wp:posOffset>
                </wp:positionH>
                <wp:positionV relativeFrom="paragraph">
                  <wp:posOffset>178759</wp:posOffset>
                </wp:positionV>
                <wp:extent cx="5247005" cy="78676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3 es conforme con el orden constitucional de competencias, siempre que se interprete en los términos establecidos en el fundamento</w:t>
                            </w:r>
                            <w:r>
                              <w:rPr>
                                <w:color w:val="000000"/>
                                <w:spacing w:val="40"/>
                                <w:sz w:val="18"/>
                              </w:rPr>
                              <w:t xml:space="preserve"> </w:t>
                            </w:r>
                            <w:r>
                              <w:rPr>
                                <w:color w:val="000000"/>
                                <w:sz w:val="18"/>
                              </w:rPr>
                              <w:t>jurídico</w:t>
                            </w:r>
                            <w:r>
                              <w:rPr>
                                <w:color w:val="000000"/>
                                <w:spacing w:val="40"/>
                                <w:sz w:val="18"/>
                              </w:rPr>
                              <w:t xml:space="preserve"> </w:t>
                            </w:r>
                            <w:r>
                              <w:rPr>
                                <w:color w:val="000000"/>
                                <w:sz w:val="18"/>
                              </w:rPr>
                              <w:t>9</w:t>
                            </w:r>
                            <w:r>
                              <w:rPr>
                                <w:color w:val="000000"/>
                                <w:spacing w:val="40"/>
                                <w:sz w:val="18"/>
                              </w:rPr>
                              <w:t xml:space="preserve"> </w:t>
                            </w:r>
                            <w:r>
                              <w:rPr>
                                <w:color w:val="000000"/>
                                <w:sz w:val="18"/>
                              </w:rPr>
                              <w:t>b),</w:t>
                            </w:r>
                            <w:r>
                              <w:rPr>
                                <w:color w:val="000000"/>
                                <w:spacing w:val="40"/>
                                <w:sz w:val="18"/>
                              </w:rPr>
                              <w:t xml:space="preserve"> </w:t>
                            </w:r>
                            <w:r>
                              <w:rPr>
                                <w:color w:val="000000"/>
                                <w:sz w:val="18"/>
                              </w:rPr>
                              <w:t>por</w:t>
                            </w:r>
                            <w:r>
                              <w:rPr>
                                <w:color w:val="000000"/>
                                <w:spacing w:val="40"/>
                                <w:sz w:val="18"/>
                              </w:rPr>
                              <w:t xml:space="preserve"> </w:t>
                            </w:r>
                            <w:r>
                              <w:rPr>
                                <w:color w:val="000000"/>
                                <w:sz w:val="18"/>
                              </w:rPr>
                              <w:t>la</w:t>
                            </w:r>
                            <w:r>
                              <w:rPr>
                                <w:color w:val="000000"/>
                                <w:spacing w:val="40"/>
                                <w:sz w:val="18"/>
                              </w:rPr>
                              <w:t xml:space="preserve"> </w:t>
                            </w:r>
                            <w:r>
                              <w:rPr>
                                <w:color w:val="000000"/>
                                <w:sz w:val="18"/>
                              </w:rPr>
                              <w:t>Sentencia</w:t>
                            </w:r>
                            <w:r>
                              <w:rPr>
                                <w:color w:val="000000"/>
                                <w:spacing w:val="40"/>
                                <w:sz w:val="18"/>
                              </w:rPr>
                              <w:t xml:space="preserve"> </w:t>
                            </w:r>
                            <w:r>
                              <w:rPr>
                                <w:color w:val="000000"/>
                                <w:sz w:val="18"/>
                              </w:rPr>
                              <w:t>del</w:t>
                            </w:r>
                            <w:r>
                              <w:rPr>
                                <w:color w:val="000000"/>
                                <w:spacing w:val="40"/>
                                <w:sz w:val="18"/>
                              </w:rPr>
                              <w:t xml:space="preserve"> </w:t>
                            </w:r>
                            <w:r>
                              <w:rPr>
                                <w:color w:val="000000"/>
                                <w:sz w:val="18"/>
                              </w:rPr>
                              <w:t>TC</w:t>
                            </w:r>
                            <w:r>
                              <w:rPr>
                                <w:color w:val="000000"/>
                                <w:spacing w:val="40"/>
                                <w:sz w:val="18"/>
                              </w:rPr>
                              <w:t xml:space="preserve"> </w:t>
                            </w:r>
                            <w:r>
                              <w:rPr>
                                <w:color w:val="000000"/>
                                <w:sz w:val="18"/>
                              </w:rPr>
                              <w:t>68/2021,</w:t>
                            </w:r>
                            <w:r>
                              <w:rPr>
                                <w:color w:val="000000"/>
                                <w:spacing w:val="40"/>
                                <w:sz w:val="18"/>
                              </w:rPr>
                              <w:t xml:space="preserve"> </w:t>
                            </w:r>
                            <w:r>
                              <w:rPr>
                                <w:color w:val="000000"/>
                                <w:sz w:val="18"/>
                              </w:rPr>
                              <w:t>de</w:t>
                            </w:r>
                            <w:r>
                              <w:rPr>
                                <w:color w:val="000000"/>
                                <w:spacing w:val="40"/>
                                <w:sz w:val="18"/>
                              </w:rPr>
                              <w:t xml:space="preserve"> </w:t>
                            </w:r>
                            <w:r>
                              <w:rPr>
                                <w:color w:val="000000"/>
                                <w:sz w:val="18"/>
                              </w:rPr>
                              <w:t>18</w:t>
                            </w:r>
                            <w:r>
                              <w:rPr>
                                <w:color w:val="000000"/>
                                <w:spacing w:val="40"/>
                                <w:sz w:val="18"/>
                              </w:rPr>
                              <w:t xml:space="preserve"> </w:t>
                            </w:r>
                            <w:r>
                              <w:rPr>
                                <w:color w:val="000000"/>
                                <w:sz w:val="18"/>
                              </w:rPr>
                              <w:t>de</w:t>
                            </w:r>
                            <w:r>
                              <w:rPr>
                                <w:color w:val="000000"/>
                                <w:spacing w:val="40"/>
                                <w:sz w:val="18"/>
                              </w:rPr>
                              <w:t xml:space="preserve"> </w:t>
                            </w:r>
                            <w:r>
                              <w:rPr>
                                <w:color w:val="000000"/>
                                <w:sz w:val="18"/>
                              </w:rPr>
                              <w:t>marzo.</w:t>
                            </w:r>
                            <w:r>
                              <w:rPr>
                                <w:color w:val="000000"/>
                                <w:spacing w:val="40"/>
                                <w:sz w:val="18"/>
                              </w:rPr>
                              <w:t xml:space="preserve"> </w:t>
                            </w:r>
                            <w:hyperlink r:id="rId11">
                              <w:r>
                                <w:rPr>
                                  <w:color w:val="0000FF"/>
                                  <w:sz w:val="18"/>
                                  <w:u w:val="single" w:color="0000FF"/>
                                </w:rPr>
                                <w:t>Ref.</w:t>
                              </w:r>
                              <w:r>
                                <w:rPr>
                                  <w:color w:val="0000FF"/>
                                  <w:spacing w:val="40"/>
                                  <w:sz w:val="18"/>
                                  <w:u w:val="single" w:color="0000FF"/>
                                </w:rPr>
                                <w:t xml:space="preserve"> </w:t>
                              </w:r>
                              <w:r>
                                <w:rPr>
                                  <w:color w:val="0000FF"/>
                                  <w:sz w:val="18"/>
                                  <w:u w:val="single" w:color="0000FF"/>
                                </w:rPr>
                                <w:t>BOE-</w:t>
                              </w:r>
                            </w:hyperlink>
                            <w:r>
                              <w:rPr>
                                <w:color w:val="0000FF"/>
                                <w:spacing w:val="40"/>
                                <w:sz w:val="18"/>
                              </w:rPr>
                              <w:t xml:space="preserve"> </w:t>
                            </w:r>
                            <w:hyperlink r:id="rId12">
                              <w:r>
                                <w:rPr>
                                  <w:color w:val="0000FF"/>
                                  <w:spacing w:val="-2"/>
                                  <w:sz w:val="18"/>
                                  <w:u w:val="single" w:color="0000FF"/>
                                </w:rPr>
                                <w:t>A-2021-6614</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91.1pt;margin-top:14.1pt;width:413.15pt;height:61.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3 es conforme con el orden constitucional de competencias, siempre que se interprete en los términos establecidos en el fundamento</w:t>
                      </w:r>
                      <w:r>
                        <w:rPr>
                          <w:color w:val="000000"/>
                          <w:spacing w:val="40"/>
                          <w:sz w:val="18"/>
                        </w:rPr>
                        <w:t xml:space="preserve"> </w:t>
                      </w:r>
                      <w:r>
                        <w:rPr>
                          <w:color w:val="000000"/>
                          <w:sz w:val="18"/>
                        </w:rPr>
                        <w:t>jurídico</w:t>
                      </w:r>
                      <w:r>
                        <w:rPr>
                          <w:color w:val="000000"/>
                          <w:spacing w:val="40"/>
                          <w:sz w:val="18"/>
                        </w:rPr>
                        <w:t xml:space="preserve"> </w:t>
                      </w:r>
                      <w:r>
                        <w:rPr>
                          <w:color w:val="000000"/>
                          <w:sz w:val="18"/>
                        </w:rPr>
                        <w:t>9</w:t>
                      </w:r>
                      <w:r>
                        <w:rPr>
                          <w:color w:val="000000"/>
                          <w:spacing w:val="40"/>
                          <w:sz w:val="18"/>
                        </w:rPr>
                        <w:t xml:space="preserve"> </w:t>
                      </w:r>
                      <w:r>
                        <w:rPr>
                          <w:color w:val="000000"/>
                          <w:sz w:val="18"/>
                        </w:rPr>
                        <w:t>b),</w:t>
                      </w:r>
                      <w:r>
                        <w:rPr>
                          <w:color w:val="000000"/>
                          <w:spacing w:val="40"/>
                          <w:sz w:val="18"/>
                        </w:rPr>
                        <w:t xml:space="preserve"> </w:t>
                      </w:r>
                      <w:r>
                        <w:rPr>
                          <w:color w:val="000000"/>
                          <w:sz w:val="18"/>
                        </w:rPr>
                        <w:t>por</w:t>
                      </w:r>
                      <w:r>
                        <w:rPr>
                          <w:color w:val="000000"/>
                          <w:spacing w:val="40"/>
                          <w:sz w:val="18"/>
                        </w:rPr>
                        <w:t xml:space="preserve"> </w:t>
                      </w:r>
                      <w:r>
                        <w:rPr>
                          <w:color w:val="000000"/>
                          <w:sz w:val="18"/>
                        </w:rPr>
                        <w:t>la</w:t>
                      </w:r>
                      <w:r>
                        <w:rPr>
                          <w:color w:val="000000"/>
                          <w:spacing w:val="40"/>
                          <w:sz w:val="18"/>
                        </w:rPr>
                        <w:t xml:space="preserve"> </w:t>
                      </w:r>
                      <w:r>
                        <w:rPr>
                          <w:color w:val="000000"/>
                          <w:sz w:val="18"/>
                        </w:rPr>
                        <w:t>Sentencia</w:t>
                      </w:r>
                      <w:r>
                        <w:rPr>
                          <w:color w:val="000000"/>
                          <w:spacing w:val="40"/>
                          <w:sz w:val="18"/>
                        </w:rPr>
                        <w:t xml:space="preserve"> </w:t>
                      </w:r>
                      <w:r>
                        <w:rPr>
                          <w:color w:val="000000"/>
                          <w:sz w:val="18"/>
                        </w:rPr>
                        <w:t>del</w:t>
                      </w:r>
                      <w:r>
                        <w:rPr>
                          <w:color w:val="000000"/>
                          <w:spacing w:val="40"/>
                          <w:sz w:val="18"/>
                        </w:rPr>
                        <w:t xml:space="preserve"> </w:t>
                      </w:r>
                      <w:r>
                        <w:rPr>
                          <w:color w:val="000000"/>
                          <w:sz w:val="18"/>
                        </w:rPr>
                        <w:t>TC</w:t>
                      </w:r>
                      <w:r>
                        <w:rPr>
                          <w:color w:val="000000"/>
                          <w:spacing w:val="40"/>
                          <w:sz w:val="18"/>
                        </w:rPr>
                        <w:t xml:space="preserve"> </w:t>
                      </w:r>
                      <w:r>
                        <w:rPr>
                          <w:color w:val="000000"/>
                          <w:sz w:val="18"/>
                        </w:rPr>
                        <w:t>68/2021,</w:t>
                      </w:r>
                      <w:r>
                        <w:rPr>
                          <w:color w:val="000000"/>
                          <w:spacing w:val="40"/>
                          <w:sz w:val="18"/>
                        </w:rPr>
                        <w:t xml:space="preserve"> </w:t>
                      </w:r>
                      <w:r>
                        <w:rPr>
                          <w:color w:val="000000"/>
                          <w:sz w:val="18"/>
                        </w:rPr>
                        <w:t>de</w:t>
                      </w:r>
                      <w:r>
                        <w:rPr>
                          <w:color w:val="000000"/>
                          <w:spacing w:val="40"/>
                          <w:sz w:val="18"/>
                        </w:rPr>
                        <w:t xml:space="preserve"> </w:t>
                      </w:r>
                      <w:r>
                        <w:rPr>
                          <w:color w:val="000000"/>
                          <w:sz w:val="18"/>
                        </w:rPr>
                        <w:t>18</w:t>
                      </w:r>
                      <w:r>
                        <w:rPr>
                          <w:color w:val="000000"/>
                          <w:spacing w:val="40"/>
                          <w:sz w:val="18"/>
                        </w:rPr>
                        <w:t xml:space="preserve"> </w:t>
                      </w:r>
                      <w:r>
                        <w:rPr>
                          <w:color w:val="000000"/>
                          <w:sz w:val="18"/>
                        </w:rPr>
                        <w:t>de</w:t>
                      </w:r>
                      <w:r>
                        <w:rPr>
                          <w:color w:val="000000"/>
                          <w:spacing w:val="40"/>
                          <w:sz w:val="18"/>
                        </w:rPr>
                        <w:t xml:space="preserve"> </w:t>
                      </w:r>
                      <w:r>
                        <w:rPr>
                          <w:color w:val="000000"/>
                          <w:sz w:val="18"/>
                        </w:rPr>
                        <w:t>marzo.</w:t>
                      </w:r>
                      <w:r>
                        <w:rPr>
                          <w:color w:val="000000"/>
                          <w:spacing w:val="40"/>
                          <w:sz w:val="18"/>
                        </w:rPr>
                        <w:t xml:space="preserve"> </w:t>
                      </w:r>
                      <w:hyperlink r:id="rId13">
                        <w:r>
                          <w:rPr>
                            <w:color w:val="0000FF"/>
                            <w:sz w:val="18"/>
                            <w:u w:val="single" w:color="0000FF"/>
                          </w:rPr>
                          <w:t>Ref.</w:t>
                        </w:r>
                        <w:r>
                          <w:rPr>
                            <w:color w:val="0000FF"/>
                            <w:spacing w:val="40"/>
                            <w:sz w:val="18"/>
                            <w:u w:val="single" w:color="0000FF"/>
                          </w:rPr>
                          <w:t xml:space="preserve"> </w:t>
                        </w:r>
                        <w:r>
                          <w:rPr>
                            <w:color w:val="0000FF"/>
                            <w:sz w:val="18"/>
                            <w:u w:val="single" w:color="0000FF"/>
                          </w:rPr>
                          <w:t>BOE-</w:t>
                        </w:r>
                      </w:hyperlink>
                      <w:r>
                        <w:rPr>
                          <w:color w:val="0000FF"/>
                          <w:spacing w:val="40"/>
                          <w:sz w:val="18"/>
                        </w:rPr>
                        <w:t xml:space="preserve"> </w:t>
                      </w:r>
                      <w:hyperlink r:id="rId14">
                        <w:r>
                          <w:rPr>
                            <w:color w:val="0000FF"/>
                            <w:spacing w:val="-2"/>
                            <w:sz w:val="18"/>
                            <w:u w:val="single" w:color="0000FF"/>
                          </w:rPr>
                          <w:t>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315"/>
        </w:numPr>
        <w:tabs>
          <w:tab w:val="left" w:pos="1671"/>
        </w:tabs>
        <w:spacing w:before="0" w:line="249" w:lineRule="auto"/>
        <w:ind w:right="1102" w:firstLine="340"/>
        <w:jc w:val="both"/>
        <w:rPr>
          <w:sz w:val="20"/>
        </w:rPr>
      </w:pPr>
      <w:r>
        <w:rPr>
          <w:sz w:val="20"/>
        </w:rPr>
        <w:t>Salvo determinación expresa en contrario, la competencia para declarar la nulidad o la lesividad se entenderá delegada conjuntamente con la competencia para contratar. No obstante, la facultad de acordar una indemnización por perjuicios en caso de nulidad no será susceptible de delegación, debiendo resolver sobre la misma, en todo caso, el órgano delegante; a estos efectos, si se estimase pertinente reconocer una indemnización, se elevará el expediente al órgano delegante, el cual, sin necesidad de avocación previa y expresa,</w:t>
      </w:r>
      <w:r>
        <w:rPr>
          <w:spacing w:val="-1"/>
          <w:sz w:val="20"/>
        </w:rPr>
        <w:t xml:space="preserve"> </w:t>
      </w:r>
      <w:r>
        <w:rPr>
          <w:sz w:val="20"/>
        </w:rPr>
        <w:t>resolverá</w:t>
      </w:r>
      <w:r>
        <w:rPr>
          <w:spacing w:val="-1"/>
          <w:sz w:val="20"/>
        </w:rPr>
        <w:t xml:space="preserve"> </w:t>
      </w:r>
      <w:r>
        <w:rPr>
          <w:sz w:val="20"/>
        </w:rPr>
        <w:t>lo</w:t>
      </w:r>
      <w:r>
        <w:rPr>
          <w:spacing w:val="-1"/>
          <w:sz w:val="20"/>
        </w:rPr>
        <w:t xml:space="preserve"> </w:t>
      </w:r>
      <w:r>
        <w:rPr>
          <w:sz w:val="20"/>
        </w:rPr>
        <w:t>procedente</w:t>
      </w:r>
      <w:r>
        <w:rPr>
          <w:spacing w:val="-1"/>
          <w:sz w:val="20"/>
        </w:rPr>
        <w:t xml:space="preserve"> </w:t>
      </w:r>
      <w:r>
        <w:rPr>
          <w:sz w:val="20"/>
        </w:rPr>
        <w:t>sobre</w:t>
      </w:r>
      <w:r>
        <w:rPr>
          <w:spacing w:val="-1"/>
          <w:sz w:val="20"/>
        </w:rPr>
        <w:t xml:space="preserve"> </w:t>
      </w:r>
      <w:r>
        <w:rPr>
          <w:sz w:val="20"/>
        </w:rPr>
        <w:t>la</w:t>
      </w:r>
      <w:r>
        <w:rPr>
          <w:spacing w:val="-1"/>
          <w:sz w:val="20"/>
        </w:rPr>
        <w:t xml:space="preserve"> </w:t>
      </w:r>
      <w:r>
        <w:rPr>
          <w:sz w:val="20"/>
        </w:rPr>
        <w:t>declaración</w:t>
      </w:r>
      <w:r>
        <w:rPr>
          <w:spacing w:val="-1"/>
          <w:sz w:val="20"/>
        </w:rPr>
        <w:t xml:space="preserve"> </w:t>
      </w:r>
      <w:r>
        <w:rPr>
          <w:sz w:val="20"/>
        </w:rPr>
        <w:t>de</w:t>
      </w:r>
      <w:r>
        <w:rPr>
          <w:spacing w:val="-1"/>
          <w:sz w:val="20"/>
        </w:rPr>
        <w:t xml:space="preserve"> </w:t>
      </w:r>
      <w:r>
        <w:rPr>
          <w:sz w:val="20"/>
        </w:rPr>
        <w:t>nulidad</w:t>
      </w:r>
      <w:r>
        <w:rPr>
          <w:spacing w:val="-1"/>
          <w:sz w:val="20"/>
        </w:rPr>
        <w:t xml:space="preserve"> </w:t>
      </w:r>
      <w:r>
        <w:rPr>
          <w:sz w:val="20"/>
        </w:rPr>
        <w:t>conforme</w:t>
      </w:r>
      <w:r>
        <w:rPr>
          <w:spacing w:val="-1"/>
          <w:sz w:val="20"/>
        </w:rPr>
        <w:t xml:space="preserve"> </w:t>
      </w:r>
      <w:r>
        <w:rPr>
          <w:sz w:val="20"/>
        </w:rPr>
        <w:t>a</w:t>
      </w:r>
      <w:r>
        <w:rPr>
          <w:spacing w:val="-1"/>
          <w:sz w:val="20"/>
        </w:rPr>
        <w:t xml:space="preserve"> </w:t>
      </w:r>
      <w:r>
        <w:rPr>
          <w:sz w:val="20"/>
        </w:rPr>
        <w:t>lo</w:t>
      </w:r>
      <w:r>
        <w:rPr>
          <w:spacing w:val="-1"/>
          <w:sz w:val="20"/>
        </w:rPr>
        <w:t xml:space="preserve"> </w:t>
      </w:r>
      <w:r>
        <w:rPr>
          <w:sz w:val="20"/>
        </w:rPr>
        <w:t>previsto</w:t>
      </w:r>
      <w:r>
        <w:rPr>
          <w:spacing w:val="-1"/>
          <w:sz w:val="20"/>
        </w:rPr>
        <w:t xml:space="preserve"> </w:t>
      </w:r>
      <w:r>
        <w:rPr>
          <w:sz w:val="20"/>
        </w:rPr>
        <w:t>en</w:t>
      </w:r>
      <w:r>
        <w:rPr>
          <w:spacing w:val="-1"/>
          <w:sz w:val="20"/>
        </w:rPr>
        <w:t xml:space="preserve"> </w:t>
      </w:r>
      <w:r>
        <w:rPr>
          <w:sz w:val="20"/>
        </w:rPr>
        <w:t>la Ley 39/2015, de 1 de octubre, del Procedimiento Administrativo Común de las Administraciones Públicas.</w:t>
      </w:r>
    </w:p>
    <w:p w:rsidR="0092635B" w:rsidRDefault="00000000">
      <w:pPr>
        <w:pStyle w:val="Prrafodelista"/>
        <w:numPr>
          <w:ilvl w:val="0"/>
          <w:numId w:val="315"/>
        </w:numPr>
        <w:tabs>
          <w:tab w:val="left" w:pos="1703"/>
        </w:tabs>
        <w:spacing w:before="7" w:line="249" w:lineRule="auto"/>
        <w:ind w:firstLine="340"/>
        <w:jc w:val="both"/>
        <w:rPr>
          <w:sz w:val="20"/>
        </w:rPr>
      </w:pPr>
      <w:r>
        <w:rPr>
          <w:sz w:val="20"/>
        </w:rPr>
        <w:t>En los supuestos de nulidad y anulabilidad, y en relación con la suspensión de la ejecución de los actos de los órganos de contratación, se estará a lo dispuesto en el artículo 108 de la Ley 39/2015, de 1 de octubre, del Procedimiento Administrativo Común de las Administraciones Públicas.</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72" w:name="Artículo_42._Efectos_de_la_declaración_d"/>
      <w:bookmarkEnd w:id="72"/>
      <w:r>
        <w:rPr>
          <w:rFonts w:ascii="Arial" w:hAnsi="Arial"/>
          <w:b/>
          <w:sz w:val="20"/>
        </w:rPr>
        <w:t>Artículo</w:t>
      </w:r>
      <w:r>
        <w:rPr>
          <w:rFonts w:ascii="Arial" w:hAnsi="Arial"/>
          <w:b/>
          <w:spacing w:val="-2"/>
          <w:sz w:val="20"/>
        </w:rPr>
        <w:t xml:space="preserve"> </w:t>
      </w:r>
      <w:r>
        <w:rPr>
          <w:rFonts w:ascii="Arial" w:hAnsi="Arial"/>
          <w:b/>
          <w:sz w:val="20"/>
        </w:rPr>
        <w:t>42.</w:t>
      </w:r>
      <w:r>
        <w:rPr>
          <w:rFonts w:ascii="Arial" w:hAnsi="Arial"/>
          <w:b/>
          <w:spacing w:val="51"/>
          <w:sz w:val="20"/>
        </w:rPr>
        <w:t xml:space="preserve"> </w:t>
      </w:r>
      <w:r>
        <w:rPr>
          <w:rFonts w:ascii="Arial" w:hAnsi="Arial"/>
          <w:i/>
          <w:sz w:val="20"/>
        </w:rPr>
        <w:t>Efectos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z w:val="20"/>
        </w:rPr>
        <w:t>declaración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nulidad</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efectos</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supuestos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anulabilidad.</w:t>
      </w:r>
    </w:p>
    <w:p w:rsidR="0092635B" w:rsidRDefault="00000000">
      <w:pPr>
        <w:pStyle w:val="Prrafodelista"/>
        <w:numPr>
          <w:ilvl w:val="0"/>
          <w:numId w:val="314"/>
        </w:numPr>
        <w:tabs>
          <w:tab w:val="left" w:pos="1675"/>
        </w:tabs>
        <w:spacing w:before="124" w:line="249" w:lineRule="auto"/>
        <w:ind w:right="1104" w:firstLine="340"/>
        <w:jc w:val="both"/>
        <w:rPr>
          <w:sz w:val="20"/>
        </w:rPr>
      </w:pPr>
      <w:r>
        <w:rPr>
          <w:sz w:val="20"/>
        </w:rPr>
        <w:t>La declaración de nulidad de los actos preparatorios del contrato o de la adjudicación, cuando</w:t>
      </w:r>
      <w:r>
        <w:rPr>
          <w:spacing w:val="-2"/>
          <w:sz w:val="20"/>
        </w:rPr>
        <w:t xml:space="preserve"> </w:t>
      </w:r>
      <w:r>
        <w:rPr>
          <w:sz w:val="20"/>
        </w:rPr>
        <w:t>sea</w:t>
      </w:r>
      <w:r>
        <w:rPr>
          <w:spacing w:val="-2"/>
          <w:sz w:val="20"/>
        </w:rPr>
        <w:t xml:space="preserve"> </w:t>
      </w:r>
      <w:r>
        <w:rPr>
          <w:sz w:val="20"/>
        </w:rPr>
        <w:t>firme,</w:t>
      </w:r>
      <w:r>
        <w:rPr>
          <w:spacing w:val="-2"/>
          <w:sz w:val="20"/>
        </w:rPr>
        <w:t xml:space="preserve"> </w:t>
      </w:r>
      <w:r>
        <w:rPr>
          <w:sz w:val="20"/>
        </w:rPr>
        <w:t>llevará</w:t>
      </w:r>
      <w:r>
        <w:rPr>
          <w:spacing w:val="-2"/>
          <w:sz w:val="20"/>
        </w:rPr>
        <w:t xml:space="preserve"> </w:t>
      </w:r>
      <w:r>
        <w:rPr>
          <w:sz w:val="20"/>
        </w:rPr>
        <w:t>en</w:t>
      </w:r>
      <w:r>
        <w:rPr>
          <w:spacing w:val="-2"/>
          <w:sz w:val="20"/>
        </w:rPr>
        <w:t xml:space="preserve"> </w:t>
      </w:r>
      <w:r>
        <w:rPr>
          <w:sz w:val="20"/>
        </w:rPr>
        <w:t>todo</w:t>
      </w:r>
      <w:r>
        <w:rPr>
          <w:spacing w:val="-2"/>
          <w:sz w:val="20"/>
        </w:rPr>
        <w:t xml:space="preserve"> </w:t>
      </w:r>
      <w:r>
        <w:rPr>
          <w:sz w:val="20"/>
        </w:rPr>
        <w:t>caso</w:t>
      </w:r>
      <w:r>
        <w:rPr>
          <w:spacing w:val="-2"/>
          <w:sz w:val="20"/>
        </w:rPr>
        <w:t xml:space="preserve"> </w:t>
      </w:r>
      <w:r>
        <w:rPr>
          <w:sz w:val="20"/>
        </w:rPr>
        <w:t>consigo</w:t>
      </w:r>
      <w:r>
        <w:rPr>
          <w:spacing w:val="-2"/>
          <w:sz w:val="20"/>
        </w:rPr>
        <w:t xml:space="preserve"> </w:t>
      </w:r>
      <w:r>
        <w:rPr>
          <w:sz w:val="20"/>
        </w:rPr>
        <w:t>la</w:t>
      </w:r>
      <w:r>
        <w:rPr>
          <w:spacing w:val="-2"/>
          <w:sz w:val="20"/>
        </w:rPr>
        <w:t xml:space="preserve"> </w:t>
      </w:r>
      <w:r>
        <w:rPr>
          <w:sz w:val="20"/>
        </w:rPr>
        <w:t>del</w:t>
      </w:r>
      <w:r>
        <w:rPr>
          <w:spacing w:val="-2"/>
          <w:sz w:val="20"/>
        </w:rPr>
        <w:t xml:space="preserve"> </w:t>
      </w:r>
      <w:r>
        <w:rPr>
          <w:sz w:val="20"/>
        </w:rPr>
        <w:t>mismo</w:t>
      </w:r>
      <w:r>
        <w:rPr>
          <w:spacing w:val="-2"/>
          <w:sz w:val="20"/>
        </w:rPr>
        <w:t xml:space="preserve"> </w:t>
      </w:r>
      <w:r>
        <w:rPr>
          <w:sz w:val="20"/>
        </w:rPr>
        <w:t>contrato,</w:t>
      </w:r>
      <w:r>
        <w:rPr>
          <w:spacing w:val="-2"/>
          <w:sz w:val="20"/>
        </w:rPr>
        <w:t xml:space="preserve"> </w:t>
      </w:r>
      <w:r>
        <w:rPr>
          <w:sz w:val="20"/>
        </w:rPr>
        <w:t>que</w:t>
      </w:r>
      <w:r>
        <w:rPr>
          <w:spacing w:val="-2"/>
          <w:sz w:val="20"/>
        </w:rPr>
        <w:t xml:space="preserve"> </w:t>
      </w:r>
      <w:r>
        <w:rPr>
          <w:sz w:val="20"/>
        </w:rPr>
        <w:t>entrará</w:t>
      </w:r>
      <w:r>
        <w:rPr>
          <w:spacing w:val="-2"/>
          <w:sz w:val="20"/>
        </w:rPr>
        <w:t xml:space="preserve"> </w:t>
      </w:r>
      <w:r>
        <w:rPr>
          <w:sz w:val="20"/>
        </w:rPr>
        <w:t>en</w:t>
      </w:r>
      <w:r>
        <w:rPr>
          <w:spacing w:val="-2"/>
          <w:sz w:val="20"/>
        </w:rPr>
        <w:t xml:space="preserve"> </w:t>
      </w:r>
      <w:r>
        <w:rPr>
          <w:sz w:val="20"/>
        </w:rPr>
        <w:t>fase</w:t>
      </w:r>
      <w:r>
        <w:rPr>
          <w:spacing w:val="-2"/>
          <w:sz w:val="20"/>
        </w:rPr>
        <w:t xml:space="preserve"> </w:t>
      </w:r>
      <w:r>
        <w:rPr>
          <w:sz w:val="20"/>
        </w:rPr>
        <w:t>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liquidación, debiendo restituirse las partes recíprocamente las cosas que hubiesen recibido en virtud del mismo y si esto no fuese posible se devolverá su valor. La parte que resulte culpable deberá indemnizar a la contraria de los daños y perjuicios que haya sufrido.</w:t>
      </w:r>
    </w:p>
    <w:p w:rsidR="0092635B" w:rsidRDefault="00000000">
      <w:pPr>
        <w:pStyle w:val="Prrafodelista"/>
        <w:numPr>
          <w:ilvl w:val="0"/>
          <w:numId w:val="314"/>
        </w:numPr>
        <w:tabs>
          <w:tab w:val="left" w:pos="1724"/>
        </w:tabs>
        <w:spacing w:line="249" w:lineRule="auto"/>
        <w:ind w:right="1104" w:firstLine="340"/>
        <w:jc w:val="both"/>
        <w:rPr>
          <w:sz w:val="20"/>
        </w:rPr>
      </w:pPr>
      <w:r>
        <w:rPr>
          <w:sz w:val="20"/>
        </w:rPr>
        <w:t xml:space="preserve">La nulidad de los actos que no sean preparatorios solo afectará a estos y sus </w:t>
      </w:r>
      <w:r>
        <w:rPr>
          <w:spacing w:val="-2"/>
          <w:sz w:val="20"/>
        </w:rPr>
        <w:t>consecuencias.</w:t>
      </w:r>
    </w:p>
    <w:p w:rsidR="0092635B" w:rsidRDefault="00000000">
      <w:pPr>
        <w:pStyle w:val="Prrafodelista"/>
        <w:numPr>
          <w:ilvl w:val="0"/>
          <w:numId w:val="314"/>
        </w:numPr>
        <w:tabs>
          <w:tab w:val="left" w:pos="1670"/>
        </w:tabs>
        <w:spacing w:line="249" w:lineRule="auto"/>
        <w:ind w:right="1102" w:firstLine="340"/>
        <w:jc w:val="both"/>
        <w:rPr>
          <w:sz w:val="20"/>
        </w:rPr>
      </w:pPr>
      <w:r>
        <w:rPr>
          <w:sz w:val="20"/>
        </w:rPr>
        <w:t>Si</w:t>
      </w:r>
      <w:r>
        <w:rPr>
          <w:spacing w:val="-1"/>
          <w:sz w:val="20"/>
        </w:rPr>
        <w:t xml:space="preserve"> </w:t>
      </w:r>
      <w:r>
        <w:rPr>
          <w:sz w:val="20"/>
        </w:rPr>
        <w:t>la</w:t>
      </w:r>
      <w:r>
        <w:rPr>
          <w:spacing w:val="-1"/>
          <w:sz w:val="20"/>
        </w:rPr>
        <w:t xml:space="preserve"> </w:t>
      </w:r>
      <w:r>
        <w:rPr>
          <w:sz w:val="20"/>
        </w:rPr>
        <w:t>declaración</w:t>
      </w:r>
      <w:r>
        <w:rPr>
          <w:spacing w:val="-1"/>
          <w:sz w:val="20"/>
        </w:rPr>
        <w:t xml:space="preserve"> </w:t>
      </w:r>
      <w:r>
        <w:rPr>
          <w:sz w:val="20"/>
        </w:rPr>
        <w:t>administrativa</w:t>
      </w:r>
      <w:r>
        <w:rPr>
          <w:spacing w:val="-1"/>
          <w:sz w:val="20"/>
        </w:rPr>
        <w:t xml:space="preserve"> </w:t>
      </w:r>
      <w:r>
        <w:rPr>
          <w:sz w:val="20"/>
        </w:rPr>
        <w:t>de</w:t>
      </w:r>
      <w:r>
        <w:rPr>
          <w:spacing w:val="-1"/>
          <w:sz w:val="20"/>
        </w:rPr>
        <w:t xml:space="preserve"> </w:t>
      </w:r>
      <w:r>
        <w:rPr>
          <w:sz w:val="20"/>
        </w:rPr>
        <w:t>nulidad</w:t>
      </w:r>
      <w:r>
        <w:rPr>
          <w:spacing w:val="-1"/>
          <w:sz w:val="20"/>
        </w:rPr>
        <w:t xml:space="preserve"> </w:t>
      </w:r>
      <w:r>
        <w:rPr>
          <w:sz w:val="20"/>
        </w:rPr>
        <w:t>de</w:t>
      </w:r>
      <w:r>
        <w:rPr>
          <w:spacing w:val="-1"/>
          <w:sz w:val="20"/>
        </w:rPr>
        <w:t xml:space="preserve"> </w:t>
      </w:r>
      <w:r>
        <w:rPr>
          <w:sz w:val="20"/>
        </w:rPr>
        <w:t>un</w:t>
      </w:r>
      <w:r>
        <w:rPr>
          <w:spacing w:val="-1"/>
          <w:sz w:val="20"/>
        </w:rPr>
        <w:t xml:space="preserve"> </w:t>
      </w:r>
      <w:r>
        <w:rPr>
          <w:sz w:val="20"/>
        </w:rPr>
        <w:t>contrato</w:t>
      </w:r>
      <w:r>
        <w:rPr>
          <w:spacing w:val="-1"/>
          <w:sz w:val="20"/>
        </w:rPr>
        <w:t xml:space="preserve"> </w:t>
      </w:r>
      <w:r>
        <w:rPr>
          <w:sz w:val="20"/>
        </w:rPr>
        <w:t>produjese</w:t>
      </w:r>
      <w:r>
        <w:rPr>
          <w:spacing w:val="-1"/>
          <w:sz w:val="20"/>
        </w:rPr>
        <w:t xml:space="preserve"> </w:t>
      </w:r>
      <w:r>
        <w:rPr>
          <w:sz w:val="20"/>
        </w:rPr>
        <w:t>un</w:t>
      </w:r>
      <w:r>
        <w:rPr>
          <w:spacing w:val="-1"/>
          <w:sz w:val="20"/>
        </w:rPr>
        <w:t xml:space="preserve"> </w:t>
      </w:r>
      <w:r>
        <w:rPr>
          <w:sz w:val="20"/>
        </w:rPr>
        <w:t>grave</w:t>
      </w:r>
      <w:r>
        <w:rPr>
          <w:spacing w:val="-1"/>
          <w:sz w:val="20"/>
        </w:rPr>
        <w:t xml:space="preserve"> </w:t>
      </w:r>
      <w:r>
        <w:rPr>
          <w:sz w:val="20"/>
        </w:rPr>
        <w:t>trastorno al servicio público, podrá disponerse en el mismo acuerdo la continuación de los efectos de aquel y bajo sus mismas cláusulas, hasta que se adopten las medidas urgentes para evitar</w:t>
      </w:r>
      <w:r>
        <w:rPr>
          <w:spacing w:val="80"/>
          <w:sz w:val="20"/>
        </w:rPr>
        <w:t xml:space="preserve"> </w:t>
      </w:r>
      <w:r>
        <w:rPr>
          <w:sz w:val="20"/>
        </w:rPr>
        <w:t>el perjuicio.</w:t>
      </w:r>
    </w:p>
    <w:p w:rsidR="0092635B" w:rsidRDefault="00000000">
      <w:pPr>
        <w:pStyle w:val="Prrafodelista"/>
        <w:numPr>
          <w:ilvl w:val="0"/>
          <w:numId w:val="314"/>
        </w:numPr>
        <w:tabs>
          <w:tab w:val="left" w:pos="1708"/>
        </w:tabs>
        <w:spacing w:before="3" w:line="249" w:lineRule="auto"/>
        <w:ind w:right="1104" w:firstLine="340"/>
        <w:jc w:val="both"/>
        <w:rPr>
          <w:sz w:val="20"/>
        </w:rPr>
      </w:pPr>
      <w:r>
        <w:rPr>
          <w:sz w:val="20"/>
        </w:rPr>
        <w:t>Los efectos establecidos en los apartados anteriores podrán ser acordados por la sentencia que ponga fin al recurso contencioso-administrativo interpuesto previa declaración de lesividad, de conformidad con lo previsto en el artículo 71 de la Ley 29/1998, de 13 de julio, reguladora de la Jurisdicción Contencioso-administrativa.</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73" w:name="Artículo_43._Causas_de_invalidez_de_dere"/>
      <w:bookmarkEnd w:id="73"/>
      <w:r>
        <w:rPr>
          <w:rFonts w:ascii="Arial" w:hAnsi="Arial"/>
          <w:b/>
          <w:sz w:val="20"/>
        </w:rPr>
        <w:t>Artículo</w:t>
      </w:r>
      <w:r>
        <w:rPr>
          <w:rFonts w:ascii="Arial" w:hAnsi="Arial"/>
          <w:b/>
          <w:spacing w:val="-1"/>
          <w:sz w:val="20"/>
        </w:rPr>
        <w:t xml:space="preserve"> </w:t>
      </w:r>
      <w:r>
        <w:rPr>
          <w:rFonts w:ascii="Arial" w:hAnsi="Arial"/>
          <w:b/>
          <w:sz w:val="20"/>
        </w:rPr>
        <w:t>43.</w:t>
      </w:r>
      <w:r>
        <w:rPr>
          <w:rFonts w:ascii="Arial" w:hAnsi="Arial"/>
          <w:b/>
          <w:spacing w:val="52"/>
          <w:sz w:val="20"/>
        </w:rPr>
        <w:t xml:space="preserve"> </w:t>
      </w:r>
      <w:r>
        <w:rPr>
          <w:rFonts w:ascii="Arial" w:hAnsi="Arial"/>
          <w:i/>
          <w:sz w:val="20"/>
        </w:rPr>
        <w:t>Causas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invalidez</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derecho</w:t>
      </w:r>
      <w:r>
        <w:rPr>
          <w:rFonts w:ascii="Arial" w:hAnsi="Arial"/>
          <w:i/>
          <w:spacing w:val="-1"/>
          <w:sz w:val="20"/>
        </w:rPr>
        <w:t xml:space="preserve"> </w:t>
      </w:r>
      <w:r>
        <w:rPr>
          <w:rFonts w:ascii="Arial" w:hAnsi="Arial"/>
          <w:i/>
          <w:spacing w:val="-2"/>
          <w:sz w:val="20"/>
        </w:rPr>
        <w:t>civil.</w:t>
      </w:r>
    </w:p>
    <w:p w:rsidR="0092635B" w:rsidRDefault="00000000">
      <w:pPr>
        <w:pStyle w:val="Textoindependiente"/>
        <w:spacing w:before="124" w:line="249" w:lineRule="auto"/>
        <w:ind w:right="1102"/>
      </w:pPr>
      <w:r>
        <w:t>La invalidez de los contratos por causas reconocidas en el derecho civil, en cuanto resulten de aplicación a los contratos a que se refiere el artículo 38, se sujetará a los requisitos y plazos de ejercicio de las acciones establecidos en el ordenamiento civil, pero el procedimiento para hacerlas valer, cuando el contrato se haya celebrado por una Administración Pública, se someterá a lo previsto en los artículos anteriores para los actos y contratos administrativos anulables.</w:t>
      </w:r>
    </w:p>
    <w:p w:rsidR="0092635B" w:rsidRDefault="0092635B">
      <w:pPr>
        <w:pStyle w:val="Textoindependiente"/>
        <w:spacing w:before="114"/>
        <w:ind w:left="0" w:firstLine="0"/>
        <w:jc w:val="left"/>
      </w:pPr>
    </w:p>
    <w:p w:rsidR="0092635B" w:rsidRDefault="00000000">
      <w:pPr>
        <w:pStyle w:val="Textoindependiente"/>
        <w:spacing w:before="1"/>
        <w:ind w:left="0" w:firstLine="0"/>
        <w:jc w:val="center"/>
      </w:pPr>
      <w:bookmarkStart w:id="74" w:name="CAPÍTULO_V._Del_recurso_especial"/>
      <w:bookmarkStart w:id="75" w:name="_bookmark15"/>
      <w:bookmarkEnd w:id="74"/>
      <w:bookmarkEnd w:id="75"/>
      <w:r>
        <w:t xml:space="preserve">CAPÍTULO </w:t>
      </w:r>
      <w:r>
        <w:rPr>
          <w:spacing w:val="-10"/>
        </w:rPr>
        <w:t>V</w:t>
      </w:r>
    </w:p>
    <w:p w:rsidR="0092635B" w:rsidRDefault="00000000">
      <w:pPr>
        <w:pStyle w:val="Ttulo2"/>
      </w:pPr>
      <w:r>
        <w:t xml:space="preserve">Del recurso </w:t>
      </w:r>
      <w:r>
        <w:rPr>
          <w:spacing w:val="-2"/>
        </w:rPr>
        <w:t>especial</w:t>
      </w:r>
    </w:p>
    <w:p w:rsidR="0092635B" w:rsidRDefault="0092635B">
      <w:pPr>
        <w:pStyle w:val="Textoindependiente"/>
        <w:spacing w:before="7"/>
        <w:ind w:left="0" w:firstLine="0"/>
        <w:jc w:val="left"/>
        <w:rPr>
          <w:rFonts w:ascii="Arial"/>
          <w:b/>
        </w:rPr>
      </w:pPr>
    </w:p>
    <w:p w:rsidR="0092635B" w:rsidRDefault="00000000">
      <w:pPr>
        <w:ind w:left="1106"/>
        <w:jc w:val="both"/>
        <w:rPr>
          <w:rFonts w:ascii="Arial" w:hAnsi="Arial"/>
          <w:i/>
          <w:sz w:val="20"/>
        </w:rPr>
      </w:pPr>
      <w:bookmarkStart w:id="76" w:name="Artículo_44._Recurso_especial_en_materia"/>
      <w:bookmarkEnd w:id="76"/>
      <w:r>
        <w:rPr>
          <w:rFonts w:ascii="Arial" w:hAnsi="Arial"/>
          <w:b/>
          <w:sz w:val="20"/>
        </w:rPr>
        <w:t>Artículo</w:t>
      </w:r>
      <w:r>
        <w:rPr>
          <w:rFonts w:ascii="Arial" w:hAnsi="Arial"/>
          <w:b/>
          <w:spacing w:val="-3"/>
          <w:sz w:val="20"/>
        </w:rPr>
        <w:t xml:space="preserve"> </w:t>
      </w:r>
      <w:r>
        <w:rPr>
          <w:rFonts w:ascii="Arial" w:hAnsi="Arial"/>
          <w:b/>
          <w:sz w:val="20"/>
        </w:rPr>
        <w:t>44.</w:t>
      </w:r>
      <w:r>
        <w:rPr>
          <w:rFonts w:ascii="Arial" w:hAnsi="Arial"/>
          <w:b/>
          <w:spacing w:val="50"/>
          <w:sz w:val="20"/>
        </w:rPr>
        <w:t xml:space="preserve"> </w:t>
      </w:r>
      <w:r>
        <w:rPr>
          <w:rFonts w:ascii="Arial" w:hAnsi="Arial"/>
          <w:i/>
          <w:sz w:val="20"/>
        </w:rPr>
        <w:t>Recurso</w:t>
      </w:r>
      <w:r>
        <w:rPr>
          <w:rFonts w:ascii="Arial" w:hAnsi="Arial"/>
          <w:i/>
          <w:spacing w:val="-2"/>
          <w:sz w:val="20"/>
        </w:rPr>
        <w:t xml:space="preserve"> </w:t>
      </w:r>
      <w:r>
        <w:rPr>
          <w:rFonts w:ascii="Arial" w:hAnsi="Arial"/>
          <w:i/>
          <w:sz w:val="20"/>
        </w:rPr>
        <w:t>especial</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materia</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contratación:</w:t>
      </w:r>
      <w:r>
        <w:rPr>
          <w:rFonts w:ascii="Arial" w:hAnsi="Arial"/>
          <w:i/>
          <w:spacing w:val="-2"/>
          <w:sz w:val="20"/>
        </w:rPr>
        <w:t xml:space="preserve"> </w:t>
      </w:r>
      <w:r>
        <w:rPr>
          <w:rFonts w:ascii="Arial" w:hAnsi="Arial"/>
          <w:i/>
          <w:sz w:val="20"/>
        </w:rPr>
        <w:t>actos</w:t>
      </w:r>
      <w:r>
        <w:rPr>
          <w:rFonts w:ascii="Arial" w:hAnsi="Arial"/>
          <w:i/>
          <w:spacing w:val="-2"/>
          <w:sz w:val="20"/>
        </w:rPr>
        <w:t xml:space="preserve"> recurribles.</w:t>
      </w:r>
    </w:p>
    <w:p w:rsidR="0092635B" w:rsidRDefault="00000000">
      <w:pPr>
        <w:pStyle w:val="Prrafodelista"/>
        <w:numPr>
          <w:ilvl w:val="0"/>
          <w:numId w:val="313"/>
        </w:numPr>
        <w:tabs>
          <w:tab w:val="left" w:pos="1730"/>
        </w:tabs>
        <w:spacing w:before="123" w:line="249" w:lineRule="auto"/>
        <w:ind w:firstLine="340"/>
        <w:jc w:val="both"/>
        <w:rPr>
          <w:sz w:val="20"/>
        </w:rPr>
      </w:pPr>
      <w:r>
        <w:rPr>
          <w:sz w:val="20"/>
        </w:rPr>
        <w:t>Serán susceptibles de recurso especial en materia de contratación, los actos y decisiones relacionados en el apartado 2 de este mismo artículo, cuando se refieran a los siguientes contratos que pretendan concertar las Administraciones Públicas o las restantes entidades que ostenten la condición de poderes adjudicadores:</w:t>
      </w:r>
    </w:p>
    <w:p w:rsidR="0092635B" w:rsidRDefault="00000000">
      <w:pPr>
        <w:pStyle w:val="Prrafodelista"/>
        <w:numPr>
          <w:ilvl w:val="1"/>
          <w:numId w:val="313"/>
        </w:numPr>
        <w:tabs>
          <w:tab w:val="left" w:pos="1702"/>
        </w:tabs>
        <w:spacing w:before="124" w:line="249" w:lineRule="auto"/>
        <w:ind w:firstLine="340"/>
        <w:jc w:val="both"/>
        <w:rPr>
          <w:sz w:val="20"/>
        </w:rPr>
      </w:pPr>
      <w:r>
        <w:rPr>
          <w:sz w:val="20"/>
        </w:rPr>
        <w:t>Contratos de obras cuyo valor estimado sea superior a tres millones de euros, y de suministro y servicios, que tenga un valor estimado superior a cien mil euros.</w:t>
      </w:r>
    </w:p>
    <w:p w:rsidR="0092635B" w:rsidRDefault="00000000">
      <w:pPr>
        <w:pStyle w:val="Prrafodelista"/>
        <w:numPr>
          <w:ilvl w:val="1"/>
          <w:numId w:val="313"/>
        </w:numPr>
        <w:tabs>
          <w:tab w:val="left" w:pos="1740"/>
        </w:tabs>
        <w:spacing w:before="1" w:line="249" w:lineRule="auto"/>
        <w:ind w:firstLine="340"/>
        <w:jc w:val="both"/>
        <w:rPr>
          <w:sz w:val="20"/>
        </w:rPr>
      </w:pPr>
      <w:r>
        <w:rPr>
          <w:sz w:val="20"/>
        </w:rPr>
        <w:t>Acuerdos marco y sistemas dinámicos de adquisición que tengan por objeto la celebración de alguno de los contratos tipificados en la letra anterior, así como los contratos basados en cualquiera de ellos.</w:t>
      </w:r>
    </w:p>
    <w:p w:rsidR="0092635B" w:rsidRDefault="00000000">
      <w:pPr>
        <w:pStyle w:val="Prrafodelista"/>
        <w:numPr>
          <w:ilvl w:val="1"/>
          <w:numId w:val="313"/>
        </w:numPr>
        <w:tabs>
          <w:tab w:val="left" w:pos="1680"/>
        </w:tabs>
        <w:spacing w:before="3" w:line="249" w:lineRule="auto"/>
        <w:ind w:right="1105" w:firstLine="340"/>
        <w:jc w:val="both"/>
        <w:rPr>
          <w:sz w:val="20"/>
        </w:rPr>
      </w:pPr>
      <w:r>
        <w:rPr>
          <w:sz w:val="20"/>
        </w:rPr>
        <w:t xml:space="preserve">Concesiones de obras o de servicios cuyo valor estimado supere los tres millones de </w:t>
      </w:r>
      <w:r>
        <w:rPr>
          <w:spacing w:val="-2"/>
          <w:sz w:val="20"/>
        </w:rPr>
        <w:t>euros.</w:t>
      </w:r>
    </w:p>
    <w:p w:rsidR="0092635B" w:rsidRDefault="00000000">
      <w:pPr>
        <w:pStyle w:val="Textoindependiente"/>
        <w:spacing w:before="121" w:line="249" w:lineRule="auto"/>
        <w:ind w:right="1103"/>
      </w:pPr>
      <w:r>
        <w:t>Serán igualmente recurribles los contratos administrativos especiales, cuando, por sus características no sea posible fijar su precio de licitación o, en otro caso, cuando su valor estimado sea superior a lo establecido para los contratos de servicios.</w:t>
      </w:r>
    </w:p>
    <w:p w:rsidR="0092635B" w:rsidRDefault="00000000">
      <w:pPr>
        <w:pStyle w:val="Textoindependiente"/>
        <w:spacing w:before="3" w:line="249" w:lineRule="auto"/>
        <w:ind w:right="1103"/>
      </w:pPr>
      <w:r>
        <w:t>Asimismo serán susceptibles de recurso especial en materia de contratación los</w:t>
      </w:r>
      <w:r>
        <w:rPr>
          <w:spacing w:val="40"/>
        </w:rPr>
        <w:t xml:space="preserve"> </w:t>
      </w:r>
      <w:r>
        <w:t xml:space="preserve">contratos subvencionados a que se refiere el artículo 23, y los encargos cuando, por sus características no sea posible fijar su importe o, en otro caso, cuando este, atendida su duración total más las prórrogas, sea igual o superior a lo establecido para los contratos de </w:t>
      </w:r>
      <w:r>
        <w:rPr>
          <w:spacing w:val="-2"/>
        </w:rPr>
        <w:t>servicios.</w:t>
      </w:r>
    </w:p>
    <w:p w:rsidR="0092635B" w:rsidRDefault="00000000">
      <w:pPr>
        <w:pStyle w:val="Prrafodelista"/>
        <w:numPr>
          <w:ilvl w:val="0"/>
          <w:numId w:val="313"/>
        </w:numPr>
        <w:tabs>
          <w:tab w:val="left" w:pos="1668"/>
        </w:tabs>
        <w:spacing w:before="4"/>
        <w:ind w:left="1668" w:right="0" w:hanging="222"/>
        <w:jc w:val="both"/>
        <w:rPr>
          <w:sz w:val="20"/>
        </w:rPr>
      </w:pPr>
      <w:r>
        <w:rPr>
          <w:sz w:val="20"/>
        </w:rPr>
        <w:t>Podrán</w:t>
      </w:r>
      <w:r>
        <w:rPr>
          <w:spacing w:val="-3"/>
          <w:sz w:val="20"/>
        </w:rPr>
        <w:t xml:space="preserve"> </w:t>
      </w:r>
      <w:r>
        <w:rPr>
          <w:sz w:val="20"/>
        </w:rPr>
        <w:t>ser</w:t>
      </w:r>
      <w:r>
        <w:rPr>
          <w:spacing w:val="-3"/>
          <w:sz w:val="20"/>
        </w:rPr>
        <w:t xml:space="preserve"> </w:t>
      </w:r>
      <w:r>
        <w:rPr>
          <w:sz w:val="20"/>
        </w:rPr>
        <w:t>objeto</w:t>
      </w:r>
      <w:r>
        <w:rPr>
          <w:spacing w:val="-2"/>
          <w:sz w:val="20"/>
        </w:rPr>
        <w:t xml:space="preserve"> </w:t>
      </w:r>
      <w:r>
        <w:rPr>
          <w:sz w:val="20"/>
        </w:rPr>
        <w:t>del</w:t>
      </w:r>
      <w:r>
        <w:rPr>
          <w:spacing w:val="-3"/>
          <w:sz w:val="20"/>
        </w:rPr>
        <w:t xml:space="preserve"> </w:t>
      </w:r>
      <w:r>
        <w:rPr>
          <w:sz w:val="20"/>
        </w:rPr>
        <w:t>recurso</w:t>
      </w:r>
      <w:r>
        <w:rPr>
          <w:spacing w:val="-2"/>
          <w:sz w:val="20"/>
        </w:rPr>
        <w:t xml:space="preserve"> </w:t>
      </w:r>
      <w:r>
        <w:rPr>
          <w:sz w:val="20"/>
        </w:rPr>
        <w:t>las</w:t>
      </w:r>
      <w:r>
        <w:rPr>
          <w:spacing w:val="-3"/>
          <w:sz w:val="20"/>
        </w:rPr>
        <w:t xml:space="preserve"> </w:t>
      </w:r>
      <w:r>
        <w:rPr>
          <w:sz w:val="20"/>
        </w:rPr>
        <w:t>siguientes</w:t>
      </w:r>
      <w:r>
        <w:rPr>
          <w:spacing w:val="-2"/>
          <w:sz w:val="20"/>
        </w:rPr>
        <w:t xml:space="preserve"> actuaciones:</w:t>
      </w:r>
    </w:p>
    <w:p w:rsidR="0092635B" w:rsidRDefault="00000000">
      <w:pPr>
        <w:pStyle w:val="Prrafodelista"/>
        <w:numPr>
          <w:ilvl w:val="1"/>
          <w:numId w:val="313"/>
        </w:numPr>
        <w:tabs>
          <w:tab w:val="left" w:pos="1780"/>
        </w:tabs>
        <w:spacing w:before="130" w:line="249" w:lineRule="auto"/>
        <w:ind w:firstLine="340"/>
        <w:jc w:val="both"/>
        <w:rPr>
          <w:sz w:val="20"/>
        </w:rPr>
      </w:pPr>
      <w:r>
        <w:rPr>
          <w:sz w:val="20"/>
        </w:rPr>
        <w:t>Los anuncios de licitación, los pliegos y los documentos contractuales que establezcan las condiciones que deban regir la contratación.</w:t>
      </w:r>
    </w:p>
    <w:p w:rsidR="0092635B" w:rsidRDefault="00000000">
      <w:pPr>
        <w:pStyle w:val="Prrafodelista"/>
        <w:numPr>
          <w:ilvl w:val="1"/>
          <w:numId w:val="313"/>
        </w:numPr>
        <w:tabs>
          <w:tab w:val="left" w:pos="1716"/>
        </w:tabs>
        <w:spacing w:before="1" w:line="249" w:lineRule="auto"/>
        <w:ind w:firstLine="340"/>
        <w:jc w:val="both"/>
        <w:rPr>
          <w:sz w:val="20"/>
        </w:rPr>
      </w:pPr>
      <w:r>
        <w:rPr>
          <w:sz w:val="20"/>
        </w:rPr>
        <w:t>Los actos de trámite adoptados en el procedimiento de adjudicación, siempre que estos decidan directa o indirectamente sobre la adjudicación, determinen la imposibilidad de continuar el procedimiento o produzcan indefensión o perjuicio irreparable a derechos o intereses legítimos. En todo caso se considerará que concurren las circunstancias anteriores en los actos de la mesa o del órgano de contratación por los que se acuerde la admisión o inadmisión</w:t>
      </w:r>
      <w:r>
        <w:rPr>
          <w:spacing w:val="28"/>
          <w:sz w:val="20"/>
        </w:rPr>
        <w:t xml:space="preserve"> </w:t>
      </w:r>
      <w:r>
        <w:rPr>
          <w:sz w:val="20"/>
        </w:rPr>
        <w:t>de</w:t>
      </w:r>
      <w:r>
        <w:rPr>
          <w:spacing w:val="28"/>
          <w:sz w:val="20"/>
        </w:rPr>
        <w:t xml:space="preserve"> </w:t>
      </w:r>
      <w:r>
        <w:rPr>
          <w:sz w:val="20"/>
        </w:rPr>
        <w:t>candidatos</w:t>
      </w:r>
      <w:r>
        <w:rPr>
          <w:spacing w:val="28"/>
          <w:sz w:val="20"/>
        </w:rPr>
        <w:t xml:space="preserve"> </w:t>
      </w:r>
      <w:r>
        <w:rPr>
          <w:sz w:val="20"/>
        </w:rPr>
        <w:t>o</w:t>
      </w:r>
      <w:r>
        <w:rPr>
          <w:spacing w:val="28"/>
          <w:sz w:val="20"/>
        </w:rPr>
        <w:t xml:space="preserve"> </w:t>
      </w:r>
      <w:r>
        <w:rPr>
          <w:sz w:val="20"/>
        </w:rPr>
        <w:t>licitadores,</w:t>
      </w:r>
      <w:r>
        <w:rPr>
          <w:spacing w:val="28"/>
          <w:sz w:val="20"/>
        </w:rPr>
        <w:t xml:space="preserve"> </w:t>
      </w:r>
      <w:r>
        <w:rPr>
          <w:sz w:val="20"/>
        </w:rPr>
        <w:t>o</w:t>
      </w:r>
      <w:r>
        <w:rPr>
          <w:spacing w:val="28"/>
          <w:sz w:val="20"/>
        </w:rPr>
        <w:t xml:space="preserve"> </w:t>
      </w:r>
      <w:r>
        <w:rPr>
          <w:sz w:val="20"/>
        </w:rPr>
        <w:t>la</w:t>
      </w:r>
      <w:r>
        <w:rPr>
          <w:spacing w:val="28"/>
          <w:sz w:val="20"/>
        </w:rPr>
        <w:t xml:space="preserve"> </w:t>
      </w:r>
      <w:r>
        <w:rPr>
          <w:sz w:val="20"/>
        </w:rPr>
        <w:t>admisión</w:t>
      </w:r>
      <w:r>
        <w:rPr>
          <w:spacing w:val="28"/>
          <w:sz w:val="20"/>
        </w:rPr>
        <w:t xml:space="preserve"> </w:t>
      </w:r>
      <w:r>
        <w:rPr>
          <w:sz w:val="20"/>
        </w:rPr>
        <w:t>o</w:t>
      </w:r>
      <w:r>
        <w:rPr>
          <w:spacing w:val="28"/>
          <w:sz w:val="20"/>
        </w:rPr>
        <w:t xml:space="preserve"> </w:t>
      </w:r>
      <w:r>
        <w:rPr>
          <w:sz w:val="20"/>
        </w:rPr>
        <w:t>exclusión</w:t>
      </w:r>
      <w:r>
        <w:rPr>
          <w:spacing w:val="28"/>
          <w:sz w:val="20"/>
        </w:rPr>
        <w:t xml:space="preserve"> </w:t>
      </w:r>
      <w:r>
        <w:rPr>
          <w:sz w:val="20"/>
        </w:rPr>
        <w:t>de</w:t>
      </w:r>
      <w:r>
        <w:rPr>
          <w:spacing w:val="28"/>
          <w:sz w:val="20"/>
        </w:rPr>
        <w:t xml:space="preserve"> </w:t>
      </w:r>
      <w:r>
        <w:rPr>
          <w:sz w:val="20"/>
        </w:rPr>
        <w:t>ofertas,</w:t>
      </w:r>
      <w:r>
        <w:rPr>
          <w:spacing w:val="28"/>
          <w:sz w:val="20"/>
        </w:rPr>
        <w:t xml:space="preserve"> </w:t>
      </w:r>
      <w:r>
        <w:rPr>
          <w:sz w:val="20"/>
        </w:rPr>
        <w:t>incluidas</w:t>
      </w:r>
      <w:r>
        <w:rPr>
          <w:spacing w:val="28"/>
          <w:sz w:val="20"/>
        </w:rPr>
        <w:t xml:space="preserve"> </w:t>
      </w:r>
      <w:r>
        <w:rPr>
          <w:sz w:val="20"/>
        </w:rPr>
        <w:t>las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ofertas que sean excluidas por resultar anormalmente bajas como consecuencia de la aplicación del artículo 149.</w:t>
      </w:r>
    </w:p>
    <w:p w:rsidR="0092635B" w:rsidRDefault="00000000">
      <w:pPr>
        <w:pStyle w:val="Prrafodelista"/>
        <w:numPr>
          <w:ilvl w:val="1"/>
          <w:numId w:val="313"/>
        </w:numPr>
        <w:tabs>
          <w:tab w:val="left" w:pos="1668"/>
        </w:tabs>
        <w:spacing w:before="1"/>
        <w:ind w:left="1668" w:right="0" w:hanging="222"/>
        <w:jc w:val="both"/>
        <w:rPr>
          <w:sz w:val="20"/>
        </w:rPr>
      </w:pPr>
      <w:r>
        <w:rPr>
          <w:sz w:val="20"/>
        </w:rPr>
        <w:t>Los</w:t>
      </w:r>
      <w:r>
        <w:rPr>
          <w:spacing w:val="-1"/>
          <w:sz w:val="20"/>
        </w:rPr>
        <w:t xml:space="preserve"> </w:t>
      </w:r>
      <w:r>
        <w:rPr>
          <w:sz w:val="20"/>
        </w:rPr>
        <w:t xml:space="preserve">acuerdos de </w:t>
      </w:r>
      <w:r>
        <w:rPr>
          <w:spacing w:val="-2"/>
          <w:sz w:val="20"/>
        </w:rPr>
        <w:t>adjudicación.</w:t>
      </w:r>
    </w:p>
    <w:p w:rsidR="0092635B" w:rsidRDefault="00000000">
      <w:pPr>
        <w:pStyle w:val="Prrafodelista"/>
        <w:numPr>
          <w:ilvl w:val="1"/>
          <w:numId w:val="313"/>
        </w:numPr>
        <w:tabs>
          <w:tab w:val="left" w:pos="1784"/>
        </w:tabs>
        <w:spacing w:before="10" w:line="249" w:lineRule="auto"/>
        <w:ind w:right="1104" w:firstLine="340"/>
        <w:jc w:val="both"/>
        <w:rPr>
          <w:sz w:val="20"/>
        </w:rPr>
      </w:pPr>
      <w:r>
        <w:rPr>
          <w:sz w:val="20"/>
        </w:rPr>
        <w:t>Las</w:t>
      </w:r>
      <w:r>
        <w:rPr>
          <w:spacing w:val="40"/>
          <w:sz w:val="20"/>
        </w:rPr>
        <w:t xml:space="preserve"> </w:t>
      </w:r>
      <w:r>
        <w:rPr>
          <w:sz w:val="20"/>
        </w:rPr>
        <w:t>modificaciones</w:t>
      </w:r>
      <w:r>
        <w:rPr>
          <w:spacing w:val="40"/>
          <w:sz w:val="20"/>
        </w:rPr>
        <w:t xml:space="preserve"> </w:t>
      </w:r>
      <w:r>
        <w:rPr>
          <w:sz w:val="20"/>
        </w:rPr>
        <w:t>basadas</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incumplimiento</w:t>
      </w:r>
      <w:r>
        <w:rPr>
          <w:spacing w:val="40"/>
          <w:sz w:val="20"/>
        </w:rPr>
        <w:t xml:space="preserve"> </w:t>
      </w:r>
      <w:r>
        <w:rPr>
          <w:sz w:val="20"/>
        </w:rPr>
        <w:t>de</w:t>
      </w:r>
      <w:r>
        <w:rPr>
          <w:spacing w:val="40"/>
          <w:sz w:val="20"/>
        </w:rPr>
        <w:t xml:space="preserve"> </w:t>
      </w:r>
      <w:r>
        <w:rPr>
          <w:sz w:val="20"/>
        </w:rPr>
        <w:t>lo</w:t>
      </w:r>
      <w:r>
        <w:rPr>
          <w:spacing w:val="40"/>
          <w:sz w:val="20"/>
        </w:rPr>
        <w:t xml:space="preserve"> </w:t>
      </w:r>
      <w:r>
        <w:rPr>
          <w:sz w:val="20"/>
        </w:rPr>
        <w:t>establecido</w:t>
      </w:r>
      <w:r>
        <w:rPr>
          <w:spacing w:val="40"/>
          <w:sz w:val="20"/>
        </w:rPr>
        <w:t xml:space="preserve"> </w:t>
      </w:r>
      <w:r>
        <w:rPr>
          <w:sz w:val="20"/>
        </w:rPr>
        <w:t>en</w:t>
      </w:r>
      <w:r>
        <w:rPr>
          <w:spacing w:val="40"/>
          <w:sz w:val="20"/>
        </w:rPr>
        <w:t xml:space="preserve"> </w:t>
      </w:r>
      <w:r>
        <w:rPr>
          <w:sz w:val="20"/>
        </w:rPr>
        <w:t>los artículos 204 y 205 de la presente Ley, por entender que la modificación debió ser objeto de una nueva adjudicación.</w:t>
      </w:r>
    </w:p>
    <w:p w:rsidR="0092635B" w:rsidRDefault="00000000">
      <w:pPr>
        <w:pStyle w:val="Prrafodelista"/>
        <w:numPr>
          <w:ilvl w:val="1"/>
          <w:numId w:val="313"/>
        </w:numPr>
        <w:tabs>
          <w:tab w:val="left" w:pos="1682"/>
        </w:tabs>
        <w:spacing w:before="3" w:line="249" w:lineRule="auto"/>
        <w:ind w:right="1105" w:firstLine="340"/>
        <w:jc w:val="both"/>
        <w:rPr>
          <w:sz w:val="20"/>
        </w:rPr>
      </w:pPr>
      <w:r>
        <w:rPr>
          <w:sz w:val="20"/>
        </w:rPr>
        <w:t>La formalización de encargos a medios propios en los casos en que estos no cumplan los requisitos legales.</w:t>
      </w:r>
    </w:p>
    <w:p w:rsidR="0092635B" w:rsidRDefault="00000000">
      <w:pPr>
        <w:pStyle w:val="Prrafodelista"/>
        <w:numPr>
          <w:ilvl w:val="1"/>
          <w:numId w:val="313"/>
        </w:numPr>
        <w:tabs>
          <w:tab w:val="left" w:pos="1623"/>
        </w:tabs>
        <w:spacing w:before="1"/>
        <w:ind w:left="1623" w:right="0" w:hanging="177"/>
        <w:jc w:val="both"/>
        <w:rPr>
          <w:sz w:val="20"/>
        </w:rPr>
      </w:pPr>
      <w:r>
        <w:rPr>
          <w:sz w:val="20"/>
        </w:rPr>
        <w:t>Los</w:t>
      </w:r>
      <w:r>
        <w:rPr>
          <w:spacing w:val="-4"/>
          <w:sz w:val="20"/>
        </w:rPr>
        <w:t xml:space="preserve"> </w:t>
      </w:r>
      <w:r>
        <w:rPr>
          <w:sz w:val="20"/>
        </w:rPr>
        <w:t>acuerdos</w:t>
      </w:r>
      <w:r>
        <w:rPr>
          <w:spacing w:val="-2"/>
          <w:sz w:val="20"/>
        </w:rPr>
        <w:t xml:space="preserve"> </w:t>
      </w:r>
      <w:r>
        <w:rPr>
          <w:sz w:val="20"/>
        </w:rPr>
        <w:t>de</w:t>
      </w:r>
      <w:r>
        <w:rPr>
          <w:spacing w:val="-1"/>
          <w:sz w:val="20"/>
        </w:rPr>
        <w:t xml:space="preserve"> </w:t>
      </w:r>
      <w:r>
        <w:rPr>
          <w:sz w:val="20"/>
        </w:rPr>
        <w:t>rescate</w:t>
      </w:r>
      <w:r>
        <w:rPr>
          <w:spacing w:val="-2"/>
          <w:sz w:val="20"/>
        </w:rPr>
        <w:t xml:space="preserve"> </w:t>
      </w:r>
      <w:r>
        <w:rPr>
          <w:sz w:val="20"/>
        </w:rPr>
        <w:t>de</w:t>
      </w:r>
      <w:r>
        <w:rPr>
          <w:spacing w:val="-1"/>
          <w:sz w:val="20"/>
        </w:rPr>
        <w:t xml:space="preserve"> </w:t>
      </w:r>
      <w:r>
        <w:rPr>
          <w:spacing w:val="-2"/>
          <w:sz w:val="20"/>
        </w:rPr>
        <w:t>concesiones.</w:t>
      </w:r>
    </w:p>
    <w:p w:rsidR="0092635B" w:rsidRDefault="00000000">
      <w:pPr>
        <w:pStyle w:val="Prrafodelista"/>
        <w:numPr>
          <w:ilvl w:val="0"/>
          <w:numId w:val="313"/>
        </w:numPr>
        <w:tabs>
          <w:tab w:val="left" w:pos="1689"/>
        </w:tabs>
        <w:spacing w:before="130" w:line="249" w:lineRule="auto"/>
        <w:ind w:right="1105" w:firstLine="340"/>
        <w:jc w:val="both"/>
        <w:rPr>
          <w:sz w:val="20"/>
        </w:rPr>
      </w:pPr>
      <w:r>
        <w:rPr>
          <w:sz w:val="20"/>
        </w:rPr>
        <w:t>Los defectos de tramitación que afecten a actos distintos de los contemplados en el apartado 2 podrán ser puestos de manifiesto por los interesados al órgano al que corresponda la instrucción del expediente o al órgano de contratación, a efectos de su corrección con arreglo a derecho, y sin perjuicio de que las irregularidades que les afecten puedan ser alegadas por los interesados al recurrir el acto de adjudicación.</w:t>
      </w:r>
    </w:p>
    <w:p w:rsidR="0092635B" w:rsidRDefault="00000000">
      <w:pPr>
        <w:pStyle w:val="Prrafodelista"/>
        <w:numPr>
          <w:ilvl w:val="0"/>
          <w:numId w:val="313"/>
        </w:numPr>
        <w:tabs>
          <w:tab w:val="left" w:pos="1692"/>
        </w:tabs>
        <w:spacing w:before="5" w:line="249" w:lineRule="auto"/>
        <w:ind w:right="1104" w:firstLine="340"/>
        <w:jc w:val="both"/>
        <w:rPr>
          <w:sz w:val="20"/>
        </w:rPr>
      </w:pPr>
      <w:r>
        <w:rPr>
          <w:sz w:val="20"/>
        </w:rPr>
        <w:t>No se dará este recurso en relación con los procedimientos de adjudicación que se sigan por el trámite de emergencia.</w:t>
      </w:r>
    </w:p>
    <w:p w:rsidR="0092635B" w:rsidRDefault="00000000">
      <w:pPr>
        <w:pStyle w:val="Prrafodelista"/>
        <w:numPr>
          <w:ilvl w:val="0"/>
          <w:numId w:val="313"/>
        </w:numPr>
        <w:tabs>
          <w:tab w:val="left" w:pos="1675"/>
        </w:tabs>
        <w:spacing w:before="1" w:line="249" w:lineRule="auto"/>
        <w:ind w:firstLine="340"/>
        <w:jc w:val="both"/>
        <w:rPr>
          <w:sz w:val="20"/>
        </w:rPr>
      </w:pPr>
      <w:r>
        <w:rPr>
          <w:sz w:val="20"/>
        </w:rPr>
        <w:t>Contra las actuaciones mencionadas en el presente artículo como susceptibles de ser impugnadas mediante el recurso especial, no procederá la interposición de recursos administrativos ordinarios.</w:t>
      </w:r>
    </w:p>
    <w:p w:rsidR="0092635B" w:rsidRDefault="00000000">
      <w:pPr>
        <w:pStyle w:val="Prrafodelista"/>
        <w:numPr>
          <w:ilvl w:val="0"/>
          <w:numId w:val="313"/>
        </w:numPr>
        <w:tabs>
          <w:tab w:val="left" w:pos="1697"/>
        </w:tabs>
        <w:spacing w:before="3" w:line="249" w:lineRule="auto"/>
        <w:ind w:firstLine="340"/>
        <w:jc w:val="both"/>
        <w:rPr>
          <w:sz w:val="20"/>
        </w:rPr>
      </w:pPr>
      <w:r>
        <w:rPr>
          <w:sz w:val="20"/>
        </w:rPr>
        <w:t>Los actos que se dicten en los procedimientos de adjudicación de contratos de las Administraciones Públicas que no reúnan los requisitos del apartado 1 podrán ser objeto de recurso de conformidad con lo dispuesto en la Ley 39/2015, de 1 de octubre, del Procedimiento</w:t>
      </w:r>
      <w:r>
        <w:rPr>
          <w:spacing w:val="40"/>
          <w:sz w:val="20"/>
        </w:rPr>
        <w:t xml:space="preserve"> </w:t>
      </w:r>
      <w:r>
        <w:rPr>
          <w:sz w:val="20"/>
        </w:rPr>
        <w:t>Administrativo</w:t>
      </w:r>
      <w:r>
        <w:rPr>
          <w:spacing w:val="40"/>
          <w:sz w:val="20"/>
        </w:rPr>
        <w:t xml:space="preserve"> </w:t>
      </w:r>
      <w:r>
        <w:rPr>
          <w:sz w:val="20"/>
        </w:rPr>
        <w:t>Común</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Administraciones</w:t>
      </w:r>
      <w:r>
        <w:rPr>
          <w:spacing w:val="40"/>
          <w:sz w:val="20"/>
        </w:rPr>
        <w:t xml:space="preserve"> </w:t>
      </w:r>
      <w:r>
        <w:rPr>
          <w:sz w:val="20"/>
        </w:rPr>
        <w:t>Públicas;</w:t>
      </w:r>
      <w:r>
        <w:rPr>
          <w:spacing w:val="40"/>
          <w:sz w:val="20"/>
        </w:rPr>
        <w:t xml:space="preserve"> </w:t>
      </w:r>
      <w:r>
        <w:rPr>
          <w:sz w:val="20"/>
        </w:rPr>
        <w:t>así</w:t>
      </w:r>
      <w:r>
        <w:rPr>
          <w:spacing w:val="40"/>
          <w:sz w:val="20"/>
        </w:rPr>
        <w:t xml:space="preserve"> </w:t>
      </w:r>
      <w:r>
        <w:rPr>
          <w:sz w:val="20"/>
        </w:rPr>
        <w:t>como</w:t>
      </w:r>
      <w:r>
        <w:rPr>
          <w:spacing w:val="40"/>
          <w:sz w:val="20"/>
        </w:rPr>
        <w:t xml:space="preserve"> </w:t>
      </w:r>
      <w:r>
        <w:rPr>
          <w:sz w:val="20"/>
        </w:rPr>
        <w:t>en</w:t>
      </w:r>
      <w:r>
        <w:rPr>
          <w:spacing w:val="40"/>
          <w:sz w:val="20"/>
        </w:rPr>
        <w:t xml:space="preserve"> </w:t>
      </w:r>
      <w:r>
        <w:rPr>
          <w:sz w:val="20"/>
        </w:rPr>
        <w:t>la Ley 29/1998, de 13 de julio, Reguladora de la Jurisdicción Contencioso-administrativa.</w:t>
      </w:r>
    </w:p>
    <w:p w:rsidR="0092635B" w:rsidRDefault="00000000">
      <w:pPr>
        <w:pStyle w:val="Textoindependiente"/>
        <w:spacing w:before="4" w:line="249" w:lineRule="auto"/>
        <w:ind w:right="1103"/>
      </w:pPr>
      <w:r>
        <w:t>En el caso de actuaciones realizadas por poderes adjudicadores que no tengan la condición de Administraciones Públicas, aquellas se impugnarán en vía administrativa de conformidad con lo dispuesto en la Ley 39/2015, de 1 de octubre, del Procedimiento Administrativo Común de las Administraciones Públicas ante el titular del departamento, órgano,</w:t>
      </w:r>
      <w:r>
        <w:rPr>
          <w:spacing w:val="-1"/>
        </w:rPr>
        <w:t xml:space="preserve"> </w:t>
      </w:r>
      <w:r>
        <w:t>ente</w:t>
      </w:r>
      <w:r>
        <w:rPr>
          <w:spacing w:val="-1"/>
        </w:rPr>
        <w:t xml:space="preserve"> </w:t>
      </w:r>
      <w:r>
        <w:t>u</w:t>
      </w:r>
      <w:r>
        <w:rPr>
          <w:spacing w:val="-1"/>
        </w:rPr>
        <w:t xml:space="preserve"> </w:t>
      </w:r>
      <w:r>
        <w:t>organismo</w:t>
      </w:r>
      <w:r>
        <w:rPr>
          <w:spacing w:val="-1"/>
        </w:rPr>
        <w:t xml:space="preserve"> </w:t>
      </w:r>
      <w:r>
        <w:t>al</w:t>
      </w:r>
      <w:r>
        <w:rPr>
          <w:spacing w:val="-1"/>
        </w:rPr>
        <w:t xml:space="preserve"> </w:t>
      </w:r>
      <w:r>
        <w:t>que</w:t>
      </w:r>
      <w:r>
        <w:rPr>
          <w:spacing w:val="-1"/>
        </w:rPr>
        <w:t xml:space="preserve"> </w:t>
      </w:r>
      <w:r>
        <w:t>esté</w:t>
      </w:r>
      <w:r>
        <w:rPr>
          <w:spacing w:val="-1"/>
        </w:rPr>
        <w:t xml:space="preserve"> </w:t>
      </w:r>
      <w:r>
        <w:t>adscrita</w:t>
      </w:r>
      <w:r>
        <w:rPr>
          <w:spacing w:val="-1"/>
        </w:rPr>
        <w:t xml:space="preserve"> </w:t>
      </w:r>
      <w:r>
        <w:t>la</w:t>
      </w:r>
      <w:r>
        <w:rPr>
          <w:spacing w:val="-1"/>
        </w:rPr>
        <w:t xml:space="preserve"> </w:t>
      </w:r>
      <w:r>
        <w:t>entidad</w:t>
      </w:r>
      <w:r>
        <w:rPr>
          <w:spacing w:val="-1"/>
        </w:rPr>
        <w:t xml:space="preserve"> </w:t>
      </w:r>
      <w:r>
        <w:t>contratante</w:t>
      </w:r>
      <w:r>
        <w:rPr>
          <w:spacing w:val="-1"/>
        </w:rPr>
        <w:t xml:space="preserve"> </w:t>
      </w:r>
      <w:r>
        <w:t>o</w:t>
      </w:r>
      <w:r>
        <w:rPr>
          <w:spacing w:val="-1"/>
        </w:rPr>
        <w:t xml:space="preserve"> </w:t>
      </w:r>
      <w:r>
        <w:t>al</w:t>
      </w:r>
      <w:r>
        <w:rPr>
          <w:spacing w:val="-1"/>
        </w:rPr>
        <w:t xml:space="preserve"> </w:t>
      </w:r>
      <w:r>
        <w:t>que</w:t>
      </w:r>
      <w:r>
        <w:rPr>
          <w:spacing w:val="-1"/>
        </w:rPr>
        <w:t xml:space="preserve"> </w:t>
      </w:r>
      <w:r>
        <w:t>corresponda</w:t>
      </w:r>
      <w:r>
        <w:rPr>
          <w:spacing w:val="-1"/>
        </w:rPr>
        <w:t xml:space="preserve"> </w:t>
      </w:r>
      <w:r>
        <w:t>su tutela. Si la entidad contratante estuviera vinculada a más de una Administración, será competente el órgano correspondiente de la que ostente el control o participación</w:t>
      </w:r>
      <w:r>
        <w:rPr>
          <w:spacing w:val="40"/>
        </w:rPr>
        <w:t xml:space="preserve"> </w:t>
      </w:r>
      <w:r>
        <w:rPr>
          <w:spacing w:val="-2"/>
        </w:rPr>
        <w:t>mayoritaria.</w:t>
      </w:r>
    </w:p>
    <w:p w:rsidR="0092635B" w:rsidRDefault="00000000">
      <w:pPr>
        <w:pStyle w:val="Prrafodelista"/>
        <w:numPr>
          <w:ilvl w:val="0"/>
          <w:numId w:val="313"/>
        </w:numPr>
        <w:tabs>
          <w:tab w:val="left" w:pos="1727"/>
        </w:tabs>
        <w:spacing w:before="6" w:line="249" w:lineRule="auto"/>
        <w:ind w:right="1105" w:firstLine="340"/>
        <w:jc w:val="both"/>
        <w:rPr>
          <w:sz w:val="20"/>
        </w:rPr>
      </w:pPr>
      <w:r>
        <w:rPr>
          <w:sz w:val="20"/>
        </w:rPr>
        <w:t>La interposición del recurso especial en materia de contratación tendrá carácter potestativo y será gratuito para los recurrentes.</w:t>
      </w:r>
    </w:p>
    <w:p w:rsidR="0092635B" w:rsidRDefault="00000000">
      <w:pPr>
        <w:spacing w:before="229" w:line="249" w:lineRule="auto"/>
        <w:ind w:left="1106" w:right="1110"/>
        <w:jc w:val="both"/>
        <w:rPr>
          <w:rFonts w:ascii="Arial" w:hAnsi="Arial"/>
          <w:i/>
          <w:sz w:val="20"/>
        </w:rPr>
      </w:pPr>
      <w:bookmarkStart w:id="77" w:name="Artículo_45._Órgano_competente_para_la_r"/>
      <w:bookmarkEnd w:id="77"/>
      <w:r>
        <w:rPr>
          <w:rFonts w:ascii="Arial" w:hAnsi="Arial"/>
          <w:b/>
          <w:sz w:val="20"/>
        </w:rPr>
        <w:t>Artículo</w:t>
      </w:r>
      <w:r>
        <w:rPr>
          <w:rFonts w:ascii="Arial" w:hAnsi="Arial"/>
          <w:b/>
          <w:spacing w:val="-3"/>
          <w:sz w:val="20"/>
        </w:rPr>
        <w:t xml:space="preserve"> </w:t>
      </w:r>
      <w:r>
        <w:rPr>
          <w:rFonts w:ascii="Arial" w:hAnsi="Arial"/>
          <w:b/>
          <w:sz w:val="20"/>
        </w:rPr>
        <w:t>45.</w:t>
      </w:r>
      <w:r>
        <w:rPr>
          <w:rFonts w:ascii="Arial" w:hAnsi="Arial"/>
          <w:b/>
          <w:spacing w:val="40"/>
          <w:sz w:val="20"/>
        </w:rPr>
        <w:t xml:space="preserve"> </w:t>
      </w:r>
      <w:r>
        <w:rPr>
          <w:rFonts w:ascii="Arial" w:hAnsi="Arial"/>
          <w:i/>
          <w:sz w:val="20"/>
        </w:rPr>
        <w:t>Órgano</w:t>
      </w:r>
      <w:r>
        <w:rPr>
          <w:rFonts w:ascii="Arial" w:hAnsi="Arial"/>
          <w:i/>
          <w:spacing w:val="-3"/>
          <w:sz w:val="20"/>
        </w:rPr>
        <w:t xml:space="preserve"> </w:t>
      </w:r>
      <w:r>
        <w:rPr>
          <w:rFonts w:ascii="Arial" w:hAnsi="Arial"/>
          <w:i/>
          <w:sz w:val="20"/>
        </w:rPr>
        <w:t>competente</w:t>
      </w:r>
      <w:r>
        <w:rPr>
          <w:rFonts w:ascii="Arial" w:hAnsi="Arial"/>
          <w:i/>
          <w:spacing w:val="-3"/>
          <w:sz w:val="20"/>
        </w:rPr>
        <w:t xml:space="preserve"> </w:t>
      </w:r>
      <w:r>
        <w:rPr>
          <w:rFonts w:ascii="Arial" w:hAnsi="Arial"/>
          <w:i/>
          <w:sz w:val="20"/>
        </w:rPr>
        <w:t>para</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resolución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recurso</w:t>
      </w:r>
      <w:r>
        <w:rPr>
          <w:rFonts w:ascii="Arial" w:hAnsi="Arial"/>
          <w:i/>
          <w:spacing w:val="-3"/>
          <w:sz w:val="20"/>
        </w:rPr>
        <w:t xml:space="preserve"> </w:t>
      </w:r>
      <w:r>
        <w:rPr>
          <w:rFonts w:ascii="Arial" w:hAnsi="Arial"/>
          <w:i/>
          <w:sz w:val="20"/>
        </w:rPr>
        <w:t>en</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Administración</w:t>
      </w:r>
      <w:r>
        <w:rPr>
          <w:rFonts w:ascii="Arial" w:hAnsi="Arial"/>
          <w:i/>
          <w:spacing w:val="-3"/>
          <w:sz w:val="20"/>
        </w:rPr>
        <w:t xml:space="preserve"> </w:t>
      </w:r>
      <w:r>
        <w:rPr>
          <w:rFonts w:ascii="Arial" w:hAnsi="Arial"/>
          <w:i/>
          <w:sz w:val="20"/>
        </w:rPr>
        <w:t>General del Estado.</w:t>
      </w:r>
    </w:p>
    <w:p w:rsidR="0092635B" w:rsidRDefault="00000000">
      <w:pPr>
        <w:pStyle w:val="Prrafodelista"/>
        <w:numPr>
          <w:ilvl w:val="0"/>
          <w:numId w:val="312"/>
        </w:numPr>
        <w:tabs>
          <w:tab w:val="left" w:pos="1669"/>
        </w:tabs>
        <w:spacing w:before="115" w:line="249" w:lineRule="auto"/>
        <w:ind w:firstLine="340"/>
        <w:jc w:val="both"/>
        <w:rPr>
          <w:sz w:val="20"/>
        </w:rPr>
      </w:pPr>
      <w:r>
        <w:rPr>
          <w:sz w:val="20"/>
        </w:rPr>
        <w:t>En</w:t>
      </w:r>
      <w:r>
        <w:rPr>
          <w:spacing w:val="-1"/>
          <w:sz w:val="20"/>
        </w:rPr>
        <w:t xml:space="preserve"> </w:t>
      </w:r>
      <w:r>
        <w:rPr>
          <w:sz w:val="20"/>
        </w:rPr>
        <w:t>el</w:t>
      </w:r>
      <w:r>
        <w:rPr>
          <w:spacing w:val="-1"/>
          <w:sz w:val="20"/>
        </w:rPr>
        <w:t xml:space="preserve"> </w:t>
      </w:r>
      <w:r>
        <w:rPr>
          <w:sz w:val="20"/>
        </w:rPr>
        <w:t>ámbito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poderes</w:t>
      </w:r>
      <w:r>
        <w:rPr>
          <w:spacing w:val="-1"/>
          <w:sz w:val="20"/>
        </w:rPr>
        <w:t xml:space="preserve"> </w:t>
      </w:r>
      <w:r>
        <w:rPr>
          <w:sz w:val="20"/>
        </w:rPr>
        <w:t>adjudicadores</w:t>
      </w:r>
      <w:r>
        <w:rPr>
          <w:spacing w:val="-1"/>
          <w:sz w:val="20"/>
        </w:rPr>
        <w:t xml:space="preserve"> </w:t>
      </w:r>
      <w:r>
        <w:rPr>
          <w:sz w:val="20"/>
        </w:rPr>
        <w:t>del</w:t>
      </w:r>
      <w:r>
        <w:rPr>
          <w:spacing w:val="-1"/>
          <w:sz w:val="20"/>
        </w:rPr>
        <w:t xml:space="preserve"> </w:t>
      </w:r>
      <w:r>
        <w:rPr>
          <w:sz w:val="20"/>
        </w:rPr>
        <w:t>sector</w:t>
      </w:r>
      <w:r>
        <w:rPr>
          <w:spacing w:val="-1"/>
          <w:sz w:val="20"/>
        </w:rPr>
        <w:t xml:space="preserve"> </w:t>
      </w:r>
      <w:r>
        <w:rPr>
          <w:sz w:val="20"/>
        </w:rPr>
        <w:t>público</w:t>
      </w:r>
      <w:r>
        <w:rPr>
          <w:spacing w:val="-1"/>
          <w:sz w:val="20"/>
        </w:rPr>
        <w:t xml:space="preserve"> </w:t>
      </w:r>
      <w:r>
        <w:rPr>
          <w:sz w:val="20"/>
        </w:rPr>
        <w:t>estatal,</w:t>
      </w:r>
      <w:r>
        <w:rPr>
          <w:spacing w:val="-1"/>
          <w:sz w:val="20"/>
        </w:rPr>
        <w:t xml:space="preserve"> </w:t>
      </w:r>
      <w:r>
        <w:rPr>
          <w:sz w:val="20"/>
        </w:rPr>
        <w:t>el</w:t>
      </w:r>
      <w:r>
        <w:rPr>
          <w:spacing w:val="-1"/>
          <w:sz w:val="20"/>
        </w:rPr>
        <w:t xml:space="preserve"> </w:t>
      </w:r>
      <w:r>
        <w:rPr>
          <w:sz w:val="20"/>
        </w:rPr>
        <w:t>conocimiento</w:t>
      </w:r>
      <w:r>
        <w:rPr>
          <w:spacing w:val="-1"/>
          <w:sz w:val="20"/>
        </w:rPr>
        <w:t xml:space="preserve"> </w:t>
      </w:r>
      <w:r>
        <w:rPr>
          <w:sz w:val="20"/>
        </w:rPr>
        <w:t>y resolución de los recursos a que se refiere el artículo anterior estará encomendado al Tribunal Administrativo Central de Recursos Contractuales, órgano especializado que</w:t>
      </w:r>
      <w:r>
        <w:rPr>
          <w:spacing w:val="40"/>
          <w:sz w:val="20"/>
        </w:rPr>
        <w:t xml:space="preserve"> </w:t>
      </w:r>
      <w:r>
        <w:rPr>
          <w:sz w:val="20"/>
        </w:rPr>
        <w:t>actuará con plena independencia funcional en el ejercicio de sus competencias. Dicho</w:t>
      </w:r>
      <w:r>
        <w:rPr>
          <w:spacing w:val="40"/>
          <w:sz w:val="20"/>
        </w:rPr>
        <w:t xml:space="preserve"> </w:t>
      </w:r>
      <w:r>
        <w:rPr>
          <w:sz w:val="20"/>
        </w:rPr>
        <w:t>órgano estará adscrito al Ministerio de Hacienda y Función Pública, y estará compuesto por un Presidente y un mínimo de cinco vocales. Cuando el volumen de asuntos sometidos a su conocimiento lo requiera, el número de vocales se incrementará mediante Real Decreto.</w:t>
      </w:r>
    </w:p>
    <w:p w:rsidR="0092635B" w:rsidRDefault="00000000">
      <w:pPr>
        <w:pStyle w:val="Textoindependiente"/>
        <w:spacing w:before="5" w:line="249" w:lineRule="auto"/>
        <w:ind w:right="1105"/>
      </w:pPr>
      <w:r>
        <w:t>El Tribunal estará dividido en un mínimo de dos Secciones, que estarán presididas por el propio Presidente del Tribunal, quien podrá delegar el ejercicio de la función en uno de los vocales que integren la Sección, y formadas por uno o más vocales y el Secretario General.</w:t>
      </w:r>
    </w:p>
    <w:p w:rsidR="0092635B" w:rsidRDefault="00000000">
      <w:pPr>
        <w:pStyle w:val="Textoindependiente"/>
        <w:spacing w:before="3" w:line="249" w:lineRule="auto"/>
        <w:ind w:right="1104"/>
      </w:pPr>
      <w:r>
        <w:t>El Presidente fijará mediante acuerdo el reparto de atribuciones entre las Secciones y el Pleno, así como la distribución de asuntos entre las Secciones.</w:t>
      </w:r>
    </w:p>
    <w:p w:rsidR="0092635B" w:rsidRDefault="00000000">
      <w:pPr>
        <w:pStyle w:val="Prrafodelista"/>
        <w:numPr>
          <w:ilvl w:val="0"/>
          <w:numId w:val="312"/>
        </w:numPr>
        <w:tabs>
          <w:tab w:val="left" w:pos="1730"/>
        </w:tabs>
        <w:spacing w:line="249" w:lineRule="auto"/>
        <w:ind w:right="1104" w:firstLine="340"/>
        <w:jc w:val="both"/>
        <w:rPr>
          <w:sz w:val="20"/>
        </w:rPr>
      </w:pPr>
      <w:r>
        <w:rPr>
          <w:sz w:val="20"/>
        </w:rPr>
        <w:t>Podrán ser designados vocales de este Tribunal los funcionarios de carrera de cuerpos y escalas a los que se acceda con título de licenciado o de grado y que hayan desempeñado su actividad profesional por tiempo superior a diez años, preferentemente en el ámbito del derecho administrativo relacionado directamente con la contratación pública.</w:t>
      </w:r>
    </w:p>
    <w:p w:rsidR="0092635B" w:rsidRDefault="00000000">
      <w:pPr>
        <w:pStyle w:val="Prrafodelista"/>
        <w:numPr>
          <w:ilvl w:val="0"/>
          <w:numId w:val="312"/>
        </w:numPr>
        <w:tabs>
          <w:tab w:val="left" w:pos="1679"/>
        </w:tabs>
        <w:spacing w:before="3" w:line="249" w:lineRule="auto"/>
        <w:ind w:right="1104" w:firstLine="340"/>
        <w:jc w:val="both"/>
        <w:rPr>
          <w:sz w:val="20"/>
        </w:rPr>
      </w:pPr>
      <w:r>
        <w:rPr>
          <w:sz w:val="20"/>
        </w:rPr>
        <w:t>El Presidente del Tribunal deberá ser funcionario de carrera, de cuerpo o escala para cuyo acceso sea requisito necesario el título de licenciado o grado en derecho y haber desempeñado su actividad profesional por tiempo superior a quince años, preferentemente en</w:t>
      </w:r>
      <w:r>
        <w:rPr>
          <w:spacing w:val="-2"/>
          <w:sz w:val="20"/>
        </w:rPr>
        <w:t xml:space="preserve"> </w:t>
      </w:r>
      <w:r>
        <w:rPr>
          <w:sz w:val="20"/>
        </w:rPr>
        <w:t>el</w:t>
      </w:r>
      <w:r>
        <w:rPr>
          <w:spacing w:val="-2"/>
          <w:sz w:val="20"/>
        </w:rPr>
        <w:t xml:space="preserve"> </w:t>
      </w:r>
      <w:r>
        <w:rPr>
          <w:sz w:val="20"/>
        </w:rPr>
        <w:t>ámbito</w:t>
      </w:r>
      <w:r>
        <w:rPr>
          <w:spacing w:val="-2"/>
          <w:sz w:val="20"/>
        </w:rPr>
        <w:t xml:space="preserve"> </w:t>
      </w:r>
      <w:r>
        <w:rPr>
          <w:sz w:val="20"/>
        </w:rPr>
        <w:t>del</w:t>
      </w:r>
      <w:r>
        <w:rPr>
          <w:spacing w:val="-2"/>
          <w:sz w:val="20"/>
        </w:rPr>
        <w:t xml:space="preserve"> </w:t>
      </w:r>
      <w:r>
        <w:rPr>
          <w:sz w:val="20"/>
        </w:rPr>
        <w:t>derecho</w:t>
      </w:r>
      <w:r>
        <w:rPr>
          <w:spacing w:val="-2"/>
          <w:sz w:val="20"/>
        </w:rPr>
        <w:t xml:space="preserve"> </w:t>
      </w:r>
      <w:r>
        <w:rPr>
          <w:sz w:val="20"/>
        </w:rPr>
        <w:t>administrativo</w:t>
      </w:r>
      <w:r>
        <w:rPr>
          <w:spacing w:val="-2"/>
          <w:sz w:val="20"/>
        </w:rPr>
        <w:t xml:space="preserve"> </w:t>
      </w:r>
      <w:r>
        <w:rPr>
          <w:sz w:val="20"/>
        </w:rPr>
        <w:t>relacionado</w:t>
      </w:r>
      <w:r>
        <w:rPr>
          <w:spacing w:val="-2"/>
          <w:sz w:val="20"/>
        </w:rPr>
        <w:t xml:space="preserve"> </w:t>
      </w:r>
      <w:r>
        <w:rPr>
          <w:sz w:val="20"/>
        </w:rPr>
        <w:t>directamente</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contratación</w:t>
      </w:r>
      <w:r>
        <w:rPr>
          <w:spacing w:val="-2"/>
          <w:sz w:val="20"/>
        </w:rPr>
        <w:t xml:space="preserve"> </w:t>
      </w:r>
      <w:r>
        <w:rPr>
          <w:sz w:val="20"/>
        </w:rPr>
        <w:t>pública.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En el caso de que los Vocales o el Presidente fueran designados entre funcionarios de carrera incluidos en el ámbito de aplicación del Real Decreto Legislativo 5/2015, de 30 de octubre, por el que se aprueba el texto refundido de la Ley del Estatuto Básico del Empleado Público, estos deberán pertenecer a cuerpos o escalas clasificados en el Subgrupo A1 del artículo 76 de dicha Ley.</w:t>
      </w:r>
    </w:p>
    <w:p w:rsidR="0092635B" w:rsidRDefault="00000000">
      <w:pPr>
        <w:pStyle w:val="Prrafodelista"/>
        <w:numPr>
          <w:ilvl w:val="0"/>
          <w:numId w:val="312"/>
        </w:numPr>
        <w:tabs>
          <w:tab w:val="left" w:pos="1716"/>
        </w:tabs>
        <w:spacing w:before="4" w:line="249" w:lineRule="auto"/>
        <w:ind w:right="1104" w:firstLine="340"/>
        <w:jc w:val="both"/>
        <w:rPr>
          <w:sz w:val="20"/>
        </w:rPr>
      </w:pPr>
      <w:r>
        <w:rPr>
          <w:sz w:val="20"/>
        </w:rPr>
        <w:t>La designación del Presidente y los Vocales de este Tribunal se realizará por el Gobierno a propuesta conjunta del Ministro de Hacienda y Función Pública y del Ministro de Justicia. Los designados tendrán carácter independiente e inamovible, y no podrán ser removidos de sus puestos sino por las causas siguientes:</w:t>
      </w:r>
    </w:p>
    <w:p w:rsidR="0092635B" w:rsidRDefault="00000000">
      <w:pPr>
        <w:pStyle w:val="Prrafodelista"/>
        <w:numPr>
          <w:ilvl w:val="1"/>
          <w:numId w:val="312"/>
        </w:numPr>
        <w:tabs>
          <w:tab w:val="left" w:pos="1679"/>
        </w:tabs>
        <w:spacing w:before="123"/>
        <w:ind w:right="0" w:hanging="233"/>
        <w:rPr>
          <w:sz w:val="20"/>
        </w:rPr>
      </w:pPr>
      <w:r>
        <w:rPr>
          <w:sz w:val="20"/>
        </w:rPr>
        <w:t>Por</w:t>
      </w:r>
      <w:r>
        <w:rPr>
          <w:spacing w:val="-3"/>
          <w:sz w:val="20"/>
        </w:rPr>
        <w:t xml:space="preserve"> </w:t>
      </w:r>
      <w:r>
        <w:rPr>
          <w:sz w:val="20"/>
        </w:rPr>
        <w:t>expiración</w:t>
      </w:r>
      <w:r>
        <w:rPr>
          <w:spacing w:val="-3"/>
          <w:sz w:val="20"/>
        </w:rPr>
        <w:t xml:space="preserve"> </w:t>
      </w:r>
      <w:r>
        <w:rPr>
          <w:sz w:val="20"/>
        </w:rPr>
        <w:t>de</w:t>
      </w:r>
      <w:r>
        <w:rPr>
          <w:spacing w:val="-3"/>
          <w:sz w:val="20"/>
        </w:rPr>
        <w:t xml:space="preserve"> </w:t>
      </w:r>
      <w:r>
        <w:rPr>
          <w:sz w:val="20"/>
        </w:rPr>
        <w:t>su</w:t>
      </w:r>
      <w:r>
        <w:rPr>
          <w:spacing w:val="-2"/>
          <w:sz w:val="20"/>
        </w:rPr>
        <w:t xml:space="preserve"> mandato.</w:t>
      </w:r>
    </w:p>
    <w:p w:rsidR="0092635B" w:rsidRDefault="00000000">
      <w:pPr>
        <w:pStyle w:val="Prrafodelista"/>
        <w:numPr>
          <w:ilvl w:val="1"/>
          <w:numId w:val="312"/>
        </w:numPr>
        <w:tabs>
          <w:tab w:val="left" w:pos="1679"/>
        </w:tabs>
        <w:spacing w:before="10"/>
        <w:ind w:right="0" w:hanging="233"/>
        <w:rPr>
          <w:sz w:val="20"/>
        </w:rPr>
      </w:pPr>
      <w:r>
        <w:rPr>
          <w:sz w:val="20"/>
        </w:rPr>
        <w:t>Por</w:t>
      </w:r>
      <w:r>
        <w:rPr>
          <w:spacing w:val="-3"/>
          <w:sz w:val="20"/>
        </w:rPr>
        <w:t xml:space="preserve"> </w:t>
      </w:r>
      <w:r>
        <w:rPr>
          <w:sz w:val="20"/>
        </w:rPr>
        <w:t>renuncia</w:t>
      </w:r>
      <w:r>
        <w:rPr>
          <w:spacing w:val="-3"/>
          <w:sz w:val="20"/>
        </w:rPr>
        <w:t xml:space="preserve"> </w:t>
      </w:r>
      <w:r>
        <w:rPr>
          <w:sz w:val="20"/>
        </w:rPr>
        <w:t>aceptada</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pacing w:val="-2"/>
          <w:sz w:val="20"/>
        </w:rPr>
        <w:t>Gobierno.</w:t>
      </w:r>
    </w:p>
    <w:p w:rsidR="0092635B" w:rsidRDefault="00000000">
      <w:pPr>
        <w:pStyle w:val="Prrafodelista"/>
        <w:numPr>
          <w:ilvl w:val="1"/>
          <w:numId w:val="312"/>
        </w:numPr>
        <w:tabs>
          <w:tab w:val="left" w:pos="1668"/>
        </w:tabs>
        <w:spacing w:before="10"/>
        <w:ind w:left="1668" w:right="0" w:hanging="222"/>
        <w:rPr>
          <w:sz w:val="20"/>
        </w:rPr>
      </w:pPr>
      <w:r>
        <w:rPr>
          <w:sz w:val="20"/>
        </w:rPr>
        <w:t>Por</w:t>
      </w:r>
      <w:r>
        <w:rPr>
          <w:spacing w:val="-4"/>
          <w:sz w:val="20"/>
        </w:rPr>
        <w:t xml:space="preserve"> </w:t>
      </w:r>
      <w:r>
        <w:rPr>
          <w:sz w:val="20"/>
        </w:rPr>
        <w:t>pérdida</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nacionalidad</w:t>
      </w:r>
      <w:r>
        <w:rPr>
          <w:spacing w:val="-3"/>
          <w:sz w:val="20"/>
        </w:rPr>
        <w:t xml:space="preserve"> </w:t>
      </w:r>
      <w:r>
        <w:rPr>
          <w:spacing w:val="-2"/>
          <w:sz w:val="20"/>
        </w:rPr>
        <w:t>española.</w:t>
      </w:r>
    </w:p>
    <w:p w:rsidR="0092635B" w:rsidRDefault="00000000">
      <w:pPr>
        <w:pStyle w:val="Prrafodelista"/>
        <w:numPr>
          <w:ilvl w:val="1"/>
          <w:numId w:val="312"/>
        </w:numPr>
        <w:tabs>
          <w:tab w:val="left" w:pos="1679"/>
        </w:tabs>
        <w:spacing w:before="10"/>
        <w:ind w:right="0" w:hanging="233"/>
        <w:rPr>
          <w:sz w:val="20"/>
        </w:rPr>
      </w:pPr>
      <w:r>
        <w:rPr>
          <w:sz w:val="20"/>
        </w:rPr>
        <w:t>Por</w:t>
      </w:r>
      <w:r>
        <w:rPr>
          <w:spacing w:val="-4"/>
          <w:sz w:val="20"/>
        </w:rPr>
        <w:t xml:space="preserve"> </w:t>
      </w:r>
      <w:r>
        <w:rPr>
          <w:sz w:val="20"/>
        </w:rPr>
        <w:t>incumplimiento</w:t>
      </w:r>
      <w:r>
        <w:rPr>
          <w:spacing w:val="-4"/>
          <w:sz w:val="20"/>
        </w:rPr>
        <w:t xml:space="preserve"> </w:t>
      </w:r>
      <w:r>
        <w:rPr>
          <w:sz w:val="20"/>
        </w:rPr>
        <w:t>grave</w:t>
      </w:r>
      <w:r>
        <w:rPr>
          <w:spacing w:val="-3"/>
          <w:sz w:val="20"/>
        </w:rPr>
        <w:t xml:space="preserve"> </w:t>
      </w:r>
      <w:r>
        <w:rPr>
          <w:sz w:val="20"/>
        </w:rPr>
        <w:t>de</w:t>
      </w:r>
      <w:r>
        <w:rPr>
          <w:spacing w:val="-4"/>
          <w:sz w:val="20"/>
        </w:rPr>
        <w:t xml:space="preserve"> </w:t>
      </w:r>
      <w:r>
        <w:rPr>
          <w:sz w:val="20"/>
        </w:rPr>
        <w:t>sus</w:t>
      </w:r>
      <w:r>
        <w:rPr>
          <w:spacing w:val="-3"/>
          <w:sz w:val="20"/>
        </w:rPr>
        <w:t xml:space="preserve"> </w:t>
      </w:r>
      <w:r>
        <w:rPr>
          <w:spacing w:val="-2"/>
          <w:sz w:val="20"/>
        </w:rPr>
        <w:t>obligaciones.</w:t>
      </w:r>
    </w:p>
    <w:p w:rsidR="0092635B" w:rsidRDefault="00000000">
      <w:pPr>
        <w:pStyle w:val="Prrafodelista"/>
        <w:numPr>
          <w:ilvl w:val="1"/>
          <w:numId w:val="312"/>
        </w:numPr>
        <w:tabs>
          <w:tab w:val="left" w:pos="1691"/>
        </w:tabs>
        <w:spacing w:before="10" w:line="249" w:lineRule="auto"/>
        <w:ind w:left="1106" w:right="1105" w:firstLine="340"/>
        <w:rPr>
          <w:sz w:val="20"/>
        </w:rPr>
      </w:pPr>
      <w:r>
        <w:rPr>
          <w:sz w:val="20"/>
        </w:rPr>
        <w:t>Por condena mediante sentencia firme a pena privativa de libertad o de inhabilitación absoluta o especial para empleo o cargo público por razón de delito.</w:t>
      </w:r>
    </w:p>
    <w:p w:rsidR="0092635B" w:rsidRDefault="00000000">
      <w:pPr>
        <w:pStyle w:val="Prrafodelista"/>
        <w:numPr>
          <w:ilvl w:val="1"/>
          <w:numId w:val="312"/>
        </w:numPr>
        <w:tabs>
          <w:tab w:val="left" w:pos="1623"/>
        </w:tabs>
        <w:ind w:left="1623" w:right="0" w:hanging="177"/>
        <w:rPr>
          <w:sz w:val="20"/>
        </w:rPr>
      </w:pPr>
      <w:r>
        <w:rPr>
          <w:sz w:val="20"/>
        </w:rPr>
        <w:t>Por</w:t>
      </w:r>
      <w:r>
        <w:rPr>
          <w:spacing w:val="-7"/>
          <w:sz w:val="20"/>
        </w:rPr>
        <w:t xml:space="preserve"> </w:t>
      </w:r>
      <w:r>
        <w:rPr>
          <w:sz w:val="20"/>
        </w:rPr>
        <w:t>incapacidad</w:t>
      </w:r>
      <w:r>
        <w:rPr>
          <w:spacing w:val="-4"/>
          <w:sz w:val="20"/>
        </w:rPr>
        <w:t xml:space="preserve"> </w:t>
      </w:r>
      <w:r>
        <w:rPr>
          <w:sz w:val="20"/>
        </w:rPr>
        <w:t>sobrevenida</w:t>
      </w:r>
      <w:r>
        <w:rPr>
          <w:spacing w:val="-4"/>
          <w:sz w:val="20"/>
        </w:rPr>
        <w:t xml:space="preserve"> </w:t>
      </w:r>
      <w:r>
        <w:rPr>
          <w:sz w:val="20"/>
        </w:rPr>
        <w:t>para</w:t>
      </w:r>
      <w:r>
        <w:rPr>
          <w:spacing w:val="-4"/>
          <w:sz w:val="20"/>
        </w:rPr>
        <w:t xml:space="preserve"> </w:t>
      </w:r>
      <w:r>
        <w:rPr>
          <w:sz w:val="20"/>
        </w:rPr>
        <w:t>el</w:t>
      </w:r>
      <w:r>
        <w:rPr>
          <w:spacing w:val="-5"/>
          <w:sz w:val="20"/>
        </w:rPr>
        <w:t xml:space="preserve"> </w:t>
      </w:r>
      <w:r>
        <w:rPr>
          <w:sz w:val="20"/>
        </w:rPr>
        <w:t>ejercicio</w:t>
      </w:r>
      <w:r>
        <w:rPr>
          <w:spacing w:val="-4"/>
          <w:sz w:val="20"/>
        </w:rPr>
        <w:t xml:space="preserve"> </w:t>
      </w:r>
      <w:r>
        <w:rPr>
          <w:sz w:val="20"/>
        </w:rPr>
        <w:t>de</w:t>
      </w:r>
      <w:r>
        <w:rPr>
          <w:spacing w:val="-4"/>
          <w:sz w:val="20"/>
        </w:rPr>
        <w:t xml:space="preserve"> </w:t>
      </w:r>
      <w:r>
        <w:rPr>
          <w:sz w:val="20"/>
        </w:rPr>
        <w:t>su</w:t>
      </w:r>
      <w:r>
        <w:rPr>
          <w:spacing w:val="-4"/>
          <w:sz w:val="20"/>
        </w:rPr>
        <w:t xml:space="preserve"> </w:t>
      </w:r>
      <w:r>
        <w:rPr>
          <w:spacing w:val="-2"/>
          <w:sz w:val="20"/>
        </w:rPr>
        <w:t>función.</w:t>
      </w:r>
    </w:p>
    <w:p w:rsidR="0092635B" w:rsidRDefault="00000000">
      <w:pPr>
        <w:pStyle w:val="Textoindependiente"/>
        <w:spacing w:before="130" w:line="249" w:lineRule="auto"/>
        <w:ind w:right="1105"/>
      </w:pPr>
      <w:r>
        <w:t>La remoción por las causas previstas en las letras c), d), e) y f) anteriores se acordará</w:t>
      </w:r>
      <w:r>
        <w:rPr>
          <w:spacing w:val="40"/>
        </w:rPr>
        <w:t xml:space="preserve"> </w:t>
      </w:r>
      <w:r>
        <w:t>por el Gobierno previo expediente.</w:t>
      </w:r>
    </w:p>
    <w:p w:rsidR="0092635B" w:rsidRDefault="00000000">
      <w:pPr>
        <w:pStyle w:val="Prrafodelista"/>
        <w:numPr>
          <w:ilvl w:val="0"/>
          <w:numId w:val="312"/>
        </w:numPr>
        <w:tabs>
          <w:tab w:val="left" w:pos="1690"/>
        </w:tabs>
        <w:spacing w:before="1" w:line="249" w:lineRule="auto"/>
        <w:ind w:right="1104" w:firstLine="340"/>
        <w:jc w:val="both"/>
        <w:rPr>
          <w:sz w:val="20"/>
        </w:rPr>
      </w:pPr>
      <w:r>
        <w:rPr>
          <w:sz w:val="20"/>
        </w:rPr>
        <w:t>La duración del nombramiento efectuado de conformidad con este apartado será de seis años y no podrá prorrogarse. Durante el tiempo en que se hallen prestando servicio en</w:t>
      </w:r>
      <w:r>
        <w:rPr>
          <w:spacing w:val="40"/>
          <w:sz w:val="20"/>
        </w:rPr>
        <w:t xml:space="preserve"> </w:t>
      </w:r>
      <w:r>
        <w:rPr>
          <w:sz w:val="20"/>
        </w:rPr>
        <w:t>el Tribunal, tanto el Presidente como los Vocales pasarán a la situación de Servicios Especiales dentro de su cuerpo de origen.</w:t>
      </w:r>
    </w:p>
    <w:p w:rsidR="0092635B" w:rsidRDefault="00000000">
      <w:pPr>
        <w:pStyle w:val="Prrafodelista"/>
        <w:numPr>
          <w:ilvl w:val="0"/>
          <w:numId w:val="312"/>
        </w:numPr>
        <w:tabs>
          <w:tab w:val="left" w:pos="1677"/>
        </w:tabs>
        <w:spacing w:before="4" w:line="249" w:lineRule="auto"/>
        <w:ind w:right="1104" w:firstLine="340"/>
        <w:jc w:val="both"/>
        <w:rPr>
          <w:sz w:val="20"/>
        </w:rPr>
      </w:pPr>
      <w:r>
        <w:rPr>
          <w:sz w:val="20"/>
        </w:rPr>
        <w:t>En cualquier caso, cesado un miembro del Tribunal, este continuará en el ejercicio de sus funciones hasta que tome posesión de su cargo el que lo haya de sustituir.</w:t>
      </w:r>
    </w:p>
    <w:p w:rsidR="0092635B" w:rsidRDefault="00000000">
      <w:pPr>
        <w:pStyle w:val="Prrafodelista"/>
        <w:numPr>
          <w:ilvl w:val="0"/>
          <w:numId w:val="312"/>
        </w:numPr>
        <w:tabs>
          <w:tab w:val="left" w:pos="1668"/>
        </w:tabs>
        <w:spacing w:before="1" w:line="249" w:lineRule="auto"/>
        <w:ind w:left="1446" w:right="1434" w:firstLine="0"/>
        <w:jc w:val="both"/>
        <w:rPr>
          <w:sz w:val="20"/>
        </w:rPr>
      </w:pPr>
      <w:r>
        <w:rPr>
          <w:sz w:val="20"/>
        </w:rPr>
        <w:t>Formará</w:t>
      </w:r>
      <w:r>
        <w:rPr>
          <w:spacing w:val="-4"/>
          <w:sz w:val="20"/>
        </w:rPr>
        <w:t xml:space="preserve"> </w:t>
      </w:r>
      <w:r>
        <w:rPr>
          <w:sz w:val="20"/>
        </w:rPr>
        <w:t>parte</w:t>
      </w:r>
      <w:r>
        <w:rPr>
          <w:spacing w:val="-4"/>
          <w:sz w:val="20"/>
        </w:rPr>
        <w:t xml:space="preserve"> </w:t>
      </w:r>
      <w:r>
        <w:rPr>
          <w:sz w:val="20"/>
        </w:rPr>
        <w:t>del</w:t>
      </w:r>
      <w:r>
        <w:rPr>
          <w:spacing w:val="-4"/>
          <w:sz w:val="20"/>
        </w:rPr>
        <w:t xml:space="preserve"> </w:t>
      </w:r>
      <w:r>
        <w:rPr>
          <w:sz w:val="20"/>
        </w:rPr>
        <w:t>Tribunal,</w:t>
      </w:r>
      <w:r>
        <w:rPr>
          <w:spacing w:val="-4"/>
          <w:sz w:val="20"/>
        </w:rPr>
        <w:t xml:space="preserve"> </w:t>
      </w:r>
      <w:r>
        <w:rPr>
          <w:sz w:val="20"/>
        </w:rPr>
        <w:t>con</w:t>
      </w:r>
      <w:r>
        <w:rPr>
          <w:spacing w:val="-4"/>
          <w:sz w:val="20"/>
        </w:rPr>
        <w:t xml:space="preserve"> </w:t>
      </w:r>
      <w:r>
        <w:rPr>
          <w:sz w:val="20"/>
        </w:rPr>
        <w:t>voz</w:t>
      </w:r>
      <w:r>
        <w:rPr>
          <w:spacing w:val="-4"/>
          <w:sz w:val="20"/>
        </w:rPr>
        <w:t xml:space="preserve"> </w:t>
      </w:r>
      <w:r>
        <w:rPr>
          <w:sz w:val="20"/>
        </w:rPr>
        <w:t>pero</w:t>
      </w:r>
      <w:r>
        <w:rPr>
          <w:spacing w:val="-4"/>
          <w:sz w:val="20"/>
        </w:rPr>
        <w:t xml:space="preserve"> </w:t>
      </w:r>
      <w:r>
        <w:rPr>
          <w:sz w:val="20"/>
        </w:rPr>
        <w:t>sin</w:t>
      </w:r>
      <w:r>
        <w:rPr>
          <w:spacing w:val="-4"/>
          <w:sz w:val="20"/>
        </w:rPr>
        <w:t xml:space="preserve"> </w:t>
      </w:r>
      <w:r>
        <w:rPr>
          <w:sz w:val="20"/>
        </w:rPr>
        <w:t>voto,</w:t>
      </w:r>
      <w:r>
        <w:rPr>
          <w:spacing w:val="-4"/>
          <w:sz w:val="20"/>
        </w:rPr>
        <w:t xml:space="preserve"> </w:t>
      </w:r>
      <w:r>
        <w:rPr>
          <w:sz w:val="20"/>
        </w:rPr>
        <w:t>el</w:t>
      </w:r>
      <w:r>
        <w:rPr>
          <w:spacing w:val="-4"/>
          <w:sz w:val="20"/>
        </w:rPr>
        <w:t xml:space="preserve"> </w:t>
      </w:r>
      <w:r>
        <w:rPr>
          <w:sz w:val="20"/>
        </w:rPr>
        <w:t>Secretario</w:t>
      </w:r>
      <w:r>
        <w:rPr>
          <w:spacing w:val="-4"/>
          <w:sz w:val="20"/>
        </w:rPr>
        <w:t xml:space="preserve"> </w:t>
      </w:r>
      <w:r>
        <w:rPr>
          <w:sz w:val="20"/>
        </w:rPr>
        <w:t>General</w:t>
      </w:r>
      <w:r>
        <w:rPr>
          <w:spacing w:val="-4"/>
          <w:sz w:val="20"/>
        </w:rPr>
        <w:t xml:space="preserve"> </w:t>
      </w:r>
      <w:r>
        <w:rPr>
          <w:sz w:val="20"/>
        </w:rPr>
        <w:t>del</w:t>
      </w:r>
      <w:r>
        <w:rPr>
          <w:spacing w:val="-4"/>
          <w:sz w:val="20"/>
        </w:rPr>
        <w:t xml:space="preserve"> </w:t>
      </w:r>
      <w:r>
        <w:rPr>
          <w:sz w:val="20"/>
        </w:rPr>
        <w:t>mismo. El</w:t>
      </w:r>
      <w:r>
        <w:rPr>
          <w:spacing w:val="-1"/>
          <w:sz w:val="20"/>
        </w:rPr>
        <w:t xml:space="preserve"> </w:t>
      </w:r>
      <w:r>
        <w:rPr>
          <w:sz w:val="20"/>
        </w:rPr>
        <w:t>Tribunal</w:t>
      </w:r>
      <w:r>
        <w:rPr>
          <w:spacing w:val="-1"/>
          <w:sz w:val="20"/>
        </w:rPr>
        <w:t xml:space="preserve"> </w:t>
      </w:r>
      <w:r>
        <w:rPr>
          <w:sz w:val="20"/>
        </w:rPr>
        <w:t>contará</w:t>
      </w:r>
      <w:r>
        <w:rPr>
          <w:spacing w:val="-1"/>
          <w:sz w:val="20"/>
        </w:rPr>
        <w:t xml:space="preserve"> </w:t>
      </w:r>
      <w:r>
        <w:rPr>
          <w:sz w:val="20"/>
        </w:rPr>
        <w:t>con</w:t>
      </w:r>
      <w:r>
        <w:rPr>
          <w:spacing w:val="-1"/>
          <w:sz w:val="20"/>
        </w:rPr>
        <w:t xml:space="preserve"> </w:t>
      </w:r>
      <w:r>
        <w:rPr>
          <w:sz w:val="20"/>
        </w:rPr>
        <w:t>los</w:t>
      </w:r>
      <w:r>
        <w:rPr>
          <w:spacing w:val="-1"/>
          <w:sz w:val="20"/>
        </w:rPr>
        <w:t xml:space="preserve"> </w:t>
      </w:r>
      <w:r>
        <w:rPr>
          <w:sz w:val="20"/>
        </w:rPr>
        <w:t>servicios</w:t>
      </w:r>
      <w:r>
        <w:rPr>
          <w:spacing w:val="-1"/>
          <w:sz w:val="20"/>
        </w:rPr>
        <w:t xml:space="preserve"> </w:t>
      </w:r>
      <w:r>
        <w:rPr>
          <w:sz w:val="20"/>
        </w:rPr>
        <w:t>administrativos</w:t>
      </w:r>
      <w:r>
        <w:rPr>
          <w:spacing w:val="-1"/>
          <w:sz w:val="20"/>
        </w:rPr>
        <w:t xml:space="preserve"> </w:t>
      </w:r>
      <w:r>
        <w:rPr>
          <w:sz w:val="20"/>
        </w:rPr>
        <w:t>precisos</w:t>
      </w:r>
      <w:r>
        <w:rPr>
          <w:spacing w:val="-1"/>
          <w:sz w:val="20"/>
        </w:rPr>
        <w:t xml:space="preserve"> </w:t>
      </w:r>
      <w:r>
        <w:rPr>
          <w:sz w:val="20"/>
        </w:rPr>
        <w:t>para</w:t>
      </w:r>
      <w:r>
        <w:rPr>
          <w:spacing w:val="-1"/>
          <w:sz w:val="20"/>
        </w:rPr>
        <w:t xml:space="preserve"> </w:t>
      </w:r>
      <w:r>
        <w:rPr>
          <w:sz w:val="20"/>
        </w:rPr>
        <w:t>su</w:t>
      </w:r>
      <w:r>
        <w:rPr>
          <w:spacing w:val="-1"/>
          <w:sz w:val="20"/>
        </w:rPr>
        <w:t xml:space="preserve"> </w:t>
      </w:r>
      <w:r>
        <w:rPr>
          <w:sz w:val="20"/>
        </w:rPr>
        <w:t>funcionamiento.</w:t>
      </w:r>
    </w:p>
    <w:p w:rsidR="0092635B" w:rsidRDefault="00000000">
      <w:pPr>
        <w:pStyle w:val="Textoindependiente"/>
        <w:spacing w:line="249" w:lineRule="auto"/>
        <w:ind w:right="1103"/>
      </w:pPr>
      <w:r>
        <w:t xml:space="preserve">El nombramiento del Secretario General y el del personal integrante de los servicios administrativos se harán en los términos previstos en la legislación reguladora de la Función </w:t>
      </w:r>
      <w:r>
        <w:rPr>
          <w:spacing w:val="-2"/>
        </w:rPr>
        <w:t>Pública.</w:t>
      </w:r>
    </w:p>
    <w:p w:rsidR="0092635B" w:rsidRDefault="00000000">
      <w:pPr>
        <w:pStyle w:val="Prrafodelista"/>
        <w:numPr>
          <w:ilvl w:val="0"/>
          <w:numId w:val="312"/>
        </w:numPr>
        <w:tabs>
          <w:tab w:val="left" w:pos="1718"/>
        </w:tabs>
        <w:spacing w:line="249" w:lineRule="auto"/>
        <w:ind w:firstLine="340"/>
        <w:jc w:val="both"/>
        <w:rPr>
          <w:sz w:val="20"/>
        </w:rPr>
      </w:pPr>
      <w:r>
        <w:rPr>
          <w:sz w:val="20"/>
        </w:rPr>
        <w:t>Serán de aplicación al régimen de constitución y funcionamiento del Tribunal las disposiciones relativas a órganos colegiados contenidas en la Ley 40/2015, de 1 de octubre, de Régimen Jurídico del Sector Público.</w:t>
      </w:r>
    </w:p>
    <w:p w:rsidR="0092635B" w:rsidRDefault="00000000">
      <w:pPr>
        <w:tabs>
          <w:tab w:val="left" w:pos="2494"/>
        </w:tabs>
        <w:spacing w:before="230" w:line="249" w:lineRule="auto"/>
        <w:ind w:left="1106" w:right="1120"/>
        <w:rPr>
          <w:rFonts w:ascii="Arial" w:hAnsi="Arial"/>
          <w:i/>
          <w:sz w:val="20"/>
        </w:rPr>
      </w:pPr>
      <w:bookmarkStart w:id="78" w:name="Artículo_46._Órgano_competente_para_la_r"/>
      <w:bookmarkEnd w:id="78"/>
      <w:r>
        <w:rPr>
          <w:rFonts w:ascii="Arial" w:hAnsi="Arial"/>
          <w:b/>
          <w:sz w:val="20"/>
        </w:rPr>
        <w:t>Artículo</w:t>
      </w:r>
      <w:r>
        <w:rPr>
          <w:rFonts w:ascii="Arial" w:hAnsi="Arial"/>
          <w:b/>
          <w:spacing w:val="40"/>
          <w:sz w:val="20"/>
        </w:rPr>
        <w:t xml:space="preserve"> </w:t>
      </w:r>
      <w:r>
        <w:rPr>
          <w:rFonts w:ascii="Arial" w:hAnsi="Arial"/>
          <w:b/>
          <w:sz w:val="20"/>
        </w:rPr>
        <w:t>46.</w:t>
      </w:r>
      <w:r>
        <w:rPr>
          <w:rFonts w:ascii="Arial" w:hAnsi="Arial"/>
          <w:b/>
          <w:sz w:val="20"/>
        </w:rPr>
        <w:tab/>
      </w:r>
      <w:r>
        <w:rPr>
          <w:rFonts w:ascii="Arial" w:hAnsi="Arial"/>
          <w:i/>
          <w:sz w:val="20"/>
        </w:rPr>
        <w:t>Órgano</w:t>
      </w:r>
      <w:r>
        <w:rPr>
          <w:rFonts w:ascii="Arial" w:hAnsi="Arial"/>
          <w:i/>
          <w:spacing w:val="40"/>
          <w:sz w:val="20"/>
        </w:rPr>
        <w:t xml:space="preserve"> </w:t>
      </w:r>
      <w:r>
        <w:rPr>
          <w:rFonts w:ascii="Arial" w:hAnsi="Arial"/>
          <w:i/>
          <w:sz w:val="20"/>
        </w:rPr>
        <w:t>competente</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resolución</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recurso</w:t>
      </w:r>
      <w:r>
        <w:rPr>
          <w:rFonts w:ascii="Arial" w:hAnsi="Arial"/>
          <w:i/>
          <w:spacing w:val="40"/>
          <w:sz w:val="20"/>
        </w:rPr>
        <w:t xml:space="preserve"> </w:t>
      </w:r>
      <w:r>
        <w:rPr>
          <w:rFonts w:ascii="Arial" w:hAnsi="Arial"/>
          <w:i/>
          <w:sz w:val="20"/>
        </w:rPr>
        <w:t>en</w:t>
      </w:r>
      <w:r>
        <w:rPr>
          <w:rFonts w:ascii="Arial" w:hAnsi="Arial"/>
          <w:i/>
          <w:spacing w:val="40"/>
          <w:sz w:val="20"/>
        </w:rPr>
        <w:t xml:space="preserve"> </w:t>
      </w:r>
      <w:r>
        <w:rPr>
          <w:rFonts w:ascii="Arial" w:hAnsi="Arial"/>
          <w:i/>
          <w:sz w:val="20"/>
        </w:rPr>
        <w:t>las</w:t>
      </w:r>
      <w:r>
        <w:rPr>
          <w:rFonts w:ascii="Arial" w:hAnsi="Arial"/>
          <w:i/>
          <w:spacing w:val="40"/>
          <w:sz w:val="20"/>
        </w:rPr>
        <w:t xml:space="preserve"> </w:t>
      </w:r>
      <w:r>
        <w:rPr>
          <w:rFonts w:ascii="Arial" w:hAnsi="Arial"/>
          <w:i/>
          <w:sz w:val="20"/>
        </w:rPr>
        <w:t>Comunidades Autónomas y Entidades Locales.</w:t>
      </w:r>
    </w:p>
    <w:p w:rsidR="0092635B" w:rsidRDefault="00000000">
      <w:pPr>
        <w:pStyle w:val="Prrafodelista"/>
        <w:numPr>
          <w:ilvl w:val="0"/>
          <w:numId w:val="311"/>
        </w:numPr>
        <w:tabs>
          <w:tab w:val="left" w:pos="1723"/>
        </w:tabs>
        <w:spacing w:before="115" w:line="249" w:lineRule="auto"/>
        <w:ind w:firstLine="340"/>
        <w:jc w:val="both"/>
        <w:rPr>
          <w:sz w:val="20"/>
        </w:rPr>
      </w:pPr>
      <w:r>
        <w:rPr>
          <w:sz w:val="20"/>
        </w:rPr>
        <w:t>En el ámbito de las Comunidades Autónomas, la competencia para resolver los recursos será establecida por sus normas respectivas, debiendo crear un órgano independiente cuyo titular, o en el caso de que fuera colegiado al menos su Presidente, ostente cualificaciones jurídicas y profesionales que garanticen un adecuado conocimiento</w:t>
      </w:r>
      <w:r>
        <w:rPr>
          <w:spacing w:val="40"/>
          <w:sz w:val="20"/>
        </w:rPr>
        <w:t xml:space="preserve"> </w:t>
      </w:r>
      <w:r>
        <w:rPr>
          <w:sz w:val="20"/>
        </w:rPr>
        <w:t>de las materias que sean de su competencia. El nombramiento de los miembros de esta instancia independiente y la terminación de su mandato estarán sujetos en lo relativo a la autoridad responsable de su nombramiento, la duración de su mandato y su revocabilidad a condiciones que garanticen su independencia e inamovilidad.</w:t>
      </w:r>
    </w:p>
    <w:p w:rsidR="0092635B" w:rsidRDefault="00000000">
      <w:pPr>
        <w:pStyle w:val="Prrafodelista"/>
        <w:numPr>
          <w:ilvl w:val="0"/>
          <w:numId w:val="311"/>
        </w:numPr>
        <w:tabs>
          <w:tab w:val="left" w:pos="1733"/>
        </w:tabs>
        <w:spacing w:before="6" w:line="249" w:lineRule="auto"/>
        <w:ind w:firstLine="340"/>
        <w:jc w:val="both"/>
        <w:rPr>
          <w:sz w:val="20"/>
        </w:rPr>
      </w:pPr>
      <w:r>
        <w:rPr>
          <w:sz w:val="20"/>
        </w:rPr>
        <w:t>Podrán las Comunidades Autónomas, asimismo, atribuir la competencia para la resolución de los recursos al Tribunal Administrativo Central de Recursos Contractuales. A</w:t>
      </w:r>
      <w:r>
        <w:rPr>
          <w:spacing w:val="40"/>
          <w:sz w:val="20"/>
        </w:rPr>
        <w:t xml:space="preserve"> </w:t>
      </w:r>
      <w:r>
        <w:rPr>
          <w:sz w:val="20"/>
        </w:rPr>
        <w:t>tal efecto, deberán celebrar el correspondiente convenio con la Administración General del Estado, en el que se estipulen las condiciones en que la Comunidad sufragará los gastos derivados de esta asunción de competencias.</w:t>
      </w:r>
    </w:p>
    <w:p w:rsidR="0092635B" w:rsidRDefault="00000000">
      <w:pPr>
        <w:pStyle w:val="Prrafodelista"/>
        <w:numPr>
          <w:ilvl w:val="0"/>
          <w:numId w:val="311"/>
        </w:numPr>
        <w:tabs>
          <w:tab w:val="left" w:pos="1702"/>
        </w:tabs>
        <w:spacing w:before="4" w:line="249" w:lineRule="auto"/>
        <w:ind w:firstLine="340"/>
        <w:jc w:val="both"/>
        <w:rPr>
          <w:sz w:val="20"/>
        </w:rPr>
      </w:pPr>
      <w:r>
        <w:rPr>
          <w:sz w:val="20"/>
        </w:rPr>
        <w:t>Las Ciudades Autónomas de Ceuta y Melilla podrán designar sus propios órganos independientes ajustándose a los requisitos establecidos en este apartado para los órganos de las Comunidades Autónomas, o bien atribuir la competencia al Tribunal Administrativo Central de Recursos Contractuales celebrando al efecto un convenio en los términos previstos en el apartado anterior.</w:t>
      </w:r>
    </w:p>
    <w:p w:rsidR="0092635B" w:rsidRDefault="00000000">
      <w:pPr>
        <w:pStyle w:val="Prrafodelista"/>
        <w:numPr>
          <w:ilvl w:val="0"/>
          <w:numId w:val="311"/>
        </w:numPr>
        <w:tabs>
          <w:tab w:val="left" w:pos="1734"/>
        </w:tabs>
        <w:spacing w:before="4" w:line="249" w:lineRule="auto"/>
        <w:ind w:right="1105" w:firstLine="340"/>
        <w:jc w:val="both"/>
        <w:rPr>
          <w:sz w:val="20"/>
        </w:rPr>
      </w:pPr>
      <w:r>
        <w:rPr>
          <w:sz w:val="20"/>
        </w:rPr>
        <w:t>En lo relativo a la contratación en el ámbito de las Corporaciones Locales, la competencia</w:t>
      </w:r>
      <w:r>
        <w:rPr>
          <w:spacing w:val="-2"/>
          <w:sz w:val="20"/>
        </w:rPr>
        <w:t xml:space="preserve"> </w:t>
      </w:r>
      <w:r>
        <w:rPr>
          <w:sz w:val="20"/>
        </w:rPr>
        <w:t>para</w:t>
      </w:r>
      <w:r>
        <w:rPr>
          <w:spacing w:val="-1"/>
          <w:sz w:val="20"/>
        </w:rPr>
        <w:t xml:space="preserve"> </w:t>
      </w:r>
      <w:r>
        <w:rPr>
          <w:sz w:val="20"/>
        </w:rPr>
        <w:t>resolver</w:t>
      </w:r>
      <w:r>
        <w:rPr>
          <w:spacing w:val="-1"/>
          <w:sz w:val="20"/>
        </w:rPr>
        <w:t xml:space="preserve"> </w:t>
      </w:r>
      <w:r>
        <w:rPr>
          <w:sz w:val="20"/>
        </w:rPr>
        <w:t>los</w:t>
      </w:r>
      <w:r>
        <w:rPr>
          <w:spacing w:val="-1"/>
          <w:sz w:val="20"/>
        </w:rPr>
        <w:t xml:space="preserve"> </w:t>
      </w:r>
      <w:r>
        <w:rPr>
          <w:sz w:val="20"/>
        </w:rPr>
        <w:t>recursos</w:t>
      </w:r>
      <w:r>
        <w:rPr>
          <w:spacing w:val="-2"/>
          <w:sz w:val="20"/>
        </w:rPr>
        <w:t xml:space="preserve"> </w:t>
      </w:r>
      <w:r>
        <w:rPr>
          <w:sz w:val="20"/>
        </w:rPr>
        <w:t>será</w:t>
      </w:r>
      <w:r>
        <w:rPr>
          <w:spacing w:val="-1"/>
          <w:sz w:val="20"/>
        </w:rPr>
        <w:t xml:space="preserve"> </w:t>
      </w:r>
      <w:r>
        <w:rPr>
          <w:sz w:val="20"/>
        </w:rPr>
        <w:t>establecida</w:t>
      </w:r>
      <w:r>
        <w:rPr>
          <w:spacing w:val="-1"/>
          <w:sz w:val="20"/>
        </w:rPr>
        <w:t xml:space="preserve"> </w:t>
      </w:r>
      <w:r>
        <w:rPr>
          <w:sz w:val="20"/>
        </w:rPr>
        <w:t>por</w:t>
      </w:r>
      <w:r>
        <w:rPr>
          <w:spacing w:val="-1"/>
          <w:sz w:val="20"/>
        </w:rPr>
        <w:t xml:space="preserve"> </w:t>
      </w:r>
      <w:r>
        <w:rPr>
          <w:sz w:val="20"/>
        </w:rPr>
        <w:t>las</w:t>
      </w:r>
      <w:r>
        <w:rPr>
          <w:spacing w:val="-2"/>
          <w:sz w:val="20"/>
        </w:rPr>
        <w:t xml:space="preserve"> </w:t>
      </w:r>
      <w:r>
        <w:rPr>
          <w:sz w:val="20"/>
        </w:rPr>
        <w:t>normas</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pacing w:val="-2"/>
          <w:sz w:val="20"/>
        </w:rPr>
        <w:t>Comunidades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pPr>
      <w:r>
        <w:t>Autónomas cuando estas tengan atribuida competencia normativa y de ejecución en materia de régimen local y contratación.</w:t>
      </w:r>
    </w:p>
    <w:p w:rsidR="0092635B" w:rsidRDefault="00000000">
      <w:pPr>
        <w:pStyle w:val="Textoindependiente"/>
        <w:spacing w:before="1" w:line="249" w:lineRule="auto"/>
        <w:ind w:right="1105"/>
      </w:pPr>
      <w:r>
        <w:t>En el supuesto de que no exista previsión expresa en la legislación autonómica y sin perjuicio de lo dispuesto en el párrafo siguiente, la competencia para resolver los recursos corresponderá al mismo órgano al que las Comunidades Autónomas en cuyo territorio se integran las Corporaciones Locales hayan atribuido la competencia para resolver los</w:t>
      </w:r>
      <w:r>
        <w:rPr>
          <w:spacing w:val="40"/>
        </w:rPr>
        <w:t xml:space="preserve"> </w:t>
      </w:r>
      <w:r>
        <w:t>recursos de su ámbito.</w:t>
      </w:r>
    </w:p>
    <w:p w:rsidR="0092635B" w:rsidRDefault="00000000">
      <w:pPr>
        <w:pStyle w:val="Textoindependiente"/>
        <w:spacing w:before="18"/>
        <w:ind w:left="0" w:firstLine="0"/>
        <w:jc w:val="left"/>
      </w:pPr>
      <w:r>
        <w:rPr>
          <w:noProof/>
        </w:rPr>
        <mc:AlternateContent>
          <mc:Choice Requires="wps">
            <w:drawing>
              <wp:anchor distT="0" distB="0" distL="0" distR="0" simplePos="0" relativeHeight="487589888" behindDoc="1" locked="0" layoutInCell="1" allowOverlap="1">
                <wp:simplePos x="0" y="0"/>
                <wp:positionH relativeFrom="page">
                  <wp:posOffset>1156762</wp:posOffset>
                </wp:positionH>
                <wp:positionV relativeFrom="paragraph">
                  <wp:posOffset>178083</wp:posOffset>
                </wp:positionV>
                <wp:extent cx="5247005" cy="51244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51244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77" w:firstLine="340"/>
                              <w:rPr>
                                <w:color w:val="000000"/>
                                <w:sz w:val="18"/>
                              </w:rPr>
                            </w:pPr>
                            <w:r>
                              <w:rPr>
                                <w:color w:val="000000"/>
                                <w:sz w:val="18"/>
                              </w:rPr>
                              <w:t>Téngase</w:t>
                            </w:r>
                            <w:r>
                              <w:rPr>
                                <w:color w:val="000000"/>
                                <w:spacing w:val="-1"/>
                                <w:sz w:val="18"/>
                              </w:rPr>
                              <w:t xml:space="preserve"> </w:t>
                            </w:r>
                            <w:r>
                              <w:rPr>
                                <w:color w:val="000000"/>
                                <w:sz w:val="18"/>
                              </w:rPr>
                              <w:t>en</w:t>
                            </w:r>
                            <w:r>
                              <w:rPr>
                                <w:color w:val="000000"/>
                                <w:spacing w:val="-1"/>
                                <w:sz w:val="18"/>
                              </w:rPr>
                              <w:t xml:space="preserve"> </w:t>
                            </w:r>
                            <w:r>
                              <w:rPr>
                                <w:color w:val="000000"/>
                                <w:sz w:val="18"/>
                              </w:rPr>
                              <w:t>cuenta</w:t>
                            </w:r>
                            <w:r>
                              <w:rPr>
                                <w:color w:val="000000"/>
                                <w:spacing w:val="-1"/>
                                <w:sz w:val="18"/>
                              </w:rPr>
                              <w:t xml:space="preserve"> </w:t>
                            </w:r>
                            <w:r>
                              <w:rPr>
                                <w:color w:val="000000"/>
                                <w:sz w:val="18"/>
                              </w:rPr>
                              <w:t>que</w:t>
                            </w:r>
                            <w:r>
                              <w:rPr>
                                <w:color w:val="000000"/>
                                <w:spacing w:val="-1"/>
                                <w:sz w:val="18"/>
                              </w:rPr>
                              <w:t xml:space="preserve"> </w:t>
                            </w:r>
                            <w:r>
                              <w:rPr>
                                <w:color w:val="000000"/>
                                <w:sz w:val="18"/>
                              </w:rPr>
                              <w:t>se</w:t>
                            </w:r>
                            <w:r>
                              <w:rPr>
                                <w:color w:val="000000"/>
                                <w:spacing w:val="-1"/>
                                <w:sz w:val="18"/>
                              </w:rPr>
                              <w:t xml:space="preserve"> </w:t>
                            </w:r>
                            <w:r>
                              <w:rPr>
                                <w:color w:val="000000"/>
                                <w:sz w:val="18"/>
                              </w:rPr>
                              <w:t>declara</w:t>
                            </w:r>
                            <w:r>
                              <w:rPr>
                                <w:color w:val="000000"/>
                                <w:spacing w:val="-1"/>
                                <w:sz w:val="18"/>
                              </w:rPr>
                              <w:t xml:space="preserve"> </w:t>
                            </w:r>
                            <w:r>
                              <w:rPr>
                                <w:color w:val="000000"/>
                                <w:sz w:val="18"/>
                              </w:rPr>
                              <w:t>inconstitucional</w:t>
                            </w:r>
                            <w:r>
                              <w:rPr>
                                <w:color w:val="000000"/>
                                <w:spacing w:val="-1"/>
                                <w:sz w:val="18"/>
                              </w:rPr>
                              <w:t xml:space="preserve"> </w:t>
                            </w:r>
                            <w:r>
                              <w:rPr>
                                <w:color w:val="000000"/>
                                <w:sz w:val="18"/>
                              </w:rPr>
                              <w:t>y</w:t>
                            </w:r>
                            <w:r>
                              <w:rPr>
                                <w:color w:val="000000"/>
                                <w:spacing w:val="-1"/>
                                <w:sz w:val="18"/>
                              </w:rPr>
                              <w:t xml:space="preserve"> </w:t>
                            </w:r>
                            <w:r>
                              <w:rPr>
                                <w:color w:val="000000"/>
                                <w:sz w:val="18"/>
                              </w:rPr>
                              <w:t>nulo</w:t>
                            </w:r>
                            <w:r>
                              <w:rPr>
                                <w:color w:val="000000"/>
                                <w:spacing w:val="-1"/>
                                <w:sz w:val="18"/>
                              </w:rPr>
                              <w:t xml:space="preserve"> </w:t>
                            </w:r>
                            <w:r>
                              <w:rPr>
                                <w:color w:val="000000"/>
                                <w:sz w:val="18"/>
                              </w:rPr>
                              <w:t>el</w:t>
                            </w:r>
                            <w:r>
                              <w:rPr>
                                <w:color w:val="000000"/>
                                <w:spacing w:val="-1"/>
                                <w:sz w:val="18"/>
                              </w:rPr>
                              <w:t xml:space="preserve"> </w:t>
                            </w:r>
                            <w:r>
                              <w:rPr>
                                <w:color w:val="000000"/>
                                <w:sz w:val="18"/>
                              </w:rPr>
                              <w:t>párrafo</w:t>
                            </w:r>
                            <w:r>
                              <w:rPr>
                                <w:color w:val="000000"/>
                                <w:spacing w:val="-1"/>
                                <w:sz w:val="18"/>
                              </w:rPr>
                              <w:t xml:space="preserve"> </w:t>
                            </w:r>
                            <w:r>
                              <w:rPr>
                                <w:color w:val="000000"/>
                                <w:sz w:val="18"/>
                              </w:rPr>
                              <w:t>segundo</w:t>
                            </w:r>
                            <w:r>
                              <w:rPr>
                                <w:color w:val="000000"/>
                                <w:spacing w:val="-1"/>
                                <w:sz w:val="18"/>
                              </w:rPr>
                              <w:t xml:space="preserve"> </w:t>
                            </w:r>
                            <w:r>
                              <w:rPr>
                                <w:color w:val="000000"/>
                                <w:sz w:val="18"/>
                              </w:rPr>
                              <w:t>del</w:t>
                            </w:r>
                            <w:r>
                              <w:rPr>
                                <w:color w:val="000000"/>
                                <w:spacing w:val="-1"/>
                                <w:sz w:val="18"/>
                              </w:rPr>
                              <w:t xml:space="preserve"> </w:t>
                            </w:r>
                            <w:r>
                              <w:rPr>
                                <w:color w:val="000000"/>
                                <w:sz w:val="18"/>
                              </w:rPr>
                              <w:t>apartado</w:t>
                            </w:r>
                            <w:r>
                              <w:rPr>
                                <w:color w:val="000000"/>
                                <w:spacing w:val="-1"/>
                                <w:sz w:val="18"/>
                              </w:rPr>
                              <w:t xml:space="preserve"> </w:t>
                            </w:r>
                            <w:r>
                              <w:rPr>
                                <w:color w:val="000000"/>
                                <w:sz w:val="18"/>
                              </w:rPr>
                              <w:t xml:space="preserve">4 por la Sentencia del TC 68/2021, de 18 de marzo. </w:t>
                            </w:r>
                            <w:hyperlink r:id="rId15">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12" o:spid="_x0000_s1027" type="#_x0000_t202" style="position:absolute;margin-left:91.1pt;margin-top:14pt;width:413.15pt;height:40.3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" fillcolor="#f7f7ff" strokecolor="#9f9f9f">
                <v:path arrowok="t"/>
                <v:textbox inset="0,0,0,0">
                  <w:txbxContent>
                    <w:p w:rsidR="0092635B" w:rsidRDefault="00000000">
                      <w:pPr>
                        <w:spacing w:before="181" w:line="249" w:lineRule="auto"/>
                        <w:ind w:left="269" w:right="77" w:firstLine="340"/>
                        <w:rPr>
                          <w:color w:val="000000"/>
                          <w:sz w:val="18"/>
                        </w:rPr>
                      </w:pPr>
                      <w:r>
                        <w:rPr>
                          <w:color w:val="000000"/>
                          <w:sz w:val="18"/>
                        </w:rPr>
                        <w:t>Téngase</w:t>
                      </w:r>
                      <w:r>
                        <w:rPr>
                          <w:color w:val="000000"/>
                          <w:spacing w:val="-1"/>
                          <w:sz w:val="18"/>
                        </w:rPr>
                        <w:t xml:space="preserve"> </w:t>
                      </w:r>
                      <w:r>
                        <w:rPr>
                          <w:color w:val="000000"/>
                          <w:sz w:val="18"/>
                        </w:rPr>
                        <w:t>en</w:t>
                      </w:r>
                      <w:r>
                        <w:rPr>
                          <w:color w:val="000000"/>
                          <w:spacing w:val="-1"/>
                          <w:sz w:val="18"/>
                        </w:rPr>
                        <w:t xml:space="preserve"> </w:t>
                      </w:r>
                      <w:r>
                        <w:rPr>
                          <w:color w:val="000000"/>
                          <w:sz w:val="18"/>
                        </w:rPr>
                        <w:t>cuenta</w:t>
                      </w:r>
                      <w:r>
                        <w:rPr>
                          <w:color w:val="000000"/>
                          <w:spacing w:val="-1"/>
                          <w:sz w:val="18"/>
                        </w:rPr>
                        <w:t xml:space="preserve"> </w:t>
                      </w:r>
                      <w:r>
                        <w:rPr>
                          <w:color w:val="000000"/>
                          <w:sz w:val="18"/>
                        </w:rPr>
                        <w:t>que</w:t>
                      </w:r>
                      <w:r>
                        <w:rPr>
                          <w:color w:val="000000"/>
                          <w:spacing w:val="-1"/>
                          <w:sz w:val="18"/>
                        </w:rPr>
                        <w:t xml:space="preserve"> </w:t>
                      </w:r>
                      <w:r>
                        <w:rPr>
                          <w:color w:val="000000"/>
                          <w:sz w:val="18"/>
                        </w:rPr>
                        <w:t>se</w:t>
                      </w:r>
                      <w:r>
                        <w:rPr>
                          <w:color w:val="000000"/>
                          <w:spacing w:val="-1"/>
                          <w:sz w:val="18"/>
                        </w:rPr>
                        <w:t xml:space="preserve"> </w:t>
                      </w:r>
                      <w:r>
                        <w:rPr>
                          <w:color w:val="000000"/>
                          <w:sz w:val="18"/>
                        </w:rPr>
                        <w:t>declara</w:t>
                      </w:r>
                      <w:r>
                        <w:rPr>
                          <w:color w:val="000000"/>
                          <w:spacing w:val="-1"/>
                          <w:sz w:val="18"/>
                        </w:rPr>
                        <w:t xml:space="preserve"> </w:t>
                      </w:r>
                      <w:r>
                        <w:rPr>
                          <w:color w:val="000000"/>
                          <w:sz w:val="18"/>
                        </w:rPr>
                        <w:t>inconstitucional</w:t>
                      </w:r>
                      <w:r>
                        <w:rPr>
                          <w:color w:val="000000"/>
                          <w:spacing w:val="-1"/>
                          <w:sz w:val="18"/>
                        </w:rPr>
                        <w:t xml:space="preserve"> </w:t>
                      </w:r>
                      <w:r>
                        <w:rPr>
                          <w:color w:val="000000"/>
                          <w:sz w:val="18"/>
                        </w:rPr>
                        <w:t>y</w:t>
                      </w:r>
                      <w:r>
                        <w:rPr>
                          <w:color w:val="000000"/>
                          <w:spacing w:val="-1"/>
                          <w:sz w:val="18"/>
                        </w:rPr>
                        <w:t xml:space="preserve"> </w:t>
                      </w:r>
                      <w:r>
                        <w:rPr>
                          <w:color w:val="000000"/>
                          <w:sz w:val="18"/>
                        </w:rPr>
                        <w:t>nulo</w:t>
                      </w:r>
                      <w:r>
                        <w:rPr>
                          <w:color w:val="000000"/>
                          <w:spacing w:val="-1"/>
                          <w:sz w:val="18"/>
                        </w:rPr>
                        <w:t xml:space="preserve"> </w:t>
                      </w:r>
                      <w:r>
                        <w:rPr>
                          <w:color w:val="000000"/>
                          <w:sz w:val="18"/>
                        </w:rPr>
                        <w:t>el</w:t>
                      </w:r>
                      <w:r>
                        <w:rPr>
                          <w:color w:val="000000"/>
                          <w:spacing w:val="-1"/>
                          <w:sz w:val="18"/>
                        </w:rPr>
                        <w:t xml:space="preserve"> </w:t>
                      </w:r>
                      <w:r>
                        <w:rPr>
                          <w:color w:val="000000"/>
                          <w:sz w:val="18"/>
                        </w:rPr>
                        <w:t>párrafo</w:t>
                      </w:r>
                      <w:r>
                        <w:rPr>
                          <w:color w:val="000000"/>
                          <w:spacing w:val="-1"/>
                          <w:sz w:val="18"/>
                        </w:rPr>
                        <w:t xml:space="preserve"> </w:t>
                      </w:r>
                      <w:r>
                        <w:rPr>
                          <w:color w:val="000000"/>
                          <w:sz w:val="18"/>
                        </w:rPr>
                        <w:t>segundo</w:t>
                      </w:r>
                      <w:r>
                        <w:rPr>
                          <w:color w:val="000000"/>
                          <w:spacing w:val="-1"/>
                          <w:sz w:val="18"/>
                        </w:rPr>
                        <w:t xml:space="preserve"> </w:t>
                      </w:r>
                      <w:r>
                        <w:rPr>
                          <w:color w:val="000000"/>
                          <w:sz w:val="18"/>
                        </w:rPr>
                        <w:t>del</w:t>
                      </w:r>
                      <w:r>
                        <w:rPr>
                          <w:color w:val="000000"/>
                          <w:spacing w:val="-1"/>
                          <w:sz w:val="18"/>
                        </w:rPr>
                        <w:t xml:space="preserve"> </w:t>
                      </w:r>
                      <w:r>
                        <w:rPr>
                          <w:color w:val="000000"/>
                          <w:sz w:val="18"/>
                        </w:rPr>
                        <w:t>apartado</w:t>
                      </w:r>
                      <w:r>
                        <w:rPr>
                          <w:color w:val="000000"/>
                          <w:spacing w:val="-1"/>
                          <w:sz w:val="18"/>
                        </w:rPr>
                        <w:t xml:space="preserve"> </w:t>
                      </w:r>
                      <w:r>
                        <w:rPr>
                          <w:color w:val="000000"/>
                          <w:sz w:val="18"/>
                        </w:rPr>
                        <w:t xml:space="preserve">4 por la Sentencia del TC 68/2021, de 18 de marzo. </w:t>
                      </w:r>
                      <w:hyperlink r:id="rId16">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Textoindependiente"/>
        <w:spacing w:before="0" w:line="249" w:lineRule="auto"/>
        <w:ind w:right="1104"/>
      </w:pPr>
      <w:r>
        <w:t>En</w:t>
      </w:r>
      <w:r>
        <w:rPr>
          <w:spacing w:val="-1"/>
        </w:rPr>
        <w:t xml:space="preserve"> </w:t>
      </w:r>
      <w:r>
        <w:t>todo</w:t>
      </w:r>
      <w:r>
        <w:rPr>
          <w:spacing w:val="-1"/>
        </w:rPr>
        <w:t xml:space="preserve"> </w:t>
      </w:r>
      <w:r>
        <w:t>caso,</w:t>
      </w:r>
      <w:r>
        <w:rPr>
          <w:spacing w:val="-1"/>
        </w:rPr>
        <w:t xml:space="preserve"> </w:t>
      </w:r>
      <w:r>
        <w:t>los</w:t>
      </w:r>
      <w:r>
        <w:rPr>
          <w:spacing w:val="-1"/>
        </w:rPr>
        <w:t xml:space="preserve"> </w:t>
      </w:r>
      <w:r>
        <w:t>Ayuntamientos</w:t>
      </w:r>
      <w:r>
        <w:rPr>
          <w:spacing w:val="-1"/>
        </w:rPr>
        <w:t xml:space="preserve"> </w:t>
      </w:r>
      <w:r>
        <w:t>de</w:t>
      </w:r>
      <w:r>
        <w:rPr>
          <w:spacing w:val="-1"/>
        </w:rPr>
        <w:t xml:space="preserve"> </w:t>
      </w:r>
      <w:r>
        <w:t>los</w:t>
      </w:r>
      <w:r>
        <w:rPr>
          <w:spacing w:val="-1"/>
        </w:rPr>
        <w:t xml:space="preserve"> </w:t>
      </w:r>
      <w:r>
        <w:t>municipios</w:t>
      </w:r>
      <w:r>
        <w:rPr>
          <w:spacing w:val="-1"/>
        </w:rPr>
        <w:t xml:space="preserve"> </w:t>
      </w:r>
      <w:r>
        <w:t>de</w:t>
      </w:r>
      <w:r>
        <w:rPr>
          <w:spacing w:val="-1"/>
        </w:rPr>
        <w:t xml:space="preserve"> </w:t>
      </w:r>
      <w:r>
        <w:t>gran</w:t>
      </w:r>
      <w:r>
        <w:rPr>
          <w:spacing w:val="-1"/>
        </w:rPr>
        <w:t xml:space="preserve"> </w:t>
      </w:r>
      <w:r>
        <w:t>población</w:t>
      </w:r>
      <w:r>
        <w:rPr>
          <w:spacing w:val="-1"/>
        </w:rPr>
        <w:t xml:space="preserve"> </w:t>
      </w:r>
      <w:r>
        <w:t>a</w:t>
      </w:r>
      <w:r>
        <w:rPr>
          <w:spacing w:val="-1"/>
        </w:rPr>
        <w:t xml:space="preserve"> </w:t>
      </w:r>
      <w:r>
        <w:t>los</w:t>
      </w:r>
      <w:r>
        <w:rPr>
          <w:spacing w:val="-1"/>
        </w:rPr>
        <w:t xml:space="preserve"> </w:t>
      </w:r>
      <w:r>
        <w:t>que</w:t>
      </w:r>
      <w:r>
        <w:rPr>
          <w:spacing w:val="-1"/>
        </w:rPr>
        <w:t xml:space="preserve"> </w:t>
      </w:r>
      <w:r>
        <w:t>se</w:t>
      </w:r>
      <w:r>
        <w:rPr>
          <w:spacing w:val="-1"/>
        </w:rPr>
        <w:t xml:space="preserve"> </w:t>
      </w:r>
      <w:r>
        <w:t>refiere el</w:t>
      </w:r>
      <w:r>
        <w:rPr>
          <w:spacing w:val="-2"/>
        </w:rPr>
        <w:t xml:space="preserve"> </w:t>
      </w:r>
      <w:r>
        <w:t>artículo</w:t>
      </w:r>
      <w:r>
        <w:rPr>
          <w:spacing w:val="-2"/>
        </w:rPr>
        <w:t xml:space="preserve"> </w:t>
      </w:r>
      <w:r>
        <w:t>121</w:t>
      </w:r>
      <w:r>
        <w:rPr>
          <w:spacing w:val="-2"/>
        </w:rPr>
        <w:t xml:space="preserve"> </w:t>
      </w:r>
      <w:r>
        <w:t>de</w:t>
      </w:r>
      <w:r>
        <w:rPr>
          <w:spacing w:val="-2"/>
        </w:rPr>
        <w:t xml:space="preserve"> </w:t>
      </w:r>
      <w:r>
        <w:t>la</w:t>
      </w:r>
      <w:r>
        <w:rPr>
          <w:spacing w:val="-2"/>
        </w:rPr>
        <w:t xml:space="preserve"> </w:t>
      </w: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2"/>
        </w:rPr>
        <w:t xml:space="preserve"> </w:t>
      </w:r>
      <w:r>
        <w:t>abril,</w:t>
      </w:r>
      <w:r>
        <w:rPr>
          <w:spacing w:val="-2"/>
        </w:rPr>
        <w:t xml:space="preserve"> </w:t>
      </w:r>
      <w:r>
        <w:t>Reguladora</w:t>
      </w:r>
      <w:r>
        <w:rPr>
          <w:spacing w:val="-2"/>
        </w:rPr>
        <w:t xml:space="preserve"> </w:t>
      </w:r>
      <w:r>
        <w:t>de</w:t>
      </w:r>
      <w:r>
        <w:rPr>
          <w:spacing w:val="-2"/>
        </w:rPr>
        <w:t xml:space="preserve"> </w:t>
      </w:r>
      <w:r>
        <w:t>las</w:t>
      </w:r>
      <w:r>
        <w:rPr>
          <w:spacing w:val="-2"/>
        </w:rPr>
        <w:t xml:space="preserve"> </w:t>
      </w:r>
      <w:r>
        <w:t>Bases</w:t>
      </w:r>
      <w:r>
        <w:rPr>
          <w:spacing w:val="-2"/>
        </w:rPr>
        <w:t xml:space="preserve"> </w:t>
      </w:r>
      <w:r>
        <w:t>del</w:t>
      </w:r>
      <w:r>
        <w:rPr>
          <w:spacing w:val="-2"/>
        </w:rPr>
        <w:t xml:space="preserve"> </w:t>
      </w:r>
      <w:r>
        <w:t>Régimen</w:t>
      </w:r>
      <w:r>
        <w:rPr>
          <w:spacing w:val="-2"/>
        </w:rPr>
        <w:t xml:space="preserve"> </w:t>
      </w:r>
      <w:r>
        <w:t>Local,</w:t>
      </w:r>
      <w:r>
        <w:rPr>
          <w:spacing w:val="-2"/>
        </w:rPr>
        <w:t xml:space="preserve"> </w:t>
      </w:r>
      <w:r>
        <w:t>y las Diputaciones Provinciales podrán crear un órgano especializado y funcionalmente independiente que ostentará la competencia para resolver los recursos. Su constitución y funcionamiento y los requisitos que deben reunir sus miembros, su nombramiento, remoción y la duración de su mandato se regirá por lo que establezca la legislación autonómica, o, en su defecto, por lo establecido en el artículo 45 de esta Ley. El Pleno de la Corporación será</w:t>
      </w:r>
      <w:r>
        <w:rPr>
          <w:spacing w:val="40"/>
        </w:rPr>
        <w:t xml:space="preserve"> </w:t>
      </w:r>
      <w:r>
        <w:t>el</w:t>
      </w:r>
      <w:r>
        <w:rPr>
          <w:spacing w:val="-2"/>
        </w:rPr>
        <w:t xml:space="preserve"> </w:t>
      </w:r>
      <w:r>
        <w:t>competente</w:t>
      </w:r>
      <w:r>
        <w:rPr>
          <w:spacing w:val="-2"/>
        </w:rPr>
        <w:t xml:space="preserve"> </w:t>
      </w:r>
      <w:r>
        <w:t>para</w:t>
      </w:r>
      <w:r>
        <w:rPr>
          <w:spacing w:val="-2"/>
        </w:rPr>
        <w:t xml:space="preserve"> </w:t>
      </w:r>
      <w:r>
        <w:t>acordar</w:t>
      </w:r>
      <w:r>
        <w:rPr>
          <w:spacing w:val="-2"/>
        </w:rPr>
        <w:t xml:space="preserve"> </w:t>
      </w:r>
      <w:r>
        <w:t>su</w:t>
      </w:r>
      <w:r>
        <w:rPr>
          <w:spacing w:val="-2"/>
        </w:rPr>
        <w:t xml:space="preserve"> </w:t>
      </w:r>
      <w:r>
        <w:t>creación</w:t>
      </w:r>
      <w:r>
        <w:rPr>
          <w:spacing w:val="-2"/>
        </w:rPr>
        <w:t xml:space="preserve"> </w:t>
      </w:r>
      <w:r>
        <w:t>y</w:t>
      </w:r>
      <w:r>
        <w:rPr>
          <w:spacing w:val="-2"/>
        </w:rPr>
        <w:t xml:space="preserve"> </w:t>
      </w:r>
      <w:r>
        <w:t>nombrar</w:t>
      </w:r>
      <w:r>
        <w:rPr>
          <w:spacing w:val="-2"/>
        </w:rPr>
        <w:t xml:space="preserve"> </w:t>
      </w:r>
      <w:r>
        <w:t>y</w:t>
      </w:r>
      <w:r>
        <w:rPr>
          <w:spacing w:val="-2"/>
        </w:rPr>
        <w:t xml:space="preserve"> </w:t>
      </w:r>
      <w:r>
        <w:t>remover</w:t>
      </w:r>
      <w:r>
        <w:rPr>
          <w:spacing w:val="-2"/>
        </w:rPr>
        <w:t xml:space="preserve"> </w:t>
      </w:r>
      <w:r>
        <w:t>a</w:t>
      </w:r>
      <w:r>
        <w:rPr>
          <w:spacing w:val="-2"/>
        </w:rPr>
        <w:t xml:space="preserve"> </w:t>
      </w:r>
      <w:r>
        <w:t>sus</w:t>
      </w:r>
      <w:r>
        <w:rPr>
          <w:spacing w:val="-2"/>
        </w:rPr>
        <w:t xml:space="preserve"> </w:t>
      </w:r>
      <w:r>
        <w:t>miembros.</w:t>
      </w:r>
      <w:r>
        <w:rPr>
          <w:spacing w:val="-2"/>
        </w:rPr>
        <w:t xml:space="preserve"> </w:t>
      </w:r>
      <w:r>
        <w:t>El</w:t>
      </w:r>
      <w:r>
        <w:rPr>
          <w:spacing w:val="-2"/>
        </w:rPr>
        <w:t xml:space="preserve"> </w:t>
      </w:r>
      <w:r>
        <w:t>resto</w:t>
      </w:r>
      <w:r>
        <w:rPr>
          <w:spacing w:val="-2"/>
        </w:rPr>
        <w:t xml:space="preserve"> </w:t>
      </w:r>
      <w:r>
        <w:t>de</w:t>
      </w:r>
      <w:r>
        <w:rPr>
          <w:spacing w:val="-2"/>
        </w:rPr>
        <w:t xml:space="preserve"> </w:t>
      </w:r>
      <w:r>
        <w:t>los Ayuntamientos podrán atribuir la competencia para resolver el recurso al órgano creado por la Diputación de la provincia a la que pertenezcan.</w:t>
      </w:r>
    </w:p>
    <w:p w:rsidR="0092635B" w:rsidRDefault="00000000">
      <w:pPr>
        <w:pStyle w:val="Prrafodelista"/>
        <w:numPr>
          <w:ilvl w:val="0"/>
          <w:numId w:val="311"/>
        </w:numPr>
        <w:tabs>
          <w:tab w:val="left" w:pos="1697"/>
        </w:tabs>
        <w:spacing w:before="8" w:line="249" w:lineRule="auto"/>
        <w:ind w:right="1104" w:firstLine="340"/>
        <w:jc w:val="both"/>
        <w:rPr>
          <w:sz w:val="20"/>
        </w:rPr>
      </w:pPr>
      <w:r>
        <w:rPr>
          <w:sz w:val="20"/>
        </w:rPr>
        <w:t>En lo relativo a la contratación en el ámbito de los Territorios Históricos Forales, la competencia para resolver los recursos podrá corresponder a los órganos y Tribunales administrativos forales de Recursos Contractuales.</w:t>
      </w:r>
    </w:p>
    <w:p w:rsidR="0092635B" w:rsidRDefault="00000000">
      <w:pPr>
        <w:spacing w:before="229" w:line="249" w:lineRule="auto"/>
        <w:ind w:left="1106" w:right="1120"/>
        <w:rPr>
          <w:rFonts w:ascii="Arial" w:hAnsi="Arial"/>
          <w:i/>
          <w:sz w:val="20"/>
        </w:rPr>
      </w:pPr>
      <w:bookmarkStart w:id="79" w:name="Artículo_47._Recursos_contra_actos_de_po"/>
      <w:bookmarkEnd w:id="79"/>
      <w:r>
        <w:rPr>
          <w:rFonts w:ascii="Arial" w:hAnsi="Arial"/>
          <w:b/>
          <w:sz w:val="20"/>
        </w:rPr>
        <w:t>Artículo 47.</w:t>
      </w:r>
      <w:r>
        <w:rPr>
          <w:rFonts w:ascii="Arial" w:hAnsi="Arial"/>
          <w:b/>
          <w:spacing w:val="40"/>
          <w:sz w:val="20"/>
        </w:rPr>
        <w:t xml:space="preserve"> </w:t>
      </w:r>
      <w:r>
        <w:rPr>
          <w:rFonts w:ascii="Arial" w:hAnsi="Arial"/>
          <w:i/>
          <w:sz w:val="20"/>
        </w:rPr>
        <w:t>Recursos contra actos de poderes adjudicadores que no sean Administración Pública y en relación con contratos subvencionados.</w:t>
      </w:r>
    </w:p>
    <w:p w:rsidR="0092635B" w:rsidRDefault="00000000">
      <w:pPr>
        <w:pStyle w:val="Prrafodelista"/>
        <w:numPr>
          <w:ilvl w:val="0"/>
          <w:numId w:val="310"/>
        </w:numPr>
        <w:tabs>
          <w:tab w:val="left" w:pos="1769"/>
        </w:tabs>
        <w:spacing w:before="115" w:line="249" w:lineRule="auto"/>
        <w:ind w:right="1104" w:firstLine="340"/>
        <w:jc w:val="both"/>
        <w:rPr>
          <w:sz w:val="20"/>
        </w:rPr>
      </w:pPr>
      <w:r>
        <w:rPr>
          <w:sz w:val="20"/>
        </w:rPr>
        <w:t>Cuando se trate de los recursos interpuestos contra actos de los poderes adjudicadores que no tengan la consideración de Administraciones Públicas, la competencia estará atribuida al órgano independiente que la ostente respecto de la Administración a que esté vinculada la entidad autora del acto recurrido.</w:t>
      </w:r>
    </w:p>
    <w:p w:rsidR="0092635B" w:rsidRDefault="00000000">
      <w:pPr>
        <w:pStyle w:val="Textoindependiente"/>
        <w:spacing w:before="4" w:line="249" w:lineRule="auto"/>
        <w:ind w:right="1104"/>
      </w:pPr>
      <w:r>
        <w:t>Si la entidad contratante estuviera vinculada con más de una Administración, el órgano competente para resolver el recurso será aquel que tenga atribuida la competencia respecto de la que ostente el control o participación mayoritaria y, en caso de que todas o varias de ellas, ostenten una participación igual, ante el órgano que elija el recurrente de entre los que resulten competentes con arreglo a las normas de este apartado.</w:t>
      </w:r>
    </w:p>
    <w:p w:rsidR="0092635B" w:rsidRDefault="00000000">
      <w:pPr>
        <w:pStyle w:val="Prrafodelista"/>
        <w:numPr>
          <w:ilvl w:val="0"/>
          <w:numId w:val="310"/>
        </w:numPr>
        <w:tabs>
          <w:tab w:val="left" w:pos="1795"/>
        </w:tabs>
        <w:spacing w:before="4" w:line="249" w:lineRule="auto"/>
        <w:ind w:firstLine="340"/>
        <w:jc w:val="both"/>
        <w:rPr>
          <w:sz w:val="20"/>
        </w:rPr>
      </w:pPr>
      <w:r>
        <w:rPr>
          <w:sz w:val="20"/>
        </w:rPr>
        <w:t>En los contratos subvencionados la competencia corresponderá al órgano independiente que ejerza sus funciones respecto de la Administración a que esté adscrito el ente u organismo que hubiese otorgado la subvención, o al que esté adscrita la entidad que la hubiese concedido, cuando esta no tenga el carácter de Administración Pública. En el supuesto de concurrencia de subvenciones por parte de distintos sujetos del sector público, la competencia se determinará atendiendo a la subvención de mayor cuantía y, a igualdad</w:t>
      </w:r>
      <w:r>
        <w:rPr>
          <w:spacing w:val="40"/>
          <w:sz w:val="20"/>
        </w:rPr>
        <w:t xml:space="preserve"> </w:t>
      </w:r>
      <w:r>
        <w:rPr>
          <w:sz w:val="20"/>
        </w:rPr>
        <w:t>de importe, al órgano ante el que el recurrente decida interponer el recurso de entre los que resulten competentes con arreglo a las normas de este apartado.</w:t>
      </w:r>
    </w:p>
    <w:p w:rsidR="0092635B" w:rsidRDefault="0092635B">
      <w:pPr>
        <w:pStyle w:val="Textoindependiente"/>
        <w:spacing w:before="3"/>
        <w:ind w:left="0" w:firstLine="0"/>
        <w:jc w:val="left"/>
      </w:pPr>
    </w:p>
    <w:p w:rsidR="0092635B" w:rsidRDefault="00000000">
      <w:pPr>
        <w:ind w:left="1106"/>
        <w:rPr>
          <w:rFonts w:ascii="Arial" w:hAnsi="Arial"/>
          <w:i/>
          <w:sz w:val="20"/>
        </w:rPr>
      </w:pPr>
      <w:bookmarkStart w:id="80" w:name="Artículo_48._Legitimación."/>
      <w:bookmarkEnd w:id="80"/>
      <w:r>
        <w:rPr>
          <w:rFonts w:ascii="Arial" w:hAnsi="Arial"/>
          <w:b/>
          <w:sz w:val="20"/>
        </w:rPr>
        <w:t>Artículo</w:t>
      </w:r>
      <w:r>
        <w:rPr>
          <w:rFonts w:ascii="Arial" w:hAnsi="Arial"/>
          <w:b/>
          <w:spacing w:val="-2"/>
          <w:sz w:val="20"/>
        </w:rPr>
        <w:t xml:space="preserve"> </w:t>
      </w:r>
      <w:r>
        <w:rPr>
          <w:rFonts w:ascii="Arial" w:hAnsi="Arial"/>
          <w:b/>
          <w:sz w:val="20"/>
        </w:rPr>
        <w:t>48.</w:t>
      </w:r>
      <w:r>
        <w:rPr>
          <w:rFonts w:ascii="Arial" w:hAnsi="Arial"/>
          <w:b/>
          <w:spacing w:val="54"/>
          <w:sz w:val="20"/>
        </w:rPr>
        <w:t xml:space="preserve"> </w:t>
      </w:r>
      <w:r>
        <w:rPr>
          <w:rFonts w:ascii="Arial" w:hAnsi="Arial"/>
          <w:i/>
          <w:spacing w:val="-2"/>
          <w:sz w:val="20"/>
        </w:rPr>
        <w:t>Legitimación.</w:t>
      </w:r>
    </w:p>
    <w:p w:rsidR="0092635B" w:rsidRDefault="00000000">
      <w:pPr>
        <w:pStyle w:val="Textoindependiente"/>
        <w:spacing w:before="124" w:line="249" w:lineRule="auto"/>
        <w:ind w:right="1103"/>
      </w:pPr>
      <w:r>
        <w:t>Podrá interponer el recurso especial en materia de contratación cualquier persona física</w:t>
      </w:r>
      <w:r>
        <w:rPr>
          <w:spacing w:val="40"/>
        </w:rPr>
        <w:t xml:space="preserve"> </w:t>
      </w:r>
      <w:r>
        <w:t>o jurídica cuyos derechos o intereses legítimos, individuales o colectivos, se hayan visto perjudicados o puedan resultar afectados, de manera directa o indirecta, por las decisiones objeto del recurso.</w:t>
      </w:r>
    </w:p>
    <w:p w:rsidR="0092635B" w:rsidRDefault="00000000">
      <w:pPr>
        <w:pStyle w:val="Textoindependiente"/>
        <w:spacing w:before="3" w:line="249" w:lineRule="auto"/>
        <w:ind w:right="1103"/>
      </w:pPr>
      <w:r>
        <w:t>Estarán también legitimadas para interponer este recurso, contra los actos susceptibles de ser recurridos, las organizaciones sindicales cuando de las actuaciones o decisiones recurribles pudiera deducirse fundadamente que estas implican que en el proceso de ejecución del contrato se incumplan por el empresario las obligaciones sociales o laborales respecto de los trabajadores que participen en la realización de la prestación. En todo caso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 xml:space="preserve">se entenderá legitimada la organización empresarial sectorial representativa de los intereses </w:t>
      </w:r>
      <w:r>
        <w:rPr>
          <w:spacing w:val="-2"/>
        </w:rPr>
        <w:t>afectados.</w:t>
      </w:r>
    </w:p>
    <w:p w:rsidR="0092635B" w:rsidRDefault="00000000">
      <w:pPr>
        <w:spacing w:before="228"/>
        <w:ind w:left="1106"/>
        <w:rPr>
          <w:rFonts w:ascii="Arial" w:hAnsi="Arial"/>
          <w:i/>
          <w:sz w:val="20"/>
        </w:rPr>
      </w:pPr>
      <w:bookmarkStart w:id="81" w:name="Artículo_49._Solicitud_de_medidas_cautel"/>
      <w:bookmarkEnd w:id="81"/>
      <w:r>
        <w:rPr>
          <w:rFonts w:ascii="Arial" w:hAnsi="Arial"/>
          <w:b/>
          <w:sz w:val="20"/>
        </w:rPr>
        <w:t>Artículo</w:t>
      </w:r>
      <w:r>
        <w:rPr>
          <w:rFonts w:ascii="Arial" w:hAnsi="Arial"/>
          <w:b/>
          <w:spacing w:val="-2"/>
          <w:sz w:val="20"/>
        </w:rPr>
        <w:t xml:space="preserve"> </w:t>
      </w:r>
      <w:r>
        <w:rPr>
          <w:rFonts w:ascii="Arial" w:hAnsi="Arial"/>
          <w:b/>
          <w:sz w:val="20"/>
        </w:rPr>
        <w:t>49.</w:t>
      </w:r>
      <w:r>
        <w:rPr>
          <w:rFonts w:ascii="Arial" w:hAnsi="Arial"/>
          <w:b/>
          <w:spacing w:val="51"/>
          <w:sz w:val="20"/>
        </w:rPr>
        <w:t xml:space="preserve"> </w:t>
      </w:r>
      <w:r>
        <w:rPr>
          <w:rFonts w:ascii="Arial" w:hAnsi="Arial"/>
          <w:i/>
          <w:sz w:val="20"/>
        </w:rPr>
        <w:t>Solicitud</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medidas</w:t>
      </w:r>
      <w:r>
        <w:rPr>
          <w:rFonts w:ascii="Arial" w:hAnsi="Arial"/>
          <w:i/>
          <w:spacing w:val="-1"/>
          <w:sz w:val="20"/>
        </w:rPr>
        <w:t xml:space="preserve"> </w:t>
      </w:r>
      <w:r>
        <w:rPr>
          <w:rFonts w:ascii="Arial" w:hAnsi="Arial"/>
          <w:i/>
          <w:spacing w:val="-2"/>
          <w:sz w:val="20"/>
        </w:rPr>
        <w:t>cautelares.</w:t>
      </w:r>
    </w:p>
    <w:p w:rsidR="0092635B" w:rsidRDefault="00000000">
      <w:pPr>
        <w:pStyle w:val="Prrafodelista"/>
        <w:numPr>
          <w:ilvl w:val="0"/>
          <w:numId w:val="309"/>
        </w:numPr>
        <w:tabs>
          <w:tab w:val="left" w:pos="1703"/>
        </w:tabs>
        <w:spacing w:before="123" w:line="249" w:lineRule="auto"/>
        <w:ind w:firstLine="340"/>
        <w:jc w:val="both"/>
        <w:rPr>
          <w:sz w:val="20"/>
        </w:rPr>
      </w:pPr>
      <w:r>
        <w:rPr>
          <w:sz w:val="20"/>
        </w:rPr>
        <w:t>Antes de interponer el recurso especial, las personas legitimadas para ello podrán solicitar ante el órgano competente para resolver el recurso la adopción de medidas cautelares. Tales medidas irán dirigidas a corregir infracciones de procedimiento o impedir que se causen otros perjuicios a los intereses afectados, y podrán estar incluidas, entre</w:t>
      </w:r>
      <w:r>
        <w:rPr>
          <w:spacing w:val="80"/>
          <w:sz w:val="20"/>
        </w:rPr>
        <w:t xml:space="preserve"> </w:t>
      </w:r>
      <w:r>
        <w:rPr>
          <w:sz w:val="20"/>
        </w:rPr>
        <w:t>ellas, las destinadas a suspender o a hacer que se suspenda el procedimiento de adjudicación del contrato en cuestión o la ejecución de cualquier decisión adoptada por los órganos de contratación.</w:t>
      </w:r>
    </w:p>
    <w:p w:rsidR="0092635B" w:rsidRDefault="00000000">
      <w:pPr>
        <w:pStyle w:val="Prrafodelista"/>
        <w:numPr>
          <w:ilvl w:val="0"/>
          <w:numId w:val="309"/>
        </w:numPr>
        <w:tabs>
          <w:tab w:val="left" w:pos="1713"/>
        </w:tabs>
        <w:spacing w:before="6" w:line="249" w:lineRule="auto"/>
        <w:ind w:right="1105" w:firstLine="340"/>
        <w:jc w:val="both"/>
        <w:rPr>
          <w:sz w:val="20"/>
        </w:rPr>
      </w:pPr>
      <w:r>
        <w:rPr>
          <w:sz w:val="20"/>
        </w:rPr>
        <w:t>El órgano competente para resolver el recurso deberá adoptar decisión en forma motivada sobre las medidas cautelares dentro de los cinco días hábiles siguientes a la presentación del escrito en que se soliciten.</w:t>
      </w:r>
    </w:p>
    <w:p w:rsidR="0092635B" w:rsidRDefault="00000000">
      <w:pPr>
        <w:pStyle w:val="Textoindependiente"/>
        <w:spacing w:before="3" w:line="249" w:lineRule="auto"/>
        <w:ind w:right="1104"/>
      </w:pPr>
      <w:r>
        <w:t>A estos efectos, el órgano que deba resolver, en el mismo día en que se reciba la</w:t>
      </w:r>
      <w:r>
        <w:rPr>
          <w:spacing w:val="40"/>
        </w:rPr>
        <w:t xml:space="preserve"> </w:t>
      </w:r>
      <w:r>
        <w:t xml:space="preserve">petición de la medida cautelar, comunicará la misma al órgano de contratación, que dispondrá de un plazo de dos días hábiles, para presentar las alegaciones que considere oportunas referidas a la adopción de las medidas solicitadas o a las propuestas por el propio órgano decisorio. Si transcurrido este plazo no se formulasen alegaciones se continuará el </w:t>
      </w:r>
      <w:r>
        <w:rPr>
          <w:spacing w:val="-2"/>
        </w:rPr>
        <w:t>procedimiento.</w:t>
      </w:r>
    </w:p>
    <w:p w:rsidR="0092635B" w:rsidRDefault="00000000">
      <w:pPr>
        <w:pStyle w:val="Textoindependiente"/>
        <w:spacing w:before="5" w:line="249" w:lineRule="auto"/>
        <w:ind w:right="1105"/>
      </w:pPr>
      <w:r>
        <w:t>Si antes de dictar resolución se hubiese interpuesto el recurso, el órgano competente para resolverlo acumulará a este la solicitud de medidas cautelares.</w:t>
      </w:r>
    </w:p>
    <w:p w:rsidR="0092635B" w:rsidRDefault="00000000">
      <w:pPr>
        <w:pStyle w:val="Textoindependiente"/>
        <w:spacing w:before="1" w:line="249" w:lineRule="auto"/>
        <w:ind w:right="1104"/>
      </w:pPr>
      <w:r>
        <w:t xml:space="preserve">Contra las resoluciones dictadas en este procedimiento no cabrá recurso alguno, sin perjuicio de los que procedan contra las resoluciones que se dicten en el procedimiento </w:t>
      </w:r>
      <w:r>
        <w:rPr>
          <w:spacing w:val="-2"/>
        </w:rPr>
        <w:t>principal.</w:t>
      </w:r>
    </w:p>
    <w:p w:rsidR="0092635B" w:rsidRDefault="00000000">
      <w:pPr>
        <w:pStyle w:val="Prrafodelista"/>
        <w:numPr>
          <w:ilvl w:val="0"/>
          <w:numId w:val="309"/>
        </w:numPr>
        <w:tabs>
          <w:tab w:val="left" w:pos="1709"/>
        </w:tabs>
        <w:spacing w:before="3" w:line="249" w:lineRule="auto"/>
        <w:ind w:right="1104" w:firstLine="340"/>
        <w:jc w:val="both"/>
        <w:rPr>
          <w:sz w:val="20"/>
        </w:rPr>
      </w:pPr>
      <w:r>
        <w:rPr>
          <w:sz w:val="20"/>
        </w:rPr>
        <w:t>Cuando de la adopción de las medidas cautelares puedan derivarse perjuicios de cualquier naturaleza, la resolución podrá imponer la constitución de caución o garantía suficiente para responder de ellos, sin que aquellas produzcan efectos hasta que dicha caución o garantía sea constituida.</w:t>
      </w:r>
    </w:p>
    <w:p w:rsidR="0092635B" w:rsidRDefault="00000000">
      <w:pPr>
        <w:pStyle w:val="Textoindependiente"/>
        <w:spacing w:before="3" w:line="249" w:lineRule="auto"/>
        <w:ind w:right="1104"/>
      </w:pPr>
      <w:r>
        <w:t>Reglamentariamente se determinará la cuantía y forma de la garantía a constituir así como los requisitos para su devolución que en todo caso deberán atender al principio de proporcionalidad y tener en cuenta el sujeto y el objeto afectados.</w:t>
      </w:r>
    </w:p>
    <w:p w:rsidR="0092635B" w:rsidRDefault="00000000">
      <w:pPr>
        <w:pStyle w:val="Prrafodelista"/>
        <w:numPr>
          <w:ilvl w:val="0"/>
          <w:numId w:val="309"/>
        </w:numPr>
        <w:tabs>
          <w:tab w:val="left" w:pos="1724"/>
        </w:tabs>
        <w:spacing w:line="249" w:lineRule="auto"/>
        <w:ind w:right="1104" w:firstLine="340"/>
        <w:jc w:val="both"/>
        <w:rPr>
          <w:sz w:val="20"/>
        </w:rPr>
      </w:pPr>
      <w:r>
        <w:rPr>
          <w:sz w:val="20"/>
        </w:rPr>
        <w:t>Salvo que se acuerde lo contrario por el órgano competente, la suspensión del procedimiento que pueda acordarse cautelarmente no afectará al plazo concedido para la presentación de ofertas o proposiciones por los interesados.</w:t>
      </w:r>
    </w:p>
    <w:p w:rsidR="0092635B" w:rsidRDefault="00000000">
      <w:pPr>
        <w:pStyle w:val="Prrafodelista"/>
        <w:numPr>
          <w:ilvl w:val="0"/>
          <w:numId w:val="309"/>
        </w:numPr>
        <w:tabs>
          <w:tab w:val="left" w:pos="1672"/>
        </w:tabs>
        <w:spacing w:before="3" w:line="249" w:lineRule="auto"/>
        <w:ind w:right="1104" w:firstLine="340"/>
        <w:jc w:val="both"/>
        <w:rPr>
          <w:sz w:val="20"/>
        </w:rPr>
      </w:pPr>
      <w:r>
        <w:rPr>
          <w:sz w:val="20"/>
        </w:rPr>
        <w:t>Las medidas cautelares que se soliciten y acuerden con anterioridad a la presentación del recurso especial en materia de contratación decaerán una vez transcurra el plazo establecido para su interposición sin que el interesado lo haya deducido.</w:t>
      </w:r>
    </w:p>
    <w:p w:rsidR="0092635B" w:rsidRDefault="00000000">
      <w:pPr>
        <w:spacing w:before="229"/>
        <w:ind w:left="1106"/>
        <w:rPr>
          <w:rFonts w:ascii="Arial" w:hAnsi="Arial"/>
          <w:i/>
          <w:sz w:val="20"/>
        </w:rPr>
      </w:pPr>
      <w:bookmarkStart w:id="82" w:name="Artículo_50._Iniciación_del_procedimient"/>
      <w:bookmarkEnd w:id="82"/>
      <w:r>
        <w:rPr>
          <w:rFonts w:ascii="Arial" w:hAnsi="Arial"/>
          <w:b/>
          <w:sz w:val="20"/>
        </w:rPr>
        <w:t>Artículo</w:t>
      </w:r>
      <w:r>
        <w:rPr>
          <w:rFonts w:ascii="Arial" w:hAnsi="Arial"/>
          <w:b/>
          <w:spacing w:val="-4"/>
          <w:sz w:val="20"/>
        </w:rPr>
        <w:t xml:space="preserve"> </w:t>
      </w:r>
      <w:r>
        <w:rPr>
          <w:rFonts w:ascii="Arial" w:hAnsi="Arial"/>
          <w:b/>
          <w:sz w:val="20"/>
        </w:rPr>
        <w:t>50.</w:t>
      </w:r>
      <w:r>
        <w:rPr>
          <w:rFonts w:ascii="Arial" w:hAnsi="Arial"/>
          <w:b/>
          <w:spacing w:val="48"/>
          <w:sz w:val="20"/>
        </w:rPr>
        <w:t xml:space="preserve"> </w:t>
      </w:r>
      <w:r>
        <w:rPr>
          <w:rFonts w:ascii="Arial" w:hAnsi="Arial"/>
          <w:i/>
          <w:sz w:val="20"/>
        </w:rPr>
        <w:t>Iniciación</w:t>
      </w:r>
      <w:r>
        <w:rPr>
          <w:rFonts w:ascii="Arial" w:hAnsi="Arial"/>
          <w:i/>
          <w:spacing w:val="-4"/>
          <w:sz w:val="20"/>
        </w:rPr>
        <w:t xml:space="preserve"> </w:t>
      </w:r>
      <w:r>
        <w:rPr>
          <w:rFonts w:ascii="Arial" w:hAnsi="Arial"/>
          <w:i/>
          <w:sz w:val="20"/>
        </w:rPr>
        <w:t>del</w:t>
      </w:r>
      <w:r>
        <w:rPr>
          <w:rFonts w:ascii="Arial" w:hAnsi="Arial"/>
          <w:i/>
          <w:spacing w:val="-3"/>
          <w:sz w:val="20"/>
        </w:rPr>
        <w:t xml:space="preserve"> </w:t>
      </w:r>
      <w:r>
        <w:rPr>
          <w:rFonts w:ascii="Arial" w:hAnsi="Arial"/>
          <w:i/>
          <w:sz w:val="20"/>
        </w:rPr>
        <w:t>procedimiento</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pacing w:val="-2"/>
          <w:sz w:val="20"/>
        </w:rPr>
        <w:t>plazo.</w:t>
      </w:r>
    </w:p>
    <w:p w:rsidR="0092635B" w:rsidRDefault="00000000">
      <w:pPr>
        <w:pStyle w:val="Prrafodelista"/>
        <w:numPr>
          <w:ilvl w:val="0"/>
          <w:numId w:val="308"/>
        </w:numPr>
        <w:tabs>
          <w:tab w:val="left" w:pos="1674"/>
        </w:tabs>
        <w:spacing w:before="124" w:line="249" w:lineRule="auto"/>
        <w:ind w:right="1104" w:firstLine="340"/>
        <w:jc w:val="both"/>
        <w:rPr>
          <w:sz w:val="20"/>
        </w:rPr>
      </w:pPr>
      <w:r>
        <w:rPr>
          <w:sz w:val="20"/>
        </w:rPr>
        <w:t>El procedimiento de recurso se iniciará mediante escrito que deberá presentarse en el plazo de quince días hábiles. Dicho plazo se computará:</w:t>
      </w:r>
    </w:p>
    <w:p w:rsidR="0092635B" w:rsidRDefault="00000000">
      <w:pPr>
        <w:pStyle w:val="Prrafodelista"/>
        <w:numPr>
          <w:ilvl w:val="1"/>
          <w:numId w:val="308"/>
        </w:numPr>
        <w:tabs>
          <w:tab w:val="left" w:pos="1682"/>
        </w:tabs>
        <w:spacing w:before="121" w:line="249" w:lineRule="auto"/>
        <w:ind w:right="1106" w:firstLine="340"/>
        <w:jc w:val="both"/>
        <w:rPr>
          <w:sz w:val="20"/>
        </w:rPr>
      </w:pPr>
      <w:r>
        <w:rPr>
          <w:sz w:val="20"/>
        </w:rPr>
        <w:t>Cuando se interponga contra el anuncio de licitación, el plazo comenzará a contarse a partir del día siguiente al de su publicación en el perfil de contratante.</w:t>
      </w:r>
    </w:p>
    <w:p w:rsidR="0092635B" w:rsidRDefault="00000000">
      <w:pPr>
        <w:pStyle w:val="Prrafodelista"/>
        <w:numPr>
          <w:ilvl w:val="1"/>
          <w:numId w:val="308"/>
        </w:numPr>
        <w:tabs>
          <w:tab w:val="left" w:pos="1752"/>
        </w:tabs>
        <w:spacing w:line="249" w:lineRule="auto"/>
        <w:ind w:right="1104" w:firstLine="340"/>
        <w:jc w:val="both"/>
        <w:rPr>
          <w:sz w:val="20"/>
        </w:rPr>
      </w:pPr>
      <w:r>
        <w:rPr>
          <w:sz w:val="20"/>
        </w:rPr>
        <w:t>Cuando el recurso se interponga contra el contenido de los pliegos y demás documentos contractuales, el cómputo se iniciará a partir del día siguiente a aquel en que se haya publicado en el perfil de contratante el anuncio de licitación, siempre que en este se haya indicado la forma en que los interesados pueden acceder a ellos. Cuando no se hiciera esta indicación el plazo comenzará a contar a partir del día siguiente a aquel en que se le hayan entregado al interesado los mismos o este haya podido acceder a su contenido a través del perfil de contratante.</w:t>
      </w:r>
    </w:p>
    <w:p w:rsidR="0092635B" w:rsidRDefault="00000000">
      <w:pPr>
        <w:pStyle w:val="Textoindependiente"/>
        <w:spacing w:before="6" w:line="249" w:lineRule="auto"/>
        <w:ind w:right="1106"/>
      </w:pPr>
      <w:r>
        <w:t>En el caso del procedimiento negociado sin publicidad el cómputo del plazo comenzará desde el día siguiente a la remisión de la invitación a los candidatos seleccionados.</w:t>
      </w:r>
    </w:p>
    <w:p w:rsidR="0092635B" w:rsidRDefault="00000000">
      <w:pPr>
        <w:pStyle w:val="Textoindependiente"/>
        <w:spacing w:before="1" w:line="249" w:lineRule="auto"/>
        <w:ind w:right="1104"/>
      </w:pPr>
      <w:r>
        <w:t>En los supuestos en que, de conformidad con lo establecido en el artículo 138.2 de la presente Ley, los pliegos no pudieran ser puestos a disposición por medios electrónicos, el plazo se computará a partir del día siguiente en que se hubieran entregado al recurrente.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Con carácter general no se admitirá el recurso contra los pliegos y documentos contractuales que hayan de regir una contratación si el recurrente, con carácter previo a su interposición, hubiera presentado oferta o solicitud de participación en la licitación correspondiente, sin perjuicio de lo previsto para los supuestos de nulidad de pleno derecho.</w:t>
      </w:r>
    </w:p>
    <w:p w:rsidR="0092635B" w:rsidRDefault="00000000">
      <w:pPr>
        <w:pStyle w:val="Prrafodelista"/>
        <w:numPr>
          <w:ilvl w:val="1"/>
          <w:numId w:val="308"/>
        </w:numPr>
        <w:tabs>
          <w:tab w:val="left" w:pos="1716"/>
        </w:tabs>
        <w:spacing w:before="3" w:line="249" w:lineRule="auto"/>
        <w:ind w:firstLine="340"/>
        <w:jc w:val="both"/>
        <w:rPr>
          <w:sz w:val="20"/>
        </w:rPr>
      </w:pPr>
      <w:r>
        <w:rPr>
          <w:sz w:val="20"/>
        </w:rPr>
        <w:t>Cuando se interponga contra actos de trámite adoptados en el procedimiento de adjudicación o contra un acto resultante de la aplicación del procedimiento negociado sin publicidad, el cómputo se iniciará a partir del día siguiente a aquel en que se haya tenido conocimiento de la posible infracción.</w:t>
      </w:r>
    </w:p>
    <w:p w:rsidR="0092635B" w:rsidRDefault="00000000">
      <w:pPr>
        <w:pStyle w:val="Prrafodelista"/>
        <w:numPr>
          <w:ilvl w:val="1"/>
          <w:numId w:val="308"/>
        </w:numPr>
        <w:tabs>
          <w:tab w:val="left" w:pos="1716"/>
        </w:tabs>
        <w:spacing w:before="3" w:line="249" w:lineRule="auto"/>
        <w:ind w:right="1105" w:firstLine="340"/>
        <w:jc w:val="both"/>
        <w:rPr>
          <w:sz w:val="20"/>
        </w:rPr>
      </w:pPr>
      <w:r>
        <w:rPr>
          <w:sz w:val="20"/>
        </w:rPr>
        <w:t>Cuando se interponga contra la adjudicación del contrato el cómputo se iniciará a partir del día siguiente a aquel en que se haya notificado esta de conformidad con lo dispuesto en la disposición adicional decimoquinta a los candidatos o licitadores que hubieran sido admitidos en el procedimiento.</w:t>
      </w:r>
    </w:p>
    <w:p w:rsidR="0092635B" w:rsidRDefault="00000000">
      <w:pPr>
        <w:pStyle w:val="Prrafodelista"/>
        <w:numPr>
          <w:ilvl w:val="1"/>
          <w:numId w:val="308"/>
        </w:numPr>
        <w:tabs>
          <w:tab w:val="left" w:pos="1706"/>
        </w:tabs>
        <w:spacing w:before="3" w:line="249" w:lineRule="auto"/>
        <w:ind w:firstLine="340"/>
        <w:jc w:val="both"/>
        <w:rPr>
          <w:sz w:val="20"/>
        </w:rPr>
      </w:pPr>
      <w:r>
        <w:rPr>
          <w:sz w:val="20"/>
        </w:rPr>
        <w:t>Cuando el recurso se interponga en relación con alguna modificación basada en el incumplimiento de lo establecido en los artículos 204 y 205 de la presente Ley, por entender que la modificación debió ser objeto de una nueva adjudicación, desde el día siguiente a aquel en que se haya publicado en el perfil de contratante.</w:t>
      </w:r>
    </w:p>
    <w:p w:rsidR="0092635B" w:rsidRDefault="00000000">
      <w:pPr>
        <w:pStyle w:val="Prrafodelista"/>
        <w:numPr>
          <w:ilvl w:val="1"/>
          <w:numId w:val="308"/>
        </w:numPr>
        <w:tabs>
          <w:tab w:val="left" w:pos="1634"/>
        </w:tabs>
        <w:spacing w:before="4" w:line="249" w:lineRule="auto"/>
        <w:ind w:right="1105" w:firstLine="340"/>
        <w:jc w:val="both"/>
        <w:rPr>
          <w:sz w:val="20"/>
        </w:rPr>
      </w:pPr>
      <w:r>
        <w:rPr>
          <w:sz w:val="20"/>
        </w:rPr>
        <w:t>Cuando el recurso se interponga contra un encargo a medio propio por no cumplir los requisitos</w:t>
      </w:r>
      <w:r>
        <w:rPr>
          <w:spacing w:val="-1"/>
          <w:sz w:val="20"/>
        </w:rPr>
        <w:t xml:space="preserve"> </w:t>
      </w:r>
      <w:r>
        <w:rPr>
          <w:sz w:val="20"/>
        </w:rPr>
        <w:t>establecidos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32</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presente</w:t>
      </w:r>
      <w:r>
        <w:rPr>
          <w:spacing w:val="-1"/>
          <w:sz w:val="20"/>
        </w:rPr>
        <w:t xml:space="preserve"> </w:t>
      </w:r>
      <w:r>
        <w:rPr>
          <w:sz w:val="20"/>
        </w:rPr>
        <w:t>Ley,</w:t>
      </w:r>
      <w:r>
        <w:rPr>
          <w:spacing w:val="-1"/>
          <w:sz w:val="20"/>
        </w:rPr>
        <w:t xml:space="preserve"> </w:t>
      </w:r>
      <w:r>
        <w:rPr>
          <w:sz w:val="20"/>
        </w:rPr>
        <w:t>desde</w:t>
      </w:r>
      <w:r>
        <w:rPr>
          <w:spacing w:val="-1"/>
          <w:sz w:val="20"/>
        </w:rPr>
        <w:t xml:space="preserve"> </w:t>
      </w:r>
      <w:r>
        <w:rPr>
          <w:sz w:val="20"/>
        </w:rPr>
        <w:t>el</w:t>
      </w:r>
      <w:r>
        <w:rPr>
          <w:spacing w:val="-1"/>
          <w:sz w:val="20"/>
        </w:rPr>
        <w:t xml:space="preserve"> </w:t>
      </w:r>
      <w:r>
        <w:rPr>
          <w:sz w:val="20"/>
        </w:rPr>
        <w:t>día</w:t>
      </w:r>
      <w:r>
        <w:rPr>
          <w:spacing w:val="-1"/>
          <w:sz w:val="20"/>
        </w:rPr>
        <w:t xml:space="preserve"> </w:t>
      </w:r>
      <w:r>
        <w:rPr>
          <w:sz w:val="20"/>
        </w:rPr>
        <w:t>siguiente</w:t>
      </w:r>
      <w:r>
        <w:rPr>
          <w:spacing w:val="-1"/>
          <w:sz w:val="20"/>
        </w:rPr>
        <w:t xml:space="preserve"> </w:t>
      </w:r>
      <w:r>
        <w:rPr>
          <w:sz w:val="20"/>
        </w:rPr>
        <w:t>a</w:t>
      </w:r>
      <w:r>
        <w:rPr>
          <w:spacing w:val="-1"/>
          <w:sz w:val="20"/>
        </w:rPr>
        <w:t xml:space="preserve"> </w:t>
      </w:r>
      <w:r>
        <w:rPr>
          <w:sz w:val="20"/>
        </w:rPr>
        <w:t>aquel</w:t>
      </w:r>
      <w:r>
        <w:rPr>
          <w:spacing w:val="-1"/>
          <w:sz w:val="20"/>
        </w:rPr>
        <w:t xml:space="preserve"> </w:t>
      </w:r>
      <w:r>
        <w:rPr>
          <w:sz w:val="20"/>
        </w:rPr>
        <w:t>en que se haya publicado en el perfil de contratante.</w:t>
      </w:r>
    </w:p>
    <w:p w:rsidR="0092635B" w:rsidRDefault="00000000">
      <w:pPr>
        <w:pStyle w:val="Prrafodelista"/>
        <w:numPr>
          <w:ilvl w:val="1"/>
          <w:numId w:val="308"/>
        </w:numPr>
        <w:tabs>
          <w:tab w:val="left" w:pos="1681"/>
        </w:tabs>
        <w:spacing w:line="249" w:lineRule="auto"/>
        <w:ind w:right="1104" w:firstLine="340"/>
        <w:jc w:val="both"/>
        <w:rPr>
          <w:sz w:val="20"/>
        </w:rPr>
      </w:pPr>
      <w:r>
        <w:rPr>
          <w:sz w:val="20"/>
        </w:rPr>
        <w:t xml:space="preserve">En todos los demás casos, el plazo comenzará a contar desde el día siguiente al de la notificación realizada de conformidad con lo dispuesto en la Disposición adicional </w:t>
      </w:r>
      <w:r>
        <w:rPr>
          <w:spacing w:val="-2"/>
          <w:sz w:val="20"/>
        </w:rPr>
        <w:t>decimoquinta.</w:t>
      </w:r>
    </w:p>
    <w:p w:rsidR="0092635B" w:rsidRDefault="00000000">
      <w:pPr>
        <w:pStyle w:val="Prrafodelista"/>
        <w:numPr>
          <w:ilvl w:val="0"/>
          <w:numId w:val="308"/>
        </w:numPr>
        <w:tabs>
          <w:tab w:val="left" w:pos="1678"/>
        </w:tabs>
        <w:spacing w:before="123" w:line="249" w:lineRule="auto"/>
        <w:ind w:right="1104" w:firstLine="340"/>
        <w:jc w:val="both"/>
        <w:rPr>
          <w:sz w:val="20"/>
        </w:rPr>
      </w:pPr>
      <w:r>
        <w:rPr>
          <w:sz w:val="20"/>
        </w:rPr>
        <w:t>No obstante lo dispuesto en el párrafo anterior, cuando el recurso se funde en alguna de las causas de nulidad previstas en el apartado 2, letras c), d), e) o f) del artículo 39, el plazo de interposición será el siguiente:</w:t>
      </w:r>
    </w:p>
    <w:p w:rsidR="0092635B" w:rsidRDefault="00000000">
      <w:pPr>
        <w:pStyle w:val="Prrafodelista"/>
        <w:numPr>
          <w:ilvl w:val="1"/>
          <w:numId w:val="308"/>
        </w:numPr>
        <w:tabs>
          <w:tab w:val="left" w:pos="1687"/>
        </w:tabs>
        <w:spacing w:before="122" w:line="249" w:lineRule="auto"/>
        <w:ind w:right="1104" w:firstLine="340"/>
        <w:jc w:val="both"/>
        <w:rPr>
          <w:sz w:val="20"/>
        </w:rPr>
      </w:pPr>
      <w:r>
        <w:rPr>
          <w:sz w:val="20"/>
        </w:rPr>
        <w:t>Treinta días a contar desde la publicación de la formalización del contrato en la forma prevista en esta Ley, incluyendo las razones justificativas por las que no se ha publicado en forma legal la convocatoria de la licitación o desde la notificación a los candidatos o licitadores afectados, de los motivos del rechazo de su candidatura o de su proposición y de las características de la proposición del adjudicatario que fueron determinantes de la adjudicación a su favor.</w:t>
      </w:r>
    </w:p>
    <w:p w:rsidR="0092635B" w:rsidRDefault="00000000">
      <w:pPr>
        <w:pStyle w:val="Prrafodelista"/>
        <w:numPr>
          <w:ilvl w:val="1"/>
          <w:numId w:val="308"/>
        </w:numPr>
        <w:tabs>
          <w:tab w:val="left" w:pos="1729"/>
        </w:tabs>
        <w:spacing w:before="5" w:line="249" w:lineRule="auto"/>
        <w:ind w:firstLine="340"/>
        <w:jc w:val="both"/>
        <w:rPr>
          <w:sz w:val="20"/>
        </w:rPr>
      </w:pPr>
      <w:r>
        <w:rPr>
          <w:sz w:val="20"/>
        </w:rPr>
        <w:t>En los restantes casos, antes de que transcurran seis meses a contar desde la formalización del contrato.</w:t>
      </w:r>
    </w:p>
    <w:p w:rsidR="0092635B" w:rsidRDefault="00000000">
      <w:pPr>
        <w:spacing w:before="228"/>
        <w:ind w:left="1106"/>
        <w:rPr>
          <w:rFonts w:ascii="Arial" w:hAnsi="Arial"/>
          <w:i/>
          <w:sz w:val="20"/>
        </w:rPr>
      </w:pPr>
      <w:bookmarkStart w:id="83" w:name="Artículo_51._Forma_y_lugar_de_interposic"/>
      <w:bookmarkEnd w:id="83"/>
      <w:r>
        <w:rPr>
          <w:rFonts w:ascii="Arial" w:hAnsi="Arial"/>
          <w:b/>
          <w:sz w:val="20"/>
        </w:rPr>
        <w:t>Artículo</w:t>
      </w:r>
      <w:r>
        <w:rPr>
          <w:rFonts w:ascii="Arial" w:hAnsi="Arial"/>
          <w:b/>
          <w:spacing w:val="-3"/>
          <w:sz w:val="20"/>
        </w:rPr>
        <w:t xml:space="preserve"> </w:t>
      </w:r>
      <w:r>
        <w:rPr>
          <w:rFonts w:ascii="Arial" w:hAnsi="Arial"/>
          <w:b/>
          <w:sz w:val="20"/>
        </w:rPr>
        <w:t>51.</w:t>
      </w:r>
      <w:r>
        <w:rPr>
          <w:rFonts w:ascii="Arial" w:hAnsi="Arial"/>
          <w:b/>
          <w:spacing w:val="49"/>
          <w:sz w:val="20"/>
        </w:rPr>
        <w:t xml:space="preserve"> </w:t>
      </w:r>
      <w:r>
        <w:rPr>
          <w:rFonts w:ascii="Arial" w:hAnsi="Arial"/>
          <w:i/>
          <w:sz w:val="20"/>
        </w:rPr>
        <w:t>Forma</w:t>
      </w:r>
      <w:r>
        <w:rPr>
          <w:rFonts w:ascii="Arial" w:hAnsi="Arial"/>
          <w:i/>
          <w:spacing w:val="-2"/>
          <w:sz w:val="20"/>
        </w:rPr>
        <w:t xml:space="preserve"> </w:t>
      </w:r>
      <w:r>
        <w:rPr>
          <w:rFonts w:ascii="Arial" w:hAnsi="Arial"/>
          <w:i/>
          <w:sz w:val="20"/>
        </w:rPr>
        <w:t>y</w:t>
      </w:r>
      <w:r>
        <w:rPr>
          <w:rFonts w:ascii="Arial" w:hAnsi="Arial"/>
          <w:i/>
          <w:spacing w:val="-3"/>
          <w:sz w:val="20"/>
        </w:rPr>
        <w:t xml:space="preserve"> </w:t>
      </w:r>
      <w:r>
        <w:rPr>
          <w:rFonts w:ascii="Arial" w:hAnsi="Arial"/>
          <w:i/>
          <w:sz w:val="20"/>
        </w:rPr>
        <w:t>lugar</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interposición</w:t>
      </w:r>
      <w:r>
        <w:rPr>
          <w:rFonts w:ascii="Arial" w:hAnsi="Arial"/>
          <w:i/>
          <w:spacing w:val="-2"/>
          <w:sz w:val="20"/>
        </w:rPr>
        <w:t xml:space="preserve"> </w:t>
      </w:r>
      <w:r>
        <w:rPr>
          <w:rFonts w:ascii="Arial" w:hAnsi="Arial"/>
          <w:i/>
          <w:sz w:val="20"/>
        </w:rPr>
        <w:t>del</w:t>
      </w:r>
      <w:r>
        <w:rPr>
          <w:rFonts w:ascii="Arial" w:hAnsi="Arial"/>
          <w:i/>
          <w:spacing w:val="-3"/>
          <w:sz w:val="20"/>
        </w:rPr>
        <w:t xml:space="preserve"> </w:t>
      </w:r>
      <w:r>
        <w:rPr>
          <w:rFonts w:ascii="Arial" w:hAnsi="Arial"/>
          <w:i/>
          <w:sz w:val="20"/>
        </w:rPr>
        <w:t>recurso</w:t>
      </w:r>
      <w:r>
        <w:rPr>
          <w:rFonts w:ascii="Arial" w:hAnsi="Arial"/>
          <w:i/>
          <w:spacing w:val="-2"/>
          <w:sz w:val="20"/>
        </w:rPr>
        <w:t xml:space="preserve"> especial.</w:t>
      </w:r>
    </w:p>
    <w:p w:rsidR="0092635B" w:rsidRDefault="00000000">
      <w:pPr>
        <w:pStyle w:val="Prrafodelista"/>
        <w:numPr>
          <w:ilvl w:val="0"/>
          <w:numId w:val="307"/>
        </w:numPr>
        <w:tabs>
          <w:tab w:val="left" w:pos="1734"/>
        </w:tabs>
        <w:spacing w:before="124" w:line="249" w:lineRule="auto"/>
        <w:ind w:firstLine="340"/>
        <w:jc w:val="both"/>
        <w:rPr>
          <w:sz w:val="20"/>
        </w:rPr>
      </w:pPr>
      <w:r>
        <w:rPr>
          <w:sz w:val="20"/>
        </w:rPr>
        <w:t>En el escrito de interposición se hará constar el acto recurrido, el motivo que fundamente el recurso, los medios de prueba de que pretenda valerse el recurrente y, en su caso, las medidas de la misma naturaleza que las mencionadas en el artículo 49, cuya adopción solicite, acompañándose también:</w:t>
      </w:r>
    </w:p>
    <w:p w:rsidR="0092635B" w:rsidRDefault="00000000">
      <w:pPr>
        <w:pStyle w:val="Prrafodelista"/>
        <w:numPr>
          <w:ilvl w:val="1"/>
          <w:numId w:val="307"/>
        </w:numPr>
        <w:tabs>
          <w:tab w:val="left" w:pos="1723"/>
        </w:tabs>
        <w:spacing w:before="123" w:line="249" w:lineRule="auto"/>
        <w:ind w:right="1105" w:firstLine="340"/>
        <w:jc w:val="both"/>
        <w:rPr>
          <w:sz w:val="20"/>
        </w:rPr>
      </w:pPr>
      <w:r>
        <w:rPr>
          <w:sz w:val="20"/>
        </w:rPr>
        <w:t>El documento que acredite la representación del compareciente, salvo si figurase unido</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actuaciones</w:t>
      </w:r>
      <w:r>
        <w:rPr>
          <w:spacing w:val="-2"/>
          <w:sz w:val="20"/>
        </w:rPr>
        <w:t xml:space="preserve"> </w:t>
      </w:r>
      <w:r>
        <w:rPr>
          <w:sz w:val="20"/>
        </w:rPr>
        <w:t>de</w:t>
      </w:r>
      <w:r>
        <w:rPr>
          <w:spacing w:val="-2"/>
          <w:sz w:val="20"/>
        </w:rPr>
        <w:t xml:space="preserve"> </w:t>
      </w:r>
      <w:r>
        <w:rPr>
          <w:sz w:val="20"/>
        </w:rPr>
        <w:t>otro</w:t>
      </w:r>
      <w:r>
        <w:rPr>
          <w:spacing w:val="-2"/>
          <w:sz w:val="20"/>
        </w:rPr>
        <w:t xml:space="preserve"> </w:t>
      </w:r>
      <w:r>
        <w:rPr>
          <w:sz w:val="20"/>
        </w:rPr>
        <w:t>recurso</w:t>
      </w:r>
      <w:r>
        <w:rPr>
          <w:spacing w:val="-2"/>
          <w:sz w:val="20"/>
        </w:rPr>
        <w:t xml:space="preserve"> </w:t>
      </w:r>
      <w:r>
        <w:rPr>
          <w:sz w:val="20"/>
        </w:rPr>
        <w:t>pendiente</w:t>
      </w:r>
      <w:r>
        <w:rPr>
          <w:spacing w:val="-2"/>
          <w:sz w:val="20"/>
        </w:rPr>
        <w:t xml:space="preserve"> </w:t>
      </w:r>
      <w:r>
        <w:rPr>
          <w:sz w:val="20"/>
        </w:rPr>
        <w:t>ante</w:t>
      </w:r>
      <w:r>
        <w:rPr>
          <w:spacing w:val="-2"/>
          <w:sz w:val="20"/>
        </w:rPr>
        <w:t xml:space="preserve"> </w:t>
      </w:r>
      <w:r>
        <w:rPr>
          <w:sz w:val="20"/>
        </w:rPr>
        <w:t>el</w:t>
      </w:r>
      <w:r>
        <w:rPr>
          <w:spacing w:val="-2"/>
          <w:sz w:val="20"/>
        </w:rPr>
        <w:t xml:space="preserve"> </w:t>
      </w:r>
      <w:r>
        <w:rPr>
          <w:sz w:val="20"/>
        </w:rPr>
        <w:t>mismo</w:t>
      </w:r>
      <w:r>
        <w:rPr>
          <w:spacing w:val="-2"/>
          <w:sz w:val="20"/>
        </w:rPr>
        <w:t xml:space="preserve"> </w:t>
      </w:r>
      <w:r>
        <w:rPr>
          <w:sz w:val="20"/>
        </w:rPr>
        <w:t>órgano,</w:t>
      </w:r>
      <w:r>
        <w:rPr>
          <w:spacing w:val="-2"/>
          <w:sz w:val="20"/>
        </w:rPr>
        <w:t xml:space="preserve"> </w:t>
      </w:r>
      <w:r>
        <w:rPr>
          <w:sz w:val="20"/>
        </w:rPr>
        <w:t>en</w:t>
      </w:r>
      <w:r>
        <w:rPr>
          <w:spacing w:val="-2"/>
          <w:sz w:val="20"/>
        </w:rPr>
        <w:t xml:space="preserve"> </w:t>
      </w:r>
      <w:r>
        <w:rPr>
          <w:sz w:val="20"/>
        </w:rPr>
        <w:t>cuyo</w:t>
      </w:r>
      <w:r>
        <w:rPr>
          <w:spacing w:val="-2"/>
          <w:sz w:val="20"/>
        </w:rPr>
        <w:t xml:space="preserve"> </w:t>
      </w:r>
      <w:r>
        <w:rPr>
          <w:sz w:val="20"/>
        </w:rPr>
        <w:t>caso</w:t>
      </w:r>
      <w:r>
        <w:rPr>
          <w:spacing w:val="-2"/>
          <w:sz w:val="20"/>
        </w:rPr>
        <w:t xml:space="preserve"> </w:t>
      </w:r>
      <w:r>
        <w:rPr>
          <w:sz w:val="20"/>
        </w:rPr>
        <w:t>podrá solicitarse que se expida certificación para su unión al procedimiento.</w:t>
      </w:r>
    </w:p>
    <w:p w:rsidR="0092635B" w:rsidRDefault="00000000">
      <w:pPr>
        <w:pStyle w:val="Prrafodelista"/>
        <w:numPr>
          <w:ilvl w:val="1"/>
          <w:numId w:val="307"/>
        </w:numPr>
        <w:tabs>
          <w:tab w:val="left" w:pos="1688"/>
        </w:tabs>
        <w:spacing w:before="3" w:line="249" w:lineRule="auto"/>
        <w:ind w:right="1104" w:firstLine="340"/>
        <w:jc w:val="both"/>
        <w:rPr>
          <w:sz w:val="20"/>
        </w:rPr>
      </w:pPr>
      <w:r>
        <w:rPr>
          <w:sz w:val="20"/>
        </w:rPr>
        <w:t>El documento o documentos que acrediten la legitimación del actor cuando la ostente por habérsela transmitido otro por herencia o por cualquier otro título.</w:t>
      </w:r>
    </w:p>
    <w:p w:rsidR="0092635B" w:rsidRDefault="00000000">
      <w:pPr>
        <w:pStyle w:val="Prrafodelista"/>
        <w:numPr>
          <w:ilvl w:val="1"/>
          <w:numId w:val="307"/>
        </w:numPr>
        <w:tabs>
          <w:tab w:val="left" w:pos="1691"/>
        </w:tabs>
        <w:spacing w:before="1" w:line="249" w:lineRule="auto"/>
        <w:ind w:right="1105" w:firstLine="340"/>
        <w:jc w:val="both"/>
        <w:rPr>
          <w:sz w:val="20"/>
        </w:rPr>
      </w:pPr>
      <w:r>
        <w:rPr>
          <w:sz w:val="20"/>
        </w:rPr>
        <w:t>La copia o traslado del acto expreso que se recurra, o indicación del expediente en que haya recaído o del boletín oficial o perfil de contratante en que se haya publicado.</w:t>
      </w:r>
    </w:p>
    <w:p w:rsidR="0092635B" w:rsidRDefault="00000000">
      <w:pPr>
        <w:pStyle w:val="Prrafodelista"/>
        <w:numPr>
          <w:ilvl w:val="1"/>
          <w:numId w:val="307"/>
        </w:numPr>
        <w:tabs>
          <w:tab w:val="left" w:pos="1679"/>
        </w:tabs>
        <w:ind w:left="1679" w:right="0" w:hanging="233"/>
        <w:jc w:val="both"/>
        <w:rPr>
          <w:sz w:val="20"/>
        </w:rPr>
      </w:pPr>
      <w:r>
        <w:rPr>
          <w:sz w:val="20"/>
        </w:rPr>
        <w:t>El</w:t>
      </w:r>
      <w:r>
        <w:rPr>
          <w:spacing w:val="-5"/>
          <w:sz w:val="20"/>
        </w:rPr>
        <w:t xml:space="preserve"> </w:t>
      </w:r>
      <w:r>
        <w:rPr>
          <w:sz w:val="20"/>
        </w:rPr>
        <w:t>documento</w:t>
      </w:r>
      <w:r>
        <w:rPr>
          <w:spacing w:val="-2"/>
          <w:sz w:val="20"/>
        </w:rPr>
        <w:t xml:space="preserve"> </w:t>
      </w:r>
      <w:r>
        <w:rPr>
          <w:sz w:val="20"/>
        </w:rPr>
        <w:t>o</w:t>
      </w:r>
      <w:r>
        <w:rPr>
          <w:spacing w:val="-2"/>
          <w:sz w:val="20"/>
        </w:rPr>
        <w:t xml:space="preserve"> </w:t>
      </w:r>
      <w:r>
        <w:rPr>
          <w:sz w:val="20"/>
        </w:rPr>
        <w:t>documentos</w:t>
      </w:r>
      <w:r>
        <w:rPr>
          <w:spacing w:val="-2"/>
          <w:sz w:val="20"/>
        </w:rPr>
        <w:t xml:space="preserve"> </w:t>
      </w:r>
      <w:r>
        <w:rPr>
          <w:sz w:val="20"/>
        </w:rPr>
        <w:t>en</w:t>
      </w:r>
      <w:r>
        <w:rPr>
          <w:spacing w:val="-2"/>
          <w:sz w:val="20"/>
        </w:rPr>
        <w:t xml:space="preserve"> </w:t>
      </w:r>
      <w:r>
        <w:rPr>
          <w:sz w:val="20"/>
        </w:rPr>
        <w:t>que</w:t>
      </w:r>
      <w:r>
        <w:rPr>
          <w:spacing w:val="-2"/>
          <w:sz w:val="20"/>
        </w:rPr>
        <w:t xml:space="preserve"> </w:t>
      </w:r>
      <w:r>
        <w:rPr>
          <w:sz w:val="20"/>
        </w:rPr>
        <w:t>funde</w:t>
      </w:r>
      <w:r>
        <w:rPr>
          <w:spacing w:val="-2"/>
          <w:sz w:val="20"/>
        </w:rPr>
        <w:t xml:space="preserve"> </w:t>
      </w:r>
      <w:r>
        <w:rPr>
          <w:sz w:val="20"/>
        </w:rPr>
        <w:t>su</w:t>
      </w:r>
      <w:r>
        <w:rPr>
          <w:spacing w:val="-2"/>
          <w:sz w:val="20"/>
        </w:rPr>
        <w:t xml:space="preserve"> derecho.</w:t>
      </w:r>
    </w:p>
    <w:p w:rsidR="0092635B" w:rsidRDefault="00000000">
      <w:pPr>
        <w:pStyle w:val="Prrafodelista"/>
        <w:numPr>
          <w:ilvl w:val="1"/>
          <w:numId w:val="307"/>
        </w:numPr>
        <w:tabs>
          <w:tab w:val="left" w:pos="1694"/>
        </w:tabs>
        <w:spacing w:before="10" w:line="249" w:lineRule="auto"/>
        <w:ind w:right="1104" w:firstLine="340"/>
        <w:jc w:val="both"/>
        <w:rPr>
          <w:sz w:val="20"/>
        </w:rPr>
      </w:pPr>
      <w:r>
        <w:rPr>
          <w:sz w:val="20"/>
        </w:rPr>
        <w:t>Una dirección de correo electrónico «habilitada» a la que enviar, de conformidad con</w:t>
      </w:r>
      <w:r>
        <w:rPr>
          <w:spacing w:val="40"/>
          <w:sz w:val="20"/>
        </w:rPr>
        <w:t xml:space="preserve"> </w:t>
      </w:r>
      <w:r>
        <w:rPr>
          <w:sz w:val="20"/>
        </w:rPr>
        <w:t>la disposición adicional decimoquinta, las comunicaciones y notificaciones.</w:t>
      </w:r>
    </w:p>
    <w:p w:rsidR="0092635B" w:rsidRDefault="00000000">
      <w:pPr>
        <w:pStyle w:val="Prrafodelista"/>
        <w:numPr>
          <w:ilvl w:val="0"/>
          <w:numId w:val="307"/>
        </w:numPr>
        <w:tabs>
          <w:tab w:val="left" w:pos="1706"/>
        </w:tabs>
        <w:spacing w:before="122" w:line="249" w:lineRule="auto"/>
        <w:ind w:right="1104" w:firstLine="340"/>
        <w:jc w:val="both"/>
        <w:rPr>
          <w:sz w:val="20"/>
        </w:rPr>
      </w:pPr>
      <w:r>
        <w:rPr>
          <w:sz w:val="20"/>
        </w:rPr>
        <w:t>Para la subsanación de los defectos que puedan afectar al escrito de recurso, se requerirá al interesado a fin de que, en un plazo de tres días hábiles desde el siguiente a su notificación, subsane la falta o acompañe los documentos preceptivos, con indicación de</w:t>
      </w:r>
      <w:r>
        <w:rPr>
          <w:spacing w:val="40"/>
          <w:sz w:val="20"/>
        </w:rPr>
        <w:t xml:space="preserve"> </w:t>
      </w:r>
      <w:r>
        <w:rPr>
          <w:sz w:val="20"/>
        </w:rPr>
        <w:t>que, si así no lo hiciera, se le tendrá por desistido de su petición, quedando suspendida la tramitación del expediente con los efectos previstos en la Ley 39/2015, de 1 de octubre, del Procedimiento Administrativo Común de las Administraciones Públicas. La presentación 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5" w:hanging="1"/>
      </w:pPr>
      <w:r>
        <w:t>documentación subsanada se hará, necesariamente, en el registro del órgano competente para la resolución del recurso.</w:t>
      </w:r>
    </w:p>
    <w:p w:rsidR="0092635B" w:rsidRDefault="00000000">
      <w:pPr>
        <w:pStyle w:val="Prrafodelista"/>
        <w:numPr>
          <w:ilvl w:val="0"/>
          <w:numId w:val="307"/>
        </w:numPr>
        <w:tabs>
          <w:tab w:val="left" w:pos="1674"/>
        </w:tabs>
        <w:spacing w:before="1"/>
        <w:ind w:left="1674" w:right="0" w:hanging="228"/>
        <w:jc w:val="both"/>
        <w:rPr>
          <w:sz w:val="20"/>
        </w:rPr>
      </w:pPr>
      <w:r>
        <w:rPr>
          <w:sz w:val="20"/>
        </w:rPr>
        <w:t>El</w:t>
      </w:r>
      <w:r>
        <w:rPr>
          <w:spacing w:val="2"/>
          <w:sz w:val="20"/>
        </w:rPr>
        <w:t xml:space="preserve"> </w:t>
      </w:r>
      <w:r>
        <w:rPr>
          <w:sz w:val="20"/>
        </w:rPr>
        <w:t>escrito</w:t>
      </w:r>
      <w:r>
        <w:rPr>
          <w:spacing w:val="3"/>
          <w:sz w:val="20"/>
        </w:rPr>
        <w:t xml:space="preserve"> </w:t>
      </w:r>
      <w:r>
        <w:rPr>
          <w:sz w:val="20"/>
        </w:rPr>
        <w:t>de</w:t>
      </w:r>
      <w:r>
        <w:rPr>
          <w:spacing w:val="3"/>
          <w:sz w:val="20"/>
        </w:rPr>
        <w:t xml:space="preserve"> </w:t>
      </w:r>
      <w:r>
        <w:rPr>
          <w:sz w:val="20"/>
        </w:rPr>
        <w:t>interposición</w:t>
      </w:r>
      <w:r>
        <w:rPr>
          <w:spacing w:val="3"/>
          <w:sz w:val="20"/>
        </w:rPr>
        <w:t xml:space="preserve"> </w:t>
      </w:r>
      <w:r>
        <w:rPr>
          <w:sz w:val="20"/>
        </w:rPr>
        <w:t>podrá</w:t>
      </w:r>
      <w:r>
        <w:rPr>
          <w:spacing w:val="3"/>
          <w:sz w:val="20"/>
        </w:rPr>
        <w:t xml:space="preserve"> </w:t>
      </w:r>
      <w:r>
        <w:rPr>
          <w:sz w:val="20"/>
        </w:rPr>
        <w:t>presentarse</w:t>
      </w:r>
      <w:r>
        <w:rPr>
          <w:spacing w:val="3"/>
          <w:sz w:val="20"/>
        </w:rPr>
        <w:t xml:space="preserve"> </w:t>
      </w:r>
      <w:r>
        <w:rPr>
          <w:sz w:val="20"/>
        </w:rPr>
        <w:t>en</w:t>
      </w:r>
      <w:r>
        <w:rPr>
          <w:spacing w:val="3"/>
          <w:sz w:val="20"/>
        </w:rPr>
        <w:t xml:space="preserve"> </w:t>
      </w:r>
      <w:r>
        <w:rPr>
          <w:sz w:val="20"/>
        </w:rPr>
        <w:t>los</w:t>
      </w:r>
      <w:r>
        <w:rPr>
          <w:spacing w:val="3"/>
          <w:sz w:val="20"/>
        </w:rPr>
        <w:t xml:space="preserve"> </w:t>
      </w:r>
      <w:r>
        <w:rPr>
          <w:sz w:val="20"/>
        </w:rPr>
        <w:t>lugares</w:t>
      </w:r>
      <w:r>
        <w:rPr>
          <w:spacing w:val="3"/>
          <w:sz w:val="20"/>
        </w:rPr>
        <w:t xml:space="preserve"> </w:t>
      </w:r>
      <w:r>
        <w:rPr>
          <w:sz w:val="20"/>
        </w:rPr>
        <w:t>establecidos</w:t>
      </w:r>
      <w:r>
        <w:rPr>
          <w:spacing w:val="3"/>
          <w:sz w:val="20"/>
        </w:rPr>
        <w:t xml:space="preserve"> </w:t>
      </w:r>
      <w:r>
        <w:rPr>
          <w:sz w:val="20"/>
        </w:rPr>
        <w:t>en</w:t>
      </w:r>
      <w:r>
        <w:rPr>
          <w:spacing w:val="3"/>
          <w:sz w:val="20"/>
        </w:rPr>
        <w:t xml:space="preserve"> </w:t>
      </w:r>
      <w:r>
        <w:rPr>
          <w:sz w:val="20"/>
        </w:rPr>
        <w:t>el</w:t>
      </w:r>
      <w:r>
        <w:rPr>
          <w:spacing w:val="3"/>
          <w:sz w:val="20"/>
        </w:rPr>
        <w:t xml:space="preserve"> </w:t>
      </w:r>
      <w:r>
        <w:rPr>
          <w:spacing w:val="-2"/>
          <w:sz w:val="20"/>
        </w:rPr>
        <w:t>artículo</w:t>
      </w:r>
    </w:p>
    <w:p w:rsidR="0092635B" w:rsidRDefault="00000000">
      <w:pPr>
        <w:pStyle w:val="Textoindependiente"/>
        <w:spacing w:before="10" w:line="249" w:lineRule="auto"/>
        <w:ind w:right="1104" w:firstLine="0"/>
      </w:pPr>
      <w:r>
        <w:t>16.4 de la Ley 39/2015, de 1 de octubre, del Procedimiento Administrativo Común de las Administraciones Públicas. Asimismo, podrá presentarse en el registro del órgano de contratación o en el del órgano competente para la resolución del recurso.</w:t>
      </w:r>
    </w:p>
    <w:p w:rsidR="0092635B" w:rsidRDefault="00000000">
      <w:pPr>
        <w:pStyle w:val="Textoindependiente"/>
        <w:spacing w:before="3" w:line="249" w:lineRule="auto"/>
        <w:ind w:right="1104"/>
      </w:pPr>
      <w:r>
        <w:t>Los escritos presentados en registros distintos de los dos citados específicamente en el párrafo anterior, deberán comunicarse al Tribunal de manera inmediata y de la forma más rápida posible.</w:t>
      </w:r>
    </w:p>
    <w:p w:rsidR="0092635B" w:rsidRDefault="00000000">
      <w:pPr>
        <w:pStyle w:val="Prrafodelista"/>
        <w:numPr>
          <w:ilvl w:val="0"/>
          <w:numId w:val="307"/>
        </w:numPr>
        <w:tabs>
          <w:tab w:val="left" w:pos="1704"/>
        </w:tabs>
        <w:spacing w:line="249" w:lineRule="auto"/>
        <w:ind w:firstLine="340"/>
        <w:jc w:val="both"/>
        <w:rPr>
          <w:sz w:val="20"/>
        </w:rPr>
      </w:pPr>
      <w:r>
        <w:rPr>
          <w:sz w:val="20"/>
        </w:rPr>
        <w:t xml:space="preserve">El órgano competente para la resolución del recurso hará públicas a través de su página web, mediante resolución de su Presidente, las direcciones de registro en las que debe hacerse la presentación de los escritos para entenderla efectuada ante el propio </w:t>
      </w:r>
      <w:r>
        <w:rPr>
          <w:spacing w:val="-2"/>
          <w:sz w:val="20"/>
        </w:rPr>
        <w:t>Tribunal.</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84" w:name="Artículo_52._Acceso_al_expediente."/>
      <w:bookmarkEnd w:id="84"/>
      <w:r>
        <w:rPr>
          <w:rFonts w:ascii="Arial" w:hAnsi="Arial"/>
          <w:b/>
          <w:sz w:val="20"/>
        </w:rPr>
        <w:t>Artículo</w:t>
      </w:r>
      <w:r>
        <w:rPr>
          <w:rFonts w:ascii="Arial" w:hAnsi="Arial"/>
          <w:b/>
          <w:spacing w:val="-4"/>
          <w:sz w:val="20"/>
        </w:rPr>
        <w:t xml:space="preserve"> </w:t>
      </w:r>
      <w:r>
        <w:rPr>
          <w:rFonts w:ascii="Arial" w:hAnsi="Arial"/>
          <w:b/>
          <w:sz w:val="20"/>
        </w:rPr>
        <w:t>52.</w:t>
      </w:r>
      <w:r>
        <w:rPr>
          <w:rFonts w:ascii="Arial" w:hAnsi="Arial"/>
          <w:b/>
          <w:spacing w:val="52"/>
          <w:sz w:val="20"/>
        </w:rPr>
        <w:t xml:space="preserve"> </w:t>
      </w:r>
      <w:r>
        <w:rPr>
          <w:rFonts w:ascii="Arial" w:hAnsi="Arial"/>
          <w:i/>
          <w:sz w:val="20"/>
        </w:rPr>
        <w:t>Acceso</w:t>
      </w:r>
      <w:r>
        <w:rPr>
          <w:rFonts w:ascii="Arial" w:hAnsi="Arial"/>
          <w:i/>
          <w:spacing w:val="-1"/>
          <w:sz w:val="20"/>
        </w:rPr>
        <w:t xml:space="preserve"> </w:t>
      </w:r>
      <w:r>
        <w:rPr>
          <w:rFonts w:ascii="Arial" w:hAnsi="Arial"/>
          <w:i/>
          <w:sz w:val="20"/>
        </w:rPr>
        <w:t>al</w:t>
      </w:r>
      <w:r>
        <w:rPr>
          <w:rFonts w:ascii="Arial" w:hAnsi="Arial"/>
          <w:i/>
          <w:spacing w:val="-1"/>
          <w:sz w:val="20"/>
        </w:rPr>
        <w:t xml:space="preserve"> </w:t>
      </w:r>
      <w:r>
        <w:rPr>
          <w:rFonts w:ascii="Arial" w:hAnsi="Arial"/>
          <w:i/>
          <w:spacing w:val="-2"/>
          <w:sz w:val="20"/>
        </w:rPr>
        <w:t>expediente.</w:t>
      </w:r>
    </w:p>
    <w:p w:rsidR="0092635B" w:rsidRDefault="00000000">
      <w:pPr>
        <w:pStyle w:val="Prrafodelista"/>
        <w:numPr>
          <w:ilvl w:val="0"/>
          <w:numId w:val="306"/>
        </w:numPr>
        <w:tabs>
          <w:tab w:val="left" w:pos="1694"/>
        </w:tabs>
        <w:spacing w:before="124" w:line="249" w:lineRule="auto"/>
        <w:ind w:right="1104" w:firstLine="340"/>
        <w:jc w:val="both"/>
        <w:rPr>
          <w:sz w:val="20"/>
        </w:rPr>
      </w:pPr>
      <w:r>
        <w:rPr>
          <w:sz w:val="20"/>
        </w:rPr>
        <w:t>Si el interesado desea examinar el expediente de contratación de forma previa a la interposición del recurso especial, deberá solicitarlo al órgano de contratación, el cual tendrá la obligación de ponerlo de manifiesto sin perjuicio de los límites de confidencialidad establecidos en la Ley.</w:t>
      </w:r>
    </w:p>
    <w:p w:rsidR="0092635B" w:rsidRDefault="00000000">
      <w:pPr>
        <w:pStyle w:val="Prrafodelista"/>
        <w:numPr>
          <w:ilvl w:val="0"/>
          <w:numId w:val="306"/>
        </w:numPr>
        <w:tabs>
          <w:tab w:val="left" w:pos="1675"/>
        </w:tabs>
        <w:spacing w:before="3" w:line="249" w:lineRule="auto"/>
        <w:ind w:right="1104" w:firstLine="340"/>
        <w:jc w:val="both"/>
        <w:rPr>
          <w:sz w:val="20"/>
        </w:rPr>
      </w:pPr>
      <w:r>
        <w:rPr>
          <w:sz w:val="20"/>
        </w:rPr>
        <w:t>Los interesados podrán hacer la solicitud de acceso al expediente dentro del plazo de interposición del recurso especial, debiendo el órgano de contratación facilitar el acceso en los cinco días hábiles siguientes a la recepción de la solicitud. La presentación de esta solicitud no paralizará en ningún caso el plazo para la interposición del recurso especial.</w:t>
      </w:r>
    </w:p>
    <w:p w:rsidR="0092635B" w:rsidRDefault="00000000">
      <w:pPr>
        <w:pStyle w:val="Prrafodelista"/>
        <w:numPr>
          <w:ilvl w:val="0"/>
          <w:numId w:val="306"/>
        </w:numPr>
        <w:tabs>
          <w:tab w:val="left" w:pos="1674"/>
        </w:tabs>
        <w:spacing w:before="3" w:line="249" w:lineRule="auto"/>
        <w:ind w:firstLine="340"/>
        <w:jc w:val="both"/>
        <w:rPr>
          <w:sz w:val="20"/>
        </w:rPr>
      </w:pPr>
      <w:r>
        <w:rPr>
          <w:sz w:val="20"/>
        </w:rPr>
        <w:t>El incumplimiento de las previsiones contenidas en el apartado 1 anterior no eximirá a los</w:t>
      </w:r>
      <w:r>
        <w:rPr>
          <w:spacing w:val="-2"/>
          <w:sz w:val="20"/>
        </w:rPr>
        <w:t xml:space="preserve"> </w:t>
      </w:r>
      <w:r>
        <w:rPr>
          <w:sz w:val="20"/>
        </w:rPr>
        <w:t>interesados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obligación</w:t>
      </w:r>
      <w:r>
        <w:rPr>
          <w:spacing w:val="-2"/>
          <w:sz w:val="20"/>
        </w:rPr>
        <w:t xml:space="preserve"> </w:t>
      </w:r>
      <w:r>
        <w:rPr>
          <w:sz w:val="20"/>
        </w:rPr>
        <w:t>de</w:t>
      </w:r>
      <w:r>
        <w:rPr>
          <w:spacing w:val="-2"/>
          <w:sz w:val="20"/>
        </w:rPr>
        <w:t xml:space="preserve"> </w:t>
      </w:r>
      <w:r>
        <w:rPr>
          <w:sz w:val="20"/>
        </w:rPr>
        <w:t>interponer</w:t>
      </w:r>
      <w:r>
        <w:rPr>
          <w:spacing w:val="-2"/>
          <w:sz w:val="20"/>
        </w:rPr>
        <w:t xml:space="preserve"> </w:t>
      </w:r>
      <w:r>
        <w:rPr>
          <w:sz w:val="20"/>
        </w:rPr>
        <w:t>el</w:t>
      </w:r>
      <w:r>
        <w:rPr>
          <w:spacing w:val="-2"/>
          <w:sz w:val="20"/>
        </w:rPr>
        <w:t xml:space="preserve"> </w:t>
      </w:r>
      <w:r>
        <w:rPr>
          <w:sz w:val="20"/>
        </w:rPr>
        <w:t>recurso</w:t>
      </w:r>
      <w:r>
        <w:rPr>
          <w:spacing w:val="-2"/>
          <w:sz w:val="20"/>
        </w:rPr>
        <w:t xml:space="preserve"> </w:t>
      </w:r>
      <w:r>
        <w:rPr>
          <w:sz w:val="20"/>
        </w:rPr>
        <w:t>especial</w:t>
      </w:r>
      <w:r>
        <w:rPr>
          <w:spacing w:val="-2"/>
          <w:sz w:val="20"/>
        </w:rPr>
        <w:t xml:space="preserve"> </w:t>
      </w:r>
      <w:r>
        <w:rPr>
          <w:sz w:val="20"/>
        </w:rPr>
        <w:t>dentro</w:t>
      </w:r>
      <w:r>
        <w:rPr>
          <w:spacing w:val="-2"/>
          <w:sz w:val="20"/>
        </w:rPr>
        <w:t xml:space="preserve"> </w:t>
      </w:r>
      <w:r>
        <w:rPr>
          <w:sz w:val="20"/>
        </w:rPr>
        <w:t>del</w:t>
      </w:r>
      <w:r>
        <w:rPr>
          <w:spacing w:val="-2"/>
          <w:sz w:val="20"/>
        </w:rPr>
        <w:t xml:space="preserve"> </w:t>
      </w:r>
      <w:r>
        <w:rPr>
          <w:sz w:val="20"/>
        </w:rPr>
        <w:t>plazo</w:t>
      </w:r>
      <w:r>
        <w:rPr>
          <w:spacing w:val="-2"/>
          <w:sz w:val="20"/>
        </w:rPr>
        <w:t xml:space="preserve"> </w:t>
      </w:r>
      <w:r>
        <w:rPr>
          <w:sz w:val="20"/>
        </w:rPr>
        <w:t>legalmente establecido.</w:t>
      </w:r>
      <w:r>
        <w:rPr>
          <w:spacing w:val="-3"/>
          <w:sz w:val="20"/>
        </w:rPr>
        <w:t xml:space="preserve"> </w:t>
      </w:r>
      <w:r>
        <w:rPr>
          <w:sz w:val="20"/>
        </w:rPr>
        <w:t>Ello</w:t>
      </w:r>
      <w:r>
        <w:rPr>
          <w:spacing w:val="-3"/>
          <w:sz w:val="20"/>
        </w:rPr>
        <w:t xml:space="preserve"> </w:t>
      </w:r>
      <w:r>
        <w:rPr>
          <w:sz w:val="20"/>
        </w:rPr>
        <w:t>no</w:t>
      </w:r>
      <w:r>
        <w:rPr>
          <w:spacing w:val="-3"/>
          <w:sz w:val="20"/>
        </w:rPr>
        <w:t xml:space="preserve"> </w:t>
      </w:r>
      <w:r>
        <w:rPr>
          <w:sz w:val="20"/>
        </w:rPr>
        <w:t>obstante,</w:t>
      </w:r>
      <w:r>
        <w:rPr>
          <w:spacing w:val="-3"/>
          <w:sz w:val="20"/>
        </w:rPr>
        <w:t xml:space="preserve"> </w:t>
      </w:r>
      <w:r>
        <w:rPr>
          <w:sz w:val="20"/>
        </w:rPr>
        <w:t>el</w:t>
      </w:r>
      <w:r>
        <w:rPr>
          <w:spacing w:val="-3"/>
          <w:sz w:val="20"/>
        </w:rPr>
        <w:t xml:space="preserve"> </w:t>
      </w:r>
      <w:r>
        <w:rPr>
          <w:sz w:val="20"/>
        </w:rPr>
        <w:t>citado</w:t>
      </w:r>
      <w:r>
        <w:rPr>
          <w:spacing w:val="-3"/>
          <w:sz w:val="20"/>
        </w:rPr>
        <w:t xml:space="preserve"> </w:t>
      </w:r>
      <w:r>
        <w:rPr>
          <w:sz w:val="20"/>
        </w:rPr>
        <w:t>incumplimiento</w:t>
      </w:r>
      <w:r>
        <w:rPr>
          <w:spacing w:val="-3"/>
          <w:sz w:val="20"/>
        </w:rPr>
        <w:t xml:space="preserve"> </w:t>
      </w:r>
      <w:r>
        <w:rPr>
          <w:sz w:val="20"/>
        </w:rPr>
        <w:t>podrá</w:t>
      </w:r>
      <w:r>
        <w:rPr>
          <w:spacing w:val="-3"/>
          <w:sz w:val="20"/>
        </w:rPr>
        <w:t xml:space="preserve"> </w:t>
      </w:r>
      <w:r>
        <w:rPr>
          <w:sz w:val="20"/>
        </w:rPr>
        <w:t>ser</w:t>
      </w:r>
      <w:r>
        <w:rPr>
          <w:spacing w:val="-3"/>
          <w:sz w:val="20"/>
        </w:rPr>
        <w:t xml:space="preserve"> </w:t>
      </w:r>
      <w:r>
        <w:rPr>
          <w:sz w:val="20"/>
        </w:rPr>
        <w:t>alegado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recurrente</w:t>
      </w:r>
      <w:r>
        <w:rPr>
          <w:spacing w:val="-3"/>
          <w:sz w:val="20"/>
        </w:rPr>
        <w:t xml:space="preserve"> </w:t>
      </w:r>
      <w:r>
        <w:rPr>
          <w:sz w:val="20"/>
        </w:rPr>
        <w:t xml:space="preserve">en su recurso, en cuyo caso el órgano competente para resolverlo deberá conceder al recurrente el acceso al expediente de contratación en sus oficinas por plazo </w:t>
      </w:r>
      <w:r>
        <w:rPr>
          <w:rFonts w:ascii="Arial" w:hAnsi="Arial"/>
          <w:b/>
          <w:sz w:val="20"/>
        </w:rPr>
        <w:t>de diez días</w:t>
      </w:r>
      <w:r>
        <w:rPr>
          <w:sz w:val="20"/>
        </w:rPr>
        <w:t xml:space="preserve">, con carácter previo al trámite de alegaciones, para que proceda a completar su recurso. En este supuesto concederá un plazo </w:t>
      </w:r>
      <w:r>
        <w:rPr>
          <w:rFonts w:ascii="Arial" w:hAnsi="Arial"/>
          <w:b/>
          <w:sz w:val="20"/>
        </w:rPr>
        <w:t xml:space="preserve">de dos días hábiles </w:t>
      </w:r>
      <w:r>
        <w:rPr>
          <w:sz w:val="20"/>
        </w:rPr>
        <w:t xml:space="preserve">al órgano de contratación para que emita el informe correspondiente y </w:t>
      </w:r>
      <w:r>
        <w:rPr>
          <w:rFonts w:ascii="Arial" w:hAnsi="Arial"/>
          <w:b/>
          <w:sz w:val="20"/>
        </w:rPr>
        <w:t xml:space="preserve">cinco días hábiles </w:t>
      </w:r>
      <w:r>
        <w:rPr>
          <w:sz w:val="20"/>
        </w:rPr>
        <w:t>a los restantes interesados para que efectúen las alegaciones que tuvieran por conveniente.</w:t>
      </w:r>
    </w:p>
    <w:p w:rsidR="0092635B" w:rsidRDefault="00000000">
      <w:pPr>
        <w:pStyle w:val="Textoindependiente"/>
        <w:spacing w:before="21"/>
        <w:ind w:left="0" w:firstLine="0"/>
        <w:jc w:val="left"/>
      </w:pPr>
      <w:r>
        <w:rPr>
          <w:noProof/>
        </w:rPr>
        <mc:AlternateContent>
          <mc:Choice Requires="wps">
            <w:drawing>
              <wp:anchor distT="0" distB="0" distL="0" distR="0" simplePos="0" relativeHeight="487590400" behindDoc="1" locked="0" layoutInCell="1" allowOverlap="1">
                <wp:simplePos x="0" y="0"/>
                <wp:positionH relativeFrom="page">
                  <wp:posOffset>1156762</wp:posOffset>
                </wp:positionH>
                <wp:positionV relativeFrom="paragraph">
                  <wp:posOffset>180155</wp:posOffset>
                </wp:positionV>
                <wp:extent cx="5247005" cy="64960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4">
                          <a:solidFill>
                            <a:srgbClr val="9F9F9F"/>
                          </a:solidFill>
                          <a:prstDash val="solid"/>
                        </a:ln>
                      </wps:spPr>
                      <wps:txbx>
                        <w:txbxContent>
                          <w:p w:rsidR="0092635B" w:rsidRDefault="00000000">
                            <w:pPr>
                              <w:spacing w:before="181" w:line="249" w:lineRule="auto"/>
                              <w:ind w:left="269" w:right="269" w:firstLine="340"/>
                              <w:jc w:val="both"/>
                              <w:rPr>
                                <w:color w:val="000000"/>
                                <w:sz w:val="18"/>
                              </w:rPr>
                            </w:pPr>
                            <w:r>
                              <w:rPr>
                                <w:color w:val="000000"/>
                                <w:sz w:val="18"/>
                              </w:rPr>
                              <w:t xml:space="preserve">Téngase en cuenta que se declara que no son conformes con el orden constitucional de competencias los incisos destacados del apartado 3 [fundamento jurídico 6 E) c)] por la Sentencia del TC 68/2021, de 18 de marzo. </w:t>
                            </w:r>
                            <w:hyperlink r:id="rId17">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13" o:spid="_x0000_s1028" type="#_x0000_t202" style="position:absolute;margin-left:91.1pt;margin-top:14.2pt;width:413.15pt;height:51.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" fillcolor="#f7f7ff" strokecolor="#9f9f9f" strokeweight=".26456mm">
                <v:path arrowok="t"/>
                <v:textbox inset="0,0,0,0">
                  <w:txbxContent>
                    <w:p w:rsidR="0092635B" w:rsidRDefault="00000000">
                      <w:pPr>
                        <w:spacing w:before="181" w:line="249" w:lineRule="auto"/>
                        <w:ind w:left="269" w:right="269" w:firstLine="340"/>
                        <w:jc w:val="both"/>
                        <w:rPr>
                          <w:color w:val="000000"/>
                          <w:sz w:val="18"/>
                        </w:rPr>
                      </w:pPr>
                      <w:r>
                        <w:rPr>
                          <w:color w:val="000000"/>
                          <w:sz w:val="18"/>
                        </w:rPr>
                        <w:t xml:space="preserve">Téngase en cuenta que se declara que no son conformes con el orden constitucional de competencias los incisos destacados del apartado 3 [fundamento jurídico 6 E) c)] por la Sentencia del TC 68/2021, de 18 de marzo. </w:t>
                      </w:r>
                      <w:hyperlink r:id="rId18">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0"/>
        <w:ind w:left="0" w:firstLine="0"/>
        <w:jc w:val="left"/>
      </w:pPr>
    </w:p>
    <w:p w:rsidR="0092635B" w:rsidRDefault="0092635B">
      <w:pPr>
        <w:pStyle w:val="Textoindependiente"/>
        <w:spacing w:before="136"/>
        <w:ind w:left="0" w:firstLine="0"/>
        <w:jc w:val="left"/>
      </w:pPr>
    </w:p>
    <w:p w:rsidR="0092635B" w:rsidRDefault="00000000">
      <w:pPr>
        <w:ind w:left="1106"/>
        <w:rPr>
          <w:rFonts w:ascii="Arial" w:hAnsi="Arial"/>
          <w:i/>
          <w:sz w:val="20"/>
        </w:rPr>
      </w:pPr>
      <w:bookmarkStart w:id="85" w:name="Artículo_53._Efectos_derivados_de_la_int"/>
      <w:bookmarkEnd w:id="85"/>
      <w:r>
        <w:rPr>
          <w:rFonts w:ascii="Arial" w:hAnsi="Arial"/>
          <w:b/>
          <w:sz w:val="20"/>
        </w:rPr>
        <w:t>Artículo</w:t>
      </w:r>
      <w:r>
        <w:rPr>
          <w:rFonts w:ascii="Arial" w:hAnsi="Arial"/>
          <w:b/>
          <w:spacing w:val="-4"/>
          <w:sz w:val="20"/>
        </w:rPr>
        <w:t xml:space="preserve"> </w:t>
      </w:r>
      <w:r>
        <w:rPr>
          <w:rFonts w:ascii="Arial" w:hAnsi="Arial"/>
          <w:b/>
          <w:sz w:val="20"/>
        </w:rPr>
        <w:t>53.</w:t>
      </w:r>
      <w:r>
        <w:rPr>
          <w:rFonts w:ascii="Arial" w:hAnsi="Arial"/>
          <w:b/>
          <w:spacing w:val="50"/>
          <w:sz w:val="20"/>
        </w:rPr>
        <w:t xml:space="preserve"> </w:t>
      </w:r>
      <w:r>
        <w:rPr>
          <w:rFonts w:ascii="Arial" w:hAnsi="Arial"/>
          <w:i/>
          <w:sz w:val="20"/>
        </w:rPr>
        <w:t>Efectos</w:t>
      </w:r>
      <w:r>
        <w:rPr>
          <w:rFonts w:ascii="Arial" w:hAnsi="Arial"/>
          <w:i/>
          <w:spacing w:val="-2"/>
          <w:sz w:val="20"/>
        </w:rPr>
        <w:t xml:space="preserve"> </w:t>
      </w:r>
      <w:r>
        <w:rPr>
          <w:rFonts w:ascii="Arial" w:hAnsi="Arial"/>
          <w:i/>
          <w:sz w:val="20"/>
        </w:rPr>
        <w:t>derivados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interposición</w:t>
      </w:r>
      <w:r>
        <w:rPr>
          <w:rFonts w:ascii="Arial" w:hAnsi="Arial"/>
          <w:i/>
          <w:spacing w:val="-2"/>
          <w:sz w:val="20"/>
        </w:rPr>
        <w:t xml:space="preserve"> </w:t>
      </w:r>
      <w:r>
        <w:rPr>
          <w:rFonts w:ascii="Arial" w:hAnsi="Arial"/>
          <w:i/>
          <w:sz w:val="20"/>
        </w:rPr>
        <w:t>del</w:t>
      </w:r>
      <w:r>
        <w:rPr>
          <w:rFonts w:ascii="Arial" w:hAnsi="Arial"/>
          <w:i/>
          <w:spacing w:val="-1"/>
          <w:sz w:val="20"/>
        </w:rPr>
        <w:t xml:space="preserve"> </w:t>
      </w:r>
      <w:r>
        <w:rPr>
          <w:rFonts w:ascii="Arial" w:hAnsi="Arial"/>
          <w:i/>
          <w:spacing w:val="-2"/>
          <w:sz w:val="20"/>
        </w:rPr>
        <w:t>recurso.</w:t>
      </w:r>
    </w:p>
    <w:p w:rsidR="0092635B" w:rsidRDefault="00000000">
      <w:pPr>
        <w:pStyle w:val="Textoindependiente"/>
        <w:spacing w:before="123" w:line="249" w:lineRule="auto"/>
        <w:ind w:right="1103"/>
      </w:pPr>
      <w:r>
        <w:t>Una vez interpuesto el recurso quedará en suspenso la tramitación del procedimiento cuando el acto recurrido sea el de adjudicación, salvo en el supuesto de contratos basados en un acuerdo marco o de contratos específicos en el marco de un sistema dinámico de adquisición, sin perjuicio de las medidas cautelares que en relación a estos últimos podrían adoptarse en virtud de lo señalado en el artículo 56.3.</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86" w:name="Artículo_54._Comunicaciones_y_notificaci"/>
      <w:bookmarkEnd w:id="86"/>
      <w:r>
        <w:rPr>
          <w:rFonts w:ascii="Arial" w:hAnsi="Arial"/>
          <w:b/>
          <w:sz w:val="20"/>
        </w:rPr>
        <w:t>Artículo 54.</w:t>
      </w:r>
      <w:r>
        <w:rPr>
          <w:rFonts w:ascii="Arial" w:hAnsi="Arial"/>
          <w:b/>
          <w:spacing w:val="54"/>
          <w:sz w:val="20"/>
        </w:rPr>
        <w:t xml:space="preserve"> </w:t>
      </w:r>
      <w:r>
        <w:rPr>
          <w:rFonts w:ascii="Arial" w:hAnsi="Arial"/>
          <w:i/>
          <w:sz w:val="20"/>
        </w:rPr>
        <w:t xml:space="preserve">Comunicaciones y </w:t>
      </w:r>
      <w:r>
        <w:rPr>
          <w:rFonts w:ascii="Arial" w:hAnsi="Arial"/>
          <w:i/>
          <w:spacing w:val="-2"/>
          <w:sz w:val="20"/>
        </w:rPr>
        <w:t>notificaciones.</w:t>
      </w:r>
    </w:p>
    <w:p w:rsidR="0092635B" w:rsidRDefault="00000000">
      <w:pPr>
        <w:pStyle w:val="Textoindependiente"/>
        <w:spacing w:before="123" w:line="249" w:lineRule="auto"/>
        <w:ind w:right="1103"/>
      </w:pPr>
      <w:r>
        <w:t>Las comunicaciones y el intercambio de documentación entre los órganos competentes para la resolución de los recursos, los órganos de contratación y los interesados en el procedimiento se harán por medios electrónicos.</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87" w:name="Artículo_55._Inadmisión."/>
      <w:bookmarkEnd w:id="87"/>
      <w:r>
        <w:rPr>
          <w:rFonts w:ascii="Arial" w:hAnsi="Arial"/>
          <w:b/>
          <w:sz w:val="20"/>
        </w:rPr>
        <w:t>Artículo 55.</w:t>
      </w:r>
      <w:r>
        <w:rPr>
          <w:rFonts w:ascii="Arial" w:hAnsi="Arial"/>
          <w:b/>
          <w:spacing w:val="54"/>
          <w:sz w:val="20"/>
        </w:rPr>
        <w:t xml:space="preserve"> </w:t>
      </w:r>
      <w:r>
        <w:rPr>
          <w:rFonts w:ascii="Arial" w:hAnsi="Arial"/>
          <w:i/>
          <w:spacing w:val="-2"/>
          <w:sz w:val="20"/>
        </w:rPr>
        <w:t>Inadmisión.</w:t>
      </w:r>
    </w:p>
    <w:p w:rsidR="0092635B" w:rsidRDefault="00000000">
      <w:pPr>
        <w:pStyle w:val="Textoindependiente"/>
        <w:spacing w:before="123" w:line="249" w:lineRule="auto"/>
        <w:ind w:right="1103"/>
      </w:pPr>
      <w:r>
        <w:t>El órgano encargado de resolver el recurso, tras la reclamación y examen del expediente administrativo, podrá declarar su inadmisión cuando constare de modo inequívoco y manifiesto cualquiera de los siguientes supuestos: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306"/>
        </w:numPr>
        <w:tabs>
          <w:tab w:val="left" w:pos="1679"/>
        </w:tabs>
        <w:spacing w:before="1"/>
        <w:ind w:right="0" w:hanging="233"/>
        <w:jc w:val="both"/>
        <w:rPr>
          <w:sz w:val="20"/>
        </w:rPr>
      </w:pPr>
      <w:r>
        <w:rPr>
          <w:sz w:val="20"/>
        </w:rPr>
        <w:t>La</w:t>
      </w:r>
      <w:r>
        <w:rPr>
          <w:spacing w:val="-4"/>
          <w:sz w:val="20"/>
        </w:rPr>
        <w:t xml:space="preserve"> </w:t>
      </w:r>
      <w:r>
        <w:rPr>
          <w:sz w:val="20"/>
        </w:rPr>
        <w:t>incompetencia</w:t>
      </w:r>
      <w:r>
        <w:rPr>
          <w:spacing w:val="-4"/>
          <w:sz w:val="20"/>
        </w:rPr>
        <w:t xml:space="preserve"> </w:t>
      </w:r>
      <w:r>
        <w:rPr>
          <w:sz w:val="20"/>
        </w:rPr>
        <w:t>del</w:t>
      </w:r>
      <w:r>
        <w:rPr>
          <w:spacing w:val="-3"/>
          <w:sz w:val="20"/>
        </w:rPr>
        <w:t xml:space="preserve"> </w:t>
      </w:r>
      <w:r>
        <w:rPr>
          <w:sz w:val="20"/>
        </w:rPr>
        <w:t>órgano</w:t>
      </w:r>
      <w:r>
        <w:rPr>
          <w:spacing w:val="-4"/>
          <w:sz w:val="20"/>
        </w:rPr>
        <w:t xml:space="preserve"> </w:t>
      </w:r>
      <w:r>
        <w:rPr>
          <w:sz w:val="20"/>
        </w:rPr>
        <w:t>para</w:t>
      </w:r>
      <w:r>
        <w:rPr>
          <w:spacing w:val="-3"/>
          <w:sz w:val="20"/>
        </w:rPr>
        <w:t xml:space="preserve"> </w:t>
      </w:r>
      <w:r>
        <w:rPr>
          <w:sz w:val="20"/>
        </w:rPr>
        <w:t>conocer</w:t>
      </w:r>
      <w:r>
        <w:rPr>
          <w:spacing w:val="-4"/>
          <w:sz w:val="20"/>
        </w:rPr>
        <w:t xml:space="preserve"> </w:t>
      </w:r>
      <w:r>
        <w:rPr>
          <w:sz w:val="20"/>
        </w:rPr>
        <w:t>del</w:t>
      </w:r>
      <w:r>
        <w:rPr>
          <w:spacing w:val="-3"/>
          <w:sz w:val="20"/>
        </w:rPr>
        <w:t xml:space="preserve"> </w:t>
      </w:r>
      <w:r>
        <w:rPr>
          <w:spacing w:val="-2"/>
          <w:sz w:val="20"/>
        </w:rPr>
        <w:t>recurso.</w:t>
      </w:r>
    </w:p>
    <w:p w:rsidR="0092635B" w:rsidRDefault="00000000">
      <w:pPr>
        <w:pStyle w:val="Prrafodelista"/>
        <w:numPr>
          <w:ilvl w:val="1"/>
          <w:numId w:val="306"/>
        </w:numPr>
        <w:tabs>
          <w:tab w:val="left" w:pos="1709"/>
        </w:tabs>
        <w:spacing w:before="10" w:line="249" w:lineRule="auto"/>
        <w:ind w:left="1106" w:right="1104" w:firstLine="340"/>
        <w:jc w:val="both"/>
        <w:rPr>
          <w:sz w:val="20"/>
        </w:rPr>
      </w:pPr>
      <w:r>
        <w:rPr>
          <w:sz w:val="20"/>
        </w:rPr>
        <w:t xml:space="preserve">La falta de legitimación del recurrente o de acreditación de la representación de la persona que interpone el recurso en nombre de otra, mediante poder que sea suficiente a tal </w:t>
      </w:r>
      <w:r>
        <w:rPr>
          <w:spacing w:val="-2"/>
          <w:sz w:val="20"/>
        </w:rPr>
        <w:t>efecto.</w:t>
      </w:r>
    </w:p>
    <w:p w:rsidR="0092635B" w:rsidRDefault="00000000">
      <w:pPr>
        <w:pStyle w:val="Prrafodelista"/>
        <w:numPr>
          <w:ilvl w:val="1"/>
          <w:numId w:val="306"/>
        </w:numPr>
        <w:tabs>
          <w:tab w:val="left" w:pos="1727"/>
        </w:tabs>
        <w:spacing w:line="249" w:lineRule="auto"/>
        <w:ind w:left="1106" w:right="1104" w:firstLine="340"/>
        <w:jc w:val="both"/>
        <w:rPr>
          <w:sz w:val="20"/>
        </w:rPr>
      </w:pPr>
      <w:r>
        <w:rPr>
          <w:sz w:val="20"/>
        </w:rPr>
        <w:t>Haberse interpuesto el recurso contra actos no susceptibles de impugnación de conformidad con lo dispuesto en el artículo 44.</w:t>
      </w:r>
    </w:p>
    <w:p w:rsidR="0092635B" w:rsidRDefault="00000000">
      <w:pPr>
        <w:pStyle w:val="Prrafodelista"/>
        <w:numPr>
          <w:ilvl w:val="1"/>
          <w:numId w:val="306"/>
        </w:numPr>
        <w:tabs>
          <w:tab w:val="left" w:pos="1763"/>
        </w:tabs>
        <w:spacing w:line="249" w:lineRule="auto"/>
        <w:ind w:left="1106" w:right="1105" w:firstLine="340"/>
        <w:jc w:val="both"/>
        <w:rPr>
          <w:sz w:val="20"/>
        </w:rPr>
      </w:pPr>
      <w:r>
        <w:rPr>
          <w:sz w:val="20"/>
        </w:rPr>
        <w:t xml:space="preserve">La interposición del recurso, una vez finalizado el plazo establecido para su </w:t>
      </w:r>
      <w:r>
        <w:rPr>
          <w:spacing w:val="-2"/>
          <w:sz w:val="20"/>
        </w:rPr>
        <w:t>interposición.</w:t>
      </w:r>
    </w:p>
    <w:p w:rsidR="0092635B" w:rsidRDefault="00000000">
      <w:pPr>
        <w:pStyle w:val="Textoindependiente"/>
        <w:spacing w:before="121" w:line="249" w:lineRule="auto"/>
        <w:ind w:right="1106"/>
      </w:pPr>
      <w:r>
        <w:t>Si el órgano encargado de resolverlo apreciara que concurre alguno de ellos, sin</w:t>
      </w:r>
      <w:r>
        <w:rPr>
          <w:spacing w:val="40"/>
        </w:rPr>
        <w:t xml:space="preserve"> </w:t>
      </w:r>
      <w:r>
        <w:t xml:space="preserve">perjuicio de lo previsto en el artículo 51.2, dictará resolución acordando la inadmisión del </w:t>
      </w:r>
      <w:r>
        <w:rPr>
          <w:spacing w:val="-2"/>
        </w:rPr>
        <w:t>recurso.</w:t>
      </w:r>
    </w:p>
    <w:p w:rsidR="0092635B" w:rsidRDefault="00000000">
      <w:pPr>
        <w:spacing w:before="230"/>
        <w:ind w:left="1106"/>
        <w:rPr>
          <w:rFonts w:ascii="Arial" w:hAnsi="Arial"/>
          <w:i/>
          <w:sz w:val="20"/>
        </w:rPr>
      </w:pPr>
      <w:bookmarkStart w:id="88" w:name="Artículo_56._Tramitación_del_procedimien"/>
      <w:bookmarkEnd w:id="88"/>
      <w:r>
        <w:rPr>
          <w:rFonts w:ascii="Arial" w:hAnsi="Arial"/>
          <w:b/>
          <w:sz w:val="20"/>
        </w:rPr>
        <w:t>Artículo</w:t>
      </w:r>
      <w:r>
        <w:rPr>
          <w:rFonts w:ascii="Arial" w:hAnsi="Arial"/>
          <w:b/>
          <w:spacing w:val="-6"/>
          <w:sz w:val="20"/>
        </w:rPr>
        <w:t xml:space="preserve"> </w:t>
      </w:r>
      <w:r>
        <w:rPr>
          <w:rFonts w:ascii="Arial" w:hAnsi="Arial"/>
          <w:b/>
          <w:sz w:val="20"/>
        </w:rPr>
        <w:t>56.</w:t>
      </w:r>
      <w:r>
        <w:rPr>
          <w:rFonts w:ascii="Arial" w:hAnsi="Arial"/>
          <w:b/>
          <w:spacing w:val="44"/>
          <w:sz w:val="20"/>
        </w:rPr>
        <w:t xml:space="preserve"> </w:t>
      </w:r>
      <w:r>
        <w:rPr>
          <w:rFonts w:ascii="Arial" w:hAnsi="Arial"/>
          <w:i/>
          <w:sz w:val="20"/>
        </w:rPr>
        <w:t>Tramitación</w:t>
      </w:r>
      <w:r>
        <w:rPr>
          <w:rFonts w:ascii="Arial" w:hAnsi="Arial"/>
          <w:i/>
          <w:spacing w:val="-5"/>
          <w:sz w:val="20"/>
        </w:rPr>
        <w:t xml:space="preserve"> </w:t>
      </w:r>
      <w:r>
        <w:rPr>
          <w:rFonts w:ascii="Arial" w:hAnsi="Arial"/>
          <w:i/>
          <w:sz w:val="20"/>
        </w:rPr>
        <w:t>del</w:t>
      </w:r>
      <w:r>
        <w:rPr>
          <w:rFonts w:ascii="Arial" w:hAnsi="Arial"/>
          <w:i/>
          <w:spacing w:val="-5"/>
          <w:sz w:val="20"/>
        </w:rPr>
        <w:t xml:space="preserve"> </w:t>
      </w:r>
      <w:r>
        <w:rPr>
          <w:rFonts w:ascii="Arial" w:hAnsi="Arial"/>
          <w:i/>
          <w:spacing w:val="-2"/>
          <w:sz w:val="20"/>
        </w:rPr>
        <w:t>procedimiento.</w:t>
      </w:r>
    </w:p>
    <w:p w:rsidR="0092635B" w:rsidRDefault="00000000">
      <w:pPr>
        <w:pStyle w:val="Prrafodelista"/>
        <w:numPr>
          <w:ilvl w:val="0"/>
          <w:numId w:val="305"/>
        </w:numPr>
        <w:tabs>
          <w:tab w:val="left" w:pos="1685"/>
        </w:tabs>
        <w:spacing w:before="123" w:line="249" w:lineRule="auto"/>
        <w:ind w:firstLine="340"/>
        <w:jc w:val="both"/>
        <w:rPr>
          <w:sz w:val="20"/>
        </w:rPr>
      </w:pPr>
      <w:r>
        <w:rPr>
          <w:sz w:val="20"/>
        </w:rPr>
        <w:t>El procedimiento para tramitar los recursos especiales en materia de contratación se regirá por las disposiciones de la Ley 39/2015, de 1 de octubre, del Procedimiento Administrativo Común de las Administraciones Públicas, con las especialidades que se recogen en los apartados siguientes.</w:t>
      </w:r>
    </w:p>
    <w:p w:rsidR="0092635B" w:rsidRDefault="00000000">
      <w:pPr>
        <w:pStyle w:val="Prrafodelista"/>
        <w:numPr>
          <w:ilvl w:val="0"/>
          <w:numId w:val="305"/>
        </w:numPr>
        <w:tabs>
          <w:tab w:val="left" w:pos="1737"/>
        </w:tabs>
        <w:spacing w:before="3" w:line="249" w:lineRule="auto"/>
        <w:ind w:right="1104" w:firstLine="340"/>
        <w:jc w:val="both"/>
        <w:rPr>
          <w:sz w:val="20"/>
        </w:rPr>
      </w:pPr>
      <w:r>
        <w:rPr>
          <w:sz w:val="20"/>
        </w:rPr>
        <w:t>Interpuesto el recurso, el órgano competente para la resolución del recurso lo notificará en el mismo día al órgano de contratación con remisión de la copia del escrito de interposición y reclamará el expediente de contratación a la entidad, órgano o servicio que lo hubiese tramitado, quien deberá remitirlo dentro de los dos días hábiles siguientes acompañado del correspondiente informe.</w:t>
      </w:r>
    </w:p>
    <w:p w:rsidR="0092635B" w:rsidRDefault="00000000">
      <w:pPr>
        <w:pStyle w:val="Textoindependiente"/>
        <w:spacing w:before="4" w:line="249" w:lineRule="auto"/>
        <w:ind w:right="1104"/>
      </w:pPr>
      <w:r>
        <w:t>Si el recurso se hubiera interpuesto ante el órgano de contratación autor del acto impugnado, este deberá remitirlo al órgano competente para la resolución del recurso dentro de los dos días hábiles siguientes a su recepción acompañado del expediente administrativo y del informe a que se refiere el párrafo anterior.</w:t>
      </w:r>
    </w:p>
    <w:p w:rsidR="0092635B" w:rsidRDefault="00000000">
      <w:pPr>
        <w:pStyle w:val="Prrafodelista"/>
        <w:numPr>
          <w:ilvl w:val="0"/>
          <w:numId w:val="305"/>
        </w:numPr>
        <w:tabs>
          <w:tab w:val="left" w:pos="1671"/>
        </w:tabs>
        <w:spacing w:before="4" w:line="249" w:lineRule="auto"/>
        <w:ind w:right="1102" w:firstLine="340"/>
        <w:jc w:val="both"/>
        <w:rPr>
          <w:sz w:val="20"/>
        </w:rPr>
      </w:pPr>
      <w:r>
        <w:rPr>
          <w:sz w:val="20"/>
        </w:rPr>
        <w:t>Sin perjuicio de lo dispuesto en el artículo 52 con respecto al acceso al expediente por parte del recurrente, dentro de los cinco días hábiles siguientes a la interposición, el órgano competente para la resolución del recurso dará traslado del mismo a los restantes interesados, concediéndoles un plazo de cinco días hábiles para formular alegaciones, que deberán presentarse necesariamente, en el registro del órgano competente para la resolución del recurso.</w:t>
      </w:r>
    </w:p>
    <w:p w:rsidR="0092635B" w:rsidRDefault="00000000">
      <w:pPr>
        <w:pStyle w:val="Textoindependiente"/>
        <w:spacing w:before="5" w:line="249" w:lineRule="auto"/>
        <w:ind w:right="1104"/>
      </w:pPr>
      <w:r>
        <w:t>De</w:t>
      </w:r>
      <w:r>
        <w:rPr>
          <w:spacing w:val="-1"/>
        </w:rPr>
        <w:t xml:space="preserve"> </w:t>
      </w:r>
      <w:r>
        <w:t>forma</w:t>
      </w:r>
      <w:r>
        <w:rPr>
          <w:spacing w:val="-1"/>
        </w:rPr>
        <w:t xml:space="preserve"> </w:t>
      </w:r>
      <w:r>
        <w:t>simultánea</w:t>
      </w:r>
      <w:r>
        <w:rPr>
          <w:spacing w:val="-1"/>
        </w:rPr>
        <w:t xml:space="preserve"> </w:t>
      </w:r>
      <w:r>
        <w:t>a</w:t>
      </w:r>
      <w:r>
        <w:rPr>
          <w:spacing w:val="-1"/>
        </w:rPr>
        <w:t xml:space="preserve"> </w:t>
      </w:r>
      <w:r>
        <w:t>este</w:t>
      </w:r>
      <w:r>
        <w:rPr>
          <w:spacing w:val="-1"/>
        </w:rPr>
        <w:t xml:space="preserve"> </w:t>
      </w:r>
      <w:r>
        <w:t>trámite,</w:t>
      </w:r>
      <w:r>
        <w:rPr>
          <w:spacing w:val="-1"/>
        </w:rPr>
        <w:t xml:space="preserve"> </w:t>
      </w:r>
      <w:r>
        <w:t>decidirá,</w:t>
      </w:r>
      <w:r>
        <w:rPr>
          <w:spacing w:val="-1"/>
        </w:rPr>
        <w:t xml:space="preserve"> </w:t>
      </w:r>
      <w:r>
        <w:t>en</w:t>
      </w:r>
      <w:r>
        <w:rPr>
          <w:spacing w:val="-1"/>
        </w:rPr>
        <w:t xml:space="preserve"> </w:t>
      </w:r>
      <w:r>
        <w:t>el</w:t>
      </w:r>
      <w:r>
        <w:rPr>
          <w:spacing w:val="-1"/>
        </w:rPr>
        <w:t xml:space="preserve"> </w:t>
      </w:r>
      <w:r>
        <w:t>plazo</w:t>
      </w:r>
      <w:r>
        <w:rPr>
          <w:spacing w:val="-1"/>
        </w:rPr>
        <w:t xml:space="preserve"> </w:t>
      </w:r>
      <w:r>
        <w:t>de</w:t>
      </w:r>
      <w:r>
        <w:rPr>
          <w:spacing w:val="-1"/>
        </w:rPr>
        <w:t xml:space="preserve"> </w:t>
      </w:r>
      <w:r>
        <w:t>cinco</w:t>
      </w:r>
      <w:r>
        <w:rPr>
          <w:spacing w:val="-1"/>
        </w:rPr>
        <w:t xml:space="preserve"> </w:t>
      </w:r>
      <w:r>
        <w:t>días</w:t>
      </w:r>
      <w:r>
        <w:rPr>
          <w:spacing w:val="-1"/>
        </w:rPr>
        <w:t xml:space="preserve"> </w:t>
      </w:r>
      <w:r>
        <w:t>hábiles,</w:t>
      </w:r>
      <w:r>
        <w:rPr>
          <w:spacing w:val="-1"/>
        </w:rPr>
        <w:t xml:space="preserve"> </w:t>
      </w:r>
      <w:r>
        <w:t>acerca</w:t>
      </w:r>
      <w:r>
        <w:rPr>
          <w:spacing w:val="-1"/>
        </w:rPr>
        <w:t xml:space="preserve"> </w:t>
      </w:r>
      <w:r>
        <w:t>de las medidas cautelares, si se hubiese solicitado la adopción de alguna en el escrito de interposición del recurso o se hubiera procedido a la acumulación, en el caso de que la solicitud de tales medidas se hubiera realizado con anterioridad a la presentación del</w:t>
      </w:r>
      <w:r>
        <w:rPr>
          <w:spacing w:val="40"/>
        </w:rPr>
        <w:t xml:space="preserve"> </w:t>
      </w:r>
      <w:r>
        <w:rPr>
          <w:spacing w:val="-2"/>
        </w:rPr>
        <w:t>recurso.</w:t>
      </w:r>
    </w:p>
    <w:p w:rsidR="0092635B" w:rsidRDefault="00000000">
      <w:pPr>
        <w:pStyle w:val="Textoindependiente"/>
        <w:spacing w:before="4" w:line="249" w:lineRule="auto"/>
        <w:ind w:right="1104"/>
      </w:pPr>
      <w:r>
        <w:t xml:space="preserve">Asimismo en este plazo, resolverá, en su caso, sobre si procede o no el mantenimiento de la suspensión automática prevista en el artículo 53, entendiéndose vigente esta en tanto no se dicte resolución expresa acordando el levantamiento. Si las medidas cautelares se hubieran solicitado después de la interposición del recurso, el órgano competente resolverá sobre ellas en los términos previstos en el párrafo anterior sin suspender el procedimiento </w:t>
      </w:r>
      <w:r>
        <w:rPr>
          <w:spacing w:val="-2"/>
        </w:rPr>
        <w:t>principal.</w:t>
      </w:r>
    </w:p>
    <w:p w:rsidR="0092635B" w:rsidRDefault="00000000">
      <w:pPr>
        <w:pStyle w:val="Textoindependiente"/>
        <w:spacing w:before="5" w:line="249" w:lineRule="auto"/>
        <w:ind w:right="1104"/>
      </w:pPr>
      <w:r>
        <w:t>En todo caso, las medidas cautelares podrán acordarse de oficio por el órgano competente en cualquier fase del procedimiento dando audiencia sobre ello al órgano de contratación autor del acto impugnado, por plazo de dos días.</w:t>
      </w:r>
    </w:p>
    <w:p w:rsidR="0092635B" w:rsidRDefault="00000000">
      <w:pPr>
        <w:pStyle w:val="Prrafodelista"/>
        <w:numPr>
          <w:ilvl w:val="0"/>
          <w:numId w:val="305"/>
        </w:numPr>
        <w:tabs>
          <w:tab w:val="left" w:pos="1691"/>
        </w:tabs>
        <w:spacing w:line="249" w:lineRule="auto"/>
        <w:ind w:firstLine="340"/>
        <w:jc w:val="both"/>
        <w:rPr>
          <w:sz w:val="20"/>
        </w:rPr>
      </w:pPr>
      <w:r>
        <w:rPr>
          <w:sz w:val="20"/>
        </w:rPr>
        <w:t>Los hechos relevantes para la decisión del recurso podrán acreditarse por cualquier medio de prueba admisible en derecho. Cuando los interesados lo soliciten o el órgano encargado de la resolución del recurso no tenga por ciertos los hechos alegados por los interesados o la naturaleza del procedimiento lo exija, podrá acordarse la apertura del período de prueba por plazo de diez días hábiles, a fin de que puedan practicarse cuantas juzgue pertinentes.</w:t>
      </w:r>
    </w:p>
    <w:p w:rsidR="0092635B" w:rsidRDefault="00000000">
      <w:pPr>
        <w:pStyle w:val="Textoindependiente"/>
        <w:spacing w:before="5" w:line="249" w:lineRule="auto"/>
        <w:ind w:right="1103"/>
      </w:pPr>
      <w:r>
        <w:t>El órgano competente para la resolución del recurso podrá rechazar las pruebas propuestas por los interesados cuando sean manifiestamente improcedentes o innecesarias, mediante resolución motivada.</w:t>
      </w:r>
    </w:p>
    <w:p w:rsidR="0092635B" w:rsidRDefault="00000000">
      <w:pPr>
        <w:pStyle w:val="Textoindependiente"/>
        <w:ind w:left="1446" w:firstLine="0"/>
      </w:pPr>
      <w:r>
        <w:t>La</w:t>
      </w:r>
      <w:r>
        <w:rPr>
          <w:spacing w:val="-4"/>
        </w:rPr>
        <w:t xml:space="preserve"> </w:t>
      </w:r>
      <w:r>
        <w:t>práctica</w:t>
      </w:r>
      <w:r>
        <w:rPr>
          <w:spacing w:val="-3"/>
        </w:rPr>
        <w:t xml:space="preserve"> </w:t>
      </w:r>
      <w:r>
        <w:t>de</w:t>
      </w:r>
      <w:r>
        <w:rPr>
          <w:spacing w:val="-3"/>
        </w:rPr>
        <w:t xml:space="preserve"> </w:t>
      </w:r>
      <w:r>
        <w:t>las</w:t>
      </w:r>
      <w:r>
        <w:rPr>
          <w:spacing w:val="-3"/>
        </w:rPr>
        <w:t xml:space="preserve"> </w:t>
      </w:r>
      <w:r>
        <w:t>pruebas</w:t>
      </w:r>
      <w:r>
        <w:rPr>
          <w:spacing w:val="-3"/>
        </w:rPr>
        <w:t xml:space="preserve"> </w:t>
      </w:r>
      <w:r>
        <w:t>se</w:t>
      </w:r>
      <w:r>
        <w:rPr>
          <w:spacing w:val="-3"/>
        </w:rPr>
        <w:t xml:space="preserve"> </w:t>
      </w:r>
      <w:r>
        <w:t>anunciará</w:t>
      </w:r>
      <w:r>
        <w:rPr>
          <w:spacing w:val="-4"/>
        </w:rPr>
        <w:t xml:space="preserve"> </w:t>
      </w:r>
      <w:r>
        <w:t>con</w:t>
      </w:r>
      <w:r>
        <w:rPr>
          <w:spacing w:val="-3"/>
        </w:rPr>
        <w:t xml:space="preserve"> </w:t>
      </w:r>
      <w:r>
        <w:t>antelación</w:t>
      </w:r>
      <w:r>
        <w:rPr>
          <w:spacing w:val="-3"/>
        </w:rPr>
        <w:t xml:space="preserve"> </w:t>
      </w:r>
      <w:r>
        <w:t>suficiente</w:t>
      </w:r>
      <w:r>
        <w:rPr>
          <w:spacing w:val="-3"/>
        </w:rPr>
        <w:t xml:space="preserve"> </w:t>
      </w:r>
      <w:r>
        <w:t>a</w:t>
      </w:r>
      <w:r>
        <w:rPr>
          <w:spacing w:val="-3"/>
        </w:rPr>
        <w:t xml:space="preserve"> </w:t>
      </w:r>
      <w:r>
        <w:t>los</w:t>
      </w:r>
      <w:r>
        <w:rPr>
          <w:spacing w:val="-3"/>
        </w:rPr>
        <w:t xml:space="preserve"> </w:t>
      </w:r>
      <w:r>
        <w:rPr>
          <w:spacing w:val="-2"/>
        </w:rPr>
        <w:t>interesados.</w:t>
      </w:r>
    </w:p>
    <w:p w:rsidR="0092635B" w:rsidRDefault="0092635B">
      <w:pPr>
        <w:pStyle w:val="Textoindependiente"/>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305"/>
        </w:numPr>
        <w:tabs>
          <w:tab w:val="left" w:pos="1679"/>
        </w:tabs>
        <w:spacing w:before="1" w:line="249" w:lineRule="auto"/>
        <w:ind w:firstLine="340"/>
        <w:jc w:val="both"/>
        <w:rPr>
          <w:sz w:val="20"/>
        </w:rPr>
      </w:pPr>
      <w:r>
        <w:rPr>
          <w:sz w:val="20"/>
        </w:rPr>
        <w:t>El órgano competente para la resolución del recurso deberá, en todo caso, garantizar la confidencialidad y el derecho a la protección de los secretos comerciales en relación con</w:t>
      </w:r>
      <w:r>
        <w:rPr>
          <w:spacing w:val="40"/>
          <w:sz w:val="20"/>
        </w:rPr>
        <w:t xml:space="preserve"> </w:t>
      </w:r>
      <w:r>
        <w:rPr>
          <w:sz w:val="20"/>
        </w:rPr>
        <w:t>la información contenida en el expediente de contratación, sin perjuicio de que pueda conocer y tomar en consideración dicha información a la hora de resolver. Corresponderá a dicho órgano resolver acerca de cómo garantizar la confidencialidad y el secreto de la información que obre en el expediente de contratación, sin que por ello, resulten</w:t>
      </w:r>
      <w:r>
        <w:rPr>
          <w:spacing w:val="40"/>
          <w:sz w:val="20"/>
        </w:rPr>
        <w:t xml:space="preserve"> </w:t>
      </w:r>
      <w:r>
        <w:rPr>
          <w:sz w:val="20"/>
        </w:rPr>
        <w:t>perjudicados los derechos de los demás interesados a la protección jurídica efectiva y al derecho de defensa en el procedimiento.</w:t>
      </w:r>
    </w:p>
    <w:p w:rsidR="0092635B" w:rsidRDefault="0092635B">
      <w:pPr>
        <w:pStyle w:val="Textoindependiente"/>
        <w:spacing w:before="3"/>
        <w:ind w:left="0" w:firstLine="0"/>
        <w:jc w:val="left"/>
      </w:pPr>
    </w:p>
    <w:p w:rsidR="0092635B" w:rsidRDefault="00000000">
      <w:pPr>
        <w:ind w:left="1106"/>
        <w:rPr>
          <w:rFonts w:ascii="Arial" w:hAnsi="Arial"/>
          <w:i/>
          <w:sz w:val="20"/>
        </w:rPr>
      </w:pPr>
      <w:bookmarkStart w:id="89" w:name="Artículo_57._Resolución_del_recurso_espe"/>
      <w:bookmarkEnd w:id="89"/>
      <w:r>
        <w:rPr>
          <w:rFonts w:ascii="Arial" w:hAnsi="Arial"/>
          <w:b/>
          <w:sz w:val="20"/>
        </w:rPr>
        <w:t>Artículo</w:t>
      </w:r>
      <w:r>
        <w:rPr>
          <w:rFonts w:ascii="Arial" w:hAnsi="Arial"/>
          <w:b/>
          <w:spacing w:val="-3"/>
          <w:sz w:val="20"/>
        </w:rPr>
        <w:t xml:space="preserve"> </w:t>
      </w:r>
      <w:r>
        <w:rPr>
          <w:rFonts w:ascii="Arial" w:hAnsi="Arial"/>
          <w:b/>
          <w:sz w:val="20"/>
        </w:rPr>
        <w:t>57.</w:t>
      </w:r>
      <w:r>
        <w:rPr>
          <w:rFonts w:ascii="Arial" w:hAnsi="Arial"/>
          <w:b/>
          <w:spacing w:val="48"/>
          <w:sz w:val="20"/>
        </w:rPr>
        <w:t xml:space="preserve"> </w:t>
      </w:r>
      <w:r>
        <w:rPr>
          <w:rFonts w:ascii="Arial" w:hAnsi="Arial"/>
          <w:i/>
          <w:sz w:val="20"/>
        </w:rPr>
        <w:t>Resolución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recurso</w:t>
      </w:r>
      <w:r>
        <w:rPr>
          <w:rFonts w:ascii="Arial" w:hAnsi="Arial"/>
          <w:i/>
          <w:spacing w:val="-2"/>
          <w:sz w:val="20"/>
        </w:rPr>
        <w:t xml:space="preserve"> especial.</w:t>
      </w:r>
    </w:p>
    <w:p w:rsidR="0092635B" w:rsidRDefault="00000000">
      <w:pPr>
        <w:pStyle w:val="Prrafodelista"/>
        <w:numPr>
          <w:ilvl w:val="0"/>
          <w:numId w:val="304"/>
        </w:numPr>
        <w:tabs>
          <w:tab w:val="left" w:pos="1673"/>
        </w:tabs>
        <w:spacing w:before="123" w:line="249" w:lineRule="auto"/>
        <w:ind w:firstLine="340"/>
        <w:jc w:val="both"/>
        <w:rPr>
          <w:sz w:val="20"/>
        </w:rPr>
      </w:pPr>
      <w:r>
        <w:rPr>
          <w:sz w:val="20"/>
        </w:rPr>
        <w:t>Una vez recibidas las alegaciones de los interesados, o transcurrido el plazo señalado para su formulación, y el de la prueba, en su caso, el órgano competente deberá resolver el recurso dentro de los cinco días hábiles siguientes, notificándose a continuación la</w:t>
      </w:r>
      <w:r>
        <w:rPr>
          <w:spacing w:val="40"/>
          <w:sz w:val="20"/>
        </w:rPr>
        <w:t xml:space="preserve"> </w:t>
      </w:r>
      <w:r>
        <w:rPr>
          <w:sz w:val="20"/>
        </w:rPr>
        <w:t>resolución a todos los interesados.</w:t>
      </w:r>
    </w:p>
    <w:p w:rsidR="0092635B" w:rsidRDefault="00000000">
      <w:pPr>
        <w:pStyle w:val="Prrafodelista"/>
        <w:numPr>
          <w:ilvl w:val="0"/>
          <w:numId w:val="304"/>
        </w:numPr>
        <w:tabs>
          <w:tab w:val="left" w:pos="1679"/>
        </w:tabs>
        <w:spacing w:before="4" w:line="249" w:lineRule="auto"/>
        <w:ind w:firstLine="340"/>
        <w:jc w:val="both"/>
        <w:rPr>
          <w:sz w:val="20"/>
        </w:rPr>
      </w:pPr>
      <w:r>
        <w:rPr>
          <w:sz w:val="20"/>
        </w:rPr>
        <w:t>La resolución del recurso estimará en todo o en parte o desestimará las pretensiones formuladas o declarará su inadmisión, decidiendo motivadamente cuantas cuestiones se hubiesen planteado. En todo caso, la resolución será congruente con la petición y, de ser procedente, se pronunciará sobre la anulación de las decisiones no conformes a derecho adoptadas durante el procedimiento de adjudicación, incluyendo la supresión de las características técnicas, económicas o financieras discriminatorias contenidas en el anuncio de licitación, anuncio indicativo, pliegos, condiciones reguladoras del contrato o cualquier</w:t>
      </w:r>
      <w:r>
        <w:rPr>
          <w:spacing w:val="40"/>
          <w:sz w:val="20"/>
        </w:rPr>
        <w:t xml:space="preserve"> </w:t>
      </w:r>
      <w:r>
        <w:rPr>
          <w:sz w:val="20"/>
        </w:rPr>
        <w:t>otro documento relacionado con la licitación o adjudicación, así como, si procede, sobre la retroacción de actuaciones. En todo caso la estimación del recurso que conlleve anulación</w:t>
      </w:r>
      <w:r>
        <w:rPr>
          <w:spacing w:val="40"/>
          <w:sz w:val="20"/>
        </w:rPr>
        <w:t xml:space="preserve"> </w:t>
      </w:r>
      <w:r>
        <w:rPr>
          <w:sz w:val="20"/>
        </w:rPr>
        <w:t>de cláusulas o condiciones de los pliegos o documentación contractual de naturaleza análoga, determinará la anulación de los actos del expediente de contratación relacionados con su aprobación.</w:t>
      </w:r>
    </w:p>
    <w:p w:rsidR="0092635B" w:rsidRDefault="00000000">
      <w:pPr>
        <w:pStyle w:val="Prrafodelista"/>
        <w:numPr>
          <w:ilvl w:val="0"/>
          <w:numId w:val="304"/>
        </w:numPr>
        <w:tabs>
          <w:tab w:val="left" w:pos="1752"/>
        </w:tabs>
        <w:spacing w:before="10" w:line="249" w:lineRule="auto"/>
        <w:ind w:right="1104" w:firstLine="340"/>
        <w:jc w:val="both"/>
        <w:rPr>
          <w:sz w:val="20"/>
        </w:rPr>
      </w:pPr>
      <w:r>
        <w:rPr>
          <w:sz w:val="20"/>
        </w:rPr>
        <w:t>La resolución deberá acordar el levantamiento de la suspensión del acto de adjudicación si en el momento de dictarla continuase suspendido, así como de las restantes medidas cautelares que se hubieran acordado y la devolución de las garantías cuya constitución se hubiera exigido para la efectividad de las mismas, si procediera.</w:t>
      </w:r>
    </w:p>
    <w:p w:rsidR="0092635B" w:rsidRDefault="00000000">
      <w:pPr>
        <w:pStyle w:val="Prrafodelista"/>
        <w:numPr>
          <w:ilvl w:val="0"/>
          <w:numId w:val="304"/>
        </w:numPr>
        <w:tabs>
          <w:tab w:val="left" w:pos="1669"/>
        </w:tabs>
        <w:spacing w:before="3" w:line="249" w:lineRule="auto"/>
        <w:ind w:right="1105" w:firstLine="340"/>
        <w:jc w:val="both"/>
        <w:rPr>
          <w:sz w:val="20"/>
        </w:rPr>
      </w:pP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estimación</w:t>
      </w:r>
      <w:r>
        <w:rPr>
          <w:spacing w:val="-1"/>
          <w:sz w:val="20"/>
        </w:rPr>
        <w:t xml:space="preserve"> </w:t>
      </w:r>
      <w:r>
        <w:rPr>
          <w:sz w:val="20"/>
        </w:rPr>
        <w:t>total</w:t>
      </w:r>
      <w:r>
        <w:rPr>
          <w:spacing w:val="-1"/>
          <w:sz w:val="20"/>
        </w:rPr>
        <w:t xml:space="preserve"> </w:t>
      </w:r>
      <w:r>
        <w:rPr>
          <w:sz w:val="20"/>
        </w:rPr>
        <w:t>o</w:t>
      </w:r>
      <w:r>
        <w:rPr>
          <w:spacing w:val="-1"/>
          <w:sz w:val="20"/>
        </w:rPr>
        <w:t xml:space="preserve"> </w:t>
      </w:r>
      <w:r>
        <w:rPr>
          <w:sz w:val="20"/>
        </w:rPr>
        <w:t>parcial</w:t>
      </w:r>
      <w:r>
        <w:rPr>
          <w:spacing w:val="-1"/>
          <w:sz w:val="20"/>
        </w:rPr>
        <w:t xml:space="preserve"> </w:t>
      </w:r>
      <w:r>
        <w:rPr>
          <w:sz w:val="20"/>
        </w:rPr>
        <w:t>del</w:t>
      </w:r>
      <w:r>
        <w:rPr>
          <w:spacing w:val="-1"/>
          <w:sz w:val="20"/>
        </w:rPr>
        <w:t xml:space="preserve"> </w:t>
      </w:r>
      <w:r>
        <w:rPr>
          <w:sz w:val="20"/>
        </w:rPr>
        <w:t>recurso,</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deberá</w:t>
      </w:r>
      <w:r>
        <w:rPr>
          <w:spacing w:val="-1"/>
          <w:sz w:val="20"/>
        </w:rPr>
        <w:t xml:space="preserve"> </w:t>
      </w:r>
      <w:r>
        <w:rPr>
          <w:sz w:val="20"/>
        </w:rPr>
        <w:t>dar conocimiento</w:t>
      </w:r>
      <w:r>
        <w:rPr>
          <w:spacing w:val="-3"/>
          <w:sz w:val="20"/>
        </w:rPr>
        <w:t xml:space="preserve"> </w:t>
      </w:r>
      <w:r>
        <w:rPr>
          <w:sz w:val="20"/>
        </w:rPr>
        <w:t>al</w:t>
      </w:r>
      <w:r>
        <w:rPr>
          <w:spacing w:val="-3"/>
          <w:sz w:val="20"/>
        </w:rPr>
        <w:t xml:space="preserve"> </w:t>
      </w:r>
      <w:r>
        <w:rPr>
          <w:sz w:val="20"/>
        </w:rPr>
        <w:t>órgano</w:t>
      </w:r>
      <w:r>
        <w:rPr>
          <w:spacing w:val="-3"/>
          <w:sz w:val="20"/>
        </w:rPr>
        <w:t xml:space="preserve"> </w:t>
      </w:r>
      <w:r>
        <w:rPr>
          <w:sz w:val="20"/>
        </w:rPr>
        <w:t>que</w:t>
      </w:r>
      <w:r>
        <w:rPr>
          <w:spacing w:val="-3"/>
          <w:sz w:val="20"/>
        </w:rPr>
        <w:t xml:space="preserve"> </w:t>
      </w:r>
      <w:r>
        <w:rPr>
          <w:sz w:val="20"/>
        </w:rPr>
        <w:t>hubiera</w:t>
      </w:r>
      <w:r>
        <w:rPr>
          <w:spacing w:val="-3"/>
          <w:sz w:val="20"/>
        </w:rPr>
        <w:t xml:space="preserve"> </w:t>
      </w:r>
      <w:r>
        <w:rPr>
          <w:sz w:val="20"/>
        </w:rPr>
        <w:t>dictado</w:t>
      </w:r>
      <w:r>
        <w:rPr>
          <w:spacing w:val="-3"/>
          <w:sz w:val="20"/>
        </w:rPr>
        <w:t xml:space="preserve"> </w:t>
      </w:r>
      <w:r>
        <w:rPr>
          <w:sz w:val="20"/>
        </w:rPr>
        <w:t>la</w:t>
      </w:r>
      <w:r>
        <w:rPr>
          <w:spacing w:val="-3"/>
          <w:sz w:val="20"/>
        </w:rPr>
        <w:t xml:space="preserve"> </w:t>
      </w:r>
      <w:r>
        <w:rPr>
          <w:sz w:val="20"/>
        </w:rPr>
        <w:t>resolución,</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actuaciones</w:t>
      </w:r>
      <w:r>
        <w:rPr>
          <w:spacing w:val="-3"/>
          <w:sz w:val="20"/>
        </w:rPr>
        <w:t xml:space="preserve"> </w:t>
      </w:r>
      <w:r>
        <w:rPr>
          <w:sz w:val="20"/>
        </w:rPr>
        <w:t>adoptadas</w:t>
      </w:r>
      <w:r>
        <w:rPr>
          <w:spacing w:val="-3"/>
          <w:sz w:val="20"/>
        </w:rPr>
        <w:t xml:space="preserve"> </w:t>
      </w:r>
      <w:r>
        <w:rPr>
          <w:sz w:val="20"/>
        </w:rPr>
        <w:t>para dar cumplimiento a la misma.</w:t>
      </w:r>
    </w:p>
    <w:p w:rsidR="0092635B" w:rsidRDefault="00000000">
      <w:pPr>
        <w:pStyle w:val="Prrafodelista"/>
        <w:numPr>
          <w:ilvl w:val="0"/>
          <w:numId w:val="304"/>
        </w:numPr>
        <w:tabs>
          <w:tab w:val="left" w:pos="1670"/>
        </w:tabs>
        <w:spacing w:line="249" w:lineRule="auto"/>
        <w:ind w:right="1105" w:firstLine="340"/>
        <w:jc w:val="both"/>
        <w:rPr>
          <w:sz w:val="20"/>
        </w:rPr>
      </w:pPr>
      <w:r>
        <w:rPr>
          <w:sz w:val="20"/>
        </w:rPr>
        <w:t>Transcurridos</w:t>
      </w:r>
      <w:r>
        <w:rPr>
          <w:spacing w:val="-2"/>
          <w:sz w:val="20"/>
        </w:rPr>
        <w:t xml:space="preserve"> </w:t>
      </w:r>
      <w:r>
        <w:rPr>
          <w:sz w:val="20"/>
        </w:rPr>
        <w:t>dos</w:t>
      </w:r>
      <w:r>
        <w:rPr>
          <w:spacing w:val="-2"/>
          <w:sz w:val="20"/>
        </w:rPr>
        <w:t xml:space="preserve"> </w:t>
      </w:r>
      <w:r>
        <w:rPr>
          <w:sz w:val="20"/>
        </w:rPr>
        <w:t>meses</w:t>
      </w:r>
      <w:r>
        <w:rPr>
          <w:spacing w:val="-2"/>
          <w:sz w:val="20"/>
        </w:rPr>
        <w:t xml:space="preserve"> </w:t>
      </w:r>
      <w:r>
        <w:rPr>
          <w:sz w:val="20"/>
        </w:rPr>
        <w:t>contados</w:t>
      </w:r>
      <w:r>
        <w:rPr>
          <w:spacing w:val="-2"/>
          <w:sz w:val="20"/>
        </w:rPr>
        <w:t xml:space="preserve"> </w:t>
      </w:r>
      <w:r>
        <w:rPr>
          <w:sz w:val="20"/>
        </w:rPr>
        <w:t>desde</w:t>
      </w:r>
      <w:r>
        <w:rPr>
          <w:spacing w:val="-2"/>
          <w:sz w:val="20"/>
        </w:rPr>
        <w:t xml:space="preserve"> </w:t>
      </w:r>
      <w:r>
        <w:rPr>
          <w:sz w:val="20"/>
        </w:rPr>
        <w:t>el</w:t>
      </w:r>
      <w:r>
        <w:rPr>
          <w:spacing w:val="-2"/>
          <w:sz w:val="20"/>
        </w:rPr>
        <w:t xml:space="preserve"> </w:t>
      </w:r>
      <w:r>
        <w:rPr>
          <w:sz w:val="20"/>
        </w:rPr>
        <w:t>siguiente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interposición</w:t>
      </w:r>
      <w:r>
        <w:rPr>
          <w:spacing w:val="-2"/>
          <w:sz w:val="20"/>
        </w:rPr>
        <w:t xml:space="preserve"> </w:t>
      </w:r>
      <w:r>
        <w:rPr>
          <w:sz w:val="20"/>
        </w:rPr>
        <w:t>del</w:t>
      </w:r>
      <w:r>
        <w:rPr>
          <w:spacing w:val="-2"/>
          <w:sz w:val="20"/>
        </w:rPr>
        <w:t xml:space="preserve"> </w:t>
      </w:r>
      <w:r>
        <w:rPr>
          <w:sz w:val="20"/>
        </w:rPr>
        <w:t>recurso</w:t>
      </w:r>
      <w:r>
        <w:rPr>
          <w:spacing w:val="-2"/>
          <w:sz w:val="20"/>
        </w:rPr>
        <w:t xml:space="preserve"> </w:t>
      </w:r>
      <w:r>
        <w:rPr>
          <w:sz w:val="20"/>
        </w:rPr>
        <w:t>sin que se haya notificado su resolución, el interesado podrá considerarlo desestimado a los efectos de interponer recurso contencioso-administrativo.</w:t>
      </w:r>
    </w:p>
    <w:p w:rsidR="0092635B" w:rsidRDefault="00000000">
      <w:pPr>
        <w:spacing w:before="230"/>
        <w:ind w:left="1106"/>
        <w:rPr>
          <w:rFonts w:ascii="Arial" w:hAnsi="Arial"/>
          <w:i/>
          <w:sz w:val="20"/>
        </w:rPr>
      </w:pPr>
      <w:bookmarkStart w:id="90" w:name="Artículo_58._Indemnizaciones_y_multas."/>
      <w:bookmarkEnd w:id="90"/>
      <w:r>
        <w:rPr>
          <w:rFonts w:ascii="Arial" w:hAnsi="Arial"/>
          <w:b/>
          <w:sz w:val="20"/>
        </w:rPr>
        <w:t>Artículo 58.</w:t>
      </w:r>
      <w:r>
        <w:rPr>
          <w:rFonts w:ascii="Arial" w:hAnsi="Arial"/>
          <w:b/>
          <w:spacing w:val="54"/>
          <w:sz w:val="20"/>
        </w:rPr>
        <w:t xml:space="preserve"> </w:t>
      </w:r>
      <w:r>
        <w:rPr>
          <w:rFonts w:ascii="Arial" w:hAnsi="Arial"/>
          <w:i/>
          <w:sz w:val="20"/>
        </w:rPr>
        <w:t xml:space="preserve">Indemnizaciones y </w:t>
      </w:r>
      <w:r>
        <w:rPr>
          <w:rFonts w:ascii="Arial" w:hAnsi="Arial"/>
          <w:i/>
          <w:spacing w:val="-2"/>
          <w:sz w:val="20"/>
        </w:rPr>
        <w:t>multas.</w:t>
      </w:r>
    </w:p>
    <w:p w:rsidR="0092635B" w:rsidRDefault="00000000">
      <w:pPr>
        <w:pStyle w:val="Prrafodelista"/>
        <w:numPr>
          <w:ilvl w:val="0"/>
          <w:numId w:val="303"/>
        </w:numPr>
        <w:tabs>
          <w:tab w:val="left" w:pos="1679"/>
        </w:tabs>
        <w:spacing w:before="123" w:line="249" w:lineRule="auto"/>
        <w:ind w:right="1104" w:firstLine="340"/>
        <w:jc w:val="both"/>
        <w:rPr>
          <w:sz w:val="20"/>
        </w:rPr>
      </w:pPr>
      <w:r>
        <w:rPr>
          <w:sz w:val="20"/>
        </w:rPr>
        <w:t>El órgano competente para la resolución del recurso, a solicitud del interesado, podrá imponer a la entidad contratante la obligación de indemnizar a la persona interesada por los daños y perjuicios que le haya podido ocasionar la infracción legal que hubiese dado lugar al recurso, resarciéndole, cuando menos, de los gastos ocasionados por la preparación de la oferta o la participación en el procedimiento de contratación. La cuantía de la indemnización se fijará atendiendo en lo posible a los criterios establecidos en el Capítulo IV del Título Preliminar de la Ley 40/2015, de 1 de octubre, de Régimen Jurídico del Sector Público.</w:t>
      </w:r>
    </w:p>
    <w:p w:rsidR="0092635B" w:rsidRDefault="00000000">
      <w:pPr>
        <w:pStyle w:val="Prrafodelista"/>
        <w:numPr>
          <w:ilvl w:val="0"/>
          <w:numId w:val="303"/>
        </w:numPr>
        <w:tabs>
          <w:tab w:val="left" w:pos="1676"/>
        </w:tabs>
        <w:spacing w:before="6" w:line="249" w:lineRule="auto"/>
        <w:ind w:right="1105" w:firstLine="340"/>
        <w:jc w:val="both"/>
        <w:rPr>
          <w:sz w:val="20"/>
        </w:rPr>
      </w:pPr>
      <w:r>
        <w:rPr>
          <w:sz w:val="20"/>
        </w:rPr>
        <w:t>En caso de que el órgano competente aprecie temeridad o mala fe en la interposición del</w:t>
      </w:r>
      <w:r>
        <w:rPr>
          <w:spacing w:val="-2"/>
          <w:sz w:val="20"/>
        </w:rPr>
        <w:t xml:space="preserve"> </w:t>
      </w:r>
      <w:r>
        <w:rPr>
          <w:sz w:val="20"/>
        </w:rPr>
        <w:t>recurso</w:t>
      </w:r>
      <w:r>
        <w:rPr>
          <w:spacing w:val="-2"/>
          <w:sz w:val="20"/>
        </w:rPr>
        <w:t xml:space="preserve"> </w:t>
      </w:r>
      <w:r>
        <w:rPr>
          <w:sz w:val="20"/>
        </w:rPr>
        <w:t>o</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solicitud</w:t>
      </w:r>
      <w:r>
        <w:rPr>
          <w:spacing w:val="-2"/>
          <w:sz w:val="20"/>
        </w:rPr>
        <w:t xml:space="preserve"> </w:t>
      </w:r>
      <w:r>
        <w:rPr>
          <w:sz w:val="20"/>
        </w:rPr>
        <w:t>de</w:t>
      </w:r>
      <w:r>
        <w:rPr>
          <w:spacing w:val="-2"/>
          <w:sz w:val="20"/>
        </w:rPr>
        <w:t xml:space="preserve"> </w:t>
      </w:r>
      <w:r>
        <w:rPr>
          <w:sz w:val="20"/>
        </w:rPr>
        <w:t>medidas</w:t>
      </w:r>
      <w:r>
        <w:rPr>
          <w:spacing w:val="-2"/>
          <w:sz w:val="20"/>
        </w:rPr>
        <w:t xml:space="preserve"> </w:t>
      </w:r>
      <w:r>
        <w:rPr>
          <w:sz w:val="20"/>
        </w:rPr>
        <w:t>cautelares,</w:t>
      </w:r>
      <w:r>
        <w:rPr>
          <w:spacing w:val="-2"/>
          <w:sz w:val="20"/>
        </w:rPr>
        <w:t xml:space="preserve"> </w:t>
      </w:r>
      <w:r>
        <w:rPr>
          <w:sz w:val="20"/>
        </w:rPr>
        <w:t>podrá</w:t>
      </w:r>
      <w:r>
        <w:rPr>
          <w:spacing w:val="-2"/>
          <w:sz w:val="20"/>
        </w:rPr>
        <w:t xml:space="preserve"> </w:t>
      </w:r>
      <w:r>
        <w:rPr>
          <w:sz w:val="20"/>
        </w:rPr>
        <w:t>acordar</w:t>
      </w:r>
      <w:r>
        <w:rPr>
          <w:spacing w:val="-2"/>
          <w:sz w:val="20"/>
        </w:rPr>
        <w:t xml:space="preserve"> </w:t>
      </w:r>
      <w:r>
        <w:rPr>
          <w:sz w:val="20"/>
        </w:rPr>
        <w:t>la</w:t>
      </w:r>
      <w:r>
        <w:rPr>
          <w:spacing w:val="-2"/>
          <w:sz w:val="20"/>
        </w:rPr>
        <w:t xml:space="preserve"> </w:t>
      </w:r>
      <w:r>
        <w:rPr>
          <w:sz w:val="20"/>
        </w:rPr>
        <w:t>imposición</w:t>
      </w:r>
      <w:r>
        <w:rPr>
          <w:spacing w:val="-2"/>
          <w:sz w:val="20"/>
        </w:rPr>
        <w:t xml:space="preserve"> </w:t>
      </w:r>
      <w:r>
        <w:rPr>
          <w:sz w:val="20"/>
        </w:rPr>
        <w:t>de</w:t>
      </w:r>
      <w:r>
        <w:rPr>
          <w:spacing w:val="-2"/>
          <w:sz w:val="20"/>
        </w:rPr>
        <w:t xml:space="preserve"> </w:t>
      </w:r>
      <w:r>
        <w:rPr>
          <w:sz w:val="20"/>
        </w:rPr>
        <w:t>una</w:t>
      </w:r>
      <w:r>
        <w:rPr>
          <w:spacing w:val="-2"/>
          <w:sz w:val="20"/>
        </w:rPr>
        <w:t xml:space="preserve"> </w:t>
      </w:r>
      <w:r>
        <w:rPr>
          <w:sz w:val="20"/>
        </w:rPr>
        <w:t>multa al responsable de la misma.</w:t>
      </w:r>
    </w:p>
    <w:p w:rsidR="0092635B" w:rsidRDefault="00000000">
      <w:pPr>
        <w:pStyle w:val="Textoindependiente"/>
        <w:spacing w:line="249" w:lineRule="auto"/>
        <w:ind w:right="1104"/>
      </w:pPr>
      <w:r>
        <w:t>El</w:t>
      </w:r>
      <w:r>
        <w:rPr>
          <w:spacing w:val="-1"/>
        </w:rPr>
        <w:t xml:space="preserve"> </w:t>
      </w:r>
      <w:r>
        <w:t>importe</w:t>
      </w:r>
      <w:r>
        <w:rPr>
          <w:spacing w:val="-1"/>
        </w:rPr>
        <w:t xml:space="preserve"> </w:t>
      </w:r>
      <w:r>
        <w:t>de</w:t>
      </w:r>
      <w:r>
        <w:rPr>
          <w:spacing w:val="-1"/>
        </w:rPr>
        <w:t xml:space="preserve"> </w:t>
      </w:r>
      <w:r>
        <w:t>la</w:t>
      </w:r>
      <w:r>
        <w:rPr>
          <w:spacing w:val="-1"/>
        </w:rPr>
        <w:t xml:space="preserve"> </w:t>
      </w:r>
      <w:r>
        <w:t>multa</w:t>
      </w:r>
      <w:r>
        <w:rPr>
          <w:spacing w:val="-1"/>
        </w:rPr>
        <w:t xml:space="preserve"> </w:t>
      </w:r>
      <w:r>
        <w:t>será</w:t>
      </w:r>
      <w:r>
        <w:rPr>
          <w:spacing w:val="-1"/>
        </w:rPr>
        <w:t xml:space="preserve"> </w:t>
      </w:r>
      <w:r>
        <w:t>de</w:t>
      </w:r>
      <w:r>
        <w:rPr>
          <w:spacing w:val="-1"/>
        </w:rPr>
        <w:t xml:space="preserve"> </w:t>
      </w:r>
      <w:r>
        <w:t>entre</w:t>
      </w:r>
      <w:r>
        <w:rPr>
          <w:spacing w:val="-1"/>
        </w:rPr>
        <w:t xml:space="preserve"> </w:t>
      </w:r>
      <w:r>
        <w:t>1.000</w:t>
      </w:r>
      <w:r>
        <w:rPr>
          <w:spacing w:val="-1"/>
        </w:rPr>
        <w:t xml:space="preserve"> </w:t>
      </w:r>
      <w:r>
        <w:t>y</w:t>
      </w:r>
      <w:r>
        <w:rPr>
          <w:spacing w:val="-1"/>
        </w:rPr>
        <w:t xml:space="preserve"> </w:t>
      </w:r>
      <w:r>
        <w:t>30.000</w:t>
      </w:r>
      <w:r>
        <w:rPr>
          <w:spacing w:val="-1"/>
        </w:rPr>
        <w:t xml:space="preserve"> </w:t>
      </w:r>
      <w:r>
        <w:t>euros,</w:t>
      </w:r>
      <w:r>
        <w:rPr>
          <w:spacing w:val="-1"/>
        </w:rPr>
        <w:t xml:space="preserve"> </w:t>
      </w:r>
      <w:r>
        <w:t>determinándose</w:t>
      </w:r>
      <w:r>
        <w:rPr>
          <w:spacing w:val="-1"/>
        </w:rPr>
        <w:t xml:space="preserve"> </w:t>
      </w:r>
      <w:r>
        <w:t>su</w:t>
      </w:r>
      <w:r>
        <w:rPr>
          <w:spacing w:val="-1"/>
        </w:rPr>
        <w:t xml:space="preserve"> </w:t>
      </w:r>
      <w:r>
        <w:t>cuantía</w:t>
      </w:r>
      <w:r>
        <w:rPr>
          <w:spacing w:val="-1"/>
        </w:rPr>
        <w:t xml:space="preserve"> </w:t>
      </w:r>
      <w:r>
        <w:t>en función de la mala fe apreciada y el perjuicio ocasionado al órgano de contratación y a los restantes licitadores, así como del cálculo de los beneficios obtenidos.</w:t>
      </w:r>
    </w:p>
    <w:p w:rsidR="0092635B" w:rsidRDefault="00000000">
      <w:pPr>
        <w:pStyle w:val="Textoindependiente"/>
        <w:spacing w:before="3"/>
        <w:ind w:left="1446" w:firstLine="0"/>
      </w:pPr>
      <w:r>
        <w:t>El</w:t>
      </w:r>
      <w:r>
        <w:rPr>
          <w:spacing w:val="-7"/>
        </w:rPr>
        <w:t xml:space="preserve"> </w:t>
      </w:r>
      <w:r>
        <w:t>importe</w:t>
      </w:r>
      <w:r>
        <w:rPr>
          <w:spacing w:val="-5"/>
        </w:rPr>
        <w:t xml:space="preserve"> </w:t>
      </w:r>
      <w:r>
        <w:t>de</w:t>
      </w:r>
      <w:r>
        <w:rPr>
          <w:spacing w:val="-4"/>
        </w:rPr>
        <w:t xml:space="preserve"> </w:t>
      </w:r>
      <w:r>
        <w:t>la</w:t>
      </w:r>
      <w:r>
        <w:rPr>
          <w:spacing w:val="-5"/>
        </w:rPr>
        <w:t xml:space="preserve"> </w:t>
      </w:r>
      <w:r>
        <w:t>multa</w:t>
      </w:r>
      <w:r>
        <w:rPr>
          <w:spacing w:val="-5"/>
        </w:rPr>
        <w:t xml:space="preserve"> </w:t>
      </w:r>
      <w:r>
        <w:t>impuesta</w:t>
      </w:r>
      <w:r>
        <w:rPr>
          <w:spacing w:val="-4"/>
        </w:rPr>
        <w:t xml:space="preserve"> </w:t>
      </w:r>
      <w:r>
        <w:t>se</w:t>
      </w:r>
      <w:r>
        <w:rPr>
          <w:spacing w:val="-5"/>
        </w:rPr>
        <w:t xml:space="preserve"> </w:t>
      </w:r>
      <w:r>
        <w:t>ingresará</w:t>
      </w:r>
      <w:r>
        <w:rPr>
          <w:spacing w:val="-5"/>
        </w:rPr>
        <w:t xml:space="preserve"> </w:t>
      </w:r>
      <w:r>
        <w:t>en</w:t>
      </w:r>
      <w:r>
        <w:rPr>
          <w:spacing w:val="-4"/>
        </w:rPr>
        <w:t xml:space="preserve"> </w:t>
      </w:r>
      <w:r>
        <w:t>todo</w:t>
      </w:r>
      <w:r>
        <w:rPr>
          <w:spacing w:val="-5"/>
        </w:rPr>
        <w:t xml:space="preserve"> </w:t>
      </w:r>
      <w:r>
        <w:t>caso</w:t>
      </w:r>
      <w:r>
        <w:rPr>
          <w:spacing w:val="-5"/>
        </w:rPr>
        <w:t xml:space="preserve"> </w:t>
      </w:r>
      <w:r>
        <w:t>en</w:t>
      </w:r>
      <w:r>
        <w:rPr>
          <w:spacing w:val="-4"/>
        </w:rPr>
        <w:t xml:space="preserve"> </w:t>
      </w:r>
      <w:r>
        <w:t>el</w:t>
      </w:r>
      <w:r>
        <w:rPr>
          <w:spacing w:val="-5"/>
        </w:rPr>
        <w:t xml:space="preserve"> </w:t>
      </w:r>
      <w:r>
        <w:t>Tesoro</w:t>
      </w:r>
      <w:r>
        <w:rPr>
          <w:spacing w:val="-4"/>
        </w:rPr>
        <w:t xml:space="preserve"> </w:t>
      </w:r>
      <w:r>
        <w:rPr>
          <w:spacing w:val="-2"/>
        </w:rPr>
        <w:t>Público.</w:t>
      </w:r>
    </w:p>
    <w:p w:rsidR="0092635B" w:rsidRDefault="00000000">
      <w:pPr>
        <w:pStyle w:val="Textoindependiente"/>
        <w:spacing w:before="10" w:line="249" w:lineRule="auto"/>
        <w:ind w:right="1105"/>
      </w:pPr>
      <w:r>
        <w:t>Las cuantías indicadas en este apartado podrán ser actualizadas por Orden del Ministro de Hacienda y Función Pública.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0"/>
        <w:ind w:left="0" w:firstLine="0"/>
        <w:jc w:val="left"/>
      </w:pPr>
    </w:p>
    <w:p w:rsidR="0092635B" w:rsidRDefault="0092635B">
      <w:pPr>
        <w:pStyle w:val="Textoindependiente"/>
        <w:spacing w:before="64"/>
        <w:ind w:left="0" w:firstLine="0"/>
        <w:jc w:val="left"/>
      </w:pPr>
    </w:p>
    <w:p w:rsidR="0092635B" w:rsidRDefault="00000000">
      <w:pPr>
        <w:pStyle w:val="Textoindependiente"/>
        <w:spacing w:before="0"/>
        <w:ind w:left="1105" w:firstLine="0"/>
        <w:jc w:val="left"/>
      </w:pPr>
      <w:r>
        <w:rPr>
          <w:noProof/>
        </w:rPr>
        <mc:AlternateContent>
          <mc:Choice Requires="wps">
            <w:drawing>
              <wp:inline distT="0" distB="0" distL="0" distR="0">
                <wp:extent cx="5247005" cy="786765"/>
                <wp:effectExtent l="9525" t="0" r="1270" b="13334"/>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2 es conforme con el orden constitucional de competencias, siempre que se interprete en los términos establecidos en el fundamento</w:t>
                            </w:r>
                            <w:r>
                              <w:rPr>
                                <w:color w:val="000000"/>
                                <w:spacing w:val="34"/>
                                <w:sz w:val="18"/>
                              </w:rPr>
                              <w:t xml:space="preserve"> </w:t>
                            </w:r>
                            <w:r>
                              <w:rPr>
                                <w:color w:val="000000"/>
                                <w:sz w:val="18"/>
                              </w:rPr>
                              <w:t>jurídico</w:t>
                            </w:r>
                            <w:r>
                              <w:rPr>
                                <w:color w:val="000000"/>
                                <w:spacing w:val="34"/>
                                <w:sz w:val="18"/>
                              </w:rPr>
                              <w:t xml:space="preserve"> </w:t>
                            </w:r>
                            <w:r>
                              <w:rPr>
                                <w:color w:val="000000"/>
                                <w:sz w:val="18"/>
                              </w:rPr>
                              <w:t>6</w:t>
                            </w:r>
                            <w:r>
                              <w:rPr>
                                <w:color w:val="000000"/>
                                <w:spacing w:val="34"/>
                                <w:sz w:val="18"/>
                              </w:rPr>
                              <w:t xml:space="preserve"> </w:t>
                            </w:r>
                            <w:r>
                              <w:rPr>
                                <w:color w:val="000000"/>
                                <w:sz w:val="18"/>
                              </w:rPr>
                              <w:t>E)</w:t>
                            </w:r>
                            <w:r>
                              <w:rPr>
                                <w:color w:val="000000"/>
                                <w:spacing w:val="34"/>
                                <w:sz w:val="18"/>
                              </w:rPr>
                              <w:t xml:space="preserve"> </w:t>
                            </w:r>
                            <w:r>
                              <w:rPr>
                                <w:color w:val="000000"/>
                                <w:sz w:val="18"/>
                              </w:rPr>
                              <w:t>d),</w:t>
                            </w:r>
                            <w:r>
                              <w:rPr>
                                <w:color w:val="000000"/>
                                <w:spacing w:val="34"/>
                                <w:sz w:val="18"/>
                              </w:rPr>
                              <w:t xml:space="preserve"> </w:t>
                            </w:r>
                            <w:r>
                              <w:rPr>
                                <w:color w:val="000000"/>
                                <w:sz w:val="18"/>
                              </w:rPr>
                              <w:t>por</w:t>
                            </w:r>
                            <w:r>
                              <w:rPr>
                                <w:color w:val="000000"/>
                                <w:spacing w:val="34"/>
                                <w:sz w:val="18"/>
                              </w:rPr>
                              <w:t xml:space="preserve"> </w:t>
                            </w:r>
                            <w:r>
                              <w:rPr>
                                <w:color w:val="000000"/>
                                <w:sz w:val="18"/>
                              </w:rPr>
                              <w:t>la</w:t>
                            </w:r>
                            <w:r>
                              <w:rPr>
                                <w:color w:val="000000"/>
                                <w:spacing w:val="34"/>
                                <w:sz w:val="18"/>
                              </w:rPr>
                              <w:t xml:space="preserve"> </w:t>
                            </w:r>
                            <w:r>
                              <w:rPr>
                                <w:color w:val="000000"/>
                                <w:sz w:val="18"/>
                              </w:rPr>
                              <w:t>Sentencia</w:t>
                            </w:r>
                            <w:r>
                              <w:rPr>
                                <w:color w:val="000000"/>
                                <w:spacing w:val="34"/>
                                <w:sz w:val="18"/>
                              </w:rPr>
                              <w:t xml:space="preserve"> </w:t>
                            </w:r>
                            <w:r>
                              <w:rPr>
                                <w:color w:val="000000"/>
                                <w:sz w:val="18"/>
                              </w:rPr>
                              <w:t>del</w:t>
                            </w:r>
                            <w:r>
                              <w:rPr>
                                <w:color w:val="000000"/>
                                <w:spacing w:val="34"/>
                                <w:sz w:val="18"/>
                              </w:rPr>
                              <w:t xml:space="preserve"> </w:t>
                            </w:r>
                            <w:r>
                              <w:rPr>
                                <w:color w:val="000000"/>
                                <w:sz w:val="18"/>
                              </w:rPr>
                              <w:t>TC</w:t>
                            </w:r>
                            <w:r>
                              <w:rPr>
                                <w:color w:val="000000"/>
                                <w:spacing w:val="34"/>
                                <w:sz w:val="18"/>
                              </w:rPr>
                              <w:t xml:space="preserve"> </w:t>
                            </w:r>
                            <w:r>
                              <w:rPr>
                                <w:color w:val="000000"/>
                                <w:sz w:val="18"/>
                              </w:rPr>
                              <w:t>68/2021,</w:t>
                            </w:r>
                            <w:r>
                              <w:rPr>
                                <w:color w:val="000000"/>
                                <w:spacing w:val="34"/>
                                <w:sz w:val="18"/>
                              </w:rPr>
                              <w:t xml:space="preserve"> </w:t>
                            </w:r>
                            <w:r>
                              <w:rPr>
                                <w:color w:val="000000"/>
                                <w:sz w:val="18"/>
                              </w:rPr>
                              <w:t>de</w:t>
                            </w:r>
                            <w:r>
                              <w:rPr>
                                <w:color w:val="000000"/>
                                <w:spacing w:val="34"/>
                                <w:sz w:val="18"/>
                              </w:rPr>
                              <w:t xml:space="preserve"> </w:t>
                            </w:r>
                            <w:r>
                              <w:rPr>
                                <w:color w:val="000000"/>
                                <w:sz w:val="18"/>
                              </w:rPr>
                              <w:t>18</w:t>
                            </w:r>
                            <w:r>
                              <w:rPr>
                                <w:color w:val="000000"/>
                                <w:spacing w:val="34"/>
                                <w:sz w:val="18"/>
                              </w:rPr>
                              <w:t xml:space="preserve"> </w:t>
                            </w:r>
                            <w:r>
                              <w:rPr>
                                <w:color w:val="000000"/>
                                <w:sz w:val="18"/>
                              </w:rPr>
                              <w:t>de</w:t>
                            </w:r>
                            <w:r>
                              <w:rPr>
                                <w:color w:val="000000"/>
                                <w:spacing w:val="34"/>
                                <w:sz w:val="18"/>
                              </w:rPr>
                              <w:t xml:space="preserve"> </w:t>
                            </w:r>
                            <w:r>
                              <w:rPr>
                                <w:color w:val="000000"/>
                                <w:sz w:val="18"/>
                              </w:rPr>
                              <w:t>marzo.</w:t>
                            </w:r>
                            <w:r>
                              <w:rPr>
                                <w:color w:val="000000"/>
                                <w:spacing w:val="33"/>
                                <w:sz w:val="18"/>
                              </w:rPr>
                              <w:t xml:space="preserve"> </w:t>
                            </w:r>
                            <w:hyperlink r:id="rId19">
                              <w:r>
                                <w:rPr>
                                  <w:color w:val="0000FF"/>
                                  <w:sz w:val="18"/>
                                  <w:u w:val="single" w:color="0000FF"/>
                                </w:rPr>
                                <w:t>Ref.</w:t>
                              </w:r>
                              <w:r>
                                <w:rPr>
                                  <w:color w:val="0000FF"/>
                                  <w:spacing w:val="34"/>
                                  <w:sz w:val="18"/>
                                  <w:u w:val="single" w:color="0000FF"/>
                                </w:rPr>
                                <w:t xml:space="preserve"> </w:t>
                              </w:r>
                              <w:r>
                                <w:rPr>
                                  <w:color w:val="0000FF"/>
                                  <w:sz w:val="18"/>
                                  <w:u w:val="single" w:color="0000FF"/>
                                </w:rPr>
                                <w:t>BOE-</w:t>
                              </w:r>
                            </w:hyperlink>
                            <w:r>
                              <w:rPr>
                                <w:color w:val="0000FF"/>
                                <w:sz w:val="18"/>
                              </w:rPr>
                              <w:t xml:space="preserve"> </w:t>
                            </w:r>
                            <w:hyperlink r:id="rId20">
                              <w:r>
                                <w:rPr>
                                  <w:color w:val="0000FF"/>
                                  <w:spacing w:val="-2"/>
                                  <w:sz w:val="18"/>
                                  <w:u w:val="single" w:color="0000FF"/>
                                </w:rPr>
                                <w:t>A-2021-6614</w:t>
                              </w:r>
                            </w:hyperlink>
                          </w:p>
                        </w:txbxContent>
                      </wps:txbx>
                      <wps:bodyPr wrap="square" lIns="0" tIns="0" rIns="0" bIns="0" rtlCol="0">
                        <a:noAutofit/>
                      </wps:bodyPr>
                    </wps:wsp>
                  </a:graphicData>
                </a:graphic>
              </wp:inline>
            </w:drawing>
          </mc:Choice>
          <mc:Fallback>
            <w:pict>
              <v:shape id="Textbox 14" o:spid="_x0000_s1029" type="#_x0000_t202" style="width:413.15pt;height:6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2 es conforme con el orden constitucional de competencias, siempre que se interprete en los términos establecidos en el fundamento</w:t>
                      </w:r>
                      <w:r>
                        <w:rPr>
                          <w:color w:val="000000"/>
                          <w:spacing w:val="34"/>
                          <w:sz w:val="18"/>
                        </w:rPr>
                        <w:t xml:space="preserve"> </w:t>
                      </w:r>
                      <w:r>
                        <w:rPr>
                          <w:color w:val="000000"/>
                          <w:sz w:val="18"/>
                        </w:rPr>
                        <w:t>jurídico</w:t>
                      </w:r>
                      <w:r>
                        <w:rPr>
                          <w:color w:val="000000"/>
                          <w:spacing w:val="34"/>
                          <w:sz w:val="18"/>
                        </w:rPr>
                        <w:t xml:space="preserve"> </w:t>
                      </w:r>
                      <w:r>
                        <w:rPr>
                          <w:color w:val="000000"/>
                          <w:sz w:val="18"/>
                        </w:rPr>
                        <w:t>6</w:t>
                      </w:r>
                      <w:r>
                        <w:rPr>
                          <w:color w:val="000000"/>
                          <w:spacing w:val="34"/>
                          <w:sz w:val="18"/>
                        </w:rPr>
                        <w:t xml:space="preserve"> </w:t>
                      </w:r>
                      <w:r>
                        <w:rPr>
                          <w:color w:val="000000"/>
                          <w:sz w:val="18"/>
                        </w:rPr>
                        <w:t>E)</w:t>
                      </w:r>
                      <w:r>
                        <w:rPr>
                          <w:color w:val="000000"/>
                          <w:spacing w:val="34"/>
                          <w:sz w:val="18"/>
                        </w:rPr>
                        <w:t xml:space="preserve"> </w:t>
                      </w:r>
                      <w:r>
                        <w:rPr>
                          <w:color w:val="000000"/>
                          <w:sz w:val="18"/>
                        </w:rPr>
                        <w:t>d),</w:t>
                      </w:r>
                      <w:r>
                        <w:rPr>
                          <w:color w:val="000000"/>
                          <w:spacing w:val="34"/>
                          <w:sz w:val="18"/>
                        </w:rPr>
                        <w:t xml:space="preserve"> </w:t>
                      </w:r>
                      <w:r>
                        <w:rPr>
                          <w:color w:val="000000"/>
                          <w:sz w:val="18"/>
                        </w:rPr>
                        <w:t>por</w:t>
                      </w:r>
                      <w:r>
                        <w:rPr>
                          <w:color w:val="000000"/>
                          <w:spacing w:val="34"/>
                          <w:sz w:val="18"/>
                        </w:rPr>
                        <w:t xml:space="preserve"> </w:t>
                      </w:r>
                      <w:r>
                        <w:rPr>
                          <w:color w:val="000000"/>
                          <w:sz w:val="18"/>
                        </w:rPr>
                        <w:t>la</w:t>
                      </w:r>
                      <w:r>
                        <w:rPr>
                          <w:color w:val="000000"/>
                          <w:spacing w:val="34"/>
                          <w:sz w:val="18"/>
                        </w:rPr>
                        <w:t xml:space="preserve"> </w:t>
                      </w:r>
                      <w:r>
                        <w:rPr>
                          <w:color w:val="000000"/>
                          <w:sz w:val="18"/>
                        </w:rPr>
                        <w:t>Sentencia</w:t>
                      </w:r>
                      <w:r>
                        <w:rPr>
                          <w:color w:val="000000"/>
                          <w:spacing w:val="34"/>
                          <w:sz w:val="18"/>
                        </w:rPr>
                        <w:t xml:space="preserve"> </w:t>
                      </w:r>
                      <w:r>
                        <w:rPr>
                          <w:color w:val="000000"/>
                          <w:sz w:val="18"/>
                        </w:rPr>
                        <w:t>del</w:t>
                      </w:r>
                      <w:r>
                        <w:rPr>
                          <w:color w:val="000000"/>
                          <w:spacing w:val="34"/>
                          <w:sz w:val="18"/>
                        </w:rPr>
                        <w:t xml:space="preserve"> </w:t>
                      </w:r>
                      <w:r>
                        <w:rPr>
                          <w:color w:val="000000"/>
                          <w:sz w:val="18"/>
                        </w:rPr>
                        <w:t>TC</w:t>
                      </w:r>
                      <w:r>
                        <w:rPr>
                          <w:color w:val="000000"/>
                          <w:spacing w:val="34"/>
                          <w:sz w:val="18"/>
                        </w:rPr>
                        <w:t xml:space="preserve"> </w:t>
                      </w:r>
                      <w:r>
                        <w:rPr>
                          <w:color w:val="000000"/>
                          <w:sz w:val="18"/>
                        </w:rPr>
                        <w:t>68/2021,</w:t>
                      </w:r>
                      <w:r>
                        <w:rPr>
                          <w:color w:val="000000"/>
                          <w:spacing w:val="34"/>
                          <w:sz w:val="18"/>
                        </w:rPr>
                        <w:t xml:space="preserve"> </w:t>
                      </w:r>
                      <w:r>
                        <w:rPr>
                          <w:color w:val="000000"/>
                          <w:sz w:val="18"/>
                        </w:rPr>
                        <w:t>de</w:t>
                      </w:r>
                      <w:r>
                        <w:rPr>
                          <w:color w:val="000000"/>
                          <w:spacing w:val="34"/>
                          <w:sz w:val="18"/>
                        </w:rPr>
                        <w:t xml:space="preserve"> </w:t>
                      </w:r>
                      <w:r>
                        <w:rPr>
                          <w:color w:val="000000"/>
                          <w:sz w:val="18"/>
                        </w:rPr>
                        <w:t>18</w:t>
                      </w:r>
                      <w:r>
                        <w:rPr>
                          <w:color w:val="000000"/>
                          <w:spacing w:val="34"/>
                          <w:sz w:val="18"/>
                        </w:rPr>
                        <w:t xml:space="preserve"> </w:t>
                      </w:r>
                      <w:r>
                        <w:rPr>
                          <w:color w:val="000000"/>
                          <w:sz w:val="18"/>
                        </w:rPr>
                        <w:t>de</w:t>
                      </w:r>
                      <w:r>
                        <w:rPr>
                          <w:color w:val="000000"/>
                          <w:spacing w:val="34"/>
                          <w:sz w:val="18"/>
                        </w:rPr>
                        <w:t xml:space="preserve"> </w:t>
                      </w:r>
                      <w:r>
                        <w:rPr>
                          <w:color w:val="000000"/>
                          <w:sz w:val="18"/>
                        </w:rPr>
                        <w:t>marzo.</w:t>
                      </w:r>
                      <w:r>
                        <w:rPr>
                          <w:color w:val="000000"/>
                          <w:spacing w:val="33"/>
                          <w:sz w:val="18"/>
                        </w:rPr>
                        <w:t xml:space="preserve"> </w:t>
                      </w:r>
                      <w:hyperlink r:id="rId21">
                        <w:r>
                          <w:rPr>
                            <w:color w:val="0000FF"/>
                            <w:sz w:val="18"/>
                            <w:u w:val="single" w:color="0000FF"/>
                          </w:rPr>
                          <w:t>Ref.</w:t>
                        </w:r>
                        <w:r>
                          <w:rPr>
                            <w:color w:val="0000FF"/>
                            <w:spacing w:val="34"/>
                            <w:sz w:val="18"/>
                            <w:u w:val="single" w:color="0000FF"/>
                          </w:rPr>
                          <w:t xml:space="preserve"> </w:t>
                        </w:r>
                        <w:r>
                          <w:rPr>
                            <w:color w:val="0000FF"/>
                            <w:sz w:val="18"/>
                            <w:u w:val="single" w:color="0000FF"/>
                          </w:rPr>
                          <w:t>BOE-</w:t>
                        </w:r>
                      </w:hyperlink>
                      <w:r>
                        <w:rPr>
                          <w:color w:val="0000FF"/>
                          <w:sz w:val="18"/>
                        </w:rPr>
                        <w:t xml:space="preserve"> </w:t>
                      </w:r>
                      <w:hyperlink r:id="rId22">
                        <w:r>
                          <w:rPr>
                            <w:color w:val="0000FF"/>
                            <w:spacing w:val="-2"/>
                            <w:sz w:val="18"/>
                            <w:u w:val="single" w:color="0000FF"/>
                          </w:rPr>
                          <w:t>A-2021-6614</w:t>
                        </w:r>
                      </w:hyperlink>
                    </w:p>
                  </w:txbxContent>
                </v:textbox>
                <w10:anchorlock/>
              </v:shape>
            </w:pict>
          </mc:Fallback>
        </mc:AlternateContent>
      </w:r>
    </w:p>
    <w:p w:rsidR="0092635B" w:rsidRDefault="0092635B">
      <w:pPr>
        <w:pStyle w:val="Textoindependiente"/>
        <w:spacing w:before="0"/>
        <w:ind w:left="0" w:firstLine="0"/>
        <w:jc w:val="left"/>
      </w:pPr>
    </w:p>
    <w:p w:rsidR="0092635B" w:rsidRDefault="0092635B">
      <w:pPr>
        <w:pStyle w:val="Textoindependiente"/>
        <w:spacing w:before="103"/>
        <w:ind w:left="0" w:firstLine="0"/>
        <w:jc w:val="left"/>
      </w:pPr>
    </w:p>
    <w:p w:rsidR="0092635B" w:rsidRDefault="00000000">
      <w:pPr>
        <w:ind w:left="851" w:right="4167"/>
        <w:jc w:val="right"/>
        <w:rPr>
          <w:rFonts w:ascii="Arial" w:hAnsi="Arial"/>
          <w:i/>
          <w:sz w:val="20"/>
        </w:rPr>
      </w:pPr>
      <w:bookmarkStart w:id="91" w:name="Artículo_59._Efectos_de_la_resolución_de"/>
      <w:bookmarkEnd w:id="91"/>
      <w:r>
        <w:rPr>
          <w:rFonts w:ascii="Arial" w:hAnsi="Arial"/>
          <w:b/>
          <w:sz w:val="20"/>
        </w:rPr>
        <w:t>Artículo</w:t>
      </w:r>
      <w:r>
        <w:rPr>
          <w:rFonts w:ascii="Arial" w:hAnsi="Arial"/>
          <w:b/>
          <w:spacing w:val="-3"/>
          <w:sz w:val="20"/>
        </w:rPr>
        <w:t xml:space="preserve"> </w:t>
      </w:r>
      <w:r>
        <w:rPr>
          <w:rFonts w:ascii="Arial" w:hAnsi="Arial"/>
          <w:b/>
          <w:sz w:val="20"/>
        </w:rPr>
        <w:t>59.</w:t>
      </w:r>
      <w:r>
        <w:rPr>
          <w:rFonts w:ascii="Arial" w:hAnsi="Arial"/>
          <w:b/>
          <w:spacing w:val="50"/>
          <w:sz w:val="20"/>
        </w:rPr>
        <w:t xml:space="preserve"> </w:t>
      </w:r>
      <w:r>
        <w:rPr>
          <w:rFonts w:ascii="Arial" w:hAnsi="Arial"/>
          <w:i/>
          <w:sz w:val="20"/>
        </w:rPr>
        <w:t>Efectos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resolución</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recurso</w:t>
      </w:r>
      <w:r>
        <w:rPr>
          <w:rFonts w:ascii="Arial" w:hAnsi="Arial"/>
          <w:i/>
          <w:spacing w:val="-2"/>
          <w:sz w:val="20"/>
        </w:rPr>
        <w:t xml:space="preserve"> especial.</w:t>
      </w:r>
    </w:p>
    <w:p w:rsidR="0092635B" w:rsidRDefault="00000000">
      <w:pPr>
        <w:pStyle w:val="Prrafodelista"/>
        <w:numPr>
          <w:ilvl w:val="0"/>
          <w:numId w:val="302"/>
        </w:numPr>
        <w:tabs>
          <w:tab w:val="left" w:pos="1714"/>
        </w:tabs>
        <w:spacing w:before="123" w:line="249" w:lineRule="auto"/>
        <w:ind w:right="1104" w:firstLine="340"/>
        <w:jc w:val="both"/>
        <w:rPr>
          <w:sz w:val="20"/>
        </w:rPr>
      </w:pPr>
      <w:r>
        <w:rPr>
          <w:sz w:val="20"/>
        </w:rPr>
        <w:t>Contra la resolución dictada en este procedimiento solo cabrá la interposición de recurso contencioso-administrativo conforme a lo dispuesto en el artículo 10, letras k) y l) del apartado 1 y en el artículo 11, letra f) de su apartado 1 de la Ley 29/1998, de 13 de julio, reguladora de la Jurisdicción Contencioso-administrativa.</w:t>
      </w:r>
    </w:p>
    <w:p w:rsidR="0092635B" w:rsidRDefault="00000000">
      <w:pPr>
        <w:pStyle w:val="Prrafodelista"/>
        <w:numPr>
          <w:ilvl w:val="0"/>
          <w:numId w:val="302"/>
        </w:numPr>
        <w:tabs>
          <w:tab w:val="left" w:pos="1689"/>
        </w:tabs>
        <w:spacing w:before="3" w:line="249" w:lineRule="auto"/>
        <w:ind w:right="1106" w:firstLine="340"/>
        <w:jc w:val="both"/>
        <w:rPr>
          <w:sz w:val="20"/>
        </w:rPr>
      </w:pPr>
      <w:r>
        <w:rPr>
          <w:sz w:val="20"/>
        </w:rPr>
        <w:t xml:space="preserve">Sin perjuicio de lo dispuesto en el apartado anterior, la resolución será directamente </w:t>
      </w:r>
      <w:r>
        <w:rPr>
          <w:spacing w:val="-2"/>
          <w:sz w:val="20"/>
        </w:rPr>
        <w:t>ejecutiva.</w:t>
      </w:r>
    </w:p>
    <w:p w:rsidR="0092635B" w:rsidRDefault="00000000">
      <w:pPr>
        <w:pStyle w:val="Prrafodelista"/>
        <w:numPr>
          <w:ilvl w:val="0"/>
          <w:numId w:val="302"/>
        </w:numPr>
        <w:tabs>
          <w:tab w:val="left" w:pos="1674"/>
        </w:tabs>
        <w:spacing w:line="249" w:lineRule="auto"/>
        <w:ind w:firstLine="340"/>
        <w:jc w:val="both"/>
        <w:rPr>
          <w:sz w:val="20"/>
        </w:rPr>
      </w:pPr>
      <w:r>
        <w:rPr>
          <w:sz w:val="20"/>
        </w:rPr>
        <w:t>No procederá la revisión de oficio de la resolución ni de ninguno de los actos dictados por los órganos competentes para la resolución del recurso. Tampoco estarán sujetos a fiscalización por los órganos de control interno de las Administraciones a que cada uno de ellos se encuentre adscrito.</w:t>
      </w:r>
    </w:p>
    <w:p w:rsidR="0092635B" w:rsidRDefault="00000000">
      <w:pPr>
        <w:pStyle w:val="Textoindependiente"/>
        <w:spacing w:before="3" w:line="249" w:lineRule="auto"/>
        <w:ind w:right="1102"/>
      </w:pPr>
      <w:r>
        <w:t>Los órganos competentes para la resolución del recurso podrán rectificar en cualquier momento, de oficio o a instancia de los interesados, los errores materiales, de hecho o aritméticos existentes en sus actos, incluida la resolución del recurso.</w:t>
      </w:r>
    </w:p>
    <w:p w:rsidR="0092635B" w:rsidRDefault="00000000">
      <w:pPr>
        <w:spacing w:before="230" w:line="249" w:lineRule="auto"/>
        <w:ind w:left="1106" w:right="1120"/>
        <w:rPr>
          <w:rFonts w:ascii="Arial" w:hAnsi="Arial"/>
          <w:i/>
          <w:sz w:val="20"/>
        </w:rPr>
      </w:pPr>
      <w:bookmarkStart w:id="92" w:name="Artículo_60._Emplazamiento_de_las_partes"/>
      <w:bookmarkEnd w:id="92"/>
      <w:r>
        <w:rPr>
          <w:rFonts w:ascii="Arial" w:hAnsi="Arial"/>
          <w:b/>
          <w:sz w:val="20"/>
        </w:rPr>
        <w:t>Artículo 60.</w:t>
      </w:r>
      <w:r>
        <w:rPr>
          <w:rFonts w:ascii="Arial" w:hAnsi="Arial"/>
          <w:b/>
          <w:spacing w:val="80"/>
          <w:sz w:val="20"/>
        </w:rPr>
        <w:t xml:space="preserve"> </w:t>
      </w:r>
      <w:r>
        <w:rPr>
          <w:rFonts w:ascii="Arial" w:hAnsi="Arial"/>
          <w:i/>
          <w:sz w:val="20"/>
        </w:rPr>
        <w:t xml:space="preserve">Emplazamiento de las partes ante los órganos de la jurisdicción contencioso- </w:t>
      </w:r>
      <w:r>
        <w:rPr>
          <w:rFonts w:ascii="Arial" w:hAnsi="Arial"/>
          <w:i/>
          <w:spacing w:val="-2"/>
          <w:sz w:val="20"/>
        </w:rPr>
        <w:t>administrativa.</w:t>
      </w:r>
    </w:p>
    <w:p w:rsidR="0092635B" w:rsidRDefault="00000000">
      <w:pPr>
        <w:pStyle w:val="Prrafodelista"/>
        <w:numPr>
          <w:ilvl w:val="0"/>
          <w:numId w:val="301"/>
        </w:numPr>
        <w:tabs>
          <w:tab w:val="left" w:pos="1690"/>
        </w:tabs>
        <w:spacing w:before="115" w:line="249" w:lineRule="auto"/>
        <w:ind w:right="1104" w:firstLine="340"/>
        <w:jc w:val="both"/>
        <w:rPr>
          <w:sz w:val="20"/>
        </w:rPr>
      </w:pPr>
      <w:r>
        <w:rPr>
          <w:sz w:val="20"/>
        </w:rPr>
        <w:t>Cuando contra una resolución del órgano competente para la resolución del recurso</w:t>
      </w:r>
      <w:r>
        <w:rPr>
          <w:spacing w:val="40"/>
          <w:sz w:val="20"/>
        </w:rPr>
        <w:t xml:space="preserve"> </w:t>
      </w:r>
      <w:r>
        <w:rPr>
          <w:sz w:val="20"/>
        </w:rPr>
        <w:t>se interponga recurso contencioso administrativo, aquel, una vez recibida la diligencia del Tribunal jurisdiccional reclamando el expediente administrativo, procederá a emplazar para su comparecencia ante la Sala correspondiente al órgano de contratación autor del acto que hubiera sido objeto del recurso y a los restantes comparecidos en el procedimiento.</w:t>
      </w:r>
    </w:p>
    <w:p w:rsidR="0092635B" w:rsidRDefault="00000000">
      <w:pPr>
        <w:pStyle w:val="Prrafodelista"/>
        <w:numPr>
          <w:ilvl w:val="0"/>
          <w:numId w:val="301"/>
        </w:numPr>
        <w:tabs>
          <w:tab w:val="left" w:pos="1693"/>
        </w:tabs>
        <w:spacing w:before="4" w:line="249" w:lineRule="auto"/>
        <w:ind w:firstLine="340"/>
        <w:jc w:val="both"/>
        <w:rPr>
          <w:sz w:val="20"/>
        </w:rPr>
      </w:pPr>
      <w:r>
        <w:rPr>
          <w:sz w:val="20"/>
        </w:rPr>
        <w:t xml:space="preserve">El emplazamiento indicado en el párrafo anterior se hará en la forma prevista en el artículo 49 de la Ley 29/1998, de 13 de julio, reguladora de la Jurisdicción Contencioso- </w:t>
      </w:r>
      <w:r>
        <w:rPr>
          <w:spacing w:val="-2"/>
          <w:sz w:val="20"/>
        </w:rPr>
        <w:t>administrativa.</w:t>
      </w:r>
    </w:p>
    <w:p w:rsidR="0092635B" w:rsidRDefault="0092635B">
      <w:pPr>
        <w:pStyle w:val="Textoindependiente"/>
        <w:spacing w:before="226"/>
        <w:ind w:left="0" w:firstLine="0"/>
        <w:jc w:val="left"/>
      </w:pPr>
    </w:p>
    <w:p w:rsidR="0092635B" w:rsidRDefault="00000000">
      <w:pPr>
        <w:pStyle w:val="Textoindependiente"/>
        <w:spacing w:before="0"/>
        <w:ind w:left="0" w:firstLine="0"/>
        <w:jc w:val="center"/>
      </w:pPr>
      <w:bookmarkStart w:id="93" w:name="TÍTULO_II._Partes_en_el_contrato"/>
      <w:bookmarkStart w:id="94" w:name="_bookmark16"/>
      <w:bookmarkEnd w:id="93"/>
      <w:bookmarkEnd w:id="94"/>
      <w:r>
        <w:t xml:space="preserve">TÍTULO </w:t>
      </w:r>
      <w:r>
        <w:rPr>
          <w:spacing w:val="-5"/>
        </w:rPr>
        <w:t>II</w:t>
      </w:r>
    </w:p>
    <w:p w:rsidR="0092635B" w:rsidRDefault="00000000">
      <w:pPr>
        <w:pStyle w:val="Ttulo2"/>
        <w:ind w:left="851" w:right="4253"/>
        <w:jc w:val="right"/>
      </w:pPr>
      <w:r>
        <w:t>Partes</w:t>
      </w:r>
      <w:r>
        <w:rPr>
          <w:spacing w:val="-2"/>
        </w:rPr>
        <w:t xml:space="preserve"> </w:t>
      </w:r>
      <w:r>
        <w:t>en</w:t>
      </w:r>
      <w:r>
        <w:rPr>
          <w:spacing w:val="-2"/>
        </w:rPr>
        <w:t xml:space="preserve"> </w:t>
      </w:r>
      <w:r>
        <w:t>el</w:t>
      </w:r>
      <w:r>
        <w:rPr>
          <w:spacing w:val="-1"/>
        </w:rPr>
        <w:t xml:space="preserve"> </w:t>
      </w:r>
      <w:r>
        <w:rPr>
          <w:spacing w:val="-2"/>
        </w:rPr>
        <w:t>contrato</w:t>
      </w:r>
    </w:p>
    <w:p w:rsidR="0092635B" w:rsidRDefault="0092635B">
      <w:pPr>
        <w:pStyle w:val="Textoindependiente"/>
        <w:spacing w:before="120"/>
        <w:ind w:left="0" w:firstLine="0"/>
        <w:jc w:val="left"/>
        <w:rPr>
          <w:rFonts w:ascii="Arial"/>
          <w:b/>
        </w:rPr>
      </w:pPr>
    </w:p>
    <w:p w:rsidR="0092635B" w:rsidRDefault="00000000">
      <w:pPr>
        <w:pStyle w:val="Textoindependiente"/>
        <w:spacing w:before="0"/>
        <w:ind w:left="0" w:firstLine="0"/>
        <w:jc w:val="center"/>
      </w:pPr>
      <w:bookmarkStart w:id="95" w:name="CAPÍTULO_I._Órgano_de_contratación"/>
      <w:bookmarkStart w:id="96" w:name="_bookmark17"/>
      <w:bookmarkEnd w:id="95"/>
      <w:bookmarkEnd w:id="96"/>
      <w:r>
        <w:t xml:space="preserve">CAPÍTULO </w:t>
      </w:r>
      <w:r>
        <w:rPr>
          <w:spacing w:val="-10"/>
        </w:rPr>
        <w:t>I</w:t>
      </w:r>
    </w:p>
    <w:p w:rsidR="0092635B" w:rsidRDefault="00000000">
      <w:pPr>
        <w:pStyle w:val="Ttulo2"/>
        <w:spacing w:before="124"/>
        <w:ind w:left="851" w:right="4114"/>
        <w:jc w:val="right"/>
      </w:pPr>
      <w:r>
        <w:t>Órgano</w:t>
      </w:r>
      <w:r>
        <w:rPr>
          <w:spacing w:val="-3"/>
        </w:rPr>
        <w:t xml:space="preserve"> </w:t>
      </w:r>
      <w:r>
        <w:t xml:space="preserve">de </w:t>
      </w:r>
      <w:r>
        <w:rPr>
          <w:spacing w:val="-2"/>
        </w:rPr>
        <w:t>contratación</w:t>
      </w:r>
    </w:p>
    <w:p w:rsidR="0092635B" w:rsidRDefault="0092635B">
      <w:pPr>
        <w:pStyle w:val="Textoindependiente"/>
        <w:spacing w:before="6"/>
        <w:ind w:left="0" w:firstLine="0"/>
        <w:jc w:val="left"/>
        <w:rPr>
          <w:rFonts w:ascii="Arial"/>
          <w:b/>
        </w:rPr>
      </w:pPr>
    </w:p>
    <w:p w:rsidR="0092635B" w:rsidRDefault="00000000">
      <w:pPr>
        <w:spacing w:before="1"/>
        <w:ind w:left="1106"/>
        <w:rPr>
          <w:rFonts w:ascii="Arial" w:hAnsi="Arial"/>
          <w:i/>
          <w:sz w:val="20"/>
        </w:rPr>
      </w:pPr>
      <w:bookmarkStart w:id="97" w:name="Artículo_61._Competencia_para_contratar."/>
      <w:bookmarkEnd w:id="97"/>
      <w:r>
        <w:rPr>
          <w:rFonts w:ascii="Arial" w:hAnsi="Arial"/>
          <w:b/>
          <w:sz w:val="20"/>
        </w:rPr>
        <w:t>Artículo</w:t>
      </w:r>
      <w:r>
        <w:rPr>
          <w:rFonts w:ascii="Arial" w:hAnsi="Arial"/>
          <w:b/>
          <w:spacing w:val="-3"/>
          <w:sz w:val="20"/>
        </w:rPr>
        <w:t xml:space="preserve"> </w:t>
      </w:r>
      <w:r>
        <w:rPr>
          <w:rFonts w:ascii="Arial" w:hAnsi="Arial"/>
          <w:b/>
          <w:sz w:val="20"/>
        </w:rPr>
        <w:t>61.</w:t>
      </w:r>
      <w:r>
        <w:rPr>
          <w:rFonts w:ascii="Arial" w:hAnsi="Arial"/>
          <w:b/>
          <w:spacing w:val="49"/>
          <w:sz w:val="20"/>
        </w:rPr>
        <w:t xml:space="preserve"> </w:t>
      </w:r>
      <w:r>
        <w:rPr>
          <w:rFonts w:ascii="Arial" w:hAnsi="Arial"/>
          <w:i/>
          <w:sz w:val="20"/>
        </w:rPr>
        <w:t>Competencia</w:t>
      </w:r>
      <w:r>
        <w:rPr>
          <w:rFonts w:ascii="Arial" w:hAnsi="Arial"/>
          <w:i/>
          <w:spacing w:val="-3"/>
          <w:sz w:val="20"/>
        </w:rPr>
        <w:t xml:space="preserve"> </w:t>
      </w:r>
      <w:r>
        <w:rPr>
          <w:rFonts w:ascii="Arial" w:hAnsi="Arial"/>
          <w:i/>
          <w:sz w:val="20"/>
        </w:rPr>
        <w:t>para</w:t>
      </w:r>
      <w:r>
        <w:rPr>
          <w:rFonts w:ascii="Arial" w:hAnsi="Arial"/>
          <w:i/>
          <w:spacing w:val="-2"/>
          <w:sz w:val="20"/>
        </w:rPr>
        <w:t xml:space="preserve"> contratar.</w:t>
      </w:r>
    </w:p>
    <w:p w:rsidR="0092635B" w:rsidRDefault="00000000">
      <w:pPr>
        <w:pStyle w:val="Prrafodelista"/>
        <w:numPr>
          <w:ilvl w:val="0"/>
          <w:numId w:val="300"/>
        </w:numPr>
        <w:tabs>
          <w:tab w:val="left" w:pos="1754"/>
        </w:tabs>
        <w:spacing w:before="123" w:line="249" w:lineRule="auto"/>
        <w:ind w:firstLine="340"/>
        <w:jc w:val="both"/>
        <w:rPr>
          <w:sz w:val="20"/>
        </w:rPr>
      </w:pPr>
      <w:r>
        <w:rPr>
          <w:sz w:val="20"/>
        </w:rPr>
        <w:t>La representación de las entidades del sector público en materia contractual corresponde a los órganos de contratación, unipersonales o colegiados que, en virtud de norma</w:t>
      </w:r>
      <w:r>
        <w:rPr>
          <w:spacing w:val="-2"/>
          <w:sz w:val="20"/>
        </w:rPr>
        <w:t xml:space="preserve"> </w:t>
      </w:r>
      <w:r>
        <w:rPr>
          <w:sz w:val="20"/>
        </w:rPr>
        <w:t>legal</w:t>
      </w:r>
      <w:r>
        <w:rPr>
          <w:spacing w:val="-2"/>
          <w:sz w:val="20"/>
        </w:rPr>
        <w:t xml:space="preserve"> </w:t>
      </w:r>
      <w:r>
        <w:rPr>
          <w:sz w:val="20"/>
        </w:rPr>
        <w:t>o</w:t>
      </w:r>
      <w:r>
        <w:rPr>
          <w:spacing w:val="-2"/>
          <w:sz w:val="20"/>
        </w:rPr>
        <w:t xml:space="preserve"> </w:t>
      </w:r>
      <w:r>
        <w:rPr>
          <w:sz w:val="20"/>
        </w:rPr>
        <w:t>reglamentaria</w:t>
      </w:r>
      <w:r>
        <w:rPr>
          <w:spacing w:val="-2"/>
          <w:sz w:val="20"/>
        </w:rPr>
        <w:t xml:space="preserve"> </w:t>
      </w:r>
      <w:r>
        <w:rPr>
          <w:sz w:val="20"/>
        </w:rPr>
        <w:t>o</w:t>
      </w:r>
      <w:r>
        <w:rPr>
          <w:spacing w:val="-2"/>
          <w:sz w:val="20"/>
        </w:rPr>
        <w:t xml:space="preserve"> </w:t>
      </w:r>
      <w:r>
        <w:rPr>
          <w:sz w:val="20"/>
        </w:rPr>
        <w:t>disposición</w:t>
      </w:r>
      <w:r>
        <w:rPr>
          <w:spacing w:val="-2"/>
          <w:sz w:val="20"/>
        </w:rPr>
        <w:t xml:space="preserve"> </w:t>
      </w:r>
      <w:r>
        <w:rPr>
          <w:sz w:val="20"/>
        </w:rPr>
        <w:t>estatutaria,</w:t>
      </w:r>
      <w:r>
        <w:rPr>
          <w:spacing w:val="-2"/>
          <w:sz w:val="20"/>
        </w:rPr>
        <w:t xml:space="preserve"> </w:t>
      </w:r>
      <w:r>
        <w:rPr>
          <w:sz w:val="20"/>
        </w:rPr>
        <w:t>tengan</w:t>
      </w:r>
      <w:r>
        <w:rPr>
          <w:spacing w:val="-2"/>
          <w:sz w:val="20"/>
        </w:rPr>
        <w:t xml:space="preserve"> </w:t>
      </w:r>
      <w:r>
        <w:rPr>
          <w:sz w:val="20"/>
        </w:rPr>
        <w:t>atribuida</w:t>
      </w:r>
      <w:r>
        <w:rPr>
          <w:spacing w:val="-2"/>
          <w:sz w:val="20"/>
        </w:rPr>
        <w:t xml:space="preserve"> </w:t>
      </w:r>
      <w:r>
        <w:rPr>
          <w:sz w:val="20"/>
        </w:rPr>
        <w:t>la</w:t>
      </w:r>
      <w:r>
        <w:rPr>
          <w:spacing w:val="-2"/>
          <w:sz w:val="20"/>
        </w:rPr>
        <w:t xml:space="preserve"> </w:t>
      </w:r>
      <w:r>
        <w:rPr>
          <w:sz w:val="20"/>
        </w:rPr>
        <w:t>facultad</w:t>
      </w:r>
      <w:r>
        <w:rPr>
          <w:spacing w:val="-2"/>
          <w:sz w:val="20"/>
        </w:rPr>
        <w:t xml:space="preserve"> </w:t>
      </w:r>
      <w:r>
        <w:rPr>
          <w:sz w:val="20"/>
        </w:rPr>
        <w:t>de</w:t>
      </w:r>
      <w:r>
        <w:rPr>
          <w:spacing w:val="-2"/>
          <w:sz w:val="20"/>
        </w:rPr>
        <w:t xml:space="preserve"> </w:t>
      </w:r>
      <w:r>
        <w:rPr>
          <w:sz w:val="20"/>
        </w:rPr>
        <w:t>celebrar contratos en su nombre.</w:t>
      </w:r>
    </w:p>
    <w:p w:rsidR="0092635B" w:rsidRDefault="00000000">
      <w:pPr>
        <w:pStyle w:val="Prrafodelista"/>
        <w:numPr>
          <w:ilvl w:val="0"/>
          <w:numId w:val="300"/>
        </w:numPr>
        <w:tabs>
          <w:tab w:val="left" w:pos="1711"/>
        </w:tabs>
        <w:spacing w:before="3" w:line="249" w:lineRule="auto"/>
        <w:ind w:firstLine="340"/>
        <w:jc w:val="both"/>
        <w:rPr>
          <w:sz w:val="20"/>
        </w:rPr>
      </w:pPr>
      <w:r>
        <w:rPr>
          <w:sz w:val="20"/>
        </w:rPr>
        <w:t>Los órganos de contratación podrán delegar o desconcentrar sus competencias y facultades en esta materia con cumplimiento de las normas y formalidades aplicables en cada caso para la delegación o desconcentración de competencias, en el caso de que se trate de órganos administrativos, o para el otorgamiento de poderes, cuando se trate de órganos societarios o de una fundación.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98" w:name="Artículo_62._Responsable_del_contrato."/>
      <w:bookmarkEnd w:id="98"/>
      <w:r>
        <w:rPr>
          <w:rFonts w:ascii="Arial" w:hAnsi="Arial"/>
          <w:b/>
          <w:sz w:val="20"/>
        </w:rPr>
        <w:t>Artículo</w:t>
      </w:r>
      <w:r>
        <w:rPr>
          <w:rFonts w:ascii="Arial" w:hAnsi="Arial"/>
          <w:b/>
          <w:spacing w:val="-3"/>
          <w:sz w:val="20"/>
        </w:rPr>
        <w:t xml:space="preserve"> </w:t>
      </w:r>
      <w:r>
        <w:rPr>
          <w:rFonts w:ascii="Arial" w:hAnsi="Arial"/>
          <w:b/>
          <w:sz w:val="20"/>
        </w:rPr>
        <w:t>62.</w:t>
      </w:r>
      <w:r>
        <w:rPr>
          <w:rFonts w:ascii="Arial" w:hAnsi="Arial"/>
          <w:b/>
          <w:spacing w:val="49"/>
          <w:sz w:val="20"/>
        </w:rPr>
        <w:t xml:space="preserve"> </w:t>
      </w:r>
      <w:r>
        <w:rPr>
          <w:rFonts w:ascii="Arial" w:hAnsi="Arial"/>
          <w:i/>
          <w:sz w:val="20"/>
        </w:rPr>
        <w:t>Responsable</w:t>
      </w:r>
      <w:r>
        <w:rPr>
          <w:rFonts w:ascii="Arial" w:hAnsi="Arial"/>
          <w:i/>
          <w:spacing w:val="-2"/>
          <w:sz w:val="20"/>
        </w:rPr>
        <w:t xml:space="preserve"> </w:t>
      </w:r>
      <w:r>
        <w:rPr>
          <w:rFonts w:ascii="Arial" w:hAnsi="Arial"/>
          <w:i/>
          <w:sz w:val="20"/>
        </w:rPr>
        <w:t>del</w:t>
      </w:r>
      <w:r>
        <w:rPr>
          <w:rFonts w:ascii="Arial" w:hAnsi="Arial"/>
          <w:i/>
          <w:spacing w:val="-2"/>
          <w:sz w:val="20"/>
        </w:rPr>
        <w:t xml:space="preserve"> contrato.</w:t>
      </w:r>
    </w:p>
    <w:p w:rsidR="0092635B" w:rsidRDefault="00000000">
      <w:pPr>
        <w:pStyle w:val="Prrafodelista"/>
        <w:numPr>
          <w:ilvl w:val="0"/>
          <w:numId w:val="299"/>
        </w:numPr>
        <w:tabs>
          <w:tab w:val="left" w:pos="1682"/>
        </w:tabs>
        <w:spacing w:before="123" w:line="249" w:lineRule="auto"/>
        <w:ind w:firstLine="340"/>
        <w:jc w:val="both"/>
        <w:rPr>
          <w:sz w:val="20"/>
        </w:rPr>
      </w:pPr>
      <w:r>
        <w:rPr>
          <w:sz w:val="20"/>
        </w:rPr>
        <w:t>Con independencia de la unidad encargada del seguimiento y ejecución ordinaria del contrato que figure en los pliegos, los órganos de contratación deberán designar un responsable del contrato al que corresponderá supervisar su ejecución y adoptar las decisiones y dictar las instrucciones necesarias con el fin de asegurar la correcta realización de la prestación pactada, dentro del ámbito de facultades que aquellos le atribuyan. El responsable del contrato podrá ser una persona física o jurídica, vinculada a la entidad contratante o ajena a él.</w:t>
      </w:r>
    </w:p>
    <w:p w:rsidR="0092635B" w:rsidRDefault="00000000">
      <w:pPr>
        <w:pStyle w:val="Prrafodelista"/>
        <w:numPr>
          <w:ilvl w:val="0"/>
          <w:numId w:val="299"/>
        </w:numPr>
        <w:tabs>
          <w:tab w:val="left" w:pos="1678"/>
        </w:tabs>
        <w:spacing w:before="6" w:line="249" w:lineRule="auto"/>
        <w:ind w:right="1104" w:firstLine="340"/>
        <w:jc w:val="both"/>
        <w:rPr>
          <w:sz w:val="20"/>
        </w:rPr>
      </w:pPr>
      <w:r>
        <w:rPr>
          <w:sz w:val="20"/>
        </w:rPr>
        <w:t>En los contratos de obras, las facultades del responsable del contrato serán ejercidas por el Director Facultativo conforme con lo dispuesto en los artículos 237 a 246.</w:t>
      </w:r>
    </w:p>
    <w:p w:rsidR="0092635B" w:rsidRDefault="00000000">
      <w:pPr>
        <w:pStyle w:val="Prrafodelista"/>
        <w:numPr>
          <w:ilvl w:val="0"/>
          <w:numId w:val="299"/>
        </w:numPr>
        <w:tabs>
          <w:tab w:val="left" w:pos="1719"/>
        </w:tabs>
        <w:spacing w:before="1" w:line="249" w:lineRule="auto"/>
        <w:ind w:firstLine="340"/>
        <w:jc w:val="both"/>
        <w:rPr>
          <w:sz w:val="20"/>
        </w:rPr>
      </w:pPr>
      <w:r>
        <w:rPr>
          <w:sz w:val="20"/>
        </w:rPr>
        <w:t>En los casos de concesiones de obra pública y de concesiones de servicios, la Administración designará una persona que actúe en defensa del interés general, para obtener</w:t>
      </w:r>
      <w:r>
        <w:rPr>
          <w:spacing w:val="-2"/>
          <w:sz w:val="20"/>
        </w:rPr>
        <w:t xml:space="preserve"> </w:t>
      </w:r>
      <w:r>
        <w:rPr>
          <w:sz w:val="20"/>
        </w:rPr>
        <w:t>y</w:t>
      </w:r>
      <w:r>
        <w:rPr>
          <w:spacing w:val="-2"/>
          <w:sz w:val="20"/>
        </w:rPr>
        <w:t xml:space="preserve"> </w:t>
      </w:r>
      <w:r>
        <w:rPr>
          <w:sz w:val="20"/>
        </w:rPr>
        <w:t>para</w:t>
      </w:r>
      <w:r>
        <w:rPr>
          <w:spacing w:val="-2"/>
          <w:sz w:val="20"/>
        </w:rPr>
        <w:t xml:space="preserve"> </w:t>
      </w:r>
      <w:r>
        <w:rPr>
          <w:sz w:val="20"/>
        </w:rPr>
        <w:t>verificar</w:t>
      </w:r>
      <w:r>
        <w:rPr>
          <w:spacing w:val="-2"/>
          <w:sz w:val="20"/>
        </w:rPr>
        <w:t xml:space="preserve"> </w:t>
      </w:r>
      <w:r>
        <w:rPr>
          <w:sz w:val="20"/>
        </w:rPr>
        <w:t>el</w:t>
      </w:r>
      <w:r>
        <w:rPr>
          <w:spacing w:val="-2"/>
          <w:sz w:val="20"/>
        </w:rPr>
        <w:t xml:space="preserve"> </w:t>
      </w:r>
      <w:r>
        <w:rPr>
          <w:sz w:val="20"/>
        </w:rPr>
        <w:t>cumplimiento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obligaciones</w:t>
      </w:r>
      <w:r>
        <w:rPr>
          <w:spacing w:val="-2"/>
          <w:sz w:val="20"/>
        </w:rPr>
        <w:t xml:space="preserve"> </w:t>
      </w:r>
      <w:r>
        <w:rPr>
          <w:sz w:val="20"/>
        </w:rPr>
        <w:t>del</w:t>
      </w:r>
      <w:r>
        <w:rPr>
          <w:spacing w:val="-2"/>
          <w:sz w:val="20"/>
        </w:rPr>
        <w:t xml:space="preserve"> </w:t>
      </w:r>
      <w:r>
        <w:rPr>
          <w:sz w:val="20"/>
        </w:rPr>
        <w:t>concesionario,</w:t>
      </w:r>
      <w:r>
        <w:rPr>
          <w:spacing w:val="-2"/>
          <w:sz w:val="20"/>
        </w:rPr>
        <w:t xml:space="preserve"> </w:t>
      </w:r>
      <w:r>
        <w:rPr>
          <w:sz w:val="20"/>
        </w:rPr>
        <w:t>especialmente en lo que se refiere a la calidad en la prestación del servicio o de la obra.</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99" w:name="Artículo_63._Perfil_de_contratante."/>
      <w:bookmarkEnd w:id="99"/>
      <w:r>
        <w:rPr>
          <w:rFonts w:ascii="Arial" w:hAnsi="Arial"/>
          <w:b/>
          <w:sz w:val="20"/>
        </w:rPr>
        <w:t>Artículo</w:t>
      </w:r>
      <w:r>
        <w:rPr>
          <w:rFonts w:ascii="Arial" w:hAnsi="Arial"/>
          <w:b/>
          <w:spacing w:val="-2"/>
          <w:sz w:val="20"/>
        </w:rPr>
        <w:t xml:space="preserve"> </w:t>
      </w:r>
      <w:r>
        <w:rPr>
          <w:rFonts w:ascii="Arial" w:hAnsi="Arial"/>
          <w:b/>
          <w:sz w:val="20"/>
        </w:rPr>
        <w:t>63.</w:t>
      </w:r>
      <w:r>
        <w:rPr>
          <w:rFonts w:ascii="Arial" w:hAnsi="Arial"/>
          <w:b/>
          <w:spacing w:val="52"/>
          <w:sz w:val="20"/>
        </w:rPr>
        <w:t xml:space="preserve"> </w:t>
      </w:r>
      <w:r>
        <w:rPr>
          <w:rFonts w:ascii="Arial" w:hAnsi="Arial"/>
          <w:i/>
          <w:sz w:val="20"/>
        </w:rPr>
        <w:t>Perfil</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contratante.</w:t>
      </w:r>
    </w:p>
    <w:p w:rsidR="0092635B" w:rsidRDefault="00000000">
      <w:pPr>
        <w:pStyle w:val="Prrafodelista"/>
        <w:numPr>
          <w:ilvl w:val="0"/>
          <w:numId w:val="298"/>
        </w:numPr>
        <w:tabs>
          <w:tab w:val="left" w:pos="1668"/>
        </w:tabs>
        <w:spacing w:before="123" w:line="249" w:lineRule="auto"/>
        <w:ind w:firstLine="340"/>
        <w:jc w:val="both"/>
        <w:rPr>
          <w:sz w:val="20"/>
        </w:rPr>
      </w:pPr>
      <w:r>
        <w:rPr>
          <w:sz w:val="20"/>
        </w:rPr>
        <w:t>Los</w:t>
      </w:r>
      <w:r>
        <w:rPr>
          <w:spacing w:val="-2"/>
          <w:sz w:val="20"/>
        </w:rPr>
        <w:t xml:space="preserve"> </w:t>
      </w:r>
      <w:r>
        <w:rPr>
          <w:sz w:val="20"/>
        </w:rPr>
        <w:t>órganos</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difundirán</w:t>
      </w:r>
      <w:r>
        <w:rPr>
          <w:spacing w:val="-2"/>
          <w:sz w:val="20"/>
        </w:rPr>
        <w:t xml:space="preserve"> </w:t>
      </w:r>
      <w:r>
        <w:rPr>
          <w:sz w:val="20"/>
        </w:rPr>
        <w:t>exclusivamente</w:t>
      </w:r>
      <w:r>
        <w:rPr>
          <w:spacing w:val="-2"/>
          <w:sz w:val="20"/>
        </w:rPr>
        <w:t xml:space="preserve"> </w:t>
      </w:r>
      <w:r>
        <w:rPr>
          <w:sz w:val="20"/>
        </w:rPr>
        <w:t>a</w:t>
      </w:r>
      <w:r>
        <w:rPr>
          <w:spacing w:val="-2"/>
          <w:sz w:val="20"/>
        </w:rPr>
        <w:t xml:space="preserve"> </w:t>
      </w:r>
      <w:r>
        <w:rPr>
          <w:sz w:val="20"/>
        </w:rPr>
        <w:t>través</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su</w:t>
      </w:r>
      <w:r>
        <w:rPr>
          <w:spacing w:val="-2"/>
          <w:sz w:val="20"/>
        </w:rPr>
        <w:t xml:space="preserve"> </w:t>
      </w:r>
      <w:r>
        <w:rPr>
          <w:sz w:val="20"/>
        </w:rPr>
        <w:t>perfil</w:t>
      </w:r>
      <w:r>
        <w:rPr>
          <w:spacing w:val="-2"/>
          <w:sz w:val="20"/>
        </w:rPr>
        <w:t xml:space="preserve"> </w:t>
      </w:r>
      <w:r>
        <w:rPr>
          <w:sz w:val="20"/>
        </w:rPr>
        <w:t>de contratante, como elemento que agrupa la información y documentos relativos a su actividad contractual</w:t>
      </w:r>
      <w:r>
        <w:rPr>
          <w:spacing w:val="-1"/>
          <w:sz w:val="20"/>
        </w:rPr>
        <w:t xml:space="preserve"> </w:t>
      </w:r>
      <w:r>
        <w:rPr>
          <w:sz w:val="20"/>
        </w:rPr>
        <w:t>al</w:t>
      </w:r>
      <w:r>
        <w:rPr>
          <w:spacing w:val="-1"/>
          <w:sz w:val="20"/>
        </w:rPr>
        <w:t xml:space="preserve"> </w:t>
      </w:r>
      <w:r>
        <w:rPr>
          <w:sz w:val="20"/>
        </w:rPr>
        <w:t>objeto</w:t>
      </w:r>
      <w:r>
        <w:rPr>
          <w:spacing w:val="-2"/>
          <w:sz w:val="20"/>
        </w:rPr>
        <w:t xml:space="preserve"> </w:t>
      </w:r>
      <w:r>
        <w:rPr>
          <w:sz w:val="20"/>
        </w:rPr>
        <w:t>de</w:t>
      </w:r>
      <w:r>
        <w:rPr>
          <w:spacing w:val="-1"/>
          <w:sz w:val="20"/>
        </w:rPr>
        <w:t xml:space="preserve"> </w:t>
      </w:r>
      <w:r>
        <w:rPr>
          <w:sz w:val="20"/>
        </w:rPr>
        <w:t>asegurar</w:t>
      </w:r>
      <w:r>
        <w:rPr>
          <w:spacing w:val="-1"/>
          <w:sz w:val="20"/>
        </w:rPr>
        <w:t xml:space="preserve"> </w:t>
      </w:r>
      <w:r>
        <w:rPr>
          <w:sz w:val="20"/>
        </w:rPr>
        <w:t>la</w:t>
      </w:r>
      <w:r>
        <w:rPr>
          <w:spacing w:val="-2"/>
          <w:sz w:val="20"/>
        </w:rPr>
        <w:t xml:space="preserve"> </w:t>
      </w:r>
      <w:r>
        <w:rPr>
          <w:sz w:val="20"/>
        </w:rPr>
        <w:t>transparencia</w:t>
      </w:r>
      <w:r>
        <w:rPr>
          <w:spacing w:val="-1"/>
          <w:sz w:val="20"/>
        </w:rPr>
        <w:t xml:space="preserve"> </w:t>
      </w:r>
      <w:r>
        <w:rPr>
          <w:sz w:val="20"/>
        </w:rPr>
        <w:t>y</w:t>
      </w:r>
      <w:r>
        <w:rPr>
          <w:spacing w:val="-1"/>
          <w:sz w:val="20"/>
        </w:rPr>
        <w:t xml:space="preserve"> </w:t>
      </w:r>
      <w:r>
        <w:rPr>
          <w:sz w:val="20"/>
        </w:rPr>
        <w:t>el</w:t>
      </w:r>
      <w:r>
        <w:rPr>
          <w:spacing w:val="-2"/>
          <w:sz w:val="20"/>
        </w:rPr>
        <w:t xml:space="preserve"> </w:t>
      </w:r>
      <w:r>
        <w:rPr>
          <w:sz w:val="20"/>
        </w:rPr>
        <w:t>acceso</w:t>
      </w:r>
      <w:r>
        <w:rPr>
          <w:spacing w:val="-1"/>
          <w:sz w:val="20"/>
        </w:rPr>
        <w:t xml:space="preserve"> </w:t>
      </w:r>
      <w:r>
        <w:rPr>
          <w:sz w:val="20"/>
        </w:rPr>
        <w:t>público</w:t>
      </w:r>
      <w:r>
        <w:rPr>
          <w:spacing w:val="-1"/>
          <w:sz w:val="20"/>
        </w:rPr>
        <w:t xml:space="preserve"> </w:t>
      </w:r>
      <w:r>
        <w:rPr>
          <w:sz w:val="20"/>
        </w:rPr>
        <w:t>a</w:t>
      </w:r>
      <w:r>
        <w:rPr>
          <w:spacing w:val="-2"/>
          <w:sz w:val="20"/>
        </w:rPr>
        <w:t xml:space="preserve"> </w:t>
      </w:r>
      <w:r>
        <w:rPr>
          <w:sz w:val="20"/>
        </w:rPr>
        <w:t>los</w:t>
      </w:r>
      <w:r>
        <w:rPr>
          <w:spacing w:val="-1"/>
          <w:sz w:val="20"/>
        </w:rPr>
        <w:t xml:space="preserve"> </w:t>
      </w:r>
      <w:r>
        <w:rPr>
          <w:sz w:val="20"/>
        </w:rPr>
        <w:t>mismos.</w:t>
      </w:r>
      <w:r>
        <w:rPr>
          <w:spacing w:val="-1"/>
          <w:sz w:val="20"/>
        </w:rPr>
        <w:t xml:space="preserve"> </w:t>
      </w:r>
      <w:r>
        <w:rPr>
          <w:sz w:val="20"/>
        </w:rPr>
        <w:t>La</w:t>
      </w:r>
      <w:r>
        <w:rPr>
          <w:spacing w:val="-2"/>
          <w:sz w:val="20"/>
        </w:rPr>
        <w:t xml:space="preserve"> </w:t>
      </w:r>
      <w:r>
        <w:rPr>
          <w:sz w:val="20"/>
        </w:rPr>
        <w:t>forma de acceso al perfil de contratante deberá hacerse constar en los pliegos y documentos equivalentes, así como en los anuncios de licitación en todos los casos. La difusión del perfil de contratante no obstará la utilización de otros medios de publicidad adicionales en los casos en que así se establezca.</w:t>
      </w:r>
    </w:p>
    <w:p w:rsidR="0092635B" w:rsidRDefault="00000000">
      <w:pPr>
        <w:pStyle w:val="Textoindependiente"/>
        <w:spacing w:before="6" w:line="249" w:lineRule="auto"/>
        <w:ind w:right="1103"/>
      </w:pPr>
      <w:r>
        <w:t>El acceso a la información del perfil de contratante será libre, no requiriendo</w:t>
      </w:r>
      <w:r>
        <w:rPr>
          <w:spacing w:val="40"/>
        </w:rPr>
        <w:t xml:space="preserve"> </w:t>
      </w:r>
      <w:r>
        <w:t xml:space="preserve">identificación previa. No obstante, podrá requerirse esta para el acceso a servicios personalizados asociados al contenido del perfil de contratante tales como suscripciones, envío de alertas, comunicaciones electrónicas y envío de ofertas, entre otras. Toda la información contenida en los perfiles de contratante se publicará en formatos abiertos y reutilizables, y permanecerá accesible al público durante un periodo de tiempo no inferior a 5 años, sin perjuicio de que se permita el acceso a expedientes anteriores ante solicitudes de </w:t>
      </w:r>
      <w:r>
        <w:rPr>
          <w:spacing w:val="-2"/>
        </w:rPr>
        <w:t>información.</w:t>
      </w:r>
    </w:p>
    <w:p w:rsidR="0092635B" w:rsidRDefault="00000000">
      <w:pPr>
        <w:pStyle w:val="Prrafodelista"/>
        <w:numPr>
          <w:ilvl w:val="0"/>
          <w:numId w:val="298"/>
        </w:numPr>
        <w:tabs>
          <w:tab w:val="left" w:pos="1683"/>
        </w:tabs>
        <w:spacing w:before="6" w:line="249" w:lineRule="auto"/>
        <w:ind w:firstLine="340"/>
        <w:jc w:val="both"/>
        <w:rPr>
          <w:sz w:val="20"/>
        </w:rPr>
      </w:pPr>
      <w:r>
        <w:rPr>
          <w:sz w:val="20"/>
        </w:rPr>
        <w:t>El perfil de contratante podrá incluir cualesquiera datos y documentos referentes a la actividad contractual de los órganos de contratación. En cualquier caso, deberá contener tanto la información de tipo general que puede utilizarse para relacionarse con el órgano de contratación como puntos de contacto, números de teléfono y de fax, dirección postal y dirección electrónica, informaciones, anuncios y documentos generales, tales como las instrucciones internas de contratación y modelos de documentos, así como la información particular relativa a los contratos que celebre.</w:t>
      </w:r>
    </w:p>
    <w:p w:rsidR="0092635B" w:rsidRDefault="00000000">
      <w:pPr>
        <w:pStyle w:val="Prrafodelista"/>
        <w:numPr>
          <w:ilvl w:val="0"/>
          <w:numId w:val="298"/>
        </w:numPr>
        <w:tabs>
          <w:tab w:val="left" w:pos="1692"/>
        </w:tabs>
        <w:spacing w:before="6" w:line="249" w:lineRule="auto"/>
        <w:ind w:right="1105" w:firstLine="340"/>
        <w:jc w:val="both"/>
        <w:rPr>
          <w:sz w:val="20"/>
        </w:rPr>
      </w:pPr>
      <w:r>
        <w:rPr>
          <w:sz w:val="20"/>
        </w:rPr>
        <w:t>En el caso de la información relativa a los contratos, deberá publicarse al menos la siguiente información:</w:t>
      </w:r>
    </w:p>
    <w:p w:rsidR="0092635B" w:rsidRDefault="00000000">
      <w:pPr>
        <w:pStyle w:val="Prrafodelista"/>
        <w:numPr>
          <w:ilvl w:val="1"/>
          <w:numId w:val="298"/>
        </w:numPr>
        <w:tabs>
          <w:tab w:val="left" w:pos="1690"/>
        </w:tabs>
        <w:spacing w:before="122" w:line="249" w:lineRule="auto"/>
        <w:ind w:right="1104" w:firstLine="340"/>
        <w:jc w:val="both"/>
        <w:rPr>
          <w:sz w:val="20"/>
        </w:rPr>
      </w:pPr>
      <w:r>
        <w:rPr>
          <w:sz w:val="20"/>
        </w:rPr>
        <w:t>La memoria justificativa del contrato, el informe de insuficiencia de medios en el caso de contratos de servicios, la justificación del procedimiento utilizado para su adjudicación cuando</w:t>
      </w:r>
      <w:r>
        <w:rPr>
          <w:spacing w:val="-2"/>
          <w:sz w:val="20"/>
        </w:rPr>
        <w:t xml:space="preserve"> </w:t>
      </w:r>
      <w:r>
        <w:rPr>
          <w:sz w:val="20"/>
        </w:rPr>
        <w:t>se</w:t>
      </w:r>
      <w:r>
        <w:rPr>
          <w:spacing w:val="-2"/>
          <w:sz w:val="20"/>
        </w:rPr>
        <w:t xml:space="preserve"> </w:t>
      </w:r>
      <w:r>
        <w:rPr>
          <w:sz w:val="20"/>
        </w:rPr>
        <w:t>utilice</w:t>
      </w:r>
      <w:r>
        <w:rPr>
          <w:spacing w:val="-2"/>
          <w:sz w:val="20"/>
        </w:rPr>
        <w:t xml:space="preserve"> </w:t>
      </w:r>
      <w:r>
        <w:rPr>
          <w:sz w:val="20"/>
        </w:rPr>
        <w:t>un</w:t>
      </w:r>
      <w:r>
        <w:rPr>
          <w:spacing w:val="-2"/>
          <w:sz w:val="20"/>
        </w:rPr>
        <w:t xml:space="preserve"> </w:t>
      </w:r>
      <w:r>
        <w:rPr>
          <w:sz w:val="20"/>
        </w:rPr>
        <w:t>procedimiento</w:t>
      </w:r>
      <w:r>
        <w:rPr>
          <w:spacing w:val="-2"/>
          <w:sz w:val="20"/>
        </w:rPr>
        <w:t xml:space="preserve"> </w:t>
      </w:r>
      <w:r>
        <w:rPr>
          <w:sz w:val="20"/>
        </w:rPr>
        <w:t>distinto</w:t>
      </w:r>
      <w:r>
        <w:rPr>
          <w:spacing w:val="-2"/>
          <w:sz w:val="20"/>
        </w:rPr>
        <w:t xml:space="preserve"> </w:t>
      </w:r>
      <w:r>
        <w:rPr>
          <w:sz w:val="20"/>
        </w:rPr>
        <w:t>del</w:t>
      </w:r>
      <w:r>
        <w:rPr>
          <w:spacing w:val="-2"/>
          <w:sz w:val="20"/>
        </w:rPr>
        <w:t xml:space="preserve"> </w:t>
      </w:r>
      <w:r>
        <w:rPr>
          <w:sz w:val="20"/>
        </w:rPr>
        <w:t>abierto</w:t>
      </w:r>
      <w:r>
        <w:rPr>
          <w:spacing w:val="-2"/>
          <w:sz w:val="20"/>
        </w:rPr>
        <w:t xml:space="preserve"> </w:t>
      </w:r>
      <w:r>
        <w:rPr>
          <w:sz w:val="20"/>
        </w:rPr>
        <w:t>o</w:t>
      </w:r>
      <w:r>
        <w:rPr>
          <w:spacing w:val="-2"/>
          <w:sz w:val="20"/>
        </w:rPr>
        <w:t xml:space="preserve"> </w:t>
      </w:r>
      <w:r>
        <w:rPr>
          <w:sz w:val="20"/>
        </w:rPr>
        <w:t>del</w:t>
      </w:r>
      <w:r>
        <w:rPr>
          <w:spacing w:val="-2"/>
          <w:sz w:val="20"/>
        </w:rPr>
        <w:t xml:space="preserve"> </w:t>
      </w:r>
      <w:r>
        <w:rPr>
          <w:sz w:val="20"/>
        </w:rPr>
        <w:t>restringido,</w:t>
      </w:r>
      <w:r>
        <w:rPr>
          <w:spacing w:val="-2"/>
          <w:sz w:val="20"/>
        </w:rPr>
        <w:t xml:space="preserve"> </w:t>
      </w:r>
      <w:r>
        <w:rPr>
          <w:sz w:val="20"/>
        </w:rPr>
        <w:t>el</w:t>
      </w:r>
      <w:r>
        <w:rPr>
          <w:spacing w:val="-2"/>
          <w:sz w:val="20"/>
        </w:rPr>
        <w:t xml:space="preserve"> </w:t>
      </w:r>
      <w:r>
        <w:rPr>
          <w:sz w:val="20"/>
        </w:rPr>
        <w:t>pliego</w:t>
      </w:r>
      <w:r>
        <w:rPr>
          <w:spacing w:val="-2"/>
          <w:sz w:val="20"/>
        </w:rPr>
        <w:t xml:space="preserve"> </w:t>
      </w:r>
      <w:r>
        <w:rPr>
          <w:sz w:val="20"/>
        </w:rPr>
        <w:t>de</w:t>
      </w:r>
      <w:r>
        <w:rPr>
          <w:spacing w:val="-2"/>
          <w:sz w:val="20"/>
        </w:rPr>
        <w:t xml:space="preserve"> </w:t>
      </w:r>
      <w:r>
        <w:rPr>
          <w:sz w:val="20"/>
        </w:rPr>
        <w:t>cláusulas administrativas particulares y el de prescripciones técnicas que hayan de regir el contrato o documentos equivalentes, en su caso, y el documento de aprobación del expediente.</w:t>
      </w:r>
    </w:p>
    <w:p w:rsidR="0092635B" w:rsidRDefault="00000000">
      <w:pPr>
        <w:pStyle w:val="Prrafodelista"/>
        <w:numPr>
          <w:ilvl w:val="1"/>
          <w:numId w:val="298"/>
        </w:numPr>
        <w:tabs>
          <w:tab w:val="left" w:pos="1709"/>
        </w:tabs>
        <w:spacing w:before="4" w:line="249" w:lineRule="auto"/>
        <w:ind w:right="1105" w:firstLine="340"/>
        <w:jc w:val="both"/>
        <w:rPr>
          <w:sz w:val="20"/>
        </w:rPr>
      </w:pPr>
      <w:r>
        <w:rPr>
          <w:sz w:val="20"/>
        </w:rPr>
        <w:t>El objeto detallado del contrato, su duración, el presupuesto base de licitación y el importe de adjudicación, incluido el Impuesto sobre el Valor Añadido.</w:t>
      </w:r>
    </w:p>
    <w:p w:rsidR="0092635B" w:rsidRDefault="00000000">
      <w:pPr>
        <w:pStyle w:val="Prrafodelista"/>
        <w:numPr>
          <w:ilvl w:val="1"/>
          <w:numId w:val="298"/>
        </w:numPr>
        <w:tabs>
          <w:tab w:val="left" w:pos="1766"/>
        </w:tabs>
        <w:spacing w:before="1" w:line="249" w:lineRule="auto"/>
        <w:ind w:firstLine="340"/>
        <w:jc w:val="both"/>
        <w:rPr>
          <w:sz w:val="20"/>
        </w:rPr>
      </w:pPr>
      <w:r>
        <w:rPr>
          <w:sz w:val="20"/>
        </w:rPr>
        <w:t>Los anuncios de información previa, de convocatoria de las licitaciones, de adjudicación y de formalización de los contratos, los anuncios de modificación y su justificación, los anuncios de concursos de proyectos y de resultados de concursos de proyectos,</w:t>
      </w:r>
      <w:r>
        <w:rPr>
          <w:spacing w:val="-1"/>
          <w:sz w:val="20"/>
        </w:rPr>
        <w:t xml:space="preserve"> </w:t>
      </w:r>
      <w:r>
        <w:rPr>
          <w:sz w:val="20"/>
        </w:rPr>
        <w:t>con</w:t>
      </w:r>
      <w:r>
        <w:rPr>
          <w:spacing w:val="-1"/>
          <w:sz w:val="20"/>
        </w:rPr>
        <w:t xml:space="preserve"> </w:t>
      </w:r>
      <w:r>
        <w:rPr>
          <w:sz w:val="20"/>
        </w:rPr>
        <w:t>las</w:t>
      </w:r>
      <w:r>
        <w:rPr>
          <w:spacing w:val="-1"/>
          <w:sz w:val="20"/>
        </w:rPr>
        <w:t xml:space="preserve"> </w:t>
      </w:r>
      <w:r>
        <w:rPr>
          <w:sz w:val="20"/>
        </w:rPr>
        <w:t>excepciones</w:t>
      </w:r>
      <w:r>
        <w:rPr>
          <w:spacing w:val="-1"/>
          <w:sz w:val="20"/>
        </w:rPr>
        <w:t xml:space="preserve"> </w:t>
      </w:r>
      <w:r>
        <w:rPr>
          <w:sz w:val="20"/>
        </w:rPr>
        <w:t>establecidas</w:t>
      </w:r>
      <w:r>
        <w:rPr>
          <w:spacing w:val="-1"/>
          <w:sz w:val="20"/>
        </w:rPr>
        <w:t xml:space="preserve"> </w:t>
      </w:r>
      <w:r>
        <w:rPr>
          <w:sz w:val="20"/>
        </w:rPr>
        <w:t>en</w:t>
      </w:r>
      <w:r>
        <w:rPr>
          <w:spacing w:val="-1"/>
          <w:sz w:val="20"/>
        </w:rPr>
        <w:t xml:space="preserve"> </w:t>
      </w:r>
      <w:r>
        <w:rPr>
          <w:sz w:val="20"/>
        </w:rPr>
        <w:t>las</w:t>
      </w:r>
      <w:r>
        <w:rPr>
          <w:spacing w:val="-1"/>
          <w:sz w:val="20"/>
        </w:rPr>
        <w:t xml:space="preserve"> </w:t>
      </w:r>
      <w:r>
        <w:rPr>
          <w:sz w:val="20"/>
        </w:rPr>
        <w:t>normas</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negociados</w:t>
      </w:r>
      <w:r>
        <w:rPr>
          <w:spacing w:val="-1"/>
          <w:sz w:val="20"/>
        </w:rPr>
        <w:t xml:space="preserve"> </w:t>
      </w:r>
      <w:r>
        <w:rPr>
          <w:sz w:val="20"/>
        </w:rPr>
        <w:t>sin</w:t>
      </w:r>
      <w:r>
        <w:rPr>
          <w:spacing w:val="-1"/>
          <w:sz w:val="20"/>
        </w:rPr>
        <w:t xml:space="preserve"> </w:t>
      </w:r>
      <w:r>
        <w:rPr>
          <w:sz w:val="20"/>
        </w:rPr>
        <w:t>publicidad.</w:t>
      </w:r>
    </w:p>
    <w:p w:rsidR="0092635B" w:rsidRDefault="00000000">
      <w:pPr>
        <w:pStyle w:val="Prrafodelista"/>
        <w:numPr>
          <w:ilvl w:val="1"/>
          <w:numId w:val="298"/>
        </w:numPr>
        <w:tabs>
          <w:tab w:val="left" w:pos="1681"/>
        </w:tabs>
        <w:spacing w:before="4" w:line="249" w:lineRule="auto"/>
        <w:ind w:right="1104" w:firstLine="340"/>
        <w:jc w:val="both"/>
        <w:rPr>
          <w:sz w:val="20"/>
        </w:rPr>
      </w:pPr>
      <w:r>
        <w:rPr>
          <w:sz w:val="20"/>
        </w:rPr>
        <w:t>Los medios a través de los que, en su caso, se ha publicitado el contrato y los enlaces a esas publicaciones.</w:t>
      </w:r>
    </w:p>
    <w:p w:rsidR="0092635B" w:rsidRDefault="00000000">
      <w:pPr>
        <w:pStyle w:val="Prrafodelista"/>
        <w:numPr>
          <w:ilvl w:val="1"/>
          <w:numId w:val="298"/>
        </w:numPr>
        <w:tabs>
          <w:tab w:val="left" w:pos="1702"/>
        </w:tabs>
        <w:spacing w:before="1" w:line="249" w:lineRule="auto"/>
        <w:ind w:right="1104" w:firstLine="340"/>
        <w:jc w:val="both"/>
        <w:rPr>
          <w:sz w:val="20"/>
        </w:rPr>
      </w:pPr>
      <w:r>
        <w:rPr>
          <w:sz w:val="20"/>
        </w:rPr>
        <w:t>El número e identidad de los licitadores participantes en el procedimiento, así como todas</w:t>
      </w:r>
      <w:r>
        <w:rPr>
          <w:spacing w:val="-2"/>
          <w:sz w:val="20"/>
        </w:rPr>
        <w:t xml:space="preserve"> </w:t>
      </w:r>
      <w:r>
        <w:rPr>
          <w:sz w:val="20"/>
        </w:rPr>
        <w:t>las</w:t>
      </w:r>
      <w:r>
        <w:rPr>
          <w:spacing w:val="-2"/>
          <w:sz w:val="20"/>
        </w:rPr>
        <w:t xml:space="preserve"> </w:t>
      </w:r>
      <w:r>
        <w:rPr>
          <w:sz w:val="20"/>
        </w:rPr>
        <w:t>actas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mesa</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relativas</w:t>
      </w:r>
      <w:r>
        <w:rPr>
          <w:spacing w:val="-2"/>
          <w:sz w:val="20"/>
        </w:rPr>
        <w:t xml:space="preserve"> </w:t>
      </w:r>
      <w:r>
        <w:rPr>
          <w:sz w:val="20"/>
        </w:rPr>
        <w:t>al</w:t>
      </w:r>
      <w:r>
        <w:rPr>
          <w:spacing w:val="-2"/>
          <w:sz w:val="20"/>
        </w:rPr>
        <w:t xml:space="preserve"> </w:t>
      </w:r>
      <w:r>
        <w:rPr>
          <w:sz w:val="20"/>
        </w:rPr>
        <w:t>procedimiento</w:t>
      </w:r>
      <w:r>
        <w:rPr>
          <w:spacing w:val="-2"/>
          <w:sz w:val="20"/>
        </w:rPr>
        <w:t xml:space="preserve"> </w:t>
      </w:r>
      <w:r>
        <w:rPr>
          <w:sz w:val="20"/>
        </w:rPr>
        <w:t>de</w:t>
      </w:r>
      <w:r>
        <w:rPr>
          <w:spacing w:val="-2"/>
          <w:sz w:val="20"/>
        </w:rPr>
        <w:t xml:space="preserve"> </w:t>
      </w:r>
      <w:r>
        <w:rPr>
          <w:sz w:val="20"/>
        </w:rPr>
        <w:t>adjudicación</w:t>
      </w:r>
      <w:r>
        <w:rPr>
          <w:spacing w:val="-2"/>
          <w:sz w:val="20"/>
        </w:rPr>
        <w:t xml:space="preserve"> </w:t>
      </w:r>
      <w:r>
        <w:rPr>
          <w:sz w:val="20"/>
        </w:rPr>
        <w:t>o,</w:t>
      </w:r>
      <w:r>
        <w:rPr>
          <w:spacing w:val="-2"/>
          <w:sz w:val="20"/>
        </w:rPr>
        <w:t xml:space="preserve"> </w:t>
      </w:r>
      <w:r>
        <w:rPr>
          <w:sz w:val="20"/>
        </w:rPr>
        <w:t>en</w:t>
      </w:r>
      <w:r>
        <w:rPr>
          <w:spacing w:val="-2"/>
          <w:sz w:val="20"/>
        </w:rPr>
        <w:t xml:space="preserve"> </w:t>
      </w:r>
      <w:r>
        <w:rPr>
          <w:sz w:val="20"/>
        </w:rPr>
        <w:t>el caso</w:t>
      </w:r>
      <w:r>
        <w:rPr>
          <w:spacing w:val="79"/>
          <w:sz w:val="20"/>
        </w:rPr>
        <w:t xml:space="preserve"> </w:t>
      </w:r>
      <w:r>
        <w:rPr>
          <w:sz w:val="20"/>
        </w:rPr>
        <w:t>de</w:t>
      </w:r>
      <w:r>
        <w:rPr>
          <w:spacing w:val="79"/>
          <w:sz w:val="20"/>
        </w:rPr>
        <w:t xml:space="preserve"> </w:t>
      </w:r>
      <w:r>
        <w:rPr>
          <w:sz w:val="20"/>
        </w:rPr>
        <w:t>no</w:t>
      </w:r>
      <w:r>
        <w:rPr>
          <w:spacing w:val="79"/>
          <w:sz w:val="20"/>
        </w:rPr>
        <w:t xml:space="preserve"> </w:t>
      </w:r>
      <w:r>
        <w:rPr>
          <w:sz w:val="20"/>
        </w:rPr>
        <w:t>actuar</w:t>
      </w:r>
      <w:r>
        <w:rPr>
          <w:spacing w:val="79"/>
          <w:sz w:val="20"/>
        </w:rPr>
        <w:t xml:space="preserve"> </w:t>
      </w:r>
      <w:r>
        <w:rPr>
          <w:sz w:val="20"/>
        </w:rPr>
        <w:t>la</w:t>
      </w:r>
      <w:r>
        <w:rPr>
          <w:spacing w:val="79"/>
          <w:sz w:val="20"/>
        </w:rPr>
        <w:t xml:space="preserve"> </w:t>
      </w:r>
      <w:r>
        <w:rPr>
          <w:sz w:val="20"/>
        </w:rPr>
        <w:t>mesa,</w:t>
      </w:r>
      <w:r>
        <w:rPr>
          <w:spacing w:val="79"/>
          <w:sz w:val="20"/>
        </w:rPr>
        <w:t xml:space="preserve"> </w:t>
      </w:r>
      <w:r>
        <w:rPr>
          <w:sz w:val="20"/>
        </w:rPr>
        <w:t>las</w:t>
      </w:r>
      <w:r>
        <w:rPr>
          <w:spacing w:val="79"/>
          <w:sz w:val="20"/>
        </w:rPr>
        <w:t xml:space="preserve"> </w:t>
      </w:r>
      <w:r>
        <w:rPr>
          <w:sz w:val="20"/>
        </w:rPr>
        <w:t>resoluciones</w:t>
      </w:r>
      <w:r>
        <w:rPr>
          <w:spacing w:val="79"/>
          <w:sz w:val="20"/>
        </w:rPr>
        <w:t xml:space="preserve"> </w:t>
      </w:r>
      <w:r>
        <w:rPr>
          <w:sz w:val="20"/>
        </w:rPr>
        <w:t>del</w:t>
      </w:r>
      <w:r>
        <w:rPr>
          <w:spacing w:val="79"/>
          <w:sz w:val="20"/>
        </w:rPr>
        <w:t xml:space="preserve"> </w:t>
      </w:r>
      <w:r>
        <w:rPr>
          <w:sz w:val="20"/>
        </w:rPr>
        <w:t>servicio</w:t>
      </w:r>
      <w:r>
        <w:rPr>
          <w:spacing w:val="79"/>
          <w:sz w:val="20"/>
        </w:rPr>
        <w:t xml:space="preserve"> </w:t>
      </w:r>
      <w:r>
        <w:rPr>
          <w:sz w:val="20"/>
        </w:rPr>
        <w:t>u</w:t>
      </w:r>
      <w:r>
        <w:rPr>
          <w:spacing w:val="79"/>
          <w:sz w:val="20"/>
        </w:rPr>
        <w:t xml:space="preserve"> </w:t>
      </w:r>
      <w:r>
        <w:rPr>
          <w:sz w:val="20"/>
        </w:rPr>
        <w:t>órgano</w:t>
      </w:r>
      <w:r>
        <w:rPr>
          <w:spacing w:val="79"/>
          <w:sz w:val="20"/>
        </w:rPr>
        <w:t xml:space="preserve"> </w:t>
      </w:r>
      <w:r>
        <w:rPr>
          <w:sz w:val="20"/>
        </w:rPr>
        <w:t>de</w:t>
      </w:r>
      <w:r>
        <w:rPr>
          <w:spacing w:val="79"/>
          <w:sz w:val="20"/>
        </w:rPr>
        <w:t xml:space="preserve"> </w:t>
      </w:r>
      <w:r>
        <w:rPr>
          <w:sz w:val="20"/>
        </w:rPr>
        <w:t>contratación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correspondiente, el informe de valoración de los criterios de adjudicación cuantificables mediante un juicio de valor de cada una de las ofertas, en su caso, los informes sobre las ofertas incursas en presunción de anormalidad a que se refiere el artículo 149.4 y, en todo caso, la resolución de adjudicación del contrato.</w:t>
      </w:r>
    </w:p>
    <w:p w:rsidR="0092635B" w:rsidRDefault="00000000">
      <w:pPr>
        <w:pStyle w:val="Textoindependiente"/>
        <w:spacing w:before="123" w:line="249" w:lineRule="auto"/>
        <w:ind w:right="1104"/>
      </w:pPr>
      <w:r>
        <w:t>Igualmente serán objeto de publicación en el perfil de contratante la decisión de no adjudicar o celebrar el contrato, el desistimiento del procedimiento de adjudicación, la declaración de desierto, así como la interposición de recursos y la eventual suspensión de</w:t>
      </w:r>
      <w:r>
        <w:rPr>
          <w:spacing w:val="40"/>
        </w:rPr>
        <w:t xml:space="preserve"> </w:t>
      </w:r>
      <w:r>
        <w:t>los contratos con motivo de la interposición de recursos.</w:t>
      </w:r>
    </w:p>
    <w:p w:rsidR="0092635B" w:rsidRDefault="00000000">
      <w:pPr>
        <w:pStyle w:val="Prrafodelista"/>
        <w:numPr>
          <w:ilvl w:val="0"/>
          <w:numId w:val="298"/>
        </w:numPr>
        <w:tabs>
          <w:tab w:val="left" w:pos="1680"/>
        </w:tabs>
        <w:spacing w:before="3" w:line="249" w:lineRule="auto"/>
        <w:ind w:right="1102" w:firstLine="340"/>
        <w:jc w:val="both"/>
        <w:rPr>
          <w:sz w:val="20"/>
        </w:rPr>
      </w:pPr>
      <w:r>
        <w:rPr>
          <w:sz w:val="20"/>
        </w:rPr>
        <w:t>La publicación de la información relativa a los contratos menores deberá realizarse al menos trimestralmente. La información a publicar para este tipo de contratos será, al menos, su objeto, duración, el importe de adjudicación, incluido el Impuesto sobre el Valor Añadido,</w:t>
      </w:r>
      <w:r>
        <w:rPr>
          <w:spacing w:val="40"/>
          <w:sz w:val="20"/>
        </w:rPr>
        <w:t xml:space="preserve"> </w:t>
      </w:r>
      <w:r>
        <w:rPr>
          <w:sz w:val="20"/>
        </w:rPr>
        <w:t>y la identidad del adjudicatario, ordenándose los contratos por la identidad del adjudicatario.</w:t>
      </w:r>
    </w:p>
    <w:p w:rsidR="0092635B" w:rsidRDefault="00000000">
      <w:pPr>
        <w:pStyle w:val="Textoindependiente"/>
        <w:spacing w:before="3" w:line="249" w:lineRule="auto"/>
        <w:ind w:right="1104"/>
      </w:pPr>
      <w:r>
        <w:t>Quedan exceptuados de la publicación a la que se refiere el párrafo anterior, aquellos contratos cuyo valor estimado fuera inferior a cinco mil euros, siempre que el sistema de pago utilizado por los poderes adjudicadores fuera el de anticipo de caja fija u otro sistema similar para realizar pagos menores.</w:t>
      </w:r>
    </w:p>
    <w:p w:rsidR="0092635B" w:rsidRDefault="00000000">
      <w:pPr>
        <w:pStyle w:val="Prrafodelista"/>
        <w:numPr>
          <w:ilvl w:val="0"/>
          <w:numId w:val="298"/>
        </w:numPr>
        <w:tabs>
          <w:tab w:val="left" w:pos="1754"/>
        </w:tabs>
        <w:spacing w:before="4" w:line="249" w:lineRule="auto"/>
        <w:ind w:firstLine="340"/>
        <w:jc w:val="both"/>
        <w:rPr>
          <w:sz w:val="20"/>
        </w:rPr>
      </w:pPr>
      <w:r>
        <w:rPr>
          <w:sz w:val="20"/>
        </w:rPr>
        <w:t>Deberán ser objeto de publicación en el perfil de contratante, asimismo, los procedimientos anulados, la composición de las mesas de contratación que asistan a los órganos de contratación, así como la designación de los miembros del comité de expertos o de</w:t>
      </w:r>
      <w:r>
        <w:rPr>
          <w:spacing w:val="-2"/>
          <w:sz w:val="20"/>
        </w:rPr>
        <w:t xml:space="preserve"> </w:t>
      </w:r>
      <w:r>
        <w:rPr>
          <w:sz w:val="20"/>
        </w:rPr>
        <w:t>los</w:t>
      </w:r>
      <w:r>
        <w:rPr>
          <w:spacing w:val="-2"/>
          <w:sz w:val="20"/>
        </w:rPr>
        <w:t xml:space="preserve"> </w:t>
      </w:r>
      <w:r>
        <w:rPr>
          <w:sz w:val="20"/>
        </w:rPr>
        <w:t>organismos</w:t>
      </w:r>
      <w:r>
        <w:rPr>
          <w:spacing w:val="-2"/>
          <w:sz w:val="20"/>
        </w:rPr>
        <w:t xml:space="preserve"> </w:t>
      </w:r>
      <w:r>
        <w:rPr>
          <w:sz w:val="20"/>
        </w:rPr>
        <w:t>técnicos</w:t>
      </w:r>
      <w:r>
        <w:rPr>
          <w:spacing w:val="-2"/>
          <w:sz w:val="20"/>
        </w:rPr>
        <w:t xml:space="preserve"> </w:t>
      </w:r>
      <w:r>
        <w:rPr>
          <w:sz w:val="20"/>
        </w:rPr>
        <w:t>especializados</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aplicación</w:t>
      </w:r>
      <w:r>
        <w:rPr>
          <w:spacing w:val="-2"/>
          <w:sz w:val="20"/>
        </w:rPr>
        <w:t xml:space="preserve"> </w:t>
      </w:r>
      <w:r>
        <w:rPr>
          <w:sz w:val="20"/>
        </w:rPr>
        <w:t>de</w:t>
      </w:r>
      <w:r>
        <w:rPr>
          <w:spacing w:val="-2"/>
          <w:sz w:val="20"/>
        </w:rPr>
        <w:t xml:space="preserve"> </w:t>
      </w:r>
      <w:r>
        <w:rPr>
          <w:sz w:val="20"/>
        </w:rPr>
        <w:t>criterios</w:t>
      </w:r>
      <w:r>
        <w:rPr>
          <w:spacing w:val="-2"/>
          <w:sz w:val="20"/>
        </w:rPr>
        <w:t xml:space="preserve"> </w:t>
      </w:r>
      <w:r>
        <w:rPr>
          <w:sz w:val="20"/>
        </w:rPr>
        <w:t>de</w:t>
      </w:r>
      <w:r>
        <w:rPr>
          <w:spacing w:val="-2"/>
          <w:sz w:val="20"/>
        </w:rPr>
        <w:t xml:space="preserve"> </w:t>
      </w:r>
      <w:r>
        <w:rPr>
          <w:sz w:val="20"/>
        </w:rPr>
        <w:t>adjudicación</w:t>
      </w:r>
      <w:r>
        <w:rPr>
          <w:spacing w:val="-2"/>
          <w:sz w:val="20"/>
        </w:rPr>
        <w:t xml:space="preserve"> </w:t>
      </w:r>
      <w:r>
        <w:rPr>
          <w:sz w:val="20"/>
        </w:rPr>
        <w:t>que dependan de un juicio de valor en los procedimientos en los que sean necesarios.</w:t>
      </w:r>
    </w:p>
    <w:p w:rsidR="0092635B" w:rsidRDefault="00000000">
      <w:pPr>
        <w:pStyle w:val="Textoindependiente"/>
        <w:spacing w:before="4" w:line="249" w:lineRule="auto"/>
        <w:ind w:right="1105"/>
      </w:pPr>
      <w:r>
        <w:t>En</w:t>
      </w:r>
      <w:r>
        <w:rPr>
          <w:spacing w:val="-1"/>
        </w:rPr>
        <w:t xml:space="preserve"> </w:t>
      </w:r>
      <w:r>
        <w:t>todo</w:t>
      </w:r>
      <w:r>
        <w:rPr>
          <w:spacing w:val="-1"/>
        </w:rPr>
        <w:t xml:space="preserve"> </w:t>
      </w:r>
      <w:r>
        <w:t>caso</w:t>
      </w:r>
      <w:r>
        <w:rPr>
          <w:spacing w:val="-1"/>
        </w:rPr>
        <w:t xml:space="preserve"> </w:t>
      </w:r>
      <w:r>
        <w:t>deberá</w:t>
      </w:r>
      <w:r>
        <w:rPr>
          <w:spacing w:val="-1"/>
        </w:rPr>
        <w:t xml:space="preserve"> </w:t>
      </w:r>
      <w:r>
        <w:t>publicarse</w:t>
      </w:r>
      <w:r>
        <w:rPr>
          <w:spacing w:val="-1"/>
        </w:rPr>
        <w:t xml:space="preserve"> </w:t>
      </w:r>
      <w:r>
        <w:t>el</w:t>
      </w:r>
      <w:r>
        <w:rPr>
          <w:spacing w:val="-1"/>
        </w:rPr>
        <w:t xml:space="preserve"> </w:t>
      </w:r>
      <w:r>
        <w:t>cargo</w:t>
      </w:r>
      <w:r>
        <w:rPr>
          <w:spacing w:val="-1"/>
        </w:rPr>
        <w:t xml:space="preserve"> </w:t>
      </w:r>
      <w:r>
        <w:t>de</w:t>
      </w:r>
      <w:r>
        <w:rPr>
          <w:spacing w:val="-1"/>
        </w:rPr>
        <w:t xml:space="preserve"> </w:t>
      </w:r>
      <w:r>
        <w:t>los</w:t>
      </w:r>
      <w:r>
        <w:rPr>
          <w:spacing w:val="-1"/>
        </w:rPr>
        <w:t xml:space="preserve"> </w:t>
      </w:r>
      <w:r>
        <w:t>miembros</w:t>
      </w:r>
      <w:r>
        <w:rPr>
          <w:spacing w:val="-1"/>
        </w:rPr>
        <w:t xml:space="preserve"> </w:t>
      </w:r>
      <w:r>
        <w:t>de</w:t>
      </w:r>
      <w:r>
        <w:rPr>
          <w:spacing w:val="-1"/>
        </w:rPr>
        <w:t xml:space="preserve"> </w:t>
      </w:r>
      <w:r>
        <w:t>las</w:t>
      </w:r>
      <w:r>
        <w:rPr>
          <w:spacing w:val="-1"/>
        </w:rPr>
        <w:t xml:space="preserve"> </w:t>
      </w:r>
      <w:r>
        <w:t>mesas</w:t>
      </w:r>
      <w:r>
        <w:rPr>
          <w:spacing w:val="-1"/>
        </w:rPr>
        <w:t xml:space="preserve"> </w:t>
      </w:r>
      <w:r>
        <w:t>de</w:t>
      </w:r>
      <w:r>
        <w:rPr>
          <w:spacing w:val="-1"/>
        </w:rPr>
        <w:t xml:space="preserve"> </w:t>
      </w:r>
      <w:r>
        <w:t>contratación</w:t>
      </w:r>
      <w:r>
        <w:rPr>
          <w:spacing w:val="-1"/>
        </w:rPr>
        <w:t xml:space="preserve"> </w:t>
      </w:r>
      <w:r>
        <w:t>y de</w:t>
      </w:r>
      <w:r>
        <w:rPr>
          <w:spacing w:val="-2"/>
        </w:rPr>
        <w:t xml:space="preserve"> </w:t>
      </w:r>
      <w:r>
        <w:t>los</w:t>
      </w:r>
      <w:r>
        <w:rPr>
          <w:spacing w:val="-2"/>
        </w:rPr>
        <w:t xml:space="preserve"> </w:t>
      </w:r>
      <w:r>
        <w:t>comités</w:t>
      </w:r>
      <w:r>
        <w:rPr>
          <w:spacing w:val="-2"/>
        </w:rPr>
        <w:t xml:space="preserve"> </w:t>
      </w:r>
      <w:r>
        <w:t>de</w:t>
      </w:r>
      <w:r>
        <w:rPr>
          <w:spacing w:val="-2"/>
        </w:rPr>
        <w:t xml:space="preserve"> </w:t>
      </w:r>
      <w:r>
        <w:t>expertos,</w:t>
      </w:r>
      <w:r>
        <w:rPr>
          <w:spacing w:val="-2"/>
        </w:rPr>
        <w:t xml:space="preserve"> </w:t>
      </w:r>
      <w:r>
        <w:t>no</w:t>
      </w:r>
      <w:r>
        <w:rPr>
          <w:spacing w:val="-2"/>
        </w:rPr>
        <w:t xml:space="preserve"> </w:t>
      </w:r>
      <w:r>
        <w:t>permitiéndose</w:t>
      </w:r>
      <w:r>
        <w:rPr>
          <w:spacing w:val="-2"/>
        </w:rPr>
        <w:t xml:space="preserve"> </w:t>
      </w:r>
      <w:r>
        <w:t>alusiones</w:t>
      </w:r>
      <w:r>
        <w:rPr>
          <w:spacing w:val="-2"/>
        </w:rPr>
        <w:t xml:space="preserve"> </w:t>
      </w:r>
      <w:r>
        <w:t>genéricas</w:t>
      </w:r>
      <w:r>
        <w:rPr>
          <w:spacing w:val="-2"/>
        </w:rPr>
        <w:t xml:space="preserve"> </w:t>
      </w:r>
      <w:r>
        <w:t>o</w:t>
      </w:r>
      <w:r>
        <w:rPr>
          <w:spacing w:val="-2"/>
        </w:rPr>
        <w:t xml:space="preserve"> </w:t>
      </w:r>
      <w:r>
        <w:t>indeterminadas</w:t>
      </w:r>
      <w:r>
        <w:rPr>
          <w:spacing w:val="-2"/>
        </w:rPr>
        <w:t xml:space="preserve"> </w:t>
      </w:r>
      <w:r>
        <w:t>o</w:t>
      </w:r>
      <w:r>
        <w:rPr>
          <w:spacing w:val="-2"/>
        </w:rPr>
        <w:t xml:space="preserve"> </w:t>
      </w:r>
      <w:r>
        <w:t>que</w:t>
      </w:r>
      <w:r>
        <w:rPr>
          <w:spacing w:val="-2"/>
        </w:rPr>
        <w:t xml:space="preserve"> </w:t>
      </w:r>
      <w:r>
        <w:t>se refieran únicamente a la Administración, organismo o entidad a la que representen o en la que prestasen sus servicios.</w:t>
      </w:r>
    </w:p>
    <w:p w:rsidR="0092635B" w:rsidRDefault="00000000">
      <w:pPr>
        <w:pStyle w:val="Prrafodelista"/>
        <w:numPr>
          <w:ilvl w:val="0"/>
          <w:numId w:val="298"/>
        </w:numPr>
        <w:tabs>
          <w:tab w:val="left" w:pos="1727"/>
        </w:tabs>
        <w:spacing w:before="3" w:line="249" w:lineRule="auto"/>
        <w:ind w:right="1104" w:firstLine="340"/>
        <w:jc w:val="both"/>
        <w:rPr>
          <w:sz w:val="20"/>
        </w:rPr>
      </w:pPr>
      <w:r>
        <w:rPr>
          <w:sz w:val="20"/>
        </w:rPr>
        <w:t>La</w:t>
      </w:r>
      <w:r>
        <w:rPr>
          <w:spacing w:val="57"/>
          <w:sz w:val="20"/>
        </w:rPr>
        <w:t xml:space="preserve"> </w:t>
      </w:r>
      <w:r>
        <w:rPr>
          <w:sz w:val="20"/>
        </w:rPr>
        <w:t>formalización</w:t>
      </w:r>
      <w:r>
        <w:rPr>
          <w:spacing w:val="57"/>
          <w:sz w:val="20"/>
        </w:rPr>
        <w:t xml:space="preserve"> </w:t>
      </w:r>
      <w:r>
        <w:rPr>
          <w:sz w:val="20"/>
        </w:rPr>
        <w:t>de</w:t>
      </w:r>
      <w:r>
        <w:rPr>
          <w:spacing w:val="57"/>
          <w:sz w:val="20"/>
        </w:rPr>
        <w:t xml:space="preserve"> </w:t>
      </w:r>
      <w:r>
        <w:rPr>
          <w:sz w:val="20"/>
        </w:rPr>
        <w:t>los</w:t>
      </w:r>
      <w:r>
        <w:rPr>
          <w:spacing w:val="57"/>
          <w:sz w:val="20"/>
        </w:rPr>
        <w:t xml:space="preserve"> </w:t>
      </w:r>
      <w:r>
        <w:rPr>
          <w:sz w:val="20"/>
        </w:rPr>
        <w:t>encargos</w:t>
      </w:r>
      <w:r>
        <w:rPr>
          <w:spacing w:val="57"/>
          <w:sz w:val="20"/>
        </w:rPr>
        <w:t xml:space="preserve"> </w:t>
      </w:r>
      <w:r>
        <w:rPr>
          <w:sz w:val="20"/>
        </w:rPr>
        <w:t>a</w:t>
      </w:r>
      <w:r>
        <w:rPr>
          <w:spacing w:val="57"/>
          <w:sz w:val="20"/>
        </w:rPr>
        <w:t xml:space="preserve"> </w:t>
      </w:r>
      <w:r>
        <w:rPr>
          <w:sz w:val="20"/>
        </w:rPr>
        <w:t>medios</w:t>
      </w:r>
      <w:r>
        <w:rPr>
          <w:spacing w:val="57"/>
          <w:sz w:val="20"/>
        </w:rPr>
        <w:t xml:space="preserve"> </w:t>
      </w:r>
      <w:r>
        <w:rPr>
          <w:sz w:val="20"/>
        </w:rPr>
        <w:t>propios</w:t>
      </w:r>
      <w:r>
        <w:rPr>
          <w:spacing w:val="57"/>
          <w:sz w:val="20"/>
        </w:rPr>
        <w:t xml:space="preserve"> </w:t>
      </w:r>
      <w:r>
        <w:rPr>
          <w:sz w:val="20"/>
        </w:rPr>
        <w:t>cuyo</w:t>
      </w:r>
      <w:r>
        <w:rPr>
          <w:spacing w:val="57"/>
          <w:sz w:val="20"/>
        </w:rPr>
        <w:t xml:space="preserve"> </w:t>
      </w:r>
      <w:r>
        <w:rPr>
          <w:sz w:val="20"/>
        </w:rPr>
        <w:t>importe</w:t>
      </w:r>
      <w:r>
        <w:rPr>
          <w:spacing w:val="57"/>
          <w:sz w:val="20"/>
        </w:rPr>
        <w:t xml:space="preserve"> </w:t>
      </w:r>
      <w:r>
        <w:rPr>
          <w:sz w:val="20"/>
        </w:rPr>
        <w:t>fuera</w:t>
      </w:r>
      <w:r>
        <w:rPr>
          <w:spacing w:val="57"/>
          <w:sz w:val="20"/>
        </w:rPr>
        <w:t xml:space="preserve"> </w:t>
      </w:r>
      <w:r>
        <w:rPr>
          <w:sz w:val="20"/>
        </w:rPr>
        <w:t xml:space="preserve">superior a 50.000 euros, IVA excluido, serán objeto, asimismo, de publicación en el perfil de </w:t>
      </w:r>
      <w:r>
        <w:rPr>
          <w:spacing w:val="-2"/>
          <w:sz w:val="20"/>
        </w:rPr>
        <w:t>contratante.</w:t>
      </w:r>
    </w:p>
    <w:p w:rsidR="0092635B" w:rsidRDefault="00000000">
      <w:pPr>
        <w:pStyle w:val="Textoindependiente"/>
        <w:spacing w:before="3" w:line="249" w:lineRule="auto"/>
        <w:ind w:right="1103"/>
      </w:pPr>
      <w:r>
        <w:t>La información relativa a los encargos de importe superior a 5.000 euros deberá publicarse al menos trimestralmente. La información a publicar para este tipo de encargos será, al menos, su objeto, duración, las tarifas aplicables y la identidad del medio propio destinatario del encargo, ordenándose los encargos por la identidad del medio propio.</w:t>
      </w:r>
    </w:p>
    <w:p w:rsidR="0092635B" w:rsidRDefault="00000000">
      <w:pPr>
        <w:pStyle w:val="Prrafodelista"/>
        <w:numPr>
          <w:ilvl w:val="0"/>
          <w:numId w:val="298"/>
        </w:numPr>
        <w:tabs>
          <w:tab w:val="left" w:pos="1718"/>
        </w:tabs>
        <w:spacing w:before="3" w:line="249" w:lineRule="auto"/>
        <w:ind w:right="1105" w:firstLine="340"/>
        <w:jc w:val="both"/>
        <w:rPr>
          <w:sz w:val="20"/>
        </w:rPr>
      </w:pPr>
      <w:r>
        <w:rPr>
          <w:sz w:val="20"/>
        </w:rPr>
        <w:t>El sistema informático que soporte el perfil de contratante deberá contar con un dispositivo que permita acreditar fehacientemente el momento de inicio de la difusión pública de la información que se incluya en el mismo.</w:t>
      </w:r>
    </w:p>
    <w:p w:rsidR="0092635B" w:rsidRDefault="00000000">
      <w:pPr>
        <w:pStyle w:val="Prrafodelista"/>
        <w:numPr>
          <w:ilvl w:val="0"/>
          <w:numId w:val="298"/>
        </w:numPr>
        <w:tabs>
          <w:tab w:val="left" w:pos="1673"/>
        </w:tabs>
        <w:spacing w:line="249" w:lineRule="auto"/>
        <w:ind w:right="1105" w:firstLine="340"/>
        <w:jc w:val="both"/>
        <w:rPr>
          <w:sz w:val="20"/>
        </w:rPr>
      </w:pPr>
      <w:r>
        <w:rPr>
          <w:sz w:val="20"/>
        </w:rPr>
        <w:t>Podrán no publicarse determinados datos relativos a la celebración del contrato en los supuestos que establece el artículo 154.7.</w:t>
      </w:r>
    </w:p>
    <w:p w:rsidR="0092635B" w:rsidRDefault="00000000">
      <w:pPr>
        <w:pStyle w:val="Textoindependiente"/>
        <w:spacing w:line="249" w:lineRule="auto"/>
        <w:ind w:right="1104"/>
      </w:pPr>
      <w:r>
        <w:t>En todo caso, cada vez que el órgano de contratación decida excluir alguna información de acuerdo con lo dispuesto en el párrafo anterior, deberá justificarlo en el expediente.</w:t>
      </w:r>
    </w:p>
    <w:p w:rsidR="0092635B" w:rsidRDefault="00000000">
      <w:pPr>
        <w:spacing w:before="228"/>
        <w:ind w:left="1106"/>
        <w:jc w:val="both"/>
        <w:rPr>
          <w:rFonts w:ascii="Arial" w:hAnsi="Arial"/>
          <w:i/>
          <w:sz w:val="20"/>
        </w:rPr>
      </w:pPr>
      <w:bookmarkStart w:id="100" w:name="Artículo_64._Lucha_contra_la_corrupción_"/>
      <w:bookmarkEnd w:id="100"/>
      <w:r>
        <w:rPr>
          <w:rFonts w:ascii="Arial" w:hAnsi="Arial"/>
          <w:b/>
          <w:sz w:val="20"/>
        </w:rPr>
        <w:t>Artículo</w:t>
      </w:r>
      <w:r>
        <w:rPr>
          <w:rFonts w:ascii="Arial" w:hAnsi="Arial"/>
          <w:b/>
          <w:spacing w:val="-3"/>
          <w:sz w:val="20"/>
        </w:rPr>
        <w:t xml:space="preserve"> </w:t>
      </w:r>
      <w:r>
        <w:rPr>
          <w:rFonts w:ascii="Arial" w:hAnsi="Arial"/>
          <w:b/>
          <w:sz w:val="20"/>
        </w:rPr>
        <w:t>64.</w:t>
      </w:r>
      <w:r>
        <w:rPr>
          <w:rFonts w:ascii="Arial" w:hAnsi="Arial"/>
          <w:b/>
          <w:spacing w:val="50"/>
          <w:sz w:val="20"/>
        </w:rPr>
        <w:t xml:space="preserve"> </w:t>
      </w:r>
      <w:r>
        <w:rPr>
          <w:rFonts w:ascii="Arial" w:hAnsi="Arial"/>
          <w:i/>
          <w:sz w:val="20"/>
        </w:rPr>
        <w:t>Lucha</w:t>
      </w:r>
      <w:r>
        <w:rPr>
          <w:rFonts w:ascii="Arial" w:hAnsi="Arial"/>
          <w:i/>
          <w:spacing w:val="-3"/>
          <w:sz w:val="20"/>
        </w:rPr>
        <w:t xml:space="preserve"> </w:t>
      </w:r>
      <w:r>
        <w:rPr>
          <w:rFonts w:ascii="Arial" w:hAnsi="Arial"/>
          <w:i/>
          <w:sz w:val="20"/>
        </w:rPr>
        <w:t>contra</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corrupción</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prevención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2"/>
          <w:sz w:val="20"/>
        </w:rPr>
        <w:t xml:space="preserve"> </w:t>
      </w:r>
      <w:r>
        <w:rPr>
          <w:rFonts w:ascii="Arial" w:hAnsi="Arial"/>
          <w:i/>
          <w:sz w:val="20"/>
        </w:rPr>
        <w:t>conflictos</w:t>
      </w:r>
      <w:r>
        <w:rPr>
          <w:rFonts w:ascii="Arial" w:hAnsi="Arial"/>
          <w:i/>
          <w:spacing w:val="-2"/>
          <w:sz w:val="20"/>
        </w:rPr>
        <w:t xml:space="preserve"> </w:t>
      </w:r>
      <w:r>
        <w:rPr>
          <w:rFonts w:ascii="Arial" w:hAnsi="Arial"/>
          <w:i/>
          <w:sz w:val="20"/>
        </w:rPr>
        <w:t>de</w:t>
      </w:r>
      <w:r>
        <w:rPr>
          <w:rFonts w:ascii="Arial" w:hAnsi="Arial"/>
          <w:i/>
          <w:spacing w:val="-2"/>
          <w:sz w:val="20"/>
        </w:rPr>
        <w:t xml:space="preserve"> intereses.</w:t>
      </w:r>
    </w:p>
    <w:p w:rsidR="0092635B" w:rsidRDefault="00000000">
      <w:pPr>
        <w:pStyle w:val="Prrafodelista"/>
        <w:numPr>
          <w:ilvl w:val="0"/>
          <w:numId w:val="297"/>
        </w:numPr>
        <w:tabs>
          <w:tab w:val="left" w:pos="1668"/>
        </w:tabs>
        <w:spacing w:before="124" w:line="249" w:lineRule="auto"/>
        <w:ind w:right="1102" w:firstLine="340"/>
        <w:jc w:val="both"/>
        <w:rPr>
          <w:sz w:val="20"/>
        </w:rPr>
      </w:pPr>
      <w:r>
        <w:rPr>
          <w:sz w:val="20"/>
        </w:rPr>
        <w:t>Los</w:t>
      </w:r>
      <w:r>
        <w:rPr>
          <w:spacing w:val="-2"/>
          <w:sz w:val="20"/>
        </w:rPr>
        <w:t xml:space="preserve"> </w:t>
      </w:r>
      <w:r>
        <w:rPr>
          <w:sz w:val="20"/>
        </w:rPr>
        <w:t>órganos</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deberán</w:t>
      </w:r>
      <w:r>
        <w:rPr>
          <w:spacing w:val="-2"/>
          <w:sz w:val="20"/>
        </w:rPr>
        <w:t xml:space="preserve"> </w:t>
      </w:r>
      <w:r>
        <w:rPr>
          <w:sz w:val="20"/>
        </w:rPr>
        <w:t>tomar</w:t>
      </w:r>
      <w:r>
        <w:rPr>
          <w:spacing w:val="-2"/>
          <w:sz w:val="20"/>
        </w:rPr>
        <w:t xml:space="preserve"> </w:t>
      </w:r>
      <w:r>
        <w:rPr>
          <w:sz w:val="20"/>
        </w:rPr>
        <w:t>las</w:t>
      </w:r>
      <w:r>
        <w:rPr>
          <w:spacing w:val="-2"/>
          <w:sz w:val="20"/>
        </w:rPr>
        <w:t xml:space="preserve"> </w:t>
      </w:r>
      <w:r>
        <w:rPr>
          <w:sz w:val="20"/>
        </w:rPr>
        <w:t>medidas</w:t>
      </w:r>
      <w:r>
        <w:rPr>
          <w:spacing w:val="-2"/>
          <w:sz w:val="20"/>
        </w:rPr>
        <w:t xml:space="preserve"> </w:t>
      </w:r>
      <w:r>
        <w:rPr>
          <w:sz w:val="20"/>
        </w:rPr>
        <w:t>adecuadas</w:t>
      </w:r>
      <w:r>
        <w:rPr>
          <w:spacing w:val="-2"/>
          <w:sz w:val="20"/>
        </w:rPr>
        <w:t xml:space="preserve"> </w:t>
      </w:r>
      <w:r>
        <w:rPr>
          <w:sz w:val="20"/>
        </w:rPr>
        <w:t>para</w:t>
      </w:r>
      <w:r>
        <w:rPr>
          <w:spacing w:val="-2"/>
          <w:sz w:val="20"/>
        </w:rPr>
        <w:t xml:space="preserve"> </w:t>
      </w:r>
      <w:r>
        <w:rPr>
          <w:sz w:val="20"/>
        </w:rPr>
        <w:t>luchar</w:t>
      </w:r>
      <w:r>
        <w:rPr>
          <w:spacing w:val="-2"/>
          <w:sz w:val="20"/>
        </w:rPr>
        <w:t xml:space="preserve"> </w:t>
      </w:r>
      <w:r>
        <w:rPr>
          <w:sz w:val="20"/>
        </w:rPr>
        <w:t>contra el</w:t>
      </w:r>
      <w:r>
        <w:rPr>
          <w:spacing w:val="-1"/>
          <w:sz w:val="20"/>
        </w:rPr>
        <w:t xml:space="preserve"> </w:t>
      </w:r>
      <w:r>
        <w:rPr>
          <w:sz w:val="20"/>
        </w:rPr>
        <w:t>fraude,</w:t>
      </w:r>
      <w:r>
        <w:rPr>
          <w:spacing w:val="-1"/>
          <w:sz w:val="20"/>
        </w:rPr>
        <w:t xml:space="preserve"> </w:t>
      </w:r>
      <w:r>
        <w:rPr>
          <w:sz w:val="20"/>
        </w:rPr>
        <w:t>el</w:t>
      </w:r>
      <w:r>
        <w:rPr>
          <w:spacing w:val="-1"/>
          <w:sz w:val="20"/>
        </w:rPr>
        <w:t xml:space="preserve"> </w:t>
      </w:r>
      <w:r>
        <w:rPr>
          <w:sz w:val="20"/>
        </w:rPr>
        <w:t>favoritismo</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corrupción,</w:t>
      </w:r>
      <w:r>
        <w:rPr>
          <w:spacing w:val="-1"/>
          <w:sz w:val="20"/>
        </w:rPr>
        <w:t xml:space="preserve"> </w:t>
      </w:r>
      <w:r>
        <w:rPr>
          <w:sz w:val="20"/>
        </w:rPr>
        <w:t>y</w:t>
      </w:r>
      <w:r>
        <w:rPr>
          <w:spacing w:val="-1"/>
          <w:sz w:val="20"/>
        </w:rPr>
        <w:t xml:space="preserve"> </w:t>
      </w:r>
      <w:r>
        <w:rPr>
          <w:sz w:val="20"/>
        </w:rPr>
        <w:t>prevenir,</w:t>
      </w:r>
      <w:r>
        <w:rPr>
          <w:spacing w:val="-1"/>
          <w:sz w:val="20"/>
        </w:rPr>
        <w:t xml:space="preserve"> </w:t>
      </w:r>
      <w:r>
        <w:rPr>
          <w:sz w:val="20"/>
        </w:rPr>
        <w:t>detectar</w:t>
      </w:r>
      <w:r>
        <w:rPr>
          <w:spacing w:val="-1"/>
          <w:sz w:val="20"/>
        </w:rPr>
        <w:t xml:space="preserve"> </w:t>
      </w:r>
      <w:r>
        <w:rPr>
          <w:sz w:val="20"/>
        </w:rPr>
        <w:t>y</w:t>
      </w:r>
      <w:r>
        <w:rPr>
          <w:spacing w:val="-1"/>
          <w:sz w:val="20"/>
        </w:rPr>
        <w:t xml:space="preserve"> </w:t>
      </w:r>
      <w:r>
        <w:rPr>
          <w:sz w:val="20"/>
        </w:rPr>
        <w:t>solucionar</w:t>
      </w:r>
      <w:r>
        <w:rPr>
          <w:spacing w:val="-1"/>
          <w:sz w:val="20"/>
        </w:rPr>
        <w:t xml:space="preserve"> </w:t>
      </w:r>
      <w:r>
        <w:rPr>
          <w:sz w:val="20"/>
        </w:rPr>
        <w:t>de</w:t>
      </w:r>
      <w:r>
        <w:rPr>
          <w:spacing w:val="-1"/>
          <w:sz w:val="20"/>
        </w:rPr>
        <w:t xml:space="preserve"> </w:t>
      </w:r>
      <w:r>
        <w:rPr>
          <w:sz w:val="20"/>
        </w:rPr>
        <w:t>modo</w:t>
      </w:r>
      <w:r>
        <w:rPr>
          <w:spacing w:val="-1"/>
          <w:sz w:val="20"/>
        </w:rPr>
        <w:t xml:space="preserve"> </w:t>
      </w:r>
      <w:r>
        <w:rPr>
          <w:sz w:val="20"/>
        </w:rPr>
        <w:t>efectivo</w:t>
      </w:r>
      <w:r>
        <w:rPr>
          <w:spacing w:val="-1"/>
          <w:sz w:val="20"/>
        </w:rPr>
        <w:t xml:space="preserve"> </w:t>
      </w:r>
      <w:r>
        <w:rPr>
          <w:sz w:val="20"/>
        </w:rPr>
        <w:t>los conflictos de intereses que puedan surgir en los procedimientos de licitación con el fin de evitar cualquier distorsión de la competencia y garantizar la transparencia en el procedimiento y la igualdad de trato a todos los candidatos y licitadores.</w:t>
      </w:r>
    </w:p>
    <w:p w:rsidR="0092635B" w:rsidRDefault="00000000">
      <w:pPr>
        <w:pStyle w:val="Prrafodelista"/>
        <w:numPr>
          <w:ilvl w:val="0"/>
          <w:numId w:val="297"/>
        </w:numPr>
        <w:tabs>
          <w:tab w:val="left" w:pos="1695"/>
        </w:tabs>
        <w:spacing w:before="4" w:line="249" w:lineRule="auto"/>
        <w:ind w:firstLine="340"/>
        <w:jc w:val="both"/>
        <w:rPr>
          <w:sz w:val="20"/>
        </w:rPr>
      </w:pPr>
      <w:r>
        <w:rPr>
          <w:sz w:val="20"/>
        </w:rPr>
        <w:t>A estos efectos el concepto de conflicto de intereses abarcará, al menos,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rsidR="0092635B" w:rsidRDefault="00000000">
      <w:pPr>
        <w:pStyle w:val="Textoindependiente"/>
        <w:spacing w:before="5" w:line="249" w:lineRule="auto"/>
        <w:ind w:right="1105"/>
      </w:pPr>
      <w:r>
        <w:t>Aquellas personas o entidades que tengan conocimiento de un posible conflicto de interés deberán ponerlo inmediatamente en conocimiento del órgano de contratación.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101" w:name="CAPÍTULO_II._Capacidad_y_solvencia_del_e"/>
      <w:bookmarkStart w:id="102" w:name="_bookmark18"/>
      <w:bookmarkEnd w:id="101"/>
      <w:bookmarkEnd w:id="102"/>
      <w:r>
        <w:t xml:space="preserve">CAPÍTULO </w:t>
      </w:r>
      <w:r>
        <w:rPr>
          <w:spacing w:val="-5"/>
        </w:rPr>
        <w:t>II</w:t>
      </w:r>
    </w:p>
    <w:p w:rsidR="0092635B" w:rsidRDefault="00000000">
      <w:pPr>
        <w:pStyle w:val="Ttulo2"/>
      </w:pPr>
      <w:r>
        <w:t>Capacidad</w:t>
      </w:r>
      <w:r>
        <w:rPr>
          <w:spacing w:val="-2"/>
        </w:rPr>
        <w:t xml:space="preserve"> </w:t>
      </w:r>
      <w:r>
        <w:t>y</w:t>
      </w:r>
      <w:r>
        <w:rPr>
          <w:spacing w:val="-2"/>
        </w:rPr>
        <w:t xml:space="preserve"> </w:t>
      </w:r>
      <w:r>
        <w:t>solvencia</w:t>
      </w:r>
      <w:r>
        <w:rPr>
          <w:spacing w:val="-2"/>
        </w:rPr>
        <w:t xml:space="preserve"> </w:t>
      </w:r>
      <w:r>
        <w:t>del</w:t>
      </w:r>
      <w:r>
        <w:rPr>
          <w:spacing w:val="-2"/>
        </w:rPr>
        <w:t xml:space="preserve"> empresario</w:t>
      </w:r>
    </w:p>
    <w:p w:rsidR="0092635B" w:rsidRDefault="0092635B">
      <w:pPr>
        <w:pStyle w:val="Textoindependiente"/>
        <w:spacing w:before="7"/>
        <w:ind w:left="0" w:firstLine="0"/>
        <w:jc w:val="left"/>
        <w:rPr>
          <w:rFonts w:ascii="Arial"/>
          <w:b/>
        </w:rPr>
      </w:pPr>
    </w:p>
    <w:p w:rsidR="0092635B" w:rsidRDefault="00000000">
      <w:pPr>
        <w:pStyle w:val="Ttulo3"/>
      </w:pPr>
      <w:bookmarkStart w:id="103" w:name="Sección_1.ª_Aptitud_para_contratar_con_e"/>
      <w:bookmarkStart w:id="104" w:name="_bookmark19"/>
      <w:bookmarkEnd w:id="103"/>
      <w:bookmarkEnd w:id="104"/>
      <w:r>
        <w:t>Sección</w:t>
      </w:r>
      <w:r>
        <w:rPr>
          <w:spacing w:val="-5"/>
        </w:rPr>
        <w:t xml:space="preserve"> </w:t>
      </w:r>
      <w:r>
        <w:t>1.ª</w:t>
      </w:r>
      <w:r>
        <w:rPr>
          <w:spacing w:val="-2"/>
        </w:rPr>
        <w:t xml:space="preserve"> </w:t>
      </w:r>
      <w:r>
        <w:t>Aptitud</w:t>
      </w:r>
      <w:r>
        <w:rPr>
          <w:spacing w:val="-2"/>
        </w:rPr>
        <w:t xml:space="preserve"> </w:t>
      </w:r>
      <w:r>
        <w:t>para</w:t>
      </w:r>
      <w:r>
        <w:rPr>
          <w:spacing w:val="-2"/>
        </w:rPr>
        <w:t xml:space="preserve"> </w:t>
      </w:r>
      <w:r>
        <w:t>contratar</w:t>
      </w:r>
      <w:r>
        <w:rPr>
          <w:spacing w:val="-3"/>
        </w:rPr>
        <w:t xml:space="preserve"> </w:t>
      </w:r>
      <w:r>
        <w:t>con</w:t>
      </w:r>
      <w:r>
        <w:rPr>
          <w:spacing w:val="-2"/>
        </w:rPr>
        <w:t xml:space="preserve"> </w:t>
      </w:r>
      <w:r>
        <w:t>el</w:t>
      </w:r>
      <w:r>
        <w:rPr>
          <w:spacing w:val="-2"/>
        </w:rPr>
        <w:t xml:space="preserve"> </w:t>
      </w:r>
      <w:r>
        <w:t>sector</w:t>
      </w:r>
      <w:r>
        <w:rPr>
          <w:spacing w:val="-2"/>
        </w:rPr>
        <w:t xml:space="preserve"> público</w:t>
      </w:r>
    </w:p>
    <w:p w:rsidR="0092635B" w:rsidRDefault="0092635B">
      <w:pPr>
        <w:pStyle w:val="Textoindependiente"/>
        <w:spacing w:before="63"/>
        <w:ind w:left="0" w:firstLine="0"/>
        <w:jc w:val="left"/>
        <w:rPr>
          <w:rFonts w:ascii="Arial"/>
          <w:b/>
          <w:i/>
        </w:rPr>
      </w:pPr>
    </w:p>
    <w:p w:rsidR="0092635B" w:rsidRDefault="00000000">
      <w:pPr>
        <w:pStyle w:val="Textoindependiente"/>
        <w:spacing w:before="0"/>
        <w:ind w:left="0" w:firstLine="0"/>
        <w:jc w:val="center"/>
      </w:pPr>
      <w:bookmarkStart w:id="105" w:name="Subsección_1.ª_Normas_generales_y_normas"/>
      <w:bookmarkStart w:id="106" w:name="_bookmark20"/>
      <w:bookmarkEnd w:id="105"/>
      <w:bookmarkEnd w:id="106"/>
      <w:r>
        <w:t>Subsección</w:t>
      </w:r>
      <w:r>
        <w:rPr>
          <w:spacing w:val="-2"/>
        </w:rPr>
        <w:t xml:space="preserve"> </w:t>
      </w:r>
      <w:r>
        <w:t>1.ª</w:t>
      </w:r>
      <w:r>
        <w:rPr>
          <w:spacing w:val="-2"/>
        </w:rPr>
        <w:t xml:space="preserve"> </w:t>
      </w:r>
      <w:r>
        <w:t>Normas</w:t>
      </w:r>
      <w:r>
        <w:rPr>
          <w:spacing w:val="-2"/>
        </w:rPr>
        <w:t xml:space="preserve"> </w:t>
      </w:r>
      <w:r>
        <w:t>generales</w:t>
      </w:r>
      <w:r>
        <w:rPr>
          <w:spacing w:val="-2"/>
        </w:rPr>
        <w:t xml:space="preserve"> </w:t>
      </w:r>
      <w:r>
        <w:t>y</w:t>
      </w:r>
      <w:r>
        <w:rPr>
          <w:spacing w:val="-2"/>
        </w:rPr>
        <w:t xml:space="preserve"> </w:t>
      </w:r>
      <w:r>
        <w:t>normas</w:t>
      </w:r>
      <w:r>
        <w:rPr>
          <w:spacing w:val="-2"/>
        </w:rPr>
        <w:t xml:space="preserve"> </w:t>
      </w:r>
      <w:r>
        <w:t>especiales</w:t>
      </w:r>
      <w:r>
        <w:rPr>
          <w:spacing w:val="-2"/>
        </w:rPr>
        <w:t xml:space="preserve"> </w:t>
      </w:r>
      <w:r>
        <w:t>sobre</w:t>
      </w:r>
      <w:r>
        <w:rPr>
          <w:spacing w:val="-1"/>
        </w:rPr>
        <w:t xml:space="preserve"> </w:t>
      </w:r>
      <w:r>
        <w:rPr>
          <w:spacing w:val="-2"/>
        </w:rPr>
        <w:t>capacidad</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107" w:name="Artículo_65._Condiciones_de_aptitud."/>
      <w:bookmarkEnd w:id="107"/>
      <w:r>
        <w:rPr>
          <w:rFonts w:ascii="Arial" w:hAnsi="Arial"/>
          <w:b/>
          <w:sz w:val="20"/>
        </w:rPr>
        <w:t>Artículo</w:t>
      </w:r>
      <w:r>
        <w:rPr>
          <w:rFonts w:ascii="Arial" w:hAnsi="Arial"/>
          <w:b/>
          <w:spacing w:val="-1"/>
          <w:sz w:val="20"/>
        </w:rPr>
        <w:t xml:space="preserve"> </w:t>
      </w:r>
      <w:r>
        <w:rPr>
          <w:rFonts w:ascii="Arial" w:hAnsi="Arial"/>
          <w:b/>
          <w:sz w:val="20"/>
        </w:rPr>
        <w:t>65.</w:t>
      </w:r>
      <w:r>
        <w:rPr>
          <w:rFonts w:ascii="Arial" w:hAnsi="Arial"/>
          <w:b/>
          <w:spacing w:val="54"/>
          <w:sz w:val="20"/>
        </w:rPr>
        <w:t xml:space="preserve"> </w:t>
      </w:r>
      <w:r>
        <w:rPr>
          <w:rFonts w:ascii="Arial" w:hAnsi="Arial"/>
          <w:i/>
          <w:sz w:val="20"/>
        </w:rPr>
        <w:t xml:space="preserve">Condiciones de </w:t>
      </w:r>
      <w:r>
        <w:rPr>
          <w:rFonts w:ascii="Arial" w:hAnsi="Arial"/>
          <w:i/>
          <w:spacing w:val="-2"/>
          <w:sz w:val="20"/>
        </w:rPr>
        <w:t>aptitud.</w:t>
      </w:r>
    </w:p>
    <w:p w:rsidR="0092635B" w:rsidRDefault="00000000">
      <w:pPr>
        <w:pStyle w:val="Prrafodelista"/>
        <w:numPr>
          <w:ilvl w:val="0"/>
          <w:numId w:val="296"/>
        </w:numPr>
        <w:tabs>
          <w:tab w:val="left" w:pos="1735"/>
        </w:tabs>
        <w:spacing w:before="124" w:line="249" w:lineRule="auto"/>
        <w:ind w:right="1104" w:firstLine="340"/>
        <w:jc w:val="both"/>
        <w:rPr>
          <w:sz w:val="20"/>
        </w:rPr>
      </w:pPr>
      <w:r>
        <w:rPr>
          <w:sz w:val="20"/>
        </w:rPr>
        <w:t xml:space="preserve">Solo podrán contratar con el sector público las personas naturales o jurídicas, españolas o extranjeras, que tengan plena capacidad de obrar, no estén incursas en alguna prohibición de contratar, y acrediten su solvencia económica y financiera y técnica o profesional o, en los casos en que así lo exija esta Ley, se encuentren debidamente </w:t>
      </w:r>
      <w:r>
        <w:rPr>
          <w:spacing w:val="-2"/>
          <w:sz w:val="20"/>
        </w:rPr>
        <w:t>clasificadas.</w:t>
      </w:r>
    </w:p>
    <w:p w:rsidR="0092635B" w:rsidRDefault="00000000">
      <w:pPr>
        <w:pStyle w:val="Textoindependiente"/>
        <w:spacing w:before="4" w:line="249" w:lineRule="auto"/>
        <w:ind w:right="1103"/>
      </w:pPr>
      <w:r>
        <w:t>Cuando, por así determinarlo la normativa aplicable,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p>
    <w:p w:rsidR="0092635B" w:rsidRDefault="00000000">
      <w:pPr>
        <w:pStyle w:val="Prrafodelista"/>
        <w:numPr>
          <w:ilvl w:val="0"/>
          <w:numId w:val="296"/>
        </w:numPr>
        <w:tabs>
          <w:tab w:val="left" w:pos="1767"/>
        </w:tabs>
        <w:spacing w:before="3" w:line="249" w:lineRule="auto"/>
        <w:ind w:right="1104" w:firstLine="340"/>
        <w:jc w:val="both"/>
        <w:rPr>
          <w:sz w:val="20"/>
        </w:rPr>
      </w:pPr>
      <w:r>
        <w:rPr>
          <w:sz w:val="20"/>
        </w:rPr>
        <w:t>Los contratistas deberán contar, asimismo, con la habilitación empresarial o profesional que, en su caso, sea exigible para la realización de las prestaciones que constituyan el objeto del contrato.</w:t>
      </w:r>
    </w:p>
    <w:p w:rsidR="0092635B" w:rsidRDefault="00000000">
      <w:pPr>
        <w:pStyle w:val="Prrafodelista"/>
        <w:numPr>
          <w:ilvl w:val="0"/>
          <w:numId w:val="296"/>
        </w:numPr>
        <w:tabs>
          <w:tab w:val="left" w:pos="1720"/>
        </w:tabs>
        <w:spacing w:line="249" w:lineRule="auto"/>
        <w:ind w:right="1104" w:firstLine="340"/>
        <w:jc w:val="both"/>
        <w:rPr>
          <w:sz w:val="20"/>
        </w:rPr>
      </w:pPr>
      <w:r>
        <w:rPr>
          <w:sz w:val="20"/>
        </w:rPr>
        <w:t>En los contratos subvencionados a que se refiere el artículo 23 de esta Ley, el contratista deberá acreditar su solvencia y no podrá estar incurso en la prohibición de contratar a que se refiere la letra a) del apartado 1 del artículo 71.</w:t>
      </w:r>
    </w:p>
    <w:p w:rsidR="0092635B" w:rsidRDefault="00000000">
      <w:pPr>
        <w:spacing w:before="230"/>
        <w:ind w:left="1106"/>
        <w:rPr>
          <w:rFonts w:ascii="Arial" w:hAnsi="Arial"/>
          <w:i/>
          <w:sz w:val="20"/>
        </w:rPr>
      </w:pPr>
      <w:bookmarkStart w:id="108" w:name="Artículo_66._Personas_jurídicas."/>
      <w:bookmarkEnd w:id="108"/>
      <w:r>
        <w:rPr>
          <w:rFonts w:ascii="Arial" w:hAnsi="Arial"/>
          <w:b/>
          <w:sz w:val="20"/>
        </w:rPr>
        <w:t>Artículo 66.</w:t>
      </w:r>
      <w:r>
        <w:rPr>
          <w:rFonts w:ascii="Arial" w:hAnsi="Arial"/>
          <w:b/>
          <w:spacing w:val="54"/>
          <w:sz w:val="20"/>
        </w:rPr>
        <w:t xml:space="preserve"> </w:t>
      </w:r>
      <w:r>
        <w:rPr>
          <w:rFonts w:ascii="Arial" w:hAnsi="Arial"/>
          <w:i/>
          <w:sz w:val="20"/>
        </w:rPr>
        <w:t xml:space="preserve">Personas </w:t>
      </w:r>
      <w:r>
        <w:rPr>
          <w:rFonts w:ascii="Arial" w:hAnsi="Arial"/>
          <w:i/>
          <w:spacing w:val="-2"/>
          <w:sz w:val="20"/>
        </w:rPr>
        <w:t>jurídicas.</w:t>
      </w:r>
    </w:p>
    <w:p w:rsidR="0092635B" w:rsidRDefault="00000000">
      <w:pPr>
        <w:pStyle w:val="Prrafodelista"/>
        <w:numPr>
          <w:ilvl w:val="0"/>
          <w:numId w:val="295"/>
        </w:numPr>
        <w:tabs>
          <w:tab w:val="left" w:pos="1674"/>
        </w:tabs>
        <w:spacing w:before="123" w:line="249" w:lineRule="auto"/>
        <w:ind w:right="1104" w:firstLine="340"/>
        <w:jc w:val="both"/>
        <w:rPr>
          <w:sz w:val="20"/>
        </w:rPr>
      </w:pPr>
      <w:r>
        <w:rPr>
          <w:sz w:val="20"/>
        </w:rPr>
        <w:t>Las personas jurídicas solo podrán ser adjudicatarias de contratos cuyas prestaciones estén comprendidas dentro de los fines, objeto o ámbito de actividad que, a tenor de sus estatutos o reglas fundacionales, les sean propios.</w:t>
      </w:r>
    </w:p>
    <w:p w:rsidR="0092635B" w:rsidRDefault="00000000">
      <w:pPr>
        <w:pStyle w:val="Prrafodelista"/>
        <w:numPr>
          <w:ilvl w:val="0"/>
          <w:numId w:val="295"/>
        </w:numPr>
        <w:tabs>
          <w:tab w:val="left" w:pos="1738"/>
        </w:tabs>
        <w:spacing w:before="3" w:line="249" w:lineRule="auto"/>
        <w:ind w:firstLine="340"/>
        <w:jc w:val="both"/>
        <w:rPr>
          <w:sz w:val="20"/>
        </w:rPr>
      </w:pPr>
      <w:r>
        <w:rPr>
          <w:sz w:val="20"/>
        </w:rPr>
        <w:t>Quienes concurran individual o conjuntamente con otros a la licitación de una concesión de obras o de servicios, podrán hacerlo con el compromiso de constituir una sociedad que será la titular de la concesión. La constitución y, en su caso, la forma de la sociedad deberán ajustarse a lo que establezca, para determinados tipos de concesiones, la correspondiente legislación específica.</w:t>
      </w:r>
    </w:p>
    <w:p w:rsidR="0092635B" w:rsidRDefault="0092635B">
      <w:pPr>
        <w:pStyle w:val="Textoindependiente"/>
        <w:spacing w:before="0"/>
        <w:ind w:left="0" w:firstLine="0"/>
        <w:jc w:val="left"/>
      </w:pPr>
    </w:p>
    <w:p w:rsidR="0092635B" w:rsidRDefault="00000000">
      <w:pPr>
        <w:spacing w:line="249" w:lineRule="auto"/>
        <w:ind w:left="1106" w:right="1120"/>
        <w:rPr>
          <w:rFonts w:ascii="Arial" w:hAnsi="Arial"/>
          <w:i/>
          <w:sz w:val="20"/>
        </w:rPr>
      </w:pPr>
      <w:bookmarkStart w:id="109" w:name="Artículo_67._Empresas_comunitarias_o_de_"/>
      <w:bookmarkEnd w:id="109"/>
      <w:r>
        <w:rPr>
          <w:rFonts w:ascii="Arial" w:hAnsi="Arial"/>
          <w:b/>
          <w:sz w:val="20"/>
        </w:rPr>
        <w:t>Artículo 67.</w:t>
      </w:r>
      <w:r>
        <w:rPr>
          <w:rFonts w:ascii="Arial" w:hAnsi="Arial"/>
          <w:b/>
          <w:spacing w:val="40"/>
          <w:sz w:val="20"/>
        </w:rPr>
        <w:t xml:space="preserve"> </w:t>
      </w:r>
      <w:r>
        <w:rPr>
          <w:rFonts w:ascii="Arial" w:hAnsi="Arial"/>
          <w:i/>
          <w:sz w:val="20"/>
        </w:rPr>
        <w:t>Empresas comunitarias o de Estados signatarios del Acuerdo sobre el Espacio Económico Europeo.</w:t>
      </w:r>
    </w:p>
    <w:p w:rsidR="0092635B" w:rsidRDefault="00000000">
      <w:pPr>
        <w:pStyle w:val="Prrafodelista"/>
        <w:numPr>
          <w:ilvl w:val="0"/>
          <w:numId w:val="294"/>
        </w:numPr>
        <w:tabs>
          <w:tab w:val="left" w:pos="1668"/>
        </w:tabs>
        <w:spacing w:before="115" w:line="249" w:lineRule="auto"/>
        <w:ind w:firstLine="340"/>
        <w:jc w:val="both"/>
        <w:rPr>
          <w:sz w:val="20"/>
        </w:rPr>
      </w:pPr>
      <w:r>
        <w:rPr>
          <w:sz w:val="20"/>
        </w:rPr>
        <w:t>Tendrán</w:t>
      </w:r>
      <w:r>
        <w:rPr>
          <w:spacing w:val="-4"/>
          <w:sz w:val="20"/>
        </w:rPr>
        <w:t xml:space="preserve"> </w:t>
      </w:r>
      <w:r>
        <w:rPr>
          <w:sz w:val="20"/>
        </w:rPr>
        <w:t>capacidad</w:t>
      </w:r>
      <w:r>
        <w:rPr>
          <w:spacing w:val="-4"/>
          <w:sz w:val="20"/>
        </w:rPr>
        <w:t xml:space="preserve"> </w:t>
      </w:r>
      <w:r>
        <w:rPr>
          <w:sz w:val="20"/>
        </w:rPr>
        <w:t>para</w:t>
      </w:r>
      <w:r>
        <w:rPr>
          <w:spacing w:val="-4"/>
          <w:sz w:val="20"/>
        </w:rPr>
        <w:t xml:space="preserve"> </w:t>
      </w:r>
      <w:r>
        <w:rPr>
          <w:sz w:val="20"/>
        </w:rPr>
        <w:t>contratar</w:t>
      </w:r>
      <w:r>
        <w:rPr>
          <w:spacing w:val="-4"/>
          <w:sz w:val="20"/>
        </w:rPr>
        <w:t xml:space="preserve"> </w:t>
      </w:r>
      <w:r>
        <w:rPr>
          <w:sz w:val="20"/>
        </w:rPr>
        <w:t>con</w:t>
      </w:r>
      <w:r>
        <w:rPr>
          <w:spacing w:val="-4"/>
          <w:sz w:val="20"/>
        </w:rPr>
        <w:t xml:space="preserve"> </w:t>
      </w:r>
      <w:r>
        <w:rPr>
          <w:sz w:val="20"/>
        </w:rPr>
        <w:t>el</w:t>
      </w:r>
      <w:r>
        <w:rPr>
          <w:spacing w:val="-4"/>
          <w:sz w:val="20"/>
        </w:rPr>
        <w:t xml:space="preserve"> </w:t>
      </w:r>
      <w:r>
        <w:rPr>
          <w:sz w:val="20"/>
        </w:rPr>
        <w:t>sector</w:t>
      </w:r>
      <w:r>
        <w:rPr>
          <w:spacing w:val="-4"/>
          <w:sz w:val="20"/>
        </w:rPr>
        <w:t xml:space="preserve"> </w:t>
      </w:r>
      <w:r>
        <w:rPr>
          <w:sz w:val="20"/>
        </w:rPr>
        <w:t>público,</w:t>
      </w:r>
      <w:r>
        <w:rPr>
          <w:spacing w:val="-4"/>
          <w:sz w:val="20"/>
        </w:rPr>
        <w:t xml:space="preserve"> </w:t>
      </w:r>
      <w:r>
        <w:rPr>
          <w:sz w:val="20"/>
        </w:rPr>
        <w:t>en</w:t>
      </w:r>
      <w:r>
        <w:rPr>
          <w:spacing w:val="-4"/>
          <w:sz w:val="20"/>
        </w:rPr>
        <w:t xml:space="preserve"> </w:t>
      </w:r>
      <w:r>
        <w:rPr>
          <w:sz w:val="20"/>
        </w:rPr>
        <w:t>todo</w:t>
      </w:r>
      <w:r>
        <w:rPr>
          <w:spacing w:val="-4"/>
          <w:sz w:val="20"/>
        </w:rPr>
        <w:t xml:space="preserve"> </w:t>
      </w:r>
      <w:r>
        <w:rPr>
          <w:sz w:val="20"/>
        </w:rPr>
        <w:t>caso,</w:t>
      </w:r>
      <w:r>
        <w:rPr>
          <w:spacing w:val="-4"/>
          <w:sz w:val="20"/>
        </w:rPr>
        <w:t xml:space="preserve"> </w:t>
      </w:r>
      <w:r>
        <w:rPr>
          <w:sz w:val="20"/>
        </w:rPr>
        <w:t>las</w:t>
      </w:r>
      <w:r>
        <w:rPr>
          <w:spacing w:val="-4"/>
          <w:sz w:val="20"/>
        </w:rPr>
        <w:t xml:space="preserve"> </w:t>
      </w:r>
      <w:r>
        <w:rPr>
          <w:sz w:val="20"/>
        </w:rPr>
        <w:t>empresas</w:t>
      </w:r>
      <w:r>
        <w:rPr>
          <w:spacing w:val="-4"/>
          <w:sz w:val="20"/>
        </w:rPr>
        <w:t xml:space="preserve"> </w:t>
      </w:r>
      <w:r>
        <w:rPr>
          <w:sz w:val="20"/>
        </w:rPr>
        <w:t>no españolas de Estados miembros de la Unión Europea o de los Estados signatarios del Acuerdo sobre el Espacio Económico Europeo que, con arreglo a la legislación del Estado</w:t>
      </w:r>
      <w:r>
        <w:rPr>
          <w:spacing w:val="80"/>
          <w:sz w:val="20"/>
        </w:rPr>
        <w:t xml:space="preserve"> </w:t>
      </w:r>
      <w:r>
        <w:rPr>
          <w:sz w:val="20"/>
        </w:rPr>
        <w:t xml:space="preserve">en que estén establecidas, se encuentren habilitadas para realizar la prestación de que se </w:t>
      </w:r>
      <w:r>
        <w:rPr>
          <w:spacing w:val="-2"/>
          <w:sz w:val="20"/>
        </w:rPr>
        <w:t>trate.</w:t>
      </w:r>
    </w:p>
    <w:p w:rsidR="0092635B" w:rsidRDefault="00000000">
      <w:pPr>
        <w:pStyle w:val="Prrafodelista"/>
        <w:numPr>
          <w:ilvl w:val="0"/>
          <w:numId w:val="294"/>
        </w:numPr>
        <w:tabs>
          <w:tab w:val="left" w:pos="1683"/>
        </w:tabs>
        <w:spacing w:before="5" w:line="249" w:lineRule="auto"/>
        <w:ind w:right="1105" w:firstLine="340"/>
        <w:jc w:val="both"/>
        <w:rPr>
          <w:sz w:val="20"/>
        </w:rPr>
      </w:pPr>
      <w:r>
        <w:rPr>
          <w:sz w:val="20"/>
        </w:rPr>
        <w:t>Cuando la legislación del Estado en que se encuentren establecidas estas empresas exija una autorización especial o la pertenencia a una determinada organización para poder prestar en él el servicio de que se trate, deberán acreditar que cumplen este requisito.</w:t>
      </w:r>
    </w:p>
    <w:p w:rsidR="0092635B" w:rsidRDefault="00000000">
      <w:pPr>
        <w:spacing w:before="229"/>
        <w:ind w:left="1106"/>
        <w:rPr>
          <w:rFonts w:ascii="Arial" w:hAnsi="Arial"/>
          <w:i/>
          <w:sz w:val="20"/>
        </w:rPr>
      </w:pPr>
      <w:bookmarkStart w:id="110" w:name="Artículo_68._Empresas_no_comunitarias."/>
      <w:bookmarkEnd w:id="110"/>
      <w:r>
        <w:rPr>
          <w:rFonts w:ascii="Arial" w:hAnsi="Arial"/>
          <w:b/>
          <w:sz w:val="20"/>
        </w:rPr>
        <w:t>Artículo</w:t>
      </w:r>
      <w:r>
        <w:rPr>
          <w:rFonts w:ascii="Arial" w:hAnsi="Arial"/>
          <w:b/>
          <w:spacing w:val="-1"/>
          <w:sz w:val="20"/>
        </w:rPr>
        <w:t xml:space="preserve"> </w:t>
      </w:r>
      <w:r>
        <w:rPr>
          <w:rFonts w:ascii="Arial" w:hAnsi="Arial"/>
          <w:b/>
          <w:sz w:val="20"/>
        </w:rPr>
        <w:t>68.</w:t>
      </w:r>
      <w:r>
        <w:rPr>
          <w:rFonts w:ascii="Arial" w:hAnsi="Arial"/>
          <w:b/>
          <w:spacing w:val="54"/>
          <w:sz w:val="20"/>
        </w:rPr>
        <w:t xml:space="preserve"> </w:t>
      </w:r>
      <w:r>
        <w:rPr>
          <w:rFonts w:ascii="Arial" w:hAnsi="Arial"/>
          <w:i/>
          <w:sz w:val="20"/>
        </w:rPr>
        <w:t xml:space="preserve">Empresas no </w:t>
      </w:r>
      <w:r>
        <w:rPr>
          <w:rFonts w:ascii="Arial" w:hAnsi="Arial"/>
          <w:i/>
          <w:spacing w:val="-2"/>
          <w:sz w:val="20"/>
        </w:rPr>
        <w:t>comunitarias.</w:t>
      </w:r>
    </w:p>
    <w:p w:rsidR="0092635B" w:rsidRDefault="00000000">
      <w:pPr>
        <w:pStyle w:val="Prrafodelista"/>
        <w:numPr>
          <w:ilvl w:val="0"/>
          <w:numId w:val="293"/>
        </w:numPr>
        <w:tabs>
          <w:tab w:val="left" w:pos="1694"/>
        </w:tabs>
        <w:spacing w:before="123" w:line="249" w:lineRule="auto"/>
        <w:ind w:firstLine="340"/>
        <w:jc w:val="both"/>
        <w:rPr>
          <w:sz w:val="20"/>
        </w:rPr>
      </w:pPr>
      <w:r>
        <w:rPr>
          <w:sz w:val="20"/>
        </w:rPr>
        <w:t>Sin perjuicio de la aplicación de las obligaciones de España derivadas de acuerdos internacionales, las personas físicas o jurídicas de Estados no pertenecientes a la Unión Europea o de Estados signatarios del Acuerdo sobre el Espacio Económico Europeo</w:t>
      </w:r>
      <w:r>
        <w:rPr>
          <w:spacing w:val="40"/>
          <w:sz w:val="20"/>
        </w:rPr>
        <w:t xml:space="preserve"> </w:t>
      </w:r>
      <w:r>
        <w:rPr>
          <w:sz w:val="20"/>
        </w:rPr>
        <w:t>deberán justificar mediante informe que el Estado de procedencia de la empresa extranjera admite a su vez la participación de empresas españolas en la contratación con los entes del sector público asimilables a los enumerados en el artículo 3, en forma sustancialmente análoga. Dicho informe será elaborado por la correspondiente Oficina Económica y Comercial de España en el exterior y se acompañará a la documentación que se presente. En</w:t>
      </w:r>
      <w:r>
        <w:rPr>
          <w:spacing w:val="80"/>
          <w:sz w:val="20"/>
        </w:rPr>
        <w:t xml:space="preserve"> </w:t>
      </w:r>
      <w:r>
        <w:rPr>
          <w:sz w:val="20"/>
        </w:rPr>
        <w:t>los</w:t>
      </w:r>
      <w:r>
        <w:rPr>
          <w:spacing w:val="80"/>
          <w:sz w:val="20"/>
        </w:rPr>
        <w:t xml:space="preserve"> </w:t>
      </w:r>
      <w:r>
        <w:rPr>
          <w:sz w:val="20"/>
        </w:rPr>
        <w:t>contratos</w:t>
      </w:r>
      <w:r>
        <w:rPr>
          <w:spacing w:val="80"/>
          <w:sz w:val="20"/>
        </w:rPr>
        <w:t xml:space="preserve"> </w:t>
      </w:r>
      <w:r>
        <w:rPr>
          <w:sz w:val="20"/>
        </w:rPr>
        <w:t>sujetos</w:t>
      </w:r>
      <w:r>
        <w:rPr>
          <w:spacing w:val="80"/>
          <w:sz w:val="20"/>
        </w:rPr>
        <w:t xml:space="preserve"> </w:t>
      </w:r>
      <w:r>
        <w:rPr>
          <w:sz w:val="20"/>
        </w:rPr>
        <w:t>a</w:t>
      </w:r>
      <w:r>
        <w:rPr>
          <w:spacing w:val="80"/>
          <w:sz w:val="20"/>
        </w:rPr>
        <w:t xml:space="preserve"> </w:t>
      </w:r>
      <w:r>
        <w:rPr>
          <w:sz w:val="20"/>
        </w:rPr>
        <w:t>regulación</w:t>
      </w:r>
      <w:r>
        <w:rPr>
          <w:spacing w:val="80"/>
          <w:sz w:val="20"/>
        </w:rPr>
        <w:t xml:space="preserve"> </w:t>
      </w:r>
      <w:r>
        <w:rPr>
          <w:sz w:val="20"/>
        </w:rPr>
        <w:t>armonizada</w:t>
      </w:r>
      <w:r>
        <w:rPr>
          <w:spacing w:val="80"/>
          <w:sz w:val="20"/>
        </w:rPr>
        <w:t xml:space="preserve"> </w:t>
      </w:r>
      <w:r>
        <w:rPr>
          <w:sz w:val="20"/>
        </w:rPr>
        <w:t>se</w:t>
      </w:r>
      <w:r>
        <w:rPr>
          <w:spacing w:val="80"/>
          <w:sz w:val="20"/>
        </w:rPr>
        <w:t xml:space="preserve"> </w:t>
      </w:r>
      <w:r>
        <w:rPr>
          <w:sz w:val="20"/>
        </w:rPr>
        <w:t>prescindirá</w:t>
      </w:r>
      <w:r>
        <w:rPr>
          <w:spacing w:val="80"/>
          <w:sz w:val="20"/>
        </w:rPr>
        <w:t xml:space="preserve"> </w:t>
      </w:r>
      <w:r>
        <w:rPr>
          <w:sz w:val="20"/>
        </w:rPr>
        <w:t>del</w:t>
      </w:r>
      <w:r>
        <w:rPr>
          <w:spacing w:val="80"/>
          <w:sz w:val="20"/>
        </w:rPr>
        <w:t xml:space="preserve"> </w:t>
      </w:r>
      <w:r>
        <w:rPr>
          <w:sz w:val="20"/>
        </w:rPr>
        <w:t>informe</w:t>
      </w:r>
      <w:r>
        <w:rPr>
          <w:spacing w:val="80"/>
          <w:sz w:val="20"/>
        </w:rPr>
        <w:t xml:space="preserve"> </w:t>
      </w:r>
      <w:r>
        <w:rPr>
          <w:sz w:val="20"/>
        </w:rPr>
        <w:t>sobre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reciprocidad en relación con las empresas de Estados signatarios del Acuerdo sobre Contratación Pública de la Organización Mundial de Comercio.</w:t>
      </w:r>
    </w:p>
    <w:p w:rsidR="0092635B" w:rsidRDefault="00000000">
      <w:pPr>
        <w:pStyle w:val="Prrafodelista"/>
        <w:numPr>
          <w:ilvl w:val="0"/>
          <w:numId w:val="293"/>
        </w:numPr>
        <w:tabs>
          <w:tab w:val="left" w:pos="1692"/>
        </w:tabs>
        <w:spacing w:before="1" w:line="249" w:lineRule="auto"/>
        <w:ind w:firstLine="340"/>
        <w:jc w:val="both"/>
        <w:rPr>
          <w:sz w:val="20"/>
        </w:rPr>
      </w:pPr>
      <w:r>
        <w:rPr>
          <w:sz w:val="20"/>
        </w:rPr>
        <w:t>Adicionalmente, el pliego de cláusulas administrativas particulares podrá exigir a las empresas no comunitarias que resulten adjudicatarias de contratos de obras que abran una sucursal en España, con designación de apoderados o representantes para sus</w:t>
      </w:r>
      <w:r>
        <w:rPr>
          <w:spacing w:val="80"/>
          <w:sz w:val="20"/>
        </w:rPr>
        <w:t xml:space="preserve"> </w:t>
      </w:r>
      <w:r>
        <w:rPr>
          <w:sz w:val="20"/>
        </w:rPr>
        <w:t>operaciones, y que estén inscritas en el Registro Mercantil.</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111" w:name="Artículo_69._Uniones_de_empresarios."/>
      <w:bookmarkEnd w:id="111"/>
      <w:r>
        <w:rPr>
          <w:rFonts w:ascii="Arial" w:hAnsi="Arial"/>
          <w:b/>
          <w:sz w:val="20"/>
        </w:rPr>
        <w:t>Artículo</w:t>
      </w:r>
      <w:r>
        <w:rPr>
          <w:rFonts w:ascii="Arial" w:hAnsi="Arial"/>
          <w:b/>
          <w:spacing w:val="-1"/>
          <w:sz w:val="20"/>
        </w:rPr>
        <w:t xml:space="preserve"> </w:t>
      </w:r>
      <w:r>
        <w:rPr>
          <w:rFonts w:ascii="Arial" w:hAnsi="Arial"/>
          <w:b/>
          <w:sz w:val="20"/>
        </w:rPr>
        <w:t>69.</w:t>
      </w:r>
      <w:r>
        <w:rPr>
          <w:rFonts w:ascii="Arial" w:hAnsi="Arial"/>
          <w:b/>
          <w:spacing w:val="54"/>
          <w:sz w:val="20"/>
        </w:rPr>
        <w:t xml:space="preserve"> </w:t>
      </w:r>
      <w:r>
        <w:rPr>
          <w:rFonts w:ascii="Arial" w:hAnsi="Arial"/>
          <w:i/>
          <w:sz w:val="20"/>
        </w:rPr>
        <w:t xml:space="preserve">Uniones de </w:t>
      </w:r>
      <w:r>
        <w:rPr>
          <w:rFonts w:ascii="Arial" w:hAnsi="Arial"/>
          <w:i/>
          <w:spacing w:val="-2"/>
          <w:sz w:val="20"/>
        </w:rPr>
        <w:t>empresarios.</w:t>
      </w:r>
    </w:p>
    <w:p w:rsidR="0092635B" w:rsidRDefault="00000000">
      <w:pPr>
        <w:pStyle w:val="Prrafodelista"/>
        <w:numPr>
          <w:ilvl w:val="0"/>
          <w:numId w:val="292"/>
        </w:numPr>
        <w:tabs>
          <w:tab w:val="left" w:pos="1677"/>
        </w:tabs>
        <w:spacing w:before="124" w:line="249" w:lineRule="auto"/>
        <w:ind w:firstLine="340"/>
        <w:jc w:val="both"/>
        <w:rPr>
          <w:sz w:val="20"/>
        </w:rPr>
      </w:pPr>
      <w:r>
        <w:rPr>
          <w:sz w:val="20"/>
        </w:rPr>
        <w:t>Podrán contratar con el sector público las uniones de empresarios que se constituyan temporalmente al efecto, sin que sea necesaria la formalización de las mismas en escritura pública hasta que se haya efectuado la adjudicación del contrato a su favor.</w:t>
      </w:r>
    </w:p>
    <w:p w:rsidR="0092635B" w:rsidRDefault="00000000">
      <w:pPr>
        <w:pStyle w:val="Prrafodelista"/>
        <w:numPr>
          <w:ilvl w:val="0"/>
          <w:numId w:val="292"/>
        </w:numPr>
        <w:tabs>
          <w:tab w:val="left" w:pos="1684"/>
        </w:tabs>
        <w:spacing w:line="249" w:lineRule="auto"/>
        <w:ind w:firstLine="340"/>
        <w:jc w:val="both"/>
        <w:rPr>
          <w:sz w:val="20"/>
        </w:rPr>
      </w:pPr>
      <w:r>
        <w:rPr>
          <w:sz w:val="20"/>
        </w:rPr>
        <w:t>Cuando en el ejercicio de sus funciones la mesa de contratación o, en su defecto, el órgano de contratación apreciara posibles indicios de colusión entre empresas que</w:t>
      </w:r>
      <w:r>
        <w:rPr>
          <w:spacing w:val="40"/>
          <w:sz w:val="20"/>
        </w:rPr>
        <w:t xml:space="preserve"> </w:t>
      </w:r>
      <w:r>
        <w:rPr>
          <w:sz w:val="20"/>
        </w:rPr>
        <w:t>concurran agrupadas en una unión temporal, se aplicará el procedimiento establecido en el artículo 150.1 de la presente ley.</w:t>
      </w:r>
    </w:p>
    <w:p w:rsidR="0092635B" w:rsidRDefault="00000000">
      <w:pPr>
        <w:pStyle w:val="Prrafodelista"/>
        <w:numPr>
          <w:ilvl w:val="0"/>
          <w:numId w:val="292"/>
        </w:numPr>
        <w:tabs>
          <w:tab w:val="left" w:pos="1669"/>
        </w:tabs>
        <w:spacing w:before="4" w:line="249" w:lineRule="auto"/>
        <w:ind w:firstLine="340"/>
        <w:jc w:val="both"/>
        <w:rPr>
          <w:sz w:val="20"/>
        </w:rPr>
      </w:pPr>
      <w:r>
        <w:rPr>
          <w:sz w:val="20"/>
        </w:rPr>
        <w:t>Los</w:t>
      </w:r>
      <w:r>
        <w:rPr>
          <w:spacing w:val="-3"/>
          <w:sz w:val="20"/>
        </w:rPr>
        <w:t xml:space="preserve"> </w:t>
      </w:r>
      <w:r>
        <w:rPr>
          <w:sz w:val="20"/>
        </w:rPr>
        <w:t>empresarios</w:t>
      </w:r>
      <w:r>
        <w:rPr>
          <w:spacing w:val="-3"/>
          <w:sz w:val="20"/>
        </w:rPr>
        <w:t xml:space="preserve"> </w:t>
      </w:r>
      <w:r>
        <w:rPr>
          <w:sz w:val="20"/>
        </w:rPr>
        <w:t>que</w:t>
      </w:r>
      <w:r>
        <w:rPr>
          <w:spacing w:val="-3"/>
          <w:sz w:val="20"/>
        </w:rPr>
        <w:t xml:space="preserve"> </w:t>
      </w:r>
      <w:r>
        <w:rPr>
          <w:sz w:val="20"/>
        </w:rPr>
        <w:t>concurran</w:t>
      </w:r>
      <w:r>
        <w:rPr>
          <w:spacing w:val="-3"/>
          <w:sz w:val="20"/>
        </w:rPr>
        <w:t xml:space="preserve"> </w:t>
      </w:r>
      <w:r>
        <w:rPr>
          <w:sz w:val="20"/>
        </w:rPr>
        <w:t>agrupados</w:t>
      </w:r>
      <w:r>
        <w:rPr>
          <w:spacing w:val="-3"/>
          <w:sz w:val="20"/>
        </w:rPr>
        <w:t xml:space="preserve"> </w:t>
      </w:r>
      <w:r>
        <w:rPr>
          <w:sz w:val="20"/>
        </w:rPr>
        <w:t>en</w:t>
      </w:r>
      <w:r>
        <w:rPr>
          <w:spacing w:val="-3"/>
          <w:sz w:val="20"/>
        </w:rPr>
        <w:t xml:space="preserve"> </w:t>
      </w:r>
      <w:r>
        <w:rPr>
          <w:sz w:val="20"/>
        </w:rPr>
        <w:t>uniones</w:t>
      </w:r>
      <w:r>
        <w:rPr>
          <w:spacing w:val="-3"/>
          <w:sz w:val="20"/>
        </w:rPr>
        <w:t xml:space="preserve"> </w:t>
      </w:r>
      <w:r>
        <w:rPr>
          <w:sz w:val="20"/>
        </w:rPr>
        <w:t>temporales</w:t>
      </w:r>
      <w:r>
        <w:rPr>
          <w:spacing w:val="-3"/>
          <w:sz w:val="20"/>
        </w:rPr>
        <w:t xml:space="preserve"> </w:t>
      </w:r>
      <w:r>
        <w:rPr>
          <w:sz w:val="20"/>
        </w:rPr>
        <w:t>quedarán</w:t>
      </w:r>
      <w:r>
        <w:rPr>
          <w:spacing w:val="-3"/>
          <w:sz w:val="20"/>
        </w:rPr>
        <w:t xml:space="preserve"> </w:t>
      </w:r>
      <w:r>
        <w:rPr>
          <w:sz w:val="20"/>
        </w:rPr>
        <w:t>obligados solidariamente y deberán nombrar un representante o apoderado único de la unión con poderes bastantes para ejercitar los derechos y cumplir las obligaciones que del contrato se deriven hasta la extinción del mismo, sin perjuicio de la existencia de poderes mancomunados que puedan otorgar para cobros y pagos de cuantía significativa.</w:t>
      </w:r>
    </w:p>
    <w:p w:rsidR="0092635B" w:rsidRDefault="00000000">
      <w:pPr>
        <w:pStyle w:val="Textoindependiente"/>
        <w:spacing w:before="4" w:line="249" w:lineRule="auto"/>
        <w:ind w:right="1103"/>
      </w:pPr>
      <w:r>
        <w:t>A efectos de la licitación, los empresarios que deseen concurrir integrados en una unión temporal deberán indicar los nombres y circunstancias de los que la constituyan y la participación de cada uno, así como que asumen el compromiso de constituirse formalmente en unión temporal en caso de resultar adjudicatarios del contrato.</w:t>
      </w:r>
    </w:p>
    <w:p w:rsidR="0092635B" w:rsidRDefault="00000000">
      <w:pPr>
        <w:pStyle w:val="Prrafodelista"/>
        <w:numPr>
          <w:ilvl w:val="0"/>
          <w:numId w:val="292"/>
        </w:numPr>
        <w:tabs>
          <w:tab w:val="left" w:pos="1697"/>
        </w:tabs>
        <w:spacing w:before="3" w:line="249" w:lineRule="auto"/>
        <w:ind w:firstLine="340"/>
        <w:jc w:val="both"/>
        <w:rPr>
          <w:sz w:val="20"/>
        </w:rPr>
      </w:pPr>
      <w:r>
        <w:rPr>
          <w:sz w:val="20"/>
        </w:rPr>
        <w:t>La duración de las uniones temporales de empresarios será coincidente, al menos, con la del contrato hasta su extinción.</w:t>
      </w:r>
    </w:p>
    <w:p w:rsidR="0092635B" w:rsidRDefault="00000000">
      <w:pPr>
        <w:pStyle w:val="Prrafodelista"/>
        <w:numPr>
          <w:ilvl w:val="0"/>
          <w:numId w:val="292"/>
        </w:numPr>
        <w:tabs>
          <w:tab w:val="left" w:pos="1749"/>
        </w:tabs>
        <w:spacing w:line="249" w:lineRule="auto"/>
        <w:ind w:right="1104" w:firstLine="340"/>
        <w:jc w:val="both"/>
        <w:rPr>
          <w:sz w:val="20"/>
        </w:rPr>
      </w:pPr>
      <w:r>
        <w:rPr>
          <w:sz w:val="20"/>
        </w:rPr>
        <w:t>Para los casos en que sea exigible la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92635B" w:rsidRDefault="00000000">
      <w:pPr>
        <w:pStyle w:val="Prrafodelista"/>
        <w:numPr>
          <w:ilvl w:val="0"/>
          <w:numId w:val="292"/>
        </w:numPr>
        <w:tabs>
          <w:tab w:val="left" w:pos="1719"/>
        </w:tabs>
        <w:spacing w:before="5" w:line="249" w:lineRule="auto"/>
        <w:ind w:firstLine="340"/>
        <w:jc w:val="both"/>
        <w:rPr>
          <w:sz w:val="20"/>
        </w:rPr>
      </w:pPr>
      <w:r>
        <w:rPr>
          <w:sz w:val="20"/>
        </w:rPr>
        <w:t>A los efectos de valorar y apreciar la concurrencia del requisito de clasificación, respecto de los empresarios que concurran agrupados se atenderá, en la forma que reglamentariamente se determine, a las características acumuladas de cada uno de ellos, expresadas</w:t>
      </w:r>
      <w:r>
        <w:rPr>
          <w:spacing w:val="-2"/>
          <w:sz w:val="20"/>
        </w:rPr>
        <w:t xml:space="preserve"> </w:t>
      </w:r>
      <w:r>
        <w:rPr>
          <w:sz w:val="20"/>
        </w:rPr>
        <w:t>en</w:t>
      </w:r>
      <w:r>
        <w:rPr>
          <w:spacing w:val="-2"/>
          <w:sz w:val="20"/>
        </w:rPr>
        <w:t xml:space="preserve"> </w:t>
      </w:r>
      <w:r>
        <w:rPr>
          <w:sz w:val="20"/>
        </w:rPr>
        <w:t>sus</w:t>
      </w:r>
      <w:r>
        <w:rPr>
          <w:spacing w:val="-2"/>
          <w:sz w:val="20"/>
        </w:rPr>
        <w:t xml:space="preserve"> </w:t>
      </w:r>
      <w:r>
        <w:rPr>
          <w:sz w:val="20"/>
        </w:rPr>
        <w:t>respectivas</w:t>
      </w:r>
      <w:r>
        <w:rPr>
          <w:spacing w:val="-2"/>
          <w:sz w:val="20"/>
        </w:rPr>
        <w:t xml:space="preserve"> </w:t>
      </w:r>
      <w:r>
        <w:rPr>
          <w:sz w:val="20"/>
        </w:rPr>
        <w:t>clasificaciones.</w:t>
      </w:r>
      <w:r>
        <w:rPr>
          <w:spacing w:val="-2"/>
          <w:sz w:val="20"/>
        </w:rPr>
        <w:t xml:space="preserve"> </w:t>
      </w:r>
      <w:r>
        <w:rPr>
          <w:sz w:val="20"/>
        </w:rPr>
        <w:t>En</w:t>
      </w:r>
      <w:r>
        <w:rPr>
          <w:spacing w:val="-2"/>
          <w:sz w:val="20"/>
        </w:rPr>
        <w:t xml:space="preserve"> </w:t>
      </w:r>
      <w:r>
        <w:rPr>
          <w:sz w:val="20"/>
        </w:rPr>
        <w:t>todo</w:t>
      </w:r>
      <w:r>
        <w:rPr>
          <w:spacing w:val="-2"/>
          <w:sz w:val="20"/>
        </w:rPr>
        <w:t xml:space="preserve"> </w:t>
      </w:r>
      <w:r>
        <w:rPr>
          <w:sz w:val="20"/>
        </w:rPr>
        <w:t>caso,</w:t>
      </w:r>
      <w:r>
        <w:rPr>
          <w:spacing w:val="-2"/>
          <w:sz w:val="20"/>
        </w:rPr>
        <w:t xml:space="preserve"> </w:t>
      </w:r>
      <w:r>
        <w:rPr>
          <w:sz w:val="20"/>
        </w:rPr>
        <w:t>será</w:t>
      </w:r>
      <w:r>
        <w:rPr>
          <w:spacing w:val="-2"/>
          <w:sz w:val="20"/>
        </w:rPr>
        <w:t xml:space="preserve"> </w:t>
      </w:r>
      <w:r>
        <w:rPr>
          <w:sz w:val="20"/>
        </w:rPr>
        <w:t>necesario</w:t>
      </w:r>
      <w:r>
        <w:rPr>
          <w:spacing w:val="-2"/>
          <w:sz w:val="20"/>
        </w:rPr>
        <w:t xml:space="preserve"> </w:t>
      </w:r>
      <w:r>
        <w:rPr>
          <w:sz w:val="20"/>
        </w:rPr>
        <w:t>para</w:t>
      </w:r>
      <w:r>
        <w:rPr>
          <w:spacing w:val="-2"/>
          <w:sz w:val="20"/>
        </w:rPr>
        <w:t xml:space="preserve"> </w:t>
      </w:r>
      <w:r>
        <w:rPr>
          <w:sz w:val="20"/>
        </w:rPr>
        <w:t>proceder</w:t>
      </w:r>
      <w:r>
        <w:rPr>
          <w:spacing w:val="-2"/>
          <w:sz w:val="20"/>
        </w:rPr>
        <w:t xml:space="preserve"> </w:t>
      </w:r>
      <w:r>
        <w:rPr>
          <w:sz w:val="20"/>
        </w:rPr>
        <w:t>a esta acumulación que todas las empresas hayan obtenido previamente la clasificación como empresa de obras, sin perjuicio de lo establecido para los empresarios no españoles de Estados miembros de la Unión Europea y de Estados signatarios del Acuerdo sobre el Espacio Económico Europeo en el apartado 4 del presente artículo.</w:t>
      </w:r>
    </w:p>
    <w:p w:rsidR="0092635B" w:rsidRDefault="00000000">
      <w:pPr>
        <w:pStyle w:val="Prrafodelista"/>
        <w:numPr>
          <w:ilvl w:val="0"/>
          <w:numId w:val="292"/>
        </w:numPr>
        <w:tabs>
          <w:tab w:val="left" w:pos="1685"/>
        </w:tabs>
        <w:spacing w:before="7" w:line="249" w:lineRule="auto"/>
        <w:ind w:firstLine="340"/>
        <w:jc w:val="both"/>
        <w:rPr>
          <w:sz w:val="20"/>
        </w:rPr>
      </w:pPr>
      <w:r>
        <w:rPr>
          <w:sz w:val="20"/>
        </w:rPr>
        <w:t>Los empresarios que estén interesados en formar las uniones a las que se refiere el presente artículo, podrán darse de alta en el Registro Oficial de Licitadores y Empresas Clasificadas del Sector Público, que especificará esta circunstancia. Si ya estuvieran</w:t>
      </w:r>
      <w:r>
        <w:rPr>
          <w:spacing w:val="40"/>
          <w:sz w:val="20"/>
        </w:rPr>
        <w:t xml:space="preserve"> </w:t>
      </w:r>
      <w:r>
        <w:rPr>
          <w:sz w:val="20"/>
        </w:rPr>
        <w:t>inscritos en el citado Registro únicamente deberán comunicarle a este, en la forma que se establezca reglamentariamente, su interés en el sentido indicado.</w:t>
      </w:r>
    </w:p>
    <w:p w:rsidR="0092635B" w:rsidRDefault="00000000">
      <w:pPr>
        <w:pStyle w:val="Prrafodelista"/>
        <w:numPr>
          <w:ilvl w:val="0"/>
          <w:numId w:val="292"/>
        </w:numPr>
        <w:tabs>
          <w:tab w:val="left" w:pos="1679"/>
        </w:tabs>
        <w:spacing w:before="4" w:line="249" w:lineRule="auto"/>
        <w:ind w:right="1104" w:firstLine="340"/>
        <w:jc w:val="both"/>
        <w:rPr>
          <w:sz w:val="20"/>
        </w:rPr>
      </w:pPr>
      <w:r>
        <w:rPr>
          <w:sz w:val="20"/>
        </w:rPr>
        <w:t>Si durante la tramitación de un procedimiento y antes de la formalización del contrato se produjese la modificación de la composición de la unión temporal de empresas, esta quedará excluida del procedimiento. No tendrá la consideración de modificación de la composición la alteración de la participación de las empresas siempre que se mantenga la misma clasificación. Quedará excluida también del procedimiento de adjudicación del contrato la unión temporal de empresas cuando alguna o algunas de las empresas que la integren quedase incursa en prohibición de contratar.</w:t>
      </w:r>
    </w:p>
    <w:p w:rsidR="0092635B" w:rsidRDefault="00000000">
      <w:pPr>
        <w:pStyle w:val="Textoindependiente"/>
        <w:spacing w:before="6" w:line="249" w:lineRule="auto"/>
        <w:ind w:right="1105"/>
      </w:pPr>
      <w:r>
        <w:t>Las operaciones de fusión, escisión y aportación o transmisión de rama de actividad de que sean objeto alguna o algunas empresas integradas en una unión temporal no impedirán la continuación de esta en el procedimiento de adjudicación. En el caso de que la sociedad absorbente,</w:t>
      </w:r>
      <w:r>
        <w:rPr>
          <w:spacing w:val="-2"/>
        </w:rPr>
        <w:t xml:space="preserve"> </w:t>
      </w:r>
      <w:r>
        <w:t>la</w:t>
      </w:r>
      <w:r>
        <w:rPr>
          <w:spacing w:val="-2"/>
        </w:rPr>
        <w:t xml:space="preserve"> </w:t>
      </w:r>
      <w:r>
        <w:t>resultante</w:t>
      </w:r>
      <w:r>
        <w:rPr>
          <w:spacing w:val="-2"/>
        </w:rPr>
        <w:t xml:space="preserve"> </w:t>
      </w:r>
      <w:r>
        <w:t>de</w:t>
      </w:r>
      <w:r>
        <w:rPr>
          <w:spacing w:val="-2"/>
        </w:rPr>
        <w:t xml:space="preserve"> </w:t>
      </w:r>
      <w:r>
        <w:t>la</w:t>
      </w:r>
      <w:r>
        <w:rPr>
          <w:spacing w:val="-2"/>
        </w:rPr>
        <w:t xml:space="preserve"> </w:t>
      </w:r>
      <w:r>
        <w:t>fusión,</w:t>
      </w:r>
      <w:r>
        <w:rPr>
          <w:spacing w:val="-2"/>
        </w:rPr>
        <w:t xml:space="preserve"> </w:t>
      </w:r>
      <w:r>
        <w:t>la</w:t>
      </w:r>
      <w:r>
        <w:rPr>
          <w:spacing w:val="-2"/>
        </w:rPr>
        <w:t xml:space="preserve"> </w:t>
      </w:r>
      <w:r>
        <w:t>beneficiaria</w:t>
      </w:r>
      <w:r>
        <w:rPr>
          <w:spacing w:val="-2"/>
        </w:rPr>
        <w:t xml:space="preserve"> </w:t>
      </w:r>
      <w:r>
        <w:t>de</w:t>
      </w:r>
      <w:r>
        <w:rPr>
          <w:spacing w:val="-2"/>
        </w:rPr>
        <w:t xml:space="preserve"> </w:t>
      </w:r>
      <w:r>
        <w:t>la</w:t>
      </w:r>
      <w:r>
        <w:rPr>
          <w:spacing w:val="-2"/>
        </w:rPr>
        <w:t xml:space="preserve"> </w:t>
      </w:r>
      <w:r>
        <w:t>escisión</w:t>
      </w:r>
      <w:r>
        <w:rPr>
          <w:spacing w:val="-2"/>
        </w:rPr>
        <w:t xml:space="preserve"> </w:t>
      </w:r>
      <w:r>
        <w:t>o</w:t>
      </w:r>
      <w:r>
        <w:rPr>
          <w:spacing w:val="-2"/>
        </w:rPr>
        <w:t xml:space="preserve"> </w:t>
      </w:r>
      <w:r>
        <w:t>la</w:t>
      </w:r>
      <w:r>
        <w:rPr>
          <w:spacing w:val="-2"/>
        </w:rPr>
        <w:t xml:space="preserve"> </w:t>
      </w:r>
      <w:r>
        <w:t>adquirente</w:t>
      </w:r>
      <w:r>
        <w:rPr>
          <w:spacing w:val="-2"/>
        </w:rPr>
        <w:t xml:space="preserve"> </w:t>
      </w:r>
      <w:r>
        <w:t>de</w:t>
      </w:r>
      <w:r>
        <w:rPr>
          <w:spacing w:val="-2"/>
        </w:rPr>
        <w:t xml:space="preserve"> </w:t>
      </w:r>
      <w:r>
        <w:t>la</w:t>
      </w:r>
      <w:r>
        <w:rPr>
          <w:spacing w:val="-2"/>
        </w:rPr>
        <w:t xml:space="preserve"> </w:t>
      </w:r>
      <w:r>
        <w:t>rama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de actividad, no sean empresas integrantes de la unión temporal, será necesario que tengan plena capacidad de obrar, no estén incursas en prohibición de contratar y que se mantenga la solvencia, la capacidad o clasificación exigida.</w:t>
      </w:r>
    </w:p>
    <w:p w:rsidR="0092635B" w:rsidRDefault="00000000">
      <w:pPr>
        <w:pStyle w:val="Prrafodelista"/>
        <w:numPr>
          <w:ilvl w:val="0"/>
          <w:numId w:val="292"/>
        </w:numPr>
        <w:tabs>
          <w:tab w:val="left" w:pos="1680"/>
        </w:tabs>
        <w:spacing w:line="249" w:lineRule="auto"/>
        <w:ind w:right="1104" w:firstLine="340"/>
        <w:jc w:val="both"/>
        <w:rPr>
          <w:sz w:val="20"/>
        </w:rPr>
      </w:pPr>
      <w:r>
        <w:rPr>
          <w:sz w:val="20"/>
        </w:rPr>
        <w:t>Una vez formalizado el contrato con una unión temporal de empresas, se observarán las siguientes reglas:</w:t>
      </w:r>
    </w:p>
    <w:p w:rsidR="0092635B" w:rsidRDefault="00000000">
      <w:pPr>
        <w:pStyle w:val="Prrafodelista"/>
        <w:numPr>
          <w:ilvl w:val="1"/>
          <w:numId w:val="292"/>
        </w:numPr>
        <w:tabs>
          <w:tab w:val="left" w:pos="1696"/>
        </w:tabs>
        <w:spacing w:before="122" w:line="249" w:lineRule="auto"/>
        <w:ind w:firstLine="340"/>
        <w:jc w:val="both"/>
        <w:rPr>
          <w:sz w:val="20"/>
        </w:rPr>
      </w:pPr>
      <w:r>
        <w:rPr>
          <w:sz w:val="20"/>
        </w:rPr>
        <w:t>Cuando la modificación de la composición de la unión temporal suponga el aumento del número de empresas, la disminución del mismo, o la sustitución de una o varias por otra u otras, se necesitará la autorización previa y expresa del órgano de contratación, debiendo haberse ejecutado el contrato al menos en un 20 por ciento de su importe o, cuando se trate de un contrato de concesión de obras o concesión de servicios, que se haya efectuado su explotación</w:t>
      </w:r>
      <w:r>
        <w:rPr>
          <w:spacing w:val="-2"/>
          <w:sz w:val="20"/>
        </w:rPr>
        <w:t xml:space="preserve"> </w:t>
      </w:r>
      <w:r>
        <w:rPr>
          <w:sz w:val="20"/>
        </w:rPr>
        <w:t>durante</w:t>
      </w:r>
      <w:r>
        <w:rPr>
          <w:spacing w:val="-2"/>
          <w:sz w:val="20"/>
        </w:rPr>
        <w:t xml:space="preserve"> </w:t>
      </w:r>
      <w:r>
        <w:rPr>
          <w:sz w:val="20"/>
        </w:rPr>
        <w:t>al</w:t>
      </w:r>
      <w:r>
        <w:rPr>
          <w:spacing w:val="-2"/>
          <w:sz w:val="20"/>
        </w:rPr>
        <w:t xml:space="preserve"> </w:t>
      </w:r>
      <w:r>
        <w:rPr>
          <w:sz w:val="20"/>
        </w:rPr>
        <w:t>menos</w:t>
      </w:r>
      <w:r>
        <w:rPr>
          <w:spacing w:val="-2"/>
          <w:sz w:val="20"/>
        </w:rPr>
        <w:t xml:space="preserve"> </w:t>
      </w:r>
      <w:r>
        <w:rPr>
          <w:sz w:val="20"/>
        </w:rPr>
        <w:t>la</w:t>
      </w:r>
      <w:r>
        <w:rPr>
          <w:spacing w:val="-2"/>
          <w:sz w:val="20"/>
        </w:rPr>
        <w:t xml:space="preserve"> </w:t>
      </w:r>
      <w:r>
        <w:rPr>
          <w:sz w:val="20"/>
        </w:rPr>
        <w:t>quinta</w:t>
      </w:r>
      <w:r>
        <w:rPr>
          <w:spacing w:val="-2"/>
          <w:sz w:val="20"/>
        </w:rPr>
        <w:t xml:space="preserve"> </w:t>
      </w:r>
      <w:r>
        <w:rPr>
          <w:sz w:val="20"/>
        </w:rPr>
        <w:t>parte</w:t>
      </w:r>
      <w:r>
        <w:rPr>
          <w:spacing w:val="-2"/>
          <w:sz w:val="20"/>
        </w:rPr>
        <w:t xml:space="preserve"> </w:t>
      </w:r>
      <w:r>
        <w:rPr>
          <w:sz w:val="20"/>
        </w:rPr>
        <w:t>del</w:t>
      </w:r>
      <w:r>
        <w:rPr>
          <w:spacing w:val="-2"/>
          <w:sz w:val="20"/>
        </w:rPr>
        <w:t xml:space="preserve"> </w:t>
      </w:r>
      <w:r>
        <w:rPr>
          <w:sz w:val="20"/>
        </w:rPr>
        <w:t>plazo</w:t>
      </w:r>
      <w:r>
        <w:rPr>
          <w:spacing w:val="-2"/>
          <w:sz w:val="20"/>
        </w:rPr>
        <w:t xml:space="preserve"> </w:t>
      </w:r>
      <w:r>
        <w:rPr>
          <w:sz w:val="20"/>
        </w:rPr>
        <w:t>de</w:t>
      </w:r>
      <w:r>
        <w:rPr>
          <w:spacing w:val="-2"/>
          <w:sz w:val="20"/>
        </w:rPr>
        <w:t xml:space="preserve"> </w:t>
      </w:r>
      <w:r>
        <w:rPr>
          <w:sz w:val="20"/>
        </w:rPr>
        <w:t>duración</w:t>
      </w:r>
      <w:r>
        <w:rPr>
          <w:spacing w:val="-2"/>
          <w:sz w:val="20"/>
        </w:rPr>
        <w:t xml:space="preserve"> </w:t>
      </w:r>
      <w:r>
        <w:rPr>
          <w:sz w:val="20"/>
        </w:rPr>
        <w:t>del</w:t>
      </w:r>
      <w:r>
        <w:rPr>
          <w:spacing w:val="-2"/>
          <w:sz w:val="20"/>
        </w:rPr>
        <w:t xml:space="preserve"> </w:t>
      </w:r>
      <w:r>
        <w:rPr>
          <w:sz w:val="20"/>
        </w:rPr>
        <w:t>contrato.</w:t>
      </w:r>
      <w:r>
        <w:rPr>
          <w:spacing w:val="-2"/>
          <w:sz w:val="20"/>
        </w:rPr>
        <w:t xml:space="preserve"> </w:t>
      </w:r>
      <w:r>
        <w:rPr>
          <w:sz w:val="20"/>
        </w:rPr>
        <w:t>En</w:t>
      </w:r>
      <w:r>
        <w:rPr>
          <w:spacing w:val="-2"/>
          <w:sz w:val="20"/>
        </w:rPr>
        <w:t xml:space="preserve"> </w:t>
      </w:r>
      <w:r>
        <w:rPr>
          <w:sz w:val="20"/>
        </w:rPr>
        <w:t>todo</w:t>
      </w:r>
      <w:r>
        <w:rPr>
          <w:spacing w:val="-2"/>
          <w:sz w:val="20"/>
        </w:rPr>
        <w:t xml:space="preserve"> </w:t>
      </w:r>
      <w:r>
        <w:rPr>
          <w:sz w:val="20"/>
        </w:rPr>
        <w:t>caso será necesario que se mantenga la solvencia o clasificación exigida y que en la nueva configuración de la unión temporal las empresas que la integren tengan plena capacidad de obrar y no estén incursas en prohibición de contratar.</w:t>
      </w:r>
    </w:p>
    <w:p w:rsidR="0092635B" w:rsidRDefault="00000000">
      <w:pPr>
        <w:pStyle w:val="Prrafodelista"/>
        <w:numPr>
          <w:ilvl w:val="1"/>
          <w:numId w:val="292"/>
        </w:numPr>
        <w:tabs>
          <w:tab w:val="left" w:pos="1698"/>
        </w:tabs>
        <w:spacing w:before="7" w:line="249" w:lineRule="auto"/>
        <w:ind w:firstLine="340"/>
        <w:jc w:val="both"/>
        <w:rPr>
          <w:sz w:val="20"/>
        </w:rPr>
      </w:pPr>
      <w:r>
        <w:rPr>
          <w:sz w:val="20"/>
        </w:rPr>
        <w:t>Cuando tenga lugar respecto de alguna o algunas empresas integrantes de la unión temporal operaciones de fusión, escisión o transmisión de rama de actividad, continuará la ejecución del contrato con la unión temporal adjudicataria. En el caso de que la sociedad absorbente,</w:t>
      </w:r>
      <w:r>
        <w:rPr>
          <w:spacing w:val="-2"/>
          <w:sz w:val="20"/>
        </w:rPr>
        <w:t xml:space="preserve"> </w:t>
      </w:r>
      <w:r>
        <w:rPr>
          <w:sz w:val="20"/>
        </w:rPr>
        <w:t>la</w:t>
      </w:r>
      <w:r>
        <w:rPr>
          <w:spacing w:val="-2"/>
          <w:sz w:val="20"/>
        </w:rPr>
        <w:t xml:space="preserve"> </w:t>
      </w:r>
      <w:r>
        <w:rPr>
          <w:sz w:val="20"/>
        </w:rPr>
        <w:t>resultante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fusión,</w:t>
      </w:r>
      <w:r>
        <w:rPr>
          <w:spacing w:val="-2"/>
          <w:sz w:val="20"/>
        </w:rPr>
        <w:t xml:space="preserve"> </w:t>
      </w:r>
      <w:r>
        <w:rPr>
          <w:sz w:val="20"/>
        </w:rPr>
        <w:t>la</w:t>
      </w:r>
      <w:r>
        <w:rPr>
          <w:spacing w:val="-2"/>
          <w:sz w:val="20"/>
        </w:rPr>
        <w:t xml:space="preserve"> </w:t>
      </w:r>
      <w:r>
        <w:rPr>
          <w:sz w:val="20"/>
        </w:rPr>
        <w:t>beneficiaria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escisión</w:t>
      </w:r>
      <w:r>
        <w:rPr>
          <w:spacing w:val="-2"/>
          <w:sz w:val="20"/>
        </w:rPr>
        <w:t xml:space="preserve"> </w:t>
      </w:r>
      <w:r>
        <w:rPr>
          <w:sz w:val="20"/>
        </w:rPr>
        <w:t>o</w:t>
      </w:r>
      <w:r>
        <w:rPr>
          <w:spacing w:val="-2"/>
          <w:sz w:val="20"/>
        </w:rPr>
        <w:t xml:space="preserve"> </w:t>
      </w:r>
      <w:r>
        <w:rPr>
          <w:sz w:val="20"/>
        </w:rPr>
        <w:t>la</w:t>
      </w:r>
      <w:r>
        <w:rPr>
          <w:spacing w:val="-2"/>
          <w:sz w:val="20"/>
        </w:rPr>
        <w:t xml:space="preserve"> </w:t>
      </w:r>
      <w:r>
        <w:rPr>
          <w:sz w:val="20"/>
        </w:rPr>
        <w:t>adquirente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rama de actividad, no sean empresas integrantes de la unión temporal, será necesario que tengan plena capacidad de obrar, no estén incursas en prohibición de contratar y que se mantenga la solvencia, la capacidad o clasificación exigida.</w:t>
      </w:r>
    </w:p>
    <w:p w:rsidR="0092635B" w:rsidRDefault="00000000">
      <w:pPr>
        <w:pStyle w:val="Prrafodelista"/>
        <w:numPr>
          <w:ilvl w:val="1"/>
          <w:numId w:val="292"/>
        </w:numPr>
        <w:tabs>
          <w:tab w:val="left" w:pos="1694"/>
        </w:tabs>
        <w:spacing w:before="6" w:line="249" w:lineRule="auto"/>
        <w:ind w:right="1104" w:firstLine="340"/>
        <w:jc w:val="both"/>
        <w:rPr>
          <w:sz w:val="20"/>
        </w:rPr>
      </w:pPr>
      <w:r>
        <w:rPr>
          <w:sz w:val="20"/>
        </w:rPr>
        <w:t>Cuando alguna o algunas de las empresas integrantes de la unión temporal fuesen declaradas en concurso de acreedores y aun cuando se hubiera abierto la fase de liquidación, continuará la ejecución del contrato con la empresa o empresas restantes siempre que estas cumplan los requisitos de solvencia o clasificación exigidos.</w:t>
      </w:r>
    </w:p>
    <w:p w:rsidR="0092635B" w:rsidRDefault="00000000">
      <w:pPr>
        <w:pStyle w:val="Prrafodelista"/>
        <w:numPr>
          <w:ilvl w:val="0"/>
          <w:numId w:val="292"/>
        </w:numPr>
        <w:tabs>
          <w:tab w:val="left" w:pos="1825"/>
        </w:tabs>
        <w:spacing w:before="123" w:line="249" w:lineRule="auto"/>
        <w:ind w:right="1104" w:firstLine="340"/>
        <w:jc w:val="both"/>
        <w:rPr>
          <w:sz w:val="20"/>
        </w:rPr>
      </w:pPr>
      <w:r>
        <w:rPr>
          <w:sz w:val="20"/>
        </w:rPr>
        <w:t>La información pública de los contratos adjudicados a estas uniones incluirá los nombres de las empresas participantes y la participación porcentual de cada una de ellas en la Unión Temporal de Empresas, sin perjuicio de la publicación en el Registro Especial de Uniones Temporales de Empresas.</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112" w:name="Artículo_70._Condiciones_especiales_de_c"/>
      <w:bookmarkEnd w:id="112"/>
      <w:r>
        <w:rPr>
          <w:rFonts w:ascii="Arial" w:hAnsi="Arial"/>
          <w:b/>
          <w:sz w:val="20"/>
        </w:rPr>
        <w:t>Artículo</w:t>
      </w:r>
      <w:r>
        <w:rPr>
          <w:rFonts w:ascii="Arial" w:hAnsi="Arial"/>
          <w:b/>
          <w:spacing w:val="-1"/>
          <w:sz w:val="20"/>
        </w:rPr>
        <w:t xml:space="preserve"> </w:t>
      </w:r>
      <w:r>
        <w:rPr>
          <w:rFonts w:ascii="Arial" w:hAnsi="Arial"/>
          <w:b/>
          <w:sz w:val="20"/>
        </w:rPr>
        <w:t>70.</w:t>
      </w:r>
      <w:r>
        <w:rPr>
          <w:rFonts w:ascii="Arial" w:hAnsi="Arial"/>
          <w:b/>
          <w:spacing w:val="54"/>
          <w:sz w:val="20"/>
        </w:rPr>
        <w:t xml:space="preserve"> </w:t>
      </w:r>
      <w:r>
        <w:rPr>
          <w:rFonts w:ascii="Arial" w:hAnsi="Arial"/>
          <w:i/>
          <w:sz w:val="20"/>
        </w:rPr>
        <w:t xml:space="preserve">Condiciones especiales de </w:t>
      </w:r>
      <w:r>
        <w:rPr>
          <w:rFonts w:ascii="Arial" w:hAnsi="Arial"/>
          <w:i/>
          <w:spacing w:val="-2"/>
          <w:sz w:val="20"/>
        </w:rPr>
        <w:t>compatibilidad.</w:t>
      </w:r>
    </w:p>
    <w:p w:rsidR="0092635B" w:rsidRDefault="00000000">
      <w:pPr>
        <w:pStyle w:val="Prrafodelista"/>
        <w:numPr>
          <w:ilvl w:val="0"/>
          <w:numId w:val="291"/>
        </w:numPr>
        <w:tabs>
          <w:tab w:val="left" w:pos="1717"/>
        </w:tabs>
        <w:spacing w:before="124" w:line="249" w:lineRule="auto"/>
        <w:ind w:firstLine="340"/>
        <w:jc w:val="both"/>
        <w:rPr>
          <w:sz w:val="20"/>
        </w:rPr>
      </w:pPr>
      <w:r>
        <w:rPr>
          <w:sz w:val="20"/>
        </w:rPr>
        <w:t>El órgano de contratación tomará las medidas adecuadas para garantizar que la participación en la licitación de las empresas que hubieran participado previamente en la elaboración de las especificaciones técnicas o de los documentos preparatorios del contrato o hubieran asesorado al órgano de contratación durante la preparación del procedimiento de contratación, no falsee la competencia. Entre esas medidas podrá llegar a establecerse que las citadas empresas, y las empresas a ellas vinculadas, entendiéndose por tales las que se encuentren en alguno de los supuestos previstos en el artículo 42 del Código de Comercio, puedan ser excluidas de dichas licitaciones, cuando no haya otro medio de garantizar el cumplimiento del principio de igualdad de trato.</w:t>
      </w:r>
    </w:p>
    <w:p w:rsidR="0092635B" w:rsidRDefault="00000000">
      <w:pPr>
        <w:pStyle w:val="Textoindependiente"/>
        <w:spacing w:before="7" w:line="249" w:lineRule="auto"/>
        <w:ind w:right="1103"/>
      </w:pPr>
      <w:r>
        <w:t>En todo caso, antes de proceder a la exclusión del candidato o licitador que participó en la</w:t>
      </w:r>
      <w:r>
        <w:rPr>
          <w:spacing w:val="-1"/>
        </w:rPr>
        <w:t xml:space="preserve"> </w:t>
      </w:r>
      <w:r>
        <w:t>preparación</w:t>
      </w:r>
      <w:r>
        <w:rPr>
          <w:spacing w:val="-1"/>
        </w:rPr>
        <w:t xml:space="preserve"> </w:t>
      </w:r>
      <w:r>
        <w:t>del</w:t>
      </w:r>
      <w:r>
        <w:rPr>
          <w:spacing w:val="-1"/>
        </w:rPr>
        <w:t xml:space="preserve"> </w:t>
      </w:r>
      <w:r>
        <w:t>contrato,</w:t>
      </w:r>
      <w:r>
        <w:rPr>
          <w:spacing w:val="-1"/>
        </w:rPr>
        <w:t xml:space="preserve"> </w:t>
      </w:r>
      <w:r>
        <w:t>deberá</w:t>
      </w:r>
      <w:r>
        <w:rPr>
          <w:spacing w:val="-1"/>
        </w:rPr>
        <w:t xml:space="preserve"> </w:t>
      </w:r>
      <w:r>
        <w:t>dársele</w:t>
      </w:r>
      <w:r>
        <w:rPr>
          <w:spacing w:val="-1"/>
        </w:rPr>
        <w:t xml:space="preserve"> </w:t>
      </w:r>
      <w:r>
        <w:t>audiencia</w:t>
      </w:r>
      <w:r>
        <w:rPr>
          <w:spacing w:val="-1"/>
        </w:rPr>
        <w:t xml:space="preserve"> </w:t>
      </w:r>
      <w:r>
        <w:t>para</w:t>
      </w:r>
      <w:r>
        <w:rPr>
          <w:spacing w:val="-1"/>
        </w:rPr>
        <w:t xml:space="preserve"> </w:t>
      </w:r>
      <w:r>
        <w:t>que</w:t>
      </w:r>
      <w:r>
        <w:rPr>
          <w:spacing w:val="-1"/>
        </w:rPr>
        <w:t xml:space="preserve"> </w:t>
      </w:r>
      <w:r>
        <w:t>justifique</w:t>
      </w:r>
      <w:r>
        <w:rPr>
          <w:spacing w:val="-1"/>
        </w:rPr>
        <w:t xml:space="preserve"> </w:t>
      </w:r>
      <w:r>
        <w:t>que</w:t>
      </w:r>
      <w:r>
        <w:rPr>
          <w:spacing w:val="-1"/>
        </w:rPr>
        <w:t xml:space="preserve"> </w:t>
      </w:r>
      <w:r>
        <w:t>su</w:t>
      </w:r>
      <w:r>
        <w:rPr>
          <w:spacing w:val="-1"/>
        </w:rPr>
        <w:t xml:space="preserve"> </w:t>
      </w:r>
      <w:r>
        <w:t>participación en la fase preparatoria no puede tener el efecto de falsear la competencia o de dispensarle un trato privilegiado con respecto al resto de las empresas licitadoras.</w:t>
      </w:r>
    </w:p>
    <w:p w:rsidR="0092635B" w:rsidRDefault="00000000">
      <w:pPr>
        <w:pStyle w:val="Textoindependiente"/>
        <w:spacing w:before="3" w:line="249" w:lineRule="auto"/>
        <w:ind w:right="1104"/>
      </w:pPr>
      <w:r>
        <w:t>Entre las medidas a las que se refiere el primer párrafo del presente apartado, se encontrarán la comunicación a los demás candidatos o licitadores de la información intercambiada en el marco de la participación en la preparación del procedimiento de contratación o como resultado de ella, y el establecimiento de plazos adecuados para la presentación de ofertas.</w:t>
      </w:r>
    </w:p>
    <w:p w:rsidR="0092635B" w:rsidRDefault="00000000">
      <w:pPr>
        <w:pStyle w:val="Textoindependiente"/>
        <w:spacing w:before="4" w:line="249" w:lineRule="auto"/>
        <w:ind w:right="1105"/>
      </w:pPr>
      <w:r>
        <w:t>Las medidas adoptadas se consignarán en los informes específicos previstos en el artículo 336.</w:t>
      </w:r>
    </w:p>
    <w:p w:rsidR="0092635B" w:rsidRDefault="00000000">
      <w:pPr>
        <w:pStyle w:val="Prrafodelista"/>
        <w:numPr>
          <w:ilvl w:val="0"/>
          <w:numId w:val="291"/>
        </w:numPr>
        <w:tabs>
          <w:tab w:val="left" w:pos="1674"/>
        </w:tabs>
        <w:spacing w:line="249" w:lineRule="auto"/>
        <w:ind w:firstLine="340"/>
        <w:jc w:val="both"/>
        <w:rPr>
          <w:sz w:val="20"/>
        </w:rPr>
      </w:pPr>
      <w:r>
        <w:rPr>
          <w:sz w:val="20"/>
        </w:rPr>
        <w:t xml:space="preserve">Los contratos que tengan por objeto la vigilancia, supervisión, control y dirección de la ejecución de cualesquiera contratos, así como la coordinación en materia de seguridad y salud, no podrán adjudicarse a las mismas empresas adjudicatarias de los correspondientes contratos, ni a las empresas a estas vinculadas, en el sentido establecido en el apartado </w:t>
      </w:r>
      <w:r>
        <w:rPr>
          <w:spacing w:val="-2"/>
          <w:sz w:val="20"/>
        </w:rPr>
        <w:t>anterior.</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113" w:name="_bookmark21"/>
      <w:bookmarkEnd w:id="113"/>
      <w:r>
        <w:t>Subsección</w:t>
      </w:r>
      <w:r>
        <w:rPr>
          <w:spacing w:val="-3"/>
        </w:rPr>
        <w:t xml:space="preserve"> </w:t>
      </w:r>
      <w:r>
        <w:t>2.ª</w:t>
      </w:r>
      <w:r>
        <w:rPr>
          <w:spacing w:val="-3"/>
        </w:rPr>
        <w:t xml:space="preserve"> </w:t>
      </w:r>
      <w:r>
        <w:t>Prohibiciones</w:t>
      </w:r>
      <w:r>
        <w:rPr>
          <w:spacing w:val="-3"/>
        </w:rPr>
        <w:t xml:space="preserve"> </w:t>
      </w:r>
      <w:r>
        <w:t>de</w:t>
      </w:r>
      <w:r>
        <w:rPr>
          <w:spacing w:val="-3"/>
        </w:rPr>
        <w:t xml:space="preserve"> </w:t>
      </w:r>
      <w:r>
        <w:rPr>
          <w:spacing w:val="-2"/>
        </w:rPr>
        <w:t>contratar</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114" w:name="Artículo_71._Prohibiciones_de_contratar."/>
      <w:bookmarkEnd w:id="114"/>
      <w:r>
        <w:rPr>
          <w:rFonts w:ascii="Arial" w:hAnsi="Arial"/>
          <w:b/>
          <w:sz w:val="20"/>
        </w:rPr>
        <w:t>Artículo</w:t>
      </w:r>
      <w:r>
        <w:rPr>
          <w:rFonts w:ascii="Arial" w:hAnsi="Arial"/>
          <w:b/>
          <w:spacing w:val="-1"/>
          <w:sz w:val="20"/>
        </w:rPr>
        <w:t xml:space="preserve"> </w:t>
      </w:r>
      <w:r>
        <w:rPr>
          <w:rFonts w:ascii="Arial" w:hAnsi="Arial"/>
          <w:b/>
          <w:sz w:val="20"/>
        </w:rPr>
        <w:t>71.</w:t>
      </w:r>
      <w:r>
        <w:rPr>
          <w:rFonts w:ascii="Arial" w:hAnsi="Arial"/>
          <w:b/>
          <w:spacing w:val="54"/>
          <w:sz w:val="20"/>
        </w:rPr>
        <w:t xml:space="preserve"> </w:t>
      </w:r>
      <w:r>
        <w:rPr>
          <w:rFonts w:ascii="Arial" w:hAnsi="Arial"/>
          <w:i/>
          <w:sz w:val="20"/>
        </w:rPr>
        <w:t xml:space="preserve">Prohibiciones de </w:t>
      </w:r>
      <w:r>
        <w:rPr>
          <w:rFonts w:ascii="Arial" w:hAnsi="Arial"/>
          <w:i/>
          <w:spacing w:val="-2"/>
          <w:sz w:val="20"/>
        </w:rPr>
        <w:t>contratar.</w:t>
      </w:r>
    </w:p>
    <w:p w:rsidR="0092635B" w:rsidRDefault="00000000">
      <w:pPr>
        <w:pStyle w:val="Prrafodelista"/>
        <w:numPr>
          <w:ilvl w:val="0"/>
          <w:numId w:val="290"/>
        </w:numPr>
        <w:tabs>
          <w:tab w:val="left" w:pos="1669"/>
        </w:tabs>
        <w:spacing w:before="124" w:line="249" w:lineRule="auto"/>
        <w:ind w:firstLine="340"/>
        <w:jc w:val="both"/>
        <w:rPr>
          <w:sz w:val="20"/>
        </w:rPr>
      </w:pPr>
      <w:r>
        <w:rPr>
          <w:sz w:val="20"/>
        </w:rPr>
        <w:t>No</w:t>
      </w:r>
      <w:r>
        <w:rPr>
          <w:spacing w:val="-1"/>
          <w:sz w:val="20"/>
        </w:rPr>
        <w:t xml:space="preserve"> </w:t>
      </w:r>
      <w:r>
        <w:rPr>
          <w:sz w:val="20"/>
        </w:rPr>
        <w:t>podrán</w:t>
      </w:r>
      <w:r>
        <w:rPr>
          <w:spacing w:val="-1"/>
          <w:sz w:val="20"/>
        </w:rPr>
        <w:t xml:space="preserve"> </w:t>
      </w:r>
      <w:r>
        <w:rPr>
          <w:sz w:val="20"/>
        </w:rPr>
        <w:t>contratar</w:t>
      </w:r>
      <w:r>
        <w:rPr>
          <w:spacing w:val="-1"/>
          <w:sz w:val="20"/>
        </w:rPr>
        <w:t xml:space="preserve"> </w:t>
      </w:r>
      <w:r>
        <w:rPr>
          <w:sz w:val="20"/>
        </w:rPr>
        <w:t>con</w:t>
      </w:r>
      <w:r>
        <w:rPr>
          <w:spacing w:val="-1"/>
          <w:sz w:val="20"/>
        </w:rPr>
        <w:t xml:space="preserve"> </w:t>
      </w:r>
      <w:r>
        <w:rPr>
          <w:sz w:val="20"/>
        </w:rPr>
        <w:t>las</w:t>
      </w:r>
      <w:r>
        <w:rPr>
          <w:spacing w:val="-1"/>
          <w:sz w:val="20"/>
        </w:rPr>
        <w:t xml:space="preserve"> </w:t>
      </w:r>
      <w:r>
        <w:rPr>
          <w:sz w:val="20"/>
        </w:rPr>
        <w:t>entidades</w:t>
      </w:r>
      <w:r>
        <w:rPr>
          <w:spacing w:val="-1"/>
          <w:sz w:val="20"/>
        </w:rPr>
        <w:t xml:space="preserve"> </w:t>
      </w:r>
      <w:r>
        <w:rPr>
          <w:sz w:val="20"/>
        </w:rPr>
        <w:t>previstas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3</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presente</w:t>
      </w:r>
      <w:r>
        <w:rPr>
          <w:spacing w:val="-1"/>
          <w:sz w:val="20"/>
        </w:rPr>
        <w:t xml:space="preserve"> </w:t>
      </w:r>
      <w:r>
        <w:rPr>
          <w:sz w:val="20"/>
        </w:rPr>
        <w:t>Ley</w:t>
      </w:r>
      <w:r>
        <w:rPr>
          <w:spacing w:val="-1"/>
          <w:sz w:val="20"/>
        </w:rPr>
        <w:t xml:space="preserve"> </w:t>
      </w:r>
      <w:r>
        <w:rPr>
          <w:sz w:val="20"/>
        </w:rPr>
        <w:t>con los efectos establecidos en el artículo 73, las personas en quienes concurra alguna de las siguientes circunstancias:</w:t>
      </w:r>
    </w:p>
    <w:p w:rsidR="0092635B" w:rsidRDefault="00000000">
      <w:pPr>
        <w:pStyle w:val="Prrafodelista"/>
        <w:numPr>
          <w:ilvl w:val="1"/>
          <w:numId w:val="290"/>
        </w:numPr>
        <w:tabs>
          <w:tab w:val="left" w:pos="1782"/>
        </w:tabs>
        <w:spacing w:before="122" w:line="249" w:lineRule="auto"/>
        <w:ind w:right="1102" w:firstLine="340"/>
        <w:jc w:val="both"/>
        <w:rPr>
          <w:sz w:val="20"/>
        </w:rPr>
      </w:pPr>
      <w:r>
        <w:rPr>
          <w:sz w:val="20"/>
        </w:rPr>
        <w:t>Haber sido condenadas mediante sentencia firme por delitos de terrorismo, constitución o integración de una organización o grupo criminal, asociación ilícita, financiación ilegal de los partidos políticos, trata de seres humanos, corrupción en los negocios, tráfico de influencias, cohecho, fraudes, delitos contra la Hacienda Pública y la Seguridad Social, delitos contra los derechos de los trabajadores, prevaricación, malversación, negociaciones prohibidas a los funcionarios, blanqueo de capitales, delitos relativos a la ordenación del territorio y el urbanismo, la protección del patrimonio histórico y el</w:t>
      </w:r>
      <w:r>
        <w:rPr>
          <w:spacing w:val="-1"/>
          <w:sz w:val="20"/>
        </w:rPr>
        <w:t xml:space="preserve"> </w:t>
      </w:r>
      <w:r>
        <w:rPr>
          <w:sz w:val="20"/>
        </w:rPr>
        <w:t>medio</w:t>
      </w:r>
      <w:r>
        <w:rPr>
          <w:spacing w:val="-1"/>
          <w:sz w:val="20"/>
        </w:rPr>
        <w:t xml:space="preserve"> </w:t>
      </w:r>
      <w:r>
        <w:rPr>
          <w:sz w:val="20"/>
        </w:rPr>
        <w:t>ambiente,</w:t>
      </w:r>
      <w:r>
        <w:rPr>
          <w:spacing w:val="-1"/>
          <w:sz w:val="20"/>
        </w:rPr>
        <w:t xml:space="preserve"> </w:t>
      </w:r>
      <w:r>
        <w:rPr>
          <w:sz w:val="20"/>
        </w:rPr>
        <w:t>o</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pena</w:t>
      </w:r>
      <w:r>
        <w:rPr>
          <w:spacing w:val="-1"/>
          <w:sz w:val="20"/>
        </w:rPr>
        <w:t xml:space="preserve"> </w:t>
      </w:r>
      <w:r>
        <w:rPr>
          <w:sz w:val="20"/>
        </w:rPr>
        <w:t>de</w:t>
      </w:r>
      <w:r>
        <w:rPr>
          <w:spacing w:val="-1"/>
          <w:sz w:val="20"/>
        </w:rPr>
        <w:t xml:space="preserve"> </w:t>
      </w:r>
      <w:r>
        <w:rPr>
          <w:sz w:val="20"/>
        </w:rPr>
        <w:t>inhabilitación</w:t>
      </w:r>
      <w:r>
        <w:rPr>
          <w:spacing w:val="-1"/>
          <w:sz w:val="20"/>
        </w:rPr>
        <w:t xml:space="preserve"> </w:t>
      </w:r>
      <w:r>
        <w:rPr>
          <w:sz w:val="20"/>
        </w:rPr>
        <w:t>especial</w:t>
      </w:r>
      <w:r>
        <w:rPr>
          <w:spacing w:val="-1"/>
          <w:sz w:val="20"/>
        </w:rPr>
        <w:t xml:space="preserve"> </w:t>
      </w:r>
      <w:r>
        <w:rPr>
          <w:sz w:val="20"/>
        </w:rPr>
        <w:t>para</w:t>
      </w:r>
      <w:r>
        <w:rPr>
          <w:spacing w:val="-1"/>
          <w:sz w:val="20"/>
        </w:rPr>
        <w:t xml:space="preserve"> </w:t>
      </w:r>
      <w:r>
        <w:rPr>
          <w:sz w:val="20"/>
        </w:rPr>
        <w:t>el</w:t>
      </w:r>
      <w:r>
        <w:rPr>
          <w:spacing w:val="-1"/>
          <w:sz w:val="20"/>
        </w:rPr>
        <w:t xml:space="preserve"> </w:t>
      </w:r>
      <w:r>
        <w:rPr>
          <w:sz w:val="20"/>
        </w:rPr>
        <w:t>ejercicio</w:t>
      </w:r>
      <w:r>
        <w:rPr>
          <w:spacing w:val="-1"/>
          <w:sz w:val="20"/>
        </w:rPr>
        <w:t xml:space="preserve"> </w:t>
      </w:r>
      <w:r>
        <w:rPr>
          <w:sz w:val="20"/>
        </w:rPr>
        <w:t>de</w:t>
      </w:r>
      <w:r>
        <w:rPr>
          <w:spacing w:val="-1"/>
          <w:sz w:val="20"/>
        </w:rPr>
        <w:t xml:space="preserve"> </w:t>
      </w:r>
      <w:r>
        <w:rPr>
          <w:sz w:val="20"/>
        </w:rPr>
        <w:t>profesión,</w:t>
      </w:r>
      <w:r>
        <w:rPr>
          <w:spacing w:val="-1"/>
          <w:sz w:val="20"/>
        </w:rPr>
        <w:t xml:space="preserve"> </w:t>
      </w:r>
      <w:r>
        <w:rPr>
          <w:sz w:val="20"/>
        </w:rPr>
        <w:t>oficio, industria o comercio.</w:t>
      </w:r>
    </w:p>
    <w:p w:rsidR="0092635B" w:rsidRDefault="00000000">
      <w:pPr>
        <w:pStyle w:val="Textoindependiente"/>
        <w:spacing w:before="8" w:line="249" w:lineRule="auto"/>
        <w:ind w:right="1105"/>
      </w:pPr>
      <w:r>
        <w:t>La prohibición de contratar alcanzará a las personas jurídicas que sean declaradas penalmente responsables, y a aquellas cuyos administradores o representantes, lo sean de hecho</w:t>
      </w:r>
      <w:r>
        <w:rPr>
          <w:spacing w:val="-2"/>
        </w:rPr>
        <w:t xml:space="preserve"> </w:t>
      </w:r>
      <w:r>
        <w:t>o</w:t>
      </w:r>
      <w:r>
        <w:rPr>
          <w:spacing w:val="-2"/>
        </w:rPr>
        <w:t xml:space="preserve"> </w:t>
      </w:r>
      <w:r>
        <w:t>de</w:t>
      </w:r>
      <w:r>
        <w:rPr>
          <w:spacing w:val="-2"/>
        </w:rPr>
        <w:t xml:space="preserve"> </w:t>
      </w:r>
      <w:r>
        <w:t>derecho,</w:t>
      </w:r>
      <w:r>
        <w:rPr>
          <w:spacing w:val="-2"/>
        </w:rPr>
        <w:t xml:space="preserve"> </w:t>
      </w:r>
      <w:r>
        <w:t>vigente</w:t>
      </w:r>
      <w:r>
        <w:rPr>
          <w:spacing w:val="-2"/>
        </w:rPr>
        <w:t xml:space="preserve"> </w:t>
      </w:r>
      <w:r>
        <w:t>su</w:t>
      </w:r>
      <w:r>
        <w:rPr>
          <w:spacing w:val="-2"/>
        </w:rPr>
        <w:t xml:space="preserve"> </w:t>
      </w:r>
      <w:r>
        <w:t>cargo</w:t>
      </w:r>
      <w:r>
        <w:rPr>
          <w:spacing w:val="-2"/>
        </w:rPr>
        <w:t xml:space="preserve"> </w:t>
      </w:r>
      <w:r>
        <w:t>o</w:t>
      </w:r>
      <w:r>
        <w:rPr>
          <w:spacing w:val="-2"/>
        </w:rPr>
        <w:t xml:space="preserve"> </w:t>
      </w:r>
      <w:r>
        <w:t>representación</w:t>
      </w:r>
      <w:r>
        <w:rPr>
          <w:spacing w:val="-2"/>
        </w:rPr>
        <w:t xml:space="preserve"> </w:t>
      </w:r>
      <w:r>
        <w:t>y</w:t>
      </w:r>
      <w:r>
        <w:rPr>
          <w:spacing w:val="-2"/>
        </w:rPr>
        <w:t xml:space="preserve"> </w:t>
      </w:r>
      <w:r>
        <w:t>hasta</w:t>
      </w:r>
      <w:r>
        <w:rPr>
          <w:spacing w:val="-2"/>
        </w:rPr>
        <w:t xml:space="preserve"> </w:t>
      </w:r>
      <w:r>
        <w:t>su</w:t>
      </w:r>
      <w:r>
        <w:rPr>
          <w:spacing w:val="-2"/>
        </w:rPr>
        <w:t xml:space="preserve"> </w:t>
      </w:r>
      <w:r>
        <w:t>cese,</w:t>
      </w:r>
      <w:r>
        <w:rPr>
          <w:spacing w:val="-2"/>
        </w:rPr>
        <w:t xml:space="preserve"> </w:t>
      </w:r>
      <w:r>
        <w:t>se</w:t>
      </w:r>
      <w:r>
        <w:rPr>
          <w:spacing w:val="-2"/>
        </w:rPr>
        <w:t xml:space="preserve"> </w:t>
      </w:r>
      <w:r>
        <w:t>encontraran</w:t>
      </w:r>
      <w:r>
        <w:rPr>
          <w:spacing w:val="-2"/>
        </w:rPr>
        <w:t xml:space="preserve"> </w:t>
      </w:r>
      <w:r>
        <w:t>en</w:t>
      </w:r>
      <w:r>
        <w:rPr>
          <w:spacing w:val="-2"/>
        </w:rPr>
        <w:t xml:space="preserve"> </w:t>
      </w:r>
      <w:r>
        <w:t>la situación mencionada en este apartado.</w:t>
      </w:r>
    </w:p>
    <w:p w:rsidR="0092635B" w:rsidRDefault="00000000">
      <w:pPr>
        <w:pStyle w:val="Prrafodelista"/>
        <w:numPr>
          <w:ilvl w:val="1"/>
          <w:numId w:val="290"/>
        </w:numPr>
        <w:tabs>
          <w:tab w:val="left" w:pos="1683"/>
        </w:tabs>
        <w:spacing w:before="3" w:line="249" w:lineRule="auto"/>
        <w:ind w:firstLine="340"/>
        <w:jc w:val="both"/>
        <w:rPr>
          <w:sz w:val="20"/>
        </w:rPr>
      </w:pPr>
      <w:r>
        <w:rPr>
          <w:sz w:val="20"/>
        </w:rPr>
        <w:t>Haber sido sancionadas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establecido en la normativa vigente,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 o por las infracciones muy graves previstas en la Ley 2/2023, de 20 de febrero, reguladora de la protección de las personas que informen sobre infracciones normativas y de lucha contra la corrupción; o por infracción grave o muy grave en materia de igualdad de trato y no discriminación por razón de orientación e identidad sexual, expresión de género o características sexuales, cuando se acuerde la prohibición en los términos previstos en la</w:t>
      </w:r>
      <w:r>
        <w:rPr>
          <w:spacing w:val="40"/>
          <w:sz w:val="20"/>
        </w:rPr>
        <w:t xml:space="preserve"> </w:t>
      </w:r>
      <w:r>
        <w:rPr>
          <w:sz w:val="20"/>
        </w:rPr>
        <w:t>Ley 4/2023, de 28 de febrero, para la igualdad real y efectiva de las personas trans y para la garantía de los derechos de las personas LGTBI.</w:t>
      </w:r>
    </w:p>
    <w:p w:rsidR="0092635B" w:rsidRDefault="00000000">
      <w:pPr>
        <w:pStyle w:val="Prrafodelista"/>
        <w:numPr>
          <w:ilvl w:val="1"/>
          <w:numId w:val="290"/>
        </w:numPr>
        <w:tabs>
          <w:tab w:val="left" w:pos="1752"/>
        </w:tabs>
        <w:spacing w:before="13" w:line="249" w:lineRule="auto"/>
        <w:ind w:firstLine="340"/>
        <w:jc w:val="both"/>
        <w:rPr>
          <w:sz w:val="20"/>
        </w:rPr>
      </w:pPr>
      <w:r>
        <w:rPr>
          <w:sz w:val="20"/>
        </w:rPr>
        <w:t>Haber solicitado la declaración de concurso voluntario, haber sido declaradas insolventes en cualquier procedimiento, hallarse declaradas en concurso, salvo que en este haya adquirido eficacia un convenio o se haya iniciado un expediente de acuerdo</w:t>
      </w:r>
      <w:r>
        <w:rPr>
          <w:spacing w:val="40"/>
          <w:sz w:val="20"/>
        </w:rPr>
        <w:t xml:space="preserve"> </w:t>
      </w:r>
      <w:r>
        <w:rPr>
          <w:sz w:val="20"/>
        </w:rPr>
        <w:t>extrajudicial de pagos, estar sujetos a intervención judicial o haber sido inhabilitados conforme a la Ley 22/2003, de 9 de julio, Concursal, sin que haya concluido el período de inhabilitación fijado en la sentencia de calificación del concurso.</w:t>
      </w:r>
    </w:p>
    <w:p w:rsidR="0092635B" w:rsidRDefault="00000000">
      <w:pPr>
        <w:pStyle w:val="Prrafodelista"/>
        <w:numPr>
          <w:ilvl w:val="1"/>
          <w:numId w:val="290"/>
        </w:numPr>
        <w:tabs>
          <w:tab w:val="left" w:pos="1739"/>
        </w:tabs>
        <w:spacing w:before="5" w:line="249" w:lineRule="auto"/>
        <w:ind w:firstLine="340"/>
        <w:jc w:val="both"/>
        <w:rPr>
          <w:sz w:val="20"/>
        </w:rPr>
      </w:pPr>
      <w:r>
        <w:rPr>
          <w:sz w:val="20"/>
        </w:rPr>
        <w:t>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w:t>
      </w:r>
      <w:r>
        <w:rPr>
          <w:spacing w:val="-2"/>
          <w:sz w:val="20"/>
        </w:rPr>
        <w:t xml:space="preserve"> </w:t>
      </w:r>
      <w:r>
        <w:rPr>
          <w:sz w:val="20"/>
        </w:rPr>
        <w:t>de</w:t>
      </w:r>
      <w:r>
        <w:rPr>
          <w:spacing w:val="-2"/>
          <w:sz w:val="20"/>
        </w:rPr>
        <w:t xml:space="preserve"> </w:t>
      </w:r>
      <w:r>
        <w:rPr>
          <w:sz w:val="20"/>
        </w:rPr>
        <w:t>conformidad</w:t>
      </w:r>
      <w:r>
        <w:rPr>
          <w:spacing w:val="-2"/>
          <w:sz w:val="20"/>
        </w:rPr>
        <w:t xml:space="preserve"> </w:t>
      </w:r>
      <w:r>
        <w:rPr>
          <w:sz w:val="20"/>
        </w:rPr>
        <w:t>con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42</w:t>
      </w:r>
      <w:r>
        <w:rPr>
          <w:spacing w:val="-2"/>
          <w:sz w:val="20"/>
        </w:rPr>
        <w:t xml:space="preserve"> </w:t>
      </w:r>
      <w:r>
        <w:rPr>
          <w:sz w:val="20"/>
        </w:rPr>
        <w:t>del</w:t>
      </w:r>
      <w:r>
        <w:rPr>
          <w:spacing w:val="-2"/>
          <w:sz w:val="20"/>
        </w:rPr>
        <w:t xml:space="preserve"> </w:t>
      </w:r>
      <w:r>
        <w:rPr>
          <w:sz w:val="20"/>
        </w:rPr>
        <w:t>Real</w:t>
      </w:r>
      <w:r>
        <w:rPr>
          <w:spacing w:val="-2"/>
          <w:sz w:val="20"/>
        </w:rPr>
        <w:t xml:space="preserve"> </w:t>
      </w:r>
      <w:r>
        <w:rPr>
          <w:sz w:val="20"/>
        </w:rPr>
        <w:t>Decreto</w:t>
      </w:r>
      <w:r>
        <w:rPr>
          <w:spacing w:val="-2"/>
          <w:sz w:val="20"/>
        </w:rPr>
        <w:t xml:space="preserve"> </w:t>
      </w:r>
      <w:r>
        <w:rPr>
          <w:sz w:val="20"/>
        </w:rPr>
        <w:t>legislativo</w:t>
      </w:r>
      <w:r>
        <w:rPr>
          <w:spacing w:val="-2"/>
          <w:sz w:val="20"/>
        </w:rPr>
        <w:t xml:space="preserve"> </w:t>
      </w:r>
      <w:r>
        <w:rPr>
          <w:sz w:val="20"/>
        </w:rPr>
        <w:t>1/2013,</w:t>
      </w:r>
      <w:r>
        <w:rPr>
          <w:spacing w:val="-2"/>
          <w:sz w:val="20"/>
        </w:rPr>
        <w:t xml:space="preserve"> </w:t>
      </w:r>
      <w:r>
        <w:rPr>
          <w:sz w:val="20"/>
        </w:rPr>
        <w:t>de</w:t>
      </w:r>
      <w:r>
        <w:rPr>
          <w:spacing w:val="-2"/>
          <w:sz w:val="20"/>
        </w:rPr>
        <w:t xml:space="preserve"> </w:t>
      </w:r>
      <w:r>
        <w:rPr>
          <w:sz w:val="20"/>
        </w:rPr>
        <w:t>29</w:t>
      </w:r>
      <w:r>
        <w:rPr>
          <w:spacing w:val="-2"/>
          <w:sz w:val="20"/>
        </w:rPr>
        <w:t xml:space="preserve"> </w:t>
      </w:r>
      <w:r>
        <w:rPr>
          <w:sz w:val="20"/>
        </w:rPr>
        <w:t>de noviembre, por el que se aprueba el texto refundido de la Ley General de derechos de las personas con discapacidad y de su inclusión social, en las condiciones que reglamentariamente se determinen; o en el caso de empresas de 50 o más trabajadores, no cumplir con la obligación de contar con un plan de igualdad conforme a lo dispuesto en el artículo 45 de la Ley Orgánica 3/2007, de 22 de marzo, para la igualdad efectiva de mujeres</w:t>
      </w:r>
      <w:r>
        <w:rPr>
          <w:spacing w:val="40"/>
          <w:sz w:val="20"/>
        </w:rPr>
        <w:t xml:space="preserve"> </w:t>
      </w:r>
      <w:r>
        <w:rPr>
          <w:sz w:val="20"/>
        </w:rPr>
        <w:t>y hombres, y que deberán inscribir en el Registro laboral correspondiente.</w:t>
      </w:r>
    </w:p>
    <w:p w:rsidR="0092635B" w:rsidRDefault="00000000">
      <w:pPr>
        <w:pStyle w:val="Textoindependiente"/>
        <w:spacing w:before="9" w:line="249" w:lineRule="auto"/>
        <w:ind w:right="1104"/>
      </w:pPr>
      <w:r>
        <w:t>En relación con el cumplimiento de sus obligaciones tributarias o con la Seguridad</w:t>
      </w:r>
      <w:r>
        <w:rPr>
          <w:spacing w:val="40"/>
        </w:rPr>
        <w:t xml:space="preserve"> </w:t>
      </w:r>
      <w:r>
        <w:t>Social, se considerará que las empresas se encuentran al corriente en el mismo cuando las deudas estén aplazadas, fraccionadas o se hubiera acordado su suspensión con ocasión de la impugnación de tales deudas.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La acreditación del cumplimiento de la cuota de reserva de puestos de trabajo del 2 por ciento para personas con discapacidad y de la obligación de contar con un plan de igualdad</w:t>
      </w:r>
      <w:r>
        <w:rPr>
          <w:spacing w:val="40"/>
        </w:rPr>
        <w:t xml:space="preserve"> </w:t>
      </w:r>
      <w:r>
        <w:t>a que se refiere el primer párrafo de esta letra se hará mediante la presentación de la declaración responsable a que se refiere el artículo 140.</w:t>
      </w:r>
    </w:p>
    <w:p w:rsidR="0092635B" w:rsidRDefault="00000000">
      <w:pPr>
        <w:pStyle w:val="Textoindependiente"/>
        <w:spacing w:before="3" w:line="249" w:lineRule="auto"/>
        <w:ind w:right="1104"/>
      </w:pPr>
      <w:r>
        <w:t>No obstante lo dispuesto en el párrafo anterior, el Consejo de Ministros, mediante Real Decreto, podrá establecer una forma alternativa de acreditación que, en todo caso, será bien mediante certificación del órgano administrativo correspondiente, con vigencia mínima de seis meses, o bien mediante certificación del correspondiente Registro de Licitadores, en los casos en que dicha circunstancia figure inscrita en el mismo.</w:t>
      </w:r>
    </w:p>
    <w:p w:rsidR="0092635B" w:rsidRDefault="00000000">
      <w:pPr>
        <w:pStyle w:val="Prrafodelista"/>
        <w:numPr>
          <w:ilvl w:val="1"/>
          <w:numId w:val="290"/>
        </w:numPr>
        <w:tabs>
          <w:tab w:val="left" w:pos="1690"/>
        </w:tabs>
        <w:spacing w:before="4" w:line="249" w:lineRule="auto"/>
        <w:ind w:right="1104" w:firstLine="340"/>
        <w:jc w:val="both"/>
        <w:rPr>
          <w:sz w:val="20"/>
        </w:rPr>
      </w:pPr>
      <w:r>
        <w:rPr>
          <w:sz w:val="20"/>
        </w:rPr>
        <w:t>Haber incurrido en falsedad al efectuar la declaración responsable a que se refiere el artículo 140 o al facilitar cualesquiera otros datos relativos a su capacidad y solvencia, o haber incumplido, por causa que le sea imputable, la obligación de comunicar la información prevista en el artículo 82.4 y en el artículo 343.1.</w:t>
      </w:r>
    </w:p>
    <w:p w:rsidR="0092635B" w:rsidRDefault="00000000">
      <w:pPr>
        <w:pStyle w:val="Prrafodelista"/>
        <w:numPr>
          <w:ilvl w:val="1"/>
          <w:numId w:val="290"/>
        </w:numPr>
        <w:tabs>
          <w:tab w:val="left" w:pos="1696"/>
        </w:tabs>
        <w:spacing w:before="3" w:line="249" w:lineRule="auto"/>
        <w:ind w:right="1104" w:firstLine="340"/>
        <w:jc w:val="both"/>
        <w:rPr>
          <w:sz w:val="20"/>
        </w:rPr>
      </w:pPr>
      <w:r>
        <w:rPr>
          <w:sz w:val="20"/>
        </w:rPr>
        <w:t>Estar afectado por una prohibición de contratar impuesta en virtud de sanción administrativa firme, con arreglo a lo previsto en la Ley 38/2003, de 17 de noviembre, General de Subvenciones, o en la Ley 58/2003, de 17 de diciembre, General Tributaria.</w:t>
      </w:r>
    </w:p>
    <w:p w:rsidR="0092635B" w:rsidRDefault="00000000">
      <w:pPr>
        <w:pStyle w:val="Textoindependiente"/>
        <w:spacing w:before="3" w:line="249" w:lineRule="auto"/>
        <w:ind w:right="1104"/>
      </w:pPr>
      <w:r>
        <w:t xml:space="preserve">La presente causa de prohibición de contratar dejará de aplicarse cuando el órgano de contratación, en aplicación de lo dispuesto en el artículo 72.1, compruebe que la empresa ha cumplido sus obligaciones de pago o celebrado un acuerdo vinculante con vistas al pago de las cantidades adeudadas, incluidos en su caso los intereses acumulados o las multas </w:t>
      </w:r>
      <w:r>
        <w:rPr>
          <w:spacing w:val="-2"/>
        </w:rPr>
        <w:t>impuestas.</w:t>
      </w:r>
    </w:p>
    <w:p w:rsidR="0092635B" w:rsidRDefault="00000000">
      <w:pPr>
        <w:pStyle w:val="Prrafodelista"/>
        <w:numPr>
          <w:ilvl w:val="1"/>
          <w:numId w:val="290"/>
        </w:numPr>
        <w:tabs>
          <w:tab w:val="left" w:pos="1690"/>
        </w:tabs>
        <w:spacing w:before="4" w:line="249" w:lineRule="auto"/>
        <w:ind w:firstLine="340"/>
        <w:jc w:val="both"/>
        <w:rPr>
          <w:sz w:val="20"/>
        </w:rPr>
      </w:pPr>
      <w:r>
        <w:rPr>
          <w:sz w:val="20"/>
        </w:rPr>
        <w:t>Estar incursa la persona física o los administradores de la persona jurídica en alguno de</w:t>
      </w:r>
      <w:r>
        <w:rPr>
          <w:spacing w:val="-1"/>
          <w:sz w:val="20"/>
        </w:rPr>
        <w:t xml:space="preserve"> </w:t>
      </w:r>
      <w:r>
        <w:rPr>
          <w:sz w:val="20"/>
        </w:rPr>
        <w:t>los</w:t>
      </w:r>
      <w:r>
        <w:rPr>
          <w:spacing w:val="-1"/>
          <w:sz w:val="20"/>
        </w:rPr>
        <w:t xml:space="preserve"> </w:t>
      </w:r>
      <w:r>
        <w:rPr>
          <w:sz w:val="20"/>
        </w:rPr>
        <w:t>supuestos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3/2015,</w:t>
      </w:r>
      <w:r>
        <w:rPr>
          <w:spacing w:val="-1"/>
          <w:sz w:val="20"/>
        </w:rPr>
        <w:t xml:space="preserve"> </w:t>
      </w:r>
      <w:r>
        <w:rPr>
          <w:sz w:val="20"/>
        </w:rPr>
        <w:t>de</w:t>
      </w:r>
      <w:r>
        <w:rPr>
          <w:spacing w:val="-1"/>
          <w:sz w:val="20"/>
        </w:rPr>
        <w:t xml:space="preserve"> </w:t>
      </w:r>
      <w:r>
        <w:rPr>
          <w:sz w:val="20"/>
        </w:rPr>
        <w:t>30</w:t>
      </w:r>
      <w:r>
        <w:rPr>
          <w:spacing w:val="-1"/>
          <w:sz w:val="20"/>
        </w:rPr>
        <w:t xml:space="preserve"> </w:t>
      </w:r>
      <w:r>
        <w:rPr>
          <w:sz w:val="20"/>
        </w:rPr>
        <w:t>de</w:t>
      </w:r>
      <w:r>
        <w:rPr>
          <w:spacing w:val="-1"/>
          <w:sz w:val="20"/>
        </w:rPr>
        <w:t xml:space="preserve"> </w:t>
      </w:r>
      <w:r>
        <w:rPr>
          <w:sz w:val="20"/>
        </w:rPr>
        <w:t>marzo,</w:t>
      </w:r>
      <w:r>
        <w:rPr>
          <w:spacing w:val="-1"/>
          <w:sz w:val="20"/>
        </w:rPr>
        <w:t xml:space="preserve"> </w:t>
      </w:r>
      <w:r>
        <w:rPr>
          <w:sz w:val="20"/>
        </w:rPr>
        <w:t>reguladora</w:t>
      </w:r>
      <w:r>
        <w:rPr>
          <w:spacing w:val="-1"/>
          <w:sz w:val="20"/>
        </w:rPr>
        <w:t xml:space="preserve"> </w:t>
      </w:r>
      <w:r>
        <w:rPr>
          <w:sz w:val="20"/>
        </w:rPr>
        <w:t>del</w:t>
      </w:r>
      <w:r>
        <w:rPr>
          <w:spacing w:val="-1"/>
          <w:sz w:val="20"/>
        </w:rPr>
        <w:t xml:space="preserve"> </w:t>
      </w:r>
      <w:r>
        <w:rPr>
          <w:sz w:val="20"/>
        </w:rPr>
        <w:t>ejercicio</w:t>
      </w:r>
      <w:r>
        <w:rPr>
          <w:spacing w:val="-1"/>
          <w:sz w:val="20"/>
        </w:rPr>
        <w:t xml:space="preserve"> </w:t>
      </w:r>
      <w:r>
        <w:rPr>
          <w:sz w:val="20"/>
        </w:rPr>
        <w:t>del</w:t>
      </w:r>
      <w:r>
        <w:rPr>
          <w:spacing w:val="-1"/>
          <w:sz w:val="20"/>
        </w:rPr>
        <w:t xml:space="preserve"> </w:t>
      </w:r>
      <w:r>
        <w:rPr>
          <w:sz w:val="20"/>
        </w:rPr>
        <w:t>alto</w:t>
      </w:r>
      <w:r>
        <w:rPr>
          <w:spacing w:val="-1"/>
          <w:sz w:val="20"/>
        </w:rPr>
        <w:t xml:space="preserve"> </w:t>
      </w:r>
      <w:r>
        <w:rPr>
          <w:sz w:val="20"/>
        </w:rPr>
        <w:t>cargo</w:t>
      </w:r>
      <w:r>
        <w:rPr>
          <w:spacing w:val="-1"/>
          <w:sz w:val="20"/>
        </w:rPr>
        <w:t xml:space="preserve"> </w:t>
      </w:r>
      <w:r>
        <w:rPr>
          <w:sz w:val="20"/>
        </w:rPr>
        <w:t>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rsidR="0092635B" w:rsidRDefault="00000000">
      <w:pPr>
        <w:pStyle w:val="Textoindependiente"/>
        <w:spacing w:before="6" w:line="249" w:lineRule="auto"/>
        <w:ind w:right="1104"/>
      </w:pPr>
      <w: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rsidR="0092635B" w:rsidRDefault="00000000">
      <w:pPr>
        <w:pStyle w:val="Textoindependiente"/>
        <w:spacing w:line="249" w:lineRule="auto"/>
        <w:ind w:right="1102"/>
      </w:pPr>
      <w:r>
        <w:t>La prohibición se extiende igualmente, en ambos casos, a los cónyuges, personas vinculadas con análoga relación de convivencia afectiva, ascendientes y descendientes, así como a parientes en segundo grado por consanguineidad o afinidad de las personas a que se refieren los párrafos anteriores, cuando se produzca conflicto de intereses con el titular</w:t>
      </w:r>
      <w:r>
        <w:rPr>
          <w:spacing w:val="40"/>
        </w:rPr>
        <w:t xml:space="preserve"> </w:t>
      </w:r>
      <w:r>
        <w:t>del órgano de contratación o los titulares de los órganos en que se hubiere delegado la facultad para contratar o los que ejerzan la sustitución del primero.</w:t>
      </w:r>
    </w:p>
    <w:p w:rsidR="0092635B" w:rsidRDefault="00000000">
      <w:pPr>
        <w:pStyle w:val="Prrafodelista"/>
        <w:numPr>
          <w:ilvl w:val="1"/>
          <w:numId w:val="290"/>
        </w:numPr>
        <w:tabs>
          <w:tab w:val="left" w:pos="1705"/>
        </w:tabs>
        <w:spacing w:before="5" w:line="249" w:lineRule="auto"/>
        <w:ind w:right="1102" w:firstLine="340"/>
        <w:jc w:val="both"/>
        <w:rPr>
          <w:sz w:val="20"/>
        </w:rPr>
      </w:pPr>
      <w:r>
        <w:rPr>
          <w:sz w:val="20"/>
        </w:rPr>
        <w:t>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w:t>
      </w:r>
      <w:r>
        <w:rPr>
          <w:spacing w:val="-2"/>
          <w:sz w:val="20"/>
        </w:rPr>
        <w:t xml:space="preserve"> </w:t>
      </w:r>
      <w:r>
        <w:rPr>
          <w:sz w:val="20"/>
        </w:rPr>
        <w:t>del</w:t>
      </w:r>
      <w:r>
        <w:rPr>
          <w:spacing w:val="-2"/>
          <w:sz w:val="20"/>
        </w:rPr>
        <w:t xml:space="preserve"> </w:t>
      </w:r>
      <w:r>
        <w:rPr>
          <w:sz w:val="20"/>
        </w:rPr>
        <w:t>cargo</w:t>
      </w:r>
      <w:r>
        <w:rPr>
          <w:spacing w:val="-2"/>
          <w:sz w:val="20"/>
        </w:rPr>
        <w:t xml:space="preserve"> </w:t>
      </w:r>
      <w:r>
        <w:rPr>
          <w:sz w:val="20"/>
        </w:rPr>
        <w:t>desempeñado</w:t>
      </w:r>
      <w:r>
        <w:rPr>
          <w:spacing w:val="-2"/>
          <w:sz w:val="20"/>
        </w:rPr>
        <w:t xml:space="preserve"> </w:t>
      </w:r>
      <w:r>
        <w:rPr>
          <w:sz w:val="20"/>
        </w:rPr>
        <w:t>durante</w:t>
      </w:r>
      <w:r>
        <w:rPr>
          <w:spacing w:val="-2"/>
          <w:sz w:val="20"/>
        </w:rPr>
        <w:t xml:space="preserve"> </w:t>
      </w:r>
      <w:r>
        <w:rPr>
          <w:sz w:val="20"/>
        </w:rPr>
        <w:t>los</w:t>
      </w:r>
      <w:r>
        <w:rPr>
          <w:spacing w:val="-2"/>
          <w:sz w:val="20"/>
        </w:rPr>
        <w:t xml:space="preserve"> </w:t>
      </w:r>
      <w:r>
        <w:rPr>
          <w:sz w:val="20"/>
        </w:rPr>
        <w:t>dos</w:t>
      </w:r>
      <w:r>
        <w:rPr>
          <w:spacing w:val="-2"/>
          <w:sz w:val="20"/>
        </w:rPr>
        <w:t xml:space="preserve"> </w:t>
      </w:r>
      <w:r>
        <w:rPr>
          <w:sz w:val="20"/>
        </w:rPr>
        <w:t>años</w:t>
      </w:r>
      <w:r>
        <w:rPr>
          <w:spacing w:val="-2"/>
          <w:sz w:val="20"/>
        </w:rPr>
        <w:t xml:space="preserve"> </w:t>
      </w:r>
      <w:r>
        <w:rPr>
          <w:sz w:val="20"/>
        </w:rPr>
        <w:t>siguientes</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fecha</w:t>
      </w:r>
      <w:r>
        <w:rPr>
          <w:spacing w:val="-2"/>
          <w:sz w:val="20"/>
        </w:rPr>
        <w:t xml:space="preserve"> </w:t>
      </w:r>
      <w:r>
        <w:rPr>
          <w:sz w:val="20"/>
        </w:rPr>
        <w:t>de</w:t>
      </w:r>
      <w:r>
        <w:rPr>
          <w:spacing w:val="-2"/>
          <w:sz w:val="20"/>
        </w:rPr>
        <w:t xml:space="preserve"> </w:t>
      </w:r>
      <w:r>
        <w:rPr>
          <w:sz w:val="20"/>
        </w:rPr>
        <w:t>cese</w:t>
      </w:r>
      <w:r>
        <w:rPr>
          <w:spacing w:val="-2"/>
          <w:sz w:val="20"/>
        </w:rPr>
        <w:t xml:space="preserve"> </w:t>
      </w:r>
      <w:r>
        <w:rPr>
          <w:sz w:val="20"/>
        </w:rPr>
        <w:t>en el mismo. La prohibición de contratar se mantendrá durante el tiempo que permanezca dentro de la organización de la empresa la persona contratada con el límite máximo de dos años a contar desde el cese como alto cargo.</w:t>
      </w:r>
    </w:p>
    <w:p w:rsidR="0092635B" w:rsidRDefault="00000000">
      <w:pPr>
        <w:pStyle w:val="Prrafodelista"/>
        <w:numPr>
          <w:ilvl w:val="0"/>
          <w:numId w:val="290"/>
        </w:numPr>
        <w:tabs>
          <w:tab w:val="left" w:pos="1685"/>
        </w:tabs>
        <w:spacing w:before="127" w:line="249" w:lineRule="auto"/>
        <w:ind w:right="1105" w:firstLine="340"/>
        <w:jc w:val="both"/>
        <w:rPr>
          <w:sz w:val="20"/>
        </w:rPr>
      </w:pPr>
      <w:r>
        <w:rPr>
          <w:sz w:val="20"/>
        </w:rPr>
        <w:t>Además de las previstas en el apartado anterior, son circunstancias que impedirán a los empresarios contratar con las entidades comprendidas en el artículo 3 de la presente</w:t>
      </w:r>
      <w:r>
        <w:rPr>
          <w:spacing w:val="40"/>
          <w:sz w:val="20"/>
        </w:rPr>
        <w:t xml:space="preserve"> </w:t>
      </w:r>
      <w:r>
        <w:rPr>
          <w:sz w:val="20"/>
        </w:rPr>
        <w:t>Ley, en las condiciones establecidas en el artículo 73 las siguientes:</w:t>
      </w:r>
    </w:p>
    <w:p w:rsidR="0092635B" w:rsidRDefault="00000000">
      <w:pPr>
        <w:pStyle w:val="Prrafodelista"/>
        <w:numPr>
          <w:ilvl w:val="1"/>
          <w:numId w:val="290"/>
        </w:numPr>
        <w:tabs>
          <w:tab w:val="left" w:pos="1706"/>
        </w:tabs>
        <w:spacing w:before="123" w:line="249" w:lineRule="auto"/>
        <w:ind w:right="1104" w:firstLine="340"/>
        <w:jc w:val="both"/>
        <w:rPr>
          <w:sz w:val="20"/>
        </w:rPr>
      </w:pPr>
      <w:r>
        <w:rPr>
          <w:sz w:val="20"/>
        </w:rPr>
        <w:t>Haber retirado indebidamente su proposición o candidatura en un procedimiento de adjudicación, o haber imposibilitado la adjudicación del contrato a su favor por no cumplimentar lo establecido en el apartado 2 del artículo 150 dentro del plazo señalado mediando dolo, culpa o negligencia.</w:t>
      </w:r>
    </w:p>
    <w:p w:rsidR="0092635B" w:rsidRDefault="00000000">
      <w:pPr>
        <w:pStyle w:val="Prrafodelista"/>
        <w:numPr>
          <w:ilvl w:val="1"/>
          <w:numId w:val="290"/>
        </w:numPr>
        <w:tabs>
          <w:tab w:val="left" w:pos="1716"/>
        </w:tabs>
        <w:spacing w:before="3" w:line="249" w:lineRule="auto"/>
        <w:ind w:firstLine="340"/>
        <w:jc w:val="both"/>
        <w:rPr>
          <w:sz w:val="20"/>
        </w:rPr>
      </w:pPr>
      <w:r>
        <w:rPr>
          <w:sz w:val="20"/>
        </w:rPr>
        <w:t>Haber dejado de formalizar el contrato, que ha sido adjudicado a su favor, en los plazos previstos en el artículo 153 por causa imputable al adjudicatario.</w:t>
      </w:r>
    </w:p>
    <w:p w:rsidR="0092635B" w:rsidRDefault="00000000">
      <w:pPr>
        <w:pStyle w:val="Prrafodelista"/>
        <w:numPr>
          <w:ilvl w:val="1"/>
          <w:numId w:val="290"/>
        </w:numPr>
        <w:tabs>
          <w:tab w:val="left" w:pos="1712"/>
        </w:tabs>
        <w:spacing w:line="249" w:lineRule="auto"/>
        <w:ind w:firstLine="340"/>
        <w:jc w:val="both"/>
        <w:rPr>
          <w:sz w:val="20"/>
        </w:rPr>
      </w:pPr>
      <w:r>
        <w:rPr>
          <w:sz w:val="20"/>
        </w:rPr>
        <w:t>Haber incumplido las cláusulas que son esenciales en el contrato, incluyendo las condiciones especiales de ejecución establecidas de acuerdo con lo señalado en el artículo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202,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rsidR="0092635B" w:rsidRDefault="00000000">
      <w:pPr>
        <w:pStyle w:val="Prrafodelista"/>
        <w:numPr>
          <w:ilvl w:val="1"/>
          <w:numId w:val="290"/>
        </w:numPr>
        <w:tabs>
          <w:tab w:val="left" w:pos="1724"/>
        </w:tabs>
        <w:spacing w:line="249" w:lineRule="auto"/>
        <w:ind w:firstLine="340"/>
        <w:jc w:val="both"/>
        <w:rPr>
          <w:sz w:val="20"/>
        </w:rPr>
      </w:pPr>
      <w:r>
        <w:rPr>
          <w:sz w:val="20"/>
        </w:rPr>
        <w:t xml:space="preserve">Haber dado lugar, por causa de la que hubiesen sido declarados culpables, a la resolución firme de cualquier contrato celebrado con una entidad de las comprendidas en el artículo 3 de la presente Ley. La prohibición alcanzará a las empresas cuyo contrato hubiere quedado resuelto por incumplimiento culpable del contratista de las obligaciones que los pliegos hubieren calificados como esenciales de acuerdo con lo previsto en el artículo </w:t>
      </w:r>
      <w:r>
        <w:rPr>
          <w:spacing w:val="-2"/>
          <w:sz w:val="20"/>
        </w:rPr>
        <w:t>211.1.f).</w:t>
      </w:r>
    </w:p>
    <w:p w:rsidR="0092635B" w:rsidRDefault="00000000">
      <w:pPr>
        <w:pStyle w:val="Prrafodelista"/>
        <w:numPr>
          <w:ilvl w:val="0"/>
          <w:numId w:val="290"/>
        </w:numPr>
        <w:tabs>
          <w:tab w:val="left" w:pos="1675"/>
        </w:tabs>
        <w:spacing w:before="125" w:line="249" w:lineRule="auto"/>
        <w:ind w:right="1104" w:firstLine="340"/>
        <w:jc w:val="both"/>
        <w:rPr>
          <w:sz w:val="20"/>
        </w:rPr>
      </w:pPr>
      <w:r>
        <w:rPr>
          <w:sz w:val="20"/>
        </w:rPr>
        <w:t>Las prohibiciones de contratar afectarán también a aquellas empresas de las que, por razón de las personas que las rigen o de otras circunstancias, pueda presumirse que son continuación o que derivan, por transformación, fusión o sucesión, de otras empresas en las que hubiesen concurrido aquellas.</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115" w:name="Artículo_72._Apreciación_de_la_prohibici"/>
      <w:bookmarkEnd w:id="115"/>
      <w:r>
        <w:rPr>
          <w:rFonts w:ascii="Arial" w:hAnsi="Arial"/>
          <w:b/>
          <w:sz w:val="20"/>
        </w:rPr>
        <w:t>Artículo</w:t>
      </w:r>
      <w:r>
        <w:rPr>
          <w:rFonts w:ascii="Arial" w:hAnsi="Arial"/>
          <w:b/>
          <w:spacing w:val="-4"/>
          <w:sz w:val="20"/>
        </w:rPr>
        <w:t xml:space="preserve"> </w:t>
      </w:r>
      <w:r>
        <w:rPr>
          <w:rFonts w:ascii="Arial" w:hAnsi="Arial"/>
          <w:b/>
          <w:sz w:val="20"/>
        </w:rPr>
        <w:t>72.</w:t>
      </w:r>
      <w:r>
        <w:rPr>
          <w:rFonts w:ascii="Arial" w:hAnsi="Arial"/>
          <w:b/>
          <w:spacing w:val="46"/>
          <w:sz w:val="20"/>
        </w:rPr>
        <w:t xml:space="preserve"> </w:t>
      </w:r>
      <w:r>
        <w:rPr>
          <w:rFonts w:ascii="Arial" w:hAnsi="Arial"/>
          <w:i/>
          <w:sz w:val="20"/>
        </w:rPr>
        <w:t>Apreciación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prohibición</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contratar.</w:t>
      </w:r>
      <w:r>
        <w:rPr>
          <w:rFonts w:ascii="Arial" w:hAnsi="Arial"/>
          <w:i/>
          <w:spacing w:val="-4"/>
          <w:sz w:val="20"/>
        </w:rPr>
        <w:t xml:space="preserve"> </w:t>
      </w:r>
      <w:r>
        <w:rPr>
          <w:rFonts w:ascii="Arial" w:hAnsi="Arial"/>
          <w:i/>
          <w:sz w:val="20"/>
        </w:rPr>
        <w:t>Competencia</w:t>
      </w:r>
      <w:r>
        <w:rPr>
          <w:rFonts w:ascii="Arial" w:hAnsi="Arial"/>
          <w:i/>
          <w:spacing w:val="-4"/>
          <w:sz w:val="20"/>
        </w:rPr>
        <w:t xml:space="preserve"> </w:t>
      </w:r>
      <w:r>
        <w:rPr>
          <w:rFonts w:ascii="Arial" w:hAnsi="Arial"/>
          <w:i/>
          <w:sz w:val="20"/>
        </w:rPr>
        <w:t>y</w:t>
      </w:r>
      <w:r>
        <w:rPr>
          <w:rFonts w:ascii="Arial" w:hAnsi="Arial"/>
          <w:i/>
          <w:spacing w:val="-3"/>
          <w:sz w:val="20"/>
        </w:rPr>
        <w:t xml:space="preserve"> </w:t>
      </w:r>
      <w:r>
        <w:rPr>
          <w:rFonts w:ascii="Arial" w:hAnsi="Arial"/>
          <w:i/>
          <w:spacing w:val="-2"/>
          <w:sz w:val="20"/>
        </w:rPr>
        <w:t>procedimiento.</w:t>
      </w:r>
    </w:p>
    <w:p w:rsidR="0092635B" w:rsidRDefault="00000000">
      <w:pPr>
        <w:pStyle w:val="Prrafodelista"/>
        <w:numPr>
          <w:ilvl w:val="0"/>
          <w:numId w:val="289"/>
        </w:numPr>
        <w:tabs>
          <w:tab w:val="left" w:pos="1691"/>
        </w:tabs>
        <w:spacing w:before="124" w:line="249" w:lineRule="auto"/>
        <w:ind w:right="1102" w:firstLine="340"/>
        <w:jc w:val="both"/>
        <w:rPr>
          <w:sz w:val="20"/>
        </w:rPr>
      </w:pPr>
      <w:r>
        <w:rPr>
          <w:sz w:val="20"/>
        </w:rPr>
        <w:t>Las prohibiciones de contratar relativas a las circunstancias contenidas en las letras</w:t>
      </w:r>
      <w:r>
        <w:rPr>
          <w:spacing w:val="40"/>
          <w:sz w:val="20"/>
        </w:rPr>
        <w:t xml:space="preserve"> </w:t>
      </w:r>
      <w:r>
        <w:rPr>
          <w:sz w:val="20"/>
        </w:rPr>
        <w:t>c), d), f), g) y h) del apartado 1 del artículo anterior, se apreciarán directamente por los órganos de contratación, subsistiendo mientras concurran las circunstancias que en cada caso las determinan.</w:t>
      </w:r>
    </w:p>
    <w:p w:rsidR="0092635B" w:rsidRDefault="00000000">
      <w:pPr>
        <w:pStyle w:val="Prrafodelista"/>
        <w:numPr>
          <w:ilvl w:val="0"/>
          <w:numId w:val="289"/>
        </w:numPr>
        <w:tabs>
          <w:tab w:val="left" w:pos="1671"/>
        </w:tabs>
        <w:spacing w:before="3" w:line="249" w:lineRule="auto"/>
        <w:ind w:firstLine="340"/>
        <w:jc w:val="both"/>
        <w:rPr>
          <w:sz w:val="20"/>
        </w:rPr>
      </w:pPr>
      <w:r>
        <w:rPr>
          <w:sz w:val="20"/>
        </w:rPr>
        <w:t>La prohibición de contratar por las causas previstas en las letras a) y b) del apartado 1 del artículo anterior se apreciará directamente por los órganos de contratación, cuando la sentencia o la resolución administrativa se hubiera pronunciado expresamente sobre su alcance y duración, subsistiendo durante el plazo señalado en las mismas.</w:t>
      </w:r>
    </w:p>
    <w:p w:rsidR="0092635B" w:rsidRDefault="00000000">
      <w:pPr>
        <w:pStyle w:val="Textoindependiente"/>
        <w:spacing w:before="3" w:line="249" w:lineRule="auto"/>
        <w:ind w:right="1103"/>
      </w:pPr>
      <w:r>
        <w:t>En el caso de que la sentencia o la resolución administrativa no contengan pronunciamiento sobre el alcance o duración de la prohibición de contratar; en los casos de la letra e) del apartado primero del artículo anterior; y en los supuestos contemplados en el apartado segundo, también del artículo anterior, el alcance y duración de la prohibición deberá determinarse mediante procedimiento instruido al efecto, de conformidad con lo dispuesto en este artículo.</w:t>
      </w:r>
    </w:p>
    <w:p w:rsidR="0092635B" w:rsidRDefault="00000000">
      <w:pPr>
        <w:pStyle w:val="Prrafodelista"/>
        <w:numPr>
          <w:ilvl w:val="0"/>
          <w:numId w:val="289"/>
        </w:numPr>
        <w:tabs>
          <w:tab w:val="left" w:pos="1695"/>
        </w:tabs>
        <w:spacing w:before="5" w:line="249" w:lineRule="auto"/>
        <w:ind w:right="1104" w:firstLine="340"/>
        <w:jc w:val="both"/>
        <w:rPr>
          <w:sz w:val="20"/>
        </w:rPr>
      </w:pPr>
      <w:r>
        <w:rPr>
          <w:sz w:val="20"/>
        </w:rPr>
        <w:t>La competencia para fijar la duración y alcance de la prohibición de contratar en el caso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letras</w:t>
      </w:r>
      <w:r>
        <w:rPr>
          <w:spacing w:val="-2"/>
          <w:sz w:val="20"/>
        </w:rPr>
        <w:t xml:space="preserve"> </w:t>
      </w:r>
      <w:r>
        <w:rPr>
          <w:sz w:val="20"/>
        </w:rPr>
        <w:t>a)</w:t>
      </w:r>
      <w:r>
        <w:rPr>
          <w:spacing w:val="-2"/>
          <w:sz w:val="20"/>
        </w:rPr>
        <w:t xml:space="preserve"> </w:t>
      </w:r>
      <w:r>
        <w:rPr>
          <w:sz w:val="20"/>
        </w:rPr>
        <w:t>y</w:t>
      </w:r>
      <w:r>
        <w:rPr>
          <w:spacing w:val="-2"/>
          <w:sz w:val="20"/>
        </w:rPr>
        <w:t xml:space="preserve"> </w:t>
      </w:r>
      <w:r>
        <w:rPr>
          <w:sz w:val="20"/>
        </w:rPr>
        <w:t>b)</w:t>
      </w:r>
      <w:r>
        <w:rPr>
          <w:spacing w:val="-2"/>
          <w:sz w:val="20"/>
        </w:rPr>
        <w:t xml:space="preserve"> </w:t>
      </w:r>
      <w:r>
        <w:rPr>
          <w:sz w:val="20"/>
        </w:rPr>
        <w:t>del</w:t>
      </w:r>
      <w:r>
        <w:rPr>
          <w:spacing w:val="-2"/>
          <w:sz w:val="20"/>
        </w:rPr>
        <w:t xml:space="preserve"> </w:t>
      </w:r>
      <w:r>
        <w:rPr>
          <w:sz w:val="20"/>
        </w:rPr>
        <w:t>apartado</w:t>
      </w:r>
      <w:r>
        <w:rPr>
          <w:spacing w:val="-2"/>
          <w:sz w:val="20"/>
        </w:rPr>
        <w:t xml:space="preserve"> </w:t>
      </w:r>
      <w:r>
        <w:rPr>
          <w:sz w:val="20"/>
        </w:rPr>
        <w:t>1</w:t>
      </w:r>
      <w:r>
        <w:rPr>
          <w:spacing w:val="-2"/>
          <w:sz w:val="20"/>
        </w:rPr>
        <w:t xml:space="preserve"> </w:t>
      </w:r>
      <w:r>
        <w:rPr>
          <w:sz w:val="20"/>
        </w:rPr>
        <w:t>del</w:t>
      </w:r>
      <w:r>
        <w:rPr>
          <w:spacing w:val="-2"/>
          <w:sz w:val="20"/>
        </w:rPr>
        <w:t xml:space="preserve"> </w:t>
      </w:r>
      <w:r>
        <w:rPr>
          <w:sz w:val="20"/>
        </w:rPr>
        <w:t>artículo</w:t>
      </w:r>
      <w:r>
        <w:rPr>
          <w:spacing w:val="-2"/>
          <w:sz w:val="20"/>
        </w:rPr>
        <w:t xml:space="preserve"> </w:t>
      </w:r>
      <w:r>
        <w:rPr>
          <w:sz w:val="20"/>
        </w:rPr>
        <w:t>anterior,</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casos</w:t>
      </w:r>
      <w:r>
        <w:rPr>
          <w:spacing w:val="-2"/>
          <w:sz w:val="20"/>
        </w:rPr>
        <w:t xml:space="preserve"> </w:t>
      </w:r>
      <w:r>
        <w:rPr>
          <w:sz w:val="20"/>
        </w:rPr>
        <w:t>en</w:t>
      </w:r>
      <w:r>
        <w:rPr>
          <w:spacing w:val="-2"/>
          <w:sz w:val="20"/>
        </w:rPr>
        <w:t xml:space="preserve"> </w:t>
      </w:r>
      <w:r>
        <w:rPr>
          <w:sz w:val="20"/>
        </w:rPr>
        <w:t>que</w:t>
      </w:r>
      <w:r>
        <w:rPr>
          <w:spacing w:val="-2"/>
          <w:sz w:val="20"/>
        </w:rPr>
        <w:t xml:space="preserve"> </w:t>
      </w:r>
      <w:r>
        <w:rPr>
          <w:sz w:val="20"/>
        </w:rPr>
        <w:t>no</w:t>
      </w:r>
      <w:r>
        <w:rPr>
          <w:spacing w:val="-2"/>
          <w:sz w:val="20"/>
        </w:rPr>
        <w:t xml:space="preserve"> </w:t>
      </w:r>
      <w:r>
        <w:rPr>
          <w:sz w:val="20"/>
        </w:rPr>
        <w:t>figure</w:t>
      </w:r>
      <w:r>
        <w:rPr>
          <w:spacing w:val="-2"/>
          <w:sz w:val="20"/>
        </w:rPr>
        <w:t xml:space="preserve"> </w:t>
      </w:r>
      <w:r>
        <w:rPr>
          <w:sz w:val="20"/>
        </w:rPr>
        <w:t>en la correspondiente sentencia o resolución, y la competencia para la declaración de la prohibición de contratar en el caso de la letra e) del apartado primero del artículo anterior respecto de la obligación de comunicar la información prevista en el artículo 82.4 y en el artículo</w:t>
      </w:r>
      <w:r>
        <w:rPr>
          <w:spacing w:val="-2"/>
          <w:sz w:val="20"/>
        </w:rPr>
        <w:t xml:space="preserve"> </w:t>
      </w:r>
      <w:r>
        <w:rPr>
          <w:sz w:val="20"/>
        </w:rPr>
        <w:t>343,</w:t>
      </w:r>
      <w:r>
        <w:rPr>
          <w:spacing w:val="-2"/>
          <w:sz w:val="20"/>
        </w:rPr>
        <w:t xml:space="preserve"> </w:t>
      </w:r>
      <w:r>
        <w:rPr>
          <w:sz w:val="20"/>
        </w:rPr>
        <w:t>corresponderá</w:t>
      </w:r>
      <w:r>
        <w:rPr>
          <w:spacing w:val="-2"/>
          <w:sz w:val="20"/>
        </w:rPr>
        <w:t xml:space="preserve"> </w:t>
      </w:r>
      <w:r>
        <w:rPr>
          <w:sz w:val="20"/>
        </w:rPr>
        <w:t>al</w:t>
      </w:r>
      <w:r>
        <w:rPr>
          <w:spacing w:val="-2"/>
          <w:sz w:val="20"/>
        </w:rPr>
        <w:t xml:space="preserve"> </w:t>
      </w:r>
      <w:r>
        <w:rPr>
          <w:sz w:val="20"/>
        </w:rPr>
        <w:t>Ministro</w:t>
      </w:r>
      <w:r>
        <w:rPr>
          <w:spacing w:val="-2"/>
          <w:sz w:val="20"/>
        </w:rPr>
        <w:t xml:space="preserve"> </w:t>
      </w:r>
      <w:r>
        <w:rPr>
          <w:sz w:val="20"/>
        </w:rPr>
        <w:t>de</w:t>
      </w:r>
      <w:r>
        <w:rPr>
          <w:spacing w:val="-2"/>
          <w:sz w:val="20"/>
        </w:rPr>
        <w:t xml:space="preserve"> </w:t>
      </w:r>
      <w:r>
        <w:rPr>
          <w:sz w:val="20"/>
        </w:rPr>
        <w:t>Hacienda</w:t>
      </w:r>
      <w:r>
        <w:rPr>
          <w:spacing w:val="-2"/>
          <w:sz w:val="20"/>
        </w:rPr>
        <w:t xml:space="preserve"> </w:t>
      </w:r>
      <w:r>
        <w:rPr>
          <w:sz w:val="20"/>
        </w:rPr>
        <w:t>y</w:t>
      </w:r>
      <w:r>
        <w:rPr>
          <w:spacing w:val="-2"/>
          <w:sz w:val="20"/>
        </w:rPr>
        <w:t xml:space="preserve"> </w:t>
      </w:r>
      <w:r>
        <w:rPr>
          <w:sz w:val="20"/>
        </w:rPr>
        <w:t>Función</w:t>
      </w:r>
      <w:r>
        <w:rPr>
          <w:spacing w:val="-2"/>
          <w:sz w:val="20"/>
        </w:rPr>
        <w:t xml:space="preserve"> </w:t>
      </w:r>
      <w:r>
        <w:rPr>
          <w:sz w:val="20"/>
        </w:rPr>
        <w:t>Pública</w:t>
      </w:r>
      <w:r>
        <w:rPr>
          <w:spacing w:val="-2"/>
          <w:sz w:val="20"/>
        </w:rPr>
        <w:t xml:space="preserve"> </w:t>
      </w:r>
      <w:r>
        <w:rPr>
          <w:sz w:val="20"/>
        </w:rPr>
        <w:t>previa</w:t>
      </w:r>
      <w:r>
        <w:rPr>
          <w:spacing w:val="-2"/>
          <w:sz w:val="20"/>
        </w:rPr>
        <w:t xml:space="preserve"> </w:t>
      </w:r>
      <w:r>
        <w:rPr>
          <w:sz w:val="20"/>
        </w:rPr>
        <w:t>propuesta</w:t>
      </w:r>
      <w:r>
        <w:rPr>
          <w:spacing w:val="-2"/>
          <w:sz w:val="20"/>
        </w:rPr>
        <w:t xml:space="preserve"> </w:t>
      </w:r>
      <w:r>
        <w:rPr>
          <w:sz w:val="20"/>
        </w:rPr>
        <w:t>de</w:t>
      </w:r>
      <w:r>
        <w:rPr>
          <w:spacing w:val="-2"/>
          <w:sz w:val="20"/>
        </w:rPr>
        <w:t xml:space="preserve"> </w:t>
      </w:r>
      <w:r>
        <w:rPr>
          <w:sz w:val="20"/>
        </w:rPr>
        <w:t>la Junta Consultiva de Contratación Pública del Estado, o a los órganos que resulten competentes en el ámbito de las Comunidades Autónomas en el caso de la letra e) citada.</w:t>
      </w:r>
    </w:p>
    <w:p w:rsidR="0092635B" w:rsidRDefault="00000000">
      <w:pPr>
        <w:pStyle w:val="Textoindependiente"/>
        <w:spacing w:before="7" w:line="249" w:lineRule="auto"/>
        <w:ind w:right="1103"/>
      </w:pPr>
      <w:r>
        <w:t>A efectos de poder dar cumplimiento a lo establecido en el párrafo anterior, el órgano judicial o administrativo del que emane la sentencia o resolución administrativa deberá</w:t>
      </w:r>
      <w:r>
        <w:rPr>
          <w:spacing w:val="80"/>
        </w:rPr>
        <w:t xml:space="preserve"> </w:t>
      </w:r>
      <w:r>
        <w:t>remitir de oficio testimonio de aquella o copia de esta a la Junta Consultiva de Contratación Pública del Estado, sin perjuicio de que por parte de este órgano, de tener conocimiento de su existencia y no habiendo recibido el citado testimonio de la sentencia o copia de la resolución administrativa, pueda solicitarlos al órgano del que emanaron.</w:t>
      </w:r>
    </w:p>
    <w:p w:rsidR="0092635B" w:rsidRDefault="00000000">
      <w:pPr>
        <w:pStyle w:val="Textoindependiente"/>
        <w:spacing w:before="4" w:line="249" w:lineRule="auto"/>
        <w:ind w:right="1105"/>
      </w:pPr>
      <w:r>
        <w:t>En los supuestos previstos en la letra e) del apartado 1 del artículo anterior referido a casos en que se hubiera incurrido en falsedad al efectuar la declaración responsable a que se refiere el artículo 140, o al facilitar cualesquiera otros datos relativos a su capacidad y solvencia,</w:t>
      </w:r>
      <w:r>
        <w:rPr>
          <w:spacing w:val="-3"/>
        </w:rPr>
        <w:t xml:space="preserve"> </w:t>
      </w:r>
      <w:r>
        <w:t>y</w:t>
      </w:r>
      <w:r>
        <w:rPr>
          <w:spacing w:val="-3"/>
        </w:rPr>
        <w:t xml:space="preserve"> </w:t>
      </w:r>
      <w:r>
        <w:t>en</w:t>
      </w:r>
      <w:r>
        <w:rPr>
          <w:spacing w:val="-3"/>
        </w:rPr>
        <w:t xml:space="preserve"> </w:t>
      </w:r>
      <w:r>
        <w:t>los</w:t>
      </w:r>
      <w:r>
        <w:rPr>
          <w:spacing w:val="-3"/>
        </w:rPr>
        <w:t xml:space="preserve"> </w:t>
      </w:r>
      <w:r>
        <w:t>supuestos</w:t>
      </w:r>
      <w:r>
        <w:rPr>
          <w:spacing w:val="-3"/>
        </w:rPr>
        <w:t xml:space="preserve"> </w:t>
      </w:r>
      <w:r>
        <w:t>previstos</w:t>
      </w:r>
      <w:r>
        <w:rPr>
          <w:spacing w:val="-3"/>
        </w:rPr>
        <w:t xml:space="preserve"> </w:t>
      </w:r>
      <w:r>
        <w:t>en</w:t>
      </w:r>
      <w:r>
        <w:rPr>
          <w:spacing w:val="-3"/>
        </w:rPr>
        <w:t xml:space="preserve"> </w:t>
      </w:r>
      <w:r>
        <w:t>el</w:t>
      </w:r>
      <w:r>
        <w:rPr>
          <w:spacing w:val="-3"/>
        </w:rPr>
        <w:t xml:space="preserve"> </w:t>
      </w:r>
      <w:r>
        <w:t>apartado</w:t>
      </w:r>
      <w:r>
        <w:rPr>
          <w:spacing w:val="-3"/>
        </w:rPr>
        <w:t xml:space="preserve"> </w:t>
      </w:r>
      <w:r>
        <w:t>segundo</w:t>
      </w:r>
      <w:r>
        <w:rPr>
          <w:spacing w:val="-3"/>
        </w:rPr>
        <w:t xml:space="preserve"> </w:t>
      </w:r>
      <w:r>
        <w:t>del</w:t>
      </w:r>
      <w:r>
        <w:rPr>
          <w:spacing w:val="-3"/>
        </w:rPr>
        <w:t xml:space="preserve"> </w:t>
      </w:r>
      <w:r>
        <w:t>artículo</w:t>
      </w:r>
      <w:r>
        <w:rPr>
          <w:spacing w:val="-3"/>
        </w:rPr>
        <w:t xml:space="preserve"> </w:t>
      </w:r>
      <w:r>
        <w:t>71,</w:t>
      </w:r>
      <w:r>
        <w:rPr>
          <w:spacing w:val="-3"/>
        </w:rPr>
        <w:t xml:space="preserve"> </w:t>
      </w:r>
      <w:r>
        <w:t>la</w:t>
      </w:r>
      <w:r>
        <w:rPr>
          <w:spacing w:val="-3"/>
        </w:rPr>
        <w:t xml:space="preserve"> </w:t>
      </w:r>
      <w:r>
        <w:t>declaración de la prohibición de contratar corresponderá al órgano de contratación.</w:t>
      </w:r>
    </w:p>
    <w:p w:rsidR="0092635B" w:rsidRDefault="00000000">
      <w:pPr>
        <w:pStyle w:val="Prrafodelista"/>
        <w:numPr>
          <w:ilvl w:val="0"/>
          <w:numId w:val="289"/>
        </w:numPr>
        <w:tabs>
          <w:tab w:val="left" w:pos="1673"/>
        </w:tabs>
        <w:spacing w:before="5" w:line="249" w:lineRule="auto"/>
        <w:ind w:right="1104" w:firstLine="340"/>
        <w:jc w:val="both"/>
        <w:rPr>
          <w:sz w:val="20"/>
        </w:rPr>
      </w:pPr>
      <w:r>
        <w:rPr>
          <w:sz w:val="20"/>
        </w:rPr>
        <w:t>La competencia para la declaración de la prohibición de contratar en los casos en que la entidad contratante no tenga el carácter de Administración Pública corresponderá al titular del departamento, presidente o director del organismo al que esté adscrita o del que</w:t>
      </w:r>
      <w:r>
        <w:rPr>
          <w:spacing w:val="40"/>
          <w:sz w:val="20"/>
        </w:rPr>
        <w:t xml:space="preserve"> </w:t>
      </w:r>
      <w:r>
        <w:rPr>
          <w:sz w:val="20"/>
        </w:rPr>
        <w:t>dependa la entidad contratante o al que corresponda su tutela o control. Si la entidad contratante estuviera vinculada a más de una Administración, será competente el órgano correspondiente de la que ostente el control o participación mayoritaria.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0"/>
        <w:ind w:left="0" w:firstLine="0"/>
        <w:jc w:val="left"/>
      </w:pPr>
    </w:p>
    <w:p w:rsidR="0092635B" w:rsidRDefault="0092635B">
      <w:pPr>
        <w:pStyle w:val="Textoindependiente"/>
        <w:spacing w:before="64"/>
        <w:ind w:left="0" w:firstLine="0"/>
        <w:jc w:val="left"/>
      </w:pPr>
    </w:p>
    <w:p w:rsidR="0092635B" w:rsidRDefault="00000000">
      <w:pPr>
        <w:pStyle w:val="Textoindependiente"/>
        <w:spacing w:before="0"/>
        <w:ind w:left="1105" w:firstLine="0"/>
        <w:jc w:val="left"/>
      </w:pPr>
      <w:r>
        <w:rPr>
          <w:noProof/>
        </w:rPr>
        <mc:AlternateContent>
          <mc:Choice Requires="wps">
            <w:drawing>
              <wp:inline distT="0" distB="0" distL="0" distR="0">
                <wp:extent cx="5247005" cy="649605"/>
                <wp:effectExtent l="9525" t="0" r="1270" b="762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70" w:right="267" w:firstLine="340"/>
                              <w:jc w:val="both"/>
                              <w:rPr>
                                <w:color w:val="000000"/>
                                <w:sz w:val="18"/>
                              </w:rPr>
                            </w:pPr>
                            <w:r>
                              <w:rPr>
                                <w:color w:val="000000"/>
                                <w:sz w:val="18"/>
                              </w:rPr>
                              <w:t>Téngase en cuenta que se declara que el apartado 4 no es conforme con el orden constitucional de competencias, en los términos del fundamento jurídico 6 G) c), por la</w:t>
                            </w:r>
                            <w:r>
                              <w:rPr>
                                <w:color w:val="000000"/>
                                <w:spacing w:val="40"/>
                                <w:sz w:val="18"/>
                              </w:rPr>
                              <w:t xml:space="preserve"> </w:t>
                            </w:r>
                            <w:r>
                              <w:rPr>
                                <w:color w:val="000000"/>
                                <w:sz w:val="18"/>
                              </w:rPr>
                              <w:t xml:space="preserve">Sentencia del TC 68/2021, de 18 de marzo. </w:t>
                            </w:r>
                            <w:hyperlink r:id="rId23">
                              <w:r>
                                <w:rPr>
                                  <w:color w:val="0000FF"/>
                                  <w:sz w:val="18"/>
                                  <w:u w:val="single" w:color="0000FF"/>
                                </w:rPr>
                                <w:t>Ref. BOE-A-2021-6614</w:t>
                              </w:r>
                            </w:hyperlink>
                          </w:p>
                        </w:txbxContent>
                      </wps:txbx>
                      <wps:bodyPr wrap="square" lIns="0" tIns="0" rIns="0" bIns="0" rtlCol="0">
                        <a:noAutofit/>
                      </wps:bodyPr>
                    </wps:wsp>
                  </a:graphicData>
                </a:graphic>
              </wp:inline>
            </w:drawing>
          </mc:Choice>
          <mc:Fallback>
            <w:pict>
              <v:shape id="Textbox 15" o:spid="_x0000_s1030" type="#_x0000_t202" style="width:413.15pt;height:5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" fillcolor="#f7f7ff" strokecolor="#9f9f9f">
                <v:path arrowok="t"/>
                <v:textbox inset="0,0,0,0">
                  <w:txbxContent>
                    <w:p w:rsidR="0092635B" w:rsidRDefault="00000000">
                      <w:pPr>
                        <w:spacing w:before="181" w:line="249" w:lineRule="auto"/>
                        <w:ind w:left="270" w:right="267" w:firstLine="340"/>
                        <w:jc w:val="both"/>
                        <w:rPr>
                          <w:color w:val="000000"/>
                          <w:sz w:val="18"/>
                        </w:rPr>
                      </w:pPr>
                      <w:r>
                        <w:rPr>
                          <w:color w:val="000000"/>
                          <w:sz w:val="18"/>
                        </w:rPr>
                        <w:t>Téngase en cuenta que se declara que el apartado 4 no es conforme con el orden constitucional de competencias, en los términos del fundamento jurídico 6 G) c), por la</w:t>
                      </w:r>
                      <w:r>
                        <w:rPr>
                          <w:color w:val="000000"/>
                          <w:spacing w:val="40"/>
                          <w:sz w:val="18"/>
                        </w:rPr>
                        <w:t xml:space="preserve"> </w:t>
                      </w:r>
                      <w:r>
                        <w:rPr>
                          <w:color w:val="000000"/>
                          <w:sz w:val="18"/>
                        </w:rPr>
                        <w:t xml:space="preserve">Sentencia del TC 68/2021, de 18 de marzo. </w:t>
                      </w:r>
                      <w:hyperlink r:id="rId24">
                        <w:r>
                          <w:rPr>
                            <w:color w:val="0000FF"/>
                            <w:sz w:val="18"/>
                            <w:u w:val="single" w:color="0000FF"/>
                          </w:rPr>
                          <w:t>Ref. BOE-A-2021-6614</w:t>
                        </w:r>
                      </w:hyperlink>
                    </w:p>
                  </w:txbxContent>
                </v:textbox>
                <w10:anchorlock/>
              </v:shape>
            </w:pict>
          </mc:Fallback>
        </mc:AlternateContent>
      </w:r>
    </w:p>
    <w:p w:rsidR="0092635B" w:rsidRDefault="0092635B">
      <w:pPr>
        <w:pStyle w:val="Textoindependiente"/>
        <w:spacing w:before="100"/>
        <w:ind w:left="0" w:firstLine="0"/>
        <w:jc w:val="left"/>
      </w:pPr>
    </w:p>
    <w:p w:rsidR="0092635B" w:rsidRDefault="00000000">
      <w:pPr>
        <w:pStyle w:val="Prrafodelista"/>
        <w:numPr>
          <w:ilvl w:val="0"/>
          <w:numId w:val="289"/>
        </w:numPr>
        <w:tabs>
          <w:tab w:val="left" w:pos="1670"/>
        </w:tabs>
        <w:spacing w:before="0" w:line="249" w:lineRule="auto"/>
        <w:ind w:right="1105" w:firstLine="340"/>
        <w:jc w:val="both"/>
        <w:rPr>
          <w:sz w:val="20"/>
        </w:rPr>
      </w:pPr>
      <w:r>
        <w:rPr>
          <w:sz w:val="20"/>
        </w:rPr>
        <w:t>Cuando</w:t>
      </w:r>
      <w:r>
        <w:rPr>
          <w:spacing w:val="-1"/>
          <w:sz w:val="20"/>
        </w:rPr>
        <w:t xml:space="preserve"> </w:t>
      </w:r>
      <w:r>
        <w:rPr>
          <w:sz w:val="20"/>
        </w:rPr>
        <w:t>conforme</w:t>
      </w:r>
      <w:r>
        <w:rPr>
          <w:spacing w:val="-1"/>
          <w:sz w:val="20"/>
        </w:rPr>
        <w:t xml:space="preserve"> </w:t>
      </w:r>
      <w:r>
        <w:rPr>
          <w:sz w:val="20"/>
        </w:rPr>
        <w:t>a</w:t>
      </w:r>
      <w:r>
        <w:rPr>
          <w:spacing w:val="-1"/>
          <w:sz w:val="20"/>
        </w:rPr>
        <w:t xml:space="preserve"> </w:t>
      </w:r>
      <w:r>
        <w:rPr>
          <w:sz w:val="20"/>
        </w:rPr>
        <w:t>lo</w:t>
      </w:r>
      <w:r>
        <w:rPr>
          <w:spacing w:val="-1"/>
          <w:sz w:val="20"/>
        </w:rPr>
        <w:t xml:space="preserve"> </w:t>
      </w:r>
      <w:r>
        <w:rPr>
          <w:sz w:val="20"/>
        </w:rPr>
        <w:t>señalado</w:t>
      </w:r>
      <w:r>
        <w:rPr>
          <w:spacing w:val="-1"/>
          <w:sz w:val="20"/>
        </w:rPr>
        <w:t xml:space="preserve"> </w:t>
      </w:r>
      <w:r>
        <w:rPr>
          <w:sz w:val="20"/>
        </w:rPr>
        <w:t>en</w:t>
      </w:r>
      <w:r>
        <w:rPr>
          <w:spacing w:val="-1"/>
          <w:sz w:val="20"/>
        </w:rPr>
        <w:t xml:space="preserve"> </w:t>
      </w:r>
      <w:r>
        <w:rPr>
          <w:sz w:val="20"/>
        </w:rPr>
        <w:t>este</w:t>
      </w:r>
      <w:r>
        <w:rPr>
          <w:spacing w:val="-1"/>
          <w:sz w:val="20"/>
        </w:rPr>
        <w:t xml:space="preserve"> </w:t>
      </w:r>
      <w:r>
        <w:rPr>
          <w:sz w:val="20"/>
        </w:rPr>
        <w:t>artículo,</w:t>
      </w:r>
      <w:r>
        <w:rPr>
          <w:spacing w:val="-1"/>
          <w:sz w:val="20"/>
        </w:rPr>
        <w:t xml:space="preserve"> </w:t>
      </w:r>
      <w:r>
        <w:rPr>
          <w:sz w:val="20"/>
        </w:rPr>
        <w:t>sea</w:t>
      </w:r>
      <w:r>
        <w:rPr>
          <w:spacing w:val="-1"/>
          <w:sz w:val="20"/>
        </w:rPr>
        <w:t xml:space="preserve"> </w:t>
      </w:r>
      <w:r>
        <w:rPr>
          <w:sz w:val="20"/>
        </w:rPr>
        <w:t>necesaria</w:t>
      </w:r>
      <w:r>
        <w:rPr>
          <w:spacing w:val="-1"/>
          <w:sz w:val="20"/>
        </w:rPr>
        <w:t xml:space="preserve"> </w:t>
      </w:r>
      <w:r>
        <w:rPr>
          <w:sz w:val="20"/>
        </w:rPr>
        <w:t>una</w:t>
      </w:r>
      <w:r>
        <w:rPr>
          <w:spacing w:val="-1"/>
          <w:sz w:val="20"/>
        </w:rPr>
        <w:t xml:space="preserve"> </w:t>
      </w:r>
      <w:r>
        <w:rPr>
          <w:sz w:val="20"/>
        </w:rPr>
        <w:t>declaración</w:t>
      </w:r>
      <w:r>
        <w:rPr>
          <w:spacing w:val="-1"/>
          <w:sz w:val="20"/>
        </w:rPr>
        <w:t xml:space="preserve"> </w:t>
      </w:r>
      <w:r>
        <w:rPr>
          <w:sz w:val="20"/>
        </w:rPr>
        <w:t>previa sobre la concurrencia de la prohibición, el alcance y duración de esta se determinarán siguiendo el procedimiento que en las normas de desarrollo de esta Ley se establezca.</w:t>
      </w:r>
    </w:p>
    <w:p w:rsidR="0092635B" w:rsidRDefault="00000000">
      <w:pPr>
        <w:pStyle w:val="Textoindependiente"/>
        <w:spacing w:line="249" w:lineRule="auto"/>
        <w:ind w:right="1103"/>
        <w:jc w:val="right"/>
      </w:pPr>
      <w:r>
        <w:t>No</w:t>
      </w:r>
      <w:r>
        <w:rPr>
          <w:spacing w:val="36"/>
        </w:rPr>
        <w:t xml:space="preserve"> </w:t>
      </w:r>
      <w:r>
        <w:t>procederá,</w:t>
      </w:r>
      <w:r>
        <w:rPr>
          <w:spacing w:val="36"/>
        </w:rPr>
        <w:t xml:space="preserve"> </w:t>
      </w:r>
      <w:r>
        <w:t>sin</w:t>
      </w:r>
      <w:r>
        <w:rPr>
          <w:spacing w:val="36"/>
        </w:rPr>
        <w:t xml:space="preserve"> </w:t>
      </w:r>
      <w:r>
        <w:t>embargo,</w:t>
      </w:r>
      <w:r>
        <w:rPr>
          <w:spacing w:val="36"/>
        </w:rPr>
        <w:t xml:space="preserve"> </w:t>
      </w:r>
      <w:r>
        <w:t>declarar</w:t>
      </w:r>
      <w:r>
        <w:rPr>
          <w:spacing w:val="36"/>
        </w:rPr>
        <w:t xml:space="preserve"> </w:t>
      </w:r>
      <w:r>
        <w:t>la</w:t>
      </w:r>
      <w:r>
        <w:rPr>
          <w:spacing w:val="36"/>
        </w:rPr>
        <w:t xml:space="preserve"> </w:t>
      </w:r>
      <w:r>
        <w:t>prohibición</w:t>
      </w:r>
      <w:r>
        <w:rPr>
          <w:spacing w:val="36"/>
        </w:rPr>
        <w:t xml:space="preserve"> </w:t>
      </w:r>
      <w:r>
        <w:t>de</w:t>
      </w:r>
      <w:r>
        <w:rPr>
          <w:spacing w:val="36"/>
        </w:rPr>
        <w:t xml:space="preserve"> </w:t>
      </w:r>
      <w:r>
        <w:t>contratar</w:t>
      </w:r>
      <w:r>
        <w:rPr>
          <w:spacing w:val="36"/>
        </w:rPr>
        <w:t xml:space="preserve"> </w:t>
      </w:r>
      <w:r>
        <w:t>cuando,</w:t>
      </w:r>
      <w:r>
        <w:rPr>
          <w:spacing w:val="36"/>
        </w:rPr>
        <w:t xml:space="preserve"> </w:t>
      </w:r>
      <w:r>
        <w:t>en</w:t>
      </w:r>
      <w:r>
        <w:rPr>
          <w:spacing w:val="36"/>
        </w:rPr>
        <w:t xml:space="preserve"> </w:t>
      </w:r>
      <w:r>
        <w:t>sede</w:t>
      </w:r>
      <w:r>
        <w:rPr>
          <w:spacing w:val="36"/>
        </w:rPr>
        <w:t xml:space="preserve"> </w:t>
      </w:r>
      <w:r>
        <w:t>del trámite de audiencia del procedimiento correspondiente, la persona incursa en la causa de prohibición acredite el pago o compromiso de pago de las multas e indemnizaciones fijadas por</w:t>
      </w:r>
      <w:r>
        <w:rPr>
          <w:spacing w:val="40"/>
        </w:rPr>
        <w:t xml:space="preserve"> </w:t>
      </w:r>
      <w:r>
        <w:t>sentencia</w:t>
      </w:r>
      <w:r>
        <w:rPr>
          <w:spacing w:val="40"/>
        </w:rPr>
        <w:t xml:space="preserve"> </w:t>
      </w:r>
      <w:r>
        <w:t>o</w:t>
      </w:r>
      <w:r>
        <w:rPr>
          <w:spacing w:val="40"/>
        </w:rPr>
        <w:t xml:space="preserve"> </w:t>
      </w:r>
      <w:r>
        <w:t>resolución</w:t>
      </w:r>
      <w:r>
        <w:rPr>
          <w:spacing w:val="40"/>
        </w:rPr>
        <w:t xml:space="preserve"> </w:t>
      </w:r>
      <w:r>
        <w:t>administrativa</w:t>
      </w:r>
      <w:r>
        <w:rPr>
          <w:spacing w:val="40"/>
        </w:rPr>
        <w:t xml:space="preserve"> </w:t>
      </w:r>
      <w:r>
        <w:t>de</w:t>
      </w:r>
      <w:r>
        <w:rPr>
          <w:spacing w:val="40"/>
        </w:rPr>
        <w:t xml:space="preserve"> </w:t>
      </w:r>
      <w:r>
        <w:t>las</w:t>
      </w:r>
      <w:r>
        <w:rPr>
          <w:spacing w:val="40"/>
        </w:rPr>
        <w:t xml:space="preserve"> </w:t>
      </w:r>
      <w:r>
        <w:t>que</w:t>
      </w:r>
      <w:r>
        <w:rPr>
          <w:spacing w:val="40"/>
        </w:rPr>
        <w:t xml:space="preserve"> </w:t>
      </w:r>
      <w:r>
        <w:t>derive</w:t>
      </w:r>
      <w:r>
        <w:rPr>
          <w:spacing w:val="40"/>
        </w:rPr>
        <w:t xml:space="preserve"> </w:t>
      </w:r>
      <w:r>
        <w:t>la</w:t>
      </w:r>
      <w:r>
        <w:rPr>
          <w:spacing w:val="40"/>
        </w:rPr>
        <w:t xml:space="preserve"> </w:t>
      </w:r>
      <w:r>
        <w:t>causa</w:t>
      </w:r>
      <w:r>
        <w:rPr>
          <w:spacing w:val="40"/>
        </w:rPr>
        <w:t xml:space="preserve"> </w:t>
      </w:r>
      <w:r>
        <w:t>de</w:t>
      </w:r>
      <w:r>
        <w:rPr>
          <w:spacing w:val="40"/>
        </w:rPr>
        <w:t xml:space="preserve"> </w:t>
      </w:r>
      <w:r>
        <w:t>prohibición</w:t>
      </w:r>
      <w:r>
        <w:rPr>
          <w:spacing w:val="40"/>
        </w:rPr>
        <w:t xml:space="preserve"> </w:t>
      </w:r>
      <w:r>
        <w:t>de contratar, siempre y cuando las citadas personas hayan sido declaradas responsables del</w:t>
      </w:r>
      <w:r>
        <w:rPr>
          <w:spacing w:val="80"/>
        </w:rPr>
        <w:t xml:space="preserve"> </w:t>
      </w:r>
      <w:r>
        <w:t>pago</w:t>
      </w:r>
      <w:r>
        <w:rPr>
          <w:spacing w:val="21"/>
        </w:rPr>
        <w:t xml:space="preserve"> </w:t>
      </w:r>
      <w:r>
        <w:t>de</w:t>
      </w:r>
      <w:r>
        <w:rPr>
          <w:spacing w:val="21"/>
        </w:rPr>
        <w:t xml:space="preserve"> </w:t>
      </w:r>
      <w:r>
        <w:t>la</w:t>
      </w:r>
      <w:r>
        <w:rPr>
          <w:spacing w:val="21"/>
        </w:rPr>
        <w:t xml:space="preserve"> </w:t>
      </w:r>
      <w:r>
        <w:t>misma</w:t>
      </w:r>
      <w:r>
        <w:rPr>
          <w:spacing w:val="21"/>
        </w:rPr>
        <w:t xml:space="preserve"> </w:t>
      </w:r>
      <w:r>
        <w:t>en</w:t>
      </w:r>
      <w:r>
        <w:rPr>
          <w:spacing w:val="21"/>
        </w:rPr>
        <w:t xml:space="preserve"> </w:t>
      </w:r>
      <w:r>
        <w:t>la</w:t>
      </w:r>
      <w:r>
        <w:rPr>
          <w:spacing w:val="21"/>
        </w:rPr>
        <w:t xml:space="preserve"> </w:t>
      </w:r>
      <w:r>
        <w:t>citada</w:t>
      </w:r>
      <w:r>
        <w:rPr>
          <w:spacing w:val="21"/>
        </w:rPr>
        <w:t xml:space="preserve"> </w:t>
      </w:r>
      <w:r>
        <w:t>sentencia</w:t>
      </w:r>
      <w:r>
        <w:rPr>
          <w:spacing w:val="21"/>
        </w:rPr>
        <w:t xml:space="preserve"> </w:t>
      </w:r>
      <w:r>
        <w:t>o</w:t>
      </w:r>
      <w:r>
        <w:rPr>
          <w:spacing w:val="21"/>
        </w:rPr>
        <w:t xml:space="preserve"> </w:t>
      </w:r>
      <w:r>
        <w:t>resolución,</w:t>
      </w:r>
      <w:r>
        <w:rPr>
          <w:spacing w:val="21"/>
        </w:rPr>
        <w:t xml:space="preserve"> </w:t>
      </w:r>
      <w:r>
        <w:t>y</w:t>
      </w:r>
      <w:r>
        <w:rPr>
          <w:spacing w:val="21"/>
        </w:rPr>
        <w:t xml:space="preserve"> </w:t>
      </w:r>
      <w:r>
        <w:t>la</w:t>
      </w:r>
      <w:r>
        <w:rPr>
          <w:spacing w:val="21"/>
        </w:rPr>
        <w:t xml:space="preserve"> </w:t>
      </w:r>
      <w:r>
        <w:t>adopción</w:t>
      </w:r>
      <w:r>
        <w:rPr>
          <w:spacing w:val="21"/>
        </w:rPr>
        <w:t xml:space="preserve"> </w:t>
      </w:r>
      <w:r>
        <w:t>de</w:t>
      </w:r>
      <w:r>
        <w:rPr>
          <w:spacing w:val="21"/>
        </w:rPr>
        <w:t xml:space="preserve"> </w:t>
      </w:r>
      <w:r>
        <w:t>medidas</w:t>
      </w:r>
      <w:r>
        <w:rPr>
          <w:spacing w:val="21"/>
        </w:rPr>
        <w:t xml:space="preserve"> </w:t>
      </w:r>
      <w:r>
        <w:t>técnicas, organizativas</w:t>
      </w:r>
      <w:r>
        <w:rPr>
          <w:spacing w:val="40"/>
        </w:rPr>
        <w:t xml:space="preserve"> </w:t>
      </w:r>
      <w:r>
        <w:t>y</w:t>
      </w:r>
      <w:r>
        <w:rPr>
          <w:spacing w:val="40"/>
        </w:rPr>
        <w:t xml:space="preserve"> </w:t>
      </w:r>
      <w:r>
        <w:t>de</w:t>
      </w:r>
      <w:r>
        <w:rPr>
          <w:spacing w:val="40"/>
        </w:rPr>
        <w:t xml:space="preserve"> </w:t>
      </w:r>
      <w:r>
        <w:t>personal</w:t>
      </w:r>
      <w:r>
        <w:rPr>
          <w:spacing w:val="40"/>
        </w:rPr>
        <w:t xml:space="preserve"> </w:t>
      </w:r>
      <w:r>
        <w:t>apropiadas</w:t>
      </w:r>
      <w:r>
        <w:rPr>
          <w:spacing w:val="40"/>
        </w:rPr>
        <w:t xml:space="preserve"> </w:t>
      </w:r>
      <w:r>
        <w:t>para</w:t>
      </w:r>
      <w:r>
        <w:rPr>
          <w:spacing w:val="40"/>
        </w:rPr>
        <w:t xml:space="preserve"> </w:t>
      </w:r>
      <w:r>
        <w:t>evitar</w:t>
      </w:r>
      <w:r>
        <w:rPr>
          <w:spacing w:val="40"/>
        </w:rPr>
        <w:t xml:space="preserve"> </w:t>
      </w:r>
      <w:r>
        <w:t>la</w:t>
      </w:r>
      <w:r>
        <w:rPr>
          <w:spacing w:val="40"/>
        </w:rPr>
        <w:t xml:space="preserve"> </w:t>
      </w:r>
      <w:r>
        <w:t>comisión</w:t>
      </w:r>
      <w:r>
        <w:rPr>
          <w:spacing w:val="40"/>
        </w:rPr>
        <w:t xml:space="preserve"> </w:t>
      </w:r>
      <w:r>
        <w:t>de</w:t>
      </w:r>
      <w:r>
        <w:rPr>
          <w:spacing w:val="40"/>
        </w:rPr>
        <w:t xml:space="preserve"> </w:t>
      </w:r>
      <w:r>
        <w:t>futuras</w:t>
      </w:r>
      <w:r>
        <w:rPr>
          <w:spacing w:val="40"/>
        </w:rPr>
        <w:t xml:space="preserve"> </w:t>
      </w:r>
      <w:r>
        <w:t>infracciones administrativas,</w:t>
      </w:r>
      <w:r>
        <w:rPr>
          <w:spacing w:val="32"/>
        </w:rPr>
        <w:t xml:space="preserve"> </w:t>
      </w:r>
      <w:r>
        <w:t>entre</w:t>
      </w:r>
      <w:r>
        <w:rPr>
          <w:spacing w:val="32"/>
        </w:rPr>
        <w:t xml:space="preserve"> </w:t>
      </w:r>
      <w:r>
        <w:t>las</w:t>
      </w:r>
      <w:r>
        <w:rPr>
          <w:spacing w:val="32"/>
        </w:rPr>
        <w:t xml:space="preserve"> </w:t>
      </w:r>
      <w:r>
        <w:t>que</w:t>
      </w:r>
      <w:r>
        <w:rPr>
          <w:spacing w:val="32"/>
        </w:rPr>
        <w:t xml:space="preserve"> </w:t>
      </w:r>
      <w:r>
        <w:t>quedará</w:t>
      </w:r>
      <w:r>
        <w:rPr>
          <w:spacing w:val="32"/>
        </w:rPr>
        <w:t xml:space="preserve"> </w:t>
      </w:r>
      <w:r>
        <w:t>incluido</w:t>
      </w:r>
      <w:r>
        <w:rPr>
          <w:spacing w:val="32"/>
        </w:rPr>
        <w:t xml:space="preserve"> </w:t>
      </w:r>
      <w:r>
        <w:t>el</w:t>
      </w:r>
      <w:r>
        <w:rPr>
          <w:spacing w:val="32"/>
        </w:rPr>
        <w:t xml:space="preserve"> </w:t>
      </w:r>
      <w:r>
        <w:t>acogerse</w:t>
      </w:r>
      <w:r>
        <w:rPr>
          <w:spacing w:val="32"/>
        </w:rPr>
        <w:t xml:space="preserve"> </w:t>
      </w:r>
      <w:r>
        <w:t>al</w:t>
      </w:r>
      <w:r>
        <w:rPr>
          <w:spacing w:val="32"/>
        </w:rPr>
        <w:t xml:space="preserve"> </w:t>
      </w:r>
      <w:r>
        <w:t>programa</w:t>
      </w:r>
      <w:r>
        <w:rPr>
          <w:spacing w:val="32"/>
        </w:rPr>
        <w:t xml:space="preserve"> </w:t>
      </w:r>
      <w:r>
        <w:t>de</w:t>
      </w:r>
      <w:r>
        <w:rPr>
          <w:spacing w:val="32"/>
        </w:rPr>
        <w:t xml:space="preserve"> </w:t>
      </w:r>
      <w:r>
        <w:t>clemencia</w:t>
      </w:r>
      <w:r>
        <w:rPr>
          <w:spacing w:val="32"/>
        </w:rPr>
        <w:t xml:space="preserve"> </w:t>
      </w:r>
      <w:r>
        <w:t>en materia de falseamiento de la competencia. Este párrafo no resultará de aplicación cuando resulte</w:t>
      </w:r>
      <w:r>
        <w:rPr>
          <w:spacing w:val="-6"/>
        </w:rPr>
        <w:t xml:space="preserve"> </w:t>
      </w:r>
      <w:r>
        <w:t>aplicable</w:t>
      </w:r>
      <w:r>
        <w:rPr>
          <w:spacing w:val="-3"/>
        </w:rPr>
        <w:t xml:space="preserve"> </w:t>
      </w:r>
      <w:r>
        <w:t>la</w:t>
      </w:r>
      <w:r>
        <w:rPr>
          <w:spacing w:val="-3"/>
        </w:rPr>
        <w:t xml:space="preserve"> </w:t>
      </w:r>
      <w:r>
        <w:t>causa</w:t>
      </w:r>
      <w:r>
        <w:rPr>
          <w:spacing w:val="-3"/>
        </w:rPr>
        <w:t xml:space="preserve"> </w:t>
      </w:r>
      <w:r>
        <w:t>de</w:t>
      </w:r>
      <w:r>
        <w:rPr>
          <w:spacing w:val="-4"/>
        </w:rPr>
        <w:t xml:space="preserve"> </w:t>
      </w:r>
      <w:r>
        <w:t>prohibición</w:t>
      </w:r>
      <w:r>
        <w:rPr>
          <w:spacing w:val="-3"/>
        </w:rPr>
        <w:t xml:space="preserve"> </w:t>
      </w:r>
      <w:r>
        <w:t>de</w:t>
      </w:r>
      <w:r>
        <w:rPr>
          <w:spacing w:val="-3"/>
        </w:rPr>
        <w:t xml:space="preserve"> </w:t>
      </w:r>
      <w:r>
        <w:t>contratar</w:t>
      </w:r>
      <w:r>
        <w:rPr>
          <w:spacing w:val="-3"/>
        </w:rPr>
        <w:t xml:space="preserve"> </w:t>
      </w:r>
      <w:r>
        <w:t>a</w:t>
      </w:r>
      <w:r>
        <w:rPr>
          <w:spacing w:val="-4"/>
        </w:rPr>
        <w:t xml:space="preserve"> </w:t>
      </w:r>
      <w:r>
        <w:t>que</w:t>
      </w:r>
      <w:r>
        <w:rPr>
          <w:spacing w:val="-3"/>
        </w:rPr>
        <w:t xml:space="preserve"> </w:t>
      </w:r>
      <w:r>
        <w:t>se</w:t>
      </w:r>
      <w:r>
        <w:rPr>
          <w:spacing w:val="-3"/>
        </w:rPr>
        <w:t xml:space="preserve"> </w:t>
      </w:r>
      <w:r>
        <w:t>refiere</w:t>
      </w:r>
      <w:r>
        <w:rPr>
          <w:spacing w:val="-3"/>
        </w:rPr>
        <w:t xml:space="preserve"> </w:t>
      </w:r>
      <w:r>
        <w:t>el</w:t>
      </w:r>
      <w:r>
        <w:rPr>
          <w:spacing w:val="-4"/>
        </w:rPr>
        <w:t xml:space="preserve"> </w:t>
      </w:r>
      <w:r>
        <w:t>artículo</w:t>
      </w:r>
      <w:r>
        <w:rPr>
          <w:spacing w:val="-3"/>
        </w:rPr>
        <w:t xml:space="preserve"> </w:t>
      </w:r>
      <w:r>
        <w:t>71.1,</w:t>
      </w:r>
      <w:r>
        <w:rPr>
          <w:spacing w:val="-3"/>
        </w:rPr>
        <w:t xml:space="preserve"> </w:t>
      </w:r>
      <w:r>
        <w:t>letra</w:t>
      </w:r>
      <w:r>
        <w:rPr>
          <w:spacing w:val="-3"/>
        </w:rPr>
        <w:t xml:space="preserve"> </w:t>
      </w:r>
      <w:r>
        <w:rPr>
          <w:spacing w:val="-5"/>
        </w:rPr>
        <w:t>a).</w:t>
      </w:r>
    </w:p>
    <w:p w:rsidR="0092635B" w:rsidRDefault="00000000">
      <w:pPr>
        <w:pStyle w:val="Textoindependiente"/>
        <w:spacing w:before="9" w:line="249" w:lineRule="auto"/>
        <w:ind w:right="1105"/>
      </w:pPr>
      <w:r>
        <w:t>La prohibición de contratar, así declarada, podrá ser revisada en cualquier momento de su vigencia, cuando la persona que haya sido declarada en situación de prohibición de contratar acredite el cumplimiento de los extremos a que se refiere el párrafo anterior. El órgano competente para conocer de la citada revisión será el mismo que dictó la resolución de declaración de prohibición de contratar.</w:t>
      </w:r>
    </w:p>
    <w:p w:rsidR="0092635B" w:rsidRDefault="00000000">
      <w:pPr>
        <w:pStyle w:val="Prrafodelista"/>
        <w:numPr>
          <w:ilvl w:val="0"/>
          <w:numId w:val="289"/>
        </w:numPr>
        <w:tabs>
          <w:tab w:val="left" w:pos="1716"/>
        </w:tabs>
        <w:spacing w:before="4" w:line="249" w:lineRule="auto"/>
        <w:ind w:right="1104" w:firstLine="340"/>
        <w:jc w:val="both"/>
        <w:rPr>
          <w:sz w:val="20"/>
        </w:rPr>
      </w:pPr>
      <w:r>
        <w:rPr>
          <w:sz w:val="20"/>
        </w:rPr>
        <w:t>En los casos en que por sentencia penal firme así se prevea, la duración de la prohibición de contratar será la prevista en la misma. En los casos en los que esta no haya establecido plazo, esa duración no podrá exceder de cinco años desde la fecha de la condena por sentencia firme.</w:t>
      </w:r>
    </w:p>
    <w:p w:rsidR="0092635B" w:rsidRDefault="00000000">
      <w:pPr>
        <w:pStyle w:val="Textoindependiente"/>
        <w:spacing w:before="3" w:line="249" w:lineRule="auto"/>
        <w:ind w:right="1104"/>
      </w:pPr>
      <w:r>
        <w:t>En el resto de los supuestos, el plazo de duración no podrá exceder de tres años, para cuyo cómputo se estará a lo establecido en el apartado tercero del artículo 73.</w:t>
      </w:r>
    </w:p>
    <w:p w:rsidR="0092635B" w:rsidRDefault="00000000">
      <w:pPr>
        <w:pStyle w:val="Prrafodelista"/>
        <w:numPr>
          <w:ilvl w:val="0"/>
          <w:numId w:val="289"/>
        </w:numPr>
        <w:tabs>
          <w:tab w:val="left" w:pos="1684"/>
        </w:tabs>
        <w:spacing w:line="249" w:lineRule="auto"/>
        <w:ind w:firstLine="340"/>
        <w:jc w:val="both"/>
        <w:rPr>
          <w:sz w:val="20"/>
        </w:rPr>
      </w:pPr>
      <w:r>
        <w:rPr>
          <w:sz w:val="20"/>
        </w:rPr>
        <w:t>En el caso de la letra a) del apartado 1 del artículo anterior, el procedimiento, de ser necesario, no podrá iniciarse una vez transcurrido el plazo previsto para la prescripción de la correspondiente pena, y en el caso de la letra b) del apartado 2 del mismo artículo, si hubiesen transcurrido más de tres meses desde que se produjo la adjudicación.</w:t>
      </w:r>
    </w:p>
    <w:p w:rsidR="0092635B" w:rsidRDefault="00000000">
      <w:pPr>
        <w:pStyle w:val="Textoindependiente"/>
        <w:spacing w:before="3" w:line="249" w:lineRule="auto"/>
        <w:ind w:right="1104"/>
      </w:pPr>
      <w:r>
        <w:t>En los restantes supuestos previstos en dicho artículo, el procedimiento para la declaración de la prohibición de contratar no podrá iniciarse si hubiesen transcurrido más de tres años contados a partir de las siguientes fechas:</w:t>
      </w:r>
    </w:p>
    <w:p w:rsidR="0092635B" w:rsidRDefault="00000000">
      <w:pPr>
        <w:pStyle w:val="Prrafodelista"/>
        <w:numPr>
          <w:ilvl w:val="1"/>
          <w:numId w:val="289"/>
        </w:numPr>
        <w:tabs>
          <w:tab w:val="left" w:pos="1688"/>
        </w:tabs>
        <w:spacing w:before="122" w:line="249" w:lineRule="auto"/>
        <w:ind w:right="1104" w:firstLine="340"/>
        <w:jc w:val="both"/>
        <w:rPr>
          <w:sz w:val="20"/>
        </w:rPr>
      </w:pPr>
      <w:r>
        <w:rPr>
          <w:sz w:val="20"/>
        </w:rPr>
        <w:t>Desde la firmeza de la resolución sancionadora, en el caso de la causa prevista en la letra b) del apartado 1 del artículo anterior;</w:t>
      </w:r>
    </w:p>
    <w:p w:rsidR="0092635B" w:rsidRDefault="00000000">
      <w:pPr>
        <w:pStyle w:val="Prrafodelista"/>
        <w:numPr>
          <w:ilvl w:val="1"/>
          <w:numId w:val="289"/>
        </w:numPr>
        <w:tabs>
          <w:tab w:val="left" w:pos="1690"/>
        </w:tabs>
        <w:spacing w:line="249" w:lineRule="auto"/>
        <w:ind w:firstLine="340"/>
        <w:jc w:val="both"/>
        <w:rPr>
          <w:sz w:val="20"/>
        </w:rPr>
      </w:pPr>
      <w:r>
        <w:rPr>
          <w:sz w:val="20"/>
        </w:rPr>
        <w:t>Desde la fecha en que se hubieran facilitado los datos falsos o desde aquella en que hubiera debido comunicarse la correspondiente información, en los casos previstos en la</w:t>
      </w:r>
      <w:r>
        <w:rPr>
          <w:spacing w:val="40"/>
          <w:sz w:val="20"/>
        </w:rPr>
        <w:t xml:space="preserve"> </w:t>
      </w:r>
      <w:r>
        <w:rPr>
          <w:sz w:val="20"/>
        </w:rPr>
        <w:t>letra e) del apartado 1 del artículo anterior;</w:t>
      </w:r>
    </w:p>
    <w:p w:rsidR="0092635B" w:rsidRDefault="00000000">
      <w:pPr>
        <w:pStyle w:val="Prrafodelista"/>
        <w:numPr>
          <w:ilvl w:val="1"/>
          <w:numId w:val="289"/>
        </w:numPr>
        <w:tabs>
          <w:tab w:val="left" w:pos="1675"/>
        </w:tabs>
        <w:spacing w:line="249" w:lineRule="auto"/>
        <w:ind w:right="1104" w:firstLine="340"/>
        <w:jc w:val="both"/>
        <w:rPr>
          <w:sz w:val="20"/>
        </w:rPr>
      </w:pPr>
      <w:r>
        <w:rPr>
          <w:sz w:val="20"/>
        </w:rPr>
        <w:t>Desde la fecha en que fuese firme la resolución del contrato, en el caso previsto en la letra d) del apartado 2 del artículo anterior;</w:t>
      </w:r>
    </w:p>
    <w:p w:rsidR="0092635B" w:rsidRDefault="00000000">
      <w:pPr>
        <w:pStyle w:val="Prrafodelista"/>
        <w:numPr>
          <w:ilvl w:val="1"/>
          <w:numId w:val="289"/>
        </w:numPr>
        <w:tabs>
          <w:tab w:val="left" w:pos="1681"/>
        </w:tabs>
        <w:spacing w:line="249" w:lineRule="auto"/>
        <w:ind w:right="1104" w:firstLine="340"/>
        <w:jc w:val="both"/>
        <w:rPr>
          <w:sz w:val="20"/>
        </w:rPr>
      </w:pPr>
      <w:r>
        <w:rPr>
          <w:sz w:val="20"/>
        </w:rPr>
        <w:t>En</w:t>
      </w:r>
      <w:r>
        <w:rPr>
          <w:spacing w:val="-1"/>
          <w:sz w:val="20"/>
        </w:rPr>
        <w:t xml:space="preserve"> </w:t>
      </w:r>
      <w:r>
        <w:rPr>
          <w:sz w:val="20"/>
        </w:rPr>
        <w:t>los</w:t>
      </w:r>
      <w:r>
        <w:rPr>
          <w:spacing w:val="-1"/>
          <w:sz w:val="20"/>
        </w:rPr>
        <w:t xml:space="preserve"> </w:t>
      </w:r>
      <w:r>
        <w:rPr>
          <w:sz w:val="20"/>
        </w:rPr>
        <w:t>casos</w:t>
      </w:r>
      <w:r>
        <w:rPr>
          <w:spacing w:val="-1"/>
          <w:sz w:val="20"/>
        </w:rPr>
        <w:t xml:space="preserve"> </w:t>
      </w:r>
      <w:r>
        <w:rPr>
          <w:sz w:val="20"/>
        </w:rPr>
        <w:t>previstos</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letra</w:t>
      </w:r>
      <w:r>
        <w:rPr>
          <w:spacing w:val="-1"/>
          <w:sz w:val="20"/>
        </w:rPr>
        <w:t xml:space="preserve"> </w:t>
      </w:r>
      <w:r>
        <w:rPr>
          <w:sz w:val="20"/>
        </w:rPr>
        <w:t>a)</w:t>
      </w:r>
      <w:r>
        <w:rPr>
          <w:spacing w:val="-1"/>
          <w:sz w:val="20"/>
        </w:rPr>
        <w:t xml:space="preserve"> </w:t>
      </w:r>
      <w:r>
        <w:rPr>
          <w:sz w:val="20"/>
        </w:rPr>
        <w:t>del</w:t>
      </w:r>
      <w:r>
        <w:rPr>
          <w:spacing w:val="-1"/>
          <w:sz w:val="20"/>
        </w:rPr>
        <w:t xml:space="preserve"> </w:t>
      </w:r>
      <w:r>
        <w:rPr>
          <w:sz w:val="20"/>
        </w:rPr>
        <w:t>apartado</w:t>
      </w:r>
      <w:r>
        <w:rPr>
          <w:spacing w:val="-1"/>
          <w:sz w:val="20"/>
        </w:rPr>
        <w:t xml:space="preserve"> </w:t>
      </w:r>
      <w:r>
        <w:rPr>
          <w:sz w:val="20"/>
        </w:rPr>
        <w:t>2</w:t>
      </w:r>
      <w:r>
        <w:rPr>
          <w:spacing w:val="-1"/>
          <w:sz w:val="20"/>
        </w:rPr>
        <w:t xml:space="preserve"> </w:t>
      </w:r>
      <w:r>
        <w:rPr>
          <w:sz w:val="20"/>
        </w:rPr>
        <w:t>del</w:t>
      </w:r>
      <w:r>
        <w:rPr>
          <w:spacing w:val="-1"/>
          <w:sz w:val="20"/>
        </w:rPr>
        <w:t xml:space="preserve"> </w:t>
      </w:r>
      <w:r>
        <w:rPr>
          <w:sz w:val="20"/>
        </w:rPr>
        <w:t>artículo</w:t>
      </w:r>
      <w:r>
        <w:rPr>
          <w:spacing w:val="-1"/>
          <w:sz w:val="20"/>
        </w:rPr>
        <w:t xml:space="preserve"> </w:t>
      </w:r>
      <w:r>
        <w:rPr>
          <w:sz w:val="20"/>
        </w:rPr>
        <w:t>anterior,</w:t>
      </w:r>
      <w:r>
        <w:rPr>
          <w:spacing w:val="-1"/>
          <w:sz w:val="20"/>
        </w:rPr>
        <w:t xml:space="preserve"> </w:t>
      </w:r>
      <w:r>
        <w:rPr>
          <w:sz w:val="20"/>
        </w:rPr>
        <w:t>desde</w:t>
      </w:r>
      <w:r>
        <w:rPr>
          <w:spacing w:val="-1"/>
          <w:sz w:val="20"/>
        </w:rPr>
        <w:t xml:space="preserve"> </w:t>
      </w:r>
      <w:r>
        <w:rPr>
          <w:sz w:val="20"/>
        </w:rPr>
        <w:t>la</w:t>
      </w:r>
      <w:r>
        <w:rPr>
          <w:spacing w:val="-1"/>
          <w:sz w:val="20"/>
        </w:rPr>
        <w:t xml:space="preserve"> </w:t>
      </w:r>
      <w:r>
        <w:rPr>
          <w:sz w:val="20"/>
        </w:rPr>
        <w:t>fecha en que se hubiese procedido a la adjudicación del contrato, si la causa es la retirada</w:t>
      </w:r>
      <w:r>
        <w:rPr>
          <w:spacing w:val="40"/>
          <w:sz w:val="20"/>
        </w:rPr>
        <w:t xml:space="preserve"> </w:t>
      </w:r>
      <w:r>
        <w:rPr>
          <w:sz w:val="20"/>
        </w:rPr>
        <w:t>indebida de proposiciones o candidaturas; o desde la fecha en que hubiese debido procederse a la adjudicación, si la prohibición se fundamenta en el incumplimiento de lo establecido en el apartado segundo del artículo 150;</w:t>
      </w:r>
    </w:p>
    <w:p w:rsidR="0092635B" w:rsidRDefault="00000000">
      <w:pPr>
        <w:pStyle w:val="Prrafodelista"/>
        <w:numPr>
          <w:ilvl w:val="1"/>
          <w:numId w:val="289"/>
        </w:numPr>
        <w:tabs>
          <w:tab w:val="left" w:pos="1750"/>
        </w:tabs>
        <w:spacing w:before="4" w:line="249" w:lineRule="auto"/>
        <w:ind w:right="1104" w:firstLine="340"/>
        <w:jc w:val="both"/>
        <w:rPr>
          <w:sz w:val="20"/>
        </w:rPr>
      </w:pPr>
      <w:r>
        <w:rPr>
          <w:sz w:val="20"/>
        </w:rPr>
        <w:t>Desde que la entidad contratante tuvo conocimiento del incumplimiento de las condiciones especiales de ejecución del contrato en los casos previstos en la letra c) del apartado segundo del artículo 71.</w:t>
      </w:r>
    </w:p>
    <w:p w:rsidR="0092635B" w:rsidRDefault="00000000">
      <w:pPr>
        <w:spacing w:before="229"/>
        <w:ind w:left="1106"/>
        <w:rPr>
          <w:rFonts w:ascii="Arial" w:hAnsi="Arial"/>
          <w:i/>
          <w:sz w:val="20"/>
        </w:rPr>
      </w:pPr>
      <w:bookmarkStart w:id="116" w:name="Artículo_73._Efectos_de_la_declaración_d"/>
      <w:bookmarkEnd w:id="116"/>
      <w:r>
        <w:rPr>
          <w:rFonts w:ascii="Arial" w:hAnsi="Arial"/>
          <w:b/>
          <w:sz w:val="20"/>
        </w:rPr>
        <w:t>Artículo</w:t>
      </w:r>
      <w:r>
        <w:rPr>
          <w:rFonts w:ascii="Arial" w:hAnsi="Arial"/>
          <w:b/>
          <w:spacing w:val="-5"/>
          <w:sz w:val="20"/>
        </w:rPr>
        <w:t xml:space="preserve"> </w:t>
      </w:r>
      <w:r>
        <w:rPr>
          <w:rFonts w:ascii="Arial" w:hAnsi="Arial"/>
          <w:b/>
          <w:sz w:val="20"/>
        </w:rPr>
        <w:t>73.</w:t>
      </w:r>
      <w:r>
        <w:rPr>
          <w:rFonts w:ascii="Arial" w:hAnsi="Arial"/>
          <w:b/>
          <w:spacing w:val="50"/>
          <w:sz w:val="20"/>
        </w:rPr>
        <w:t xml:space="preserve"> </w:t>
      </w:r>
      <w:r>
        <w:rPr>
          <w:rFonts w:ascii="Arial" w:hAnsi="Arial"/>
          <w:i/>
          <w:sz w:val="20"/>
        </w:rPr>
        <w:t>Efectos</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declaración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prohibición</w:t>
      </w:r>
      <w:r>
        <w:rPr>
          <w:rFonts w:ascii="Arial" w:hAnsi="Arial"/>
          <w:i/>
          <w:spacing w:val="-2"/>
          <w:sz w:val="20"/>
        </w:rPr>
        <w:t xml:space="preserve"> </w:t>
      </w:r>
      <w:r>
        <w:rPr>
          <w:rFonts w:ascii="Arial" w:hAnsi="Arial"/>
          <w:i/>
          <w:sz w:val="20"/>
        </w:rPr>
        <w:t>de</w:t>
      </w:r>
      <w:r>
        <w:rPr>
          <w:rFonts w:ascii="Arial" w:hAnsi="Arial"/>
          <w:i/>
          <w:spacing w:val="-2"/>
          <w:sz w:val="20"/>
        </w:rPr>
        <w:t xml:space="preserve"> contratar.</w:t>
      </w:r>
    </w:p>
    <w:p w:rsidR="0092635B" w:rsidRDefault="00000000">
      <w:pPr>
        <w:pStyle w:val="Prrafodelista"/>
        <w:numPr>
          <w:ilvl w:val="0"/>
          <w:numId w:val="288"/>
        </w:numPr>
        <w:tabs>
          <w:tab w:val="left" w:pos="1723"/>
        </w:tabs>
        <w:spacing w:before="124" w:line="249" w:lineRule="auto"/>
        <w:ind w:firstLine="340"/>
        <w:jc w:val="both"/>
        <w:rPr>
          <w:sz w:val="20"/>
        </w:rPr>
      </w:pPr>
      <w:r>
        <w:rPr>
          <w:sz w:val="20"/>
        </w:rPr>
        <w:t>En los supuestos en que se den las circunstancias establecidas en el apartado segundo</w:t>
      </w:r>
      <w:r>
        <w:rPr>
          <w:spacing w:val="40"/>
          <w:sz w:val="20"/>
        </w:rPr>
        <w:t xml:space="preserve"> </w:t>
      </w:r>
      <w:r>
        <w:rPr>
          <w:sz w:val="20"/>
        </w:rPr>
        <w:t>del</w:t>
      </w:r>
      <w:r>
        <w:rPr>
          <w:spacing w:val="40"/>
          <w:sz w:val="20"/>
        </w:rPr>
        <w:t xml:space="preserve"> </w:t>
      </w:r>
      <w:r>
        <w:rPr>
          <w:sz w:val="20"/>
        </w:rPr>
        <w:t>artículo</w:t>
      </w:r>
      <w:r>
        <w:rPr>
          <w:spacing w:val="40"/>
          <w:sz w:val="20"/>
        </w:rPr>
        <w:t xml:space="preserve"> </w:t>
      </w:r>
      <w:r>
        <w:rPr>
          <w:sz w:val="20"/>
        </w:rPr>
        <w:t>71</w:t>
      </w:r>
      <w:r>
        <w:rPr>
          <w:spacing w:val="40"/>
          <w:sz w:val="20"/>
        </w:rPr>
        <w:t xml:space="preserve"> </w:t>
      </w:r>
      <w:r>
        <w:rPr>
          <w:sz w:val="20"/>
        </w:rPr>
        <w:t>y</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letra</w:t>
      </w:r>
      <w:r>
        <w:rPr>
          <w:spacing w:val="40"/>
          <w:sz w:val="20"/>
        </w:rPr>
        <w:t xml:space="preserve"> </w:t>
      </w:r>
      <w:r>
        <w:rPr>
          <w:sz w:val="20"/>
        </w:rPr>
        <w:t>e)</w:t>
      </w:r>
      <w:r>
        <w:rPr>
          <w:spacing w:val="40"/>
          <w:sz w:val="20"/>
        </w:rPr>
        <w:t xml:space="preserve"> </w:t>
      </w:r>
      <w:r>
        <w:rPr>
          <w:sz w:val="20"/>
        </w:rPr>
        <w:t>del</w:t>
      </w:r>
      <w:r>
        <w:rPr>
          <w:spacing w:val="40"/>
          <w:sz w:val="20"/>
        </w:rPr>
        <w:t xml:space="preserve"> </w:t>
      </w:r>
      <w:r>
        <w:rPr>
          <w:sz w:val="20"/>
        </w:rPr>
        <w:t>apartado</w:t>
      </w:r>
      <w:r>
        <w:rPr>
          <w:spacing w:val="40"/>
          <w:sz w:val="20"/>
        </w:rPr>
        <w:t xml:space="preserve"> </w:t>
      </w:r>
      <w:r>
        <w:rPr>
          <w:sz w:val="20"/>
        </w:rPr>
        <w:t>primero</w:t>
      </w:r>
      <w:r>
        <w:rPr>
          <w:spacing w:val="40"/>
          <w:sz w:val="20"/>
        </w:rPr>
        <w:t xml:space="preserve"> </w:t>
      </w:r>
      <w:r>
        <w:rPr>
          <w:sz w:val="20"/>
        </w:rPr>
        <w:t>del</w:t>
      </w:r>
      <w:r>
        <w:rPr>
          <w:spacing w:val="40"/>
          <w:sz w:val="20"/>
        </w:rPr>
        <w:t xml:space="preserve"> </w:t>
      </w:r>
      <w:r>
        <w:rPr>
          <w:sz w:val="20"/>
        </w:rPr>
        <w:t>mismo</w:t>
      </w:r>
      <w:r>
        <w:rPr>
          <w:spacing w:val="40"/>
          <w:sz w:val="20"/>
        </w:rPr>
        <w:t xml:space="preserve"> </w:t>
      </w:r>
      <w:r>
        <w:rPr>
          <w:sz w:val="20"/>
        </w:rPr>
        <w:t>artículo</w:t>
      </w:r>
      <w:r>
        <w:rPr>
          <w:spacing w:val="40"/>
          <w:sz w:val="20"/>
        </w:rPr>
        <w:t xml:space="preserve"> </w:t>
      </w:r>
      <w:r>
        <w:rPr>
          <w:sz w:val="20"/>
        </w:rPr>
        <w:t>en</w:t>
      </w:r>
      <w:r>
        <w:rPr>
          <w:spacing w:val="40"/>
          <w:sz w:val="20"/>
        </w:rPr>
        <w:t xml:space="preserve"> </w:t>
      </w:r>
      <w:r>
        <w:rPr>
          <w:sz w:val="20"/>
        </w:rPr>
        <w:t>lo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referente</w:t>
      </w:r>
      <w:r>
        <w:rPr>
          <w:spacing w:val="40"/>
        </w:rPr>
        <w:t xml:space="preserve"> </w:t>
      </w:r>
      <w:r>
        <w:t>a</w:t>
      </w:r>
      <w:r>
        <w:rPr>
          <w:spacing w:val="40"/>
        </w:rPr>
        <w:t xml:space="preserve"> </w:t>
      </w:r>
      <w:r>
        <w:t>haber</w:t>
      </w:r>
      <w:r>
        <w:rPr>
          <w:spacing w:val="40"/>
        </w:rPr>
        <w:t xml:space="preserve"> </w:t>
      </w:r>
      <w:r>
        <w:t>incurrido</w:t>
      </w:r>
      <w:r>
        <w:rPr>
          <w:spacing w:val="40"/>
        </w:rPr>
        <w:t xml:space="preserve"> </w:t>
      </w:r>
      <w:r>
        <w:t>en</w:t>
      </w:r>
      <w:r>
        <w:rPr>
          <w:spacing w:val="40"/>
        </w:rPr>
        <w:t xml:space="preserve"> </w:t>
      </w:r>
      <w:r>
        <w:t>falsedad</w:t>
      </w:r>
      <w:r>
        <w:rPr>
          <w:spacing w:val="40"/>
        </w:rPr>
        <w:t xml:space="preserve"> </w:t>
      </w:r>
      <w:r>
        <w:t>al</w:t>
      </w:r>
      <w:r>
        <w:rPr>
          <w:spacing w:val="40"/>
        </w:rPr>
        <w:t xml:space="preserve"> </w:t>
      </w:r>
      <w:r>
        <w:t>efectuar</w:t>
      </w:r>
      <w:r>
        <w:rPr>
          <w:spacing w:val="40"/>
        </w:rPr>
        <w:t xml:space="preserve"> </w:t>
      </w:r>
      <w:r>
        <w:t>la</w:t>
      </w:r>
      <w:r>
        <w:rPr>
          <w:spacing w:val="40"/>
        </w:rPr>
        <w:t xml:space="preserve"> </w:t>
      </w:r>
      <w:r>
        <w:t>declaración</w:t>
      </w:r>
      <w:r>
        <w:rPr>
          <w:spacing w:val="40"/>
        </w:rPr>
        <w:t xml:space="preserve"> </w:t>
      </w:r>
      <w:r>
        <w:t>responsable</w:t>
      </w:r>
      <w:r>
        <w:rPr>
          <w:spacing w:val="40"/>
        </w:rPr>
        <w:t xml:space="preserve"> </w:t>
      </w:r>
      <w:r>
        <w:t>del artículo 140 o al facilitar otros datos relativos a su capacidad y solvencia, la prohibición de contratar afectará al ámbito del órgano de contratación competente para su declaración.</w:t>
      </w:r>
    </w:p>
    <w:p w:rsidR="0092635B" w:rsidRDefault="00000000">
      <w:pPr>
        <w:pStyle w:val="Textoindependiente"/>
        <w:spacing w:line="249" w:lineRule="auto"/>
        <w:ind w:right="1104"/>
      </w:pPr>
      <w:r>
        <w:t>Dicha prohibición se podrá extender al correspondiente sector público en el que se integre el órgano de contratación. En el caso del sector público estatal, la extensión de efectos corresponderá al Ministro de Hacienda y Función Pública, previa propuesta de la Junta Consultiva de Contratación Pública del Estado.</w:t>
      </w:r>
    </w:p>
    <w:p w:rsidR="0092635B" w:rsidRDefault="00000000">
      <w:pPr>
        <w:pStyle w:val="Textoindependiente"/>
        <w:spacing w:before="3" w:line="249" w:lineRule="auto"/>
        <w:ind w:right="1104"/>
      </w:pPr>
      <w:r>
        <w:t>En los supuestos en que, de conformidad con lo establecido en el primer párrafo del apartado</w:t>
      </w:r>
      <w:r>
        <w:rPr>
          <w:spacing w:val="40"/>
        </w:rPr>
        <w:t xml:space="preserve"> </w:t>
      </w:r>
      <w:r>
        <w:t>tercero</w:t>
      </w:r>
      <w:r>
        <w:rPr>
          <w:spacing w:val="40"/>
        </w:rPr>
        <w:t xml:space="preserve"> </w:t>
      </w:r>
      <w:r>
        <w:t>del</w:t>
      </w:r>
      <w:r>
        <w:rPr>
          <w:spacing w:val="40"/>
        </w:rPr>
        <w:t xml:space="preserve"> </w:t>
      </w:r>
      <w:r>
        <w:t>artículo</w:t>
      </w:r>
      <w:r>
        <w:rPr>
          <w:spacing w:val="40"/>
        </w:rPr>
        <w:t xml:space="preserve"> </w:t>
      </w:r>
      <w:r>
        <w:t>anterior</w:t>
      </w:r>
      <w:r>
        <w:rPr>
          <w:spacing w:val="40"/>
        </w:rPr>
        <w:t xml:space="preserve"> </w:t>
      </w:r>
      <w:r>
        <w:t>respecto</w:t>
      </w:r>
      <w:r>
        <w:rPr>
          <w:spacing w:val="40"/>
        </w:rPr>
        <w:t xml:space="preserve"> </w:t>
      </w:r>
      <w:r>
        <w:t>a</w:t>
      </w:r>
      <w:r>
        <w:rPr>
          <w:spacing w:val="40"/>
        </w:rPr>
        <w:t xml:space="preserve"> </w:t>
      </w:r>
      <w:r>
        <w:t>la</w:t>
      </w:r>
      <w:r>
        <w:rPr>
          <w:spacing w:val="40"/>
        </w:rPr>
        <w:t xml:space="preserve"> </w:t>
      </w:r>
      <w:r>
        <w:t>letra</w:t>
      </w:r>
      <w:r>
        <w:rPr>
          <w:spacing w:val="40"/>
        </w:rPr>
        <w:t xml:space="preserve"> </w:t>
      </w:r>
      <w:r>
        <w:t>e)</w:t>
      </w:r>
      <w:r>
        <w:rPr>
          <w:spacing w:val="40"/>
        </w:rPr>
        <w:t xml:space="preserve"> </w:t>
      </w:r>
      <w:r>
        <w:t>del</w:t>
      </w:r>
      <w:r>
        <w:rPr>
          <w:spacing w:val="40"/>
        </w:rPr>
        <w:t xml:space="preserve"> </w:t>
      </w:r>
      <w:r>
        <w:t>apartado</w:t>
      </w:r>
      <w:r>
        <w:rPr>
          <w:spacing w:val="40"/>
        </w:rPr>
        <w:t xml:space="preserve"> </w:t>
      </w:r>
      <w:r>
        <w:t>primero</w:t>
      </w:r>
      <w:r>
        <w:rPr>
          <w:spacing w:val="40"/>
        </w:rPr>
        <w:t xml:space="preserve"> </w:t>
      </w:r>
      <w:r>
        <w:t>del artículo 71, la competencia para la declaración de la prohibición de contratar corresponda a los órganos que resulten competentes en el ámbito de las Comunidades Autónomas, la citada prohibición de contratar afectará a todos los órganos de contratación del correspondiente sector público.</w:t>
      </w:r>
    </w:p>
    <w:p w:rsidR="0092635B" w:rsidRDefault="00000000">
      <w:pPr>
        <w:pStyle w:val="Textoindependiente"/>
        <w:spacing w:before="5" w:line="249" w:lineRule="auto"/>
        <w:ind w:right="1103"/>
      </w:pPr>
      <w:r>
        <w:t>Excepcionalmente, y siempre que previamente se hayan extendido al correspondiente sector</w:t>
      </w:r>
      <w:r>
        <w:rPr>
          <w:spacing w:val="-1"/>
        </w:rPr>
        <w:t xml:space="preserve"> </w:t>
      </w:r>
      <w:r>
        <w:t>público</w:t>
      </w:r>
      <w:r>
        <w:rPr>
          <w:spacing w:val="-1"/>
        </w:rPr>
        <w:t xml:space="preserve"> </w:t>
      </w:r>
      <w:r>
        <w:t>territorial,</w:t>
      </w:r>
      <w:r>
        <w:rPr>
          <w:spacing w:val="-2"/>
        </w:rPr>
        <w:t xml:space="preserve"> </w:t>
      </w:r>
      <w:r>
        <w:t>los</w:t>
      </w:r>
      <w:r>
        <w:rPr>
          <w:spacing w:val="-1"/>
        </w:rPr>
        <w:t xml:space="preserve"> </w:t>
      </w:r>
      <w:r>
        <w:t>efectos</w:t>
      </w:r>
      <w:r>
        <w:rPr>
          <w:spacing w:val="-1"/>
        </w:rPr>
        <w:t xml:space="preserve"> </w:t>
      </w:r>
      <w:r>
        <w:t>de</w:t>
      </w:r>
      <w:r>
        <w:rPr>
          <w:spacing w:val="-2"/>
        </w:rPr>
        <w:t xml:space="preserve"> </w:t>
      </w:r>
      <w:r>
        <w:t>las</w:t>
      </w:r>
      <w:r>
        <w:rPr>
          <w:spacing w:val="-1"/>
        </w:rPr>
        <w:t xml:space="preserve"> </w:t>
      </w:r>
      <w:r>
        <w:t>prohibiciones</w:t>
      </w:r>
      <w:r>
        <w:rPr>
          <w:spacing w:val="-1"/>
        </w:rPr>
        <w:t xml:space="preserve"> </w:t>
      </w:r>
      <w:r>
        <w:t>de</w:t>
      </w:r>
      <w:r>
        <w:rPr>
          <w:spacing w:val="-2"/>
        </w:rPr>
        <w:t xml:space="preserve"> </w:t>
      </w:r>
      <w:r>
        <w:t>contratar</w:t>
      </w:r>
      <w:r>
        <w:rPr>
          <w:spacing w:val="-1"/>
        </w:rPr>
        <w:t xml:space="preserve"> </w:t>
      </w:r>
      <w:r>
        <w:t>a</w:t>
      </w:r>
      <w:r>
        <w:rPr>
          <w:spacing w:val="-1"/>
        </w:rPr>
        <w:t xml:space="preserve"> </w:t>
      </w:r>
      <w:r>
        <w:t>las</w:t>
      </w:r>
      <w:r>
        <w:rPr>
          <w:spacing w:val="-2"/>
        </w:rPr>
        <w:t xml:space="preserve"> </w:t>
      </w:r>
      <w:r>
        <w:t>que</w:t>
      </w:r>
      <w:r>
        <w:rPr>
          <w:spacing w:val="-1"/>
        </w:rPr>
        <w:t xml:space="preserve"> </w:t>
      </w:r>
      <w:r>
        <w:t>se</w:t>
      </w:r>
      <w:r>
        <w:rPr>
          <w:spacing w:val="-1"/>
        </w:rPr>
        <w:t xml:space="preserve"> </w:t>
      </w:r>
      <w:r>
        <w:t>refieren</w:t>
      </w:r>
      <w:r>
        <w:rPr>
          <w:spacing w:val="-2"/>
        </w:rPr>
        <w:t xml:space="preserve"> </w:t>
      </w:r>
      <w:r>
        <w:t>los párrafos anteriores se podrán extender al conjunto del sector público. Dicha extensión de efectos a todo el sector público se realizará por el Ministro de Hacienda y Función Pública, previa propuesta de la Junta Consultiva de Contratación Pública del Estado, y a solicitud de la Comunidad Autónoma o Entidad Local correspondiente en los casos en que la prohibición de contratar provenga de tales ámbitos.</w:t>
      </w:r>
    </w:p>
    <w:p w:rsidR="0092635B" w:rsidRDefault="00000000">
      <w:pPr>
        <w:pStyle w:val="Textoindependiente"/>
        <w:spacing w:before="6" w:line="249" w:lineRule="auto"/>
        <w:ind w:right="1104"/>
      </w:pPr>
      <w:r>
        <w:t>En los casos en que la competencia para declarar la prohibición de contratar</w:t>
      </w:r>
      <w:r>
        <w:rPr>
          <w:spacing w:val="40"/>
        </w:rPr>
        <w:t xml:space="preserve"> </w:t>
      </w:r>
      <w:r>
        <w:t>corresponda al Ministro de Hacienda y Función Pública, la misma producirá efectos en todo el sector público.</w:t>
      </w:r>
    </w:p>
    <w:p w:rsidR="0092635B" w:rsidRDefault="00000000">
      <w:pPr>
        <w:pStyle w:val="Prrafodelista"/>
        <w:numPr>
          <w:ilvl w:val="0"/>
          <w:numId w:val="288"/>
        </w:numPr>
        <w:tabs>
          <w:tab w:val="left" w:pos="1708"/>
        </w:tabs>
        <w:spacing w:before="3" w:line="249" w:lineRule="auto"/>
        <w:ind w:right="1105" w:firstLine="340"/>
        <w:jc w:val="both"/>
        <w:rPr>
          <w:sz w:val="20"/>
        </w:rPr>
      </w:pPr>
      <w:r>
        <w:rPr>
          <w:sz w:val="20"/>
        </w:rPr>
        <w:t>Todas las prohibiciones de contratar, salvo aquellas en que se den alguna de las circunstancias previstas en las letras c), d), g) y h) del apartado primero del artículo 71, una vez</w:t>
      </w:r>
      <w:r>
        <w:rPr>
          <w:spacing w:val="-2"/>
          <w:sz w:val="20"/>
        </w:rPr>
        <w:t xml:space="preserve"> </w:t>
      </w:r>
      <w:r>
        <w:rPr>
          <w:sz w:val="20"/>
        </w:rPr>
        <w:t>adoptada</w:t>
      </w:r>
      <w:r>
        <w:rPr>
          <w:spacing w:val="-2"/>
          <w:sz w:val="20"/>
        </w:rPr>
        <w:t xml:space="preserve"> </w:t>
      </w:r>
      <w:r>
        <w:rPr>
          <w:sz w:val="20"/>
        </w:rPr>
        <w:t>la</w:t>
      </w:r>
      <w:r>
        <w:rPr>
          <w:spacing w:val="-2"/>
          <w:sz w:val="20"/>
        </w:rPr>
        <w:t xml:space="preserve"> </w:t>
      </w:r>
      <w:r>
        <w:rPr>
          <w:sz w:val="20"/>
        </w:rPr>
        <w:t>resolución</w:t>
      </w:r>
      <w:r>
        <w:rPr>
          <w:spacing w:val="-2"/>
          <w:sz w:val="20"/>
        </w:rPr>
        <w:t xml:space="preserve"> </w:t>
      </w:r>
      <w:r>
        <w:rPr>
          <w:sz w:val="20"/>
        </w:rPr>
        <w:t>correspondiente,</w:t>
      </w:r>
      <w:r>
        <w:rPr>
          <w:spacing w:val="-2"/>
          <w:sz w:val="20"/>
        </w:rPr>
        <w:t xml:space="preserve"> </w:t>
      </w:r>
      <w:r>
        <w:rPr>
          <w:sz w:val="20"/>
        </w:rPr>
        <w:t>se</w:t>
      </w:r>
      <w:r>
        <w:rPr>
          <w:spacing w:val="-2"/>
          <w:sz w:val="20"/>
        </w:rPr>
        <w:t xml:space="preserve"> </w:t>
      </w:r>
      <w:r>
        <w:rPr>
          <w:sz w:val="20"/>
        </w:rPr>
        <w:t>comunicará</w:t>
      </w:r>
      <w:r>
        <w:rPr>
          <w:spacing w:val="-2"/>
          <w:sz w:val="20"/>
        </w:rPr>
        <w:t xml:space="preserve"> </w:t>
      </w:r>
      <w:r>
        <w:rPr>
          <w:sz w:val="20"/>
        </w:rPr>
        <w:t>sin</w:t>
      </w:r>
      <w:r>
        <w:rPr>
          <w:spacing w:val="-2"/>
          <w:sz w:val="20"/>
        </w:rPr>
        <w:t xml:space="preserve"> </w:t>
      </w:r>
      <w:r>
        <w:rPr>
          <w:sz w:val="20"/>
        </w:rPr>
        <w:t>dilación</w:t>
      </w:r>
      <w:r>
        <w:rPr>
          <w:spacing w:val="-2"/>
          <w:sz w:val="20"/>
        </w:rPr>
        <w:t xml:space="preserve"> </w:t>
      </w:r>
      <w:r>
        <w:rPr>
          <w:sz w:val="20"/>
        </w:rPr>
        <w:t>para</w:t>
      </w:r>
      <w:r>
        <w:rPr>
          <w:spacing w:val="-2"/>
          <w:sz w:val="20"/>
        </w:rPr>
        <w:t xml:space="preserve"> </w:t>
      </w:r>
      <w:r>
        <w:rPr>
          <w:sz w:val="20"/>
        </w:rPr>
        <w:t>su</w:t>
      </w:r>
      <w:r>
        <w:rPr>
          <w:spacing w:val="-2"/>
          <w:sz w:val="20"/>
        </w:rPr>
        <w:t xml:space="preserve"> </w:t>
      </w:r>
      <w:r>
        <w:rPr>
          <w:sz w:val="20"/>
        </w:rPr>
        <w:t>inscripción</w:t>
      </w:r>
      <w:r>
        <w:rPr>
          <w:spacing w:val="-2"/>
          <w:sz w:val="20"/>
        </w:rPr>
        <w:t xml:space="preserve"> </w:t>
      </w:r>
      <w:r>
        <w:rPr>
          <w:sz w:val="20"/>
        </w:rPr>
        <w:t>al Registro Oficial de Licitadores y Empresas Clasificadas del Sector Público o el equivalente</w:t>
      </w:r>
      <w:r>
        <w:rPr>
          <w:spacing w:val="40"/>
          <w:sz w:val="20"/>
        </w:rPr>
        <w:t xml:space="preserve"> </w:t>
      </w:r>
      <w:r>
        <w:rPr>
          <w:sz w:val="20"/>
        </w:rPr>
        <w:t>en el ámbito de las Comunidades Autónomas, en función del ámbito de la prohibición de contratar y del órgano que la haya declarado.</w:t>
      </w:r>
    </w:p>
    <w:p w:rsidR="0092635B" w:rsidRDefault="00000000">
      <w:pPr>
        <w:pStyle w:val="Textoindependiente"/>
        <w:spacing w:before="4" w:line="249" w:lineRule="auto"/>
        <w:ind w:right="1103"/>
      </w:pPr>
      <w:r>
        <w:t>Los órganos de contratación del ámbito de las Comunidades Autónomas, de las Ciudades Autónomas de Ceuta y Melilla o de las entidades locales situadas en su territorio notificarán la prohibición de contratar a los Registros de Licitadores de las Comunidades Autónomas correspondientes, o si no existieran, al Registro Oficial de Licitadores y</w:t>
      </w:r>
      <w:r>
        <w:rPr>
          <w:spacing w:val="40"/>
        </w:rPr>
        <w:t xml:space="preserve"> </w:t>
      </w:r>
      <w:r>
        <w:t>Empresas Clasificadas del Sector Público.</w:t>
      </w:r>
    </w:p>
    <w:p w:rsidR="0092635B" w:rsidRDefault="00000000">
      <w:pPr>
        <w:pStyle w:val="Textoindependiente"/>
        <w:spacing w:before="5" w:line="249" w:lineRule="auto"/>
        <w:ind w:right="1104"/>
      </w:pPr>
      <w:r>
        <w:t>La inscripción de la prohibición de contratar en el Registro de Licitadores</w:t>
      </w:r>
      <w:r>
        <w:rPr>
          <w:spacing w:val="80"/>
        </w:rPr>
        <w:t xml:space="preserve"> </w:t>
      </w:r>
      <w:r>
        <w:t>correspondiente caducará pasados 3 meses desde que termine su duración, debiendo procederse de oficio a su cancelación en dicho Registro tras el citado plazo.</w:t>
      </w:r>
    </w:p>
    <w:p w:rsidR="0092635B" w:rsidRDefault="00000000">
      <w:pPr>
        <w:pStyle w:val="Prrafodelista"/>
        <w:numPr>
          <w:ilvl w:val="0"/>
          <w:numId w:val="288"/>
        </w:numPr>
        <w:tabs>
          <w:tab w:val="left" w:pos="1673"/>
        </w:tabs>
        <w:spacing w:line="249" w:lineRule="auto"/>
        <w:ind w:firstLine="340"/>
        <w:jc w:val="both"/>
        <w:rPr>
          <w:sz w:val="20"/>
        </w:rPr>
      </w:pPr>
      <w:r>
        <w:rPr>
          <w:sz w:val="20"/>
        </w:rPr>
        <w:t>Las prohibiciones de contratar contempladas en las letras a) y b) del apartado primero del artículo 71 producirán efectos desde la fecha en que devinieron firmes la sentencia o la resolución administrativa en los casos en que aquella o esta se hubieran pronunciado sobre el alcance y la duración de la prohibición.</w:t>
      </w:r>
    </w:p>
    <w:p w:rsidR="0092635B" w:rsidRDefault="00000000">
      <w:pPr>
        <w:pStyle w:val="Textoindependiente"/>
        <w:spacing w:before="3" w:line="249" w:lineRule="auto"/>
        <w:ind w:right="1105"/>
      </w:pPr>
      <w:r>
        <w:t>En el resto de supuestos, los efectos se producirán desde la fecha de inscripción en el registro correspondiente.</w:t>
      </w:r>
    </w:p>
    <w:p w:rsidR="0092635B" w:rsidRDefault="00000000">
      <w:pPr>
        <w:pStyle w:val="Textoindependiente"/>
        <w:spacing w:line="249" w:lineRule="auto"/>
        <w:ind w:right="1103"/>
      </w:pPr>
      <w:r>
        <w:t>No obstante lo anterior, en los supuestos previstos en las letras a) y b) del apartado primero del artículo 71 en los casos en que los efectos de la prohibición de contratar se produzcan</w:t>
      </w:r>
      <w:r>
        <w:rPr>
          <w:spacing w:val="-2"/>
        </w:rPr>
        <w:t xml:space="preserve"> </w:t>
      </w:r>
      <w:r>
        <w:t>desde</w:t>
      </w:r>
      <w:r>
        <w:rPr>
          <w:spacing w:val="-2"/>
        </w:rPr>
        <w:t xml:space="preserve"> </w:t>
      </w:r>
      <w:r>
        <w:t>la</w:t>
      </w:r>
      <w:r>
        <w:rPr>
          <w:spacing w:val="-2"/>
        </w:rPr>
        <w:t xml:space="preserve"> </w:t>
      </w:r>
      <w:r>
        <w:t>inscripción</w:t>
      </w:r>
      <w:r>
        <w:rPr>
          <w:spacing w:val="-2"/>
        </w:rPr>
        <w:t xml:space="preserve"> </w:t>
      </w:r>
      <w:r>
        <w:t>en</w:t>
      </w:r>
      <w:r>
        <w:rPr>
          <w:spacing w:val="-2"/>
        </w:rPr>
        <w:t xml:space="preserve"> </w:t>
      </w:r>
      <w:r>
        <w:t>el</w:t>
      </w:r>
      <w:r>
        <w:rPr>
          <w:spacing w:val="-2"/>
        </w:rPr>
        <w:t xml:space="preserve"> </w:t>
      </w:r>
      <w:r>
        <w:t>correspondiente</w:t>
      </w:r>
      <w:r>
        <w:rPr>
          <w:spacing w:val="-2"/>
        </w:rPr>
        <w:t xml:space="preserve"> </w:t>
      </w:r>
      <w:r>
        <w:t>registro,</w:t>
      </w:r>
      <w:r>
        <w:rPr>
          <w:spacing w:val="-2"/>
        </w:rPr>
        <w:t xml:space="preserve"> </w:t>
      </w:r>
      <w:r>
        <w:t>podrán</w:t>
      </w:r>
      <w:r>
        <w:rPr>
          <w:spacing w:val="-2"/>
        </w:rPr>
        <w:t xml:space="preserve"> </w:t>
      </w:r>
      <w:r>
        <w:t>adoptarse,</w:t>
      </w:r>
      <w:r>
        <w:rPr>
          <w:spacing w:val="-2"/>
        </w:rPr>
        <w:t xml:space="preserve"> </w:t>
      </w:r>
      <w:r>
        <w:t>en</w:t>
      </w:r>
      <w:r>
        <w:rPr>
          <w:spacing w:val="-2"/>
        </w:rPr>
        <w:t xml:space="preserve"> </w:t>
      </w:r>
      <w:r>
        <w:t>su</w:t>
      </w:r>
      <w:r>
        <w:rPr>
          <w:spacing w:val="-2"/>
        </w:rPr>
        <w:t xml:space="preserve"> </w:t>
      </w:r>
      <w:r>
        <w:t>caso, por parte del órgano competente para resolver el procedimiento de determinación del</w:t>
      </w:r>
      <w:r>
        <w:rPr>
          <w:spacing w:val="40"/>
        </w:rPr>
        <w:t xml:space="preserve"> </w:t>
      </w:r>
      <w:r>
        <w:t xml:space="preserve">alcance y duración de la prohibición, de oficio, o a instancia de parte, las medidas provisionales que estime oportunas para asegurar la eficacia de la resolución que pudiera </w:t>
      </w:r>
      <w:r>
        <w:rPr>
          <w:spacing w:val="-2"/>
        </w:rPr>
        <w:t>adoptarse.</w:t>
      </w:r>
    </w:p>
    <w:p w:rsidR="0092635B" w:rsidRDefault="00000000">
      <w:pPr>
        <w:pStyle w:val="Prrafodelista"/>
        <w:numPr>
          <w:ilvl w:val="0"/>
          <w:numId w:val="288"/>
        </w:numPr>
        <w:tabs>
          <w:tab w:val="left" w:pos="1682"/>
        </w:tabs>
        <w:spacing w:before="6" w:line="249" w:lineRule="auto"/>
        <w:ind w:right="1105" w:firstLine="340"/>
        <w:jc w:val="both"/>
        <w:rPr>
          <w:sz w:val="20"/>
        </w:rPr>
      </w:pPr>
      <w:r>
        <w:rPr>
          <w:sz w:val="20"/>
        </w:rPr>
        <w:t>Las prohibiciones de contratar cuya causa fuera la prevista en la letra f) del apartado primero del artículo 71, producirán efectos respecto de las Administraciones Públicas que se establezcan en la resolución sancionadora que las impuso, desde la fecha en que esta devino firme.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117" w:name="_bookmark22"/>
      <w:bookmarkEnd w:id="117"/>
      <w:r>
        <w:t>Subsección</w:t>
      </w:r>
      <w:r>
        <w:rPr>
          <w:spacing w:val="-6"/>
        </w:rPr>
        <w:t xml:space="preserve"> </w:t>
      </w:r>
      <w:r>
        <w:t>3.ª</w:t>
      </w:r>
      <w:r>
        <w:rPr>
          <w:spacing w:val="-5"/>
        </w:rPr>
        <w:t xml:space="preserve"> </w:t>
      </w:r>
      <w:r>
        <w:rPr>
          <w:spacing w:val="-2"/>
        </w:rPr>
        <w:t>Solvencia</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118" w:name="Artículo_74._Exigencia_de_solvencia."/>
      <w:bookmarkEnd w:id="118"/>
      <w:r>
        <w:rPr>
          <w:rFonts w:ascii="Arial" w:hAnsi="Arial"/>
          <w:b/>
          <w:sz w:val="20"/>
        </w:rPr>
        <w:t>Artículo</w:t>
      </w:r>
      <w:r>
        <w:rPr>
          <w:rFonts w:ascii="Arial" w:hAnsi="Arial"/>
          <w:b/>
          <w:spacing w:val="-2"/>
          <w:sz w:val="20"/>
        </w:rPr>
        <w:t xml:space="preserve"> </w:t>
      </w:r>
      <w:r>
        <w:rPr>
          <w:rFonts w:ascii="Arial" w:hAnsi="Arial"/>
          <w:b/>
          <w:sz w:val="20"/>
        </w:rPr>
        <w:t>74.</w:t>
      </w:r>
      <w:r>
        <w:rPr>
          <w:rFonts w:ascii="Arial" w:hAnsi="Arial"/>
          <w:b/>
          <w:spacing w:val="50"/>
          <w:sz w:val="20"/>
        </w:rPr>
        <w:t xml:space="preserve"> </w:t>
      </w:r>
      <w:r>
        <w:rPr>
          <w:rFonts w:ascii="Arial" w:hAnsi="Arial"/>
          <w:i/>
          <w:sz w:val="20"/>
        </w:rPr>
        <w:t>Exigencia</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solvencia.</w:t>
      </w:r>
    </w:p>
    <w:p w:rsidR="0092635B" w:rsidRDefault="00000000">
      <w:pPr>
        <w:pStyle w:val="Prrafodelista"/>
        <w:numPr>
          <w:ilvl w:val="0"/>
          <w:numId w:val="287"/>
        </w:numPr>
        <w:tabs>
          <w:tab w:val="left" w:pos="1681"/>
        </w:tabs>
        <w:spacing w:before="124" w:line="249" w:lineRule="auto"/>
        <w:ind w:right="1104" w:firstLine="340"/>
        <w:jc w:val="both"/>
        <w:rPr>
          <w:sz w:val="20"/>
        </w:rPr>
      </w:pPr>
      <w:r>
        <w:rPr>
          <w:sz w:val="20"/>
        </w:rPr>
        <w:t>Para celebrar contratos con el sector público los empresarios deberán acreditar estar en posesión de las condiciones mínimas de solvencia económica y financiera y profesional o técnica que se determinen por el órgano de contratación. Este requisito será sustituido por el de la clasificación, cuando esta sea exigible conforme a lo dispuesto en esta Ley.</w:t>
      </w:r>
    </w:p>
    <w:p w:rsidR="0092635B" w:rsidRDefault="00000000">
      <w:pPr>
        <w:pStyle w:val="Prrafodelista"/>
        <w:numPr>
          <w:ilvl w:val="0"/>
          <w:numId w:val="287"/>
        </w:numPr>
        <w:tabs>
          <w:tab w:val="left" w:pos="1785"/>
        </w:tabs>
        <w:spacing w:before="3" w:line="249" w:lineRule="auto"/>
        <w:ind w:right="1104" w:firstLine="340"/>
        <w:jc w:val="both"/>
        <w:rPr>
          <w:sz w:val="20"/>
        </w:rPr>
      </w:pPr>
      <w:r>
        <w:rPr>
          <w:sz w:val="20"/>
        </w:rPr>
        <w:t>Los requisitos mínimos de solvencia que deba reunir el empresario y la documentación requerida para acreditar los mismos se indicarán en el anuncio de licitación y se especificarán en el pliego del contrato, debiendo estar vinculados a su objeto y ser proporcionales al mismo.</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119" w:name="Artículo_75._Integración_de_la_solvencia"/>
      <w:bookmarkEnd w:id="119"/>
      <w:r>
        <w:rPr>
          <w:rFonts w:ascii="Arial" w:hAnsi="Arial"/>
          <w:b/>
          <w:sz w:val="20"/>
        </w:rPr>
        <w:t>Artículo</w:t>
      </w:r>
      <w:r>
        <w:rPr>
          <w:rFonts w:ascii="Arial" w:hAnsi="Arial"/>
          <w:b/>
          <w:spacing w:val="-3"/>
          <w:sz w:val="20"/>
        </w:rPr>
        <w:t xml:space="preserve"> </w:t>
      </w:r>
      <w:r>
        <w:rPr>
          <w:rFonts w:ascii="Arial" w:hAnsi="Arial"/>
          <w:b/>
          <w:sz w:val="20"/>
        </w:rPr>
        <w:t>75.</w:t>
      </w:r>
      <w:r>
        <w:rPr>
          <w:rFonts w:ascii="Arial" w:hAnsi="Arial"/>
          <w:b/>
          <w:spacing w:val="49"/>
          <w:sz w:val="20"/>
        </w:rPr>
        <w:t xml:space="preserve"> </w:t>
      </w:r>
      <w:r>
        <w:rPr>
          <w:rFonts w:ascii="Arial" w:hAnsi="Arial"/>
          <w:i/>
          <w:sz w:val="20"/>
        </w:rPr>
        <w:t>Integración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solvencia</w:t>
      </w:r>
      <w:r>
        <w:rPr>
          <w:rFonts w:ascii="Arial" w:hAnsi="Arial"/>
          <w:i/>
          <w:spacing w:val="-3"/>
          <w:sz w:val="20"/>
        </w:rPr>
        <w:t xml:space="preserve"> </w:t>
      </w:r>
      <w:r>
        <w:rPr>
          <w:rFonts w:ascii="Arial" w:hAnsi="Arial"/>
          <w:i/>
          <w:sz w:val="20"/>
        </w:rPr>
        <w:t>con</w:t>
      </w:r>
      <w:r>
        <w:rPr>
          <w:rFonts w:ascii="Arial" w:hAnsi="Arial"/>
          <w:i/>
          <w:spacing w:val="-2"/>
          <w:sz w:val="20"/>
        </w:rPr>
        <w:t xml:space="preserve"> </w:t>
      </w:r>
      <w:r>
        <w:rPr>
          <w:rFonts w:ascii="Arial" w:hAnsi="Arial"/>
          <w:i/>
          <w:sz w:val="20"/>
        </w:rPr>
        <w:t>medios</w:t>
      </w:r>
      <w:r>
        <w:rPr>
          <w:rFonts w:ascii="Arial" w:hAnsi="Arial"/>
          <w:i/>
          <w:spacing w:val="-2"/>
          <w:sz w:val="20"/>
        </w:rPr>
        <w:t xml:space="preserve"> externos.</w:t>
      </w:r>
    </w:p>
    <w:p w:rsidR="0092635B" w:rsidRDefault="00000000">
      <w:pPr>
        <w:pStyle w:val="Prrafodelista"/>
        <w:numPr>
          <w:ilvl w:val="0"/>
          <w:numId w:val="286"/>
        </w:numPr>
        <w:tabs>
          <w:tab w:val="left" w:pos="1732"/>
        </w:tabs>
        <w:spacing w:before="124" w:line="249" w:lineRule="auto"/>
        <w:ind w:right="1104" w:firstLine="340"/>
        <w:jc w:val="both"/>
        <w:rPr>
          <w:sz w:val="20"/>
        </w:rPr>
      </w:pPr>
      <w:r>
        <w:rPr>
          <w:sz w:val="20"/>
        </w:rPr>
        <w:t xml:space="preserve">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w:t>
      </w:r>
      <w:r>
        <w:rPr>
          <w:spacing w:val="-2"/>
          <w:sz w:val="20"/>
        </w:rPr>
        <w:t>contratar.</w:t>
      </w:r>
    </w:p>
    <w:p w:rsidR="0092635B" w:rsidRDefault="00000000">
      <w:pPr>
        <w:pStyle w:val="Textoindependiente"/>
        <w:spacing w:before="5" w:line="249" w:lineRule="auto"/>
        <w:ind w:right="1104"/>
      </w:pPr>
      <w:r>
        <w:t>En las mismas condiciones, los empresarios que concurran agrupados en las uniones temporales a que se refiere el artículo 69, podrán recurrir a las capacidades de entidades ajenas a la unión temporal.</w:t>
      </w:r>
    </w:p>
    <w:p w:rsidR="0092635B" w:rsidRDefault="00000000">
      <w:pPr>
        <w:pStyle w:val="Textoindependiente"/>
        <w:spacing w:line="249" w:lineRule="auto"/>
        <w:ind w:right="1103"/>
      </w:pPr>
      <w:r>
        <w:t>No</w:t>
      </w:r>
      <w:r>
        <w:rPr>
          <w:spacing w:val="-1"/>
        </w:rPr>
        <w:t xml:space="preserve"> </w:t>
      </w:r>
      <w:r>
        <w:t>obstante,</w:t>
      </w:r>
      <w:r>
        <w:rPr>
          <w:spacing w:val="-1"/>
        </w:rPr>
        <w:t xml:space="preserve"> </w:t>
      </w:r>
      <w:r>
        <w:t>con</w:t>
      </w:r>
      <w:r>
        <w:rPr>
          <w:spacing w:val="-1"/>
        </w:rPr>
        <w:t xml:space="preserve"> </w:t>
      </w:r>
      <w:r>
        <w:t>respecto</w:t>
      </w:r>
      <w:r>
        <w:rPr>
          <w:spacing w:val="-1"/>
        </w:rPr>
        <w:t xml:space="preserve"> </w:t>
      </w:r>
      <w:r>
        <w:t>a</w:t>
      </w:r>
      <w:r>
        <w:rPr>
          <w:spacing w:val="-1"/>
        </w:rPr>
        <w:t xml:space="preserve"> </w:t>
      </w:r>
      <w:r>
        <w:t>los</w:t>
      </w:r>
      <w:r>
        <w:rPr>
          <w:spacing w:val="-1"/>
        </w:rPr>
        <w:t xml:space="preserve"> </w:t>
      </w:r>
      <w:r>
        <w:t>criterios</w:t>
      </w:r>
      <w:r>
        <w:rPr>
          <w:spacing w:val="-1"/>
        </w:rPr>
        <w:t xml:space="preserve"> </w:t>
      </w:r>
      <w:r>
        <w:t>relativos</w:t>
      </w:r>
      <w:r>
        <w:rPr>
          <w:spacing w:val="-1"/>
        </w:rPr>
        <w:t xml:space="preserve"> </w:t>
      </w:r>
      <w:r>
        <w:t>a</w:t>
      </w:r>
      <w:r>
        <w:rPr>
          <w:spacing w:val="-1"/>
        </w:rPr>
        <w:t xml:space="preserve"> </w:t>
      </w:r>
      <w:r>
        <w:t>los</w:t>
      </w:r>
      <w:r>
        <w:rPr>
          <w:spacing w:val="-1"/>
        </w:rPr>
        <w:t xml:space="preserve"> </w:t>
      </w:r>
      <w:r>
        <w:t>títulos</w:t>
      </w:r>
      <w:r>
        <w:rPr>
          <w:spacing w:val="-1"/>
        </w:rPr>
        <w:t xml:space="preserve"> </w:t>
      </w:r>
      <w:r>
        <w:t>de</w:t>
      </w:r>
      <w:r>
        <w:rPr>
          <w:spacing w:val="-1"/>
        </w:rPr>
        <w:t xml:space="preserve"> </w:t>
      </w:r>
      <w:r>
        <w:t>estudios</w:t>
      </w:r>
      <w:r>
        <w:rPr>
          <w:spacing w:val="-1"/>
        </w:rPr>
        <w:t xml:space="preserve"> </w:t>
      </w:r>
      <w:r>
        <w:t>y</w:t>
      </w:r>
      <w:r>
        <w:rPr>
          <w:spacing w:val="-1"/>
        </w:rPr>
        <w:t xml:space="preserve"> </w:t>
      </w:r>
      <w:r>
        <w:t>profesionales que se indican en el artículo 90.1.e), o a la experiencia profesional pertinente, las empresas únicamente podrán recurrir a las capacidades de otras entidades si estas van a ejecutar las obras o prestar servicios para los cuales son necesarias dichas capacidades.</w:t>
      </w:r>
    </w:p>
    <w:p w:rsidR="0092635B" w:rsidRDefault="00000000">
      <w:pPr>
        <w:pStyle w:val="Prrafodelista"/>
        <w:numPr>
          <w:ilvl w:val="0"/>
          <w:numId w:val="286"/>
        </w:numPr>
        <w:tabs>
          <w:tab w:val="left" w:pos="1669"/>
        </w:tabs>
        <w:spacing w:before="3" w:line="249" w:lineRule="auto"/>
        <w:ind w:right="1104" w:firstLine="340"/>
        <w:jc w:val="both"/>
        <w:rPr>
          <w:sz w:val="20"/>
        </w:rPr>
      </w:pPr>
      <w:r>
        <w:rPr>
          <w:sz w:val="20"/>
        </w:rPr>
        <w:t>Cuando</w:t>
      </w:r>
      <w:r>
        <w:rPr>
          <w:spacing w:val="-2"/>
          <w:sz w:val="20"/>
        </w:rPr>
        <w:t xml:space="preserve"> </w:t>
      </w:r>
      <w:r>
        <w:rPr>
          <w:sz w:val="20"/>
        </w:rPr>
        <w:t>una</w:t>
      </w:r>
      <w:r>
        <w:rPr>
          <w:spacing w:val="-2"/>
          <w:sz w:val="20"/>
        </w:rPr>
        <w:t xml:space="preserve"> </w:t>
      </w:r>
      <w:r>
        <w:rPr>
          <w:sz w:val="20"/>
        </w:rPr>
        <w:t>empresa</w:t>
      </w:r>
      <w:r>
        <w:rPr>
          <w:spacing w:val="-2"/>
          <w:sz w:val="20"/>
        </w:rPr>
        <w:t xml:space="preserve"> </w:t>
      </w:r>
      <w:r>
        <w:rPr>
          <w:sz w:val="20"/>
        </w:rPr>
        <w:t>desee</w:t>
      </w:r>
      <w:r>
        <w:rPr>
          <w:spacing w:val="-2"/>
          <w:sz w:val="20"/>
        </w:rPr>
        <w:t xml:space="preserve"> </w:t>
      </w:r>
      <w:r>
        <w:rPr>
          <w:sz w:val="20"/>
        </w:rPr>
        <w:t>recurrir</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capacidades</w:t>
      </w:r>
      <w:r>
        <w:rPr>
          <w:spacing w:val="-2"/>
          <w:sz w:val="20"/>
        </w:rPr>
        <w:t xml:space="preserve"> </w:t>
      </w:r>
      <w:r>
        <w:rPr>
          <w:sz w:val="20"/>
        </w:rPr>
        <w:t>de</w:t>
      </w:r>
      <w:r>
        <w:rPr>
          <w:spacing w:val="-2"/>
          <w:sz w:val="20"/>
        </w:rPr>
        <w:t xml:space="preserve"> </w:t>
      </w:r>
      <w:r>
        <w:rPr>
          <w:sz w:val="20"/>
        </w:rPr>
        <w:t>otras</w:t>
      </w:r>
      <w:r>
        <w:rPr>
          <w:spacing w:val="-2"/>
          <w:sz w:val="20"/>
        </w:rPr>
        <w:t xml:space="preserve"> </w:t>
      </w:r>
      <w:r>
        <w:rPr>
          <w:sz w:val="20"/>
        </w:rPr>
        <w:t>entidades,</w:t>
      </w:r>
      <w:r>
        <w:rPr>
          <w:spacing w:val="-2"/>
          <w:sz w:val="20"/>
        </w:rPr>
        <w:t xml:space="preserve"> </w:t>
      </w:r>
      <w:r>
        <w:rPr>
          <w:sz w:val="20"/>
        </w:rPr>
        <w:t>demostrará al poder adjudicador que va a disponer de los recursos necesarios mediante la presentación a tal efecto del compromiso por escrito de dichas entidades.</w:t>
      </w:r>
    </w:p>
    <w:p w:rsidR="0092635B" w:rsidRDefault="00000000">
      <w:pPr>
        <w:pStyle w:val="Textoindependiente"/>
        <w:spacing w:before="3" w:line="249" w:lineRule="auto"/>
        <w:ind w:right="1105"/>
      </w:pPr>
      <w:r>
        <w:t>El compromiso a que se refiere el párrafo anterior se presentará por el licitador que hubiera presentado la mejor oferta de conformidad con lo dispuesto en el artículo 145, previo requerimiento cumplimentado de conformidad con lo dispuesto en el apartado 2 del artículo 150, sin perjuicio de lo establecido en el apartado 3 del artículo 140.</w:t>
      </w:r>
    </w:p>
    <w:p w:rsidR="0092635B" w:rsidRDefault="00000000">
      <w:pPr>
        <w:pStyle w:val="Prrafodelista"/>
        <w:numPr>
          <w:ilvl w:val="0"/>
          <w:numId w:val="286"/>
        </w:numPr>
        <w:tabs>
          <w:tab w:val="left" w:pos="1671"/>
        </w:tabs>
        <w:spacing w:before="3" w:line="249" w:lineRule="auto"/>
        <w:ind w:right="1104" w:firstLine="340"/>
        <w:jc w:val="both"/>
        <w:rPr>
          <w:sz w:val="20"/>
        </w:rPr>
      </w:pPr>
      <w:r>
        <w:rPr>
          <w:sz w:val="20"/>
        </w:rPr>
        <w:t>Cuando una empresa recurra a las capacidades de otras entidades en lo que respecta a los criterios relativos a la solvencia económica y financiera, el poder adjudicador podrá exigir formas de responsabilidad conjunta entre aquella entidad y las otras en la ejecución</w:t>
      </w:r>
      <w:r>
        <w:rPr>
          <w:spacing w:val="40"/>
          <w:sz w:val="20"/>
        </w:rPr>
        <w:t xml:space="preserve"> </w:t>
      </w:r>
      <w:r>
        <w:rPr>
          <w:sz w:val="20"/>
        </w:rPr>
        <w:t>del contrato, incluso con carácter solidario.</w:t>
      </w:r>
    </w:p>
    <w:p w:rsidR="0092635B" w:rsidRDefault="00000000">
      <w:pPr>
        <w:pStyle w:val="Prrafodelista"/>
        <w:numPr>
          <w:ilvl w:val="0"/>
          <w:numId w:val="286"/>
        </w:numPr>
        <w:tabs>
          <w:tab w:val="left" w:pos="1704"/>
        </w:tabs>
        <w:spacing w:before="3" w:line="249" w:lineRule="auto"/>
        <w:ind w:firstLine="340"/>
        <w:jc w:val="both"/>
        <w:rPr>
          <w:sz w:val="20"/>
        </w:rPr>
      </w:pPr>
      <w:r>
        <w:rPr>
          <w:sz w:val="20"/>
        </w:rPr>
        <w:t xml:space="preserve">En el caso de los contratos de obras, los contratos de servicios, o los servicios o trabajos de colocación o instalación en el contexto de un contrato de suministro, los poderes adjudicadores podrán exigir que determinadas partes o trabajos, en atención a su especial naturaleza, sean ejecutadas directamente por el propio licitador o, en el caso de una oferta presentada por una unión de empresarios, por un participante en la misma, siempre que así se haya previsto en el correspondiente pliego con indicación de los trabajos a los que se </w:t>
      </w:r>
      <w:r>
        <w:rPr>
          <w:spacing w:val="-2"/>
          <w:sz w:val="20"/>
        </w:rPr>
        <w:t>refiera.</w:t>
      </w:r>
    </w:p>
    <w:p w:rsidR="0092635B" w:rsidRDefault="0092635B">
      <w:pPr>
        <w:pStyle w:val="Textoindependiente"/>
        <w:spacing w:before="3"/>
        <w:ind w:left="0" w:firstLine="0"/>
        <w:jc w:val="left"/>
      </w:pPr>
    </w:p>
    <w:p w:rsidR="0092635B" w:rsidRDefault="00000000">
      <w:pPr>
        <w:ind w:left="1106"/>
        <w:rPr>
          <w:rFonts w:ascii="Arial" w:hAnsi="Arial"/>
          <w:i/>
          <w:sz w:val="20"/>
        </w:rPr>
      </w:pPr>
      <w:bookmarkStart w:id="120" w:name="Artículo_76._Concreción_de_las_condicion"/>
      <w:bookmarkEnd w:id="120"/>
      <w:r>
        <w:rPr>
          <w:rFonts w:ascii="Arial" w:hAnsi="Arial"/>
          <w:b/>
          <w:sz w:val="20"/>
        </w:rPr>
        <w:t>Artículo</w:t>
      </w:r>
      <w:r>
        <w:rPr>
          <w:rFonts w:ascii="Arial" w:hAnsi="Arial"/>
          <w:b/>
          <w:spacing w:val="-2"/>
          <w:sz w:val="20"/>
        </w:rPr>
        <w:t xml:space="preserve"> </w:t>
      </w:r>
      <w:r>
        <w:rPr>
          <w:rFonts w:ascii="Arial" w:hAnsi="Arial"/>
          <w:b/>
          <w:sz w:val="20"/>
        </w:rPr>
        <w:t>76.</w:t>
      </w:r>
      <w:r>
        <w:rPr>
          <w:rFonts w:ascii="Arial" w:hAnsi="Arial"/>
          <w:b/>
          <w:spacing w:val="51"/>
          <w:sz w:val="20"/>
        </w:rPr>
        <w:t xml:space="preserve"> </w:t>
      </w:r>
      <w:r>
        <w:rPr>
          <w:rFonts w:ascii="Arial" w:hAnsi="Arial"/>
          <w:i/>
          <w:sz w:val="20"/>
        </w:rPr>
        <w:t>Concreción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las</w:t>
      </w:r>
      <w:r>
        <w:rPr>
          <w:rFonts w:ascii="Arial" w:hAnsi="Arial"/>
          <w:i/>
          <w:spacing w:val="-2"/>
          <w:sz w:val="20"/>
        </w:rPr>
        <w:t xml:space="preserve"> </w:t>
      </w:r>
      <w:r>
        <w:rPr>
          <w:rFonts w:ascii="Arial" w:hAnsi="Arial"/>
          <w:i/>
          <w:sz w:val="20"/>
        </w:rPr>
        <w:t>condiciones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solvencia.</w:t>
      </w:r>
    </w:p>
    <w:p w:rsidR="0092635B" w:rsidRDefault="00000000">
      <w:pPr>
        <w:pStyle w:val="Prrafodelista"/>
        <w:numPr>
          <w:ilvl w:val="0"/>
          <w:numId w:val="285"/>
        </w:numPr>
        <w:tabs>
          <w:tab w:val="left" w:pos="1679"/>
        </w:tabs>
        <w:spacing w:before="123" w:line="249" w:lineRule="auto"/>
        <w:ind w:firstLine="340"/>
        <w:jc w:val="both"/>
        <w:rPr>
          <w:sz w:val="20"/>
        </w:rPr>
      </w:pPr>
      <w:r>
        <w:rPr>
          <w:sz w:val="20"/>
        </w:rPr>
        <w:t>En los contratos de obras, de servicios, concesión de obras y concesión de servicios, así como en los contratos de suministro que incluyan servicios o trabajos de colocación e instalación, podrá exigirse a las personas jurídicas que especifiquen, en la oferta o en la solicitud de participación, los nombres y la cualificación profesional del personal responsable de ejecutar la prestación.</w:t>
      </w:r>
    </w:p>
    <w:p w:rsidR="0092635B" w:rsidRDefault="00000000">
      <w:pPr>
        <w:pStyle w:val="Prrafodelista"/>
        <w:numPr>
          <w:ilvl w:val="0"/>
          <w:numId w:val="285"/>
        </w:numPr>
        <w:tabs>
          <w:tab w:val="left" w:pos="1691"/>
        </w:tabs>
        <w:spacing w:before="4" w:line="249" w:lineRule="auto"/>
        <w:ind w:firstLine="340"/>
        <w:jc w:val="both"/>
        <w:rPr>
          <w:sz w:val="20"/>
        </w:rPr>
      </w:pPr>
      <w:r>
        <w:rPr>
          <w:sz w:val="20"/>
        </w:rPr>
        <w:t>Los órganos de contratación podrán exigir a los candidatos o licitadores, haciéndolo constar en los pliegos, que además de acreditar su solvencia o, en su caso, clasificación, se comprometan a dedicar o adscribir a la ejecución del contrato los medios personales o materiales suficientes para ello. Estos compromisos se integrarán en el contrato, debiendo los</w:t>
      </w:r>
      <w:r>
        <w:rPr>
          <w:spacing w:val="21"/>
          <w:sz w:val="20"/>
        </w:rPr>
        <w:t xml:space="preserve"> </w:t>
      </w:r>
      <w:r>
        <w:rPr>
          <w:sz w:val="20"/>
        </w:rPr>
        <w:t>pliegos</w:t>
      </w:r>
      <w:r>
        <w:rPr>
          <w:spacing w:val="23"/>
          <w:sz w:val="20"/>
        </w:rPr>
        <w:t xml:space="preserve"> </w:t>
      </w:r>
      <w:r>
        <w:rPr>
          <w:sz w:val="20"/>
        </w:rPr>
        <w:t>o</w:t>
      </w:r>
      <w:r>
        <w:rPr>
          <w:spacing w:val="23"/>
          <w:sz w:val="20"/>
        </w:rPr>
        <w:t xml:space="preserve"> </w:t>
      </w:r>
      <w:r>
        <w:rPr>
          <w:sz w:val="20"/>
        </w:rPr>
        <w:t>el</w:t>
      </w:r>
      <w:r>
        <w:rPr>
          <w:spacing w:val="23"/>
          <w:sz w:val="20"/>
        </w:rPr>
        <w:t xml:space="preserve"> </w:t>
      </w:r>
      <w:r>
        <w:rPr>
          <w:sz w:val="20"/>
        </w:rPr>
        <w:t>documento</w:t>
      </w:r>
      <w:r>
        <w:rPr>
          <w:spacing w:val="23"/>
          <w:sz w:val="20"/>
        </w:rPr>
        <w:t xml:space="preserve"> </w:t>
      </w:r>
      <w:r>
        <w:rPr>
          <w:sz w:val="20"/>
        </w:rPr>
        <w:t>contractual,</w:t>
      </w:r>
      <w:r>
        <w:rPr>
          <w:spacing w:val="23"/>
          <w:sz w:val="20"/>
        </w:rPr>
        <w:t xml:space="preserve"> </w:t>
      </w:r>
      <w:r>
        <w:rPr>
          <w:sz w:val="20"/>
        </w:rPr>
        <w:t>atribuirles</w:t>
      </w:r>
      <w:r>
        <w:rPr>
          <w:spacing w:val="23"/>
          <w:sz w:val="20"/>
        </w:rPr>
        <w:t xml:space="preserve"> </w:t>
      </w:r>
      <w:r>
        <w:rPr>
          <w:sz w:val="20"/>
        </w:rPr>
        <w:t>el</w:t>
      </w:r>
      <w:r>
        <w:rPr>
          <w:spacing w:val="23"/>
          <w:sz w:val="20"/>
        </w:rPr>
        <w:t xml:space="preserve"> </w:t>
      </w:r>
      <w:r>
        <w:rPr>
          <w:sz w:val="20"/>
        </w:rPr>
        <w:t>carácter</w:t>
      </w:r>
      <w:r>
        <w:rPr>
          <w:spacing w:val="23"/>
          <w:sz w:val="20"/>
        </w:rPr>
        <w:t xml:space="preserve"> </w:t>
      </w:r>
      <w:r>
        <w:rPr>
          <w:sz w:val="20"/>
        </w:rPr>
        <w:t>de</w:t>
      </w:r>
      <w:r>
        <w:rPr>
          <w:spacing w:val="23"/>
          <w:sz w:val="20"/>
        </w:rPr>
        <w:t xml:space="preserve"> </w:t>
      </w:r>
      <w:r>
        <w:rPr>
          <w:sz w:val="20"/>
        </w:rPr>
        <w:t>obligaciones</w:t>
      </w:r>
      <w:r>
        <w:rPr>
          <w:spacing w:val="23"/>
          <w:sz w:val="20"/>
        </w:rPr>
        <w:t xml:space="preserve"> </w:t>
      </w:r>
      <w:r>
        <w:rPr>
          <w:sz w:val="20"/>
        </w:rPr>
        <w:t>esenciales</w:t>
      </w:r>
      <w:r>
        <w:rPr>
          <w:spacing w:val="24"/>
          <w:sz w:val="20"/>
        </w:rPr>
        <w:t xml:space="preserve"> </w:t>
      </w:r>
      <w:r>
        <w:rPr>
          <w:spacing w:val="-10"/>
          <w:sz w:val="20"/>
        </w:rPr>
        <w:t>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los efectos previstos en el artículo 211, o establecer penalidades, conforme a lo señalado en el artículo 192.2 para el caso de que se incumplan por el adjudicatario.</w:t>
      </w:r>
    </w:p>
    <w:p w:rsidR="0092635B" w:rsidRDefault="00000000">
      <w:pPr>
        <w:pStyle w:val="Textoindependiente"/>
        <w:spacing w:before="1" w:line="249" w:lineRule="auto"/>
        <w:ind w:right="1103"/>
      </w:pPr>
      <w:r>
        <w:t>En el caso de contratos que atendida su complejidad técnica sea determinante la concreción de los medios personales o materiales necesarios para la ejecución del contrato, los órganos contratación exigirán el compromiso a que se refiere el párrafo anterior.</w:t>
      </w:r>
    </w:p>
    <w:p w:rsidR="0092635B" w:rsidRDefault="00000000">
      <w:pPr>
        <w:pStyle w:val="Prrafodelista"/>
        <w:numPr>
          <w:ilvl w:val="0"/>
          <w:numId w:val="285"/>
        </w:numPr>
        <w:tabs>
          <w:tab w:val="left" w:pos="1695"/>
        </w:tabs>
        <w:spacing w:before="3" w:line="249" w:lineRule="auto"/>
        <w:ind w:right="1104" w:firstLine="340"/>
        <w:jc w:val="both"/>
        <w:rPr>
          <w:sz w:val="20"/>
        </w:rPr>
      </w:pPr>
      <w:r>
        <w:rPr>
          <w:sz w:val="20"/>
        </w:rPr>
        <w:t>La adscripción de los medios personales o materiales como requisitos de solvencia adicionales a la clasificación del contratista deberá ser razonable, justificada y proporcional a la entidad y características del contrato, de forma que no limite la participación de las empresas en la licitación.</w:t>
      </w:r>
    </w:p>
    <w:p w:rsidR="0092635B" w:rsidRDefault="0092635B">
      <w:pPr>
        <w:pStyle w:val="Textoindependiente"/>
        <w:spacing w:before="56"/>
        <w:ind w:left="0" w:firstLine="0"/>
        <w:jc w:val="left"/>
      </w:pPr>
    </w:p>
    <w:p w:rsidR="0092635B" w:rsidRDefault="00000000">
      <w:pPr>
        <w:pStyle w:val="Textoindependiente"/>
        <w:spacing w:before="1"/>
        <w:ind w:left="0" w:firstLine="0"/>
        <w:jc w:val="center"/>
      </w:pPr>
      <w:bookmarkStart w:id="121" w:name="Subsección_4.ª_Clasificación_de_las_empr"/>
      <w:bookmarkStart w:id="122" w:name="_bookmark23"/>
      <w:bookmarkEnd w:id="121"/>
      <w:bookmarkEnd w:id="122"/>
      <w:r>
        <w:t>Subsección</w:t>
      </w:r>
      <w:r>
        <w:rPr>
          <w:spacing w:val="-5"/>
        </w:rPr>
        <w:t xml:space="preserve"> </w:t>
      </w:r>
      <w:r>
        <w:t>4.ª</w:t>
      </w:r>
      <w:r>
        <w:rPr>
          <w:spacing w:val="-5"/>
        </w:rPr>
        <w:t xml:space="preserve"> </w:t>
      </w:r>
      <w:r>
        <w:t>Clasificación</w:t>
      </w:r>
      <w:r>
        <w:rPr>
          <w:spacing w:val="-5"/>
        </w:rPr>
        <w:t xml:space="preserve"> </w:t>
      </w:r>
      <w:r>
        <w:t>de</w:t>
      </w:r>
      <w:r>
        <w:rPr>
          <w:spacing w:val="-5"/>
        </w:rPr>
        <w:t xml:space="preserve"> </w:t>
      </w:r>
      <w:r>
        <w:t>las</w:t>
      </w:r>
      <w:r>
        <w:rPr>
          <w:spacing w:val="-4"/>
        </w:rPr>
        <w:t xml:space="preserve"> </w:t>
      </w:r>
      <w:r>
        <w:rPr>
          <w:spacing w:val="-2"/>
        </w:rPr>
        <w:t>empresas</w:t>
      </w:r>
    </w:p>
    <w:p w:rsidR="0092635B" w:rsidRDefault="0092635B">
      <w:pPr>
        <w:pStyle w:val="Textoindependiente"/>
        <w:spacing w:before="6"/>
        <w:ind w:left="0" w:firstLine="0"/>
        <w:jc w:val="left"/>
      </w:pPr>
    </w:p>
    <w:p w:rsidR="0092635B" w:rsidRDefault="00000000">
      <w:pPr>
        <w:ind w:left="1106"/>
        <w:jc w:val="both"/>
        <w:rPr>
          <w:rFonts w:ascii="Arial" w:hAnsi="Arial"/>
          <w:i/>
          <w:sz w:val="20"/>
        </w:rPr>
      </w:pPr>
      <w:bookmarkStart w:id="123" w:name="Artículo_77._Exigencia_y_efectos_de_la_c"/>
      <w:bookmarkEnd w:id="123"/>
      <w:r>
        <w:rPr>
          <w:rFonts w:ascii="Arial" w:hAnsi="Arial"/>
          <w:b/>
          <w:sz w:val="20"/>
        </w:rPr>
        <w:t>Artículo</w:t>
      </w:r>
      <w:r>
        <w:rPr>
          <w:rFonts w:ascii="Arial" w:hAnsi="Arial"/>
          <w:b/>
          <w:spacing w:val="-2"/>
          <w:sz w:val="20"/>
        </w:rPr>
        <w:t xml:space="preserve"> </w:t>
      </w:r>
      <w:r>
        <w:rPr>
          <w:rFonts w:ascii="Arial" w:hAnsi="Arial"/>
          <w:b/>
          <w:sz w:val="20"/>
        </w:rPr>
        <w:t>77.</w:t>
      </w:r>
      <w:r>
        <w:rPr>
          <w:rFonts w:ascii="Arial" w:hAnsi="Arial"/>
          <w:b/>
          <w:spacing w:val="52"/>
          <w:sz w:val="20"/>
        </w:rPr>
        <w:t xml:space="preserve"> </w:t>
      </w:r>
      <w:r>
        <w:rPr>
          <w:rFonts w:ascii="Arial" w:hAnsi="Arial"/>
          <w:i/>
          <w:sz w:val="20"/>
        </w:rPr>
        <w:t>Exigencia</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efectos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clasificación.</w:t>
      </w:r>
    </w:p>
    <w:p w:rsidR="0092635B" w:rsidRDefault="00000000">
      <w:pPr>
        <w:pStyle w:val="Prrafodelista"/>
        <w:numPr>
          <w:ilvl w:val="0"/>
          <w:numId w:val="284"/>
        </w:numPr>
        <w:tabs>
          <w:tab w:val="left" w:pos="1674"/>
        </w:tabs>
        <w:spacing w:before="124" w:line="249" w:lineRule="auto"/>
        <w:ind w:right="1104" w:firstLine="340"/>
        <w:jc w:val="both"/>
        <w:rPr>
          <w:sz w:val="20"/>
        </w:rPr>
      </w:pPr>
      <w:r>
        <w:rPr>
          <w:sz w:val="20"/>
        </w:rPr>
        <w:t>La clasificación de los empresarios como contratistas de obras o como contratistas de servicios de los poderes adjudicadores será exigible y surtirá efectos para la acreditación de su solvencia para contratar en los siguientes casos y términos:</w:t>
      </w:r>
    </w:p>
    <w:p w:rsidR="0092635B" w:rsidRDefault="00000000">
      <w:pPr>
        <w:pStyle w:val="Prrafodelista"/>
        <w:numPr>
          <w:ilvl w:val="1"/>
          <w:numId w:val="284"/>
        </w:numPr>
        <w:tabs>
          <w:tab w:val="left" w:pos="1687"/>
        </w:tabs>
        <w:spacing w:before="122" w:line="249" w:lineRule="auto"/>
        <w:ind w:firstLine="340"/>
        <w:jc w:val="both"/>
        <w:rPr>
          <w:sz w:val="20"/>
        </w:rPr>
      </w:pPr>
      <w:r>
        <w:rPr>
          <w:sz w:val="20"/>
        </w:rPr>
        <w:t>Para los contratos de obras cuyo valor estimado sea igual o superior a 500.000 euros será requisito indispensable que el empresario se encuentre debidamente clasificado como contratista de obras de los poderes adjudicadores. Para dichos contratos, la clasificación del empresario en el grupo o subgrupo que en función del objeto del contrato corresponda, con categoría igual o superior a la exigida para el contrato, acreditará sus condiciones de solvencia para contratar.</w:t>
      </w:r>
    </w:p>
    <w:p w:rsidR="0092635B" w:rsidRDefault="00000000">
      <w:pPr>
        <w:pStyle w:val="Textoindependiente"/>
        <w:spacing w:before="5" w:line="249" w:lineRule="auto"/>
        <w:ind w:right="1104"/>
      </w:pPr>
      <w:r>
        <w:t>Para los contratos de obras cuyo valor estimado sea inferior a 500.000 euros la clasificación del empresario en el grupo o subgrupo que en función del objeto del contrato corresponda, y que será recogido en los pliegos del contrato, acreditará su solvencia económica y financiera y solvencia técnica para contratar. En tales casos, el empresario podrá acreditar su solvencia indistintamente mediante su clasificación como contratista de obras en el grupo o subgrupo de clasificación correspondiente al contrato o bien acreditando el</w:t>
      </w:r>
      <w:r>
        <w:rPr>
          <w:spacing w:val="-1"/>
        </w:rPr>
        <w:t xml:space="preserve"> </w:t>
      </w:r>
      <w:r>
        <w:t>cumplimiento</w:t>
      </w:r>
      <w:r>
        <w:rPr>
          <w:spacing w:val="-1"/>
        </w:rPr>
        <w:t xml:space="preserve"> </w:t>
      </w:r>
      <w:r>
        <w:t>de</w:t>
      </w:r>
      <w:r>
        <w:rPr>
          <w:spacing w:val="-1"/>
        </w:rPr>
        <w:t xml:space="preserve"> </w:t>
      </w:r>
      <w:r>
        <w:t>los</w:t>
      </w:r>
      <w:r>
        <w:rPr>
          <w:spacing w:val="-1"/>
        </w:rPr>
        <w:t xml:space="preserve"> </w:t>
      </w:r>
      <w:r>
        <w:t>requisitos</w:t>
      </w:r>
      <w:r>
        <w:rPr>
          <w:spacing w:val="-1"/>
        </w:rPr>
        <w:t xml:space="preserve"> </w:t>
      </w:r>
      <w:r>
        <w:t>específicos</w:t>
      </w:r>
      <w:r>
        <w:rPr>
          <w:spacing w:val="-1"/>
        </w:rPr>
        <w:t xml:space="preserve"> </w:t>
      </w:r>
      <w:r>
        <w:t>de</w:t>
      </w:r>
      <w:r>
        <w:rPr>
          <w:spacing w:val="-1"/>
        </w:rPr>
        <w:t xml:space="preserve"> </w:t>
      </w:r>
      <w:r>
        <w:t>solvencia</w:t>
      </w:r>
      <w:r>
        <w:rPr>
          <w:spacing w:val="-1"/>
        </w:rPr>
        <w:t xml:space="preserve"> </w:t>
      </w:r>
      <w:r>
        <w:t>exigidos</w:t>
      </w:r>
      <w:r>
        <w:rPr>
          <w:spacing w:val="-1"/>
        </w:rPr>
        <w:t xml:space="preserve"> </w:t>
      </w:r>
      <w:r>
        <w:t>en</w:t>
      </w:r>
      <w:r>
        <w:rPr>
          <w:spacing w:val="-1"/>
        </w:rPr>
        <w:t xml:space="preserve"> </w:t>
      </w:r>
      <w:r>
        <w:t>el</w:t>
      </w:r>
      <w:r>
        <w:rPr>
          <w:spacing w:val="-1"/>
        </w:rPr>
        <w:t xml:space="preserve"> </w:t>
      </w:r>
      <w:r>
        <w:t>anuncio</w:t>
      </w:r>
      <w:r>
        <w:rPr>
          <w:spacing w:val="-1"/>
        </w:rPr>
        <w:t xml:space="preserve"> </w:t>
      </w:r>
      <w:r>
        <w:t>de</w:t>
      </w:r>
      <w:r>
        <w:rPr>
          <w:spacing w:val="-1"/>
        </w:rPr>
        <w:t xml:space="preserve"> </w:t>
      </w:r>
      <w:r>
        <w:t>licitación o en la invitación a participar en el procedimiento y detallados en los pliegos del contrato. Si los pliegos no concretaran los requisitos de solvencia económica y financiera o los requisitos de solvencia técnica o profesional, la acreditación de la solvencia se efectuará conforme a</w:t>
      </w:r>
      <w:r>
        <w:rPr>
          <w:spacing w:val="40"/>
        </w:rPr>
        <w:t xml:space="preserve"> </w:t>
      </w:r>
      <w:r>
        <w:t>los criterios, requisitos y medios recogidos en el segundo inciso del apartado 3 del artículo 87, que tendrán carácter supletorio de lo que al respecto de los mismos haya sido omitido o no concretado en los pliegos.</w:t>
      </w:r>
    </w:p>
    <w:p w:rsidR="0092635B" w:rsidRDefault="00000000">
      <w:pPr>
        <w:pStyle w:val="Prrafodelista"/>
        <w:numPr>
          <w:ilvl w:val="1"/>
          <w:numId w:val="284"/>
        </w:numPr>
        <w:tabs>
          <w:tab w:val="left" w:pos="1695"/>
        </w:tabs>
        <w:spacing w:before="11" w:line="249" w:lineRule="auto"/>
        <w:ind w:firstLine="340"/>
        <w:jc w:val="both"/>
        <w:rPr>
          <w:sz w:val="20"/>
        </w:rPr>
      </w:pPr>
      <w:r>
        <w:rPr>
          <w:sz w:val="20"/>
        </w:rPr>
        <w:t>Para los contratos de servicios no será exigible la clasificación del empresario. En el anuncio de licitación o en la invitación a participar en el procedimiento y en los pliegos del contrato se establecerán los criterios y requisitos mínimos de solvencia económica y financiera y de solvencia técnica o profesional tanto en los términos establecidos en los artículos 87 y 90 de la Ley como en términos de grupo o subgrupo de clasificación y de categoría mínima exigible, siempre que el objeto del contrato esté incluido en el ámbito de clasificación de alguno de los grupos o subgrupos de clasificación vigentes, atendiendo para ello al código CPV del contrato, según el Vocabulario común de contratos públicos aprobado por Reglamento (CE) 2195/2002, del Parlamento Europeo y del Consejo, de 5 de noviembre de 2002.</w:t>
      </w:r>
    </w:p>
    <w:p w:rsidR="0092635B" w:rsidRDefault="00000000">
      <w:pPr>
        <w:pStyle w:val="Textoindependiente"/>
        <w:spacing w:before="8" w:line="249" w:lineRule="auto"/>
        <w:ind w:right="1104"/>
      </w:pPr>
      <w:r>
        <w:t xml:space="preserve">En tales casos, el empresario podrá acreditar su solvencia indistintamente mediante su clasificación en el grupo o subgrupo de clasificación y categoría de clasificación correspondientes al contrato o bien acreditando el cumplimiento de los requisitos específicos de solvencia exigidos en el anuncio de licitación o en la invitación a participar en el procedimiento y detallados en los pliegos del contrato. Si los pliegos no concretaran los requisitos de solvencia económica y financiera o los requisitos de solvencia técnica o profesional, la acreditación de la solvencia se efectuará conforme a los criterios, requisitos y medios recogidos en el segundo inciso del apartado 3 del artículo 87, que tendrán carácter supletorio de lo que al respecto de los mismos haya sido omitido o no concretado en los </w:t>
      </w:r>
      <w:r>
        <w:rPr>
          <w:spacing w:val="-2"/>
        </w:rPr>
        <w:t>pliegos.</w:t>
      </w:r>
    </w:p>
    <w:p w:rsidR="0092635B" w:rsidRDefault="00000000">
      <w:pPr>
        <w:pStyle w:val="Prrafodelista"/>
        <w:numPr>
          <w:ilvl w:val="1"/>
          <w:numId w:val="284"/>
        </w:numPr>
        <w:tabs>
          <w:tab w:val="left" w:pos="1719"/>
        </w:tabs>
        <w:spacing w:before="8" w:line="249" w:lineRule="auto"/>
        <w:ind w:firstLine="340"/>
        <w:jc w:val="both"/>
        <w:rPr>
          <w:sz w:val="20"/>
        </w:rPr>
      </w:pPr>
      <w:r>
        <w:rPr>
          <w:sz w:val="20"/>
        </w:rPr>
        <w:t>La clasificación no será exigible para los demás tipos de contratos. Para dichos contratos,</w:t>
      </w:r>
      <w:r>
        <w:rPr>
          <w:spacing w:val="39"/>
          <w:sz w:val="20"/>
        </w:rPr>
        <w:t xml:space="preserve"> </w:t>
      </w:r>
      <w:r>
        <w:rPr>
          <w:sz w:val="20"/>
        </w:rPr>
        <w:t>los</w:t>
      </w:r>
      <w:r>
        <w:rPr>
          <w:spacing w:val="39"/>
          <w:sz w:val="20"/>
        </w:rPr>
        <w:t xml:space="preserve"> </w:t>
      </w:r>
      <w:r>
        <w:rPr>
          <w:sz w:val="20"/>
        </w:rPr>
        <w:t>requisitos</w:t>
      </w:r>
      <w:r>
        <w:rPr>
          <w:spacing w:val="39"/>
          <w:sz w:val="20"/>
        </w:rPr>
        <w:t xml:space="preserve"> </w:t>
      </w:r>
      <w:r>
        <w:rPr>
          <w:sz w:val="20"/>
        </w:rPr>
        <w:t>específicos</w:t>
      </w:r>
      <w:r>
        <w:rPr>
          <w:spacing w:val="39"/>
          <w:sz w:val="20"/>
        </w:rPr>
        <w:t xml:space="preserve"> </w:t>
      </w:r>
      <w:r>
        <w:rPr>
          <w:sz w:val="20"/>
        </w:rPr>
        <w:t>de</w:t>
      </w:r>
      <w:r>
        <w:rPr>
          <w:spacing w:val="39"/>
          <w:sz w:val="20"/>
        </w:rPr>
        <w:t xml:space="preserve"> </w:t>
      </w:r>
      <w:r>
        <w:rPr>
          <w:sz w:val="20"/>
        </w:rPr>
        <w:t>solvencia</w:t>
      </w:r>
      <w:r>
        <w:rPr>
          <w:spacing w:val="39"/>
          <w:sz w:val="20"/>
        </w:rPr>
        <w:t xml:space="preserve"> </w:t>
      </w:r>
      <w:r>
        <w:rPr>
          <w:sz w:val="20"/>
        </w:rPr>
        <w:t>exigidos</w:t>
      </w:r>
      <w:r>
        <w:rPr>
          <w:spacing w:val="39"/>
          <w:sz w:val="20"/>
        </w:rPr>
        <w:t xml:space="preserve"> </w:t>
      </w:r>
      <w:r>
        <w:rPr>
          <w:sz w:val="20"/>
        </w:rPr>
        <w:t>se</w:t>
      </w:r>
      <w:r>
        <w:rPr>
          <w:spacing w:val="39"/>
          <w:sz w:val="20"/>
        </w:rPr>
        <w:t xml:space="preserve"> </w:t>
      </w:r>
      <w:r>
        <w:rPr>
          <w:sz w:val="20"/>
        </w:rPr>
        <w:t>indicarán</w:t>
      </w:r>
      <w:r>
        <w:rPr>
          <w:spacing w:val="39"/>
          <w:sz w:val="20"/>
        </w:rPr>
        <w:t xml:space="preserve"> </w:t>
      </w:r>
      <w:r>
        <w:rPr>
          <w:sz w:val="20"/>
        </w:rPr>
        <w:t>en</w:t>
      </w:r>
      <w:r>
        <w:rPr>
          <w:spacing w:val="39"/>
          <w:sz w:val="20"/>
        </w:rPr>
        <w:t xml:space="preserve"> </w:t>
      </w:r>
      <w:r>
        <w:rPr>
          <w:sz w:val="20"/>
        </w:rPr>
        <w:t>el</w:t>
      </w:r>
      <w:r>
        <w:rPr>
          <w:spacing w:val="39"/>
          <w:sz w:val="20"/>
        </w:rPr>
        <w:t xml:space="preserve"> </w:t>
      </w:r>
      <w:r>
        <w:rPr>
          <w:sz w:val="20"/>
        </w:rPr>
        <w:t>anuncio</w:t>
      </w:r>
      <w:r>
        <w:rPr>
          <w:spacing w:val="39"/>
          <w:sz w:val="20"/>
        </w:rPr>
        <w:t xml:space="preserve"> </w:t>
      </w:r>
      <w:r>
        <w:rPr>
          <w:sz w:val="20"/>
        </w:rPr>
        <w:t>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 xml:space="preserve">licitación o en la invitación a participar en el procedimiento y se detallarán en los pliegos del </w:t>
      </w:r>
      <w:r>
        <w:rPr>
          <w:spacing w:val="-2"/>
        </w:rPr>
        <w:t>contrato.</w:t>
      </w:r>
    </w:p>
    <w:p w:rsidR="0092635B" w:rsidRDefault="00000000">
      <w:pPr>
        <w:pStyle w:val="Prrafodelista"/>
        <w:numPr>
          <w:ilvl w:val="0"/>
          <w:numId w:val="284"/>
        </w:numPr>
        <w:tabs>
          <w:tab w:val="left" w:pos="1695"/>
        </w:tabs>
        <w:spacing w:before="121" w:line="249" w:lineRule="auto"/>
        <w:ind w:right="1104" w:firstLine="340"/>
        <w:jc w:val="both"/>
        <w:rPr>
          <w:sz w:val="20"/>
        </w:rPr>
      </w:pPr>
      <w:r>
        <w:rPr>
          <w:sz w:val="20"/>
        </w:rPr>
        <w:t>La clasificación será exigible igualmente al cesionario de un contrato en el caso en</w:t>
      </w:r>
      <w:r>
        <w:rPr>
          <w:spacing w:val="40"/>
          <w:sz w:val="20"/>
        </w:rPr>
        <w:t xml:space="preserve"> </w:t>
      </w:r>
      <w:r>
        <w:rPr>
          <w:sz w:val="20"/>
        </w:rPr>
        <w:t>que hubiese sido requerida al cedente.</w:t>
      </w:r>
    </w:p>
    <w:p w:rsidR="0092635B" w:rsidRDefault="00000000">
      <w:pPr>
        <w:pStyle w:val="Prrafodelista"/>
        <w:numPr>
          <w:ilvl w:val="0"/>
          <w:numId w:val="284"/>
        </w:numPr>
        <w:tabs>
          <w:tab w:val="left" w:pos="1682"/>
        </w:tabs>
        <w:spacing w:line="249" w:lineRule="auto"/>
        <w:ind w:firstLine="340"/>
        <w:jc w:val="both"/>
        <w:rPr>
          <w:sz w:val="20"/>
        </w:rPr>
      </w:pPr>
      <w:r>
        <w:rPr>
          <w:sz w:val="20"/>
        </w:rPr>
        <w:t>Por Real Decreto podrá exceptuarse la necesidad de clasificación para determinados tipos de contratos de obras en los que este requisito sea exigible, debiendo motivarse dicha excepción en las circunstancias especiales y excepcionales concurrentes en los mismos.</w:t>
      </w:r>
    </w:p>
    <w:p w:rsidR="0092635B" w:rsidRDefault="00000000">
      <w:pPr>
        <w:pStyle w:val="Prrafodelista"/>
        <w:numPr>
          <w:ilvl w:val="0"/>
          <w:numId w:val="284"/>
        </w:numPr>
        <w:tabs>
          <w:tab w:val="left" w:pos="1714"/>
        </w:tabs>
        <w:spacing w:line="249" w:lineRule="auto"/>
        <w:ind w:firstLine="340"/>
        <w:jc w:val="both"/>
        <w:rPr>
          <w:sz w:val="20"/>
        </w:rPr>
      </w:pPr>
      <w:r>
        <w:rPr>
          <w:sz w:val="20"/>
        </w:rPr>
        <w:t>Cuando no haya concurrido ninguna empresa clasificada en un procedimiento de adjudicación de un contrato para el que se requiera clasificación, el órgano de contratación podrá excluir la necesidad de cumplir este requisito en el siguiente procedimiento que se convoque para la adjudicación del mismo contrato, siempre y cuando no se alteren sus condiciones, precisando en el pliego de cláusulas y en el anuncio, en su caso, los medios de acreditación de la solvencia que deban ser utilizados de entre los especificados en los artículos 87 y 88.</w:t>
      </w:r>
    </w:p>
    <w:p w:rsidR="0092635B" w:rsidRDefault="00000000">
      <w:pPr>
        <w:pStyle w:val="Prrafodelista"/>
        <w:numPr>
          <w:ilvl w:val="0"/>
          <w:numId w:val="284"/>
        </w:numPr>
        <w:tabs>
          <w:tab w:val="left" w:pos="1681"/>
        </w:tabs>
        <w:spacing w:before="6" w:line="249" w:lineRule="auto"/>
        <w:ind w:firstLine="340"/>
        <w:jc w:val="both"/>
        <w:rPr>
          <w:sz w:val="20"/>
        </w:rPr>
      </w:pPr>
      <w:r>
        <w:rPr>
          <w:sz w:val="20"/>
        </w:rPr>
        <w:t>Las entidades del sector público que no tengan el carácter de poderes adjudicadores podrán acordar la aplicación del régimen dispuesto en el apartado 1 de este artículo.</w:t>
      </w:r>
    </w:p>
    <w:p w:rsidR="0092635B" w:rsidRDefault="00000000">
      <w:pPr>
        <w:spacing w:before="229"/>
        <w:ind w:left="1106"/>
        <w:rPr>
          <w:rFonts w:ascii="Arial" w:hAnsi="Arial"/>
          <w:i/>
          <w:sz w:val="20"/>
        </w:rPr>
      </w:pPr>
      <w:bookmarkStart w:id="124" w:name="Artículo_78._Exención_de_la_exigencia_de"/>
      <w:bookmarkEnd w:id="124"/>
      <w:r>
        <w:rPr>
          <w:rFonts w:ascii="Arial" w:hAnsi="Arial"/>
          <w:b/>
          <w:sz w:val="20"/>
        </w:rPr>
        <w:t>Artículo</w:t>
      </w:r>
      <w:r>
        <w:rPr>
          <w:rFonts w:ascii="Arial" w:hAnsi="Arial"/>
          <w:b/>
          <w:spacing w:val="-5"/>
          <w:sz w:val="20"/>
        </w:rPr>
        <w:t xml:space="preserve"> </w:t>
      </w:r>
      <w:r>
        <w:rPr>
          <w:rFonts w:ascii="Arial" w:hAnsi="Arial"/>
          <w:b/>
          <w:sz w:val="20"/>
        </w:rPr>
        <w:t>78.</w:t>
      </w:r>
      <w:r>
        <w:rPr>
          <w:rFonts w:ascii="Arial" w:hAnsi="Arial"/>
          <w:b/>
          <w:spacing w:val="50"/>
          <w:sz w:val="20"/>
        </w:rPr>
        <w:t xml:space="preserve"> </w:t>
      </w:r>
      <w:r>
        <w:rPr>
          <w:rFonts w:ascii="Arial" w:hAnsi="Arial"/>
          <w:i/>
          <w:sz w:val="20"/>
        </w:rPr>
        <w:t>Exención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exigencia</w:t>
      </w:r>
      <w:r>
        <w:rPr>
          <w:rFonts w:ascii="Arial" w:hAnsi="Arial"/>
          <w:i/>
          <w:spacing w:val="-2"/>
          <w:sz w:val="20"/>
        </w:rPr>
        <w:t xml:space="preserve"> </w:t>
      </w:r>
      <w:r>
        <w:rPr>
          <w:rFonts w:ascii="Arial" w:hAnsi="Arial"/>
          <w:i/>
          <w:sz w:val="20"/>
        </w:rPr>
        <w:t>de</w:t>
      </w:r>
      <w:r>
        <w:rPr>
          <w:rFonts w:ascii="Arial" w:hAnsi="Arial"/>
          <w:i/>
          <w:spacing w:val="-2"/>
          <w:sz w:val="20"/>
        </w:rPr>
        <w:t xml:space="preserve"> clasificación.</w:t>
      </w:r>
    </w:p>
    <w:p w:rsidR="0092635B" w:rsidRDefault="00000000">
      <w:pPr>
        <w:pStyle w:val="Prrafodelista"/>
        <w:numPr>
          <w:ilvl w:val="0"/>
          <w:numId w:val="283"/>
        </w:numPr>
        <w:tabs>
          <w:tab w:val="left" w:pos="1673"/>
        </w:tabs>
        <w:spacing w:before="123" w:line="249" w:lineRule="auto"/>
        <w:ind w:firstLine="340"/>
        <w:jc w:val="both"/>
        <w:rPr>
          <w:sz w:val="20"/>
        </w:rPr>
      </w:pPr>
      <w:r>
        <w:rPr>
          <w:sz w:val="20"/>
        </w:rPr>
        <w:t>No será exigible la clasificación a los empresarios no españoles de Estados miembros de la Unión Europea o de Estados signatarios del Acuerdo sobre el Espacio Económico Europeo, ya concurran al contrato aisladamente o integrados en una unión, sin perjuicio de</w:t>
      </w:r>
      <w:r>
        <w:rPr>
          <w:spacing w:val="80"/>
          <w:sz w:val="20"/>
        </w:rPr>
        <w:t xml:space="preserve"> </w:t>
      </w:r>
      <w:r>
        <w:rPr>
          <w:sz w:val="20"/>
        </w:rPr>
        <w:t>la obligación de acreditar su solvencia.</w:t>
      </w:r>
    </w:p>
    <w:p w:rsidR="0092635B" w:rsidRDefault="00000000">
      <w:pPr>
        <w:pStyle w:val="Prrafodelista"/>
        <w:numPr>
          <w:ilvl w:val="0"/>
          <w:numId w:val="283"/>
        </w:numPr>
        <w:tabs>
          <w:tab w:val="left" w:pos="1746"/>
        </w:tabs>
        <w:spacing w:before="3" w:line="249" w:lineRule="auto"/>
        <w:ind w:firstLine="340"/>
        <w:jc w:val="both"/>
        <w:rPr>
          <w:sz w:val="20"/>
        </w:rPr>
      </w:pPr>
      <w:r>
        <w:rPr>
          <w:sz w:val="20"/>
        </w:rPr>
        <w:t>Excepcionalmente, cuando así sea conveniente para los intereses públicos, la contratación de la Administración General del Estado y los entes organismos y entidades de ella dependientes con personas que no estén clasificadas podrá ser autorizada por el Consejo de Ministros, previo informe de la Junta Consultiva de Contratación Pública del Estado. En el ámbito de las Comunidades Autónomas, la autorización será otorgada por los órganos que estas designen como competentes.</w:t>
      </w:r>
    </w:p>
    <w:p w:rsidR="0092635B" w:rsidRDefault="0092635B">
      <w:pPr>
        <w:pStyle w:val="Textoindependiente"/>
        <w:ind w:left="0" w:firstLine="0"/>
        <w:jc w:val="left"/>
      </w:pPr>
    </w:p>
    <w:p w:rsidR="0092635B" w:rsidRDefault="00000000">
      <w:pPr>
        <w:ind w:left="1106"/>
        <w:rPr>
          <w:rFonts w:ascii="Arial" w:hAnsi="Arial"/>
          <w:i/>
          <w:sz w:val="20"/>
        </w:rPr>
      </w:pPr>
      <w:bookmarkStart w:id="125" w:name="Artículo_79._Criterios_aplicables_y_cond"/>
      <w:bookmarkEnd w:id="125"/>
      <w:r>
        <w:rPr>
          <w:rFonts w:ascii="Arial" w:hAnsi="Arial"/>
          <w:b/>
          <w:sz w:val="20"/>
        </w:rPr>
        <w:t>Artículo</w:t>
      </w:r>
      <w:r>
        <w:rPr>
          <w:rFonts w:ascii="Arial" w:hAnsi="Arial"/>
          <w:b/>
          <w:spacing w:val="-3"/>
          <w:sz w:val="20"/>
        </w:rPr>
        <w:t xml:space="preserve"> </w:t>
      </w:r>
      <w:r>
        <w:rPr>
          <w:rFonts w:ascii="Arial" w:hAnsi="Arial"/>
          <w:b/>
          <w:sz w:val="20"/>
        </w:rPr>
        <w:t>79.</w:t>
      </w:r>
      <w:r>
        <w:rPr>
          <w:rFonts w:ascii="Arial" w:hAnsi="Arial"/>
          <w:b/>
          <w:spacing w:val="53"/>
          <w:sz w:val="20"/>
        </w:rPr>
        <w:t xml:space="preserve"> </w:t>
      </w:r>
      <w:r>
        <w:rPr>
          <w:rFonts w:ascii="Arial" w:hAnsi="Arial"/>
          <w:i/>
          <w:sz w:val="20"/>
        </w:rPr>
        <w:t>Criterios aplicables</w:t>
      </w:r>
      <w:r>
        <w:rPr>
          <w:rFonts w:ascii="Arial" w:hAnsi="Arial"/>
          <w:i/>
          <w:spacing w:val="-1"/>
          <w:sz w:val="20"/>
        </w:rPr>
        <w:t xml:space="preserve"> </w:t>
      </w:r>
      <w:r>
        <w:rPr>
          <w:rFonts w:ascii="Arial" w:hAnsi="Arial"/>
          <w:i/>
          <w:sz w:val="20"/>
        </w:rPr>
        <w:t>y condiciones</w:t>
      </w:r>
      <w:r>
        <w:rPr>
          <w:rFonts w:ascii="Arial" w:hAnsi="Arial"/>
          <w:i/>
          <w:spacing w:val="-1"/>
          <w:sz w:val="20"/>
        </w:rPr>
        <w:t xml:space="preserve"> </w:t>
      </w:r>
      <w:r>
        <w:rPr>
          <w:rFonts w:ascii="Arial" w:hAnsi="Arial"/>
          <w:i/>
          <w:sz w:val="20"/>
        </w:rPr>
        <w:t xml:space="preserve">para la </w:t>
      </w:r>
      <w:r>
        <w:rPr>
          <w:rFonts w:ascii="Arial" w:hAnsi="Arial"/>
          <w:i/>
          <w:spacing w:val="-2"/>
          <w:sz w:val="20"/>
        </w:rPr>
        <w:t>clasificación.</w:t>
      </w:r>
    </w:p>
    <w:p w:rsidR="0092635B" w:rsidRDefault="00000000">
      <w:pPr>
        <w:pStyle w:val="Prrafodelista"/>
        <w:numPr>
          <w:ilvl w:val="0"/>
          <w:numId w:val="282"/>
        </w:numPr>
        <w:tabs>
          <w:tab w:val="left" w:pos="1730"/>
        </w:tabs>
        <w:spacing w:before="123" w:line="249" w:lineRule="auto"/>
        <w:ind w:firstLine="340"/>
        <w:jc w:val="both"/>
        <w:rPr>
          <w:sz w:val="20"/>
        </w:rPr>
      </w:pPr>
      <w:r>
        <w:rPr>
          <w:sz w:val="20"/>
        </w:rPr>
        <w:t>La clasificación de las empresas se hará en función de su solvencia, valorada conforme a los criterios reglamentariamente establecidos de entre los recogidos en los artículos 87, 88 y 90, y determinará los contratos a cuya adjudicación puedan concurrir u optar por razón de su objeto y de su cuantía. A estos efectos, los contratos se dividirán en grupos generales y subgrupos, por su peculiar naturaleza, y dentro de estos por categorías, en función de su cuantía.</w:t>
      </w:r>
    </w:p>
    <w:p w:rsidR="0092635B" w:rsidRDefault="00000000">
      <w:pPr>
        <w:pStyle w:val="Textoindependiente"/>
        <w:spacing w:before="5" w:line="249" w:lineRule="auto"/>
        <w:ind w:right="1105"/>
      </w:pPr>
      <w:r>
        <w:t>La expresión de la cuantía se efectuará por referencia al valor estimado del contrato, cuando</w:t>
      </w:r>
      <w:r>
        <w:rPr>
          <w:spacing w:val="-2"/>
        </w:rPr>
        <w:t xml:space="preserve"> </w:t>
      </w:r>
      <w:r>
        <w:t>la</w:t>
      </w:r>
      <w:r>
        <w:rPr>
          <w:spacing w:val="-2"/>
        </w:rPr>
        <w:t xml:space="preserve"> </w:t>
      </w:r>
      <w:r>
        <w:t>duración</w:t>
      </w:r>
      <w:r>
        <w:rPr>
          <w:spacing w:val="-2"/>
        </w:rPr>
        <w:t xml:space="preserve"> </w:t>
      </w:r>
      <w:r>
        <w:t>de</w:t>
      </w:r>
      <w:r>
        <w:rPr>
          <w:spacing w:val="-2"/>
        </w:rPr>
        <w:t xml:space="preserve"> </w:t>
      </w:r>
      <w:r>
        <w:t>este</w:t>
      </w:r>
      <w:r>
        <w:rPr>
          <w:spacing w:val="-2"/>
        </w:rPr>
        <w:t xml:space="preserve"> </w:t>
      </w:r>
      <w:r>
        <w:t>sea</w:t>
      </w:r>
      <w:r>
        <w:rPr>
          <w:spacing w:val="-2"/>
        </w:rPr>
        <w:t xml:space="preserve"> </w:t>
      </w:r>
      <w:r>
        <w:t>igual</w:t>
      </w:r>
      <w:r>
        <w:rPr>
          <w:spacing w:val="-2"/>
        </w:rPr>
        <w:t xml:space="preserve"> </w:t>
      </w:r>
      <w:r>
        <w:t>o</w:t>
      </w:r>
      <w:r>
        <w:rPr>
          <w:spacing w:val="-2"/>
        </w:rPr>
        <w:t xml:space="preserve"> </w:t>
      </w:r>
      <w:r>
        <w:t>inferior</w:t>
      </w:r>
      <w:r>
        <w:rPr>
          <w:spacing w:val="-2"/>
        </w:rPr>
        <w:t xml:space="preserve"> </w:t>
      </w:r>
      <w:r>
        <w:t>a</w:t>
      </w:r>
      <w:r>
        <w:rPr>
          <w:spacing w:val="-2"/>
        </w:rPr>
        <w:t xml:space="preserve"> </w:t>
      </w:r>
      <w:r>
        <w:t>un</w:t>
      </w:r>
      <w:r>
        <w:rPr>
          <w:spacing w:val="-2"/>
        </w:rPr>
        <w:t xml:space="preserve"> </w:t>
      </w:r>
      <w:r>
        <w:t>año,</w:t>
      </w:r>
      <w:r>
        <w:rPr>
          <w:spacing w:val="-2"/>
        </w:rPr>
        <w:t xml:space="preserve"> </w:t>
      </w:r>
      <w:r>
        <w:t>y</w:t>
      </w:r>
      <w:r>
        <w:rPr>
          <w:spacing w:val="-2"/>
        </w:rPr>
        <w:t xml:space="preserve"> </w:t>
      </w:r>
      <w:r>
        <w:t>por</w:t>
      </w:r>
      <w:r>
        <w:rPr>
          <w:spacing w:val="-2"/>
        </w:rPr>
        <w:t xml:space="preserve"> </w:t>
      </w:r>
      <w:r>
        <w:t>referencia</w:t>
      </w:r>
      <w:r>
        <w:rPr>
          <w:spacing w:val="-2"/>
        </w:rPr>
        <w:t xml:space="preserve"> </w:t>
      </w:r>
      <w:r>
        <w:t>al</w:t>
      </w:r>
      <w:r>
        <w:rPr>
          <w:spacing w:val="-2"/>
        </w:rPr>
        <w:t xml:space="preserve"> </w:t>
      </w:r>
      <w:r>
        <w:t>valor</w:t>
      </w:r>
      <w:r>
        <w:rPr>
          <w:spacing w:val="-2"/>
        </w:rPr>
        <w:t xml:space="preserve"> </w:t>
      </w:r>
      <w:r>
        <w:t>medio</w:t>
      </w:r>
      <w:r>
        <w:rPr>
          <w:spacing w:val="-2"/>
        </w:rPr>
        <w:t xml:space="preserve"> </w:t>
      </w:r>
      <w:r>
        <w:t>anual del mismo, cuando se trate de contratos de duración superior.</w:t>
      </w:r>
    </w:p>
    <w:p w:rsidR="0092635B" w:rsidRDefault="00000000">
      <w:pPr>
        <w:pStyle w:val="Prrafodelista"/>
        <w:numPr>
          <w:ilvl w:val="0"/>
          <w:numId w:val="282"/>
        </w:numPr>
        <w:tabs>
          <w:tab w:val="left" w:pos="1740"/>
        </w:tabs>
        <w:spacing w:before="3" w:line="249" w:lineRule="auto"/>
        <w:ind w:firstLine="340"/>
        <w:jc w:val="both"/>
        <w:rPr>
          <w:sz w:val="20"/>
        </w:rPr>
      </w:pPr>
      <w:r>
        <w:rPr>
          <w:sz w:val="20"/>
        </w:rPr>
        <w:t>Para proceder a la clasificación será necesario que el empresario acredite su personalidad y capacidad de obrar, así como que se encuentra legalmente habilitado para realizar la correspondiente actividad, por disponer de las correspondientes autorizaciones o habilitaciones empresariales o profesionales, y reunir los requisitos de colegiación o inscripción u otros semejantes que puedan ser necesarios, y que no está incurso en prohibiciones de contratar.</w:t>
      </w:r>
    </w:p>
    <w:p w:rsidR="0092635B" w:rsidRDefault="00000000">
      <w:pPr>
        <w:pStyle w:val="Prrafodelista"/>
        <w:numPr>
          <w:ilvl w:val="0"/>
          <w:numId w:val="282"/>
        </w:numPr>
        <w:tabs>
          <w:tab w:val="left" w:pos="1691"/>
        </w:tabs>
        <w:spacing w:before="5" w:line="249" w:lineRule="auto"/>
        <w:ind w:right="1102" w:firstLine="340"/>
        <w:jc w:val="both"/>
        <w:rPr>
          <w:sz w:val="20"/>
        </w:rPr>
      </w:pPr>
      <w:r>
        <w:rPr>
          <w:sz w:val="20"/>
        </w:rPr>
        <w:t>En el supuesto de personas jurídicas pertenecientes a un grupo de sociedades, y a efectos de la valoración de su solvencia económica, financiera, técnica o profesional, se podrá tener en cuenta a las sociedades pertenecientes al grupo, siempre y cuando la persona jurídica en cuestión acredite que tendrá efectivamente a su disposición, durante el plazo a que se refiere el apartado 2 del artículo 82, los medios de dichas sociedades necesarios para la ejecución de los contratos.</w:t>
      </w:r>
    </w:p>
    <w:p w:rsidR="0092635B" w:rsidRDefault="00000000">
      <w:pPr>
        <w:pStyle w:val="Textoindependiente"/>
        <w:spacing w:before="5" w:line="249" w:lineRule="auto"/>
        <w:ind w:right="1105"/>
      </w:pPr>
      <w:r>
        <w:t>En el caso de puesta a disposición de medios personales, tal circunstancia deberá en todo caso ser compatible con las disposiciones aplicables en materia laboral y de derecho</w:t>
      </w:r>
      <w:r>
        <w:rPr>
          <w:spacing w:val="40"/>
        </w:rPr>
        <w:t xml:space="preserve"> </w:t>
      </w:r>
      <w:r>
        <w:t>del trabajo, y contar con el consentimiento de los trabajadores afectados.</w:t>
      </w:r>
    </w:p>
    <w:p w:rsidR="0092635B" w:rsidRDefault="00000000">
      <w:pPr>
        <w:pStyle w:val="Textoindependiente"/>
        <w:spacing w:line="249" w:lineRule="auto"/>
        <w:ind w:right="1104"/>
      </w:pPr>
      <w:r>
        <w:t>El supuesto previsto en el presente apartado no podrá conllevar, en ningún caso, la puesta a disposición exclusivamente de medios personales.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82"/>
        </w:numPr>
        <w:tabs>
          <w:tab w:val="left" w:pos="1717"/>
        </w:tabs>
        <w:spacing w:before="1" w:line="249" w:lineRule="auto"/>
        <w:ind w:right="1104" w:firstLine="340"/>
        <w:jc w:val="both"/>
        <w:rPr>
          <w:sz w:val="20"/>
        </w:rPr>
      </w:pPr>
      <w:r>
        <w:rPr>
          <w:sz w:val="20"/>
        </w:rPr>
        <w:t>Se denegará la clasificación de aquellas empresas de las que, a la vista de las personas que las rigen o de otras circunstancias, pueda presumirse que son continuación o que</w:t>
      </w:r>
      <w:r>
        <w:rPr>
          <w:spacing w:val="-3"/>
          <w:sz w:val="20"/>
        </w:rPr>
        <w:t xml:space="preserve"> </w:t>
      </w:r>
      <w:r>
        <w:rPr>
          <w:sz w:val="20"/>
        </w:rPr>
        <w:t>derivan,</w:t>
      </w:r>
      <w:r>
        <w:rPr>
          <w:spacing w:val="-3"/>
          <w:sz w:val="20"/>
        </w:rPr>
        <w:t xml:space="preserve"> </w:t>
      </w:r>
      <w:r>
        <w:rPr>
          <w:sz w:val="20"/>
        </w:rPr>
        <w:t>por</w:t>
      </w:r>
      <w:r>
        <w:rPr>
          <w:spacing w:val="-3"/>
          <w:sz w:val="20"/>
        </w:rPr>
        <w:t xml:space="preserve"> </w:t>
      </w:r>
      <w:r>
        <w:rPr>
          <w:sz w:val="20"/>
        </w:rPr>
        <w:t>transformación,</w:t>
      </w:r>
      <w:r>
        <w:rPr>
          <w:spacing w:val="-3"/>
          <w:sz w:val="20"/>
        </w:rPr>
        <w:t xml:space="preserve"> </w:t>
      </w:r>
      <w:r>
        <w:rPr>
          <w:sz w:val="20"/>
        </w:rPr>
        <w:t>fusión</w:t>
      </w:r>
      <w:r>
        <w:rPr>
          <w:spacing w:val="-3"/>
          <w:sz w:val="20"/>
        </w:rPr>
        <w:t xml:space="preserve"> </w:t>
      </w:r>
      <w:r>
        <w:rPr>
          <w:sz w:val="20"/>
        </w:rPr>
        <w:t>o</w:t>
      </w:r>
      <w:r>
        <w:rPr>
          <w:spacing w:val="-3"/>
          <w:sz w:val="20"/>
        </w:rPr>
        <w:t xml:space="preserve"> </w:t>
      </w:r>
      <w:r>
        <w:rPr>
          <w:sz w:val="20"/>
        </w:rPr>
        <w:t>sucesión,</w:t>
      </w:r>
      <w:r>
        <w:rPr>
          <w:spacing w:val="-3"/>
          <w:sz w:val="20"/>
        </w:rPr>
        <w:t xml:space="preserve"> </w:t>
      </w:r>
      <w:r>
        <w:rPr>
          <w:sz w:val="20"/>
        </w:rPr>
        <w:t>de</w:t>
      </w:r>
      <w:r>
        <w:rPr>
          <w:spacing w:val="-3"/>
          <w:sz w:val="20"/>
        </w:rPr>
        <w:t xml:space="preserve"> </w:t>
      </w:r>
      <w:r>
        <w:rPr>
          <w:sz w:val="20"/>
        </w:rPr>
        <w:t>otras</w:t>
      </w:r>
      <w:r>
        <w:rPr>
          <w:spacing w:val="-3"/>
          <w:sz w:val="20"/>
        </w:rPr>
        <w:t xml:space="preserve"> </w:t>
      </w:r>
      <w:r>
        <w:rPr>
          <w:sz w:val="20"/>
        </w:rPr>
        <w:t>afectadas</w:t>
      </w:r>
      <w:r>
        <w:rPr>
          <w:spacing w:val="-3"/>
          <w:sz w:val="20"/>
        </w:rPr>
        <w:t xml:space="preserve"> </w:t>
      </w:r>
      <w:r>
        <w:rPr>
          <w:sz w:val="20"/>
        </w:rPr>
        <w:t>por</w:t>
      </w:r>
      <w:r>
        <w:rPr>
          <w:spacing w:val="-3"/>
          <w:sz w:val="20"/>
        </w:rPr>
        <w:t xml:space="preserve"> </w:t>
      </w:r>
      <w:r>
        <w:rPr>
          <w:sz w:val="20"/>
        </w:rPr>
        <w:t>una</w:t>
      </w:r>
      <w:r>
        <w:rPr>
          <w:spacing w:val="-3"/>
          <w:sz w:val="20"/>
        </w:rPr>
        <w:t xml:space="preserve"> </w:t>
      </w:r>
      <w:r>
        <w:rPr>
          <w:sz w:val="20"/>
        </w:rPr>
        <w:t>prohibición</w:t>
      </w:r>
      <w:r>
        <w:rPr>
          <w:spacing w:val="-3"/>
          <w:sz w:val="20"/>
        </w:rPr>
        <w:t xml:space="preserve"> </w:t>
      </w:r>
      <w:r>
        <w:rPr>
          <w:sz w:val="20"/>
        </w:rPr>
        <w:t xml:space="preserve">de </w:t>
      </w:r>
      <w:r>
        <w:rPr>
          <w:spacing w:val="-2"/>
          <w:sz w:val="20"/>
        </w:rPr>
        <w:t>contratar.</w:t>
      </w:r>
    </w:p>
    <w:p w:rsidR="0092635B" w:rsidRDefault="00000000">
      <w:pPr>
        <w:pStyle w:val="Prrafodelista"/>
        <w:numPr>
          <w:ilvl w:val="0"/>
          <w:numId w:val="282"/>
        </w:numPr>
        <w:tabs>
          <w:tab w:val="left" w:pos="1752"/>
        </w:tabs>
        <w:spacing w:before="3" w:line="249" w:lineRule="auto"/>
        <w:ind w:right="1104" w:firstLine="340"/>
        <w:jc w:val="both"/>
        <w:rPr>
          <w:sz w:val="20"/>
        </w:rPr>
      </w:pPr>
      <w:r>
        <w:rPr>
          <w:sz w:val="20"/>
        </w:rPr>
        <w:t xml:space="preserve">En aquellas obras cuya naturaleza se corresponda con algunos de los tipos establecidos como subgrupo y no presenten singularidades diferentes a las normales y generales a su clase, se exigirá solamente la clasificación en el subgrupo genérico </w:t>
      </w:r>
      <w:r>
        <w:rPr>
          <w:spacing w:val="-2"/>
          <w:sz w:val="20"/>
        </w:rPr>
        <w:t>correspondiente.</w:t>
      </w:r>
    </w:p>
    <w:p w:rsidR="0092635B" w:rsidRDefault="00000000">
      <w:pPr>
        <w:pStyle w:val="Textoindependiente"/>
        <w:spacing w:before="3" w:line="249" w:lineRule="auto"/>
        <w:ind w:right="1104"/>
      </w:pPr>
      <w:r>
        <w:t>Cuando en el caso anterior, las obras presenten singularidades no normales o generales a las de su clase y sí, en cambio, asimilables a tipos de obra correspondientes a otros subgrupos</w:t>
      </w:r>
      <w:r>
        <w:rPr>
          <w:spacing w:val="-1"/>
        </w:rPr>
        <w:t xml:space="preserve"> </w:t>
      </w:r>
      <w:r>
        <w:t>diferentes</w:t>
      </w:r>
      <w:r>
        <w:rPr>
          <w:spacing w:val="-1"/>
        </w:rPr>
        <w:t xml:space="preserve"> </w:t>
      </w:r>
      <w:r>
        <w:t>del</w:t>
      </w:r>
      <w:r>
        <w:rPr>
          <w:spacing w:val="-1"/>
        </w:rPr>
        <w:t xml:space="preserve"> </w:t>
      </w:r>
      <w:r>
        <w:t>principal,</w:t>
      </w:r>
      <w:r>
        <w:rPr>
          <w:spacing w:val="-1"/>
        </w:rPr>
        <w:t xml:space="preserve"> </w:t>
      </w:r>
      <w:r>
        <w:t>la</w:t>
      </w:r>
      <w:r>
        <w:rPr>
          <w:spacing w:val="-1"/>
        </w:rPr>
        <w:t xml:space="preserve"> </w:t>
      </w:r>
      <w:r>
        <w:t>exigencia</w:t>
      </w:r>
      <w:r>
        <w:rPr>
          <w:spacing w:val="-1"/>
        </w:rPr>
        <w:t xml:space="preserve"> </w:t>
      </w:r>
      <w:r>
        <w:t>de</w:t>
      </w:r>
      <w:r>
        <w:rPr>
          <w:spacing w:val="-1"/>
        </w:rPr>
        <w:t xml:space="preserve"> </w:t>
      </w:r>
      <w:r>
        <w:t>clasificación</w:t>
      </w:r>
      <w:r>
        <w:rPr>
          <w:spacing w:val="-1"/>
        </w:rPr>
        <w:t xml:space="preserve"> </w:t>
      </w:r>
      <w:r>
        <w:t>se</w:t>
      </w:r>
      <w:r>
        <w:rPr>
          <w:spacing w:val="-1"/>
        </w:rPr>
        <w:t xml:space="preserve"> </w:t>
      </w:r>
      <w:r>
        <w:t>extenderá</w:t>
      </w:r>
      <w:r>
        <w:rPr>
          <w:spacing w:val="-1"/>
        </w:rPr>
        <w:t xml:space="preserve"> </w:t>
      </w:r>
      <w:r>
        <w:t>también</w:t>
      </w:r>
      <w:r>
        <w:rPr>
          <w:spacing w:val="-1"/>
        </w:rPr>
        <w:t xml:space="preserve"> </w:t>
      </w:r>
      <w:r>
        <w:t>a</w:t>
      </w:r>
      <w:r>
        <w:rPr>
          <w:spacing w:val="-1"/>
        </w:rPr>
        <w:t xml:space="preserve"> </w:t>
      </w:r>
      <w:r>
        <w:t>estos subgrupos con las limitaciones siguientes:</w:t>
      </w:r>
    </w:p>
    <w:p w:rsidR="0092635B" w:rsidRDefault="00000000">
      <w:pPr>
        <w:pStyle w:val="Prrafodelista"/>
        <w:numPr>
          <w:ilvl w:val="1"/>
          <w:numId w:val="282"/>
        </w:numPr>
        <w:tabs>
          <w:tab w:val="left" w:pos="1681"/>
        </w:tabs>
        <w:spacing w:before="123" w:line="249" w:lineRule="auto"/>
        <w:ind w:right="1102" w:firstLine="340"/>
        <w:jc w:val="both"/>
        <w:rPr>
          <w:sz w:val="20"/>
        </w:rPr>
      </w:pPr>
      <w:r>
        <w:rPr>
          <w:sz w:val="20"/>
        </w:rPr>
        <w:t>El</w:t>
      </w:r>
      <w:r>
        <w:rPr>
          <w:spacing w:val="-1"/>
          <w:sz w:val="20"/>
        </w:rPr>
        <w:t xml:space="preserve"> </w:t>
      </w:r>
      <w:r>
        <w:rPr>
          <w:sz w:val="20"/>
        </w:rPr>
        <w:t>número</w:t>
      </w:r>
      <w:r>
        <w:rPr>
          <w:spacing w:val="-1"/>
          <w:sz w:val="20"/>
        </w:rPr>
        <w:t xml:space="preserve"> </w:t>
      </w:r>
      <w:r>
        <w:rPr>
          <w:sz w:val="20"/>
        </w:rPr>
        <w:t>de</w:t>
      </w:r>
      <w:r>
        <w:rPr>
          <w:spacing w:val="-1"/>
          <w:sz w:val="20"/>
        </w:rPr>
        <w:t xml:space="preserve"> </w:t>
      </w:r>
      <w:r>
        <w:rPr>
          <w:sz w:val="20"/>
        </w:rPr>
        <w:t>subgrupos</w:t>
      </w:r>
      <w:r>
        <w:rPr>
          <w:spacing w:val="-1"/>
          <w:sz w:val="20"/>
        </w:rPr>
        <w:t xml:space="preserve"> </w:t>
      </w:r>
      <w:r>
        <w:rPr>
          <w:sz w:val="20"/>
        </w:rPr>
        <w:t>exigibles,</w:t>
      </w:r>
      <w:r>
        <w:rPr>
          <w:spacing w:val="-1"/>
          <w:sz w:val="20"/>
        </w:rPr>
        <w:t xml:space="preserve"> </w:t>
      </w:r>
      <w:r>
        <w:rPr>
          <w:sz w:val="20"/>
        </w:rPr>
        <w:t>salvo</w:t>
      </w:r>
      <w:r>
        <w:rPr>
          <w:spacing w:val="-1"/>
          <w:sz w:val="20"/>
        </w:rPr>
        <w:t xml:space="preserve"> </w:t>
      </w:r>
      <w:r>
        <w:rPr>
          <w:sz w:val="20"/>
        </w:rPr>
        <w:t>casos</w:t>
      </w:r>
      <w:r>
        <w:rPr>
          <w:spacing w:val="-1"/>
          <w:sz w:val="20"/>
        </w:rPr>
        <w:t xml:space="preserve"> </w:t>
      </w:r>
      <w:r>
        <w:rPr>
          <w:sz w:val="20"/>
        </w:rPr>
        <w:t>excepcionales,</w:t>
      </w:r>
      <w:r>
        <w:rPr>
          <w:spacing w:val="-1"/>
          <w:sz w:val="20"/>
        </w:rPr>
        <w:t xml:space="preserve"> </w:t>
      </w:r>
      <w:r>
        <w:rPr>
          <w:sz w:val="20"/>
        </w:rPr>
        <w:t>no</w:t>
      </w:r>
      <w:r>
        <w:rPr>
          <w:spacing w:val="-1"/>
          <w:sz w:val="20"/>
        </w:rPr>
        <w:t xml:space="preserve"> </w:t>
      </w:r>
      <w:r>
        <w:rPr>
          <w:sz w:val="20"/>
        </w:rPr>
        <w:t>podrá</w:t>
      </w:r>
      <w:r>
        <w:rPr>
          <w:spacing w:val="-1"/>
          <w:sz w:val="20"/>
        </w:rPr>
        <w:t xml:space="preserve"> </w:t>
      </w:r>
      <w:r>
        <w:rPr>
          <w:sz w:val="20"/>
        </w:rPr>
        <w:t>ser</w:t>
      </w:r>
      <w:r>
        <w:rPr>
          <w:spacing w:val="-1"/>
          <w:sz w:val="20"/>
        </w:rPr>
        <w:t xml:space="preserve"> </w:t>
      </w:r>
      <w:r>
        <w:rPr>
          <w:sz w:val="20"/>
        </w:rPr>
        <w:t>superior</w:t>
      </w:r>
      <w:r>
        <w:rPr>
          <w:spacing w:val="-1"/>
          <w:sz w:val="20"/>
        </w:rPr>
        <w:t xml:space="preserve"> </w:t>
      </w:r>
      <w:r>
        <w:rPr>
          <w:sz w:val="20"/>
        </w:rPr>
        <w:t xml:space="preserve">a </w:t>
      </w:r>
      <w:r>
        <w:rPr>
          <w:spacing w:val="-2"/>
          <w:sz w:val="20"/>
        </w:rPr>
        <w:t>cuatro.</w:t>
      </w:r>
    </w:p>
    <w:p w:rsidR="0092635B" w:rsidRDefault="00000000">
      <w:pPr>
        <w:pStyle w:val="Prrafodelista"/>
        <w:numPr>
          <w:ilvl w:val="1"/>
          <w:numId w:val="282"/>
        </w:numPr>
        <w:tabs>
          <w:tab w:val="left" w:pos="1724"/>
        </w:tabs>
        <w:spacing w:line="249" w:lineRule="auto"/>
        <w:ind w:right="1104" w:firstLine="340"/>
        <w:jc w:val="both"/>
        <w:rPr>
          <w:sz w:val="20"/>
        </w:rPr>
      </w:pPr>
      <w:r>
        <w:rPr>
          <w:sz w:val="20"/>
        </w:rPr>
        <w:t>El importe de la obra parcial que por su singularidad dé lugar a la exigencia de clasificación en el subgrupo correspondiente deberá ser superior al 20 por 100 del precio</w:t>
      </w:r>
      <w:r>
        <w:rPr>
          <w:spacing w:val="40"/>
          <w:sz w:val="20"/>
        </w:rPr>
        <w:t xml:space="preserve"> </w:t>
      </w:r>
      <w:r>
        <w:rPr>
          <w:sz w:val="20"/>
        </w:rPr>
        <w:t>total</w:t>
      </w:r>
      <w:r>
        <w:rPr>
          <w:spacing w:val="-3"/>
          <w:sz w:val="20"/>
        </w:rPr>
        <w:t xml:space="preserve"> </w:t>
      </w:r>
      <w:r>
        <w:rPr>
          <w:sz w:val="20"/>
        </w:rPr>
        <w:t>del</w:t>
      </w:r>
      <w:r>
        <w:rPr>
          <w:spacing w:val="-3"/>
          <w:sz w:val="20"/>
        </w:rPr>
        <w:t xml:space="preserve"> </w:t>
      </w:r>
      <w:r>
        <w:rPr>
          <w:sz w:val="20"/>
        </w:rPr>
        <w:t>contrato,</w:t>
      </w:r>
      <w:r>
        <w:rPr>
          <w:spacing w:val="-3"/>
          <w:sz w:val="20"/>
        </w:rPr>
        <w:t xml:space="preserve"> </w:t>
      </w:r>
      <w:r>
        <w:rPr>
          <w:sz w:val="20"/>
        </w:rPr>
        <w:t>salvo</w:t>
      </w:r>
      <w:r>
        <w:rPr>
          <w:spacing w:val="-3"/>
          <w:sz w:val="20"/>
        </w:rPr>
        <w:t xml:space="preserve"> </w:t>
      </w:r>
      <w:r>
        <w:rPr>
          <w:sz w:val="20"/>
        </w:rPr>
        <w:t>casos</w:t>
      </w:r>
      <w:r>
        <w:rPr>
          <w:spacing w:val="-3"/>
          <w:sz w:val="20"/>
        </w:rPr>
        <w:t xml:space="preserve"> </w:t>
      </w:r>
      <w:r>
        <w:rPr>
          <w:sz w:val="20"/>
        </w:rPr>
        <w:t>excepcionales,</w:t>
      </w:r>
      <w:r>
        <w:rPr>
          <w:spacing w:val="-3"/>
          <w:sz w:val="20"/>
        </w:rPr>
        <w:t xml:space="preserve"> </w:t>
      </w:r>
      <w:r>
        <w:rPr>
          <w:sz w:val="20"/>
        </w:rPr>
        <w:t>que</w:t>
      </w:r>
      <w:r>
        <w:rPr>
          <w:spacing w:val="-3"/>
          <w:sz w:val="20"/>
        </w:rPr>
        <w:t xml:space="preserve"> </w:t>
      </w:r>
      <w:r>
        <w:rPr>
          <w:sz w:val="20"/>
        </w:rPr>
        <w:t>deberán</w:t>
      </w:r>
      <w:r>
        <w:rPr>
          <w:spacing w:val="-3"/>
          <w:sz w:val="20"/>
        </w:rPr>
        <w:t xml:space="preserve"> </w:t>
      </w:r>
      <w:r>
        <w:rPr>
          <w:sz w:val="20"/>
        </w:rPr>
        <w:t>acreditarse</w:t>
      </w:r>
      <w:r>
        <w:rPr>
          <w:spacing w:val="-3"/>
          <w:sz w:val="20"/>
        </w:rPr>
        <w:t xml:space="preserve"> </w:t>
      </w:r>
      <w:r>
        <w:rPr>
          <w:sz w:val="20"/>
        </w:rPr>
        <w:t>razonadamente</w:t>
      </w:r>
      <w:r>
        <w:rPr>
          <w:spacing w:val="-3"/>
          <w:sz w:val="20"/>
        </w:rPr>
        <w:t xml:space="preserve"> </w:t>
      </w:r>
      <w:r>
        <w:rPr>
          <w:sz w:val="20"/>
        </w:rPr>
        <w:t>en</w:t>
      </w:r>
      <w:r>
        <w:rPr>
          <w:spacing w:val="-3"/>
          <w:sz w:val="20"/>
        </w:rPr>
        <w:t xml:space="preserve"> </w:t>
      </w:r>
      <w:r>
        <w:rPr>
          <w:sz w:val="20"/>
        </w:rPr>
        <w:t xml:space="preserve">los </w:t>
      </w:r>
      <w:r>
        <w:rPr>
          <w:spacing w:val="-2"/>
          <w:sz w:val="20"/>
        </w:rPr>
        <w:t>pliegos.</w:t>
      </w:r>
    </w:p>
    <w:p w:rsidR="0092635B" w:rsidRDefault="0092635B">
      <w:pPr>
        <w:pStyle w:val="Textoindependiente"/>
        <w:spacing w:before="0"/>
        <w:ind w:left="0" w:firstLine="0"/>
        <w:jc w:val="left"/>
      </w:pPr>
    </w:p>
    <w:p w:rsidR="0092635B" w:rsidRDefault="00000000">
      <w:pPr>
        <w:tabs>
          <w:tab w:val="left" w:pos="2493"/>
        </w:tabs>
        <w:spacing w:line="249" w:lineRule="auto"/>
        <w:ind w:left="1106" w:right="1120" w:hanging="1"/>
        <w:rPr>
          <w:rFonts w:ascii="Arial" w:hAnsi="Arial"/>
          <w:i/>
          <w:sz w:val="20"/>
        </w:rPr>
      </w:pPr>
      <w:bookmarkStart w:id="126" w:name="Artículo_80._Acuerdos_o_decisiones_de_cl"/>
      <w:bookmarkEnd w:id="126"/>
      <w:r>
        <w:rPr>
          <w:rFonts w:ascii="Arial" w:hAnsi="Arial"/>
          <w:b/>
          <w:sz w:val="20"/>
        </w:rPr>
        <w:t>Artículo</w:t>
      </w:r>
      <w:r>
        <w:rPr>
          <w:rFonts w:ascii="Arial" w:hAnsi="Arial"/>
          <w:b/>
          <w:spacing w:val="40"/>
          <w:sz w:val="20"/>
        </w:rPr>
        <w:t xml:space="preserve"> </w:t>
      </w:r>
      <w:r>
        <w:rPr>
          <w:rFonts w:ascii="Arial" w:hAnsi="Arial"/>
          <w:b/>
          <w:sz w:val="20"/>
        </w:rPr>
        <w:t>80.</w:t>
      </w:r>
      <w:r>
        <w:rPr>
          <w:rFonts w:ascii="Arial" w:hAnsi="Arial"/>
          <w:b/>
          <w:sz w:val="20"/>
        </w:rPr>
        <w:tab/>
      </w:r>
      <w:r>
        <w:rPr>
          <w:rFonts w:ascii="Arial" w:hAnsi="Arial"/>
          <w:i/>
          <w:sz w:val="20"/>
        </w:rPr>
        <w:t>Acuerdos</w:t>
      </w:r>
      <w:r>
        <w:rPr>
          <w:rFonts w:ascii="Arial" w:hAnsi="Arial"/>
          <w:i/>
          <w:spacing w:val="40"/>
          <w:sz w:val="20"/>
        </w:rPr>
        <w:t xml:space="preserve"> </w:t>
      </w:r>
      <w:r>
        <w:rPr>
          <w:rFonts w:ascii="Arial" w:hAnsi="Arial"/>
          <w:i/>
          <w:sz w:val="20"/>
        </w:rPr>
        <w:t>o</w:t>
      </w:r>
      <w:r>
        <w:rPr>
          <w:rFonts w:ascii="Arial" w:hAnsi="Arial"/>
          <w:i/>
          <w:spacing w:val="40"/>
          <w:sz w:val="20"/>
        </w:rPr>
        <w:t xml:space="preserve"> </w:t>
      </w:r>
      <w:r>
        <w:rPr>
          <w:rFonts w:ascii="Arial" w:hAnsi="Arial"/>
          <w:i/>
          <w:sz w:val="20"/>
        </w:rPr>
        <w:t>decisiones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clasificación:</w:t>
      </w:r>
      <w:r>
        <w:rPr>
          <w:rFonts w:ascii="Arial" w:hAnsi="Arial"/>
          <w:i/>
          <w:spacing w:val="40"/>
          <w:sz w:val="20"/>
        </w:rPr>
        <w:t xml:space="preserve"> </w:t>
      </w:r>
      <w:r>
        <w:rPr>
          <w:rFonts w:ascii="Arial" w:hAnsi="Arial"/>
          <w:i/>
          <w:sz w:val="20"/>
        </w:rPr>
        <w:t>competencia,</w:t>
      </w:r>
      <w:r>
        <w:rPr>
          <w:rFonts w:ascii="Arial" w:hAnsi="Arial"/>
          <w:i/>
          <w:spacing w:val="40"/>
          <w:sz w:val="20"/>
        </w:rPr>
        <w:t xml:space="preserve"> </w:t>
      </w:r>
      <w:r>
        <w:rPr>
          <w:rFonts w:ascii="Arial" w:hAnsi="Arial"/>
          <w:i/>
          <w:sz w:val="20"/>
        </w:rPr>
        <w:t>eficacia,</w:t>
      </w:r>
      <w:r>
        <w:rPr>
          <w:rFonts w:ascii="Arial" w:hAnsi="Arial"/>
          <w:i/>
          <w:spacing w:val="40"/>
          <w:sz w:val="20"/>
        </w:rPr>
        <w:t xml:space="preserve"> </w:t>
      </w:r>
      <w:r>
        <w:rPr>
          <w:rFonts w:ascii="Arial" w:hAnsi="Arial"/>
          <w:i/>
          <w:sz w:val="20"/>
        </w:rPr>
        <w:t>recurso</w:t>
      </w:r>
      <w:r>
        <w:rPr>
          <w:rFonts w:ascii="Arial" w:hAnsi="Arial"/>
          <w:i/>
          <w:spacing w:val="40"/>
          <w:sz w:val="20"/>
        </w:rPr>
        <w:t xml:space="preserve"> </w:t>
      </w:r>
      <w:r>
        <w:rPr>
          <w:rFonts w:ascii="Arial" w:hAnsi="Arial"/>
          <w:i/>
          <w:sz w:val="20"/>
        </w:rPr>
        <w:t>y clasificaciones divergentes.</w:t>
      </w:r>
    </w:p>
    <w:p w:rsidR="0092635B" w:rsidRDefault="00000000">
      <w:pPr>
        <w:pStyle w:val="Prrafodelista"/>
        <w:numPr>
          <w:ilvl w:val="0"/>
          <w:numId w:val="281"/>
        </w:numPr>
        <w:tabs>
          <w:tab w:val="left" w:pos="1690"/>
        </w:tabs>
        <w:spacing w:before="115" w:line="249" w:lineRule="auto"/>
        <w:ind w:right="1104" w:firstLine="340"/>
        <w:jc w:val="both"/>
        <w:rPr>
          <w:sz w:val="20"/>
        </w:rPr>
      </w:pPr>
      <w:r>
        <w:rPr>
          <w:sz w:val="20"/>
        </w:rPr>
        <w:t>Los acuerdos relativos a la clasificación de las empresas se adoptarán, con eficacia general frente a todos los órganos de contratación, por las Comisiones Clasificadoras de la Junta Consultiva de Contratación Pública del Estado y por los órganos equivalentes de las Comunidades Autónomas. En la adopción de estos acuerdos, deberán respetarse, en todo caso, las reglas y criterios establecidos en esta ley y en sus disposiciones de desarrollo.</w:t>
      </w:r>
    </w:p>
    <w:p w:rsidR="0092635B" w:rsidRDefault="00000000">
      <w:pPr>
        <w:pStyle w:val="Prrafodelista"/>
        <w:numPr>
          <w:ilvl w:val="0"/>
          <w:numId w:val="281"/>
        </w:numPr>
        <w:tabs>
          <w:tab w:val="left" w:pos="1669"/>
        </w:tabs>
        <w:spacing w:before="4" w:line="249" w:lineRule="auto"/>
        <w:ind w:firstLine="340"/>
        <w:jc w:val="both"/>
        <w:rPr>
          <w:sz w:val="20"/>
        </w:rPr>
      </w:pPr>
      <w:r>
        <w:rPr>
          <w:sz w:val="20"/>
        </w:rPr>
        <w:t>Una</w:t>
      </w:r>
      <w:r>
        <w:rPr>
          <w:spacing w:val="-3"/>
          <w:sz w:val="20"/>
        </w:rPr>
        <w:t xml:space="preserve"> </w:t>
      </w:r>
      <w:r>
        <w:rPr>
          <w:sz w:val="20"/>
        </w:rPr>
        <w:t>empresa</w:t>
      </w:r>
      <w:r>
        <w:rPr>
          <w:spacing w:val="-3"/>
          <w:sz w:val="20"/>
        </w:rPr>
        <w:t xml:space="preserve"> </w:t>
      </w:r>
      <w:r>
        <w:rPr>
          <w:sz w:val="20"/>
        </w:rPr>
        <w:t>no</w:t>
      </w:r>
      <w:r>
        <w:rPr>
          <w:spacing w:val="-3"/>
          <w:sz w:val="20"/>
        </w:rPr>
        <w:t xml:space="preserve"> </w:t>
      </w:r>
      <w:r>
        <w:rPr>
          <w:sz w:val="20"/>
        </w:rPr>
        <w:t>podrá</w:t>
      </w:r>
      <w:r>
        <w:rPr>
          <w:spacing w:val="-3"/>
          <w:sz w:val="20"/>
        </w:rPr>
        <w:t xml:space="preserve"> </w:t>
      </w:r>
      <w:r>
        <w:rPr>
          <w:sz w:val="20"/>
        </w:rPr>
        <w:t>disponer</w:t>
      </w:r>
      <w:r>
        <w:rPr>
          <w:spacing w:val="-3"/>
          <w:sz w:val="20"/>
        </w:rPr>
        <w:t xml:space="preserve"> </w:t>
      </w:r>
      <w:r>
        <w:rPr>
          <w:sz w:val="20"/>
        </w:rPr>
        <w:t>simultáneamente</w:t>
      </w:r>
      <w:r>
        <w:rPr>
          <w:spacing w:val="-3"/>
          <w:sz w:val="20"/>
        </w:rPr>
        <w:t xml:space="preserve"> </w:t>
      </w:r>
      <w:r>
        <w:rPr>
          <w:sz w:val="20"/>
        </w:rPr>
        <w:t>de</w:t>
      </w:r>
      <w:r>
        <w:rPr>
          <w:spacing w:val="-3"/>
          <w:sz w:val="20"/>
        </w:rPr>
        <w:t xml:space="preserve"> </w:t>
      </w:r>
      <w:r>
        <w:rPr>
          <w:sz w:val="20"/>
        </w:rPr>
        <w:t>clasificación</w:t>
      </w:r>
      <w:r>
        <w:rPr>
          <w:spacing w:val="-3"/>
          <w:sz w:val="20"/>
        </w:rPr>
        <w:t xml:space="preserve"> </w:t>
      </w:r>
      <w:r>
        <w:rPr>
          <w:sz w:val="20"/>
        </w:rPr>
        <w:t>como</w:t>
      </w:r>
      <w:r>
        <w:rPr>
          <w:spacing w:val="-3"/>
          <w:sz w:val="20"/>
        </w:rPr>
        <w:t xml:space="preserve"> </w:t>
      </w:r>
      <w:r>
        <w:rPr>
          <w:sz w:val="20"/>
        </w:rPr>
        <w:t>Contratista</w:t>
      </w:r>
      <w:r>
        <w:rPr>
          <w:spacing w:val="-3"/>
          <w:sz w:val="20"/>
        </w:rPr>
        <w:t xml:space="preserve"> </w:t>
      </w:r>
      <w:r>
        <w:rPr>
          <w:sz w:val="20"/>
        </w:rPr>
        <w:t>de Obras o como Contratista de Servicios otorgada por las Comisiones Clasificadoras de la Junta Consultiva de Contratación Pública del Estado y por una o más Comunidades Autónomas, o por dos o más Comunidades Autónomas, ni mantener simultáneamente en tramitación dos o más procedimientos de clasificación o de revisión de clasificación iniciados a su solicitud ante las Comisiones Clasificadoras de la Junta Consultiva de Contratación Pública del Estado y las de una o más Comunidades Autónomas, o ante dos o más Comunidades Autónomas. No obstante, una empresa sí podrá disponer de clasificación en obras</w:t>
      </w:r>
      <w:r>
        <w:rPr>
          <w:spacing w:val="-1"/>
          <w:sz w:val="20"/>
        </w:rPr>
        <w:t xml:space="preserve"> </w:t>
      </w:r>
      <w:r>
        <w:rPr>
          <w:sz w:val="20"/>
        </w:rPr>
        <w:t>otorgada</w:t>
      </w:r>
      <w:r>
        <w:rPr>
          <w:spacing w:val="-1"/>
          <w:sz w:val="20"/>
        </w:rPr>
        <w:t xml:space="preserve"> </w:t>
      </w:r>
      <w:r>
        <w:rPr>
          <w:sz w:val="20"/>
        </w:rPr>
        <w:t>por</w:t>
      </w:r>
      <w:r>
        <w:rPr>
          <w:spacing w:val="-1"/>
          <w:sz w:val="20"/>
        </w:rPr>
        <w:t xml:space="preserve"> </w:t>
      </w:r>
      <w:r>
        <w:rPr>
          <w:sz w:val="20"/>
        </w:rPr>
        <w:t>una</w:t>
      </w:r>
      <w:r>
        <w:rPr>
          <w:spacing w:val="-1"/>
          <w:sz w:val="20"/>
        </w:rPr>
        <w:t xml:space="preserve"> </w:t>
      </w:r>
      <w:r>
        <w:rPr>
          <w:sz w:val="20"/>
        </w:rPr>
        <w:t>comisión</w:t>
      </w:r>
      <w:r>
        <w:rPr>
          <w:spacing w:val="-1"/>
          <w:sz w:val="20"/>
        </w:rPr>
        <w:t xml:space="preserve"> </w:t>
      </w:r>
      <w:r>
        <w:rPr>
          <w:sz w:val="20"/>
        </w:rPr>
        <w:t>de</w:t>
      </w:r>
      <w:r>
        <w:rPr>
          <w:spacing w:val="-1"/>
          <w:sz w:val="20"/>
        </w:rPr>
        <w:t xml:space="preserve"> </w:t>
      </w:r>
      <w:r>
        <w:rPr>
          <w:sz w:val="20"/>
        </w:rPr>
        <w:t>clasificación</w:t>
      </w:r>
      <w:r>
        <w:rPr>
          <w:spacing w:val="-1"/>
          <w:sz w:val="20"/>
        </w:rPr>
        <w:t xml:space="preserve"> </w:t>
      </w:r>
      <w:r>
        <w:rPr>
          <w:sz w:val="20"/>
        </w:rPr>
        <w:t>estatal</w:t>
      </w:r>
      <w:r>
        <w:rPr>
          <w:spacing w:val="-1"/>
          <w:sz w:val="20"/>
        </w:rPr>
        <w:t xml:space="preserve"> </w:t>
      </w:r>
      <w:r>
        <w:rPr>
          <w:sz w:val="20"/>
        </w:rPr>
        <w:t>o</w:t>
      </w:r>
      <w:r>
        <w:rPr>
          <w:spacing w:val="-1"/>
          <w:sz w:val="20"/>
        </w:rPr>
        <w:t xml:space="preserve"> </w:t>
      </w:r>
      <w:r>
        <w:rPr>
          <w:sz w:val="20"/>
        </w:rPr>
        <w:t>autonómica</w:t>
      </w:r>
      <w:r>
        <w:rPr>
          <w:spacing w:val="-1"/>
          <w:sz w:val="20"/>
        </w:rPr>
        <w:t xml:space="preserve"> </w:t>
      </w:r>
      <w:r>
        <w:rPr>
          <w:sz w:val="20"/>
        </w:rPr>
        <w:t>y</w:t>
      </w:r>
      <w:r>
        <w:rPr>
          <w:spacing w:val="-1"/>
          <w:sz w:val="20"/>
        </w:rPr>
        <w:t xml:space="preserve"> </w:t>
      </w:r>
      <w:r>
        <w:rPr>
          <w:sz w:val="20"/>
        </w:rPr>
        <w:t>en</w:t>
      </w:r>
      <w:r>
        <w:rPr>
          <w:spacing w:val="-1"/>
          <w:sz w:val="20"/>
        </w:rPr>
        <w:t xml:space="preserve"> </w:t>
      </w:r>
      <w:r>
        <w:rPr>
          <w:sz w:val="20"/>
        </w:rPr>
        <w:t>servicios</w:t>
      </w:r>
      <w:r>
        <w:rPr>
          <w:spacing w:val="-1"/>
          <w:sz w:val="20"/>
        </w:rPr>
        <w:t xml:space="preserve"> </w:t>
      </w:r>
      <w:r>
        <w:rPr>
          <w:sz w:val="20"/>
        </w:rPr>
        <w:t>por</w:t>
      </w:r>
      <w:r>
        <w:rPr>
          <w:spacing w:val="-1"/>
          <w:sz w:val="20"/>
        </w:rPr>
        <w:t xml:space="preserve"> </w:t>
      </w:r>
      <w:r>
        <w:rPr>
          <w:sz w:val="20"/>
        </w:rPr>
        <w:t>otra comisión, así como también, en consecuencia, mantener simultáneamente en tramitación</w:t>
      </w:r>
      <w:r>
        <w:rPr>
          <w:spacing w:val="40"/>
          <w:sz w:val="20"/>
        </w:rPr>
        <w:t xml:space="preserve"> </w:t>
      </w:r>
      <w:r>
        <w:rPr>
          <w:sz w:val="20"/>
        </w:rPr>
        <w:t>dos procedimientos de clasificación o de revisión ante dos comisiones de clasificación diferentes, siempre que dichos procedimientos sean uno en obras y otro en servicios.</w:t>
      </w:r>
    </w:p>
    <w:p w:rsidR="0092635B" w:rsidRDefault="00000000">
      <w:pPr>
        <w:pStyle w:val="Prrafodelista"/>
        <w:numPr>
          <w:ilvl w:val="0"/>
          <w:numId w:val="281"/>
        </w:numPr>
        <w:tabs>
          <w:tab w:val="left" w:pos="1700"/>
        </w:tabs>
        <w:spacing w:before="10" w:line="249" w:lineRule="auto"/>
        <w:ind w:right="1104" w:firstLine="340"/>
        <w:jc w:val="both"/>
        <w:rPr>
          <w:sz w:val="20"/>
        </w:rPr>
      </w:pPr>
      <w:r>
        <w:rPr>
          <w:sz w:val="20"/>
        </w:rPr>
        <w:t>Cuando una empresa que ostente clasificación como Contratista de Obras o como Contratista de Servicios otorgada por la Junta Consultiva de Contratación Pública del Estado o por el órgano competente de una Comunidad Autónoma desee solicitar su clasificación ante un órgano distinto del que concedió su vigente clasificación, deberá previamente comunicar a este último su renuncia a las clasificaciones como Contratista de Obras o como Contratista de Servicios que ostenta, y hacerlo constar en su solicitud de nueva clasificación, renuncia que solo se entenderá aceptada y surtirá efecto desde la fecha de otorgamiento de la nueva clasificación. El órgano que deba otorgar o denegar la nueva clasificación deberá comunicar</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plazo</w:t>
      </w:r>
      <w:r>
        <w:rPr>
          <w:spacing w:val="-2"/>
          <w:sz w:val="20"/>
        </w:rPr>
        <w:t xml:space="preserve"> </w:t>
      </w:r>
      <w:r>
        <w:rPr>
          <w:sz w:val="20"/>
        </w:rPr>
        <w:t>de</w:t>
      </w:r>
      <w:r>
        <w:rPr>
          <w:spacing w:val="-2"/>
          <w:sz w:val="20"/>
        </w:rPr>
        <w:t xml:space="preserve"> </w:t>
      </w:r>
      <w:r>
        <w:rPr>
          <w:sz w:val="20"/>
        </w:rPr>
        <w:t>15</w:t>
      </w:r>
      <w:r>
        <w:rPr>
          <w:spacing w:val="-2"/>
          <w:sz w:val="20"/>
        </w:rPr>
        <w:t xml:space="preserve"> </w:t>
      </w:r>
      <w:r>
        <w:rPr>
          <w:sz w:val="20"/>
        </w:rPr>
        <w:t>días</w:t>
      </w:r>
      <w:r>
        <w:rPr>
          <w:spacing w:val="-2"/>
          <w:sz w:val="20"/>
        </w:rPr>
        <w:t xml:space="preserve"> </w:t>
      </w:r>
      <w:r>
        <w:rPr>
          <w:sz w:val="20"/>
        </w:rPr>
        <w:t>el</w:t>
      </w:r>
      <w:r>
        <w:rPr>
          <w:spacing w:val="-2"/>
          <w:sz w:val="20"/>
        </w:rPr>
        <w:t xml:space="preserve"> </w:t>
      </w:r>
      <w:r>
        <w:rPr>
          <w:sz w:val="20"/>
        </w:rPr>
        <w:t>acuerdo</w:t>
      </w:r>
      <w:r>
        <w:rPr>
          <w:spacing w:val="-2"/>
          <w:sz w:val="20"/>
        </w:rPr>
        <w:t xml:space="preserve"> </w:t>
      </w:r>
      <w:r>
        <w:rPr>
          <w:sz w:val="20"/>
        </w:rPr>
        <w:t>adoptado</w:t>
      </w:r>
      <w:r>
        <w:rPr>
          <w:spacing w:val="-2"/>
          <w:sz w:val="20"/>
        </w:rPr>
        <w:t xml:space="preserve"> </w:t>
      </w:r>
      <w:r>
        <w:rPr>
          <w:sz w:val="20"/>
        </w:rPr>
        <w:t>al</w:t>
      </w:r>
      <w:r>
        <w:rPr>
          <w:spacing w:val="-2"/>
          <w:sz w:val="20"/>
        </w:rPr>
        <w:t xml:space="preserve"> </w:t>
      </w:r>
      <w:r>
        <w:rPr>
          <w:sz w:val="20"/>
        </w:rPr>
        <w:t>órgano</w:t>
      </w:r>
      <w:r>
        <w:rPr>
          <w:spacing w:val="-2"/>
          <w:sz w:val="20"/>
        </w:rPr>
        <w:t xml:space="preserve"> </w:t>
      </w:r>
      <w:r>
        <w:rPr>
          <w:sz w:val="20"/>
        </w:rPr>
        <w:t>u</w:t>
      </w:r>
      <w:r>
        <w:rPr>
          <w:spacing w:val="-2"/>
          <w:sz w:val="20"/>
        </w:rPr>
        <w:t xml:space="preserve"> </w:t>
      </w:r>
      <w:r>
        <w:rPr>
          <w:sz w:val="20"/>
        </w:rPr>
        <w:t>órganos</w:t>
      </w:r>
      <w:r>
        <w:rPr>
          <w:spacing w:val="-2"/>
          <w:sz w:val="20"/>
        </w:rPr>
        <w:t xml:space="preserve"> </w:t>
      </w:r>
      <w:r>
        <w:rPr>
          <w:sz w:val="20"/>
        </w:rPr>
        <w:t>que</w:t>
      </w:r>
      <w:r>
        <w:rPr>
          <w:spacing w:val="-2"/>
          <w:sz w:val="20"/>
        </w:rPr>
        <w:t xml:space="preserve"> </w:t>
      </w:r>
      <w:r>
        <w:rPr>
          <w:sz w:val="20"/>
        </w:rPr>
        <w:t>otorgaron</w:t>
      </w:r>
      <w:r>
        <w:rPr>
          <w:spacing w:val="-2"/>
          <w:sz w:val="20"/>
        </w:rPr>
        <w:t xml:space="preserve"> </w:t>
      </w:r>
      <w:r>
        <w:rPr>
          <w:sz w:val="20"/>
        </w:rPr>
        <w:t>las clasificaciones que la nueva clasificación sustituye, quienes practicarán las correspondientes inscripciones registrales.</w:t>
      </w:r>
    </w:p>
    <w:p w:rsidR="0092635B" w:rsidRDefault="00000000">
      <w:pPr>
        <w:pStyle w:val="Prrafodelista"/>
        <w:numPr>
          <w:ilvl w:val="0"/>
          <w:numId w:val="281"/>
        </w:numPr>
        <w:tabs>
          <w:tab w:val="left" w:pos="1774"/>
        </w:tabs>
        <w:spacing w:before="9" w:line="249" w:lineRule="auto"/>
        <w:ind w:right="1102" w:firstLine="340"/>
        <w:jc w:val="both"/>
        <w:rPr>
          <w:sz w:val="20"/>
        </w:rPr>
      </w:pPr>
      <w:r>
        <w:rPr>
          <w:sz w:val="20"/>
        </w:rPr>
        <w:t>Cuando por cualquier circunstancia una empresa ostentase simultáneamente clasificación como Contratista de Obras o como Contratista de Servicios otorgada por las Comisiones Clasificadoras de la Junta Consultiva de Contratación Pública del Estado y por una o más Comunidades Autónomas, o por dos o más Comunidades Autónomas, prevalecerá la otorgada en fecha más reciente, careciendo las demás de valor y efectos en</w:t>
      </w:r>
      <w:r>
        <w:rPr>
          <w:spacing w:val="40"/>
          <w:sz w:val="20"/>
        </w:rPr>
        <w:t xml:space="preserve"> </w:t>
      </w:r>
      <w:r>
        <w:rPr>
          <w:sz w:val="20"/>
        </w:rPr>
        <w:t>la contratación pública.</w:t>
      </w:r>
    </w:p>
    <w:p w:rsidR="0092635B" w:rsidRDefault="00000000">
      <w:pPr>
        <w:pStyle w:val="Prrafodelista"/>
        <w:numPr>
          <w:ilvl w:val="0"/>
          <w:numId w:val="281"/>
        </w:numPr>
        <w:tabs>
          <w:tab w:val="left" w:pos="1675"/>
        </w:tabs>
        <w:spacing w:before="5" w:line="249" w:lineRule="auto"/>
        <w:ind w:right="1104" w:firstLine="340"/>
        <w:jc w:val="both"/>
        <w:rPr>
          <w:sz w:val="20"/>
        </w:rPr>
      </w:pPr>
      <w:r>
        <w:rPr>
          <w:sz w:val="20"/>
        </w:rPr>
        <w:t>Mediante Orden de la persona titular del Ministerio de Hacienda y Función Pública, se adoptarán</w:t>
      </w:r>
      <w:r>
        <w:rPr>
          <w:spacing w:val="20"/>
          <w:sz w:val="20"/>
        </w:rPr>
        <w:t xml:space="preserve"> </w:t>
      </w:r>
      <w:r>
        <w:rPr>
          <w:sz w:val="20"/>
        </w:rPr>
        <w:t>las</w:t>
      </w:r>
      <w:r>
        <w:rPr>
          <w:spacing w:val="22"/>
          <w:sz w:val="20"/>
        </w:rPr>
        <w:t xml:space="preserve"> </w:t>
      </w:r>
      <w:r>
        <w:rPr>
          <w:sz w:val="20"/>
        </w:rPr>
        <w:t>instrucciones</w:t>
      </w:r>
      <w:r>
        <w:rPr>
          <w:spacing w:val="22"/>
          <w:sz w:val="20"/>
        </w:rPr>
        <w:t xml:space="preserve"> </w:t>
      </w:r>
      <w:r>
        <w:rPr>
          <w:sz w:val="20"/>
        </w:rPr>
        <w:t>necesarias</w:t>
      </w:r>
      <w:r>
        <w:rPr>
          <w:spacing w:val="23"/>
          <w:sz w:val="20"/>
        </w:rPr>
        <w:t xml:space="preserve"> </w:t>
      </w:r>
      <w:r>
        <w:rPr>
          <w:sz w:val="20"/>
        </w:rPr>
        <w:t>para</w:t>
      </w:r>
      <w:r>
        <w:rPr>
          <w:spacing w:val="22"/>
          <w:sz w:val="20"/>
        </w:rPr>
        <w:t xml:space="preserve"> </w:t>
      </w:r>
      <w:r>
        <w:rPr>
          <w:sz w:val="20"/>
        </w:rPr>
        <w:t>regular</w:t>
      </w:r>
      <w:r>
        <w:rPr>
          <w:spacing w:val="22"/>
          <w:sz w:val="20"/>
        </w:rPr>
        <w:t xml:space="preserve"> </w:t>
      </w:r>
      <w:r>
        <w:rPr>
          <w:sz w:val="20"/>
        </w:rPr>
        <w:t>la</w:t>
      </w:r>
      <w:r>
        <w:rPr>
          <w:spacing w:val="22"/>
          <w:sz w:val="20"/>
        </w:rPr>
        <w:t xml:space="preserve"> </w:t>
      </w:r>
      <w:r>
        <w:rPr>
          <w:sz w:val="20"/>
        </w:rPr>
        <w:t>práctica</w:t>
      </w:r>
      <w:r>
        <w:rPr>
          <w:spacing w:val="23"/>
          <w:sz w:val="20"/>
        </w:rPr>
        <w:t xml:space="preserve"> </w:t>
      </w:r>
      <w:r>
        <w:rPr>
          <w:sz w:val="20"/>
        </w:rPr>
        <w:t>por</w:t>
      </w:r>
      <w:r>
        <w:rPr>
          <w:spacing w:val="22"/>
          <w:sz w:val="20"/>
        </w:rPr>
        <w:t xml:space="preserve"> </w:t>
      </w:r>
      <w:r>
        <w:rPr>
          <w:sz w:val="20"/>
        </w:rPr>
        <w:t>medios</w:t>
      </w:r>
      <w:r>
        <w:rPr>
          <w:spacing w:val="22"/>
          <w:sz w:val="20"/>
        </w:rPr>
        <w:t xml:space="preserve"> </w:t>
      </w:r>
      <w:r>
        <w:rPr>
          <w:sz w:val="20"/>
        </w:rPr>
        <w:t>electrónicos</w:t>
      </w:r>
      <w:r>
        <w:rPr>
          <w:spacing w:val="23"/>
          <w:sz w:val="20"/>
        </w:rPr>
        <w:t xml:space="preserve"> </w:t>
      </w:r>
      <w:r>
        <w:rPr>
          <w:spacing w:val="-5"/>
          <w:sz w:val="20"/>
        </w:rPr>
        <w:t>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las comunicaciones entre el Registro Oficial de Licitadores y Empresas Clasificadas del Sector Público y los Registros de licitadores y empresas clasificadas de las Comunidades Autónomas que permitan el intercambio recíproco de la información relativa a la clasificación de los contratistas en ellos inscrita.</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127" w:name="Artículo_81._Inscripción_registral_de_la"/>
      <w:bookmarkEnd w:id="127"/>
      <w:r>
        <w:rPr>
          <w:rFonts w:ascii="Arial" w:hAnsi="Arial"/>
          <w:b/>
          <w:sz w:val="20"/>
        </w:rPr>
        <w:t>Artículo</w:t>
      </w:r>
      <w:r>
        <w:rPr>
          <w:rFonts w:ascii="Arial" w:hAnsi="Arial"/>
          <w:b/>
          <w:spacing w:val="-3"/>
          <w:sz w:val="20"/>
        </w:rPr>
        <w:t xml:space="preserve"> </w:t>
      </w:r>
      <w:r>
        <w:rPr>
          <w:rFonts w:ascii="Arial" w:hAnsi="Arial"/>
          <w:b/>
          <w:sz w:val="20"/>
        </w:rPr>
        <w:t>81.</w:t>
      </w:r>
      <w:r>
        <w:rPr>
          <w:rFonts w:ascii="Arial" w:hAnsi="Arial"/>
          <w:b/>
          <w:spacing w:val="48"/>
          <w:sz w:val="20"/>
        </w:rPr>
        <w:t xml:space="preserve"> </w:t>
      </w:r>
      <w:r>
        <w:rPr>
          <w:rFonts w:ascii="Arial" w:hAnsi="Arial"/>
          <w:i/>
          <w:sz w:val="20"/>
        </w:rPr>
        <w:t>Inscripción</w:t>
      </w:r>
      <w:r>
        <w:rPr>
          <w:rFonts w:ascii="Arial" w:hAnsi="Arial"/>
          <w:i/>
          <w:spacing w:val="-3"/>
          <w:sz w:val="20"/>
        </w:rPr>
        <w:t xml:space="preserve"> </w:t>
      </w:r>
      <w:r>
        <w:rPr>
          <w:rFonts w:ascii="Arial" w:hAnsi="Arial"/>
          <w:i/>
          <w:sz w:val="20"/>
        </w:rPr>
        <w:t>registral</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clasificación.</w:t>
      </w:r>
    </w:p>
    <w:p w:rsidR="0092635B" w:rsidRDefault="00000000">
      <w:pPr>
        <w:pStyle w:val="Textoindependiente"/>
        <w:spacing w:before="123" w:line="249" w:lineRule="auto"/>
        <w:ind w:right="1103"/>
      </w:pPr>
      <w:r>
        <w:t>Los acuerdos relativos a la clasificación de las empresas adoptados por las Comisiones Clasificadoras de la Junta Consultiva de Contratación Pública del Estado se inscribirán de oficio en el Registro Oficial de Licitadores y Empresas Clasificadas del Sector Público.</w:t>
      </w:r>
    </w:p>
    <w:p w:rsidR="0092635B" w:rsidRDefault="00000000">
      <w:pPr>
        <w:pStyle w:val="Textoindependiente"/>
        <w:spacing w:before="3" w:line="249" w:lineRule="auto"/>
        <w:ind w:right="1103"/>
      </w:pPr>
      <w:r>
        <w:t>Los acuerdos relativos a la clasificación de las empresas adoptados por los órganos competentes de las Comunidades Autónomas que hayan asumido dicha competencia serán inscritos de oficio en el Registro de Licitadores de la respectiva Comunidad Autónoma, si dispone de tal Registro, y comunicados por el órgano que los adoptó al Registro Oficial de Licitadores y Empresas Clasificadas del Sector Público para su inscripción.</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128" w:name="Artículo_82._Plazo_de_vigencia_y_revisió"/>
      <w:bookmarkEnd w:id="128"/>
      <w:r>
        <w:rPr>
          <w:rFonts w:ascii="Arial" w:hAnsi="Arial"/>
          <w:b/>
          <w:sz w:val="20"/>
        </w:rPr>
        <w:t>Artículo</w:t>
      </w:r>
      <w:r>
        <w:rPr>
          <w:rFonts w:ascii="Arial" w:hAnsi="Arial"/>
          <w:b/>
          <w:spacing w:val="-4"/>
          <w:sz w:val="20"/>
        </w:rPr>
        <w:t xml:space="preserve"> </w:t>
      </w:r>
      <w:r>
        <w:rPr>
          <w:rFonts w:ascii="Arial" w:hAnsi="Arial"/>
          <w:b/>
          <w:sz w:val="20"/>
        </w:rPr>
        <w:t>82.</w:t>
      </w:r>
      <w:r>
        <w:rPr>
          <w:rFonts w:ascii="Arial" w:hAnsi="Arial"/>
          <w:b/>
          <w:spacing w:val="50"/>
          <w:sz w:val="20"/>
        </w:rPr>
        <w:t xml:space="preserve"> </w:t>
      </w:r>
      <w:r>
        <w:rPr>
          <w:rFonts w:ascii="Arial" w:hAnsi="Arial"/>
          <w:i/>
          <w:sz w:val="20"/>
        </w:rPr>
        <w:t>Plazo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vigencia</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revisión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clasificaciones.</w:t>
      </w:r>
    </w:p>
    <w:p w:rsidR="0092635B" w:rsidRDefault="00000000">
      <w:pPr>
        <w:pStyle w:val="Prrafodelista"/>
        <w:numPr>
          <w:ilvl w:val="0"/>
          <w:numId w:val="280"/>
        </w:numPr>
        <w:tabs>
          <w:tab w:val="left" w:pos="1669"/>
        </w:tabs>
        <w:spacing w:before="124" w:line="249" w:lineRule="auto"/>
        <w:ind w:right="1105" w:firstLine="340"/>
        <w:jc w:val="both"/>
        <w:rPr>
          <w:sz w:val="20"/>
        </w:rPr>
      </w:pPr>
      <w:r>
        <w:rPr>
          <w:sz w:val="20"/>
        </w:rPr>
        <w:t>La</w:t>
      </w:r>
      <w:r>
        <w:rPr>
          <w:spacing w:val="-2"/>
          <w:sz w:val="20"/>
        </w:rPr>
        <w:t xml:space="preserve"> </w:t>
      </w:r>
      <w:r>
        <w:rPr>
          <w:sz w:val="20"/>
        </w:rPr>
        <w:t>clasificación</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empresas</w:t>
      </w:r>
      <w:r>
        <w:rPr>
          <w:spacing w:val="-2"/>
          <w:sz w:val="20"/>
        </w:rPr>
        <w:t xml:space="preserve"> </w:t>
      </w:r>
      <w:r>
        <w:rPr>
          <w:sz w:val="20"/>
        </w:rPr>
        <w:t>tendrá</w:t>
      </w:r>
      <w:r>
        <w:rPr>
          <w:spacing w:val="-2"/>
          <w:sz w:val="20"/>
        </w:rPr>
        <w:t xml:space="preserve"> </w:t>
      </w:r>
      <w:r>
        <w:rPr>
          <w:sz w:val="20"/>
        </w:rPr>
        <w:t>una</w:t>
      </w:r>
      <w:r>
        <w:rPr>
          <w:spacing w:val="-2"/>
          <w:sz w:val="20"/>
        </w:rPr>
        <w:t xml:space="preserve"> </w:t>
      </w:r>
      <w:r>
        <w:rPr>
          <w:sz w:val="20"/>
        </w:rPr>
        <w:t>vigencia</w:t>
      </w:r>
      <w:r>
        <w:rPr>
          <w:spacing w:val="-2"/>
          <w:sz w:val="20"/>
        </w:rPr>
        <w:t xml:space="preserve"> </w:t>
      </w:r>
      <w:r>
        <w:rPr>
          <w:sz w:val="20"/>
        </w:rPr>
        <w:t>indefinida</w:t>
      </w:r>
      <w:r>
        <w:rPr>
          <w:spacing w:val="-2"/>
          <w:sz w:val="20"/>
        </w:rPr>
        <w:t xml:space="preserve"> </w:t>
      </w:r>
      <w:r>
        <w:rPr>
          <w:sz w:val="20"/>
        </w:rPr>
        <w:t>en</w:t>
      </w:r>
      <w:r>
        <w:rPr>
          <w:spacing w:val="-2"/>
          <w:sz w:val="20"/>
        </w:rPr>
        <w:t xml:space="preserve"> </w:t>
      </w:r>
      <w:r>
        <w:rPr>
          <w:sz w:val="20"/>
        </w:rPr>
        <w:t>tanto</w:t>
      </w:r>
      <w:r>
        <w:rPr>
          <w:spacing w:val="-2"/>
          <w:sz w:val="20"/>
        </w:rPr>
        <w:t xml:space="preserve"> </w:t>
      </w:r>
      <w:r>
        <w:rPr>
          <w:sz w:val="20"/>
        </w:rPr>
        <w:t>se</w:t>
      </w:r>
      <w:r>
        <w:rPr>
          <w:spacing w:val="-2"/>
          <w:sz w:val="20"/>
        </w:rPr>
        <w:t xml:space="preserve"> </w:t>
      </w:r>
      <w:r>
        <w:rPr>
          <w:sz w:val="20"/>
        </w:rPr>
        <w:t>mantengan por el empresario las condiciones y circunstancias en que se basó su concesión.</w:t>
      </w:r>
    </w:p>
    <w:p w:rsidR="0092635B" w:rsidRDefault="00000000">
      <w:pPr>
        <w:pStyle w:val="Prrafodelista"/>
        <w:numPr>
          <w:ilvl w:val="0"/>
          <w:numId w:val="280"/>
        </w:numPr>
        <w:tabs>
          <w:tab w:val="left" w:pos="1689"/>
        </w:tabs>
        <w:spacing w:line="249" w:lineRule="auto"/>
        <w:ind w:firstLine="340"/>
        <w:jc w:val="both"/>
        <w:rPr>
          <w:sz w:val="20"/>
        </w:rPr>
      </w:pPr>
      <w:r>
        <w:rPr>
          <w:sz w:val="20"/>
        </w:rPr>
        <w:t>No obstante, y sin perjuicio de lo señalado en el apartado 3 de este artículo y en el artículo siguiente, para la conservación de la clasificación deberá justificarse anualmente el mantenimiento de la solvencia económica y financiera y, cada tres años, el de la solvencia técnica y profesional, a cuyo efecto el empresario aportará la correspondiente declaración responsable o en su defecto la documentación actualizada en los términos que se establezcan reglamentariamente.</w:t>
      </w:r>
    </w:p>
    <w:p w:rsidR="0092635B" w:rsidRDefault="00000000">
      <w:pPr>
        <w:pStyle w:val="Textoindependiente"/>
        <w:spacing w:before="4" w:line="249" w:lineRule="auto"/>
        <w:ind w:right="1104"/>
      </w:pPr>
      <w:r>
        <w:t>La no aportación en los plazos reglamentariamente establecidos de las declaraciones o documentos a los que se refiere el párrafo anterior dará lugar a la suspensión automática de las clasificaciones ostentadas, así como a la apertura de expediente de revisión de clasificación. La suspensión de las clasificaciones se levantará por la aportación de dichas declaraciones o documentos, si aún no se ha comunicado al interesado el inicio del expediente de revisión, o por el acuerdo de revisión de clasificación adoptado por el órgano competente, en caso contrario.</w:t>
      </w:r>
    </w:p>
    <w:p w:rsidR="0092635B" w:rsidRDefault="00000000">
      <w:pPr>
        <w:pStyle w:val="Textoindependiente"/>
        <w:spacing w:before="20"/>
        <w:ind w:left="0" w:firstLine="0"/>
        <w:jc w:val="left"/>
      </w:pPr>
      <w:r>
        <w:rPr>
          <w:noProof/>
        </w:rPr>
        <mc:AlternateContent>
          <mc:Choice Requires="wps">
            <w:drawing>
              <wp:anchor distT="0" distB="0" distL="0" distR="0" simplePos="0" relativeHeight="487591936" behindDoc="1" locked="0" layoutInCell="1" allowOverlap="1">
                <wp:simplePos x="0" y="0"/>
                <wp:positionH relativeFrom="page">
                  <wp:posOffset>1156762</wp:posOffset>
                </wp:positionH>
                <wp:positionV relativeFrom="paragraph">
                  <wp:posOffset>179226</wp:posOffset>
                </wp:positionV>
                <wp:extent cx="5247005" cy="78676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2 es conforme con el orden constitucional de competencias, siempre que se interprete en los términos establecidos en el fundamento</w:t>
                            </w:r>
                            <w:r>
                              <w:rPr>
                                <w:color w:val="000000"/>
                                <w:spacing w:val="33"/>
                                <w:sz w:val="18"/>
                              </w:rPr>
                              <w:t xml:space="preserve"> </w:t>
                            </w:r>
                            <w:r>
                              <w:rPr>
                                <w:color w:val="000000"/>
                                <w:sz w:val="18"/>
                              </w:rPr>
                              <w:t>jurídico</w:t>
                            </w:r>
                            <w:r>
                              <w:rPr>
                                <w:color w:val="000000"/>
                                <w:spacing w:val="33"/>
                                <w:sz w:val="18"/>
                              </w:rPr>
                              <w:t xml:space="preserve"> </w:t>
                            </w:r>
                            <w:r>
                              <w:rPr>
                                <w:color w:val="000000"/>
                                <w:sz w:val="18"/>
                              </w:rPr>
                              <w:t>6</w:t>
                            </w:r>
                            <w:r>
                              <w:rPr>
                                <w:color w:val="000000"/>
                                <w:spacing w:val="33"/>
                                <w:sz w:val="18"/>
                              </w:rPr>
                              <w:t xml:space="preserve"> </w:t>
                            </w:r>
                            <w:r>
                              <w:rPr>
                                <w:color w:val="000000"/>
                                <w:sz w:val="18"/>
                              </w:rPr>
                              <w:t>G)</w:t>
                            </w:r>
                            <w:r>
                              <w:rPr>
                                <w:color w:val="000000"/>
                                <w:spacing w:val="33"/>
                                <w:sz w:val="18"/>
                              </w:rPr>
                              <w:t xml:space="preserve"> </w:t>
                            </w:r>
                            <w:r>
                              <w:rPr>
                                <w:color w:val="000000"/>
                                <w:sz w:val="18"/>
                              </w:rPr>
                              <w:t>g),</w:t>
                            </w:r>
                            <w:r>
                              <w:rPr>
                                <w:color w:val="000000"/>
                                <w:spacing w:val="33"/>
                                <w:sz w:val="18"/>
                              </w:rPr>
                              <w:t xml:space="preserve"> </w:t>
                            </w:r>
                            <w:r>
                              <w:rPr>
                                <w:color w:val="000000"/>
                                <w:sz w:val="18"/>
                              </w:rPr>
                              <w:t>por</w:t>
                            </w:r>
                            <w:r>
                              <w:rPr>
                                <w:color w:val="000000"/>
                                <w:spacing w:val="33"/>
                                <w:sz w:val="18"/>
                              </w:rPr>
                              <w:t xml:space="preserve"> </w:t>
                            </w:r>
                            <w:r>
                              <w:rPr>
                                <w:color w:val="000000"/>
                                <w:sz w:val="18"/>
                              </w:rPr>
                              <w:t>la</w:t>
                            </w:r>
                            <w:r>
                              <w:rPr>
                                <w:color w:val="000000"/>
                                <w:spacing w:val="33"/>
                                <w:sz w:val="18"/>
                              </w:rPr>
                              <w:t xml:space="preserve"> </w:t>
                            </w:r>
                            <w:r>
                              <w:rPr>
                                <w:color w:val="000000"/>
                                <w:sz w:val="18"/>
                              </w:rPr>
                              <w:t>Sentencia</w:t>
                            </w:r>
                            <w:r>
                              <w:rPr>
                                <w:color w:val="000000"/>
                                <w:spacing w:val="33"/>
                                <w:sz w:val="18"/>
                              </w:rPr>
                              <w:t xml:space="preserve"> </w:t>
                            </w:r>
                            <w:r>
                              <w:rPr>
                                <w:color w:val="000000"/>
                                <w:sz w:val="18"/>
                              </w:rPr>
                              <w:t>del</w:t>
                            </w:r>
                            <w:r>
                              <w:rPr>
                                <w:color w:val="000000"/>
                                <w:spacing w:val="33"/>
                                <w:sz w:val="18"/>
                              </w:rPr>
                              <w:t xml:space="preserve"> </w:t>
                            </w:r>
                            <w:r>
                              <w:rPr>
                                <w:color w:val="000000"/>
                                <w:sz w:val="18"/>
                              </w:rPr>
                              <w:t>TC</w:t>
                            </w:r>
                            <w:r>
                              <w:rPr>
                                <w:color w:val="000000"/>
                                <w:spacing w:val="33"/>
                                <w:sz w:val="18"/>
                              </w:rPr>
                              <w:t xml:space="preserve"> </w:t>
                            </w:r>
                            <w:r>
                              <w:rPr>
                                <w:color w:val="000000"/>
                                <w:sz w:val="18"/>
                              </w:rPr>
                              <w:t>68/2021,</w:t>
                            </w:r>
                            <w:r>
                              <w:rPr>
                                <w:color w:val="000000"/>
                                <w:spacing w:val="33"/>
                                <w:sz w:val="18"/>
                              </w:rPr>
                              <w:t xml:space="preserve"> </w:t>
                            </w:r>
                            <w:r>
                              <w:rPr>
                                <w:color w:val="000000"/>
                                <w:sz w:val="18"/>
                              </w:rPr>
                              <w:t>de</w:t>
                            </w:r>
                            <w:r>
                              <w:rPr>
                                <w:color w:val="000000"/>
                                <w:spacing w:val="33"/>
                                <w:sz w:val="18"/>
                              </w:rPr>
                              <w:t xml:space="preserve"> </w:t>
                            </w:r>
                            <w:r>
                              <w:rPr>
                                <w:color w:val="000000"/>
                                <w:sz w:val="18"/>
                              </w:rPr>
                              <w:t>18</w:t>
                            </w:r>
                            <w:r>
                              <w:rPr>
                                <w:color w:val="000000"/>
                                <w:spacing w:val="33"/>
                                <w:sz w:val="18"/>
                              </w:rPr>
                              <w:t xml:space="preserve"> </w:t>
                            </w:r>
                            <w:r>
                              <w:rPr>
                                <w:color w:val="000000"/>
                                <w:sz w:val="18"/>
                              </w:rPr>
                              <w:t>de</w:t>
                            </w:r>
                            <w:r>
                              <w:rPr>
                                <w:color w:val="000000"/>
                                <w:spacing w:val="33"/>
                                <w:sz w:val="18"/>
                              </w:rPr>
                              <w:t xml:space="preserve"> </w:t>
                            </w:r>
                            <w:r>
                              <w:rPr>
                                <w:color w:val="000000"/>
                                <w:sz w:val="18"/>
                              </w:rPr>
                              <w:t>marzo.</w:t>
                            </w:r>
                            <w:r>
                              <w:rPr>
                                <w:color w:val="000000"/>
                                <w:spacing w:val="32"/>
                                <w:sz w:val="18"/>
                              </w:rPr>
                              <w:t xml:space="preserve"> </w:t>
                            </w:r>
                            <w:hyperlink r:id="rId25">
                              <w:r>
                                <w:rPr>
                                  <w:color w:val="0000FF"/>
                                  <w:sz w:val="18"/>
                                  <w:u w:val="single" w:color="0000FF"/>
                                </w:rPr>
                                <w:t>Ref.</w:t>
                              </w:r>
                              <w:r>
                                <w:rPr>
                                  <w:color w:val="0000FF"/>
                                  <w:spacing w:val="33"/>
                                  <w:sz w:val="18"/>
                                  <w:u w:val="single" w:color="0000FF"/>
                                </w:rPr>
                                <w:t xml:space="preserve"> </w:t>
                              </w:r>
                              <w:r>
                                <w:rPr>
                                  <w:color w:val="0000FF"/>
                                  <w:sz w:val="18"/>
                                  <w:u w:val="single" w:color="0000FF"/>
                                </w:rPr>
                                <w:t>BOE-</w:t>
                              </w:r>
                            </w:hyperlink>
                            <w:r>
                              <w:rPr>
                                <w:color w:val="0000FF"/>
                                <w:sz w:val="18"/>
                              </w:rPr>
                              <w:t xml:space="preserve"> </w:t>
                            </w:r>
                            <w:hyperlink r:id="rId26">
                              <w:r>
                                <w:rPr>
                                  <w:color w:val="0000FF"/>
                                  <w:spacing w:val="-2"/>
                                  <w:sz w:val="18"/>
                                  <w:u w:val="single" w:color="0000FF"/>
                                </w:rPr>
                                <w:t>A-2021-6614</w:t>
                              </w:r>
                            </w:hyperlink>
                          </w:p>
                        </w:txbxContent>
                      </wps:txbx>
                      <wps:bodyPr wrap="square" lIns="0" tIns="0" rIns="0" bIns="0" rtlCol="0">
                        <a:noAutofit/>
                      </wps:bodyPr>
                    </wps:wsp>
                  </a:graphicData>
                </a:graphic>
              </wp:anchor>
            </w:drawing>
          </mc:Choice>
          <mc:Fallback>
            <w:pict>
              <v:shape id="Textbox 16" o:spid="_x0000_s1031" type="#_x0000_t202" style="position:absolute;margin-left:91.1pt;margin-top:14.1pt;width:413.15pt;height:61.9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2 es conforme con el orden constitucional de competencias, siempre que se interprete en los términos establecidos en el fundamento</w:t>
                      </w:r>
                      <w:r>
                        <w:rPr>
                          <w:color w:val="000000"/>
                          <w:spacing w:val="33"/>
                          <w:sz w:val="18"/>
                        </w:rPr>
                        <w:t xml:space="preserve"> </w:t>
                      </w:r>
                      <w:r>
                        <w:rPr>
                          <w:color w:val="000000"/>
                          <w:sz w:val="18"/>
                        </w:rPr>
                        <w:t>jurídico</w:t>
                      </w:r>
                      <w:r>
                        <w:rPr>
                          <w:color w:val="000000"/>
                          <w:spacing w:val="33"/>
                          <w:sz w:val="18"/>
                        </w:rPr>
                        <w:t xml:space="preserve"> </w:t>
                      </w:r>
                      <w:r>
                        <w:rPr>
                          <w:color w:val="000000"/>
                          <w:sz w:val="18"/>
                        </w:rPr>
                        <w:t>6</w:t>
                      </w:r>
                      <w:r>
                        <w:rPr>
                          <w:color w:val="000000"/>
                          <w:spacing w:val="33"/>
                          <w:sz w:val="18"/>
                        </w:rPr>
                        <w:t xml:space="preserve"> </w:t>
                      </w:r>
                      <w:r>
                        <w:rPr>
                          <w:color w:val="000000"/>
                          <w:sz w:val="18"/>
                        </w:rPr>
                        <w:t>G)</w:t>
                      </w:r>
                      <w:r>
                        <w:rPr>
                          <w:color w:val="000000"/>
                          <w:spacing w:val="33"/>
                          <w:sz w:val="18"/>
                        </w:rPr>
                        <w:t xml:space="preserve"> </w:t>
                      </w:r>
                      <w:r>
                        <w:rPr>
                          <w:color w:val="000000"/>
                          <w:sz w:val="18"/>
                        </w:rPr>
                        <w:t>g),</w:t>
                      </w:r>
                      <w:r>
                        <w:rPr>
                          <w:color w:val="000000"/>
                          <w:spacing w:val="33"/>
                          <w:sz w:val="18"/>
                        </w:rPr>
                        <w:t xml:space="preserve"> </w:t>
                      </w:r>
                      <w:r>
                        <w:rPr>
                          <w:color w:val="000000"/>
                          <w:sz w:val="18"/>
                        </w:rPr>
                        <w:t>por</w:t>
                      </w:r>
                      <w:r>
                        <w:rPr>
                          <w:color w:val="000000"/>
                          <w:spacing w:val="33"/>
                          <w:sz w:val="18"/>
                        </w:rPr>
                        <w:t xml:space="preserve"> </w:t>
                      </w:r>
                      <w:r>
                        <w:rPr>
                          <w:color w:val="000000"/>
                          <w:sz w:val="18"/>
                        </w:rPr>
                        <w:t>la</w:t>
                      </w:r>
                      <w:r>
                        <w:rPr>
                          <w:color w:val="000000"/>
                          <w:spacing w:val="33"/>
                          <w:sz w:val="18"/>
                        </w:rPr>
                        <w:t xml:space="preserve"> </w:t>
                      </w:r>
                      <w:r>
                        <w:rPr>
                          <w:color w:val="000000"/>
                          <w:sz w:val="18"/>
                        </w:rPr>
                        <w:t>Sentencia</w:t>
                      </w:r>
                      <w:r>
                        <w:rPr>
                          <w:color w:val="000000"/>
                          <w:spacing w:val="33"/>
                          <w:sz w:val="18"/>
                        </w:rPr>
                        <w:t xml:space="preserve"> </w:t>
                      </w:r>
                      <w:r>
                        <w:rPr>
                          <w:color w:val="000000"/>
                          <w:sz w:val="18"/>
                        </w:rPr>
                        <w:t>del</w:t>
                      </w:r>
                      <w:r>
                        <w:rPr>
                          <w:color w:val="000000"/>
                          <w:spacing w:val="33"/>
                          <w:sz w:val="18"/>
                        </w:rPr>
                        <w:t xml:space="preserve"> </w:t>
                      </w:r>
                      <w:r>
                        <w:rPr>
                          <w:color w:val="000000"/>
                          <w:sz w:val="18"/>
                        </w:rPr>
                        <w:t>TC</w:t>
                      </w:r>
                      <w:r>
                        <w:rPr>
                          <w:color w:val="000000"/>
                          <w:spacing w:val="33"/>
                          <w:sz w:val="18"/>
                        </w:rPr>
                        <w:t xml:space="preserve"> </w:t>
                      </w:r>
                      <w:r>
                        <w:rPr>
                          <w:color w:val="000000"/>
                          <w:sz w:val="18"/>
                        </w:rPr>
                        <w:t>68/2021,</w:t>
                      </w:r>
                      <w:r>
                        <w:rPr>
                          <w:color w:val="000000"/>
                          <w:spacing w:val="33"/>
                          <w:sz w:val="18"/>
                        </w:rPr>
                        <w:t xml:space="preserve"> </w:t>
                      </w:r>
                      <w:r>
                        <w:rPr>
                          <w:color w:val="000000"/>
                          <w:sz w:val="18"/>
                        </w:rPr>
                        <w:t>de</w:t>
                      </w:r>
                      <w:r>
                        <w:rPr>
                          <w:color w:val="000000"/>
                          <w:spacing w:val="33"/>
                          <w:sz w:val="18"/>
                        </w:rPr>
                        <w:t xml:space="preserve"> </w:t>
                      </w:r>
                      <w:r>
                        <w:rPr>
                          <w:color w:val="000000"/>
                          <w:sz w:val="18"/>
                        </w:rPr>
                        <w:t>18</w:t>
                      </w:r>
                      <w:r>
                        <w:rPr>
                          <w:color w:val="000000"/>
                          <w:spacing w:val="33"/>
                          <w:sz w:val="18"/>
                        </w:rPr>
                        <w:t xml:space="preserve"> </w:t>
                      </w:r>
                      <w:r>
                        <w:rPr>
                          <w:color w:val="000000"/>
                          <w:sz w:val="18"/>
                        </w:rPr>
                        <w:t>de</w:t>
                      </w:r>
                      <w:r>
                        <w:rPr>
                          <w:color w:val="000000"/>
                          <w:spacing w:val="33"/>
                          <w:sz w:val="18"/>
                        </w:rPr>
                        <w:t xml:space="preserve"> </w:t>
                      </w:r>
                      <w:r>
                        <w:rPr>
                          <w:color w:val="000000"/>
                          <w:sz w:val="18"/>
                        </w:rPr>
                        <w:t>marzo.</w:t>
                      </w:r>
                      <w:r>
                        <w:rPr>
                          <w:color w:val="000000"/>
                          <w:spacing w:val="32"/>
                          <w:sz w:val="18"/>
                        </w:rPr>
                        <w:t xml:space="preserve"> </w:t>
                      </w:r>
                      <w:hyperlink r:id="rId27">
                        <w:r>
                          <w:rPr>
                            <w:color w:val="0000FF"/>
                            <w:sz w:val="18"/>
                            <w:u w:val="single" w:color="0000FF"/>
                          </w:rPr>
                          <w:t>Ref.</w:t>
                        </w:r>
                        <w:r>
                          <w:rPr>
                            <w:color w:val="0000FF"/>
                            <w:spacing w:val="33"/>
                            <w:sz w:val="18"/>
                            <w:u w:val="single" w:color="0000FF"/>
                          </w:rPr>
                          <w:t xml:space="preserve"> </w:t>
                        </w:r>
                        <w:r>
                          <w:rPr>
                            <w:color w:val="0000FF"/>
                            <w:sz w:val="18"/>
                            <w:u w:val="single" w:color="0000FF"/>
                          </w:rPr>
                          <w:t>BOE-</w:t>
                        </w:r>
                      </w:hyperlink>
                      <w:r>
                        <w:rPr>
                          <w:color w:val="0000FF"/>
                          <w:sz w:val="18"/>
                        </w:rPr>
                        <w:t xml:space="preserve"> </w:t>
                      </w:r>
                      <w:hyperlink r:id="rId28">
                        <w:r>
                          <w:rPr>
                            <w:color w:val="0000FF"/>
                            <w:spacing w:val="-2"/>
                            <w:sz w:val="18"/>
                            <w:u w:val="single" w:color="0000FF"/>
                          </w:rPr>
                          <w:t>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280"/>
        </w:numPr>
        <w:tabs>
          <w:tab w:val="left" w:pos="1734"/>
        </w:tabs>
        <w:spacing w:before="0" w:line="249" w:lineRule="auto"/>
        <w:ind w:right="1105" w:firstLine="340"/>
        <w:jc w:val="both"/>
        <w:rPr>
          <w:sz w:val="20"/>
        </w:rPr>
      </w:pPr>
      <w:r>
        <w:rPr>
          <w:sz w:val="20"/>
        </w:rPr>
        <w:t xml:space="preserve">La clasificación será revisable a petición de los interesados o de oficio por la Administración en cuanto varíen las circunstancias tomadas en consideración para </w:t>
      </w:r>
      <w:r>
        <w:rPr>
          <w:spacing w:val="-2"/>
          <w:sz w:val="20"/>
        </w:rPr>
        <w:t>concederla.</w:t>
      </w:r>
    </w:p>
    <w:p w:rsidR="0092635B" w:rsidRDefault="00000000">
      <w:pPr>
        <w:pStyle w:val="Prrafodelista"/>
        <w:numPr>
          <w:ilvl w:val="0"/>
          <w:numId w:val="280"/>
        </w:numPr>
        <w:tabs>
          <w:tab w:val="left" w:pos="1723"/>
        </w:tabs>
        <w:spacing w:line="249" w:lineRule="auto"/>
        <w:ind w:right="1104" w:firstLine="340"/>
        <w:jc w:val="both"/>
        <w:rPr>
          <w:sz w:val="20"/>
        </w:rPr>
      </w:pPr>
      <w:r>
        <w:rPr>
          <w:sz w:val="20"/>
        </w:rPr>
        <w:t>En todo caso, el empresario está obligado a poner en conocimiento del órgano competente en materia de clasificación cualquier variación en las circunstancias que hubiesen sido tenidas en cuenta para concederla que pueda dar lugar a una revisión de la misma. La omisión de esta comunicación hará incurrir al empresario en la prohibición de contratar prevista en la letra e) del apartado 1 del artículo 71.</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129" w:name="Artículo_83._Comprobación_de_los_element"/>
      <w:bookmarkEnd w:id="129"/>
      <w:r>
        <w:rPr>
          <w:rFonts w:ascii="Arial" w:hAnsi="Arial"/>
          <w:b/>
          <w:sz w:val="20"/>
        </w:rPr>
        <w:t>Artículo</w:t>
      </w:r>
      <w:r>
        <w:rPr>
          <w:rFonts w:ascii="Arial" w:hAnsi="Arial"/>
          <w:b/>
          <w:spacing w:val="-2"/>
          <w:sz w:val="20"/>
        </w:rPr>
        <w:t xml:space="preserve"> </w:t>
      </w:r>
      <w:r>
        <w:rPr>
          <w:rFonts w:ascii="Arial" w:hAnsi="Arial"/>
          <w:b/>
          <w:sz w:val="20"/>
        </w:rPr>
        <w:t>83.</w:t>
      </w:r>
      <w:r>
        <w:rPr>
          <w:rFonts w:ascii="Arial" w:hAnsi="Arial"/>
          <w:b/>
          <w:spacing w:val="51"/>
          <w:sz w:val="20"/>
        </w:rPr>
        <w:t xml:space="preserve"> </w:t>
      </w:r>
      <w:r>
        <w:rPr>
          <w:rFonts w:ascii="Arial" w:hAnsi="Arial"/>
          <w:i/>
          <w:sz w:val="20"/>
        </w:rPr>
        <w:t>Comprobación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2"/>
          <w:sz w:val="20"/>
        </w:rPr>
        <w:t xml:space="preserve"> </w:t>
      </w:r>
      <w:r>
        <w:rPr>
          <w:rFonts w:ascii="Arial" w:hAnsi="Arial"/>
          <w:i/>
          <w:sz w:val="20"/>
        </w:rPr>
        <w:t>elementos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clasificación.</w:t>
      </w:r>
    </w:p>
    <w:p w:rsidR="0092635B" w:rsidRDefault="00000000">
      <w:pPr>
        <w:pStyle w:val="Textoindependiente"/>
        <w:spacing w:before="124" w:line="249" w:lineRule="auto"/>
        <w:ind w:right="1102"/>
      </w:pPr>
      <w:r>
        <w:t>Los órganos competentes en materia de clasificación podrán solicitar en cualquier momento de las empresas clasificadas o pendientes de clasificación los documentos que estimen necesarios para comprobar las declaraciones y hechos manifestados por las</w:t>
      </w:r>
      <w:r>
        <w:rPr>
          <w:spacing w:val="40"/>
        </w:rPr>
        <w:t xml:space="preserve"> </w:t>
      </w:r>
      <w:r>
        <w:t>mismas en los expedientes que tramiten, así como pedir informe a cualquier órgano de las Administraciones Públicas sobre estos extremos.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pPr>
      <w:bookmarkStart w:id="130" w:name="Sección_2.ª_Acreditación_de_la_aptitud_p"/>
      <w:bookmarkStart w:id="131" w:name="_bookmark24"/>
      <w:bookmarkEnd w:id="130"/>
      <w:bookmarkEnd w:id="131"/>
      <w:r>
        <w:t>Sección</w:t>
      </w:r>
      <w:r>
        <w:rPr>
          <w:spacing w:val="-1"/>
        </w:rPr>
        <w:t xml:space="preserve"> </w:t>
      </w:r>
      <w:r>
        <w:t>2.ª</w:t>
      </w:r>
      <w:r>
        <w:rPr>
          <w:spacing w:val="-1"/>
        </w:rPr>
        <w:t xml:space="preserve"> </w:t>
      </w:r>
      <w:r>
        <w:t>Acreditación</w:t>
      </w:r>
      <w:r>
        <w:rPr>
          <w:spacing w:val="-1"/>
        </w:rPr>
        <w:t xml:space="preserve"> </w:t>
      </w:r>
      <w:r>
        <w:t>de</w:t>
      </w:r>
      <w:r>
        <w:rPr>
          <w:spacing w:val="-1"/>
        </w:rPr>
        <w:t xml:space="preserve"> </w:t>
      </w:r>
      <w:r>
        <w:t>la</w:t>
      </w:r>
      <w:r>
        <w:rPr>
          <w:spacing w:val="-1"/>
        </w:rPr>
        <w:t xml:space="preserve"> </w:t>
      </w:r>
      <w:r>
        <w:t>aptitud</w:t>
      </w:r>
      <w:r>
        <w:rPr>
          <w:spacing w:val="-1"/>
        </w:rPr>
        <w:t xml:space="preserve"> </w:t>
      </w:r>
      <w:r>
        <w:t>para</w:t>
      </w:r>
      <w:r>
        <w:rPr>
          <w:spacing w:val="-1"/>
        </w:rPr>
        <w:t xml:space="preserve"> </w:t>
      </w:r>
      <w:r>
        <w:rPr>
          <w:spacing w:val="-2"/>
        </w:rPr>
        <w:t>contratar</w:t>
      </w:r>
    </w:p>
    <w:p w:rsidR="0092635B" w:rsidRDefault="0092635B">
      <w:pPr>
        <w:pStyle w:val="Textoindependiente"/>
        <w:spacing w:before="63"/>
        <w:ind w:left="0" w:firstLine="0"/>
        <w:jc w:val="left"/>
        <w:rPr>
          <w:rFonts w:ascii="Arial"/>
          <w:b/>
          <w:i/>
        </w:rPr>
      </w:pPr>
    </w:p>
    <w:p w:rsidR="0092635B" w:rsidRDefault="00000000">
      <w:pPr>
        <w:pStyle w:val="Textoindependiente"/>
        <w:spacing w:before="0"/>
        <w:ind w:left="0" w:firstLine="0"/>
        <w:jc w:val="center"/>
      </w:pPr>
      <w:bookmarkStart w:id="132" w:name="Subsección_1.ª_Capacidad_de_obrar"/>
      <w:bookmarkStart w:id="133" w:name="_bookmark25"/>
      <w:bookmarkEnd w:id="132"/>
      <w:bookmarkEnd w:id="133"/>
      <w:r>
        <w:t>Subsección</w:t>
      </w:r>
      <w:r>
        <w:rPr>
          <w:spacing w:val="-5"/>
        </w:rPr>
        <w:t xml:space="preserve"> </w:t>
      </w:r>
      <w:r>
        <w:t>1.ª</w:t>
      </w:r>
      <w:r>
        <w:rPr>
          <w:spacing w:val="-5"/>
        </w:rPr>
        <w:t xml:space="preserve"> </w:t>
      </w:r>
      <w:r>
        <w:t>Capacidad</w:t>
      </w:r>
      <w:r>
        <w:rPr>
          <w:spacing w:val="-5"/>
        </w:rPr>
        <w:t xml:space="preserve"> </w:t>
      </w:r>
      <w:r>
        <w:t>de</w:t>
      </w:r>
      <w:r>
        <w:rPr>
          <w:spacing w:val="-5"/>
        </w:rPr>
        <w:t xml:space="preserve"> </w:t>
      </w:r>
      <w:r>
        <w:rPr>
          <w:spacing w:val="-2"/>
        </w:rPr>
        <w:t>obrar</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134" w:name="Artículo_84._Acreditación_de_la_capacida"/>
      <w:bookmarkEnd w:id="134"/>
      <w:r>
        <w:rPr>
          <w:rFonts w:ascii="Arial" w:hAnsi="Arial"/>
          <w:b/>
          <w:sz w:val="20"/>
        </w:rPr>
        <w:t>Artículo</w:t>
      </w:r>
      <w:r>
        <w:rPr>
          <w:rFonts w:ascii="Arial" w:hAnsi="Arial"/>
          <w:b/>
          <w:spacing w:val="-3"/>
          <w:sz w:val="20"/>
        </w:rPr>
        <w:t xml:space="preserve"> </w:t>
      </w:r>
      <w:r>
        <w:rPr>
          <w:rFonts w:ascii="Arial" w:hAnsi="Arial"/>
          <w:b/>
          <w:sz w:val="20"/>
        </w:rPr>
        <w:t>84.</w:t>
      </w:r>
      <w:r>
        <w:rPr>
          <w:rFonts w:ascii="Arial" w:hAnsi="Arial"/>
          <w:b/>
          <w:spacing w:val="48"/>
          <w:sz w:val="20"/>
        </w:rPr>
        <w:t xml:space="preserve"> </w:t>
      </w:r>
      <w:r>
        <w:rPr>
          <w:rFonts w:ascii="Arial" w:hAnsi="Arial"/>
          <w:i/>
          <w:sz w:val="20"/>
        </w:rPr>
        <w:t>Acreditación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capacidad</w:t>
      </w:r>
      <w:r>
        <w:rPr>
          <w:rFonts w:ascii="Arial" w:hAnsi="Arial"/>
          <w:i/>
          <w:spacing w:val="-3"/>
          <w:sz w:val="20"/>
        </w:rPr>
        <w:t xml:space="preserve"> </w:t>
      </w:r>
      <w:r>
        <w:rPr>
          <w:rFonts w:ascii="Arial" w:hAnsi="Arial"/>
          <w:i/>
          <w:sz w:val="20"/>
        </w:rPr>
        <w:t>de</w:t>
      </w:r>
      <w:r>
        <w:rPr>
          <w:rFonts w:ascii="Arial" w:hAnsi="Arial"/>
          <w:i/>
          <w:spacing w:val="-2"/>
          <w:sz w:val="20"/>
        </w:rPr>
        <w:t xml:space="preserve"> obrar.</w:t>
      </w:r>
    </w:p>
    <w:p w:rsidR="0092635B" w:rsidRDefault="00000000">
      <w:pPr>
        <w:pStyle w:val="Prrafodelista"/>
        <w:numPr>
          <w:ilvl w:val="0"/>
          <w:numId w:val="279"/>
        </w:numPr>
        <w:tabs>
          <w:tab w:val="left" w:pos="1674"/>
        </w:tabs>
        <w:spacing w:before="123" w:line="249" w:lineRule="auto"/>
        <w:ind w:firstLine="340"/>
        <w:jc w:val="both"/>
        <w:rPr>
          <w:sz w:val="20"/>
        </w:rPr>
      </w:pPr>
      <w:r>
        <w:rPr>
          <w:sz w:val="20"/>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w:t>
      </w:r>
      <w:r>
        <w:rPr>
          <w:spacing w:val="-2"/>
          <w:sz w:val="20"/>
        </w:rPr>
        <w:t>trate.</w:t>
      </w:r>
    </w:p>
    <w:p w:rsidR="0092635B" w:rsidRDefault="00000000">
      <w:pPr>
        <w:pStyle w:val="Prrafodelista"/>
        <w:numPr>
          <w:ilvl w:val="0"/>
          <w:numId w:val="279"/>
        </w:numPr>
        <w:tabs>
          <w:tab w:val="left" w:pos="1710"/>
        </w:tabs>
        <w:spacing w:before="4" w:line="249" w:lineRule="auto"/>
        <w:ind w:right="1104" w:firstLine="340"/>
        <w:jc w:val="both"/>
        <w:rPr>
          <w:sz w:val="20"/>
        </w:rPr>
      </w:pPr>
      <w:r>
        <w:rPr>
          <w:sz w:val="20"/>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92635B" w:rsidRDefault="00000000">
      <w:pPr>
        <w:pStyle w:val="Prrafodelista"/>
        <w:numPr>
          <w:ilvl w:val="0"/>
          <w:numId w:val="279"/>
        </w:numPr>
        <w:tabs>
          <w:tab w:val="left" w:pos="1712"/>
        </w:tabs>
        <w:spacing w:before="5" w:line="249" w:lineRule="auto"/>
        <w:ind w:right="1104" w:firstLine="340"/>
        <w:jc w:val="both"/>
        <w:rPr>
          <w:sz w:val="20"/>
        </w:rPr>
      </w:pPr>
      <w:r>
        <w:rPr>
          <w:sz w:val="20"/>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92635B" w:rsidRDefault="0092635B">
      <w:pPr>
        <w:pStyle w:val="Textoindependiente"/>
        <w:spacing w:before="56"/>
        <w:ind w:left="0" w:firstLine="0"/>
        <w:jc w:val="left"/>
      </w:pPr>
    </w:p>
    <w:p w:rsidR="0092635B" w:rsidRDefault="00000000">
      <w:pPr>
        <w:pStyle w:val="Textoindependiente"/>
        <w:spacing w:before="0"/>
        <w:ind w:left="0" w:firstLine="0"/>
        <w:jc w:val="center"/>
      </w:pPr>
      <w:bookmarkStart w:id="135" w:name="Subsección_2.ª_Prohibiciones_de_contrata"/>
      <w:bookmarkStart w:id="136" w:name="_bookmark26"/>
      <w:bookmarkEnd w:id="135"/>
      <w:bookmarkEnd w:id="136"/>
      <w:r>
        <w:t>Subsección</w:t>
      </w:r>
      <w:r>
        <w:rPr>
          <w:spacing w:val="-3"/>
        </w:rPr>
        <w:t xml:space="preserve"> </w:t>
      </w:r>
      <w:r>
        <w:t>2.ª</w:t>
      </w:r>
      <w:r>
        <w:rPr>
          <w:spacing w:val="-3"/>
        </w:rPr>
        <w:t xml:space="preserve"> </w:t>
      </w:r>
      <w:r>
        <w:t>Prohibiciones</w:t>
      </w:r>
      <w:r>
        <w:rPr>
          <w:spacing w:val="-3"/>
        </w:rPr>
        <w:t xml:space="preserve"> </w:t>
      </w:r>
      <w:r>
        <w:t>de</w:t>
      </w:r>
      <w:r>
        <w:rPr>
          <w:spacing w:val="-3"/>
        </w:rPr>
        <w:t xml:space="preserve"> </w:t>
      </w:r>
      <w:r>
        <w:rPr>
          <w:spacing w:val="-2"/>
        </w:rPr>
        <w:t>contratar</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137" w:name="Artículo_85._Prueba_de_la_no_concurrenci"/>
      <w:bookmarkEnd w:id="137"/>
      <w:r>
        <w:rPr>
          <w:rFonts w:ascii="Arial" w:hAnsi="Arial"/>
          <w:b/>
          <w:sz w:val="20"/>
        </w:rPr>
        <w:t>Artículo</w:t>
      </w:r>
      <w:r>
        <w:rPr>
          <w:rFonts w:ascii="Arial" w:hAnsi="Arial"/>
          <w:b/>
          <w:spacing w:val="-3"/>
          <w:sz w:val="20"/>
        </w:rPr>
        <w:t xml:space="preserve"> </w:t>
      </w:r>
      <w:r>
        <w:rPr>
          <w:rFonts w:ascii="Arial" w:hAnsi="Arial"/>
          <w:b/>
          <w:sz w:val="20"/>
        </w:rPr>
        <w:t>85.</w:t>
      </w:r>
      <w:r>
        <w:rPr>
          <w:rFonts w:ascii="Arial" w:hAnsi="Arial"/>
          <w:b/>
          <w:spacing w:val="48"/>
          <w:sz w:val="20"/>
        </w:rPr>
        <w:t xml:space="preserve"> </w:t>
      </w:r>
      <w:r>
        <w:rPr>
          <w:rFonts w:ascii="Arial" w:hAnsi="Arial"/>
          <w:i/>
          <w:sz w:val="20"/>
        </w:rPr>
        <w:t>Prueba</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no</w:t>
      </w:r>
      <w:r>
        <w:rPr>
          <w:rFonts w:ascii="Arial" w:hAnsi="Arial"/>
          <w:i/>
          <w:spacing w:val="-3"/>
          <w:sz w:val="20"/>
        </w:rPr>
        <w:t xml:space="preserve"> </w:t>
      </w:r>
      <w:r>
        <w:rPr>
          <w:rFonts w:ascii="Arial" w:hAnsi="Arial"/>
          <w:i/>
          <w:sz w:val="20"/>
        </w:rPr>
        <w:t>concurrencia</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una</w:t>
      </w:r>
      <w:r>
        <w:rPr>
          <w:rFonts w:ascii="Arial" w:hAnsi="Arial"/>
          <w:i/>
          <w:spacing w:val="-3"/>
          <w:sz w:val="20"/>
        </w:rPr>
        <w:t xml:space="preserve"> </w:t>
      </w:r>
      <w:r>
        <w:rPr>
          <w:rFonts w:ascii="Arial" w:hAnsi="Arial"/>
          <w:i/>
          <w:sz w:val="20"/>
        </w:rPr>
        <w:t>prohibición</w:t>
      </w:r>
      <w:r>
        <w:rPr>
          <w:rFonts w:ascii="Arial" w:hAnsi="Arial"/>
          <w:i/>
          <w:spacing w:val="-3"/>
          <w:sz w:val="20"/>
        </w:rPr>
        <w:t xml:space="preserve"> </w:t>
      </w:r>
      <w:r>
        <w:rPr>
          <w:rFonts w:ascii="Arial" w:hAnsi="Arial"/>
          <w:i/>
          <w:sz w:val="20"/>
        </w:rPr>
        <w:t>de</w:t>
      </w:r>
      <w:r>
        <w:rPr>
          <w:rFonts w:ascii="Arial" w:hAnsi="Arial"/>
          <w:i/>
          <w:spacing w:val="-2"/>
          <w:sz w:val="20"/>
        </w:rPr>
        <w:t xml:space="preserve"> contratar.</w:t>
      </w:r>
    </w:p>
    <w:p w:rsidR="0092635B" w:rsidRDefault="00000000">
      <w:pPr>
        <w:pStyle w:val="Textoindependiente"/>
        <w:spacing w:before="124" w:line="249" w:lineRule="auto"/>
        <w:ind w:right="1103"/>
      </w:pPr>
      <w:r>
        <w:t>Sin perjuicio de lo establecido en el segundo párrafo del apartado 3 del artículo 140, la prueba, por parte de los empresarios, de no estar incursos en prohibiciones para contratar podrá realizarse mediante testimonio judicial o certificación administrativa, según los casos.</w:t>
      </w:r>
    </w:p>
    <w:p w:rsidR="0092635B" w:rsidRDefault="00000000">
      <w:pPr>
        <w:pStyle w:val="Textoindependiente"/>
        <w:spacing w:line="249" w:lineRule="auto"/>
        <w:ind w:right="1104"/>
      </w:pPr>
      <w:r>
        <w:t>Cuando dicho documento no pueda ser expedido por la autoridad competente, podrá ser sustituido por una declaración responsable otorgada ante una autoridad administrativa, notario público u organismo profesional cualificado.</w:t>
      </w:r>
    </w:p>
    <w:p w:rsidR="0092635B" w:rsidRDefault="0092635B">
      <w:pPr>
        <w:pStyle w:val="Textoindependiente"/>
        <w:spacing w:before="56"/>
        <w:ind w:left="0" w:firstLine="0"/>
        <w:jc w:val="left"/>
      </w:pPr>
    </w:p>
    <w:p w:rsidR="0092635B" w:rsidRDefault="00000000">
      <w:pPr>
        <w:pStyle w:val="Textoindependiente"/>
        <w:spacing w:before="0"/>
        <w:ind w:left="0" w:firstLine="0"/>
        <w:jc w:val="center"/>
      </w:pPr>
      <w:bookmarkStart w:id="138" w:name="Subsección_3.ª_Solvencia"/>
      <w:bookmarkStart w:id="139" w:name="_bookmark27"/>
      <w:bookmarkEnd w:id="138"/>
      <w:bookmarkEnd w:id="139"/>
      <w:r>
        <w:t>Subsección</w:t>
      </w:r>
      <w:r>
        <w:rPr>
          <w:spacing w:val="-6"/>
        </w:rPr>
        <w:t xml:space="preserve"> </w:t>
      </w:r>
      <w:r>
        <w:t>3.ª</w:t>
      </w:r>
      <w:r>
        <w:rPr>
          <w:spacing w:val="-5"/>
        </w:rPr>
        <w:t xml:space="preserve"> </w:t>
      </w:r>
      <w:r>
        <w:rPr>
          <w:spacing w:val="-2"/>
        </w:rPr>
        <w:t>Solvencia</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140" w:name="Artículo_86._Medios_de_acreditar_la_solv"/>
      <w:bookmarkEnd w:id="140"/>
      <w:r>
        <w:rPr>
          <w:rFonts w:ascii="Arial" w:hAnsi="Arial"/>
          <w:b/>
          <w:sz w:val="20"/>
        </w:rPr>
        <w:t>Artículo</w:t>
      </w:r>
      <w:r>
        <w:rPr>
          <w:rFonts w:ascii="Arial" w:hAnsi="Arial"/>
          <w:b/>
          <w:spacing w:val="-3"/>
          <w:sz w:val="20"/>
        </w:rPr>
        <w:t xml:space="preserve"> </w:t>
      </w:r>
      <w:r>
        <w:rPr>
          <w:rFonts w:ascii="Arial" w:hAnsi="Arial"/>
          <w:b/>
          <w:sz w:val="20"/>
        </w:rPr>
        <w:t>86.</w:t>
      </w:r>
      <w:r>
        <w:rPr>
          <w:rFonts w:ascii="Arial" w:hAnsi="Arial"/>
          <w:b/>
          <w:spacing w:val="54"/>
          <w:sz w:val="20"/>
        </w:rPr>
        <w:t xml:space="preserve"> </w:t>
      </w:r>
      <w:r>
        <w:rPr>
          <w:rFonts w:ascii="Arial" w:hAnsi="Arial"/>
          <w:i/>
          <w:sz w:val="20"/>
        </w:rPr>
        <w:t>Medios</w:t>
      </w:r>
      <w:r>
        <w:rPr>
          <w:rFonts w:ascii="Arial" w:hAnsi="Arial"/>
          <w:i/>
          <w:spacing w:val="-1"/>
          <w:sz w:val="20"/>
        </w:rPr>
        <w:t xml:space="preserve"> </w:t>
      </w:r>
      <w:r>
        <w:rPr>
          <w:rFonts w:ascii="Arial" w:hAnsi="Arial"/>
          <w:i/>
          <w:sz w:val="20"/>
        </w:rPr>
        <w:t xml:space="preserve">de acreditar la </w:t>
      </w:r>
      <w:r>
        <w:rPr>
          <w:rFonts w:ascii="Arial" w:hAnsi="Arial"/>
          <w:i/>
          <w:spacing w:val="-2"/>
          <w:sz w:val="20"/>
        </w:rPr>
        <w:t>solvencia.</w:t>
      </w:r>
    </w:p>
    <w:p w:rsidR="0092635B" w:rsidRDefault="00000000">
      <w:pPr>
        <w:pStyle w:val="Prrafodelista"/>
        <w:numPr>
          <w:ilvl w:val="0"/>
          <w:numId w:val="278"/>
        </w:numPr>
        <w:tabs>
          <w:tab w:val="left" w:pos="1719"/>
        </w:tabs>
        <w:spacing w:before="123" w:line="249" w:lineRule="auto"/>
        <w:ind w:right="1104" w:firstLine="340"/>
        <w:jc w:val="both"/>
        <w:rPr>
          <w:sz w:val="20"/>
        </w:rPr>
      </w:pPr>
      <w:r>
        <w:rPr>
          <w:sz w:val="20"/>
        </w:rPr>
        <w:t>La solvencia económica y financiera y técnica o profesional para un contrato se acreditará mediante la aportación de los documentos que se determinen por el órgano de contratación de entre los previstos en los artículos 87 a 91 de la presente Ley.</w:t>
      </w:r>
    </w:p>
    <w:p w:rsidR="0092635B" w:rsidRDefault="00000000">
      <w:pPr>
        <w:pStyle w:val="Textoindependiente"/>
        <w:spacing w:before="3" w:line="249" w:lineRule="auto"/>
        <w:ind w:right="1103"/>
      </w:pPr>
      <w:r>
        <w:t>Sin perjuicio de lo establecido en el párrafo siguiente, para los contratos que no estén sujetos a regulación armonizada el órgano de contratación, además de los documentos a los que se refiere el párrafo primero, podrá admitir de forma justificada otros medios de prueba de la solvencia distintos de los previstos en los artículos 87 a 91.</w:t>
      </w:r>
    </w:p>
    <w:p w:rsidR="0092635B" w:rsidRDefault="00000000">
      <w:pPr>
        <w:pStyle w:val="Textoindependiente"/>
        <w:spacing w:before="3" w:line="249" w:lineRule="auto"/>
        <w:ind w:right="1103"/>
      </w:pPr>
      <w: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w:t>
      </w:r>
    </w:p>
    <w:p w:rsidR="0092635B" w:rsidRDefault="00000000">
      <w:pPr>
        <w:pStyle w:val="Prrafodelista"/>
        <w:numPr>
          <w:ilvl w:val="0"/>
          <w:numId w:val="278"/>
        </w:numPr>
        <w:tabs>
          <w:tab w:val="left" w:pos="1696"/>
        </w:tabs>
        <w:spacing w:before="3" w:line="249" w:lineRule="auto"/>
        <w:ind w:right="1105" w:firstLine="340"/>
        <w:jc w:val="both"/>
        <w:rPr>
          <w:sz w:val="20"/>
        </w:rPr>
      </w:pPr>
      <w:r>
        <w:rPr>
          <w:sz w:val="20"/>
        </w:rPr>
        <w:t>La solvencia económica y financiera y técnica o profesional para la clasificación de empresas se acreditará mediante la aportación de los documentos reglamentariamente establecidos de entre los previstos en los artículos 87 a 91 de la presente Ley.</w:t>
      </w:r>
    </w:p>
    <w:p w:rsidR="0092635B" w:rsidRDefault="00000000">
      <w:pPr>
        <w:pStyle w:val="Textoindependiente"/>
        <w:spacing w:before="3" w:line="249" w:lineRule="auto"/>
        <w:ind w:right="1105"/>
      </w:pPr>
      <w:r>
        <w:t>La clasificación del empresario acreditará su solvencia para la celebración de contratos del</w:t>
      </w:r>
      <w:r>
        <w:rPr>
          <w:spacing w:val="-2"/>
        </w:rPr>
        <w:t xml:space="preserve"> </w:t>
      </w:r>
      <w:r>
        <w:t>mismo</w:t>
      </w:r>
      <w:r>
        <w:rPr>
          <w:spacing w:val="-2"/>
        </w:rPr>
        <w:t xml:space="preserve"> </w:t>
      </w:r>
      <w:r>
        <w:t>tipo</w:t>
      </w:r>
      <w:r>
        <w:rPr>
          <w:spacing w:val="-2"/>
        </w:rPr>
        <w:t xml:space="preserve"> </w:t>
      </w:r>
      <w:r>
        <w:t>e</w:t>
      </w:r>
      <w:r>
        <w:rPr>
          <w:spacing w:val="-2"/>
        </w:rPr>
        <w:t xml:space="preserve"> </w:t>
      </w:r>
      <w:r>
        <w:t>importe</w:t>
      </w:r>
      <w:r>
        <w:rPr>
          <w:spacing w:val="-2"/>
        </w:rPr>
        <w:t xml:space="preserve"> </w:t>
      </w:r>
      <w:r>
        <w:t>que</w:t>
      </w:r>
      <w:r>
        <w:rPr>
          <w:spacing w:val="-2"/>
        </w:rPr>
        <w:t xml:space="preserve"> </w:t>
      </w:r>
      <w:r>
        <w:t>aquellos</w:t>
      </w:r>
      <w:r>
        <w:rPr>
          <w:spacing w:val="-2"/>
        </w:rPr>
        <w:t xml:space="preserve"> </w:t>
      </w:r>
      <w:r>
        <w:t>para</w:t>
      </w:r>
      <w:r>
        <w:rPr>
          <w:spacing w:val="-2"/>
        </w:rPr>
        <w:t xml:space="preserve"> </w:t>
      </w:r>
      <w:r>
        <w:t>los</w:t>
      </w:r>
      <w:r>
        <w:rPr>
          <w:spacing w:val="-2"/>
        </w:rPr>
        <w:t xml:space="preserve"> </w:t>
      </w:r>
      <w:r>
        <w:t>que</w:t>
      </w:r>
      <w:r>
        <w:rPr>
          <w:spacing w:val="-2"/>
        </w:rPr>
        <w:t xml:space="preserve"> </w:t>
      </w:r>
      <w:r>
        <w:t>se</w:t>
      </w:r>
      <w:r>
        <w:rPr>
          <w:spacing w:val="-2"/>
        </w:rPr>
        <w:t xml:space="preserve"> </w:t>
      </w:r>
      <w:r>
        <w:t>haya</w:t>
      </w:r>
      <w:r>
        <w:rPr>
          <w:spacing w:val="-2"/>
        </w:rPr>
        <w:t xml:space="preserve"> </w:t>
      </w:r>
      <w:r>
        <w:t>obtenido</w:t>
      </w:r>
      <w:r>
        <w:rPr>
          <w:spacing w:val="-2"/>
        </w:rPr>
        <w:t xml:space="preserve"> </w:t>
      </w:r>
      <w:r>
        <w:t>y</w:t>
      </w:r>
      <w:r>
        <w:rPr>
          <w:spacing w:val="-2"/>
        </w:rPr>
        <w:t xml:space="preserve"> </w:t>
      </w:r>
      <w:r>
        <w:t>para</w:t>
      </w:r>
      <w:r>
        <w:rPr>
          <w:spacing w:val="-2"/>
        </w:rPr>
        <w:t xml:space="preserve"> </w:t>
      </w:r>
      <w:r>
        <w:t>cuya</w:t>
      </w:r>
      <w:r>
        <w:rPr>
          <w:spacing w:val="-2"/>
        </w:rPr>
        <w:t xml:space="preserve"> </w:t>
      </w:r>
      <w:r>
        <w:t>celebración no se exija estar en posesión de la misma.</w:t>
      </w:r>
    </w:p>
    <w:p w:rsidR="0092635B" w:rsidRDefault="00000000">
      <w:pPr>
        <w:pStyle w:val="Prrafodelista"/>
        <w:numPr>
          <w:ilvl w:val="0"/>
          <w:numId w:val="278"/>
        </w:numPr>
        <w:tabs>
          <w:tab w:val="left" w:pos="1673"/>
        </w:tabs>
        <w:spacing w:line="249" w:lineRule="auto"/>
        <w:ind w:firstLine="340"/>
        <w:jc w:val="both"/>
        <w:rPr>
          <w:sz w:val="20"/>
        </w:rPr>
      </w:pPr>
      <w:r>
        <w:rPr>
          <w:sz w:val="20"/>
        </w:rPr>
        <w:t>En los contratos de concesión de obras y concesiones de servicios en los que puedan identificarse sucesivas fases en su ejecución que requieran medios y capacidades distintas, los pliegos podrán diferenciar requisitos de solvencia, distintos para las sucesivas fases del contrato, pudiendo los licitadores acreditar dicha solvencia con anterioridad al inicio de la ejecución de cada una de las fases.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En el caso de aquellos empresarios que acogiéndose a la posibilidad prevista en el párrafo anterior, no acreditaran su solvencia antes del inicio de la ejecución de la correspondiente fase, se resolverá el contrato por causas imputables al empresario.</w:t>
      </w:r>
    </w:p>
    <w:p w:rsidR="0092635B" w:rsidRDefault="00000000">
      <w:pPr>
        <w:spacing w:before="229"/>
        <w:ind w:left="1106"/>
        <w:rPr>
          <w:rFonts w:ascii="Arial" w:hAnsi="Arial"/>
          <w:i/>
          <w:sz w:val="20"/>
        </w:rPr>
      </w:pPr>
      <w:bookmarkStart w:id="141" w:name="Artículo_87._Acreditación_de_la_solvenci"/>
      <w:bookmarkEnd w:id="141"/>
      <w:r>
        <w:rPr>
          <w:rFonts w:ascii="Arial" w:hAnsi="Arial"/>
          <w:b/>
          <w:sz w:val="20"/>
        </w:rPr>
        <w:t>Artículo</w:t>
      </w:r>
      <w:r>
        <w:rPr>
          <w:rFonts w:ascii="Arial" w:hAnsi="Arial"/>
          <w:b/>
          <w:spacing w:val="-4"/>
          <w:sz w:val="20"/>
        </w:rPr>
        <w:t xml:space="preserve"> </w:t>
      </w:r>
      <w:r>
        <w:rPr>
          <w:rFonts w:ascii="Arial" w:hAnsi="Arial"/>
          <w:b/>
          <w:sz w:val="20"/>
        </w:rPr>
        <w:t>87.</w:t>
      </w:r>
      <w:r>
        <w:rPr>
          <w:rFonts w:ascii="Arial" w:hAnsi="Arial"/>
          <w:b/>
          <w:spacing w:val="48"/>
          <w:sz w:val="20"/>
        </w:rPr>
        <w:t xml:space="preserve"> </w:t>
      </w:r>
      <w:r>
        <w:rPr>
          <w:rFonts w:ascii="Arial" w:hAnsi="Arial"/>
          <w:i/>
          <w:sz w:val="20"/>
        </w:rPr>
        <w:t>Acreditación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3"/>
          <w:sz w:val="20"/>
        </w:rPr>
        <w:t xml:space="preserve"> </w:t>
      </w:r>
      <w:r>
        <w:rPr>
          <w:rFonts w:ascii="Arial" w:hAnsi="Arial"/>
          <w:i/>
          <w:sz w:val="20"/>
        </w:rPr>
        <w:t>solvencia</w:t>
      </w:r>
      <w:r>
        <w:rPr>
          <w:rFonts w:ascii="Arial" w:hAnsi="Arial"/>
          <w:i/>
          <w:spacing w:val="-3"/>
          <w:sz w:val="20"/>
        </w:rPr>
        <w:t xml:space="preserve"> </w:t>
      </w:r>
      <w:r>
        <w:rPr>
          <w:rFonts w:ascii="Arial" w:hAnsi="Arial"/>
          <w:i/>
          <w:sz w:val="20"/>
        </w:rPr>
        <w:t>económica</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pacing w:val="-2"/>
          <w:sz w:val="20"/>
        </w:rPr>
        <w:t>financiera.</w:t>
      </w:r>
    </w:p>
    <w:p w:rsidR="0092635B" w:rsidRDefault="00000000">
      <w:pPr>
        <w:pStyle w:val="Prrafodelista"/>
        <w:numPr>
          <w:ilvl w:val="0"/>
          <w:numId w:val="277"/>
        </w:numPr>
        <w:tabs>
          <w:tab w:val="left" w:pos="1709"/>
        </w:tabs>
        <w:spacing w:before="123" w:line="249" w:lineRule="auto"/>
        <w:ind w:right="1105" w:firstLine="340"/>
        <w:jc w:val="both"/>
        <w:rPr>
          <w:sz w:val="20"/>
        </w:rPr>
      </w:pPr>
      <w:r>
        <w:rPr>
          <w:sz w:val="20"/>
        </w:rPr>
        <w:t>La solvencia económica y financiera del empresario deberá acreditarse por uno o varios de los medios siguientes, a elección del órgano de contratación:</w:t>
      </w:r>
    </w:p>
    <w:p w:rsidR="0092635B" w:rsidRDefault="00000000">
      <w:pPr>
        <w:pStyle w:val="Prrafodelista"/>
        <w:numPr>
          <w:ilvl w:val="1"/>
          <w:numId w:val="277"/>
        </w:numPr>
        <w:tabs>
          <w:tab w:val="left" w:pos="1684"/>
        </w:tabs>
        <w:spacing w:before="122" w:line="249" w:lineRule="auto"/>
        <w:ind w:right="1104" w:firstLine="340"/>
        <w:jc w:val="both"/>
        <w:rPr>
          <w:sz w:val="20"/>
        </w:rPr>
      </w:pPr>
      <w:r>
        <w:rPr>
          <w:sz w:val="20"/>
        </w:rPr>
        <w:t>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importe igual o superior al exigido en el anuncio de licitación o en la invitación a participar en el procedimiento y en los pliegos del contrato o, en su defecto, al establecido reglamentariamente. El volumen de negocios mínimo anual exigido no excederá de una vez</w:t>
      </w:r>
      <w:r>
        <w:rPr>
          <w:spacing w:val="40"/>
          <w:sz w:val="20"/>
        </w:rPr>
        <w:t xml:space="preserve"> </w:t>
      </w:r>
      <w:r>
        <w:rPr>
          <w:sz w:val="20"/>
        </w:rPr>
        <w:t>y media el valor estimado del contrato, excepto en casos debidamente justificados como los relacionados con los riesgos especiales vinculados a la naturaleza de las obras, los servicios o los suministros. El órgano de contratación indicará las principales razones de la imposición de</w:t>
      </w:r>
      <w:r>
        <w:rPr>
          <w:spacing w:val="-1"/>
          <w:sz w:val="20"/>
        </w:rPr>
        <w:t xml:space="preserve"> </w:t>
      </w:r>
      <w:r>
        <w:rPr>
          <w:sz w:val="20"/>
        </w:rPr>
        <w:t>dicho</w:t>
      </w:r>
      <w:r>
        <w:rPr>
          <w:spacing w:val="-1"/>
          <w:sz w:val="20"/>
        </w:rPr>
        <w:t xml:space="preserve"> </w:t>
      </w:r>
      <w:r>
        <w:rPr>
          <w:sz w:val="20"/>
        </w:rPr>
        <w:t>requisito</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pliegos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contratación</w:t>
      </w:r>
      <w:r>
        <w:rPr>
          <w:spacing w:val="-1"/>
          <w:sz w:val="20"/>
        </w:rPr>
        <w:t xml:space="preserve"> </w:t>
      </w:r>
      <w:r>
        <w:rPr>
          <w:sz w:val="20"/>
        </w:rPr>
        <w:t>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informe</w:t>
      </w:r>
      <w:r>
        <w:rPr>
          <w:spacing w:val="-1"/>
          <w:sz w:val="20"/>
        </w:rPr>
        <w:t xml:space="preserve"> </w:t>
      </w:r>
      <w:r>
        <w:rPr>
          <w:sz w:val="20"/>
        </w:rPr>
        <w:t>específico</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 el artículo 336.</w:t>
      </w:r>
    </w:p>
    <w:p w:rsidR="0092635B" w:rsidRDefault="00000000">
      <w:pPr>
        <w:pStyle w:val="Textoindependiente"/>
        <w:spacing w:before="9" w:line="249" w:lineRule="auto"/>
        <w:ind w:right="1104"/>
      </w:pPr>
      <w:r>
        <w:t>Cuando un contrato se divida en lotes, el presente criterio se aplicará en relación con cada uno de los lotes. No obstante, el órgano de contratación podrá establecer el volumen</w:t>
      </w:r>
      <w:r>
        <w:rPr>
          <w:spacing w:val="40"/>
        </w:rPr>
        <w:t xml:space="preserve"> </w:t>
      </w:r>
      <w:r>
        <w:t>de negocios mínimo anual exigido a los licitadores por referencia a grupos de lotes en caso de que al adjudicatario se le adjudiquen varios lotes que deban ejecutarse al mismo tiempo.</w:t>
      </w:r>
    </w:p>
    <w:p w:rsidR="0092635B" w:rsidRDefault="00000000">
      <w:pPr>
        <w:pStyle w:val="Prrafodelista"/>
        <w:numPr>
          <w:ilvl w:val="1"/>
          <w:numId w:val="277"/>
        </w:numPr>
        <w:tabs>
          <w:tab w:val="left" w:pos="1699"/>
        </w:tabs>
        <w:spacing w:before="3" w:line="249" w:lineRule="auto"/>
        <w:ind w:right="1105" w:firstLine="340"/>
        <w:jc w:val="both"/>
        <w:rPr>
          <w:sz w:val="20"/>
        </w:rPr>
      </w:pPr>
      <w:r>
        <w:rPr>
          <w:sz w:val="20"/>
        </w:rPr>
        <w:t>En los casos en que resulte apropiado, justificante de la existencia de un seguro de responsabilidad civil por riesgos profesionales por importe igual o superior al exigido en el anuncio de licitación o en la invitación a participar en el procedimiento y en los pliegos del contrato o, en su defecto, al establecido reglamentariamente.</w:t>
      </w:r>
    </w:p>
    <w:p w:rsidR="0092635B" w:rsidRDefault="00000000">
      <w:pPr>
        <w:pStyle w:val="Prrafodelista"/>
        <w:numPr>
          <w:ilvl w:val="1"/>
          <w:numId w:val="277"/>
        </w:numPr>
        <w:tabs>
          <w:tab w:val="left" w:pos="1711"/>
        </w:tabs>
        <w:spacing w:before="4" w:line="249" w:lineRule="auto"/>
        <w:ind w:right="1104" w:firstLine="340"/>
        <w:jc w:val="both"/>
        <w:rPr>
          <w:sz w:val="20"/>
        </w:rPr>
      </w:pPr>
      <w:r>
        <w:rPr>
          <w:sz w:val="20"/>
        </w:rPr>
        <w:t>Patrimonio neto, o bien ratio entre activos y pasivos, al cierre del último ejercicio económico para el que esté vencida la obligación de aprobación de cuentas anuales por importe igual o superior al exigido en el anuncio de licitación o en la invitación a participar en el procedimiento y en los pliegos del contrato o, en su defecto, al establecido reglamentariamente. La ratio entre activo y pasivo podrá tenerse en cuenta si el poder adjudicador especifica en los pliegos de la contratación los métodos y criterios que se utilizarán para valorar este dato. Estos métodos y criterios deberán ser transparentes, objetivos y no discriminatorios.</w:t>
      </w:r>
    </w:p>
    <w:p w:rsidR="0092635B" w:rsidRDefault="00000000">
      <w:pPr>
        <w:pStyle w:val="Textoindependiente"/>
        <w:spacing w:before="6" w:line="249" w:lineRule="auto"/>
        <w:ind w:right="1103"/>
      </w:pPr>
      <w:r>
        <w:t>Como medio adicional a los previstos en las letras anteriores de este apartado, el órgano de contratación podrá exigir que el periodo medio de pago a proveedores del empresario, siempre que se trate de una sociedad que no pueda presentar cuenta de pérdidas y ganancias abreviada, no supere el límite que a estos efectos se establezca por Orden del Ministro de Hacienda y Función Pública teniendo en cuenta la normativa sobre morosidad.</w:t>
      </w:r>
    </w:p>
    <w:p w:rsidR="0092635B" w:rsidRDefault="00000000">
      <w:pPr>
        <w:pStyle w:val="Prrafodelista"/>
        <w:numPr>
          <w:ilvl w:val="1"/>
          <w:numId w:val="277"/>
        </w:numPr>
        <w:tabs>
          <w:tab w:val="left" w:pos="1704"/>
        </w:tabs>
        <w:spacing w:before="4" w:line="249" w:lineRule="auto"/>
        <w:ind w:firstLine="340"/>
        <w:jc w:val="both"/>
        <w:rPr>
          <w:sz w:val="20"/>
        </w:rPr>
      </w:pPr>
      <w:r>
        <w:rPr>
          <w:sz w:val="20"/>
        </w:rPr>
        <w:t>Para los contratos de concesión de obras y de servicios, o para aquellos otros que incluyan en su objeto inversiones relevantes que deban ser financiadas por el contratista, el órgano</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podrá</w:t>
      </w:r>
      <w:r>
        <w:rPr>
          <w:spacing w:val="-2"/>
          <w:sz w:val="20"/>
        </w:rPr>
        <w:t xml:space="preserve"> </w:t>
      </w:r>
      <w:r>
        <w:rPr>
          <w:sz w:val="20"/>
        </w:rPr>
        <w:t>establecer</w:t>
      </w:r>
      <w:r>
        <w:rPr>
          <w:spacing w:val="-2"/>
          <w:sz w:val="20"/>
        </w:rPr>
        <w:t xml:space="preserve"> </w:t>
      </w:r>
      <w:r>
        <w:rPr>
          <w:sz w:val="20"/>
        </w:rPr>
        <w:t>medios</w:t>
      </w:r>
      <w:r>
        <w:rPr>
          <w:spacing w:val="-2"/>
          <w:sz w:val="20"/>
        </w:rPr>
        <w:t xml:space="preserve"> </w:t>
      </w:r>
      <w:r>
        <w:rPr>
          <w:sz w:val="20"/>
        </w:rPr>
        <w:t>de</w:t>
      </w:r>
      <w:r>
        <w:rPr>
          <w:spacing w:val="-2"/>
          <w:sz w:val="20"/>
        </w:rPr>
        <w:t xml:space="preserve"> </w:t>
      </w:r>
      <w:r>
        <w:rPr>
          <w:sz w:val="20"/>
        </w:rPr>
        <w:t>acreditación</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solvencia</w:t>
      </w:r>
      <w:r>
        <w:rPr>
          <w:spacing w:val="-2"/>
          <w:sz w:val="20"/>
        </w:rPr>
        <w:t xml:space="preserve"> </w:t>
      </w:r>
      <w:r>
        <w:rPr>
          <w:sz w:val="20"/>
        </w:rPr>
        <w:t>económica</w:t>
      </w:r>
      <w:r>
        <w:rPr>
          <w:spacing w:val="-2"/>
          <w:sz w:val="20"/>
        </w:rPr>
        <w:t xml:space="preserve"> </w:t>
      </w:r>
      <w:r>
        <w:rPr>
          <w:sz w:val="20"/>
        </w:rPr>
        <w:t>y financiera alternativos a los anteriores, siempre que aseguren la capacidad del contratista de aportar los fondos necesarios para la correcta ejecución del contrato.</w:t>
      </w:r>
    </w:p>
    <w:p w:rsidR="0092635B" w:rsidRDefault="00000000">
      <w:pPr>
        <w:pStyle w:val="Prrafodelista"/>
        <w:numPr>
          <w:ilvl w:val="0"/>
          <w:numId w:val="277"/>
        </w:numPr>
        <w:tabs>
          <w:tab w:val="left" w:pos="1693"/>
        </w:tabs>
        <w:spacing w:before="124" w:line="249" w:lineRule="auto"/>
        <w:ind w:firstLine="340"/>
        <w:jc w:val="both"/>
        <w:rPr>
          <w:sz w:val="20"/>
        </w:rPr>
      </w:pPr>
      <w:r>
        <w:rPr>
          <w:sz w:val="20"/>
        </w:rPr>
        <w:t>La acreditación documental de la suficiencia de la solvencia económica y financiera</w:t>
      </w:r>
      <w:r>
        <w:rPr>
          <w:spacing w:val="40"/>
          <w:sz w:val="20"/>
        </w:rPr>
        <w:t xml:space="preserve"> </w:t>
      </w:r>
      <w:r>
        <w:rPr>
          <w:sz w:val="20"/>
        </w:rPr>
        <w:t>del empresario se efectuará mediante la aportación de los certificados y documentos que para cada caso se determinen reglamentariamente, de entre los siguientes: certificación bancaria, póliza o certificado de seguro por riesgos profesionales, cuentas anuales y declaración del empresario indicando el volumen de negocios global de la empresa. 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92635B" w:rsidRDefault="00000000">
      <w:pPr>
        <w:pStyle w:val="Prrafodelista"/>
        <w:numPr>
          <w:ilvl w:val="0"/>
          <w:numId w:val="277"/>
        </w:numPr>
        <w:tabs>
          <w:tab w:val="left" w:pos="1672"/>
        </w:tabs>
        <w:spacing w:before="8" w:line="249" w:lineRule="auto"/>
        <w:ind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económica y financiera de los empresarios que opten 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la</w:t>
      </w:r>
      <w:r>
        <w:rPr>
          <w:spacing w:val="-2"/>
        </w:rPr>
        <w:t xml:space="preserve"> </w:t>
      </w:r>
      <w:r>
        <w:t>adjudicación</w:t>
      </w:r>
      <w:r>
        <w:rPr>
          <w:spacing w:val="-2"/>
        </w:rPr>
        <w:t xml:space="preserve"> </w:t>
      </w:r>
      <w:r>
        <w:t>del</w:t>
      </w:r>
      <w:r>
        <w:rPr>
          <w:spacing w:val="-2"/>
        </w:rPr>
        <w:t xml:space="preserve"> </w:t>
      </w:r>
      <w:r>
        <w:t>contrato,</w:t>
      </w:r>
      <w:r>
        <w:rPr>
          <w:spacing w:val="-2"/>
        </w:rPr>
        <w:t xml:space="preserve"> </w:t>
      </w:r>
      <w:r>
        <w:t>con</w:t>
      </w:r>
      <w:r>
        <w:rPr>
          <w:spacing w:val="-2"/>
        </w:rPr>
        <w:t xml:space="preserve"> </w:t>
      </w:r>
      <w:r>
        <w:t>indicación</w:t>
      </w:r>
      <w:r>
        <w:rPr>
          <w:spacing w:val="-2"/>
        </w:rPr>
        <w:t xml:space="preserve"> </w:t>
      </w:r>
      <w:r>
        <w:t>expresa</w:t>
      </w:r>
      <w:r>
        <w:rPr>
          <w:spacing w:val="-2"/>
        </w:rPr>
        <w:t xml:space="preserve"> </w:t>
      </w:r>
      <w:r>
        <w:t>del</w:t>
      </w:r>
      <w:r>
        <w:rPr>
          <w:spacing w:val="-2"/>
        </w:rPr>
        <w:t xml:space="preserve"> </w:t>
      </w:r>
      <w:r>
        <w:t>importe</w:t>
      </w:r>
      <w:r>
        <w:rPr>
          <w:spacing w:val="-2"/>
        </w:rPr>
        <w:t xml:space="preserve"> </w:t>
      </w:r>
      <w:r>
        <w:t>mínimo,</w:t>
      </w:r>
      <w:r>
        <w:rPr>
          <w:spacing w:val="-2"/>
        </w:rPr>
        <w:t xml:space="preserve"> </w:t>
      </w:r>
      <w:r>
        <w:t>expresado</w:t>
      </w:r>
      <w:r>
        <w:rPr>
          <w:spacing w:val="-2"/>
        </w:rPr>
        <w:t xml:space="preserve"> </w:t>
      </w:r>
      <w:r>
        <w:t>en</w:t>
      </w:r>
      <w:r>
        <w:rPr>
          <w:spacing w:val="-2"/>
        </w:rPr>
        <w:t xml:space="preserve"> </w:t>
      </w:r>
      <w:r>
        <w:t>euros, de cada uno de ellos. Para los contratos no sujetos al requisito de clasificación, cuando los pliegos no concreten los criterios y requisitos mínimos para su acreditación los licitadores o candidatos que no dispongan de la clasificación que en su caso corresponda al contrato acreditarán su solvencia económica y financiera con los siguientes criterios, requisitos mínimos y medios de acreditación:</w:t>
      </w:r>
    </w:p>
    <w:p w:rsidR="0092635B" w:rsidRDefault="00000000">
      <w:pPr>
        <w:pStyle w:val="Prrafodelista"/>
        <w:numPr>
          <w:ilvl w:val="1"/>
          <w:numId w:val="277"/>
        </w:numPr>
        <w:tabs>
          <w:tab w:val="left" w:pos="1687"/>
        </w:tabs>
        <w:spacing w:before="125" w:line="249" w:lineRule="auto"/>
        <w:ind w:firstLine="340"/>
        <w:jc w:val="both"/>
        <w:rPr>
          <w:sz w:val="20"/>
        </w:rPr>
      </w:pPr>
      <w:r>
        <w:rPr>
          <w:sz w:val="20"/>
        </w:rPr>
        <w:t>El criterio para la acreditación de la solvencia económica y financiera será el volumen anual de negocios del licitador o candidato, que referido al año de mayor volumen de</w:t>
      </w:r>
      <w:r>
        <w:rPr>
          <w:spacing w:val="40"/>
          <w:sz w:val="20"/>
        </w:rPr>
        <w:t xml:space="preserve"> </w:t>
      </w:r>
      <w:r>
        <w:rPr>
          <w:sz w:val="20"/>
        </w:rPr>
        <w:t>negocio de los tres últimos concluidos deberá ser al menos una vez y media el valor estimado del contrato cuando su duración no sea superior a un año, y al menos una vez y media el valor anual medio del contrato si su duración es superior a un año.</w:t>
      </w:r>
    </w:p>
    <w:p w:rsidR="0092635B" w:rsidRDefault="00000000">
      <w:pPr>
        <w:pStyle w:val="Textoindependiente"/>
        <w:spacing w:before="4" w:line="249" w:lineRule="auto"/>
        <w:ind w:right="1103"/>
      </w:pPr>
      <w:r>
        <w:t>El volumen anual de negocios del licitador o candidato se acreditará por medio de sus cuentas anuales aprobadas y depositadas en el Registro Mercantil, si el empresario</w:t>
      </w:r>
      <w:r>
        <w:rPr>
          <w:spacing w:val="40"/>
        </w:rPr>
        <w:t xml:space="preserve"> </w:t>
      </w:r>
      <w:r>
        <w:t>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92635B" w:rsidRDefault="00000000">
      <w:pPr>
        <w:pStyle w:val="Prrafodelista"/>
        <w:numPr>
          <w:ilvl w:val="1"/>
          <w:numId w:val="277"/>
        </w:numPr>
        <w:tabs>
          <w:tab w:val="left" w:pos="1685"/>
        </w:tabs>
        <w:spacing w:before="5" w:line="249" w:lineRule="auto"/>
        <w:ind w:firstLine="340"/>
        <w:jc w:val="both"/>
        <w:rPr>
          <w:sz w:val="20"/>
        </w:rPr>
      </w:pPr>
      <w:r>
        <w:rPr>
          <w:sz w:val="20"/>
        </w:rPr>
        <w:t>En los contratos cuyo objeto consista en servicios profesionales, en lugar del volumen anual de negocio, la solvencia económica y financiera se podrá acreditar mediante la disposición de un seguro de indemnización por riesgos profesionales, vigente hasta el fin del plazo de presentación de ofertas, por importe no inferior al valor estimado del contrato, aportando además el compromiso de su renovación o prórroga que garantice el mantenimiento de su cobertura durante toda la ejecución del contrato. Este requisito se entenderá cumplido por el licitador o candidato que incluya con su oferta un compromiso vinculante de suscripción, en caso de resultar adjudicatario, del seguro exigido, compromiso que deberá hacer efectivo dentro del plazo de diez días hábiles al que se refiere el apartado 2 del artículo 150 de esta Ley.</w:t>
      </w:r>
    </w:p>
    <w:p w:rsidR="0092635B" w:rsidRDefault="00000000">
      <w:pPr>
        <w:pStyle w:val="Textoindependiente"/>
        <w:spacing w:before="128" w:line="249" w:lineRule="auto"/>
        <w:ind w:right="1103"/>
      </w:pPr>
      <w:r>
        <w:t>La acreditación de este requisito se efectuará por medio de certificado expedido por el asegurador, en el que consten los importes y riesgos asegurados y la fecha de vencimiento del seguro, y mediante el documento de compromiso vinculante de suscripción, prórroga o renovación del seguro, en los casos en que proceda.</w:t>
      </w:r>
    </w:p>
    <w:p w:rsidR="0092635B" w:rsidRDefault="00000000">
      <w:pPr>
        <w:pStyle w:val="Prrafodelista"/>
        <w:numPr>
          <w:ilvl w:val="0"/>
          <w:numId w:val="277"/>
        </w:numPr>
        <w:tabs>
          <w:tab w:val="left" w:pos="1689"/>
        </w:tabs>
        <w:spacing w:before="3" w:line="249" w:lineRule="auto"/>
        <w:ind w:right="1105" w:firstLine="340"/>
        <w:jc w:val="both"/>
        <w:rPr>
          <w:sz w:val="20"/>
        </w:rPr>
      </w:pPr>
      <w:r>
        <w:rPr>
          <w:sz w:val="20"/>
        </w:rPr>
        <w:t>La solvencia económica y financiera requerida deberá resultar proporcional al objeto contractual de conformidad con lo establecido en el artículo 74.2, no debiendo en ningún caso suponer un obstáculo a la participación de las pequeñas y medianas empresas.</w:t>
      </w:r>
    </w:p>
    <w:p w:rsidR="0092635B" w:rsidRDefault="00000000">
      <w:pPr>
        <w:spacing w:before="229"/>
        <w:ind w:left="1106"/>
        <w:jc w:val="both"/>
        <w:rPr>
          <w:rFonts w:ascii="Arial" w:hAnsi="Arial"/>
          <w:i/>
          <w:sz w:val="20"/>
        </w:rPr>
      </w:pPr>
      <w:bookmarkStart w:id="142" w:name="Artículo_88._Solvencia_técnica_en_los_co"/>
      <w:bookmarkEnd w:id="142"/>
      <w:r>
        <w:rPr>
          <w:rFonts w:ascii="Arial" w:hAnsi="Arial"/>
          <w:b/>
          <w:sz w:val="20"/>
        </w:rPr>
        <w:t>Artículo</w:t>
      </w:r>
      <w:r>
        <w:rPr>
          <w:rFonts w:ascii="Arial" w:hAnsi="Arial"/>
          <w:b/>
          <w:spacing w:val="-4"/>
          <w:sz w:val="20"/>
        </w:rPr>
        <w:t xml:space="preserve"> </w:t>
      </w:r>
      <w:r>
        <w:rPr>
          <w:rFonts w:ascii="Arial" w:hAnsi="Arial"/>
          <w:b/>
          <w:sz w:val="20"/>
        </w:rPr>
        <w:t>88.</w:t>
      </w:r>
      <w:r>
        <w:rPr>
          <w:rFonts w:ascii="Arial" w:hAnsi="Arial"/>
          <w:b/>
          <w:spacing w:val="50"/>
          <w:sz w:val="20"/>
        </w:rPr>
        <w:t xml:space="preserve"> </w:t>
      </w:r>
      <w:r>
        <w:rPr>
          <w:rFonts w:ascii="Arial" w:hAnsi="Arial"/>
          <w:i/>
          <w:sz w:val="20"/>
        </w:rPr>
        <w:t>Solvencia</w:t>
      </w:r>
      <w:r>
        <w:rPr>
          <w:rFonts w:ascii="Arial" w:hAnsi="Arial"/>
          <w:i/>
          <w:spacing w:val="-2"/>
          <w:sz w:val="20"/>
        </w:rPr>
        <w:t xml:space="preserve"> </w:t>
      </w:r>
      <w:r>
        <w:rPr>
          <w:rFonts w:ascii="Arial" w:hAnsi="Arial"/>
          <w:i/>
          <w:sz w:val="20"/>
        </w:rPr>
        <w:t>técnica</w:t>
      </w:r>
      <w:r>
        <w:rPr>
          <w:rFonts w:ascii="Arial" w:hAnsi="Arial"/>
          <w:i/>
          <w:spacing w:val="-1"/>
          <w:sz w:val="20"/>
        </w:rPr>
        <w:t xml:space="preserve"> </w:t>
      </w:r>
      <w:r>
        <w:rPr>
          <w:rFonts w:ascii="Arial" w:hAnsi="Arial"/>
          <w:i/>
          <w:sz w:val="20"/>
        </w:rPr>
        <w:t>en</w:t>
      </w:r>
      <w:r>
        <w:rPr>
          <w:rFonts w:ascii="Arial" w:hAnsi="Arial"/>
          <w:i/>
          <w:spacing w:val="-2"/>
          <w:sz w:val="20"/>
        </w:rPr>
        <w:t xml:space="preserve"> </w:t>
      </w:r>
      <w:r>
        <w:rPr>
          <w:rFonts w:ascii="Arial" w:hAnsi="Arial"/>
          <w:i/>
          <w:sz w:val="20"/>
        </w:rPr>
        <w:t>los</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obras.</w:t>
      </w:r>
    </w:p>
    <w:p w:rsidR="0092635B" w:rsidRDefault="00000000">
      <w:pPr>
        <w:pStyle w:val="Prrafodelista"/>
        <w:numPr>
          <w:ilvl w:val="0"/>
          <w:numId w:val="276"/>
        </w:numPr>
        <w:tabs>
          <w:tab w:val="left" w:pos="1685"/>
        </w:tabs>
        <w:spacing w:before="124" w:line="249" w:lineRule="auto"/>
        <w:ind w:right="1105" w:firstLine="340"/>
        <w:jc w:val="both"/>
        <w:rPr>
          <w:sz w:val="20"/>
        </w:rPr>
      </w:pPr>
      <w:r>
        <w:rPr>
          <w:sz w:val="20"/>
        </w:rPr>
        <w:t>En los contratos de obras, la solvencia técnica del empresario deberá ser acreditada por uno o varios de los medios siguientes, a elección del órgano de contratación:</w:t>
      </w:r>
    </w:p>
    <w:p w:rsidR="0092635B" w:rsidRDefault="00000000">
      <w:pPr>
        <w:pStyle w:val="Prrafodelista"/>
        <w:numPr>
          <w:ilvl w:val="1"/>
          <w:numId w:val="276"/>
        </w:numPr>
        <w:tabs>
          <w:tab w:val="left" w:pos="1697"/>
        </w:tabs>
        <w:spacing w:before="121" w:line="249" w:lineRule="auto"/>
        <w:ind w:right="1102" w:firstLine="340"/>
        <w:jc w:val="both"/>
        <w:rPr>
          <w:sz w:val="20"/>
        </w:rPr>
      </w:pPr>
      <w:r>
        <w:rPr>
          <w:sz w:val="20"/>
        </w:rPr>
        <w:t>Relación de las obras ejecutadas en el curso de los cinco últimos años, avalada por certificados de buena ejecución; 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Cuando sea necesario para garantizar un nivel adecuado de competencia, los poderes adjudicadores podrán indicar que se tendrán en cuenta las pruebas de las obras pertinentes ejecutadas en los últimos diez años.</w:t>
      </w:r>
    </w:p>
    <w:p w:rsidR="0092635B" w:rsidRDefault="00000000">
      <w:pPr>
        <w:pStyle w:val="Textoindependiente"/>
        <w:spacing w:before="7" w:line="249" w:lineRule="auto"/>
        <w:ind w:right="1104"/>
      </w:pPr>
      <w:r>
        <w:t>A los efectos de clasificación de los contratistas de obras y de asignación de categorías de clasificación, el titular del Ministerio de Hacienda y Función Pública podrá fijar mediante Orden, a propuesta de la Junta Consultiva de Contratación Pública del Estado, una relación de subgrupos de clasificación para los que el citado periodo de diez años será de aplicación. Para</w:t>
      </w:r>
      <w:r>
        <w:rPr>
          <w:spacing w:val="-2"/>
        </w:rPr>
        <w:t xml:space="preserve"> </w:t>
      </w:r>
      <w:r>
        <w:t>la</w:t>
      </w:r>
      <w:r>
        <w:rPr>
          <w:spacing w:val="-2"/>
        </w:rPr>
        <w:t xml:space="preserve"> </w:t>
      </w:r>
      <w:r>
        <w:t>clasificación</w:t>
      </w:r>
      <w:r>
        <w:rPr>
          <w:spacing w:val="-2"/>
        </w:rPr>
        <w:t xml:space="preserve"> </w:t>
      </w:r>
      <w:r>
        <w:t>en</w:t>
      </w:r>
      <w:r>
        <w:rPr>
          <w:spacing w:val="-2"/>
        </w:rPr>
        <w:t xml:space="preserve"> </w:t>
      </w:r>
      <w:r>
        <w:t>los</w:t>
      </w:r>
      <w:r>
        <w:rPr>
          <w:spacing w:val="-2"/>
        </w:rPr>
        <w:t xml:space="preserve"> </w:t>
      </w:r>
      <w:r>
        <w:t>subgrupos</w:t>
      </w:r>
      <w:r>
        <w:rPr>
          <w:spacing w:val="-2"/>
        </w:rPr>
        <w:t xml:space="preserve"> </w:t>
      </w:r>
      <w:r>
        <w:t>no</w:t>
      </w:r>
      <w:r>
        <w:rPr>
          <w:spacing w:val="-2"/>
        </w:rPr>
        <w:t xml:space="preserve"> </w:t>
      </w:r>
      <w:r>
        <w:t>incluidos</w:t>
      </w:r>
      <w:r>
        <w:rPr>
          <w:spacing w:val="-2"/>
        </w:rPr>
        <w:t xml:space="preserve"> </w:t>
      </w:r>
      <w:r>
        <w:t>en</w:t>
      </w:r>
      <w:r>
        <w:rPr>
          <w:spacing w:val="-2"/>
        </w:rPr>
        <w:t xml:space="preserve"> </w:t>
      </w:r>
      <w:r>
        <w:t>dicha</w:t>
      </w:r>
      <w:r>
        <w:rPr>
          <w:spacing w:val="-2"/>
        </w:rPr>
        <w:t xml:space="preserve"> </w:t>
      </w:r>
      <w:r>
        <w:t>relación</w:t>
      </w:r>
      <w:r>
        <w:rPr>
          <w:spacing w:val="-2"/>
        </w:rPr>
        <w:t xml:space="preserve"> </w:t>
      </w:r>
      <w:r>
        <w:t>solo</w:t>
      </w:r>
      <w:r>
        <w:rPr>
          <w:spacing w:val="-2"/>
        </w:rPr>
        <w:t xml:space="preserve"> </w:t>
      </w:r>
      <w:r>
        <w:t>se</w:t>
      </w:r>
      <w:r>
        <w:rPr>
          <w:spacing w:val="-2"/>
        </w:rPr>
        <w:t xml:space="preserve"> </w:t>
      </w:r>
      <w:r>
        <w:t>tendrá</w:t>
      </w:r>
      <w:r>
        <w:rPr>
          <w:spacing w:val="-2"/>
        </w:rPr>
        <w:t xml:space="preserve"> </w:t>
      </w:r>
      <w:r>
        <w:t>en</w:t>
      </w:r>
      <w:r>
        <w:rPr>
          <w:spacing w:val="-2"/>
        </w:rPr>
        <w:t xml:space="preserve"> </w:t>
      </w:r>
      <w:r>
        <w:t>cuenta la obra ejecutada dentro de los cinco años anteriores al de inicio del procedimiento de clasificación o de revisión de clasificación, así como la ejecutada durante dicho año.</w:t>
      </w:r>
    </w:p>
    <w:p w:rsidR="0092635B" w:rsidRDefault="00000000">
      <w:pPr>
        <w:pStyle w:val="Textoindependiente"/>
        <w:spacing w:before="6" w:line="249" w:lineRule="auto"/>
        <w:ind w:right="1105"/>
      </w:pPr>
      <w:r>
        <w:t>La citada relación de subgrupos de clasificación podrá ser actualizada anualmente por Orden del titular del Ministerio de Hacienda y Función Pública, a propuesta de la Junta Consultiva</w:t>
      </w:r>
      <w:r>
        <w:rPr>
          <w:spacing w:val="40"/>
        </w:rPr>
        <w:t xml:space="preserve"> </w:t>
      </w:r>
      <w:r>
        <w:t>de</w:t>
      </w:r>
      <w:r>
        <w:rPr>
          <w:spacing w:val="40"/>
        </w:rPr>
        <w:t xml:space="preserve"> </w:t>
      </w:r>
      <w:r>
        <w:t>Contratación</w:t>
      </w:r>
      <w:r>
        <w:rPr>
          <w:spacing w:val="40"/>
        </w:rPr>
        <w:t xml:space="preserve"> </w:t>
      </w:r>
      <w:r>
        <w:t>Pública</w:t>
      </w:r>
      <w:r>
        <w:rPr>
          <w:spacing w:val="40"/>
        </w:rPr>
        <w:t xml:space="preserve"> </w:t>
      </w:r>
      <w:r>
        <w:t>del</w:t>
      </w:r>
      <w:r>
        <w:rPr>
          <w:spacing w:val="40"/>
        </w:rPr>
        <w:t xml:space="preserve"> </w:t>
      </w:r>
      <w:r>
        <w:t>Estado,</w:t>
      </w:r>
      <w:r>
        <w:rPr>
          <w:spacing w:val="40"/>
        </w:rPr>
        <w:t xml:space="preserve"> </w:t>
      </w:r>
      <w:r>
        <w:t>cuando</w:t>
      </w:r>
      <w:r>
        <w:rPr>
          <w:spacing w:val="40"/>
        </w:rPr>
        <w:t xml:space="preserve"> </w:t>
      </w:r>
      <w:r>
        <w:t>lo</w:t>
      </w:r>
      <w:r>
        <w:rPr>
          <w:spacing w:val="40"/>
        </w:rPr>
        <w:t xml:space="preserve"> </w:t>
      </w:r>
      <w:r>
        <w:t>exija</w:t>
      </w:r>
      <w:r>
        <w:rPr>
          <w:spacing w:val="40"/>
        </w:rPr>
        <w:t xml:space="preserve"> </w:t>
      </w:r>
      <w:r>
        <w:t>la</w:t>
      </w:r>
      <w:r>
        <w:rPr>
          <w:spacing w:val="40"/>
        </w:rPr>
        <w:t xml:space="preserve"> </w:t>
      </w:r>
      <w:r>
        <w:t>evolución</w:t>
      </w:r>
      <w:r>
        <w:rPr>
          <w:spacing w:val="40"/>
        </w:rPr>
        <w:t xml:space="preserve"> </w:t>
      </w:r>
      <w:r>
        <w:t>anual</w:t>
      </w:r>
      <w:r>
        <w:rPr>
          <w:spacing w:val="40"/>
        </w:rPr>
        <w:t xml:space="preserve"> </w:t>
      </w:r>
      <w:r>
        <w:t>de</w:t>
      </w:r>
      <w:r>
        <w:rPr>
          <w:spacing w:val="40"/>
        </w:rPr>
        <w:t xml:space="preserve"> </w:t>
      </w:r>
      <w:r>
        <w:t>la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adjudicación de contratos de obras, de manera que se garantice un nivel suficiente de competencia en los contratos de obras de todos los subgrupos de clasificación.</w:t>
      </w:r>
    </w:p>
    <w:p w:rsidR="0092635B" w:rsidRDefault="00000000">
      <w:pPr>
        <w:pStyle w:val="Textoindependiente"/>
        <w:spacing w:before="1" w:line="249" w:lineRule="auto"/>
        <w:ind w:right="1103"/>
      </w:pPr>
      <w:r>
        <w:t>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w:t>
      </w:r>
      <w:r>
        <w:rPr>
          <w:spacing w:val="40"/>
        </w:rPr>
        <w:t xml:space="preserve"> </w:t>
      </w:r>
      <w:r>
        <w:t>obras ejecutadas por una sociedad extranjera participada por el contratista sin que se</w:t>
      </w:r>
      <w:r>
        <w:rPr>
          <w:spacing w:val="40"/>
        </w:rPr>
        <w:t xml:space="preserve"> </w:t>
      </w:r>
      <w:r>
        <w:t>cumpla dicha condición, solo se reconocerá como experiencia atribuible al contratista la obra ejecutada por la sociedad participada en la proporción de la participación de aquel en el capital social de esta.</w:t>
      </w:r>
    </w:p>
    <w:p w:rsidR="0092635B" w:rsidRDefault="00000000">
      <w:pPr>
        <w:pStyle w:val="Prrafodelista"/>
        <w:numPr>
          <w:ilvl w:val="1"/>
          <w:numId w:val="276"/>
        </w:numPr>
        <w:tabs>
          <w:tab w:val="left" w:pos="1762"/>
        </w:tabs>
        <w:spacing w:before="7" w:line="249" w:lineRule="auto"/>
        <w:ind w:right="1104" w:firstLine="340"/>
        <w:jc w:val="both"/>
        <w:rPr>
          <w:sz w:val="20"/>
        </w:rPr>
      </w:pPr>
      <w:r>
        <w:rPr>
          <w:sz w:val="20"/>
        </w:rPr>
        <w:t>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92635B" w:rsidRDefault="00000000">
      <w:pPr>
        <w:pStyle w:val="Prrafodelista"/>
        <w:numPr>
          <w:ilvl w:val="1"/>
          <w:numId w:val="276"/>
        </w:numPr>
        <w:tabs>
          <w:tab w:val="left" w:pos="1671"/>
        </w:tabs>
        <w:spacing w:before="3" w:line="249" w:lineRule="auto"/>
        <w:ind w:right="1105" w:firstLine="340"/>
        <w:jc w:val="both"/>
        <w:rPr>
          <w:sz w:val="20"/>
        </w:rPr>
      </w:pPr>
      <w:r>
        <w:rPr>
          <w:sz w:val="20"/>
        </w:rPr>
        <w:t>Títulos</w:t>
      </w:r>
      <w:r>
        <w:rPr>
          <w:spacing w:val="-1"/>
          <w:sz w:val="20"/>
        </w:rPr>
        <w:t xml:space="preserve"> </w:t>
      </w:r>
      <w:r>
        <w:rPr>
          <w:sz w:val="20"/>
        </w:rPr>
        <w:t>académicos</w:t>
      </w:r>
      <w:r>
        <w:rPr>
          <w:spacing w:val="-1"/>
          <w:sz w:val="20"/>
        </w:rPr>
        <w:t xml:space="preserve"> </w:t>
      </w:r>
      <w:r>
        <w:rPr>
          <w:sz w:val="20"/>
        </w:rPr>
        <w:t>y</w:t>
      </w:r>
      <w:r>
        <w:rPr>
          <w:spacing w:val="-1"/>
          <w:sz w:val="20"/>
        </w:rPr>
        <w:t xml:space="preserve"> </w:t>
      </w:r>
      <w:r>
        <w:rPr>
          <w:sz w:val="20"/>
        </w:rPr>
        <w:t>profesionales</w:t>
      </w:r>
      <w:r>
        <w:rPr>
          <w:spacing w:val="-1"/>
          <w:sz w:val="20"/>
        </w:rPr>
        <w:t xml:space="preserve"> </w:t>
      </w:r>
      <w:r>
        <w:rPr>
          <w:sz w:val="20"/>
        </w:rPr>
        <w:t>del</w:t>
      </w:r>
      <w:r>
        <w:rPr>
          <w:spacing w:val="-1"/>
          <w:sz w:val="20"/>
        </w:rPr>
        <w:t xml:space="preserve"> </w:t>
      </w:r>
      <w:r>
        <w:rPr>
          <w:sz w:val="20"/>
        </w:rPr>
        <w:t>empresario</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directivos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empresa</w:t>
      </w:r>
      <w:r>
        <w:rPr>
          <w:spacing w:val="-1"/>
          <w:sz w:val="20"/>
        </w:rPr>
        <w:t xml:space="preserve"> </w:t>
      </w:r>
      <w:r>
        <w:rPr>
          <w:sz w:val="20"/>
        </w:rPr>
        <w:t xml:space="preserve">y, en particular, del responsable o responsables de las obras así como de los técnicos encargados directamente de la misma, siempre que no se evalúen como un criterio de </w:t>
      </w:r>
      <w:r>
        <w:rPr>
          <w:spacing w:val="-2"/>
          <w:sz w:val="20"/>
        </w:rPr>
        <w:t>adjudicación.</w:t>
      </w:r>
    </w:p>
    <w:p w:rsidR="0092635B" w:rsidRDefault="00000000">
      <w:pPr>
        <w:pStyle w:val="Prrafodelista"/>
        <w:numPr>
          <w:ilvl w:val="1"/>
          <w:numId w:val="276"/>
        </w:numPr>
        <w:tabs>
          <w:tab w:val="left" w:pos="1685"/>
        </w:tabs>
        <w:spacing w:before="3" w:line="249" w:lineRule="auto"/>
        <w:ind w:firstLine="340"/>
        <w:jc w:val="both"/>
        <w:rPr>
          <w:sz w:val="20"/>
        </w:rPr>
      </w:pPr>
      <w:r>
        <w:rPr>
          <w:sz w:val="20"/>
        </w:rPr>
        <w:t>En los casos adecuados, indicación de las medidas de gestión medioambiental que el empresario podrá aplicar al ejecutar el contrato.</w:t>
      </w:r>
    </w:p>
    <w:p w:rsidR="0092635B" w:rsidRDefault="00000000">
      <w:pPr>
        <w:pStyle w:val="Prrafodelista"/>
        <w:numPr>
          <w:ilvl w:val="1"/>
          <w:numId w:val="276"/>
        </w:numPr>
        <w:tabs>
          <w:tab w:val="left" w:pos="1699"/>
        </w:tabs>
        <w:spacing w:line="249" w:lineRule="auto"/>
        <w:ind w:right="1105" w:firstLine="340"/>
        <w:jc w:val="both"/>
        <w:rPr>
          <w:sz w:val="20"/>
        </w:rPr>
      </w:pPr>
      <w:r>
        <w:rPr>
          <w:sz w:val="20"/>
        </w:rPr>
        <w:t>Declaración sobre la plantilla media anual de la empresa y del número de directivos durante</w:t>
      </w:r>
      <w:r>
        <w:rPr>
          <w:spacing w:val="-1"/>
          <w:sz w:val="20"/>
        </w:rPr>
        <w:t xml:space="preserve"> </w:t>
      </w:r>
      <w:r>
        <w:rPr>
          <w:sz w:val="20"/>
        </w:rPr>
        <w:t>los</w:t>
      </w:r>
      <w:r>
        <w:rPr>
          <w:spacing w:val="-1"/>
          <w:sz w:val="20"/>
        </w:rPr>
        <w:t xml:space="preserve"> </w:t>
      </w:r>
      <w:r>
        <w:rPr>
          <w:sz w:val="20"/>
        </w:rPr>
        <w:t>tres</w:t>
      </w:r>
      <w:r>
        <w:rPr>
          <w:spacing w:val="-1"/>
          <w:sz w:val="20"/>
        </w:rPr>
        <w:t xml:space="preserve"> </w:t>
      </w:r>
      <w:r>
        <w:rPr>
          <w:sz w:val="20"/>
        </w:rPr>
        <w:t>últimos</w:t>
      </w:r>
      <w:r>
        <w:rPr>
          <w:spacing w:val="-1"/>
          <w:sz w:val="20"/>
        </w:rPr>
        <w:t xml:space="preserve"> </w:t>
      </w:r>
      <w:r>
        <w:rPr>
          <w:sz w:val="20"/>
        </w:rPr>
        <w:t>años,</w:t>
      </w:r>
      <w:r>
        <w:rPr>
          <w:spacing w:val="-1"/>
          <w:sz w:val="20"/>
        </w:rPr>
        <w:t xml:space="preserve"> </w:t>
      </w:r>
      <w:r>
        <w:rPr>
          <w:sz w:val="20"/>
        </w:rPr>
        <w:t>acompañada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documentación</w:t>
      </w:r>
      <w:r>
        <w:rPr>
          <w:spacing w:val="-1"/>
          <w:sz w:val="20"/>
        </w:rPr>
        <w:t xml:space="preserve"> </w:t>
      </w:r>
      <w:r>
        <w:rPr>
          <w:sz w:val="20"/>
        </w:rPr>
        <w:t>justificativa</w:t>
      </w:r>
      <w:r>
        <w:rPr>
          <w:spacing w:val="-1"/>
          <w:sz w:val="20"/>
        </w:rPr>
        <w:t xml:space="preserve"> </w:t>
      </w:r>
      <w:r>
        <w:rPr>
          <w:sz w:val="20"/>
        </w:rPr>
        <w:t>correspondiente cuando le sea requerido por los servicios dependientes del órgano de contratación.</w:t>
      </w:r>
    </w:p>
    <w:p w:rsidR="0092635B" w:rsidRDefault="00000000">
      <w:pPr>
        <w:pStyle w:val="Prrafodelista"/>
        <w:numPr>
          <w:ilvl w:val="1"/>
          <w:numId w:val="276"/>
        </w:numPr>
        <w:tabs>
          <w:tab w:val="left" w:pos="1648"/>
        </w:tabs>
        <w:spacing w:before="3" w:line="249" w:lineRule="auto"/>
        <w:ind w:right="1104" w:firstLine="340"/>
        <w:jc w:val="both"/>
        <w:rPr>
          <w:sz w:val="20"/>
        </w:rPr>
      </w:pPr>
      <w:r>
        <w:rPr>
          <w:sz w:val="20"/>
        </w:rPr>
        <w:t>Declaración indicando la maquinaria, material y equipo técnico del que se dispondrá para la ejecución de las obras, a la que se adjuntará la documentación acreditativa</w:t>
      </w:r>
      <w:r>
        <w:rPr>
          <w:spacing w:val="80"/>
          <w:sz w:val="20"/>
        </w:rPr>
        <w:t xml:space="preserve"> </w:t>
      </w:r>
      <w:r>
        <w:rPr>
          <w:sz w:val="20"/>
        </w:rPr>
        <w:t>pertinente cuando le sea requerido por los servicios dependientes del órgano de</w:t>
      </w:r>
      <w:r>
        <w:rPr>
          <w:spacing w:val="40"/>
          <w:sz w:val="20"/>
        </w:rPr>
        <w:t xml:space="preserve"> </w:t>
      </w:r>
      <w:r>
        <w:rPr>
          <w:spacing w:val="-2"/>
          <w:sz w:val="20"/>
        </w:rPr>
        <w:t>contratación.</w:t>
      </w:r>
    </w:p>
    <w:p w:rsidR="0092635B" w:rsidRDefault="00000000">
      <w:pPr>
        <w:pStyle w:val="Prrafodelista"/>
        <w:numPr>
          <w:ilvl w:val="0"/>
          <w:numId w:val="276"/>
        </w:numPr>
        <w:tabs>
          <w:tab w:val="left" w:pos="1738"/>
        </w:tabs>
        <w:spacing w:before="123" w:line="249" w:lineRule="auto"/>
        <w:ind w:firstLine="340"/>
        <w:jc w:val="both"/>
        <w:rPr>
          <w:sz w:val="20"/>
        </w:rPr>
      </w:pPr>
      <w:r>
        <w:rPr>
          <w:sz w:val="20"/>
        </w:rPr>
        <w:t>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a f) anteriores, sin que en ningún caso sea aplicable lo establecido en la letra a), relativo a la ejecución de un número determinado de obras.</w:t>
      </w:r>
    </w:p>
    <w:p w:rsidR="0092635B" w:rsidRDefault="00000000">
      <w:pPr>
        <w:pStyle w:val="Prrafodelista"/>
        <w:numPr>
          <w:ilvl w:val="0"/>
          <w:numId w:val="276"/>
        </w:numPr>
        <w:tabs>
          <w:tab w:val="left" w:pos="1672"/>
        </w:tabs>
        <w:spacing w:before="4" w:line="249" w:lineRule="auto"/>
        <w:ind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técnica de los empresarios que opten a la adjudicación del contrato, con indicación expresa, en su caso, de los valores mínimos exigidos para cada uno de ellos. En su defecto, y para cuando no sea exigible la clasificación, la acreditación de la solvencia técnica se efectuará mediante la relación de obras ejecutadas en los últimos cinco años, o en los últimos diez años si pertenecen a alguno de los subgrupos incluidos en la relación a la que se refiere el apartado 1.a, que sean del mismo grupo o subgrupo de clasificación que el correspondiente al contrato, o del grupo o subgrupo más relevante para</w:t>
      </w:r>
      <w:r>
        <w:rPr>
          <w:spacing w:val="40"/>
          <w:sz w:val="20"/>
        </w:rPr>
        <w:t xml:space="preserve"> </w:t>
      </w:r>
      <w:r>
        <w:rPr>
          <w:sz w:val="20"/>
        </w:rPr>
        <w:t>el contrato si este incluye trabajos correspondientes a distintos subgrupos, cuyo importe anual acumulado en el año de mayor ejecución sea igual o superior al 70 por ciento de la anualidad media del contrato.</w:t>
      </w:r>
    </w:p>
    <w:p w:rsidR="0092635B" w:rsidRDefault="0092635B">
      <w:pPr>
        <w:pStyle w:val="Textoindependiente"/>
        <w:spacing w:before="6"/>
        <w:ind w:left="0" w:firstLine="0"/>
        <w:jc w:val="left"/>
      </w:pPr>
    </w:p>
    <w:p w:rsidR="0092635B" w:rsidRDefault="00000000">
      <w:pPr>
        <w:spacing w:before="1"/>
        <w:ind w:left="1106"/>
        <w:jc w:val="both"/>
        <w:rPr>
          <w:rFonts w:ascii="Arial" w:hAnsi="Arial"/>
          <w:i/>
          <w:sz w:val="20"/>
        </w:rPr>
      </w:pPr>
      <w:bookmarkStart w:id="143" w:name="Artículo_89._Solvencia_técnica_en_los_co"/>
      <w:bookmarkEnd w:id="143"/>
      <w:r>
        <w:rPr>
          <w:rFonts w:ascii="Arial" w:hAnsi="Arial"/>
          <w:b/>
          <w:sz w:val="20"/>
        </w:rPr>
        <w:t>Artículo</w:t>
      </w:r>
      <w:r>
        <w:rPr>
          <w:rFonts w:ascii="Arial" w:hAnsi="Arial"/>
          <w:b/>
          <w:spacing w:val="-4"/>
          <w:sz w:val="20"/>
        </w:rPr>
        <w:t xml:space="preserve"> </w:t>
      </w:r>
      <w:r>
        <w:rPr>
          <w:rFonts w:ascii="Arial" w:hAnsi="Arial"/>
          <w:b/>
          <w:sz w:val="20"/>
        </w:rPr>
        <w:t>89.</w:t>
      </w:r>
      <w:r>
        <w:rPr>
          <w:rFonts w:ascii="Arial" w:hAnsi="Arial"/>
          <w:b/>
          <w:spacing w:val="50"/>
          <w:sz w:val="20"/>
        </w:rPr>
        <w:t xml:space="preserve"> </w:t>
      </w:r>
      <w:r>
        <w:rPr>
          <w:rFonts w:ascii="Arial" w:hAnsi="Arial"/>
          <w:i/>
          <w:sz w:val="20"/>
        </w:rPr>
        <w:t>Solvencia</w:t>
      </w:r>
      <w:r>
        <w:rPr>
          <w:rFonts w:ascii="Arial" w:hAnsi="Arial"/>
          <w:i/>
          <w:spacing w:val="-2"/>
          <w:sz w:val="20"/>
        </w:rPr>
        <w:t xml:space="preserve"> </w:t>
      </w:r>
      <w:r>
        <w:rPr>
          <w:rFonts w:ascii="Arial" w:hAnsi="Arial"/>
          <w:i/>
          <w:sz w:val="20"/>
        </w:rPr>
        <w:t>técnica</w:t>
      </w:r>
      <w:r>
        <w:rPr>
          <w:rFonts w:ascii="Arial" w:hAnsi="Arial"/>
          <w:i/>
          <w:spacing w:val="-1"/>
          <w:sz w:val="20"/>
        </w:rPr>
        <w:t xml:space="preserve"> </w:t>
      </w:r>
      <w:r>
        <w:rPr>
          <w:rFonts w:ascii="Arial" w:hAnsi="Arial"/>
          <w:i/>
          <w:sz w:val="20"/>
        </w:rPr>
        <w:t>en</w:t>
      </w:r>
      <w:r>
        <w:rPr>
          <w:rFonts w:ascii="Arial" w:hAnsi="Arial"/>
          <w:i/>
          <w:spacing w:val="-2"/>
          <w:sz w:val="20"/>
        </w:rPr>
        <w:t xml:space="preserve"> </w:t>
      </w:r>
      <w:r>
        <w:rPr>
          <w:rFonts w:ascii="Arial" w:hAnsi="Arial"/>
          <w:i/>
          <w:sz w:val="20"/>
        </w:rPr>
        <w:t>los</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suministro.</w:t>
      </w:r>
    </w:p>
    <w:p w:rsidR="0092635B" w:rsidRDefault="00000000">
      <w:pPr>
        <w:pStyle w:val="Prrafodelista"/>
        <w:numPr>
          <w:ilvl w:val="0"/>
          <w:numId w:val="275"/>
        </w:numPr>
        <w:tabs>
          <w:tab w:val="left" w:pos="1736"/>
        </w:tabs>
        <w:spacing w:before="123" w:line="249" w:lineRule="auto"/>
        <w:ind w:firstLine="340"/>
        <w:jc w:val="both"/>
        <w:rPr>
          <w:sz w:val="20"/>
        </w:rPr>
      </w:pPr>
      <w:r>
        <w:rPr>
          <w:sz w:val="20"/>
        </w:rPr>
        <w:t>En los contratos de suministro la solvencia técnica de los empresarios deberá acreditarse por uno o varios de los siguientes medios, a elección del órgano de contratación:</w:t>
      </w:r>
    </w:p>
    <w:p w:rsidR="0092635B" w:rsidRDefault="00000000">
      <w:pPr>
        <w:pStyle w:val="Prrafodelista"/>
        <w:numPr>
          <w:ilvl w:val="1"/>
          <w:numId w:val="275"/>
        </w:numPr>
        <w:tabs>
          <w:tab w:val="left" w:pos="1679"/>
        </w:tabs>
        <w:spacing w:before="122" w:line="249" w:lineRule="auto"/>
        <w:ind w:firstLine="340"/>
        <w:jc w:val="both"/>
        <w:rPr>
          <w:sz w:val="20"/>
        </w:rPr>
      </w:pPr>
      <w:r>
        <w:rPr>
          <w:sz w:val="20"/>
        </w:rPr>
        <w:t>Una</w:t>
      </w:r>
      <w:r>
        <w:rPr>
          <w:spacing w:val="-2"/>
          <w:sz w:val="20"/>
        </w:rPr>
        <w:t xml:space="preserve"> </w:t>
      </w:r>
      <w:r>
        <w:rPr>
          <w:sz w:val="20"/>
        </w:rPr>
        <w:t>relación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principales</w:t>
      </w:r>
      <w:r>
        <w:rPr>
          <w:spacing w:val="-2"/>
          <w:sz w:val="20"/>
        </w:rPr>
        <w:t xml:space="preserve"> </w:t>
      </w:r>
      <w:r>
        <w:rPr>
          <w:sz w:val="20"/>
        </w:rPr>
        <w:t>suministros</w:t>
      </w:r>
      <w:r>
        <w:rPr>
          <w:spacing w:val="-2"/>
          <w:sz w:val="20"/>
        </w:rPr>
        <w:t xml:space="preserve"> </w:t>
      </w:r>
      <w:r>
        <w:rPr>
          <w:sz w:val="20"/>
        </w:rPr>
        <w:t>realizados</w:t>
      </w:r>
      <w:r>
        <w:rPr>
          <w:spacing w:val="-2"/>
          <w:sz w:val="20"/>
        </w:rPr>
        <w:t xml:space="preserve"> </w:t>
      </w:r>
      <w:r>
        <w:rPr>
          <w:sz w:val="20"/>
        </w:rPr>
        <w:t>de</w:t>
      </w:r>
      <w:r>
        <w:rPr>
          <w:spacing w:val="-2"/>
          <w:sz w:val="20"/>
        </w:rPr>
        <w:t xml:space="preserve"> </w:t>
      </w:r>
      <w:r>
        <w:rPr>
          <w:sz w:val="20"/>
        </w:rPr>
        <w:t>igual</w:t>
      </w:r>
      <w:r>
        <w:rPr>
          <w:spacing w:val="-2"/>
          <w:sz w:val="20"/>
        </w:rPr>
        <w:t xml:space="preserve"> </w:t>
      </w:r>
      <w:r>
        <w:rPr>
          <w:sz w:val="20"/>
        </w:rPr>
        <w:t>o</w:t>
      </w:r>
      <w:r>
        <w:rPr>
          <w:spacing w:val="-2"/>
          <w:sz w:val="20"/>
        </w:rPr>
        <w:t xml:space="preserve"> </w:t>
      </w:r>
      <w:r>
        <w:rPr>
          <w:sz w:val="20"/>
        </w:rPr>
        <w:t>similar</w:t>
      </w:r>
      <w:r>
        <w:rPr>
          <w:spacing w:val="-2"/>
          <w:sz w:val="20"/>
        </w:rPr>
        <w:t xml:space="preserve"> </w:t>
      </w:r>
      <w:r>
        <w:rPr>
          <w:sz w:val="20"/>
        </w:rPr>
        <w:t>naturaleza</w:t>
      </w:r>
      <w:r>
        <w:rPr>
          <w:spacing w:val="-2"/>
          <w:sz w:val="20"/>
        </w:rPr>
        <w:t xml:space="preserve"> </w:t>
      </w:r>
      <w:r>
        <w:rPr>
          <w:sz w:val="20"/>
        </w:rPr>
        <w:t>que los que constituyen el objeto del contrato en el curso de como máximo, los tres últimos años, en la que se indique el importe, la fecha y el destinatario, público o privado de los mismos; cuando sea necesario para garantizar un nivel adecuado de competencia, los poderes adjudicadores podrán indicar que se tendrán en cuenta las pruebas de los suministros pertinentes efectuados más de tres años antes. Cuando le sea requerido por los servicios dependientes del órgano de contratación, los suministros efectuados se acreditarán</w:t>
      </w:r>
      <w:r>
        <w:rPr>
          <w:spacing w:val="40"/>
          <w:sz w:val="20"/>
        </w:rPr>
        <w:t xml:space="preserve"> </w:t>
      </w:r>
      <w:r>
        <w:rPr>
          <w:sz w:val="20"/>
        </w:rPr>
        <w:t>mediante certificados expedidos o visados por el órgano competente, cuando el destinatario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3" w:firstLine="0"/>
      </w:pPr>
      <w:r>
        <w:t>sea</w:t>
      </w:r>
      <w:r>
        <w:rPr>
          <w:spacing w:val="-2"/>
        </w:rPr>
        <w:t xml:space="preserve"> </w:t>
      </w:r>
      <w:r>
        <w:t>una</w:t>
      </w:r>
      <w:r>
        <w:rPr>
          <w:spacing w:val="-2"/>
        </w:rPr>
        <w:t xml:space="preserve"> </w:t>
      </w:r>
      <w:r>
        <w:t>entidad</w:t>
      </w:r>
      <w:r>
        <w:rPr>
          <w:spacing w:val="-2"/>
        </w:rPr>
        <w:t xml:space="preserve"> </w:t>
      </w:r>
      <w:r>
        <w:t>del</w:t>
      </w:r>
      <w:r>
        <w:rPr>
          <w:spacing w:val="-2"/>
        </w:rPr>
        <w:t xml:space="preserve"> </w:t>
      </w:r>
      <w:r>
        <w:t>sector</w:t>
      </w:r>
      <w:r>
        <w:rPr>
          <w:spacing w:val="-2"/>
        </w:rPr>
        <w:t xml:space="preserve"> </w:t>
      </w:r>
      <w:r>
        <w:t>público;</w:t>
      </w:r>
      <w:r>
        <w:rPr>
          <w:spacing w:val="-2"/>
        </w:rPr>
        <w:t xml:space="preserve"> </w:t>
      </w:r>
      <w:r>
        <w:t>cuando</w:t>
      </w:r>
      <w:r>
        <w:rPr>
          <w:spacing w:val="-2"/>
        </w:rPr>
        <w:t xml:space="preserve"> </w:t>
      </w:r>
      <w:r>
        <w:t>el</w:t>
      </w:r>
      <w:r>
        <w:rPr>
          <w:spacing w:val="-2"/>
        </w:rPr>
        <w:t xml:space="preserve"> </w:t>
      </w:r>
      <w:r>
        <w:t>destinatario</w:t>
      </w:r>
      <w:r>
        <w:rPr>
          <w:spacing w:val="-2"/>
        </w:rPr>
        <w:t xml:space="preserve"> </w:t>
      </w:r>
      <w:r>
        <w:t>sea</w:t>
      </w:r>
      <w:r>
        <w:rPr>
          <w:spacing w:val="-2"/>
        </w:rPr>
        <w:t xml:space="preserve"> </w:t>
      </w:r>
      <w:r>
        <w:t>un</w:t>
      </w:r>
      <w:r>
        <w:rPr>
          <w:spacing w:val="-2"/>
        </w:rPr>
        <w:t xml:space="preserve"> </w:t>
      </w:r>
      <w:r>
        <w:t>sujeto</w:t>
      </w:r>
      <w:r>
        <w:rPr>
          <w:spacing w:val="-2"/>
        </w:rPr>
        <w:t xml:space="preserve"> </w:t>
      </w:r>
      <w:r>
        <w:t>privado,</w:t>
      </w:r>
      <w:r>
        <w:rPr>
          <w:spacing w:val="-2"/>
        </w:rPr>
        <w:t xml:space="preserve"> </w:t>
      </w:r>
      <w:r>
        <w:t>mediante</w:t>
      </w:r>
      <w:r>
        <w:rPr>
          <w:spacing w:val="-2"/>
        </w:rPr>
        <w:t xml:space="preserve"> </w:t>
      </w:r>
      <w:r>
        <w:t>un certificado expedido por este o, a falta de este certificado, mediante una declaración del empresario acompañado de los documentos obrantes en poder del mismo que acrediten la realización de la prestación; en su caso estos certificados serán comunicados directamente</w:t>
      </w:r>
      <w:r>
        <w:rPr>
          <w:spacing w:val="40"/>
        </w:rPr>
        <w:t xml:space="preserve"> </w:t>
      </w:r>
      <w:r>
        <w:t>al órgano de contratación por la autoridad competente.</w:t>
      </w:r>
    </w:p>
    <w:p w:rsidR="0092635B" w:rsidRDefault="00000000">
      <w:pPr>
        <w:pStyle w:val="Textoindependiente"/>
        <w:spacing w:before="4" w:line="249" w:lineRule="auto"/>
        <w:ind w:right="1103"/>
      </w:pPr>
      <w:r>
        <w:t>Para determinar que un suministro es de igual o similar naturaleza al que constituye el objeto del contrato, el pliego de cláusulas administrativas particulares podrá acudir además de al CPV, a otros sistemas de clasificación de actividades o productos como el Código normalizado de productos y servicios de las Naciones Unidas (UNSPSC), a la Clasificación central de productos (CPC) o a la Clasificación Nacional de Actividades Económicas</w:t>
      </w:r>
      <w:r>
        <w:rPr>
          <w:spacing w:val="80"/>
        </w:rPr>
        <w:t xml:space="preserve"> </w:t>
      </w:r>
      <w:r>
        <w:t>(CNAE),</w:t>
      </w:r>
      <w:r>
        <w:rPr>
          <w:spacing w:val="-2"/>
        </w:rPr>
        <w:t xml:space="preserve"> </w:t>
      </w:r>
      <w:r>
        <w:t>que</w:t>
      </w:r>
      <w:r>
        <w:rPr>
          <w:spacing w:val="-2"/>
        </w:rPr>
        <w:t xml:space="preserve"> </w:t>
      </w:r>
      <w:r>
        <w:t>en</w:t>
      </w:r>
      <w:r>
        <w:rPr>
          <w:spacing w:val="-2"/>
        </w:rPr>
        <w:t xml:space="preserve"> </w:t>
      </w:r>
      <w:r>
        <w:t>todo</w:t>
      </w:r>
      <w:r>
        <w:rPr>
          <w:spacing w:val="-2"/>
        </w:rPr>
        <w:t xml:space="preserve"> </w:t>
      </w:r>
      <w:r>
        <w:t>caso</w:t>
      </w:r>
      <w:r>
        <w:rPr>
          <w:spacing w:val="-2"/>
        </w:rPr>
        <w:t xml:space="preserve"> </w:t>
      </w:r>
      <w:r>
        <w:t>deberá</w:t>
      </w:r>
      <w:r>
        <w:rPr>
          <w:spacing w:val="-2"/>
        </w:rPr>
        <w:t xml:space="preserve"> </w:t>
      </w:r>
      <w:r>
        <w:t>garantizar</w:t>
      </w:r>
      <w:r>
        <w:rPr>
          <w:spacing w:val="-2"/>
        </w:rPr>
        <w:t xml:space="preserve"> </w:t>
      </w:r>
      <w:r>
        <w:t>la</w:t>
      </w:r>
      <w:r>
        <w:rPr>
          <w:spacing w:val="-2"/>
        </w:rPr>
        <w:t xml:space="preserve"> </w:t>
      </w:r>
      <w:r>
        <w:t>competencia</w:t>
      </w:r>
      <w:r>
        <w:rPr>
          <w:spacing w:val="-2"/>
        </w:rPr>
        <w:t xml:space="preserve"> </w:t>
      </w:r>
      <w:r>
        <w:t>efectiva</w:t>
      </w:r>
      <w:r>
        <w:rPr>
          <w:spacing w:val="-2"/>
        </w:rPr>
        <w:t xml:space="preserve"> </w:t>
      </w:r>
      <w:r>
        <w:t>para</w:t>
      </w:r>
      <w:r>
        <w:rPr>
          <w:spacing w:val="-2"/>
        </w:rPr>
        <w:t xml:space="preserve"> </w:t>
      </w:r>
      <w:r>
        <w:t>la</w:t>
      </w:r>
      <w:r>
        <w:rPr>
          <w:spacing w:val="-2"/>
        </w:rPr>
        <w:t xml:space="preserve"> </w:t>
      </w:r>
      <w:r>
        <w:t>adjudicación</w:t>
      </w:r>
      <w:r>
        <w:rPr>
          <w:spacing w:val="-2"/>
        </w:rPr>
        <w:t xml:space="preserve"> </w:t>
      </w:r>
      <w:r>
        <w:t>del contrato. En defecto de previsión en el pliego se atenderá a los tres primeros dígitos de los respectivos códigos de la CPV. La Junta Consultiva de Contratación Pública del Estado podrá efectuar recomendaciones para indicar qué códigos de las respectivas clasificaciones se ajustan con mayor precisión a las prestaciones más habituales en la contratación pública.</w:t>
      </w:r>
    </w:p>
    <w:p w:rsidR="0092635B" w:rsidRDefault="00000000">
      <w:pPr>
        <w:pStyle w:val="Prrafodelista"/>
        <w:numPr>
          <w:ilvl w:val="1"/>
          <w:numId w:val="275"/>
        </w:numPr>
        <w:tabs>
          <w:tab w:val="left" w:pos="1700"/>
        </w:tabs>
        <w:spacing w:before="8" w:line="249" w:lineRule="auto"/>
        <w:ind w:right="1105" w:firstLine="340"/>
        <w:jc w:val="both"/>
        <w:rPr>
          <w:sz w:val="20"/>
        </w:rPr>
      </w:pPr>
      <w:r>
        <w:rPr>
          <w:sz w:val="20"/>
        </w:rPr>
        <w:t>Indicación del personal técnico o unidades técnicas, integradas o no en la empresa,</w:t>
      </w:r>
      <w:r>
        <w:rPr>
          <w:spacing w:val="40"/>
          <w:sz w:val="20"/>
        </w:rPr>
        <w:t xml:space="preserve"> </w:t>
      </w:r>
      <w:r>
        <w:rPr>
          <w:sz w:val="20"/>
        </w:rPr>
        <w:t>de los que se disponga para la ejecución del contrato, especialmente los encargados del control de calidad.</w:t>
      </w:r>
    </w:p>
    <w:p w:rsidR="0092635B" w:rsidRDefault="00000000">
      <w:pPr>
        <w:pStyle w:val="Prrafodelista"/>
        <w:numPr>
          <w:ilvl w:val="1"/>
          <w:numId w:val="275"/>
        </w:numPr>
        <w:tabs>
          <w:tab w:val="left" w:pos="1685"/>
        </w:tabs>
        <w:spacing w:line="249" w:lineRule="auto"/>
        <w:ind w:firstLine="340"/>
        <w:jc w:val="both"/>
        <w:rPr>
          <w:sz w:val="20"/>
        </w:rPr>
      </w:pPr>
      <w:r>
        <w:rPr>
          <w:sz w:val="20"/>
        </w:rPr>
        <w:t>Descripción de las instalaciones técnicas, de las medidas empleadas para garantizar</w:t>
      </w:r>
      <w:r>
        <w:rPr>
          <w:spacing w:val="40"/>
          <w:sz w:val="20"/>
        </w:rPr>
        <w:t xml:space="preserve"> </w:t>
      </w:r>
      <w:r>
        <w:rPr>
          <w:sz w:val="20"/>
        </w:rPr>
        <w:t>la calidad y de los medios de estudio e investigación de la empresa.</w:t>
      </w:r>
    </w:p>
    <w:p w:rsidR="0092635B" w:rsidRDefault="00000000">
      <w:pPr>
        <w:pStyle w:val="Prrafodelista"/>
        <w:numPr>
          <w:ilvl w:val="1"/>
          <w:numId w:val="275"/>
        </w:numPr>
        <w:tabs>
          <w:tab w:val="left" w:pos="1679"/>
        </w:tabs>
        <w:spacing w:line="249" w:lineRule="auto"/>
        <w:ind w:firstLine="340"/>
        <w:jc w:val="both"/>
        <w:rPr>
          <w:sz w:val="20"/>
        </w:rPr>
      </w:pPr>
      <w:r>
        <w:rPr>
          <w:sz w:val="20"/>
        </w:rPr>
        <w:t>Control</w:t>
      </w:r>
      <w:r>
        <w:rPr>
          <w:spacing w:val="-2"/>
          <w:sz w:val="20"/>
        </w:rPr>
        <w:t xml:space="preserve"> </w:t>
      </w:r>
      <w:r>
        <w:rPr>
          <w:sz w:val="20"/>
        </w:rPr>
        <w:t>efectuado</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entidad</w:t>
      </w:r>
      <w:r>
        <w:rPr>
          <w:spacing w:val="-2"/>
          <w:sz w:val="20"/>
        </w:rPr>
        <w:t xml:space="preserve"> </w:t>
      </w:r>
      <w:r>
        <w:rPr>
          <w:sz w:val="20"/>
        </w:rPr>
        <w:t>del</w:t>
      </w:r>
      <w:r>
        <w:rPr>
          <w:spacing w:val="-2"/>
          <w:sz w:val="20"/>
        </w:rPr>
        <w:t xml:space="preserve"> </w:t>
      </w:r>
      <w:r>
        <w:rPr>
          <w:sz w:val="20"/>
        </w:rPr>
        <w:t>sector</w:t>
      </w:r>
      <w:r>
        <w:rPr>
          <w:spacing w:val="-2"/>
          <w:sz w:val="20"/>
        </w:rPr>
        <w:t xml:space="preserve"> </w:t>
      </w:r>
      <w:r>
        <w:rPr>
          <w:sz w:val="20"/>
        </w:rPr>
        <w:t>público</w:t>
      </w:r>
      <w:r>
        <w:rPr>
          <w:spacing w:val="-2"/>
          <w:sz w:val="20"/>
        </w:rPr>
        <w:t xml:space="preserve"> </w:t>
      </w:r>
      <w:r>
        <w:rPr>
          <w:sz w:val="20"/>
        </w:rPr>
        <w:t>contratante</w:t>
      </w:r>
      <w:r>
        <w:rPr>
          <w:spacing w:val="-2"/>
          <w:sz w:val="20"/>
        </w:rPr>
        <w:t xml:space="preserve"> </w:t>
      </w:r>
      <w:r>
        <w:rPr>
          <w:sz w:val="20"/>
        </w:rPr>
        <w:t>o,</w:t>
      </w:r>
      <w:r>
        <w:rPr>
          <w:spacing w:val="-2"/>
          <w:sz w:val="20"/>
        </w:rPr>
        <w:t xml:space="preserve"> </w:t>
      </w:r>
      <w:r>
        <w:rPr>
          <w:sz w:val="20"/>
        </w:rPr>
        <w:t>en</w:t>
      </w:r>
      <w:r>
        <w:rPr>
          <w:spacing w:val="-2"/>
          <w:sz w:val="20"/>
        </w:rPr>
        <w:t xml:space="preserve"> </w:t>
      </w:r>
      <w:r>
        <w:rPr>
          <w:sz w:val="20"/>
        </w:rPr>
        <w:t>su</w:t>
      </w:r>
      <w:r>
        <w:rPr>
          <w:spacing w:val="-2"/>
          <w:sz w:val="20"/>
        </w:rPr>
        <w:t xml:space="preserve"> </w:t>
      </w:r>
      <w:r>
        <w:rPr>
          <w:sz w:val="20"/>
        </w:rPr>
        <w:t>nombre,</w:t>
      </w:r>
      <w:r>
        <w:rPr>
          <w:spacing w:val="-2"/>
          <w:sz w:val="20"/>
        </w:rPr>
        <w:t xml:space="preserve"> </w:t>
      </w:r>
      <w:r>
        <w:rPr>
          <w:sz w:val="20"/>
        </w:rPr>
        <w:t>por</w:t>
      </w:r>
      <w:r>
        <w:rPr>
          <w:spacing w:val="-2"/>
          <w:sz w:val="20"/>
        </w:rPr>
        <w:t xml:space="preserve"> </w:t>
      </w:r>
      <w:r>
        <w:rPr>
          <w:sz w:val="20"/>
        </w:rPr>
        <w:t>un organismo oficial competente del Estado en el cual el empresario está establecido, siempre que medie acuerdo de dicho organismo, cuando los productos a suministrar sean complejos o cuando, excepcionalmente, deban responder a un fin particular. Este control versará sobre la</w:t>
      </w:r>
      <w:r>
        <w:rPr>
          <w:spacing w:val="-2"/>
          <w:sz w:val="20"/>
        </w:rPr>
        <w:t xml:space="preserve"> </w:t>
      </w:r>
      <w:r>
        <w:rPr>
          <w:sz w:val="20"/>
        </w:rPr>
        <w:t>capacidad</w:t>
      </w:r>
      <w:r>
        <w:rPr>
          <w:spacing w:val="-2"/>
          <w:sz w:val="20"/>
        </w:rPr>
        <w:t xml:space="preserve"> </w:t>
      </w:r>
      <w:r>
        <w:rPr>
          <w:sz w:val="20"/>
        </w:rPr>
        <w:t>de</w:t>
      </w:r>
      <w:r>
        <w:rPr>
          <w:spacing w:val="-2"/>
          <w:sz w:val="20"/>
        </w:rPr>
        <w:t xml:space="preserve"> </w:t>
      </w:r>
      <w:r>
        <w:rPr>
          <w:sz w:val="20"/>
        </w:rPr>
        <w:t>producción</w:t>
      </w:r>
      <w:r>
        <w:rPr>
          <w:spacing w:val="-2"/>
          <w:sz w:val="20"/>
        </w:rPr>
        <w:t xml:space="preserve"> </w:t>
      </w:r>
      <w:r>
        <w:rPr>
          <w:sz w:val="20"/>
        </w:rPr>
        <w:t>del</w:t>
      </w:r>
      <w:r>
        <w:rPr>
          <w:spacing w:val="-2"/>
          <w:sz w:val="20"/>
        </w:rPr>
        <w:t xml:space="preserve"> </w:t>
      </w:r>
      <w:r>
        <w:rPr>
          <w:sz w:val="20"/>
        </w:rPr>
        <w:t>empresario</w:t>
      </w:r>
      <w:r>
        <w:rPr>
          <w:spacing w:val="-2"/>
          <w:sz w:val="20"/>
        </w:rPr>
        <w:t xml:space="preserve"> </w:t>
      </w:r>
      <w:r>
        <w:rPr>
          <w:sz w:val="20"/>
        </w:rPr>
        <w:t>y,</w:t>
      </w:r>
      <w:r>
        <w:rPr>
          <w:spacing w:val="-2"/>
          <w:sz w:val="20"/>
        </w:rPr>
        <w:t xml:space="preserve"> </w:t>
      </w:r>
      <w:r>
        <w:rPr>
          <w:sz w:val="20"/>
        </w:rPr>
        <w:t>si</w:t>
      </w:r>
      <w:r>
        <w:rPr>
          <w:spacing w:val="-2"/>
          <w:sz w:val="20"/>
        </w:rPr>
        <w:t xml:space="preserve"> </w:t>
      </w:r>
      <w:r>
        <w:rPr>
          <w:sz w:val="20"/>
        </w:rPr>
        <w:t>fuera</w:t>
      </w:r>
      <w:r>
        <w:rPr>
          <w:spacing w:val="-2"/>
          <w:sz w:val="20"/>
        </w:rPr>
        <w:t xml:space="preserve"> </w:t>
      </w:r>
      <w:r>
        <w:rPr>
          <w:sz w:val="20"/>
        </w:rPr>
        <w:t>necesario,</w:t>
      </w:r>
      <w:r>
        <w:rPr>
          <w:spacing w:val="-2"/>
          <w:sz w:val="20"/>
        </w:rPr>
        <w:t xml:space="preserve"> </w:t>
      </w:r>
      <w:r>
        <w:rPr>
          <w:sz w:val="20"/>
        </w:rPr>
        <w:t>sobre</w:t>
      </w:r>
      <w:r>
        <w:rPr>
          <w:spacing w:val="-2"/>
          <w:sz w:val="20"/>
        </w:rPr>
        <w:t xml:space="preserve"> </w:t>
      </w:r>
      <w:r>
        <w:rPr>
          <w:sz w:val="20"/>
        </w:rPr>
        <w:t>los</w:t>
      </w:r>
      <w:r>
        <w:rPr>
          <w:spacing w:val="-2"/>
          <w:sz w:val="20"/>
        </w:rPr>
        <w:t xml:space="preserve"> </w:t>
      </w:r>
      <w:r>
        <w:rPr>
          <w:sz w:val="20"/>
        </w:rPr>
        <w:t>medios</w:t>
      </w:r>
      <w:r>
        <w:rPr>
          <w:spacing w:val="-2"/>
          <w:sz w:val="20"/>
        </w:rPr>
        <w:t xml:space="preserve"> </w:t>
      </w:r>
      <w:r>
        <w:rPr>
          <w:sz w:val="20"/>
        </w:rPr>
        <w:t>de</w:t>
      </w:r>
      <w:r>
        <w:rPr>
          <w:spacing w:val="-2"/>
          <w:sz w:val="20"/>
        </w:rPr>
        <w:t xml:space="preserve"> </w:t>
      </w:r>
      <w:r>
        <w:rPr>
          <w:sz w:val="20"/>
        </w:rPr>
        <w:t xml:space="preserve">estudio e investigación con que cuenta, así como sobre las medidas empleadas para controlar la </w:t>
      </w:r>
      <w:r>
        <w:rPr>
          <w:spacing w:val="-2"/>
          <w:sz w:val="20"/>
        </w:rPr>
        <w:t>calidad.</w:t>
      </w:r>
    </w:p>
    <w:p w:rsidR="0092635B" w:rsidRDefault="00000000">
      <w:pPr>
        <w:pStyle w:val="Prrafodelista"/>
        <w:numPr>
          <w:ilvl w:val="1"/>
          <w:numId w:val="275"/>
        </w:numPr>
        <w:tabs>
          <w:tab w:val="left" w:pos="1680"/>
        </w:tabs>
        <w:spacing w:before="6" w:line="249" w:lineRule="auto"/>
        <w:ind w:firstLine="340"/>
        <w:jc w:val="both"/>
        <w:rPr>
          <w:sz w:val="20"/>
        </w:rPr>
      </w:pPr>
      <w:r>
        <w:rPr>
          <w:sz w:val="20"/>
        </w:rPr>
        <w:t>Muestras,</w:t>
      </w:r>
      <w:r>
        <w:rPr>
          <w:spacing w:val="-4"/>
          <w:sz w:val="20"/>
        </w:rPr>
        <w:t xml:space="preserve"> </w:t>
      </w:r>
      <w:r>
        <w:rPr>
          <w:sz w:val="20"/>
        </w:rPr>
        <w:t>descripciones</w:t>
      </w:r>
      <w:r>
        <w:rPr>
          <w:spacing w:val="-4"/>
          <w:sz w:val="20"/>
        </w:rPr>
        <w:t xml:space="preserve"> </w:t>
      </w:r>
      <w:r>
        <w:rPr>
          <w:sz w:val="20"/>
        </w:rPr>
        <w:t>y</w:t>
      </w:r>
      <w:r>
        <w:rPr>
          <w:spacing w:val="-4"/>
          <w:sz w:val="20"/>
        </w:rPr>
        <w:t xml:space="preserve"> </w:t>
      </w:r>
      <w:r>
        <w:rPr>
          <w:sz w:val="20"/>
        </w:rPr>
        <w:t>fotografías</w:t>
      </w:r>
      <w:r>
        <w:rPr>
          <w:spacing w:val="-4"/>
          <w:sz w:val="20"/>
        </w:rPr>
        <w:t xml:space="preserve"> </w:t>
      </w:r>
      <w:r>
        <w:rPr>
          <w:sz w:val="20"/>
        </w:rPr>
        <w:t>de</w:t>
      </w:r>
      <w:r>
        <w:rPr>
          <w:spacing w:val="-4"/>
          <w:sz w:val="20"/>
        </w:rPr>
        <w:t xml:space="preserve"> </w:t>
      </w:r>
      <w:r>
        <w:rPr>
          <w:sz w:val="20"/>
        </w:rPr>
        <w:t>los</w:t>
      </w:r>
      <w:r>
        <w:rPr>
          <w:spacing w:val="-4"/>
          <w:sz w:val="20"/>
        </w:rPr>
        <w:t xml:space="preserve"> </w:t>
      </w:r>
      <w:r>
        <w:rPr>
          <w:sz w:val="20"/>
        </w:rPr>
        <w:t>productos</w:t>
      </w:r>
      <w:r>
        <w:rPr>
          <w:spacing w:val="-4"/>
          <w:sz w:val="20"/>
        </w:rPr>
        <w:t xml:space="preserve"> </w:t>
      </w:r>
      <w:r>
        <w:rPr>
          <w:sz w:val="20"/>
        </w:rPr>
        <w:t>a</w:t>
      </w:r>
      <w:r>
        <w:rPr>
          <w:spacing w:val="-4"/>
          <w:sz w:val="20"/>
        </w:rPr>
        <w:t xml:space="preserve"> </w:t>
      </w:r>
      <w:r>
        <w:rPr>
          <w:sz w:val="20"/>
        </w:rPr>
        <w:t>suministrar,</w:t>
      </w:r>
      <w:r>
        <w:rPr>
          <w:spacing w:val="-4"/>
          <w:sz w:val="20"/>
        </w:rPr>
        <w:t xml:space="preserve"> </w:t>
      </w:r>
      <w:r>
        <w:rPr>
          <w:sz w:val="20"/>
        </w:rPr>
        <w:t>cuya</w:t>
      </w:r>
      <w:r>
        <w:rPr>
          <w:spacing w:val="-4"/>
          <w:sz w:val="20"/>
        </w:rPr>
        <w:t xml:space="preserve"> </w:t>
      </w:r>
      <w:r>
        <w:rPr>
          <w:sz w:val="20"/>
        </w:rPr>
        <w:t>autenticidad pueda certificarse a petición de la entidad contratante.</w:t>
      </w:r>
    </w:p>
    <w:p w:rsidR="0092635B" w:rsidRDefault="00000000">
      <w:pPr>
        <w:pStyle w:val="Prrafodelista"/>
        <w:numPr>
          <w:ilvl w:val="1"/>
          <w:numId w:val="275"/>
        </w:numPr>
        <w:tabs>
          <w:tab w:val="left" w:pos="1631"/>
        </w:tabs>
        <w:spacing w:before="1" w:line="249" w:lineRule="auto"/>
        <w:ind w:firstLine="340"/>
        <w:jc w:val="both"/>
        <w:rPr>
          <w:sz w:val="20"/>
        </w:rPr>
      </w:pPr>
      <w:r>
        <w:rPr>
          <w:sz w:val="20"/>
        </w:rPr>
        <w:t xml:space="preserve">Certificados expedidos por los institutos o servicios oficiales encargados del control de calidad, de competencia reconocida, que acrediten la conformidad de productos perfectamente detallada mediante referencias a determinadas especificaciones o normas </w:t>
      </w:r>
      <w:r>
        <w:rPr>
          <w:spacing w:val="-2"/>
          <w:sz w:val="20"/>
        </w:rPr>
        <w:t>técnicas.</w:t>
      </w:r>
    </w:p>
    <w:p w:rsidR="0092635B" w:rsidRDefault="00000000">
      <w:pPr>
        <w:pStyle w:val="Prrafodelista"/>
        <w:numPr>
          <w:ilvl w:val="1"/>
          <w:numId w:val="275"/>
        </w:numPr>
        <w:tabs>
          <w:tab w:val="left" w:pos="1704"/>
        </w:tabs>
        <w:spacing w:before="4" w:line="249" w:lineRule="auto"/>
        <w:ind w:firstLine="340"/>
        <w:jc w:val="both"/>
        <w:rPr>
          <w:sz w:val="20"/>
        </w:rPr>
      </w:pPr>
      <w:r>
        <w:rPr>
          <w:sz w:val="20"/>
        </w:rPr>
        <w:t xml:space="preserve">Indicación de los sistemas de gestión de la cadena de suministro, incluidos los que garanticen el cumplimiento de las Convenciones fundamentales de la Organización Internacional del Trabajo, y de seguimiento que el empresario podrá aplicar al ejecutar el </w:t>
      </w:r>
      <w:r>
        <w:rPr>
          <w:spacing w:val="-2"/>
          <w:sz w:val="20"/>
        </w:rPr>
        <w:t>contrato.</w:t>
      </w:r>
    </w:p>
    <w:p w:rsidR="0092635B" w:rsidRDefault="00000000">
      <w:pPr>
        <w:pStyle w:val="Prrafodelista"/>
        <w:numPr>
          <w:ilvl w:val="1"/>
          <w:numId w:val="275"/>
        </w:numPr>
        <w:tabs>
          <w:tab w:val="left" w:pos="1704"/>
        </w:tabs>
        <w:spacing w:before="3" w:line="249" w:lineRule="auto"/>
        <w:ind w:right="1104" w:firstLine="340"/>
        <w:jc w:val="both"/>
        <w:rPr>
          <w:sz w:val="20"/>
        </w:rPr>
      </w:pPr>
      <w:r>
        <w:rPr>
          <w:sz w:val="20"/>
        </w:rPr>
        <w:t>En los contratos no sujetos a regulación armonizada, cuando el contratista sea una empresa de nueva creación, entendiendo por tal aquella que tenga una antigüedad inferior a cinco años, su solvencia técnica se acreditará por uno o varios de los medios a que se refieren</w:t>
      </w:r>
      <w:r>
        <w:rPr>
          <w:spacing w:val="-2"/>
          <w:sz w:val="20"/>
        </w:rPr>
        <w:t xml:space="preserve"> </w:t>
      </w:r>
      <w:r>
        <w:rPr>
          <w:sz w:val="20"/>
        </w:rPr>
        <w:t>las</w:t>
      </w:r>
      <w:r>
        <w:rPr>
          <w:spacing w:val="-2"/>
          <w:sz w:val="20"/>
        </w:rPr>
        <w:t xml:space="preserve"> </w:t>
      </w:r>
      <w:r>
        <w:rPr>
          <w:sz w:val="20"/>
        </w:rPr>
        <w:t>letras</w:t>
      </w:r>
      <w:r>
        <w:rPr>
          <w:spacing w:val="-2"/>
          <w:sz w:val="20"/>
        </w:rPr>
        <w:t xml:space="preserve"> </w:t>
      </w:r>
      <w:r>
        <w:rPr>
          <w:sz w:val="20"/>
        </w:rPr>
        <w:t>b)</w:t>
      </w:r>
      <w:r>
        <w:rPr>
          <w:spacing w:val="-2"/>
          <w:sz w:val="20"/>
        </w:rPr>
        <w:t xml:space="preserve"> </w:t>
      </w:r>
      <w:r>
        <w:rPr>
          <w:sz w:val="20"/>
        </w:rPr>
        <w:t>a</w:t>
      </w:r>
      <w:r>
        <w:rPr>
          <w:spacing w:val="-2"/>
          <w:sz w:val="20"/>
        </w:rPr>
        <w:t xml:space="preserve"> </w:t>
      </w:r>
      <w:r>
        <w:rPr>
          <w:sz w:val="20"/>
        </w:rPr>
        <w:t>g)</w:t>
      </w:r>
      <w:r>
        <w:rPr>
          <w:spacing w:val="-2"/>
          <w:sz w:val="20"/>
        </w:rPr>
        <w:t xml:space="preserve"> </w:t>
      </w:r>
      <w:r>
        <w:rPr>
          <w:sz w:val="20"/>
        </w:rPr>
        <w:t>anteriores,</w:t>
      </w:r>
      <w:r>
        <w:rPr>
          <w:spacing w:val="-2"/>
          <w:sz w:val="20"/>
        </w:rPr>
        <w:t xml:space="preserve"> </w:t>
      </w:r>
      <w:r>
        <w:rPr>
          <w:sz w:val="20"/>
        </w:rPr>
        <w:t>sin</w:t>
      </w:r>
      <w:r>
        <w:rPr>
          <w:spacing w:val="-2"/>
          <w:sz w:val="20"/>
        </w:rPr>
        <w:t xml:space="preserve"> </w:t>
      </w:r>
      <w:r>
        <w:rPr>
          <w:sz w:val="20"/>
        </w:rPr>
        <w:t>que</w:t>
      </w:r>
      <w:r>
        <w:rPr>
          <w:spacing w:val="-2"/>
          <w:sz w:val="20"/>
        </w:rPr>
        <w:t xml:space="preserve"> </w:t>
      </w:r>
      <w:r>
        <w:rPr>
          <w:sz w:val="20"/>
        </w:rPr>
        <w:t>en</w:t>
      </w:r>
      <w:r>
        <w:rPr>
          <w:spacing w:val="-2"/>
          <w:sz w:val="20"/>
        </w:rPr>
        <w:t xml:space="preserve"> </w:t>
      </w:r>
      <w:r>
        <w:rPr>
          <w:sz w:val="20"/>
        </w:rPr>
        <w:t>ningún</w:t>
      </w:r>
      <w:r>
        <w:rPr>
          <w:spacing w:val="-2"/>
          <w:sz w:val="20"/>
        </w:rPr>
        <w:t xml:space="preserve"> </w:t>
      </w:r>
      <w:r>
        <w:rPr>
          <w:sz w:val="20"/>
        </w:rPr>
        <w:t>caso</w:t>
      </w:r>
      <w:r>
        <w:rPr>
          <w:spacing w:val="-2"/>
          <w:sz w:val="20"/>
        </w:rPr>
        <w:t xml:space="preserve"> </w:t>
      </w:r>
      <w:r>
        <w:rPr>
          <w:sz w:val="20"/>
        </w:rPr>
        <w:t>sea</w:t>
      </w:r>
      <w:r>
        <w:rPr>
          <w:spacing w:val="-2"/>
          <w:sz w:val="20"/>
        </w:rPr>
        <w:t xml:space="preserve"> </w:t>
      </w:r>
      <w:r>
        <w:rPr>
          <w:sz w:val="20"/>
        </w:rPr>
        <w:t>aplicable</w:t>
      </w:r>
      <w:r>
        <w:rPr>
          <w:spacing w:val="-2"/>
          <w:sz w:val="20"/>
        </w:rPr>
        <w:t xml:space="preserve"> </w:t>
      </w:r>
      <w:r>
        <w:rPr>
          <w:sz w:val="20"/>
        </w:rPr>
        <w:t>lo</w:t>
      </w:r>
      <w:r>
        <w:rPr>
          <w:spacing w:val="-2"/>
          <w:sz w:val="20"/>
        </w:rPr>
        <w:t xml:space="preserve"> </w:t>
      </w:r>
      <w:r>
        <w:rPr>
          <w:sz w:val="20"/>
        </w:rPr>
        <w:t>establecido</w:t>
      </w:r>
      <w:r>
        <w:rPr>
          <w:spacing w:val="-2"/>
          <w:sz w:val="20"/>
        </w:rPr>
        <w:t xml:space="preserve"> </w:t>
      </w:r>
      <w:r>
        <w:rPr>
          <w:sz w:val="20"/>
        </w:rPr>
        <w:t>en</w:t>
      </w:r>
      <w:r>
        <w:rPr>
          <w:spacing w:val="-2"/>
          <w:sz w:val="20"/>
        </w:rPr>
        <w:t xml:space="preserve"> </w:t>
      </w:r>
      <w:r>
        <w:rPr>
          <w:sz w:val="20"/>
        </w:rPr>
        <w:t>la letra a), relativo a la ejecución de un número determinado de suministros.</w:t>
      </w:r>
    </w:p>
    <w:p w:rsidR="0092635B" w:rsidRDefault="00000000">
      <w:pPr>
        <w:pStyle w:val="Prrafodelista"/>
        <w:numPr>
          <w:ilvl w:val="0"/>
          <w:numId w:val="275"/>
        </w:numPr>
        <w:tabs>
          <w:tab w:val="left" w:pos="1704"/>
        </w:tabs>
        <w:spacing w:before="124" w:line="249" w:lineRule="auto"/>
        <w:ind w:firstLine="340"/>
        <w:jc w:val="both"/>
        <w:rPr>
          <w:sz w:val="20"/>
        </w:rPr>
      </w:pPr>
      <w:r>
        <w:rPr>
          <w:sz w:val="20"/>
        </w:rPr>
        <w:t>En los contratos de suministro que requieran obras de colocación o instalación, la prestación de servicios o la ejecución de obras, la capacidad de los operadores económicos para prestar dichos servicios o ejecutar dicha instalación u obras podrá evaluarse teniendo en cuenta especialmente sus conocimientos técnicos, eficacia, experiencia y fiabilidad.</w:t>
      </w:r>
    </w:p>
    <w:p w:rsidR="0092635B" w:rsidRDefault="00000000">
      <w:pPr>
        <w:pStyle w:val="Prrafodelista"/>
        <w:numPr>
          <w:ilvl w:val="0"/>
          <w:numId w:val="275"/>
        </w:numPr>
        <w:tabs>
          <w:tab w:val="left" w:pos="1672"/>
        </w:tabs>
        <w:spacing w:before="3" w:line="249" w:lineRule="auto"/>
        <w:ind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técnica de los empresarios que opten a la adjudicación del contrato, con indicación expresa, en su caso, de los valores mínimos exigidos para cada uno de ellos y, en su caso, de las normas o especificaciones técnicas respecto de las que se acreditará la conformidad de los productos. En su defecto, la acreditación de la solvencia técnica se efectuará mediante la relación de los principales suministros efectuados, en los tres últimos años, de igual o similar naturaleza que los que constituyen el objeto del contrato, cuyo importe anual acumulado en el año de mayor ejecución sea igual o superior al 70 por ciento de la anualidad media del contrato.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144" w:name="Artículo_90._Solvencia_técnica_o_profesi"/>
      <w:bookmarkEnd w:id="144"/>
      <w:r>
        <w:rPr>
          <w:rFonts w:ascii="Arial" w:hAnsi="Arial"/>
          <w:b/>
          <w:sz w:val="20"/>
        </w:rPr>
        <w:t>Artículo</w:t>
      </w:r>
      <w:r>
        <w:rPr>
          <w:rFonts w:ascii="Arial" w:hAnsi="Arial"/>
          <w:b/>
          <w:spacing w:val="-3"/>
          <w:sz w:val="20"/>
        </w:rPr>
        <w:t xml:space="preserve"> </w:t>
      </w:r>
      <w:r>
        <w:rPr>
          <w:rFonts w:ascii="Arial" w:hAnsi="Arial"/>
          <w:b/>
          <w:sz w:val="20"/>
        </w:rPr>
        <w:t>90.</w:t>
      </w:r>
      <w:r>
        <w:rPr>
          <w:rFonts w:ascii="Arial" w:hAnsi="Arial"/>
          <w:b/>
          <w:spacing w:val="49"/>
          <w:sz w:val="20"/>
        </w:rPr>
        <w:t xml:space="preserve"> </w:t>
      </w:r>
      <w:r>
        <w:rPr>
          <w:rFonts w:ascii="Arial" w:hAnsi="Arial"/>
          <w:i/>
          <w:sz w:val="20"/>
        </w:rPr>
        <w:t>Solvencia</w:t>
      </w:r>
      <w:r>
        <w:rPr>
          <w:rFonts w:ascii="Arial" w:hAnsi="Arial"/>
          <w:i/>
          <w:spacing w:val="-2"/>
          <w:sz w:val="20"/>
        </w:rPr>
        <w:t xml:space="preserve"> </w:t>
      </w:r>
      <w:r>
        <w:rPr>
          <w:rFonts w:ascii="Arial" w:hAnsi="Arial"/>
          <w:i/>
          <w:sz w:val="20"/>
        </w:rPr>
        <w:t>técnica</w:t>
      </w:r>
      <w:r>
        <w:rPr>
          <w:rFonts w:ascii="Arial" w:hAnsi="Arial"/>
          <w:i/>
          <w:spacing w:val="-2"/>
          <w:sz w:val="20"/>
        </w:rPr>
        <w:t xml:space="preserve"> </w:t>
      </w:r>
      <w:r>
        <w:rPr>
          <w:rFonts w:ascii="Arial" w:hAnsi="Arial"/>
          <w:i/>
          <w:sz w:val="20"/>
        </w:rPr>
        <w:t>o</w:t>
      </w:r>
      <w:r>
        <w:rPr>
          <w:rFonts w:ascii="Arial" w:hAnsi="Arial"/>
          <w:i/>
          <w:spacing w:val="-3"/>
          <w:sz w:val="20"/>
        </w:rPr>
        <w:t xml:space="preserve"> </w:t>
      </w:r>
      <w:r>
        <w:rPr>
          <w:rFonts w:ascii="Arial" w:hAnsi="Arial"/>
          <w:i/>
          <w:sz w:val="20"/>
        </w:rPr>
        <w:t>profesional</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los</w:t>
      </w:r>
      <w:r>
        <w:rPr>
          <w:rFonts w:ascii="Arial" w:hAnsi="Arial"/>
          <w:i/>
          <w:spacing w:val="-3"/>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de</w:t>
      </w:r>
      <w:r>
        <w:rPr>
          <w:rFonts w:ascii="Arial" w:hAnsi="Arial"/>
          <w:i/>
          <w:spacing w:val="-2"/>
          <w:sz w:val="20"/>
        </w:rPr>
        <w:t xml:space="preserve"> servicios.</w:t>
      </w:r>
    </w:p>
    <w:p w:rsidR="0092635B" w:rsidRDefault="00000000">
      <w:pPr>
        <w:pStyle w:val="Prrafodelista"/>
        <w:numPr>
          <w:ilvl w:val="0"/>
          <w:numId w:val="274"/>
        </w:numPr>
        <w:tabs>
          <w:tab w:val="left" w:pos="1696"/>
        </w:tabs>
        <w:spacing w:before="123" w:line="249" w:lineRule="auto"/>
        <w:ind w:firstLine="340"/>
        <w:jc w:val="both"/>
        <w:rPr>
          <w:sz w:val="20"/>
        </w:rPr>
      </w:pPr>
      <w:r>
        <w:rPr>
          <w:sz w:val="20"/>
        </w:rPr>
        <w:t>En los contratos de servicios, la solvencia técnica o profesional de los empresarios deberá apreciarse teniendo en cuenta sus conocimientos técnicos, eficacia, experiencia y fiabilidad, lo que deberá acreditarse, según el objeto del contrato, por uno o varios de los medios siguientes, a elección del órgano de contratación:</w:t>
      </w:r>
    </w:p>
    <w:p w:rsidR="0092635B" w:rsidRDefault="00000000">
      <w:pPr>
        <w:pStyle w:val="Prrafodelista"/>
        <w:numPr>
          <w:ilvl w:val="1"/>
          <w:numId w:val="274"/>
        </w:numPr>
        <w:tabs>
          <w:tab w:val="left" w:pos="1731"/>
        </w:tabs>
        <w:spacing w:before="123" w:line="249" w:lineRule="auto"/>
        <w:ind w:right="1104" w:firstLine="340"/>
        <w:jc w:val="both"/>
        <w:rPr>
          <w:sz w:val="20"/>
        </w:rPr>
      </w:pPr>
      <w:r>
        <w:rPr>
          <w:sz w:val="20"/>
        </w:rPr>
        <w:t>Una relación de los principales servicios o trabajos realizados de igual o similar naturaleza que los que constituyen el objeto del contrato en el curso de, como máximo los tres últimos años, en la que se indique el importe, la fecha y el destinatario, público o privado de los mismos; cuando sea necesario para garantizar un nivel adecuado de competencia los poderes adjudicadores podrán indicar que se tendrán en cuenta las pruebas de los servicios pertinentes efectuados más de tres años antes. Cuando le sea requerido por los servicios dependientes del órgano de contratación los servicios o trabajos efectuados se acreditarán mediante certificados expedidos o visados por el órgano competente, cuando el destinatario sea</w:t>
      </w:r>
      <w:r>
        <w:rPr>
          <w:spacing w:val="-3"/>
          <w:sz w:val="20"/>
        </w:rPr>
        <w:t xml:space="preserve"> </w:t>
      </w:r>
      <w:r>
        <w:rPr>
          <w:sz w:val="20"/>
        </w:rPr>
        <w:t>una</w:t>
      </w:r>
      <w:r>
        <w:rPr>
          <w:spacing w:val="-3"/>
          <w:sz w:val="20"/>
        </w:rPr>
        <w:t xml:space="preserve"> </w:t>
      </w:r>
      <w:r>
        <w:rPr>
          <w:sz w:val="20"/>
        </w:rPr>
        <w:t>entidad</w:t>
      </w:r>
      <w:r>
        <w:rPr>
          <w:spacing w:val="-3"/>
          <w:sz w:val="20"/>
        </w:rPr>
        <w:t xml:space="preserve"> </w:t>
      </w:r>
      <w:r>
        <w:rPr>
          <w:sz w:val="20"/>
        </w:rPr>
        <w:t>del</w:t>
      </w:r>
      <w:r>
        <w:rPr>
          <w:spacing w:val="-3"/>
          <w:sz w:val="20"/>
        </w:rPr>
        <w:t xml:space="preserve"> </w:t>
      </w:r>
      <w:r>
        <w:rPr>
          <w:sz w:val="20"/>
        </w:rPr>
        <w:t>sector</w:t>
      </w:r>
      <w:r>
        <w:rPr>
          <w:spacing w:val="-3"/>
          <w:sz w:val="20"/>
        </w:rPr>
        <w:t xml:space="preserve"> </w:t>
      </w:r>
      <w:r>
        <w:rPr>
          <w:sz w:val="20"/>
        </w:rPr>
        <w:t>público;</w:t>
      </w:r>
      <w:r>
        <w:rPr>
          <w:spacing w:val="-3"/>
          <w:sz w:val="20"/>
        </w:rPr>
        <w:t xml:space="preserve"> </w:t>
      </w:r>
      <w:r>
        <w:rPr>
          <w:sz w:val="20"/>
        </w:rPr>
        <w:t>cuando</w:t>
      </w:r>
      <w:r>
        <w:rPr>
          <w:spacing w:val="-3"/>
          <w:sz w:val="20"/>
        </w:rPr>
        <w:t xml:space="preserve"> </w:t>
      </w:r>
      <w:r>
        <w:rPr>
          <w:sz w:val="20"/>
        </w:rPr>
        <w:t>el</w:t>
      </w:r>
      <w:r>
        <w:rPr>
          <w:spacing w:val="-3"/>
          <w:sz w:val="20"/>
        </w:rPr>
        <w:t xml:space="preserve"> </w:t>
      </w:r>
      <w:r>
        <w:rPr>
          <w:sz w:val="20"/>
        </w:rPr>
        <w:t>destinatario</w:t>
      </w:r>
      <w:r>
        <w:rPr>
          <w:spacing w:val="-3"/>
          <w:sz w:val="20"/>
        </w:rPr>
        <w:t xml:space="preserve"> </w:t>
      </w:r>
      <w:r>
        <w:rPr>
          <w:sz w:val="20"/>
        </w:rPr>
        <w:t>sea</w:t>
      </w:r>
      <w:r>
        <w:rPr>
          <w:spacing w:val="-3"/>
          <w:sz w:val="20"/>
        </w:rPr>
        <w:t xml:space="preserve"> </w:t>
      </w:r>
      <w:r>
        <w:rPr>
          <w:sz w:val="20"/>
        </w:rPr>
        <w:t>un</w:t>
      </w:r>
      <w:r>
        <w:rPr>
          <w:spacing w:val="-3"/>
          <w:sz w:val="20"/>
        </w:rPr>
        <w:t xml:space="preserve"> </w:t>
      </w:r>
      <w:r>
        <w:rPr>
          <w:sz w:val="20"/>
        </w:rPr>
        <w:t>sujeto</w:t>
      </w:r>
      <w:r>
        <w:rPr>
          <w:spacing w:val="-3"/>
          <w:sz w:val="20"/>
        </w:rPr>
        <w:t xml:space="preserve"> </w:t>
      </w:r>
      <w:r>
        <w:rPr>
          <w:sz w:val="20"/>
        </w:rPr>
        <w:t>privado,</w:t>
      </w:r>
      <w:r>
        <w:rPr>
          <w:spacing w:val="-3"/>
          <w:sz w:val="20"/>
        </w:rPr>
        <w:t xml:space="preserve"> </w:t>
      </w:r>
      <w:r>
        <w:rPr>
          <w:sz w:val="20"/>
        </w:rPr>
        <w:t>mediante</w:t>
      </w:r>
      <w:r>
        <w:rPr>
          <w:spacing w:val="-3"/>
          <w:sz w:val="20"/>
        </w:rPr>
        <w:t xml:space="preserve"> </w:t>
      </w:r>
      <w:r>
        <w:rPr>
          <w:sz w:val="20"/>
        </w:rPr>
        <w:t>un certificado expedido por este o, a falta de este certificado, mediante una declaración del empresario acompañado de los documentos obrantes en poder del mismo que acrediten la realización de la prestación; en su caso, estos certificados serán comunicados directamente al órgano de contratación por la autoridad competente.</w:t>
      </w:r>
    </w:p>
    <w:p w:rsidR="0092635B" w:rsidRDefault="00000000">
      <w:pPr>
        <w:pStyle w:val="Textoindependiente"/>
        <w:spacing w:before="11" w:line="249" w:lineRule="auto"/>
        <w:ind w:right="1103"/>
      </w:pPr>
      <w:r>
        <w:t>Para determinar que un trabajo o servicio es de igual o similar naturaleza al que constituye el objeto del contrato, el pliego de cláusulas administrativas particulares podrá acudir además de al CPV, a otros sistemas de clasificación de actividades o productos como el Código normalizado de productos y servicios de las Naciones Unidas (UNSPSC), a la Clasificación central de productos (CPC) o a la Clasificación Nacional de Actividades Económicas (CNAE), que en todo caso deberá garantizar la competencia efectiva para la adjudicación del contrato. En defecto de previsión en el pliego se atenderá a los tres</w:t>
      </w:r>
      <w:r>
        <w:rPr>
          <w:spacing w:val="40"/>
        </w:rPr>
        <w:t xml:space="preserve"> </w:t>
      </w:r>
      <w:r>
        <w:t>primeros dígitos de los respectivos códigos de la CPV. La Junta Consultiva de Contratación Pública del Estado podrá efectuar recomendaciones para indicar qué códigos de las respectivas clasificaciones se ajustan con mayor precisión a las prestaciones más habituales en la contratación pública.</w:t>
      </w:r>
    </w:p>
    <w:p w:rsidR="0092635B" w:rsidRDefault="00000000">
      <w:pPr>
        <w:pStyle w:val="Prrafodelista"/>
        <w:numPr>
          <w:ilvl w:val="1"/>
          <w:numId w:val="274"/>
        </w:numPr>
        <w:tabs>
          <w:tab w:val="left" w:pos="1719"/>
        </w:tabs>
        <w:spacing w:before="9" w:line="249" w:lineRule="auto"/>
        <w:ind w:right="1104" w:firstLine="340"/>
        <w:jc w:val="both"/>
        <w:rPr>
          <w:sz w:val="20"/>
        </w:rPr>
      </w:pPr>
      <w:r>
        <w:rPr>
          <w:sz w:val="20"/>
        </w:rPr>
        <w:t xml:space="preserve">Indicación del personal técnico o de las unidades técnicas, integradas o no en la empresa, participantes en el contrato, especialmente aquellos encargados del control de </w:t>
      </w:r>
      <w:r>
        <w:rPr>
          <w:spacing w:val="-2"/>
          <w:sz w:val="20"/>
        </w:rPr>
        <w:t>calidad.</w:t>
      </w:r>
    </w:p>
    <w:p w:rsidR="0092635B" w:rsidRDefault="00000000">
      <w:pPr>
        <w:pStyle w:val="Prrafodelista"/>
        <w:numPr>
          <w:ilvl w:val="1"/>
          <w:numId w:val="274"/>
        </w:numPr>
        <w:tabs>
          <w:tab w:val="left" w:pos="1761"/>
        </w:tabs>
        <w:spacing w:line="249" w:lineRule="auto"/>
        <w:ind w:firstLine="340"/>
        <w:jc w:val="both"/>
        <w:rPr>
          <w:sz w:val="20"/>
        </w:rPr>
      </w:pPr>
      <w:r>
        <w:rPr>
          <w:sz w:val="20"/>
        </w:rPr>
        <w:t xml:space="preserve">Descripción de las instalaciones técnicas, de las medidas empleadas por el empresario para garantizar la calidad y de los medios de estudio e investigación de la </w:t>
      </w:r>
      <w:r>
        <w:rPr>
          <w:spacing w:val="-2"/>
          <w:sz w:val="20"/>
        </w:rPr>
        <w:t>empresa.</w:t>
      </w:r>
    </w:p>
    <w:p w:rsidR="0092635B" w:rsidRDefault="00000000">
      <w:pPr>
        <w:pStyle w:val="Prrafodelista"/>
        <w:numPr>
          <w:ilvl w:val="1"/>
          <w:numId w:val="274"/>
        </w:numPr>
        <w:tabs>
          <w:tab w:val="left" w:pos="1679"/>
        </w:tabs>
        <w:spacing w:before="3" w:line="249" w:lineRule="auto"/>
        <w:ind w:right="1104" w:firstLine="340"/>
        <w:jc w:val="both"/>
        <w:rPr>
          <w:sz w:val="20"/>
        </w:rPr>
      </w:pPr>
      <w:r>
        <w:rPr>
          <w:sz w:val="20"/>
        </w:rPr>
        <w:t>Cuando</w:t>
      </w:r>
      <w:r>
        <w:rPr>
          <w:spacing w:val="-3"/>
          <w:sz w:val="20"/>
        </w:rPr>
        <w:t xml:space="preserve"> </w:t>
      </w:r>
      <w:r>
        <w:rPr>
          <w:sz w:val="20"/>
        </w:rPr>
        <w:t>se</w:t>
      </w:r>
      <w:r>
        <w:rPr>
          <w:spacing w:val="-3"/>
          <w:sz w:val="20"/>
        </w:rPr>
        <w:t xml:space="preserve"> </w:t>
      </w:r>
      <w:r>
        <w:rPr>
          <w:sz w:val="20"/>
        </w:rPr>
        <w:t>trate</w:t>
      </w:r>
      <w:r>
        <w:rPr>
          <w:spacing w:val="-3"/>
          <w:sz w:val="20"/>
        </w:rPr>
        <w:t xml:space="preserve"> </w:t>
      </w:r>
      <w:r>
        <w:rPr>
          <w:sz w:val="20"/>
        </w:rPr>
        <w:t>de</w:t>
      </w:r>
      <w:r>
        <w:rPr>
          <w:spacing w:val="-3"/>
          <w:sz w:val="20"/>
        </w:rPr>
        <w:t xml:space="preserve"> </w:t>
      </w:r>
      <w:r>
        <w:rPr>
          <w:sz w:val="20"/>
        </w:rPr>
        <w:t>servicios</w:t>
      </w:r>
      <w:r>
        <w:rPr>
          <w:spacing w:val="-3"/>
          <w:sz w:val="20"/>
        </w:rPr>
        <w:t xml:space="preserve"> </w:t>
      </w:r>
      <w:r>
        <w:rPr>
          <w:sz w:val="20"/>
        </w:rPr>
        <w:t>o</w:t>
      </w:r>
      <w:r>
        <w:rPr>
          <w:spacing w:val="-3"/>
          <w:sz w:val="20"/>
        </w:rPr>
        <w:t xml:space="preserve"> </w:t>
      </w:r>
      <w:r>
        <w:rPr>
          <w:sz w:val="20"/>
        </w:rPr>
        <w:t>trabajos</w:t>
      </w:r>
      <w:r>
        <w:rPr>
          <w:spacing w:val="-3"/>
          <w:sz w:val="20"/>
        </w:rPr>
        <w:t xml:space="preserve"> </w:t>
      </w:r>
      <w:r>
        <w:rPr>
          <w:sz w:val="20"/>
        </w:rPr>
        <w:t>complejos</w:t>
      </w:r>
      <w:r>
        <w:rPr>
          <w:spacing w:val="-3"/>
          <w:sz w:val="20"/>
        </w:rPr>
        <w:t xml:space="preserve"> </w:t>
      </w:r>
      <w:r>
        <w:rPr>
          <w:sz w:val="20"/>
        </w:rPr>
        <w:t>o</w:t>
      </w:r>
      <w:r>
        <w:rPr>
          <w:spacing w:val="-3"/>
          <w:sz w:val="20"/>
        </w:rPr>
        <w:t xml:space="preserve"> </w:t>
      </w:r>
      <w:r>
        <w:rPr>
          <w:sz w:val="20"/>
        </w:rPr>
        <w:t>cuando,</w:t>
      </w:r>
      <w:r>
        <w:rPr>
          <w:spacing w:val="-3"/>
          <w:sz w:val="20"/>
        </w:rPr>
        <w:t xml:space="preserve"> </w:t>
      </w:r>
      <w:r>
        <w:rPr>
          <w:sz w:val="20"/>
        </w:rPr>
        <w:t>excepcionalmente,</w:t>
      </w:r>
      <w:r>
        <w:rPr>
          <w:spacing w:val="-3"/>
          <w:sz w:val="20"/>
        </w:rPr>
        <w:t xml:space="preserve"> </w:t>
      </w:r>
      <w:r>
        <w:rPr>
          <w:sz w:val="20"/>
        </w:rPr>
        <w:t>deban responder a un fin especial, un control efectuado por el órgano de contratación o, en nombre de este, por un organismo oficial u homologado competente del Estado en que esté establecido el empresario, siempre que medie acuerdo de dicho organismo. El control versará</w:t>
      </w:r>
      <w:r>
        <w:rPr>
          <w:spacing w:val="-1"/>
          <w:sz w:val="20"/>
        </w:rPr>
        <w:t xml:space="preserve"> </w:t>
      </w:r>
      <w:r>
        <w:rPr>
          <w:sz w:val="20"/>
        </w:rPr>
        <w:t>sobre</w:t>
      </w:r>
      <w:r>
        <w:rPr>
          <w:spacing w:val="-1"/>
          <w:sz w:val="20"/>
        </w:rPr>
        <w:t xml:space="preserve"> </w:t>
      </w:r>
      <w:r>
        <w:rPr>
          <w:sz w:val="20"/>
        </w:rPr>
        <w:t>la</w:t>
      </w:r>
      <w:r>
        <w:rPr>
          <w:spacing w:val="-1"/>
          <w:sz w:val="20"/>
        </w:rPr>
        <w:t xml:space="preserve"> </w:t>
      </w:r>
      <w:r>
        <w:rPr>
          <w:sz w:val="20"/>
        </w:rPr>
        <w:t>capacidad</w:t>
      </w:r>
      <w:r>
        <w:rPr>
          <w:spacing w:val="-1"/>
          <w:sz w:val="20"/>
        </w:rPr>
        <w:t xml:space="preserve"> </w:t>
      </w:r>
      <w:r>
        <w:rPr>
          <w:sz w:val="20"/>
        </w:rPr>
        <w:t>técnica</w:t>
      </w:r>
      <w:r>
        <w:rPr>
          <w:spacing w:val="-1"/>
          <w:sz w:val="20"/>
        </w:rPr>
        <w:t xml:space="preserve"> </w:t>
      </w:r>
      <w:r>
        <w:rPr>
          <w:sz w:val="20"/>
        </w:rPr>
        <w:t>del</w:t>
      </w:r>
      <w:r>
        <w:rPr>
          <w:spacing w:val="-1"/>
          <w:sz w:val="20"/>
        </w:rPr>
        <w:t xml:space="preserve"> </w:t>
      </w:r>
      <w:r>
        <w:rPr>
          <w:sz w:val="20"/>
        </w:rPr>
        <w:t>empresario</w:t>
      </w:r>
      <w:r>
        <w:rPr>
          <w:spacing w:val="-1"/>
          <w:sz w:val="20"/>
        </w:rPr>
        <w:t xml:space="preserve"> </w:t>
      </w:r>
      <w:r>
        <w:rPr>
          <w:sz w:val="20"/>
        </w:rPr>
        <w:t>y,</w:t>
      </w:r>
      <w:r>
        <w:rPr>
          <w:spacing w:val="-1"/>
          <w:sz w:val="20"/>
        </w:rPr>
        <w:t xml:space="preserve"> </w:t>
      </w:r>
      <w:r>
        <w:rPr>
          <w:sz w:val="20"/>
        </w:rPr>
        <w:t>si</w:t>
      </w:r>
      <w:r>
        <w:rPr>
          <w:spacing w:val="-1"/>
          <w:sz w:val="20"/>
        </w:rPr>
        <w:t xml:space="preserve"> </w:t>
      </w:r>
      <w:r>
        <w:rPr>
          <w:sz w:val="20"/>
        </w:rPr>
        <w:t>fuese</w:t>
      </w:r>
      <w:r>
        <w:rPr>
          <w:spacing w:val="-1"/>
          <w:sz w:val="20"/>
        </w:rPr>
        <w:t xml:space="preserve"> </w:t>
      </w:r>
      <w:r>
        <w:rPr>
          <w:sz w:val="20"/>
        </w:rPr>
        <w:t>necesario,</w:t>
      </w:r>
      <w:r>
        <w:rPr>
          <w:spacing w:val="-1"/>
          <w:sz w:val="20"/>
        </w:rPr>
        <w:t xml:space="preserve"> </w:t>
      </w:r>
      <w:r>
        <w:rPr>
          <w:sz w:val="20"/>
        </w:rPr>
        <w:t>sobre</w:t>
      </w:r>
      <w:r>
        <w:rPr>
          <w:spacing w:val="-1"/>
          <w:sz w:val="20"/>
        </w:rPr>
        <w:t xml:space="preserve"> </w:t>
      </w:r>
      <w:r>
        <w:rPr>
          <w:sz w:val="20"/>
        </w:rPr>
        <w:t>los</w:t>
      </w:r>
      <w:r>
        <w:rPr>
          <w:spacing w:val="-1"/>
          <w:sz w:val="20"/>
        </w:rPr>
        <w:t xml:space="preserve"> </w:t>
      </w:r>
      <w:r>
        <w:rPr>
          <w:sz w:val="20"/>
        </w:rPr>
        <w:t>medios</w:t>
      </w:r>
      <w:r>
        <w:rPr>
          <w:spacing w:val="-1"/>
          <w:sz w:val="20"/>
        </w:rPr>
        <w:t xml:space="preserve"> </w:t>
      </w:r>
      <w:r>
        <w:rPr>
          <w:sz w:val="20"/>
        </w:rPr>
        <w:t>de estudio y de investigación de que disponga y sobre las medidas de control de la calidad.</w:t>
      </w:r>
    </w:p>
    <w:p w:rsidR="0092635B" w:rsidRDefault="00000000">
      <w:pPr>
        <w:pStyle w:val="Prrafodelista"/>
        <w:numPr>
          <w:ilvl w:val="1"/>
          <w:numId w:val="274"/>
        </w:numPr>
        <w:tabs>
          <w:tab w:val="left" w:pos="1681"/>
        </w:tabs>
        <w:spacing w:before="5" w:line="249" w:lineRule="auto"/>
        <w:ind w:right="1104" w:firstLine="340"/>
        <w:jc w:val="both"/>
        <w:rPr>
          <w:sz w:val="20"/>
        </w:rPr>
      </w:pPr>
      <w:r>
        <w:rPr>
          <w:sz w:val="20"/>
        </w:rPr>
        <w:t>Títulos</w:t>
      </w:r>
      <w:r>
        <w:rPr>
          <w:spacing w:val="-1"/>
          <w:sz w:val="20"/>
        </w:rPr>
        <w:t xml:space="preserve"> </w:t>
      </w:r>
      <w:r>
        <w:rPr>
          <w:sz w:val="20"/>
        </w:rPr>
        <w:t>académicos</w:t>
      </w:r>
      <w:r>
        <w:rPr>
          <w:spacing w:val="-1"/>
          <w:sz w:val="20"/>
        </w:rPr>
        <w:t xml:space="preserve"> </w:t>
      </w:r>
      <w:r>
        <w:rPr>
          <w:sz w:val="20"/>
        </w:rPr>
        <w:t>y</w:t>
      </w:r>
      <w:r>
        <w:rPr>
          <w:spacing w:val="-1"/>
          <w:sz w:val="20"/>
        </w:rPr>
        <w:t xml:space="preserve"> </w:t>
      </w:r>
      <w:r>
        <w:rPr>
          <w:sz w:val="20"/>
        </w:rPr>
        <w:t>profesionales</w:t>
      </w:r>
      <w:r>
        <w:rPr>
          <w:spacing w:val="-1"/>
          <w:sz w:val="20"/>
        </w:rPr>
        <w:t xml:space="preserve"> </w:t>
      </w:r>
      <w:r>
        <w:rPr>
          <w:sz w:val="20"/>
        </w:rPr>
        <w:t>del</w:t>
      </w:r>
      <w:r>
        <w:rPr>
          <w:spacing w:val="-1"/>
          <w:sz w:val="20"/>
        </w:rPr>
        <w:t xml:space="preserve"> </w:t>
      </w:r>
      <w:r>
        <w:rPr>
          <w:sz w:val="20"/>
        </w:rPr>
        <w:t>empresario</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directivos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empresa</w:t>
      </w:r>
      <w:r>
        <w:rPr>
          <w:spacing w:val="-1"/>
          <w:sz w:val="20"/>
        </w:rPr>
        <w:t xml:space="preserve"> </w:t>
      </w:r>
      <w:r>
        <w:rPr>
          <w:sz w:val="20"/>
        </w:rPr>
        <w:t>y, en particular, del responsable o responsables de la ejecución del contrato así como de los técnicos encargados directamente de la misma, siempre que no se evalúen como un criterio de adjudicación.</w:t>
      </w:r>
    </w:p>
    <w:p w:rsidR="0092635B" w:rsidRDefault="00000000">
      <w:pPr>
        <w:pStyle w:val="Prrafodelista"/>
        <w:numPr>
          <w:ilvl w:val="1"/>
          <w:numId w:val="274"/>
        </w:numPr>
        <w:tabs>
          <w:tab w:val="left" w:pos="1634"/>
        </w:tabs>
        <w:spacing w:before="3" w:line="249" w:lineRule="auto"/>
        <w:ind w:right="1105" w:firstLine="340"/>
        <w:jc w:val="both"/>
        <w:rPr>
          <w:sz w:val="20"/>
        </w:rPr>
      </w:pPr>
      <w:r>
        <w:rPr>
          <w:sz w:val="20"/>
        </w:rPr>
        <w:t>En los casos adecuados, indicación de las medidas de gestión medioambiental que el empresario podrá aplicar al ejecutar el contrato.</w:t>
      </w:r>
    </w:p>
    <w:p w:rsidR="0092635B" w:rsidRDefault="00000000">
      <w:pPr>
        <w:pStyle w:val="Prrafodelista"/>
        <w:numPr>
          <w:ilvl w:val="1"/>
          <w:numId w:val="274"/>
        </w:numPr>
        <w:tabs>
          <w:tab w:val="left" w:pos="1699"/>
        </w:tabs>
        <w:spacing w:line="249" w:lineRule="auto"/>
        <w:ind w:right="1105" w:firstLine="340"/>
        <w:jc w:val="both"/>
        <w:rPr>
          <w:sz w:val="20"/>
        </w:rPr>
      </w:pPr>
      <w:r>
        <w:rPr>
          <w:sz w:val="20"/>
        </w:rPr>
        <w:t>Declaración sobre la plantilla media anual de la empresa y del número de directivos durante</w:t>
      </w:r>
      <w:r>
        <w:rPr>
          <w:spacing w:val="-1"/>
          <w:sz w:val="20"/>
        </w:rPr>
        <w:t xml:space="preserve"> </w:t>
      </w:r>
      <w:r>
        <w:rPr>
          <w:sz w:val="20"/>
        </w:rPr>
        <w:t>los</w:t>
      </w:r>
      <w:r>
        <w:rPr>
          <w:spacing w:val="-1"/>
          <w:sz w:val="20"/>
        </w:rPr>
        <w:t xml:space="preserve"> </w:t>
      </w:r>
      <w:r>
        <w:rPr>
          <w:sz w:val="20"/>
        </w:rPr>
        <w:t>tres</w:t>
      </w:r>
      <w:r>
        <w:rPr>
          <w:spacing w:val="-1"/>
          <w:sz w:val="20"/>
        </w:rPr>
        <w:t xml:space="preserve"> </w:t>
      </w:r>
      <w:r>
        <w:rPr>
          <w:sz w:val="20"/>
        </w:rPr>
        <w:t>últimos</w:t>
      </w:r>
      <w:r>
        <w:rPr>
          <w:spacing w:val="-1"/>
          <w:sz w:val="20"/>
        </w:rPr>
        <w:t xml:space="preserve"> </w:t>
      </w:r>
      <w:r>
        <w:rPr>
          <w:sz w:val="20"/>
        </w:rPr>
        <w:t>años,</w:t>
      </w:r>
      <w:r>
        <w:rPr>
          <w:spacing w:val="-1"/>
          <w:sz w:val="20"/>
        </w:rPr>
        <w:t xml:space="preserve"> </w:t>
      </w:r>
      <w:r>
        <w:rPr>
          <w:sz w:val="20"/>
        </w:rPr>
        <w:t>acompañada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documentación</w:t>
      </w:r>
      <w:r>
        <w:rPr>
          <w:spacing w:val="-1"/>
          <w:sz w:val="20"/>
        </w:rPr>
        <w:t xml:space="preserve"> </w:t>
      </w:r>
      <w:r>
        <w:rPr>
          <w:sz w:val="20"/>
        </w:rPr>
        <w:t>justificativa</w:t>
      </w:r>
      <w:r>
        <w:rPr>
          <w:spacing w:val="-1"/>
          <w:sz w:val="20"/>
        </w:rPr>
        <w:t xml:space="preserve"> </w:t>
      </w:r>
      <w:r>
        <w:rPr>
          <w:sz w:val="20"/>
        </w:rPr>
        <w:t>correspondiente cuando le sea requerido por los servicios dependientes del órgano de contratación.</w:t>
      </w:r>
    </w:p>
    <w:p w:rsidR="0092635B" w:rsidRDefault="00000000">
      <w:pPr>
        <w:pStyle w:val="Prrafodelista"/>
        <w:numPr>
          <w:ilvl w:val="1"/>
          <w:numId w:val="274"/>
        </w:numPr>
        <w:tabs>
          <w:tab w:val="left" w:pos="1699"/>
        </w:tabs>
        <w:spacing w:line="249" w:lineRule="auto"/>
        <w:ind w:firstLine="340"/>
        <w:jc w:val="both"/>
        <w:rPr>
          <w:sz w:val="20"/>
        </w:rPr>
      </w:pPr>
      <w:r>
        <w:rPr>
          <w:sz w:val="20"/>
        </w:rPr>
        <w:t xml:space="preserve">Declaración indicando la maquinaria, material y equipo técnico del que se dispondrá para la ejecución de los trabajos o prestaciones, a la que se adjuntará la documentación acreditativa pertinente cuando le sea requerido por los servicios dependientes del órgano de </w:t>
      </w:r>
      <w:r>
        <w:rPr>
          <w:spacing w:val="-2"/>
          <w:sz w:val="20"/>
        </w:rPr>
        <w:t>contratación.</w:t>
      </w:r>
    </w:p>
    <w:p w:rsidR="0092635B" w:rsidRDefault="00000000">
      <w:pPr>
        <w:pStyle w:val="Prrafodelista"/>
        <w:numPr>
          <w:ilvl w:val="1"/>
          <w:numId w:val="274"/>
        </w:numPr>
        <w:tabs>
          <w:tab w:val="left" w:pos="1624"/>
        </w:tabs>
        <w:spacing w:before="4" w:line="249" w:lineRule="auto"/>
        <w:ind w:right="1105" w:firstLine="340"/>
        <w:jc w:val="both"/>
        <w:rPr>
          <w:sz w:val="20"/>
        </w:rPr>
      </w:pPr>
      <w:r>
        <w:rPr>
          <w:sz w:val="20"/>
        </w:rPr>
        <w:t>Indicación de la parte del contrato que el empresario tiene eventualmente el propósito de subcontratar.</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274"/>
        </w:numPr>
        <w:tabs>
          <w:tab w:val="left" w:pos="1683"/>
        </w:tabs>
        <w:spacing w:before="1" w:line="249" w:lineRule="auto"/>
        <w:ind w:right="1104" w:firstLine="340"/>
        <w:jc w:val="both"/>
        <w:rPr>
          <w:sz w:val="20"/>
        </w:rPr>
      </w:pPr>
      <w:r>
        <w:rPr>
          <w:sz w:val="20"/>
        </w:rPr>
        <w:t>En el anuncio de licitación o en la invitación a participar en el procedimiento y en los pliegos del contrato se especificarán los medios, de entre los recogidos en este artículo, admitidos para la acreditación de la solvencia técnica de los empresarios que opten a la adjudicación del contrato, con indicación expresa, en su caso, de los valores mínimos exigidos para cada uno de ellos y, en los casos en que resulte de aplicación, con especificación de las titulaciones académicas o profesionales, de los medios de estudio e investigación, de los controles de calidad, de los certificados de capacidad técnica, de la maquinaria, equipos e instalaciones, y de los certificados de gestión medioambiental exigidos. En su defecto, la acreditación de la solvencia técnica o profesional se efectuará mediante la relación de los principales servicios efectuados en los tres últimos años, de igual o similar naturaleza que los que constituyen el objeto del contrato, cuyo importe anual acumulado en el año de mayor ejecución sea igual o superior al 70 por ciento de la</w:t>
      </w:r>
      <w:r>
        <w:rPr>
          <w:spacing w:val="80"/>
          <w:sz w:val="20"/>
        </w:rPr>
        <w:t xml:space="preserve"> </w:t>
      </w:r>
      <w:r>
        <w:rPr>
          <w:sz w:val="20"/>
        </w:rPr>
        <w:t>anualidad media del contrato.</w:t>
      </w:r>
    </w:p>
    <w:p w:rsidR="0092635B" w:rsidRDefault="00000000">
      <w:pPr>
        <w:pStyle w:val="Prrafodelista"/>
        <w:numPr>
          <w:ilvl w:val="0"/>
          <w:numId w:val="274"/>
        </w:numPr>
        <w:tabs>
          <w:tab w:val="left" w:pos="1752"/>
        </w:tabs>
        <w:spacing w:before="10" w:line="249" w:lineRule="auto"/>
        <w:ind w:right="1104" w:firstLine="340"/>
        <w:jc w:val="both"/>
        <w:rPr>
          <w:sz w:val="20"/>
        </w:rPr>
      </w:pPr>
      <w:r>
        <w:rPr>
          <w:sz w:val="20"/>
        </w:rPr>
        <w:t>Si el objeto contractual requiriese aptitudes específicas en materia social, de prestación de servicios de proximidad u otras análogas, en todo caso se exigirá como requisito de solvencia técnica o profesional la concreta experiencia, conocimientos y medios en las referidas materias, lo que deberá acreditarse por los medios que establece el</w:t>
      </w:r>
      <w:r>
        <w:rPr>
          <w:spacing w:val="80"/>
          <w:sz w:val="20"/>
        </w:rPr>
        <w:t xml:space="preserve"> </w:t>
      </w:r>
      <w:r>
        <w:rPr>
          <w:sz w:val="20"/>
        </w:rPr>
        <w:t>apartado 1 de este artículo.</w:t>
      </w:r>
    </w:p>
    <w:p w:rsidR="0092635B" w:rsidRDefault="00000000">
      <w:pPr>
        <w:pStyle w:val="Prrafodelista"/>
        <w:numPr>
          <w:ilvl w:val="0"/>
          <w:numId w:val="274"/>
        </w:numPr>
        <w:tabs>
          <w:tab w:val="left" w:pos="1694"/>
        </w:tabs>
        <w:spacing w:before="4" w:line="249" w:lineRule="auto"/>
        <w:ind w:right="1104" w:firstLine="340"/>
        <w:jc w:val="both"/>
        <w:rPr>
          <w:sz w:val="20"/>
        </w:rPr>
      </w:pPr>
      <w:r>
        <w:rPr>
          <w:sz w:val="20"/>
        </w:rPr>
        <w:t>En los contratos no sujetos a regulación armonizada, cuando el contratista sea una empresa de nueva creación, entendiendo por tal aquella que tenga una antigüedad inferior a cinco años, su solvencia técnica se acreditará por uno o varios de los medios a que se refieren las letras b) a i) anteriores, sin que en ningún caso sea aplicable lo establecido en la letra a), relativo a la ejecución de un número determinado de servicios.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145" w:name="Artículo_91._Solvencia_técnica_o_profesi"/>
      <w:bookmarkEnd w:id="145"/>
      <w:r>
        <w:rPr>
          <w:rFonts w:ascii="Arial" w:hAnsi="Arial"/>
          <w:b/>
          <w:sz w:val="20"/>
        </w:rPr>
        <w:t>Artículo</w:t>
      </w:r>
      <w:r>
        <w:rPr>
          <w:rFonts w:ascii="Arial" w:hAnsi="Arial"/>
          <w:b/>
          <w:spacing w:val="-3"/>
          <w:sz w:val="20"/>
        </w:rPr>
        <w:t xml:space="preserve"> </w:t>
      </w:r>
      <w:r>
        <w:rPr>
          <w:rFonts w:ascii="Arial" w:hAnsi="Arial"/>
          <w:b/>
          <w:sz w:val="20"/>
        </w:rPr>
        <w:t>91.</w:t>
      </w:r>
      <w:r>
        <w:rPr>
          <w:rFonts w:ascii="Arial" w:hAnsi="Arial"/>
          <w:b/>
          <w:spacing w:val="49"/>
          <w:sz w:val="20"/>
        </w:rPr>
        <w:t xml:space="preserve"> </w:t>
      </w:r>
      <w:r>
        <w:rPr>
          <w:rFonts w:ascii="Arial" w:hAnsi="Arial"/>
          <w:i/>
          <w:sz w:val="20"/>
        </w:rPr>
        <w:t>Solvencia</w:t>
      </w:r>
      <w:r>
        <w:rPr>
          <w:rFonts w:ascii="Arial" w:hAnsi="Arial"/>
          <w:i/>
          <w:spacing w:val="-2"/>
          <w:sz w:val="20"/>
        </w:rPr>
        <w:t xml:space="preserve"> </w:t>
      </w:r>
      <w:r>
        <w:rPr>
          <w:rFonts w:ascii="Arial" w:hAnsi="Arial"/>
          <w:i/>
          <w:sz w:val="20"/>
        </w:rPr>
        <w:t>técnica</w:t>
      </w:r>
      <w:r>
        <w:rPr>
          <w:rFonts w:ascii="Arial" w:hAnsi="Arial"/>
          <w:i/>
          <w:spacing w:val="-3"/>
          <w:sz w:val="20"/>
        </w:rPr>
        <w:t xml:space="preserve"> </w:t>
      </w:r>
      <w:r>
        <w:rPr>
          <w:rFonts w:ascii="Arial" w:hAnsi="Arial"/>
          <w:i/>
          <w:sz w:val="20"/>
        </w:rPr>
        <w:t>o</w:t>
      </w:r>
      <w:r>
        <w:rPr>
          <w:rFonts w:ascii="Arial" w:hAnsi="Arial"/>
          <w:i/>
          <w:spacing w:val="-2"/>
          <w:sz w:val="20"/>
        </w:rPr>
        <w:t xml:space="preserve"> </w:t>
      </w:r>
      <w:r>
        <w:rPr>
          <w:rFonts w:ascii="Arial" w:hAnsi="Arial"/>
          <w:i/>
          <w:sz w:val="20"/>
        </w:rPr>
        <w:t>profesional</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los</w:t>
      </w:r>
      <w:r>
        <w:rPr>
          <w:rFonts w:ascii="Arial" w:hAnsi="Arial"/>
          <w:i/>
          <w:spacing w:val="-3"/>
          <w:sz w:val="20"/>
        </w:rPr>
        <w:t xml:space="preserve"> </w:t>
      </w:r>
      <w:r>
        <w:rPr>
          <w:rFonts w:ascii="Arial" w:hAnsi="Arial"/>
          <w:i/>
          <w:sz w:val="20"/>
        </w:rPr>
        <w:t>restantes</w:t>
      </w:r>
      <w:r>
        <w:rPr>
          <w:rFonts w:ascii="Arial" w:hAnsi="Arial"/>
          <w:i/>
          <w:spacing w:val="-2"/>
          <w:sz w:val="20"/>
        </w:rPr>
        <w:t xml:space="preserve"> contratos.</w:t>
      </w:r>
    </w:p>
    <w:p w:rsidR="0092635B" w:rsidRDefault="00000000">
      <w:pPr>
        <w:pStyle w:val="Textoindependiente"/>
        <w:spacing w:before="124" w:line="249" w:lineRule="auto"/>
        <w:ind w:right="1104"/>
      </w:pPr>
      <w:r>
        <w:t>La acreditación de la solvencia profesional o técnica en contratos distintos de los de obras, servicios o suministro podrá realizarse por los documentos y medios que se indican</w:t>
      </w:r>
      <w:r>
        <w:rPr>
          <w:spacing w:val="40"/>
        </w:rPr>
        <w:t xml:space="preserve"> </w:t>
      </w:r>
      <w:r>
        <w:t>en el artículo anterior.</w:t>
      </w:r>
    </w:p>
    <w:p w:rsidR="0092635B" w:rsidRDefault="00000000">
      <w:pPr>
        <w:spacing w:before="229"/>
        <w:ind w:left="1106"/>
        <w:rPr>
          <w:rFonts w:ascii="Arial" w:hAnsi="Arial"/>
          <w:i/>
          <w:sz w:val="20"/>
        </w:rPr>
      </w:pPr>
      <w:bookmarkStart w:id="146" w:name="Artículo_92._Concreción_de_los_requisito"/>
      <w:bookmarkEnd w:id="146"/>
      <w:r>
        <w:rPr>
          <w:rFonts w:ascii="Arial" w:hAnsi="Arial"/>
          <w:b/>
          <w:sz w:val="20"/>
        </w:rPr>
        <w:t>Artículo</w:t>
      </w:r>
      <w:r>
        <w:rPr>
          <w:rFonts w:ascii="Arial" w:hAnsi="Arial"/>
          <w:b/>
          <w:spacing w:val="-2"/>
          <w:sz w:val="20"/>
        </w:rPr>
        <w:t xml:space="preserve"> </w:t>
      </w:r>
      <w:r>
        <w:rPr>
          <w:rFonts w:ascii="Arial" w:hAnsi="Arial"/>
          <w:b/>
          <w:sz w:val="20"/>
        </w:rPr>
        <w:t>92.</w:t>
      </w:r>
      <w:r>
        <w:rPr>
          <w:rFonts w:ascii="Arial" w:hAnsi="Arial"/>
          <w:b/>
          <w:spacing w:val="52"/>
          <w:sz w:val="20"/>
        </w:rPr>
        <w:t xml:space="preserve"> </w:t>
      </w:r>
      <w:r>
        <w:rPr>
          <w:rFonts w:ascii="Arial" w:hAnsi="Arial"/>
          <w:i/>
          <w:sz w:val="20"/>
        </w:rPr>
        <w:t>Concreción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requisitos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criterios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solvencia.</w:t>
      </w:r>
    </w:p>
    <w:p w:rsidR="0092635B" w:rsidRDefault="00000000">
      <w:pPr>
        <w:pStyle w:val="Textoindependiente"/>
        <w:spacing w:before="123" w:line="249" w:lineRule="auto"/>
        <w:ind w:right="1103"/>
      </w:pPr>
      <w:r>
        <w:t>La concreción de los requisitos mínimos de solvencia económica y financiera y de solvencia técnica o profesional exigidos para un contrato, así como de los medios admitidos para su acreditación, se determinará por el órgano de contratación y se indicará en el anuncio de licitación o en la invitación a participar en el procedimiento y se detallará en los pliegos, en los que se concretarán las magnitudes, parámetros o ratios y los umbrales o rangos de valores que determinarán la admisión o exclusión de los licitadores o candidatos. En su ausencia serán de aplicación los establecidos en los artículos 87 a 90 para el tipo de contratos correspondiente, que tendrán igualmente carácter supletorio para los no concretados en los pliegos.</w:t>
      </w:r>
    </w:p>
    <w:p w:rsidR="0092635B" w:rsidRDefault="00000000">
      <w:pPr>
        <w:pStyle w:val="Textoindependiente"/>
        <w:spacing w:before="8" w:line="249" w:lineRule="auto"/>
        <w:ind w:right="1103"/>
      </w:pPr>
      <w:r>
        <w:t>En todo caso, la clasificación del empresario en un determinado grupo o subgrupo se tendrá por prueba bastante de su solvencia para los contratos cuyo objeto esté incluido o se corresponda con el ámbito de actividades o trabajos de dicho grupo o subgrupo, y cuyo importe anual medio sea igual o inferior al correspondiente a su categoría de clasificación en el grupo o subgrupo. A tal efecto, en el anuncio de licitación o en la invitación a participar en el</w:t>
      </w:r>
      <w:r>
        <w:rPr>
          <w:spacing w:val="40"/>
        </w:rPr>
        <w:t xml:space="preserve"> </w:t>
      </w:r>
      <w:r>
        <w:t>procedimiento</w:t>
      </w:r>
      <w:r>
        <w:rPr>
          <w:spacing w:val="40"/>
        </w:rPr>
        <w:t xml:space="preserve"> </w:t>
      </w:r>
      <w:r>
        <w:t>y</w:t>
      </w:r>
      <w:r>
        <w:rPr>
          <w:spacing w:val="40"/>
        </w:rPr>
        <w:t xml:space="preserve"> </w:t>
      </w:r>
      <w:r>
        <w:t>en</w:t>
      </w:r>
      <w:r>
        <w:rPr>
          <w:spacing w:val="40"/>
        </w:rPr>
        <w:t xml:space="preserve"> </w:t>
      </w:r>
      <w:r>
        <w:t>los</w:t>
      </w:r>
      <w:r>
        <w:rPr>
          <w:spacing w:val="40"/>
        </w:rPr>
        <w:t xml:space="preserve"> </w:t>
      </w:r>
      <w:r>
        <w:t>pliegos</w:t>
      </w:r>
      <w:r>
        <w:rPr>
          <w:spacing w:val="40"/>
        </w:rPr>
        <w:t xml:space="preserve"> </w:t>
      </w:r>
      <w:r>
        <w:t>deberá</w:t>
      </w:r>
      <w:r>
        <w:rPr>
          <w:spacing w:val="40"/>
        </w:rPr>
        <w:t xml:space="preserve"> </w:t>
      </w:r>
      <w:r>
        <w:t>indicarse</w:t>
      </w:r>
      <w:r>
        <w:rPr>
          <w:spacing w:val="40"/>
        </w:rPr>
        <w:t xml:space="preserve"> </w:t>
      </w:r>
      <w:r>
        <w:t>el</w:t>
      </w:r>
      <w:r>
        <w:rPr>
          <w:spacing w:val="40"/>
        </w:rPr>
        <w:t xml:space="preserve"> </w:t>
      </w:r>
      <w:r>
        <w:t>código</w:t>
      </w:r>
      <w:r>
        <w:rPr>
          <w:spacing w:val="40"/>
        </w:rPr>
        <w:t xml:space="preserve"> </w:t>
      </w:r>
      <w:r>
        <w:t>o</w:t>
      </w:r>
      <w:r>
        <w:rPr>
          <w:spacing w:val="40"/>
        </w:rPr>
        <w:t xml:space="preserve"> </w:t>
      </w:r>
      <w:r>
        <w:t>códigos</w:t>
      </w:r>
      <w:r>
        <w:rPr>
          <w:spacing w:val="40"/>
        </w:rPr>
        <w:t xml:space="preserve"> </w:t>
      </w:r>
      <w:r>
        <w:t>del</w:t>
      </w:r>
      <w:r>
        <w:rPr>
          <w:spacing w:val="40"/>
        </w:rPr>
        <w:t xml:space="preserve"> </w:t>
      </w:r>
      <w:r>
        <w:t>Vocabulario</w:t>
      </w:r>
    </w:p>
    <w:p w:rsidR="0092635B" w:rsidRDefault="00000000">
      <w:pPr>
        <w:pStyle w:val="Textoindependiente"/>
        <w:spacing w:before="5" w:line="249" w:lineRule="auto"/>
        <w:ind w:right="1103" w:firstLine="0"/>
      </w:pPr>
      <w:r>
        <w:t>«Común de los Contratos Públicos» (CPV) correspondientes al objeto del contrato, los</w:t>
      </w:r>
      <w:r>
        <w:rPr>
          <w:spacing w:val="40"/>
        </w:rPr>
        <w:t xml:space="preserve"> </w:t>
      </w:r>
      <w:r>
        <w:t>cuales determinarán el grupo o subgrupo de clasificación, si lo hubiera, en que se considera incluido el contrato.</w:t>
      </w:r>
    </w:p>
    <w:p w:rsidR="0092635B" w:rsidRDefault="00000000">
      <w:pPr>
        <w:pStyle w:val="Textoindependiente"/>
        <w:spacing w:line="249" w:lineRule="auto"/>
        <w:ind w:right="1105"/>
      </w:pPr>
      <w:r>
        <w:t>Reglamentariamente podrá eximirse la exigencia de acreditación de la solvencia económica y financiera o de la solvencia técnica o profesional para los contratos cuyo importe no supere un determinado umbral.</w:t>
      </w:r>
    </w:p>
    <w:p w:rsidR="0092635B" w:rsidRDefault="00000000">
      <w:pPr>
        <w:spacing w:before="229"/>
        <w:ind w:left="1106"/>
        <w:rPr>
          <w:rFonts w:ascii="Arial" w:hAnsi="Arial"/>
          <w:i/>
          <w:sz w:val="20"/>
        </w:rPr>
      </w:pPr>
      <w:bookmarkStart w:id="147" w:name="Artículo_93._Acreditación_del_cumplimien"/>
      <w:bookmarkEnd w:id="147"/>
      <w:r>
        <w:rPr>
          <w:rFonts w:ascii="Arial" w:hAnsi="Arial"/>
          <w:b/>
          <w:sz w:val="20"/>
        </w:rPr>
        <w:t>Artículo</w:t>
      </w:r>
      <w:r>
        <w:rPr>
          <w:rFonts w:ascii="Arial" w:hAnsi="Arial"/>
          <w:b/>
          <w:spacing w:val="-5"/>
          <w:sz w:val="20"/>
        </w:rPr>
        <w:t xml:space="preserve"> </w:t>
      </w:r>
      <w:r>
        <w:rPr>
          <w:rFonts w:ascii="Arial" w:hAnsi="Arial"/>
          <w:b/>
          <w:sz w:val="20"/>
        </w:rPr>
        <w:t>93.</w:t>
      </w:r>
      <w:r>
        <w:rPr>
          <w:rFonts w:ascii="Arial" w:hAnsi="Arial"/>
          <w:b/>
          <w:spacing w:val="48"/>
          <w:sz w:val="20"/>
        </w:rPr>
        <w:t xml:space="preserve"> </w:t>
      </w:r>
      <w:r>
        <w:rPr>
          <w:rFonts w:ascii="Arial" w:hAnsi="Arial"/>
          <w:i/>
          <w:sz w:val="20"/>
        </w:rPr>
        <w:t>Acreditación</w:t>
      </w:r>
      <w:r>
        <w:rPr>
          <w:rFonts w:ascii="Arial" w:hAnsi="Arial"/>
          <w:i/>
          <w:spacing w:val="-2"/>
          <w:sz w:val="20"/>
        </w:rPr>
        <w:t xml:space="preserve"> </w:t>
      </w:r>
      <w:r>
        <w:rPr>
          <w:rFonts w:ascii="Arial" w:hAnsi="Arial"/>
          <w:i/>
          <w:sz w:val="20"/>
        </w:rPr>
        <w:t>del</w:t>
      </w:r>
      <w:r>
        <w:rPr>
          <w:rFonts w:ascii="Arial" w:hAnsi="Arial"/>
          <w:i/>
          <w:spacing w:val="-3"/>
          <w:sz w:val="20"/>
        </w:rPr>
        <w:t xml:space="preserve"> </w:t>
      </w:r>
      <w:r>
        <w:rPr>
          <w:rFonts w:ascii="Arial" w:hAnsi="Arial"/>
          <w:i/>
          <w:sz w:val="20"/>
        </w:rPr>
        <w:t>cumplimiento</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3"/>
          <w:sz w:val="20"/>
        </w:rPr>
        <w:t xml:space="preserve"> </w:t>
      </w:r>
      <w:r>
        <w:rPr>
          <w:rFonts w:ascii="Arial" w:hAnsi="Arial"/>
          <w:i/>
          <w:sz w:val="20"/>
        </w:rPr>
        <w:t>normas</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garantía</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calidad.</w:t>
      </w:r>
    </w:p>
    <w:p w:rsidR="0092635B" w:rsidRDefault="00000000">
      <w:pPr>
        <w:pStyle w:val="Prrafodelista"/>
        <w:numPr>
          <w:ilvl w:val="0"/>
          <w:numId w:val="273"/>
        </w:numPr>
        <w:tabs>
          <w:tab w:val="left" w:pos="1735"/>
        </w:tabs>
        <w:spacing w:before="124" w:line="249" w:lineRule="auto"/>
        <w:ind w:right="1104" w:firstLine="340"/>
        <w:jc w:val="both"/>
        <w:rPr>
          <w:sz w:val="20"/>
        </w:rPr>
      </w:pPr>
      <w:r>
        <w:rPr>
          <w:sz w:val="20"/>
        </w:rPr>
        <w:t>En los contratos sujetos a una regulación armonizada, cuando los órganos de contratación exijan la presentación de certificados expedidos por organismos independientes que</w:t>
      </w:r>
      <w:r>
        <w:rPr>
          <w:spacing w:val="18"/>
          <w:sz w:val="20"/>
        </w:rPr>
        <w:t xml:space="preserve"> </w:t>
      </w:r>
      <w:r>
        <w:rPr>
          <w:sz w:val="20"/>
        </w:rPr>
        <w:t>acrediten</w:t>
      </w:r>
      <w:r>
        <w:rPr>
          <w:spacing w:val="18"/>
          <w:sz w:val="20"/>
        </w:rPr>
        <w:t xml:space="preserve"> </w:t>
      </w:r>
      <w:r>
        <w:rPr>
          <w:sz w:val="20"/>
        </w:rPr>
        <w:t>que</w:t>
      </w:r>
      <w:r>
        <w:rPr>
          <w:spacing w:val="18"/>
          <w:sz w:val="20"/>
        </w:rPr>
        <w:t xml:space="preserve"> </w:t>
      </w:r>
      <w:r>
        <w:rPr>
          <w:sz w:val="20"/>
        </w:rPr>
        <w:t>el</w:t>
      </w:r>
      <w:r>
        <w:rPr>
          <w:spacing w:val="18"/>
          <w:sz w:val="20"/>
        </w:rPr>
        <w:t xml:space="preserve"> </w:t>
      </w:r>
      <w:r>
        <w:rPr>
          <w:sz w:val="20"/>
        </w:rPr>
        <w:t>empresario</w:t>
      </w:r>
      <w:r>
        <w:rPr>
          <w:spacing w:val="18"/>
          <w:sz w:val="20"/>
        </w:rPr>
        <w:t xml:space="preserve"> </w:t>
      </w:r>
      <w:r>
        <w:rPr>
          <w:sz w:val="20"/>
        </w:rPr>
        <w:t>cumple</w:t>
      </w:r>
      <w:r>
        <w:rPr>
          <w:spacing w:val="18"/>
          <w:sz w:val="20"/>
        </w:rPr>
        <w:t xml:space="preserve"> </w:t>
      </w:r>
      <w:r>
        <w:rPr>
          <w:sz w:val="20"/>
        </w:rPr>
        <w:t>determinadas</w:t>
      </w:r>
      <w:r>
        <w:rPr>
          <w:spacing w:val="18"/>
          <w:sz w:val="20"/>
        </w:rPr>
        <w:t xml:space="preserve"> </w:t>
      </w:r>
      <w:r>
        <w:rPr>
          <w:sz w:val="20"/>
        </w:rPr>
        <w:t>normas</w:t>
      </w:r>
      <w:r>
        <w:rPr>
          <w:spacing w:val="18"/>
          <w:sz w:val="20"/>
        </w:rPr>
        <w:t xml:space="preserve"> </w:t>
      </w:r>
      <w:r>
        <w:rPr>
          <w:sz w:val="20"/>
        </w:rPr>
        <w:t>de</w:t>
      </w:r>
      <w:r>
        <w:rPr>
          <w:spacing w:val="18"/>
          <w:sz w:val="20"/>
        </w:rPr>
        <w:t xml:space="preserve"> </w:t>
      </w:r>
      <w:r>
        <w:rPr>
          <w:sz w:val="20"/>
        </w:rPr>
        <w:t>garantías</w:t>
      </w:r>
      <w:r>
        <w:rPr>
          <w:spacing w:val="18"/>
          <w:sz w:val="20"/>
        </w:rPr>
        <w:t xml:space="preserve"> </w:t>
      </w:r>
      <w:r>
        <w:rPr>
          <w:sz w:val="20"/>
        </w:rPr>
        <w:t>de</w:t>
      </w:r>
      <w:r>
        <w:rPr>
          <w:spacing w:val="18"/>
          <w:sz w:val="20"/>
        </w:rPr>
        <w:t xml:space="preserve"> </w:t>
      </w:r>
      <w:r>
        <w:rPr>
          <w:sz w:val="20"/>
        </w:rPr>
        <w:t>calidad,</w:t>
      </w:r>
      <w:r>
        <w:rPr>
          <w:spacing w:val="18"/>
          <w:sz w:val="20"/>
        </w:rPr>
        <w:t xml:space="preserve"> </w:t>
      </w:r>
      <w:r>
        <w:rPr>
          <w:sz w:val="20"/>
        </w:rPr>
        <w:t>en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firstLine="0"/>
      </w:pPr>
      <w:r>
        <w:t xml:space="preserve">particular en materia de accesibilidad para personas con discapacidad, deberán hacer referencia a los sistemas de aseguramiento de la calidad basados en la serie de normas en la materia, certificados por organismos conformes a las normas europeas relativas a la </w:t>
      </w:r>
      <w:r>
        <w:rPr>
          <w:spacing w:val="-2"/>
        </w:rPr>
        <w:t>certificación.</w:t>
      </w:r>
    </w:p>
    <w:p w:rsidR="0092635B" w:rsidRDefault="00000000">
      <w:pPr>
        <w:pStyle w:val="Prrafodelista"/>
        <w:numPr>
          <w:ilvl w:val="0"/>
          <w:numId w:val="273"/>
        </w:numPr>
        <w:tabs>
          <w:tab w:val="left" w:pos="1683"/>
        </w:tabs>
        <w:spacing w:before="3" w:line="249" w:lineRule="auto"/>
        <w:ind w:right="1104" w:firstLine="340"/>
        <w:jc w:val="both"/>
        <w:rPr>
          <w:sz w:val="20"/>
        </w:rPr>
      </w:pPr>
      <w:r>
        <w:rPr>
          <w:sz w:val="20"/>
        </w:rPr>
        <w:t>Los órganos de contratación reconocerán los certificados equivalentes expedidos por organismos establecidos en cualquier Estado miembro de la Unión Europea, y también aceptarán otras pruebas de medidas equivalentes de garantía de la calidad que presenten los empresarios.</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148" w:name="Artículo_94._Acreditación_del_cumplimien"/>
      <w:bookmarkEnd w:id="148"/>
      <w:r>
        <w:rPr>
          <w:rFonts w:ascii="Arial" w:hAnsi="Arial"/>
          <w:b/>
          <w:sz w:val="20"/>
        </w:rPr>
        <w:t>Artículo</w:t>
      </w:r>
      <w:r>
        <w:rPr>
          <w:rFonts w:ascii="Arial" w:hAnsi="Arial"/>
          <w:b/>
          <w:spacing w:val="-3"/>
          <w:sz w:val="20"/>
        </w:rPr>
        <w:t xml:space="preserve"> </w:t>
      </w:r>
      <w:r>
        <w:rPr>
          <w:rFonts w:ascii="Arial" w:hAnsi="Arial"/>
          <w:b/>
          <w:sz w:val="20"/>
        </w:rPr>
        <w:t>94.</w:t>
      </w:r>
      <w:r>
        <w:rPr>
          <w:rFonts w:ascii="Arial" w:hAnsi="Arial"/>
          <w:b/>
          <w:spacing w:val="48"/>
          <w:sz w:val="20"/>
        </w:rPr>
        <w:t xml:space="preserve"> </w:t>
      </w:r>
      <w:r>
        <w:rPr>
          <w:rFonts w:ascii="Arial" w:hAnsi="Arial"/>
          <w:i/>
          <w:sz w:val="20"/>
        </w:rPr>
        <w:t>Acreditación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cumplimiento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las</w:t>
      </w:r>
      <w:r>
        <w:rPr>
          <w:rFonts w:ascii="Arial" w:hAnsi="Arial"/>
          <w:i/>
          <w:spacing w:val="-3"/>
          <w:sz w:val="20"/>
        </w:rPr>
        <w:t xml:space="preserve"> </w:t>
      </w:r>
      <w:r>
        <w:rPr>
          <w:rFonts w:ascii="Arial" w:hAnsi="Arial"/>
          <w:i/>
          <w:sz w:val="20"/>
        </w:rPr>
        <w:t>normas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gestión</w:t>
      </w:r>
      <w:r>
        <w:rPr>
          <w:rFonts w:ascii="Arial" w:hAnsi="Arial"/>
          <w:i/>
          <w:spacing w:val="-2"/>
          <w:sz w:val="20"/>
        </w:rPr>
        <w:t xml:space="preserve"> medioambiental.</w:t>
      </w:r>
    </w:p>
    <w:p w:rsidR="0092635B" w:rsidRDefault="00000000">
      <w:pPr>
        <w:pStyle w:val="Prrafodelista"/>
        <w:numPr>
          <w:ilvl w:val="0"/>
          <w:numId w:val="272"/>
        </w:numPr>
        <w:tabs>
          <w:tab w:val="left" w:pos="1735"/>
        </w:tabs>
        <w:spacing w:before="123" w:line="249" w:lineRule="auto"/>
        <w:ind w:firstLine="340"/>
        <w:jc w:val="both"/>
        <w:rPr>
          <w:sz w:val="20"/>
        </w:rPr>
      </w:pPr>
      <w:r>
        <w:rPr>
          <w:sz w:val="20"/>
        </w:rPr>
        <w:t>En los contratos sujetos a una regulación armonizada, cuando los órganos de contratación exijan como medio para acreditar la solvencia técnica o profesional la presentación de certificados expedidos por organismos independientes que acrediten que el licitador cumple determinadas normas de gestión medioambiental, harán referencia al sistema comunitario de gestión y auditoría medioambientales (EMAS) de la Unión Europea,</w:t>
      </w:r>
      <w:r>
        <w:rPr>
          <w:spacing w:val="80"/>
          <w:sz w:val="20"/>
        </w:rPr>
        <w:t xml:space="preserve"> </w:t>
      </w:r>
      <w:r>
        <w:rPr>
          <w:sz w:val="20"/>
        </w:rPr>
        <w:t>o a otros sistemas de gestión medioambiental reconocidos de conformidad con el artículo 45 del Reglamento (CE) n.º 1221/2009, de 25 de noviembre de 2009, o a otras normas de gestión medioambiental basadas en las normas europeas o internacionales pertinentes de organismos acreditados.</w:t>
      </w:r>
    </w:p>
    <w:p w:rsidR="0092635B" w:rsidRDefault="00000000">
      <w:pPr>
        <w:pStyle w:val="Prrafodelista"/>
        <w:numPr>
          <w:ilvl w:val="0"/>
          <w:numId w:val="272"/>
        </w:numPr>
        <w:tabs>
          <w:tab w:val="left" w:pos="1683"/>
        </w:tabs>
        <w:spacing w:before="8" w:line="249" w:lineRule="auto"/>
        <w:ind w:firstLine="340"/>
        <w:jc w:val="both"/>
        <w:rPr>
          <w:sz w:val="20"/>
        </w:rPr>
      </w:pPr>
      <w:r>
        <w:rPr>
          <w:sz w:val="20"/>
        </w:rPr>
        <w:t>Los órganos de contratación reconocerán los certificados equivalentes expedidos por organismos establecidos en cualquier Estado miembro de la Unión Europea y también aceptarán otras pruebas de medidas equivalentes de gestión medioambiental que presente</w:t>
      </w:r>
      <w:r>
        <w:rPr>
          <w:spacing w:val="40"/>
          <w:sz w:val="20"/>
        </w:rPr>
        <w:t xml:space="preserve"> </w:t>
      </w:r>
      <w:r>
        <w:rPr>
          <w:sz w:val="20"/>
        </w:rPr>
        <w:t>el licitador, y, en particular, una descripción de las medidas de gestión medioambiental ejecutadas, siempre que el licitador demuestre que dichas medidas son equivalentes a las exigidas con arreglo al sistema o norma de gestión medioambiental aplicable.</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149" w:name="Artículo_95._Documentación_e_información"/>
      <w:bookmarkEnd w:id="149"/>
      <w:r>
        <w:rPr>
          <w:rFonts w:ascii="Arial" w:hAnsi="Arial"/>
          <w:b/>
          <w:sz w:val="20"/>
        </w:rPr>
        <w:t>Artículo</w:t>
      </w:r>
      <w:r>
        <w:rPr>
          <w:rFonts w:ascii="Arial" w:hAnsi="Arial"/>
          <w:b/>
          <w:spacing w:val="-4"/>
          <w:sz w:val="20"/>
        </w:rPr>
        <w:t xml:space="preserve"> </w:t>
      </w:r>
      <w:r>
        <w:rPr>
          <w:rFonts w:ascii="Arial" w:hAnsi="Arial"/>
          <w:b/>
          <w:sz w:val="20"/>
        </w:rPr>
        <w:t>95.</w:t>
      </w:r>
      <w:r>
        <w:rPr>
          <w:rFonts w:ascii="Arial" w:hAnsi="Arial"/>
          <w:b/>
          <w:spacing w:val="47"/>
          <w:sz w:val="20"/>
        </w:rPr>
        <w:t xml:space="preserve"> </w:t>
      </w:r>
      <w:r>
        <w:rPr>
          <w:rFonts w:ascii="Arial" w:hAnsi="Arial"/>
          <w:i/>
          <w:sz w:val="20"/>
        </w:rPr>
        <w:t>Documentación</w:t>
      </w:r>
      <w:r>
        <w:rPr>
          <w:rFonts w:ascii="Arial" w:hAnsi="Arial"/>
          <w:i/>
          <w:spacing w:val="-4"/>
          <w:sz w:val="20"/>
        </w:rPr>
        <w:t xml:space="preserve"> </w:t>
      </w:r>
      <w:r>
        <w:rPr>
          <w:rFonts w:ascii="Arial" w:hAnsi="Arial"/>
          <w:i/>
          <w:sz w:val="20"/>
        </w:rPr>
        <w:t>e</w:t>
      </w:r>
      <w:r>
        <w:rPr>
          <w:rFonts w:ascii="Arial" w:hAnsi="Arial"/>
          <w:i/>
          <w:spacing w:val="-4"/>
          <w:sz w:val="20"/>
        </w:rPr>
        <w:t xml:space="preserve"> </w:t>
      </w:r>
      <w:r>
        <w:rPr>
          <w:rFonts w:ascii="Arial" w:hAnsi="Arial"/>
          <w:i/>
          <w:sz w:val="20"/>
        </w:rPr>
        <w:t>información</w:t>
      </w:r>
      <w:r>
        <w:rPr>
          <w:rFonts w:ascii="Arial" w:hAnsi="Arial"/>
          <w:i/>
          <w:spacing w:val="-3"/>
          <w:sz w:val="20"/>
        </w:rPr>
        <w:t xml:space="preserve"> </w:t>
      </w:r>
      <w:r>
        <w:rPr>
          <w:rFonts w:ascii="Arial" w:hAnsi="Arial"/>
          <w:i/>
          <w:spacing w:val="-2"/>
          <w:sz w:val="20"/>
        </w:rPr>
        <w:t>complementaria.</w:t>
      </w:r>
    </w:p>
    <w:p w:rsidR="0092635B" w:rsidRDefault="00000000">
      <w:pPr>
        <w:pStyle w:val="Textoindependiente"/>
        <w:spacing w:before="124" w:line="249" w:lineRule="auto"/>
        <w:ind w:right="1104"/>
      </w:pPr>
      <w:r>
        <w:t>El órgano de contratación o el órgano auxiliar de este podrá recabar del empresario aclaraciones sobre los certificados y documentos presentados en aplicación de los artículos anteriores o requerirle para la presentación de otros complementarios.</w:t>
      </w:r>
    </w:p>
    <w:p w:rsidR="0092635B" w:rsidRDefault="0092635B">
      <w:pPr>
        <w:pStyle w:val="Textoindependiente"/>
        <w:spacing w:before="56"/>
        <w:ind w:left="0" w:firstLine="0"/>
        <w:jc w:val="left"/>
      </w:pPr>
    </w:p>
    <w:p w:rsidR="0092635B" w:rsidRDefault="00000000">
      <w:pPr>
        <w:pStyle w:val="Textoindependiente"/>
        <w:spacing w:before="0" w:line="249" w:lineRule="auto"/>
        <w:ind w:left="3416" w:right="1120" w:hanging="1970"/>
        <w:jc w:val="left"/>
      </w:pPr>
      <w:bookmarkStart w:id="150" w:name="Subsección_4.ª_Prueba_de_la_clasificació"/>
      <w:bookmarkStart w:id="151" w:name="_bookmark28"/>
      <w:bookmarkEnd w:id="150"/>
      <w:bookmarkEnd w:id="151"/>
      <w:r>
        <w:t>Subsección 4.ª Prueba de la clasificación y de la aptitud para contratar a través de</w:t>
      </w:r>
      <w:r>
        <w:rPr>
          <w:spacing w:val="40"/>
        </w:rPr>
        <w:t xml:space="preserve"> </w:t>
      </w:r>
      <w:r>
        <w:t>Registros o listas oficiales de contratistas</w:t>
      </w:r>
    </w:p>
    <w:p w:rsidR="0092635B" w:rsidRDefault="00000000">
      <w:pPr>
        <w:spacing w:before="228"/>
        <w:ind w:left="1106"/>
        <w:rPr>
          <w:rFonts w:ascii="Arial" w:hAnsi="Arial"/>
          <w:i/>
          <w:sz w:val="20"/>
        </w:rPr>
      </w:pPr>
      <w:bookmarkStart w:id="152" w:name="Artículo_96._Certificaciones_de_Registro"/>
      <w:bookmarkEnd w:id="152"/>
      <w:r>
        <w:rPr>
          <w:rFonts w:ascii="Arial" w:hAnsi="Arial"/>
          <w:b/>
          <w:sz w:val="20"/>
        </w:rPr>
        <w:t>Artículo</w:t>
      </w:r>
      <w:r>
        <w:rPr>
          <w:rFonts w:ascii="Arial" w:hAnsi="Arial"/>
          <w:b/>
          <w:spacing w:val="-3"/>
          <w:sz w:val="20"/>
        </w:rPr>
        <w:t xml:space="preserve"> </w:t>
      </w:r>
      <w:r>
        <w:rPr>
          <w:rFonts w:ascii="Arial" w:hAnsi="Arial"/>
          <w:b/>
          <w:sz w:val="20"/>
        </w:rPr>
        <w:t>96.</w:t>
      </w:r>
      <w:r>
        <w:rPr>
          <w:rFonts w:ascii="Arial" w:hAnsi="Arial"/>
          <w:b/>
          <w:spacing w:val="54"/>
          <w:sz w:val="20"/>
        </w:rPr>
        <w:t xml:space="preserve"> </w:t>
      </w:r>
      <w:r>
        <w:rPr>
          <w:rFonts w:ascii="Arial" w:hAnsi="Arial"/>
          <w:i/>
          <w:sz w:val="20"/>
        </w:rPr>
        <w:t>Certificaciones</w:t>
      </w:r>
      <w:r>
        <w:rPr>
          <w:rFonts w:ascii="Arial" w:hAnsi="Arial"/>
          <w:i/>
          <w:spacing w:val="-1"/>
          <w:sz w:val="20"/>
        </w:rPr>
        <w:t xml:space="preserve"> </w:t>
      </w:r>
      <w:r>
        <w:rPr>
          <w:rFonts w:ascii="Arial" w:hAnsi="Arial"/>
          <w:i/>
          <w:sz w:val="20"/>
        </w:rPr>
        <w:t xml:space="preserve">de Registros de </w:t>
      </w:r>
      <w:r>
        <w:rPr>
          <w:rFonts w:ascii="Arial" w:hAnsi="Arial"/>
          <w:i/>
          <w:spacing w:val="-2"/>
          <w:sz w:val="20"/>
        </w:rPr>
        <w:t>Licitadores.</w:t>
      </w:r>
    </w:p>
    <w:p w:rsidR="0092635B" w:rsidRDefault="00000000">
      <w:pPr>
        <w:pStyle w:val="Prrafodelista"/>
        <w:numPr>
          <w:ilvl w:val="0"/>
          <w:numId w:val="271"/>
        </w:numPr>
        <w:tabs>
          <w:tab w:val="left" w:pos="1674"/>
        </w:tabs>
        <w:spacing w:before="124" w:line="249" w:lineRule="auto"/>
        <w:ind w:firstLine="340"/>
        <w:jc w:val="both"/>
        <w:rPr>
          <w:sz w:val="20"/>
        </w:rPr>
      </w:pPr>
      <w:r>
        <w:rPr>
          <w:sz w:val="20"/>
        </w:rPr>
        <w:t>La inscripción en el Registro Oficial de Licitadores y Empresas Clasificadas del Sector Público acreditará frente a todos los órganos de contratación del sector público,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concurrencia de las prohibiciones de contratar que deban constar en el mismo.</w:t>
      </w:r>
    </w:p>
    <w:p w:rsidR="0092635B" w:rsidRDefault="00000000">
      <w:pPr>
        <w:pStyle w:val="Prrafodelista"/>
        <w:numPr>
          <w:ilvl w:val="0"/>
          <w:numId w:val="271"/>
        </w:numPr>
        <w:tabs>
          <w:tab w:val="left" w:pos="1688"/>
        </w:tabs>
        <w:spacing w:before="5" w:line="249" w:lineRule="auto"/>
        <w:ind w:right="1102" w:firstLine="340"/>
        <w:jc w:val="both"/>
        <w:rPr>
          <w:sz w:val="20"/>
        </w:rPr>
      </w:pPr>
      <w:r>
        <w:rPr>
          <w:sz w:val="20"/>
        </w:rPr>
        <w:t>La inscripción en el Registro de Licitadores de una Comunidad Autónoma acreditará idénticas circunstancias a efectos de la contratación con la misma, con las entidades locales incluidas en su ámbito territorial, y con los restantes entes, organismos o entidades del</w:t>
      </w:r>
      <w:r>
        <w:rPr>
          <w:spacing w:val="40"/>
          <w:sz w:val="20"/>
        </w:rPr>
        <w:t xml:space="preserve"> </w:t>
      </w:r>
      <w:r>
        <w:rPr>
          <w:sz w:val="20"/>
        </w:rPr>
        <w:t>sector público dependientes de una y otras.</w:t>
      </w:r>
    </w:p>
    <w:p w:rsidR="0092635B" w:rsidRDefault="00000000">
      <w:pPr>
        <w:pStyle w:val="Prrafodelista"/>
        <w:numPr>
          <w:ilvl w:val="0"/>
          <w:numId w:val="271"/>
        </w:numPr>
        <w:tabs>
          <w:tab w:val="left" w:pos="1729"/>
        </w:tabs>
        <w:spacing w:before="4" w:line="249" w:lineRule="auto"/>
        <w:ind w:right="1104" w:firstLine="340"/>
        <w:jc w:val="both"/>
        <w:rPr>
          <w:sz w:val="20"/>
        </w:rPr>
      </w:pPr>
      <w:r>
        <w:rPr>
          <w:sz w:val="20"/>
        </w:rPr>
        <w:t>La prueba del contenido de los Registros de Licitadores se efectuará mediante certificación del órgano encargado del mismo, que podrá expedirse por medios electrónicos, informáticos o telemáticos. Los certificados deberán indicar las referencias que hayan permitido la inscripción del empresario en la lista o la expedición de la certificación, así</w:t>
      </w:r>
      <w:r>
        <w:rPr>
          <w:spacing w:val="80"/>
          <w:sz w:val="20"/>
        </w:rPr>
        <w:t xml:space="preserve"> </w:t>
      </w:r>
      <w:r>
        <w:rPr>
          <w:sz w:val="20"/>
        </w:rPr>
        <w:t>como, en su caso, la clasificación obtenida.</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153" w:name="Artículo_97._Certificados_comunitarios_d"/>
      <w:bookmarkEnd w:id="153"/>
      <w:r>
        <w:rPr>
          <w:rFonts w:ascii="Arial" w:hAnsi="Arial"/>
          <w:b/>
          <w:sz w:val="20"/>
        </w:rPr>
        <w:t>Artículo</w:t>
      </w:r>
      <w:r>
        <w:rPr>
          <w:rFonts w:ascii="Arial" w:hAnsi="Arial"/>
          <w:b/>
          <w:spacing w:val="-3"/>
          <w:sz w:val="20"/>
        </w:rPr>
        <w:t xml:space="preserve"> </w:t>
      </w:r>
      <w:r>
        <w:rPr>
          <w:rFonts w:ascii="Arial" w:hAnsi="Arial"/>
          <w:b/>
          <w:sz w:val="20"/>
        </w:rPr>
        <w:t>97.</w:t>
      </w:r>
      <w:r>
        <w:rPr>
          <w:rFonts w:ascii="Arial" w:hAnsi="Arial"/>
          <w:b/>
          <w:spacing w:val="53"/>
          <w:sz w:val="20"/>
        </w:rPr>
        <w:t xml:space="preserve"> </w:t>
      </w:r>
      <w:r>
        <w:rPr>
          <w:rFonts w:ascii="Arial" w:hAnsi="Arial"/>
          <w:i/>
          <w:sz w:val="20"/>
        </w:rPr>
        <w:t>Certificados comunitarios</w:t>
      </w:r>
      <w:r>
        <w:rPr>
          <w:rFonts w:ascii="Arial" w:hAnsi="Arial"/>
          <w:i/>
          <w:spacing w:val="-1"/>
          <w:sz w:val="20"/>
        </w:rPr>
        <w:t xml:space="preserve"> </w:t>
      </w:r>
      <w:r>
        <w:rPr>
          <w:rFonts w:ascii="Arial" w:hAnsi="Arial"/>
          <w:i/>
          <w:sz w:val="20"/>
        </w:rPr>
        <w:t>de empresarios</w:t>
      </w:r>
      <w:r>
        <w:rPr>
          <w:rFonts w:ascii="Arial" w:hAnsi="Arial"/>
          <w:i/>
          <w:spacing w:val="-1"/>
          <w:sz w:val="20"/>
        </w:rPr>
        <w:t xml:space="preserve"> </w:t>
      </w:r>
      <w:r>
        <w:rPr>
          <w:rFonts w:ascii="Arial" w:hAnsi="Arial"/>
          <w:i/>
          <w:sz w:val="20"/>
        </w:rPr>
        <w:t xml:space="preserve">autorizados para </w:t>
      </w:r>
      <w:r>
        <w:rPr>
          <w:rFonts w:ascii="Arial" w:hAnsi="Arial"/>
          <w:i/>
          <w:spacing w:val="-2"/>
          <w:sz w:val="20"/>
        </w:rPr>
        <w:t>contratar.</w:t>
      </w:r>
    </w:p>
    <w:p w:rsidR="0092635B" w:rsidRDefault="00000000">
      <w:pPr>
        <w:pStyle w:val="Prrafodelista"/>
        <w:numPr>
          <w:ilvl w:val="0"/>
          <w:numId w:val="270"/>
        </w:numPr>
        <w:tabs>
          <w:tab w:val="left" w:pos="1681"/>
        </w:tabs>
        <w:spacing w:before="123" w:line="249" w:lineRule="auto"/>
        <w:ind w:firstLine="340"/>
        <w:jc w:val="both"/>
        <w:rPr>
          <w:sz w:val="20"/>
        </w:rPr>
      </w:pPr>
      <w:r>
        <w:rPr>
          <w:sz w:val="20"/>
        </w:rPr>
        <w:t>Los certificados de inscripción expedidos por los órganos competentes de la llevanza de</w:t>
      </w:r>
      <w:r>
        <w:rPr>
          <w:spacing w:val="-1"/>
          <w:sz w:val="20"/>
        </w:rPr>
        <w:t xml:space="preserve"> </w:t>
      </w:r>
      <w:r>
        <w:rPr>
          <w:sz w:val="20"/>
        </w:rPr>
        <w:t>las</w:t>
      </w:r>
      <w:r>
        <w:rPr>
          <w:spacing w:val="-1"/>
          <w:sz w:val="20"/>
        </w:rPr>
        <w:t xml:space="preserve"> </w:t>
      </w:r>
      <w:r>
        <w:rPr>
          <w:sz w:val="20"/>
        </w:rPr>
        <w:t>listas</w:t>
      </w:r>
      <w:r>
        <w:rPr>
          <w:spacing w:val="-1"/>
          <w:sz w:val="20"/>
        </w:rPr>
        <w:t xml:space="preserve"> </w:t>
      </w:r>
      <w:r>
        <w:rPr>
          <w:sz w:val="20"/>
        </w:rPr>
        <w:t>oficiales</w:t>
      </w:r>
      <w:r>
        <w:rPr>
          <w:spacing w:val="-1"/>
          <w:sz w:val="20"/>
        </w:rPr>
        <w:t xml:space="preserve"> </w:t>
      </w:r>
      <w:r>
        <w:rPr>
          <w:sz w:val="20"/>
        </w:rPr>
        <w:t>de</w:t>
      </w:r>
      <w:r>
        <w:rPr>
          <w:spacing w:val="-1"/>
          <w:sz w:val="20"/>
        </w:rPr>
        <w:t xml:space="preserve"> </w:t>
      </w:r>
      <w:r>
        <w:rPr>
          <w:sz w:val="20"/>
        </w:rPr>
        <w:t>empresarios</w:t>
      </w:r>
      <w:r>
        <w:rPr>
          <w:spacing w:val="-1"/>
          <w:sz w:val="20"/>
        </w:rPr>
        <w:t xml:space="preserve"> </w:t>
      </w:r>
      <w:r>
        <w:rPr>
          <w:sz w:val="20"/>
        </w:rPr>
        <w:t>autorizados</w:t>
      </w:r>
      <w:r>
        <w:rPr>
          <w:spacing w:val="-1"/>
          <w:sz w:val="20"/>
        </w:rPr>
        <w:t xml:space="preserve"> </w:t>
      </w:r>
      <w:r>
        <w:rPr>
          <w:sz w:val="20"/>
        </w:rPr>
        <w:t>para</w:t>
      </w:r>
      <w:r>
        <w:rPr>
          <w:spacing w:val="-1"/>
          <w:sz w:val="20"/>
        </w:rPr>
        <w:t xml:space="preserve"> </w:t>
      </w:r>
      <w:r>
        <w:rPr>
          <w:sz w:val="20"/>
        </w:rPr>
        <w:t>contratar</w:t>
      </w:r>
      <w:r>
        <w:rPr>
          <w:spacing w:val="-1"/>
          <w:sz w:val="20"/>
        </w:rPr>
        <w:t xml:space="preserve"> </w:t>
      </w:r>
      <w:r>
        <w:rPr>
          <w:sz w:val="20"/>
        </w:rPr>
        <w:t>establecidas</w:t>
      </w:r>
      <w:r>
        <w:rPr>
          <w:spacing w:val="-1"/>
          <w:sz w:val="20"/>
        </w:rPr>
        <w:t xml:space="preserve"> </w:t>
      </w:r>
      <w:r>
        <w:rPr>
          <w:sz w:val="20"/>
        </w:rPr>
        <w:t>por</w:t>
      </w:r>
      <w:r>
        <w:rPr>
          <w:spacing w:val="-1"/>
          <w:sz w:val="20"/>
        </w:rPr>
        <w:t xml:space="preserve"> </w:t>
      </w:r>
      <w:r>
        <w:rPr>
          <w:sz w:val="20"/>
        </w:rPr>
        <w:t>los</w:t>
      </w:r>
      <w:r>
        <w:rPr>
          <w:spacing w:val="-1"/>
          <w:sz w:val="20"/>
        </w:rPr>
        <w:t xml:space="preserve"> </w:t>
      </w:r>
      <w:r>
        <w:rPr>
          <w:sz w:val="20"/>
        </w:rPr>
        <w:t>Estados miembros</w:t>
      </w:r>
      <w:r>
        <w:rPr>
          <w:spacing w:val="9"/>
          <w:sz w:val="20"/>
        </w:rPr>
        <w:t xml:space="preserve"> </w:t>
      </w:r>
      <w:r>
        <w:rPr>
          <w:sz w:val="20"/>
        </w:rPr>
        <w:t>de</w:t>
      </w:r>
      <w:r>
        <w:rPr>
          <w:spacing w:val="10"/>
          <w:sz w:val="20"/>
        </w:rPr>
        <w:t xml:space="preserve"> </w:t>
      </w:r>
      <w:r>
        <w:rPr>
          <w:sz w:val="20"/>
        </w:rPr>
        <w:t>la</w:t>
      </w:r>
      <w:r>
        <w:rPr>
          <w:spacing w:val="10"/>
          <w:sz w:val="20"/>
        </w:rPr>
        <w:t xml:space="preserve"> </w:t>
      </w:r>
      <w:r>
        <w:rPr>
          <w:sz w:val="20"/>
        </w:rPr>
        <w:t>Unión</w:t>
      </w:r>
      <w:r>
        <w:rPr>
          <w:spacing w:val="10"/>
          <w:sz w:val="20"/>
        </w:rPr>
        <w:t xml:space="preserve"> </w:t>
      </w:r>
      <w:r>
        <w:rPr>
          <w:sz w:val="20"/>
        </w:rPr>
        <w:t>Europea,</w:t>
      </w:r>
      <w:r>
        <w:rPr>
          <w:spacing w:val="10"/>
          <w:sz w:val="20"/>
        </w:rPr>
        <w:t xml:space="preserve"> </w:t>
      </w:r>
      <w:r>
        <w:rPr>
          <w:sz w:val="20"/>
        </w:rPr>
        <w:t>referidos</w:t>
      </w:r>
      <w:r>
        <w:rPr>
          <w:spacing w:val="10"/>
          <w:sz w:val="20"/>
        </w:rPr>
        <w:t xml:space="preserve"> </w:t>
      </w:r>
      <w:r>
        <w:rPr>
          <w:sz w:val="20"/>
        </w:rPr>
        <w:t>a</w:t>
      </w:r>
      <w:r>
        <w:rPr>
          <w:spacing w:val="10"/>
          <w:sz w:val="20"/>
        </w:rPr>
        <w:t xml:space="preserve"> </w:t>
      </w:r>
      <w:r>
        <w:rPr>
          <w:sz w:val="20"/>
        </w:rPr>
        <w:t>empresarios</w:t>
      </w:r>
      <w:r>
        <w:rPr>
          <w:spacing w:val="10"/>
          <w:sz w:val="20"/>
        </w:rPr>
        <w:t xml:space="preserve"> </w:t>
      </w:r>
      <w:r>
        <w:rPr>
          <w:sz w:val="20"/>
        </w:rPr>
        <w:t>establecidos</w:t>
      </w:r>
      <w:r>
        <w:rPr>
          <w:spacing w:val="10"/>
          <w:sz w:val="20"/>
        </w:rPr>
        <w:t xml:space="preserve"> </w:t>
      </w:r>
      <w:r>
        <w:rPr>
          <w:sz w:val="20"/>
        </w:rPr>
        <w:t>en</w:t>
      </w:r>
      <w:r>
        <w:rPr>
          <w:spacing w:val="10"/>
          <w:sz w:val="20"/>
        </w:rPr>
        <w:t xml:space="preserve"> </w:t>
      </w:r>
      <w:r>
        <w:rPr>
          <w:sz w:val="20"/>
        </w:rPr>
        <w:t>el</w:t>
      </w:r>
      <w:r>
        <w:rPr>
          <w:spacing w:val="10"/>
          <w:sz w:val="20"/>
        </w:rPr>
        <w:t xml:space="preserve"> </w:t>
      </w:r>
      <w:r>
        <w:rPr>
          <w:sz w:val="20"/>
        </w:rPr>
        <w:t>Estado</w:t>
      </w:r>
      <w:r>
        <w:rPr>
          <w:spacing w:val="10"/>
          <w:sz w:val="20"/>
        </w:rPr>
        <w:t xml:space="preserve"> </w:t>
      </w:r>
      <w:r>
        <w:rPr>
          <w:spacing w:val="-2"/>
          <w:sz w:val="20"/>
        </w:rPr>
        <w:t>miembro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que expide el certificado, constituirán una presunción de aptitud con respecto a los requisitos de selección cualitativa que en ellos figuren.</w:t>
      </w:r>
    </w:p>
    <w:p w:rsidR="0092635B" w:rsidRDefault="00000000">
      <w:pPr>
        <w:pStyle w:val="Prrafodelista"/>
        <w:numPr>
          <w:ilvl w:val="0"/>
          <w:numId w:val="270"/>
        </w:numPr>
        <w:tabs>
          <w:tab w:val="left" w:pos="1714"/>
        </w:tabs>
        <w:spacing w:before="1" w:line="249" w:lineRule="auto"/>
        <w:ind w:right="1104" w:firstLine="340"/>
        <w:jc w:val="both"/>
        <w:rPr>
          <w:sz w:val="20"/>
        </w:rPr>
      </w:pPr>
      <w:r>
        <w:rPr>
          <w:sz w:val="20"/>
        </w:rPr>
        <w:t>Igual valor presuntivo surtirán, respecto de los extremos en ellos certificados, las certificaciones emitidas por organismos de certificación competentes que respondan a las normas europeas de certificación expedidas de conformidad con la legislación del Estado miembro en que esté establecido el empresario.</w:t>
      </w:r>
    </w:p>
    <w:p w:rsidR="0092635B" w:rsidRDefault="00000000">
      <w:pPr>
        <w:pStyle w:val="Prrafodelista"/>
        <w:numPr>
          <w:ilvl w:val="0"/>
          <w:numId w:val="270"/>
        </w:numPr>
        <w:tabs>
          <w:tab w:val="left" w:pos="1685"/>
        </w:tabs>
        <w:spacing w:before="4" w:line="249" w:lineRule="auto"/>
        <w:ind w:right="1104" w:firstLine="340"/>
        <w:jc w:val="both"/>
        <w:rPr>
          <w:sz w:val="20"/>
        </w:rPr>
      </w:pPr>
      <w:r>
        <w:rPr>
          <w:sz w:val="20"/>
        </w:rPr>
        <w:t>Los documentos a que se refiere el apartado anterior deberán indicar las referencias que hayan permitido la inscripción del empresario en la lista o la expedición de la certificación, así como la clasificación obtenida.</w:t>
      </w:r>
    </w:p>
    <w:p w:rsidR="0092635B" w:rsidRDefault="0092635B">
      <w:pPr>
        <w:pStyle w:val="Textoindependiente"/>
        <w:spacing w:before="112"/>
        <w:ind w:left="0" w:firstLine="0"/>
        <w:jc w:val="left"/>
      </w:pPr>
    </w:p>
    <w:p w:rsidR="0092635B" w:rsidRDefault="00000000">
      <w:pPr>
        <w:pStyle w:val="Textoindependiente"/>
        <w:spacing w:before="0"/>
        <w:ind w:left="0" w:firstLine="0"/>
        <w:jc w:val="center"/>
      </w:pPr>
      <w:bookmarkStart w:id="154" w:name="CAPÍTULO_III._Sucesión_en_la_persona_del"/>
      <w:bookmarkStart w:id="155" w:name="_bookmark29"/>
      <w:bookmarkEnd w:id="154"/>
      <w:bookmarkEnd w:id="155"/>
      <w:r>
        <w:t xml:space="preserve">CAPÍTULO </w:t>
      </w:r>
      <w:r>
        <w:rPr>
          <w:spacing w:val="-5"/>
        </w:rPr>
        <w:t>III</w:t>
      </w:r>
    </w:p>
    <w:p w:rsidR="0092635B" w:rsidRDefault="00000000">
      <w:pPr>
        <w:pStyle w:val="Ttulo2"/>
        <w:spacing w:before="124"/>
      </w:pPr>
      <w:r>
        <w:t>Sucesión</w:t>
      </w:r>
      <w:r>
        <w:rPr>
          <w:spacing w:val="-2"/>
        </w:rPr>
        <w:t xml:space="preserve"> </w:t>
      </w:r>
      <w:r>
        <w:t>en</w:t>
      </w:r>
      <w:r>
        <w:rPr>
          <w:spacing w:val="-1"/>
        </w:rPr>
        <w:t xml:space="preserve"> </w:t>
      </w:r>
      <w:r>
        <w:t>la</w:t>
      </w:r>
      <w:r>
        <w:rPr>
          <w:spacing w:val="-2"/>
        </w:rPr>
        <w:t xml:space="preserve"> </w:t>
      </w:r>
      <w:r>
        <w:t>persona</w:t>
      </w:r>
      <w:r>
        <w:rPr>
          <w:spacing w:val="-1"/>
        </w:rPr>
        <w:t xml:space="preserve"> </w:t>
      </w:r>
      <w:r>
        <w:t>del</w:t>
      </w:r>
      <w:r>
        <w:rPr>
          <w:spacing w:val="-1"/>
        </w:rPr>
        <w:t xml:space="preserve"> </w:t>
      </w:r>
      <w:r>
        <w:rPr>
          <w:spacing w:val="-2"/>
        </w:rPr>
        <w:t>contratista</w:t>
      </w:r>
    </w:p>
    <w:p w:rsidR="0092635B" w:rsidRDefault="0092635B">
      <w:pPr>
        <w:pStyle w:val="Textoindependiente"/>
        <w:spacing w:before="6"/>
        <w:ind w:left="0" w:firstLine="0"/>
        <w:jc w:val="left"/>
        <w:rPr>
          <w:rFonts w:ascii="Arial"/>
          <w:b/>
        </w:rPr>
      </w:pPr>
    </w:p>
    <w:p w:rsidR="0092635B" w:rsidRDefault="00000000">
      <w:pPr>
        <w:ind w:left="1106"/>
        <w:jc w:val="both"/>
        <w:rPr>
          <w:rFonts w:ascii="Arial" w:hAnsi="Arial"/>
          <w:i/>
          <w:sz w:val="20"/>
        </w:rPr>
      </w:pPr>
      <w:bookmarkStart w:id="156" w:name="Artículo_98._Supuestos_de_sucesión_del_c"/>
      <w:bookmarkEnd w:id="156"/>
      <w:r>
        <w:rPr>
          <w:rFonts w:ascii="Arial" w:hAnsi="Arial"/>
          <w:b/>
          <w:sz w:val="20"/>
        </w:rPr>
        <w:t>Artículo</w:t>
      </w:r>
      <w:r>
        <w:rPr>
          <w:rFonts w:ascii="Arial" w:hAnsi="Arial"/>
          <w:b/>
          <w:spacing w:val="-2"/>
          <w:sz w:val="20"/>
        </w:rPr>
        <w:t xml:space="preserve"> </w:t>
      </w:r>
      <w:r>
        <w:rPr>
          <w:rFonts w:ascii="Arial" w:hAnsi="Arial"/>
          <w:b/>
          <w:sz w:val="20"/>
        </w:rPr>
        <w:t>98.</w:t>
      </w:r>
      <w:r>
        <w:rPr>
          <w:rFonts w:ascii="Arial" w:hAnsi="Arial"/>
          <w:b/>
          <w:spacing w:val="51"/>
          <w:sz w:val="20"/>
        </w:rPr>
        <w:t xml:space="preserve"> </w:t>
      </w:r>
      <w:r>
        <w:rPr>
          <w:rFonts w:ascii="Arial" w:hAnsi="Arial"/>
          <w:i/>
          <w:sz w:val="20"/>
        </w:rPr>
        <w:t>Supuestos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sucesión</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pacing w:val="-2"/>
          <w:sz w:val="20"/>
        </w:rPr>
        <w:t>contratista.</w:t>
      </w:r>
    </w:p>
    <w:p w:rsidR="0092635B" w:rsidRDefault="00000000">
      <w:pPr>
        <w:pStyle w:val="Prrafodelista"/>
        <w:numPr>
          <w:ilvl w:val="0"/>
          <w:numId w:val="269"/>
        </w:numPr>
        <w:tabs>
          <w:tab w:val="left" w:pos="1711"/>
        </w:tabs>
        <w:spacing w:before="124" w:line="249" w:lineRule="auto"/>
        <w:ind w:firstLine="340"/>
        <w:jc w:val="both"/>
        <w:rPr>
          <w:sz w:val="20"/>
        </w:rPr>
      </w:pPr>
      <w:r>
        <w:rPr>
          <w:sz w:val="20"/>
        </w:rPr>
        <w:t>En los casos de fusión de empresas en los que participe la sociedad contratista, continuará el contrato vigente con la entidad absorbente o con la resultante de la fusión, que quedará subrogada en todos los derechos y obligaciones dimanantes del mismo.</w:t>
      </w:r>
      <w:r>
        <w:rPr>
          <w:spacing w:val="80"/>
          <w:sz w:val="20"/>
        </w:rPr>
        <w:t xml:space="preserve"> </w:t>
      </w:r>
      <w:r>
        <w:rPr>
          <w:sz w:val="20"/>
        </w:rPr>
        <w:t>Igualmente, en los supuestos de escisión, aportación o transmisión de empresas o ramas de actividad de las mismas, continuará el contrato con la entidad a la que se atribuya el</w:t>
      </w:r>
      <w:r>
        <w:rPr>
          <w:spacing w:val="40"/>
          <w:sz w:val="20"/>
        </w:rPr>
        <w:t xml:space="preserve"> </w:t>
      </w:r>
      <w:r>
        <w:rPr>
          <w:sz w:val="20"/>
        </w:rPr>
        <w:t>contrato, que quedará subrogada en los derechos y obligaciones dimanantes del mismo, siempre que reúna las condiciones de capacidad, ausencia de prohibición de contratar, y la solvencia</w:t>
      </w:r>
      <w:r>
        <w:rPr>
          <w:spacing w:val="-1"/>
          <w:sz w:val="20"/>
        </w:rPr>
        <w:t xml:space="preserve"> </w:t>
      </w:r>
      <w:r>
        <w:rPr>
          <w:sz w:val="20"/>
        </w:rPr>
        <w:t>exigida</w:t>
      </w:r>
      <w:r>
        <w:rPr>
          <w:spacing w:val="-1"/>
          <w:sz w:val="20"/>
        </w:rPr>
        <w:t xml:space="preserve"> </w:t>
      </w:r>
      <w:r>
        <w:rPr>
          <w:sz w:val="20"/>
        </w:rPr>
        <w:t>al</w:t>
      </w:r>
      <w:r>
        <w:rPr>
          <w:spacing w:val="-1"/>
          <w:sz w:val="20"/>
        </w:rPr>
        <w:t xml:space="preserve"> </w:t>
      </w:r>
      <w:r>
        <w:rPr>
          <w:sz w:val="20"/>
        </w:rPr>
        <w:t>acordarse</w:t>
      </w:r>
      <w:r>
        <w:rPr>
          <w:spacing w:val="-1"/>
          <w:sz w:val="20"/>
        </w:rPr>
        <w:t xml:space="preserve"> </w:t>
      </w:r>
      <w:r>
        <w:rPr>
          <w:sz w:val="20"/>
        </w:rPr>
        <w:t>al</w:t>
      </w:r>
      <w:r>
        <w:rPr>
          <w:spacing w:val="-1"/>
          <w:sz w:val="20"/>
        </w:rPr>
        <w:t xml:space="preserve"> </w:t>
      </w:r>
      <w:r>
        <w:rPr>
          <w:sz w:val="20"/>
        </w:rPr>
        <w:t>adjudicación</w:t>
      </w:r>
      <w:r>
        <w:rPr>
          <w:spacing w:val="-1"/>
          <w:sz w:val="20"/>
        </w:rPr>
        <w:t xml:space="preserve"> </w:t>
      </w:r>
      <w:r>
        <w:rPr>
          <w:sz w:val="20"/>
        </w:rPr>
        <w:t>o</w:t>
      </w:r>
      <w:r>
        <w:rPr>
          <w:spacing w:val="-1"/>
          <w:sz w:val="20"/>
        </w:rPr>
        <w:t xml:space="preserve"> </w:t>
      </w:r>
      <w:r>
        <w:rPr>
          <w:sz w:val="20"/>
        </w:rPr>
        <w:t>que</w:t>
      </w:r>
      <w:r>
        <w:rPr>
          <w:spacing w:val="-1"/>
          <w:sz w:val="20"/>
        </w:rPr>
        <w:t xml:space="preserve"> </w:t>
      </w:r>
      <w:r>
        <w:rPr>
          <w:sz w:val="20"/>
        </w:rPr>
        <w:t>las</w:t>
      </w:r>
      <w:r>
        <w:rPr>
          <w:spacing w:val="-1"/>
          <w:sz w:val="20"/>
        </w:rPr>
        <w:t xml:space="preserve"> </w:t>
      </w:r>
      <w:r>
        <w:rPr>
          <w:sz w:val="20"/>
        </w:rPr>
        <w:t>diversas</w:t>
      </w:r>
      <w:r>
        <w:rPr>
          <w:spacing w:val="-1"/>
          <w:sz w:val="20"/>
        </w:rPr>
        <w:t xml:space="preserve"> </w:t>
      </w:r>
      <w:r>
        <w:rPr>
          <w:sz w:val="20"/>
        </w:rPr>
        <w:t>sociedades</w:t>
      </w:r>
      <w:r>
        <w:rPr>
          <w:spacing w:val="-1"/>
          <w:sz w:val="20"/>
        </w:rPr>
        <w:t xml:space="preserve"> </w:t>
      </w:r>
      <w:r>
        <w:rPr>
          <w:sz w:val="20"/>
        </w:rPr>
        <w:t>beneficiarias</w:t>
      </w:r>
      <w:r>
        <w:rPr>
          <w:spacing w:val="-1"/>
          <w:sz w:val="20"/>
        </w:rPr>
        <w:t xml:space="preserve"> </w:t>
      </w:r>
      <w:r>
        <w:rPr>
          <w:sz w:val="20"/>
        </w:rPr>
        <w:t xml:space="preserve">de las mencionadas operaciones y, en caso de subsistir, la sociedad de la que provengan el patrimonio, empresas o ramas segregadas, se responsabilicen solidariamente con aquellas de la ejecución del contrato. Si no pudiese producirse la subrogación por no reunir la entidad a la que se atribuya el contrato las condiciones de solvencia necesarias se resolverá el contrato, considerándose a todos los efectos como un supuesto de resolución por culpa del </w:t>
      </w:r>
      <w:r>
        <w:rPr>
          <w:spacing w:val="-2"/>
          <w:sz w:val="20"/>
        </w:rPr>
        <w:t>adjudicatario.</w:t>
      </w:r>
    </w:p>
    <w:p w:rsidR="0092635B" w:rsidRDefault="00000000">
      <w:pPr>
        <w:pStyle w:val="Textoindependiente"/>
        <w:spacing w:before="11" w:line="249" w:lineRule="auto"/>
        <w:ind w:right="1105"/>
      </w:pPr>
      <w:r>
        <w:t>A los efectos anteriores la empresa deberá comunicar al órgano de contratación la circunstancia que se hubiere producido.</w:t>
      </w:r>
    </w:p>
    <w:p w:rsidR="0092635B" w:rsidRDefault="00000000">
      <w:pPr>
        <w:pStyle w:val="Textoindependiente"/>
        <w:spacing w:line="249" w:lineRule="auto"/>
        <w:ind w:right="1105"/>
      </w:pPr>
      <w:r>
        <w:t>Cuando como consecuencia de las operaciones mercantiles a que se refiere el párrafo primero se le atribuyera el contrato a una entidad distinta, la garantía definitiva podrá ser, a criterio de la entidad otorgante de la misma, renovada o reemplazada por una nueva</w:t>
      </w:r>
      <w:r>
        <w:rPr>
          <w:spacing w:val="80"/>
        </w:rPr>
        <w:t xml:space="preserve"> </w:t>
      </w:r>
      <w:r>
        <w:t>garantía que se suscriba por la nueva entidad teniéndose en cuenta las especiales características del riesgo que constituya esta última entidad. En este caso, la antigua garantía definitiva conservará su vigencia hasta que esté constituida la nueva garantía.</w:t>
      </w:r>
    </w:p>
    <w:p w:rsidR="0092635B" w:rsidRDefault="00000000">
      <w:pPr>
        <w:pStyle w:val="Prrafodelista"/>
        <w:numPr>
          <w:ilvl w:val="0"/>
          <w:numId w:val="269"/>
        </w:numPr>
        <w:tabs>
          <w:tab w:val="left" w:pos="1710"/>
        </w:tabs>
        <w:spacing w:before="5" w:line="249" w:lineRule="auto"/>
        <w:ind w:right="1105" w:firstLine="340"/>
        <w:jc w:val="both"/>
        <w:rPr>
          <w:sz w:val="20"/>
        </w:rPr>
      </w:pPr>
      <w:r>
        <w:rPr>
          <w:sz w:val="20"/>
        </w:rPr>
        <w:t>Cuando el contratista inicial sea una unión temporal de empresas, se estará a lo establecido en el artículo 69.</w:t>
      </w:r>
    </w:p>
    <w:p w:rsidR="0092635B" w:rsidRDefault="0092635B">
      <w:pPr>
        <w:pStyle w:val="Textoindependiente"/>
        <w:spacing w:before="225"/>
        <w:ind w:left="0" w:firstLine="0"/>
        <w:jc w:val="left"/>
      </w:pPr>
    </w:p>
    <w:p w:rsidR="0092635B" w:rsidRDefault="00000000">
      <w:pPr>
        <w:pStyle w:val="Textoindependiente"/>
        <w:spacing w:before="0"/>
        <w:ind w:left="0" w:firstLine="0"/>
        <w:jc w:val="center"/>
      </w:pPr>
      <w:bookmarkStart w:id="157" w:name="TÍTULO_III._Objeto,_presupuesto_base_de_"/>
      <w:bookmarkStart w:id="158" w:name="_bookmark30"/>
      <w:bookmarkEnd w:id="157"/>
      <w:bookmarkEnd w:id="158"/>
      <w:r>
        <w:t xml:space="preserve">TÍTULO </w:t>
      </w:r>
      <w:r>
        <w:rPr>
          <w:spacing w:val="-5"/>
        </w:rPr>
        <w:t>III</w:t>
      </w:r>
    </w:p>
    <w:p w:rsidR="0092635B" w:rsidRDefault="00000000">
      <w:pPr>
        <w:pStyle w:val="Ttulo2"/>
        <w:spacing w:line="249" w:lineRule="auto"/>
        <w:ind w:left="1446" w:right="1442"/>
      </w:pPr>
      <w:r>
        <w:t xml:space="preserve">Objeto, presupuesto base de licitación, valor estimado, precio del contrato y su </w:t>
      </w:r>
      <w:r>
        <w:rPr>
          <w:spacing w:val="-2"/>
        </w:rPr>
        <w:t>revisión</w:t>
      </w:r>
    </w:p>
    <w:p w:rsidR="0092635B" w:rsidRDefault="0092635B">
      <w:pPr>
        <w:pStyle w:val="Textoindependiente"/>
        <w:spacing w:before="112"/>
        <w:ind w:left="0" w:firstLine="0"/>
        <w:jc w:val="left"/>
        <w:rPr>
          <w:rFonts w:ascii="Arial"/>
          <w:b/>
        </w:rPr>
      </w:pPr>
    </w:p>
    <w:p w:rsidR="0092635B" w:rsidRDefault="00000000">
      <w:pPr>
        <w:pStyle w:val="Textoindependiente"/>
        <w:spacing w:before="0"/>
        <w:ind w:left="0" w:firstLine="0"/>
        <w:jc w:val="center"/>
      </w:pPr>
      <w:bookmarkStart w:id="159" w:name="CAPÍTULO_I._Normas_generales"/>
      <w:bookmarkStart w:id="160" w:name="_bookmark31"/>
      <w:bookmarkEnd w:id="159"/>
      <w:bookmarkEnd w:id="160"/>
      <w:r>
        <w:t xml:space="preserve">CAPÍTULO </w:t>
      </w:r>
      <w:r>
        <w:rPr>
          <w:spacing w:val="-10"/>
        </w:rPr>
        <w:t>I</w:t>
      </w:r>
    </w:p>
    <w:p w:rsidR="0092635B" w:rsidRDefault="00000000">
      <w:pPr>
        <w:pStyle w:val="Ttulo2"/>
        <w:spacing w:before="124"/>
      </w:pPr>
      <w:r>
        <w:t>Normas</w:t>
      </w:r>
      <w:r>
        <w:rPr>
          <w:spacing w:val="-5"/>
        </w:rPr>
        <w:t xml:space="preserve"> </w:t>
      </w:r>
      <w:r>
        <w:rPr>
          <w:spacing w:val="-2"/>
        </w:rPr>
        <w:t>generales</w:t>
      </w:r>
    </w:p>
    <w:p w:rsidR="0092635B" w:rsidRDefault="0092635B">
      <w:pPr>
        <w:pStyle w:val="Textoindependiente"/>
        <w:spacing w:before="6"/>
        <w:ind w:left="0" w:firstLine="0"/>
        <w:jc w:val="left"/>
        <w:rPr>
          <w:rFonts w:ascii="Arial"/>
          <w:b/>
        </w:rPr>
      </w:pPr>
    </w:p>
    <w:p w:rsidR="0092635B" w:rsidRDefault="00000000">
      <w:pPr>
        <w:spacing w:before="1"/>
        <w:ind w:left="1106"/>
        <w:jc w:val="both"/>
        <w:rPr>
          <w:rFonts w:ascii="Arial" w:hAnsi="Arial"/>
          <w:i/>
          <w:sz w:val="20"/>
        </w:rPr>
      </w:pPr>
      <w:bookmarkStart w:id="161" w:name="Artículo_99._Objeto_del_contrato."/>
      <w:bookmarkEnd w:id="161"/>
      <w:r>
        <w:rPr>
          <w:rFonts w:ascii="Arial" w:hAnsi="Arial"/>
          <w:b/>
          <w:sz w:val="20"/>
        </w:rPr>
        <w:t>Artículo</w:t>
      </w:r>
      <w:r>
        <w:rPr>
          <w:rFonts w:ascii="Arial" w:hAnsi="Arial"/>
          <w:b/>
          <w:spacing w:val="-2"/>
          <w:sz w:val="20"/>
        </w:rPr>
        <w:t xml:space="preserve"> </w:t>
      </w:r>
      <w:r>
        <w:rPr>
          <w:rFonts w:ascii="Arial" w:hAnsi="Arial"/>
          <w:b/>
          <w:sz w:val="20"/>
        </w:rPr>
        <w:t>99.</w:t>
      </w:r>
      <w:r>
        <w:rPr>
          <w:rFonts w:ascii="Arial" w:hAnsi="Arial"/>
          <w:b/>
          <w:spacing w:val="51"/>
          <w:sz w:val="20"/>
        </w:rPr>
        <w:t xml:space="preserve"> </w:t>
      </w:r>
      <w:r>
        <w:rPr>
          <w:rFonts w:ascii="Arial" w:hAnsi="Arial"/>
          <w:i/>
          <w:sz w:val="20"/>
        </w:rPr>
        <w:t>Objeto</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pacing w:val="-2"/>
          <w:sz w:val="20"/>
        </w:rPr>
        <w:t>contrato.</w:t>
      </w:r>
    </w:p>
    <w:p w:rsidR="0092635B" w:rsidRDefault="00000000">
      <w:pPr>
        <w:pStyle w:val="Prrafodelista"/>
        <w:numPr>
          <w:ilvl w:val="0"/>
          <w:numId w:val="268"/>
        </w:numPr>
        <w:tabs>
          <w:tab w:val="left" w:pos="1701"/>
        </w:tabs>
        <w:spacing w:before="123" w:line="249" w:lineRule="auto"/>
        <w:ind w:firstLine="340"/>
        <w:jc w:val="both"/>
        <w:rPr>
          <w:sz w:val="20"/>
        </w:rPr>
      </w:pPr>
      <w:r>
        <w:rPr>
          <w:sz w:val="20"/>
        </w:rPr>
        <w:t>El objeto de los contratos del sector público deberá ser determinado. El mismo se podrá definir en atención a las necesidades o funcionalidades concretas que se pretenden satisfacer, sin cerrar el objeto del contrato a una solución única. En especial, se definirán de este modo en aquellos contratos en los que se estime que pueden incorporarse</w:t>
      </w:r>
      <w:r>
        <w:rPr>
          <w:spacing w:val="80"/>
          <w:sz w:val="20"/>
        </w:rPr>
        <w:t xml:space="preserve"> </w:t>
      </w:r>
      <w:r>
        <w:rPr>
          <w:sz w:val="20"/>
        </w:rPr>
        <w:t>innovaciones tecnológicas, sociales o ambientales que mejoren la eficiencia y sostenibilidad de los bienes, obras o servicios que se contraten.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68"/>
        </w:numPr>
        <w:tabs>
          <w:tab w:val="left" w:pos="1676"/>
        </w:tabs>
        <w:spacing w:before="1" w:line="249" w:lineRule="auto"/>
        <w:ind w:right="1104" w:firstLine="340"/>
        <w:jc w:val="both"/>
        <w:rPr>
          <w:sz w:val="20"/>
        </w:rPr>
      </w:pPr>
      <w:r>
        <w:rPr>
          <w:sz w:val="20"/>
        </w:rPr>
        <w:t xml:space="preserve">No podrá fraccionarse un contrato con la finalidad de disminuir la cuantía del mismo y eludir así los requisitos de publicidad o los relativos al procedimiento de adjudicación que </w:t>
      </w:r>
      <w:r>
        <w:rPr>
          <w:spacing w:val="-2"/>
          <w:sz w:val="20"/>
        </w:rPr>
        <w:t>correspondan.</w:t>
      </w:r>
    </w:p>
    <w:p w:rsidR="0092635B" w:rsidRDefault="00000000">
      <w:pPr>
        <w:pStyle w:val="Prrafodelista"/>
        <w:numPr>
          <w:ilvl w:val="0"/>
          <w:numId w:val="268"/>
        </w:numPr>
        <w:tabs>
          <w:tab w:val="left" w:pos="1701"/>
        </w:tabs>
        <w:spacing w:line="249" w:lineRule="auto"/>
        <w:ind w:right="1104" w:firstLine="340"/>
        <w:jc w:val="both"/>
        <w:rPr>
          <w:sz w:val="20"/>
        </w:rPr>
      </w:pPr>
      <w:r>
        <w:rPr>
          <w:sz w:val="20"/>
        </w:rPr>
        <w:t>Siempre que la naturaleza o el objeto del contrato lo permitan, deberá preverse la realización independiente de cada una de sus partes mediante su división en lotes, pudiéndose reservar lotes de conformidad con lo dispuesto en la disposición adicional</w:t>
      </w:r>
      <w:r>
        <w:rPr>
          <w:spacing w:val="80"/>
          <w:sz w:val="20"/>
        </w:rPr>
        <w:t xml:space="preserve"> </w:t>
      </w:r>
      <w:r>
        <w:rPr>
          <w:spacing w:val="-2"/>
          <w:sz w:val="20"/>
        </w:rPr>
        <w:t>cuarta.</w:t>
      </w:r>
    </w:p>
    <w:p w:rsidR="0092635B" w:rsidRDefault="00000000">
      <w:pPr>
        <w:pStyle w:val="Textoindependiente"/>
        <w:spacing w:before="3" w:line="249" w:lineRule="auto"/>
        <w:ind w:right="1105"/>
      </w:pPr>
      <w:r>
        <w:t>No obstante lo anterior, el órgano de contratación podrá no dividir en lotes el objeto del contrato cuando existan motivos válidos, que deberán justificarse debidamente en el expediente, salvo en los casos de contratos de concesión de obras.</w:t>
      </w:r>
    </w:p>
    <w:p w:rsidR="0092635B" w:rsidRDefault="00000000">
      <w:pPr>
        <w:pStyle w:val="Textoindependiente"/>
        <w:spacing w:before="3" w:line="249" w:lineRule="auto"/>
        <w:ind w:right="1103"/>
      </w:pPr>
      <w:r>
        <w:t>En todo caso se considerarán motivos válidos, a efectos de justificar la no división en lotes del objeto del contrato, los siguientes:</w:t>
      </w:r>
    </w:p>
    <w:p w:rsidR="0092635B" w:rsidRDefault="00000000">
      <w:pPr>
        <w:pStyle w:val="Prrafodelista"/>
        <w:numPr>
          <w:ilvl w:val="1"/>
          <w:numId w:val="268"/>
        </w:numPr>
        <w:tabs>
          <w:tab w:val="left" w:pos="1706"/>
        </w:tabs>
        <w:spacing w:before="121" w:line="249" w:lineRule="auto"/>
        <w:ind w:right="1104" w:firstLine="340"/>
        <w:jc w:val="both"/>
        <w:rPr>
          <w:sz w:val="20"/>
        </w:rPr>
      </w:pPr>
      <w:r>
        <w:rPr>
          <w:sz w:val="20"/>
        </w:rPr>
        <w:t>El hecho de que la división en lotes del objeto del contrato conllevase el riesgo de restringir injustificadamente la competencia. A los efectos de aplicar este criterio, el órgano de contratación deberá solicitar informe previo a la autoridad de defensa de la competencia correspondiente para que se pronuncie sobre la apreciación de dicha circunstancia.</w:t>
      </w:r>
    </w:p>
    <w:p w:rsidR="0092635B" w:rsidRDefault="00000000">
      <w:pPr>
        <w:pStyle w:val="Prrafodelista"/>
        <w:numPr>
          <w:ilvl w:val="1"/>
          <w:numId w:val="268"/>
        </w:numPr>
        <w:tabs>
          <w:tab w:val="left" w:pos="1777"/>
        </w:tabs>
        <w:spacing w:before="4" w:line="249" w:lineRule="auto"/>
        <w:ind w:firstLine="340"/>
        <w:jc w:val="both"/>
        <w:rPr>
          <w:sz w:val="20"/>
        </w:rPr>
      </w:pPr>
      <w:r>
        <w:rPr>
          <w:sz w:val="20"/>
        </w:rPr>
        <w:t>El hecho de que, la realización independiente de las diversas prestaciones comprendidas en el objeto del contrato dificultara la correcta ejecución del mismo desde el punto de vista técnico; o bien que el riesgo para la correcta ejecución del contrato proceda</w:t>
      </w:r>
      <w:r>
        <w:rPr>
          <w:spacing w:val="40"/>
          <w:sz w:val="20"/>
        </w:rPr>
        <w:t xml:space="preserve"> </w:t>
      </w:r>
      <w:r>
        <w:rPr>
          <w:sz w:val="20"/>
        </w:rPr>
        <w:t>de la naturaleza del objeto del mismo, al implicar la necesidad de coordinar la ejecución de las diferentes prestaciones, cuestión que podría verse imposibilitada por su división en lotes</w:t>
      </w:r>
      <w:r>
        <w:rPr>
          <w:spacing w:val="40"/>
          <w:sz w:val="20"/>
        </w:rPr>
        <w:t xml:space="preserve"> </w:t>
      </w:r>
      <w:r>
        <w:rPr>
          <w:sz w:val="20"/>
        </w:rPr>
        <w:t>y</w:t>
      </w:r>
      <w:r>
        <w:rPr>
          <w:spacing w:val="-3"/>
          <w:sz w:val="20"/>
        </w:rPr>
        <w:t xml:space="preserve"> </w:t>
      </w:r>
      <w:r>
        <w:rPr>
          <w:sz w:val="20"/>
        </w:rPr>
        <w:t>ejecución</w:t>
      </w:r>
      <w:r>
        <w:rPr>
          <w:spacing w:val="-3"/>
          <w:sz w:val="20"/>
        </w:rPr>
        <w:t xml:space="preserve"> </w:t>
      </w:r>
      <w:r>
        <w:rPr>
          <w:sz w:val="20"/>
        </w:rPr>
        <w:t>por</w:t>
      </w:r>
      <w:r>
        <w:rPr>
          <w:spacing w:val="-3"/>
          <w:sz w:val="20"/>
        </w:rPr>
        <w:t xml:space="preserve"> </w:t>
      </w:r>
      <w:r>
        <w:rPr>
          <w:sz w:val="20"/>
        </w:rPr>
        <w:t>una</w:t>
      </w:r>
      <w:r>
        <w:rPr>
          <w:spacing w:val="-3"/>
          <w:sz w:val="20"/>
        </w:rPr>
        <w:t xml:space="preserve"> </w:t>
      </w:r>
      <w:r>
        <w:rPr>
          <w:sz w:val="20"/>
        </w:rPr>
        <w:t>pluralidad</w:t>
      </w:r>
      <w:r>
        <w:rPr>
          <w:spacing w:val="-3"/>
          <w:sz w:val="20"/>
        </w:rPr>
        <w:t xml:space="preserve"> </w:t>
      </w:r>
      <w:r>
        <w:rPr>
          <w:sz w:val="20"/>
        </w:rPr>
        <w:t>de</w:t>
      </w:r>
      <w:r>
        <w:rPr>
          <w:spacing w:val="-3"/>
          <w:sz w:val="20"/>
        </w:rPr>
        <w:t xml:space="preserve"> </w:t>
      </w:r>
      <w:r>
        <w:rPr>
          <w:sz w:val="20"/>
        </w:rPr>
        <w:t>contratistas</w:t>
      </w:r>
      <w:r>
        <w:rPr>
          <w:spacing w:val="-3"/>
          <w:sz w:val="20"/>
        </w:rPr>
        <w:t xml:space="preserve"> </w:t>
      </w:r>
      <w:r>
        <w:rPr>
          <w:sz w:val="20"/>
        </w:rPr>
        <w:t>diferentes.</w:t>
      </w:r>
      <w:r>
        <w:rPr>
          <w:spacing w:val="-3"/>
          <w:sz w:val="20"/>
        </w:rPr>
        <w:t xml:space="preserve"> </w:t>
      </w:r>
      <w:r>
        <w:rPr>
          <w:sz w:val="20"/>
        </w:rPr>
        <w:t>Ambos</w:t>
      </w:r>
      <w:r>
        <w:rPr>
          <w:spacing w:val="-3"/>
          <w:sz w:val="20"/>
        </w:rPr>
        <w:t xml:space="preserve"> </w:t>
      </w:r>
      <w:r>
        <w:rPr>
          <w:sz w:val="20"/>
        </w:rPr>
        <w:t>extremos</w:t>
      </w:r>
      <w:r>
        <w:rPr>
          <w:spacing w:val="-3"/>
          <w:sz w:val="20"/>
        </w:rPr>
        <w:t xml:space="preserve"> </w:t>
      </w:r>
      <w:r>
        <w:rPr>
          <w:sz w:val="20"/>
        </w:rPr>
        <w:t>deberán</w:t>
      </w:r>
      <w:r>
        <w:rPr>
          <w:spacing w:val="-3"/>
          <w:sz w:val="20"/>
        </w:rPr>
        <w:t xml:space="preserve"> </w:t>
      </w:r>
      <w:r>
        <w:rPr>
          <w:sz w:val="20"/>
        </w:rPr>
        <w:t>ser,</w:t>
      </w:r>
      <w:r>
        <w:rPr>
          <w:spacing w:val="-3"/>
          <w:sz w:val="20"/>
        </w:rPr>
        <w:t xml:space="preserve"> </w:t>
      </w:r>
      <w:r>
        <w:rPr>
          <w:sz w:val="20"/>
        </w:rPr>
        <w:t>en</w:t>
      </w:r>
      <w:r>
        <w:rPr>
          <w:spacing w:val="-3"/>
          <w:sz w:val="20"/>
        </w:rPr>
        <w:t xml:space="preserve"> </w:t>
      </w:r>
      <w:r>
        <w:rPr>
          <w:sz w:val="20"/>
        </w:rPr>
        <w:t>su caso, justificados debidamente en el expediente.</w:t>
      </w:r>
    </w:p>
    <w:p w:rsidR="0092635B" w:rsidRDefault="00000000">
      <w:pPr>
        <w:pStyle w:val="Prrafodelista"/>
        <w:numPr>
          <w:ilvl w:val="0"/>
          <w:numId w:val="268"/>
        </w:numPr>
        <w:tabs>
          <w:tab w:val="left" w:pos="1726"/>
        </w:tabs>
        <w:spacing w:before="126" w:line="249" w:lineRule="auto"/>
        <w:ind w:firstLine="340"/>
        <w:jc w:val="both"/>
        <w:rPr>
          <w:sz w:val="20"/>
        </w:rPr>
      </w:pPr>
      <w:r>
        <w:rPr>
          <w:sz w:val="20"/>
        </w:rPr>
        <w:t xml:space="preserve">Cuando el órgano de contratación proceda a la división en lotes del objeto del contrato, este podrá introducir las siguientes limitaciones, justificándolas debidamente en el </w:t>
      </w:r>
      <w:r>
        <w:rPr>
          <w:spacing w:val="-2"/>
          <w:sz w:val="20"/>
        </w:rPr>
        <w:t>expediente:</w:t>
      </w:r>
    </w:p>
    <w:p w:rsidR="0092635B" w:rsidRDefault="00000000">
      <w:pPr>
        <w:pStyle w:val="Prrafodelista"/>
        <w:numPr>
          <w:ilvl w:val="1"/>
          <w:numId w:val="268"/>
        </w:numPr>
        <w:tabs>
          <w:tab w:val="left" w:pos="1702"/>
        </w:tabs>
        <w:spacing w:before="122" w:line="249" w:lineRule="auto"/>
        <w:ind w:right="1106" w:firstLine="340"/>
        <w:jc w:val="both"/>
        <w:rPr>
          <w:sz w:val="20"/>
        </w:rPr>
      </w:pPr>
      <w:r>
        <w:rPr>
          <w:sz w:val="20"/>
        </w:rPr>
        <w:t>Podrá limitar el número de lotes para los que un mismo candidato o licitador puede presentar oferta.</w:t>
      </w:r>
    </w:p>
    <w:p w:rsidR="0092635B" w:rsidRDefault="00000000">
      <w:pPr>
        <w:pStyle w:val="Prrafodelista"/>
        <w:numPr>
          <w:ilvl w:val="1"/>
          <w:numId w:val="268"/>
        </w:numPr>
        <w:tabs>
          <w:tab w:val="left" w:pos="1679"/>
        </w:tabs>
        <w:ind w:left="1679" w:right="0" w:hanging="233"/>
        <w:rPr>
          <w:sz w:val="20"/>
        </w:rPr>
      </w:pPr>
      <w:r>
        <w:rPr>
          <w:sz w:val="20"/>
        </w:rPr>
        <w:t>También</w:t>
      </w:r>
      <w:r>
        <w:rPr>
          <w:spacing w:val="-7"/>
          <w:sz w:val="20"/>
        </w:rPr>
        <w:t xml:space="preserve"> </w:t>
      </w:r>
      <w:r>
        <w:rPr>
          <w:sz w:val="20"/>
        </w:rPr>
        <w:t>podrá</w:t>
      </w:r>
      <w:r>
        <w:rPr>
          <w:spacing w:val="-5"/>
          <w:sz w:val="20"/>
        </w:rPr>
        <w:t xml:space="preserve"> </w:t>
      </w:r>
      <w:r>
        <w:rPr>
          <w:sz w:val="20"/>
        </w:rPr>
        <w:t>limitar</w:t>
      </w:r>
      <w:r>
        <w:rPr>
          <w:spacing w:val="-5"/>
          <w:sz w:val="20"/>
        </w:rPr>
        <w:t xml:space="preserve"> </w:t>
      </w:r>
      <w:r>
        <w:rPr>
          <w:sz w:val="20"/>
        </w:rPr>
        <w:t>el</w:t>
      </w:r>
      <w:r>
        <w:rPr>
          <w:spacing w:val="-5"/>
          <w:sz w:val="20"/>
        </w:rPr>
        <w:t xml:space="preserve"> </w:t>
      </w:r>
      <w:r>
        <w:rPr>
          <w:sz w:val="20"/>
        </w:rPr>
        <w:t>número</w:t>
      </w:r>
      <w:r>
        <w:rPr>
          <w:spacing w:val="-5"/>
          <w:sz w:val="20"/>
        </w:rPr>
        <w:t xml:space="preserve"> </w:t>
      </w:r>
      <w:r>
        <w:rPr>
          <w:sz w:val="20"/>
        </w:rPr>
        <w:t>de</w:t>
      </w:r>
      <w:r>
        <w:rPr>
          <w:spacing w:val="-5"/>
          <w:sz w:val="20"/>
        </w:rPr>
        <w:t xml:space="preserve"> </w:t>
      </w:r>
      <w:r>
        <w:rPr>
          <w:sz w:val="20"/>
        </w:rPr>
        <w:t>lotes</w:t>
      </w:r>
      <w:r>
        <w:rPr>
          <w:spacing w:val="-5"/>
          <w:sz w:val="20"/>
        </w:rPr>
        <w:t xml:space="preserve"> </w:t>
      </w:r>
      <w:r>
        <w:rPr>
          <w:sz w:val="20"/>
        </w:rPr>
        <w:t>que</w:t>
      </w:r>
      <w:r>
        <w:rPr>
          <w:spacing w:val="-5"/>
          <w:sz w:val="20"/>
        </w:rPr>
        <w:t xml:space="preserve"> </w:t>
      </w:r>
      <w:r>
        <w:rPr>
          <w:sz w:val="20"/>
        </w:rPr>
        <w:t>pueden</w:t>
      </w:r>
      <w:r>
        <w:rPr>
          <w:spacing w:val="-5"/>
          <w:sz w:val="20"/>
        </w:rPr>
        <w:t xml:space="preserve"> </w:t>
      </w:r>
      <w:r>
        <w:rPr>
          <w:sz w:val="20"/>
        </w:rPr>
        <w:t>adjudicarse</w:t>
      </w:r>
      <w:r>
        <w:rPr>
          <w:spacing w:val="-5"/>
          <w:sz w:val="20"/>
        </w:rPr>
        <w:t xml:space="preserve"> </w:t>
      </w:r>
      <w:r>
        <w:rPr>
          <w:sz w:val="20"/>
        </w:rPr>
        <w:t>a</w:t>
      </w:r>
      <w:r>
        <w:rPr>
          <w:spacing w:val="-5"/>
          <w:sz w:val="20"/>
        </w:rPr>
        <w:t xml:space="preserve"> </w:t>
      </w:r>
      <w:r>
        <w:rPr>
          <w:sz w:val="20"/>
        </w:rPr>
        <w:t>cada</w:t>
      </w:r>
      <w:r>
        <w:rPr>
          <w:spacing w:val="-4"/>
          <w:sz w:val="20"/>
        </w:rPr>
        <w:t xml:space="preserve"> </w:t>
      </w:r>
      <w:r>
        <w:rPr>
          <w:spacing w:val="-2"/>
          <w:sz w:val="20"/>
        </w:rPr>
        <w:t>licitador.</w:t>
      </w:r>
    </w:p>
    <w:p w:rsidR="0092635B" w:rsidRDefault="00000000">
      <w:pPr>
        <w:pStyle w:val="Textoindependiente"/>
        <w:spacing w:before="130" w:line="249" w:lineRule="auto"/>
        <w:ind w:right="1104"/>
      </w:pPr>
      <w:r>
        <w:t>Cuando el órgano de contratación considere oportuno introducir alguna de las dos limitaciones a que se refieren las letras a) y b) anteriores, así deberá indicarlo expresamente en el anuncio de licitación y en el pliego de cláusulas administrativas particulares.</w:t>
      </w:r>
    </w:p>
    <w:p w:rsidR="0092635B" w:rsidRDefault="00000000">
      <w:pPr>
        <w:pStyle w:val="Textoindependiente"/>
        <w:spacing w:line="249" w:lineRule="auto"/>
        <w:ind w:right="1104"/>
      </w:pPr>
      <w:r>
        <w:t>Cuando se introduzca la limitación a que se refiere la letra b) anterior, además deberán incluirse</w:t>
      </w:r>
      <w:r>
        <w:rPr>
          <w:spacing w:val="-3"/>
        </w:rPr>
        <w:t xml:space="preserve"> </w:t>
      </w:r>
      <w:r>
        <w:t>en</w:t>
      </w:r>
      <w:r>
        <w:rPr>
          <w:spacing w:val="-3"/>
        </w:rPr>
        <w:t xml:space="preserve"> </w:t>
      </w:r>
      <w:r>
        <w:t>los</w:t>
      </w:r>
      <w:r>
        <w:rPr>
          <w:spacing w:val="-3"/>
        </w:rPr>
        <w:t xml:space="preserve"> </w:t>
      </w:r>
      <w:r>
        <w:t>pliegos</w:t>
      </w:r>
      <w:r>
        <w:rPr>
          <w:spacing w:val="-3"/>
        </w:rPr>
        <w:t xml:space="preserve"> </w:t>
      </w:r>
      <w:r>
        <w:t>de</w:t>
      </w:r>
      <w:r>
        <w:rPr>
          <w:spacing w:val="-3"/>
        </w:rPr>
        <w:t xml:space="preserve"> </w:t>
      </w:r>
      <w:r>
        <w:t>cláusulas</w:t>
      </w:r>
      <w:r>
        <w:rPr>
          <w:spacing w:val="-3"/>
        </w:rPr>
        <w:t xml:space="preserve"> </w:t>
      </w:r>
      <w:r>
        <w:t>administrativas</w:t>
      </w:r>
      <w:r>
        <w:rPr>
          <w:spacing w:val="-3"/>
        </w:rPr>
        <w:t xml:space="preserve"> </w:t>
      </w:r>
      <w:r>
        <w:t>particulares</w:t>
      </w:r>
      <w:r>
        <w:rPr>
          <w:spacing w:val="-3"/>
        </w:rPr>
        <w:t xml:space="preserve"> </w:t>
      </w:r>
      <w:r>
        <w:t>los</w:t>
      </w:r>
      <w:r>
        <w:rPr>
          <w:spacing w:val="-3"/>
        </w:rPr>
        <w:t xml:space="preserve"> </w:t>
      </w:r>
      <w:r>
        <w:t>criterios</w:t>
      </w:r>
      <w:r>
        <w:rPr>
          <w:spacing w:val="-3"/>
        </w:rPr>
        <w:t xml:space="preserve"> </w:t>
      </w:r>
      <w:r>
        <w:t>o</w:t>
      </w:r>
      <w:r>
        <w:rPr>
          <w:spacing w:val="-3"/>
        </w:rPr>
        <w:t xml:space="preserve"> </w:t>
      </w:r>
      <w:r>
        <w:t>normas</w:t>
      </w:r>
      <w:r>
        <w:rPr>
          <w:spacing w:val="-3"/>
        </w:rPr>
        <w:t xml:space="preserve"> </w:t>
      </w:r>
      <w:r>
        <w:t>que</w:t>
      </w:r>
      <w:r>
        <w:rPr>
          <w:spacing w:val="-3"/>
        </w:rPr>
        <w:t xml:space="preserve"> </w:t>
      </w:r>
      <w:r>
        <w:t>se aplicarán cuando, como consecuencia de la aplicación de los criterios de adjudicación, un licitador pueda resultar adjudicatario de un número de lotes que exceda el máximo indicado en el anuncio y en el pliego. Estos criterios o normas en todo caso deberán ser objetivos y</w:t>
      </w:r>
      <w:r>
        <w:rPr>
          <w:spacing w:val="80"/>
        </w:rPr>
        <w:t xml:space="preserve"> </w:t>
      </w:r>
      <w:r>
        <w:t>no discriminatorios.</w:t>
      </w:r>
    </w:p>
    <w:p w:rsidR="0092635B" w:rsidRDefault="00000000">
      <w:pPr>
        <w:pStyle w:val="Textoindependiente"/>
        <w:spacing w:before="5" w:line="249" w:lineRule="auto"/>
        <w:ind w:right="1102"/>
      </w:pPr>
      <w:r>
        <w:t>Salvo</w:t>
      </w:r>
      <w:r>
        <w:rPr>
          <w:spacing w:val="-2"/>
        </w:rPr>
        <w:t xml:space="preserve"> </w:t>
      </w:r>
      <w:r>
        <w:t>lo</w:t>
      </w:r>
      <w:r>
        <w:rPr>
          <w:spacing w:val="-2"/>
        </w:rPr>
        <w:t xml:space="preserve"> </w:t>
      </w:r>
      <w:r>
        <w:t>que</w:t>
      </w:r>
      <w:r>
        <w:rPr>
          <w:spacing w:val="-2"/>
        </w:rPr>
        <w:t xml:space="preserve"> </w:t>
      </w:r>
      <w:r>
        <w:t>disponga</w:t>
      </w:r>
      <w:r>
        <w:rPr>
          <w:spacing w:val="-2"/>
        </w:rPr>
        <w:t xml:space="preserve"> </w:t>
      </w:r>
      <w:r>
        <w:t>el</w:t>
      </w:r>
      <w:r>
        <w:rPr>
          <w:spacing w:val="-2"/>
        </w:rPr>
        <w:t xml:space="preserve"> </w:t>
      </w:r>
      <w:r>
        <w:t>pliego</w:t>
      </w:r>
      <w:r>
        <w:rPr>
          <w:spacing w:val="-2"/>
        </w:rPr>
        <w:t xml:space="preserve"> </w:t>
      </w:r>
      <w:r>
        <w:t>de</w:t>
      </w:r>
      <w:r>
        <w:rPr>
          <w:spacing w:val="-2"/>
        </w:rPr>
        <w:t xml:space="preserve"> </w:t>
      </w:r>
      <w:r>
        <w:t>cláusulas</w:t>
      </w:r>
      <w:r>
        <w:rPr>
          <w:spacing w:val="-2"/>
        </w:rPr>
        <w:t xml:space="preserve"> </w:t>
      </w:r>
      <w:r>
        <w:t>administrativas</w:t>
      </w:r>
      <w:r>
        <w:rPr>
          <w:spacing w:val="-2"/>
        </w:rPr>
        <w:t xml:space="preserve"> </w:t>
      </w:r>
      <w:r>
        <w:t>particulares,</w:t>
      </w:r>
      <w:r>
        <w:rPr>
          <w:spacing w:val="-2"/>
        </w:rPr>
        <w:t xml:space="preserve"> </w:t>
      </w:r>
      <w:r>
        <w:t>a</w:t>
      </w:r>
      <w:r>
        <w:rPr>
          <w:spacing w:val="-2"/>
        </w:rPr>
        <w:t xml:space="preserve"> </w:t>
      </w:r>
      <w:r>
        <w:t>efectos</w:t>
      </w:r>
      <w:r>
        <w:rPr>
          <w:spacing w:val="-2"/>
        </w:rPr>
        <w:t xml:space="preserve"> </w:t>
      </w:r>
      <w:r>
        <w:t>de</w:t>
      </w:r>
      <w:r>
        <w:rPr>
          <w:spacing w:val="-2"/>
        </w:rPr>
        <w:t xml:space="preserve"> </w:t>
      </w:r>
      <w:r>
        <w:t>las limitaciones previstas en las letras a) y b) anteriores, en las uniones de empresarios serán estas y no sus componentes las consideradas candidato o licitador.</w:t>
      </w:r>
    </w:p>
    <w:p w:rsidR="0092635B" w:rsidRDefault="00000000">
      <w:pPr>
        <w:pStyle w:val="Textoindependiente"/>
        <w:spacing w:line="249" w:lineRule="auto"/>
        <w:ind w:right="1103"/>
      </w:pPr>
      <w:r>
        <w:t>Podrá reservar alguno o algunos de los lotes para Centros Especiales de Empleo o para empresas de inserción, o un porcentaje mínimo de reserva de la ejecución de estos</w:t>
      </w:r>
      <w:r>
        <w:rPr>
          <w:spacing w:val="40"/>
        </w:rPr>
        <w:t xml:space="preserve"> </w:t>
      </w:r>
      <w:r>
        <w:t>contratos en el marco de programas de empleo protegido, de conformidad con lo dispuesto en la Disposición adicional cuarta. Igualmente se podrán reservar lotes a favor de las entidades a que se refiere la Disposición adicional cuadragésima octava, en las condiciones establecidas en la citada disposición.</w:t>
      </w:r>
    </w:p>
    <w:p w:rsidR="0092635B" w:rsidRDefault="00000000">
      <w:pPr>
        <w:pStyle w:val="Prrafodelista"/>
        <w:numPr>
          <w:ilvl w:val="0"/>
          <w:numId w:val="268"/>
        </w:numPr>
        <w:tabs>
          <w:tab w:val="left" w:pos="1679"/>
        </w:tabs>
        <w:spacing w:before="5" w:line="249" w:lineRule="auto"/>
        <w:ind w:right="1104" w:firstLine="340"/>
        <w:jc w:val="both"/>
        <w:rPr>
          <w:sz w:val="20"/>
        </w:rPr>
      </w:pPr>
      <w:r>
        <w:rPr>
          <w:sz w:val="20"/>
        </w:rPr>
        <w:t>Cuando el órgano de contratación hubiera decidido proceder a la división en lotes del objeto del contrato y, además, permitir que pueda adjudicarse más de un lote al mismo licitador, aquel podrá adjudicar a una oferta integradora, siempre y cuando se cumplan todos y cada uno de los requisitos siguientes:</w:t>
      </w:r>
    </w:p>
    <w:p w:rsidR="0092635B" w:rsidRDefault="00000000">
      <w:pPr>
        <w:pStyle w:val="Prrafodelista"/>
        <w:numPr>
          <w:ilvl w:val="1"/>
          <w:numId w:val="268"/>
        </w:numPr>
        <w:tabs>
          <w:tab w:val="left" w:pos="1681"/>
        </w:tabs>
        <w:spacing w:before="124" w:line="249" w:lineRule="auto"/>
        <w:ind w:right="1106" w:firstLine="340"/>
        <w:jc w:val="both"/>
        <w:rPr>
          <w:sz w:val="20"/>
        </w:rPr>
      </w:pPr>
      <w:r>
        <w:rPr>
          <w:sz w:val="20"/>
        </w:rPr>
        <w:t>Que</w:t>
      </w:r>
      <w:r>
        <w:rPr>
          <w:spacing w:val="-1"/>
          <w:sz w:val="20"/>
        </w:rPr>
        <w:t xml:space="preserve"> </w:t>
      </w:r>
      <w:r>
        <w:rPr>
          <w:sz w:val="20"/>
        </w:rPr>
        <w:t>esta</w:t>
      </w:r>
      <w:r>
        <w:rPr>
          <w:spacing w:val="-1"/>
          <w:sz w:val="20"/>
        </w:rPr>
        <w:t xml:space="preserve"> </w:t>
      </w:r>
      <w:r>
        <w:rPr>
          <w:sz w:val="20"/>
        </w:rPr>
        <w:t>posibilidad</w:t>
      </w:r>
      <w:r>
        <w:rPr>
          <w:spacing w:val="-1"/>
          <w:sz w:val="20"/>
        </w:rPr>
        <w:t xml:space="preserve"> </w:t>
      </w:r>
      <w:r>
        <w:rPr>
          <w:sz w:val="20"/>
        </w:rPr>
        <w:t>se</w:t>
      </w:r>
      <w:r>
        <w:rPr>
          <w:spacing w:val="-1"/>
          <w:sz w:val="20"/>
        </w:rPr>
        <w:t xml:space="preserve"> </w:t>
      </w:r>
      <w:r>
        <w:rPr>
          <w:sz w:val="20"/>
        </w:rPr>
        <w:t>hubiere</w:t>
      </w:r>
      <w:r>
        <w:rPr>
          <w:spacing w:val="-1"/>
          <w:sz w:val="20"/>
        </w:rPr>
        <w:t xml:space="preserve"> </w:t>
      </w:r>
      <w:r>
        <w:rPr>
          <w:sz w:val="20"/>
        </w:rPr>
        <w:t>establecido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pliego</w:t>
      </w:r>
      <w:r>
        <w:rPr>
          <w:spacing w:val="-1"/>
          <w:sz w:val="20"/>
        </w:rPr>
        <w:t xml:space="preserve"> </w:t>
      </w:r>
      <w:r>
        <w:rPr>
          <w:sz w:val="20"/>
        </w:rPr>
        <w:t>que</w:t>
      </w:r>
      <w:r>
        <w:rPr>
          <w:spacing w:val="-1"/>
          <w:sz w:val="20"/>
        </w:rPr>
        <w:t xml:space="preserve"> </w:t>
      </w:r>
      <w:r>
        <w:rPr>
          <w:sz w:val="20"/>
        </w:rPr>
        <w:t>rija</w:t>
      </w:r>
      <w:r>
        <w:rPr>
          <w:spacing w:val="-1"/>
          <w:sz w:val="20"/>
        </w:rPr>
        <w:t xml:space="preserve"> </w:t>
      </w:r>
      <w:r>
        <w:rPr>
          <w:sz w:val="20"/>
        </w:rPr>
        <w:t>el</w:t>
      </w:r>
      <w:r>
        <w:rPr>
          <w:spacing w:val="-1"/>
          <w:sz w:val="20"/>
        </w:rPr>
        <w:t xml:space="preserve"> </w:t>
      </w:r>
      <w:r>
        <w:rPr>
          <w:sz w:val="20"/>
        </w:rPr>
        <w:t>contrato</w:t>
      </w:r>
      <w:r>
        <w:rPr>
          <w:spacing w:val="-1"/>
          <w:sz w:val="20"/>
        </w:rPr>
        <w:t xml:space="preserve"> </w:t>
      </w:r>
      <w:r>
        <w:rPr>
          <w:sz w:val="20"/>
        </w:rPr>
        <w:t>y</w:t>
      </w:r>
      <w:r>
        <w:rPr>
          <w:spacing w:val="-1"/>
          <w:sz w:val="20"/>
        </w:rPr>
        <w:t xml:space="preserve"> </w:t>
      </w:r>
      <w:r>
        <w:rPr>
          <w:sz w:val="20"/>
        </w:rPr>
        <w:t>se</w:t>
      </w:r>
      <w:r>
        <w:rPr>
          <w:spacing w:val="-1"/>
          <w:sz w:val="20"/>
        </w:rPr>
        <w:t xml:space="preserve"> </w:t>
      </w:r>
      <w:r>
        <w:rPr>
          <w:sz w:val="20"/>
        </w:rPr>
        <w:t>recoja en el anuncio de licitación. Dicha previsión deberá concretar la combinación o</w:t>
      </w:r>
      <w:r>
        <w:rPr>
          <w:spacing w:val="40"/>
          <w:sz w:val="20"/>
        </w:rPr>
        <w:t xml:space="preserve"> </w:t>
      </w:r>
      <w:r>
        <w:rPr>
          <w:sz w:val="20"/>
        </w:rPr>
        <w:t>combinaciones que se admitirá, en su caso, así como la solvencia y capacidad exigida en cada una de ellas.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68"/>
        </w:numPr>
        <w:tabs>
          <w:tab w:val="left" w:pos="1679"/>
        </w:tabs>
        <w:spacing w:before="1"/>
        <w:ind w:left="1679" w:right="0" w:hanging="233"/>
        <w:jc w:val="both"/>
        <w:rPr>
          <w:sz w:val="20"/>
        </w:rPr>
      </w:pPr>
      <w:r>
        <w:rPr>
          <w:sz w:val="20"/>
        </w:rPr>
        <w:t>Que</w:t>
      </w:r>
      <w:r>
        <w:rPr>
          <w:spacing w:val="-2"/>
          <w:sz w:val="20"/>
        </w:rPr>
        <w:t xml:space="preserve"> </w:t>
      </w:r>
      <w:r>
        <w:rPr>
          <w:sz w:val="20"/>
        </w:rPr>
        <w:t>se</w:t>
      </w:r>
      <w:r>
        <w:rPr>
          <w:spacing w:val="-2"/>
          <w:sz w:val="20"/>
        </w:rPr>
        <w:t xml:space="preserve"> </w:t>
      </w:r>
      <w:r>
        <w:rPr>
          <w:sz w:val="20"/>
        </w:rPr>
        <w:t>trate</w:t>
      </w:r>
      <w:r>
        <w:rPr>
          <w:spacing w:val="-1"/>
          <w:sz w:val="20"/>
        </w:rPr>
        <w:t xml:space="preserve"> </w:t>
      </w:r>
      <w:r>
        <w:rPr>
          <w:sz w:val="20"/>
        </w:rPr>
        <w:t>de</w:t>
      </w:r>
      <w:r>
        <w:rPr>
          <w:spacing w:val="-2"/>
          <w:sz w:val="20"/>
        </w:rPr>
        <w:t xml:space="preserve"> </w:t>
      </w:r>
      <w:r>
        <w:rPr>
          <w:sz w:val="20"/>
        </w:rPr>
        <w:t>supuestos</w:t>
      </w:r>
      <w:r>
        <w:rPr>
          <w:spacing w:val="-2"/>
          <w:sz w:val="20"/>
        </w:rPr>
        <w:t xml:space="preserve"> </w:t>
      </w:r>
      <w:r>
        <w:rPr>
          <w:sz w:val="20"/>
        </w:rPr>
        <w:t>en</w:t>
      </w:r>
      <w:r>
        <w:rPr>
          <w:spacing w:val="-1"/>
          <w:sz w:val="20"/>
        </w:rPr>
        <w:t xml:space="preserve"> </w:t>
      </w:r>
      <w:r>
        <w:rPr>
          <w:sz w:val="20"/>
        </w:rPr>
        <w:t>que</w:t>
      </w:r>
      <w:r>
        <w:rPr>
          <w:spacing w:val="-2"/>
          <w:sz w:val="20"/>
        </w:rPr>
        <w:t xml:space="preserve"> </w:t>
      </w:r>
      <w:r>
        <w:rPr>
          <w:sz w:val="20"/>
        </w:rPr>
        <w:t>existan</w:t>
      </w:r>
      <w:r>
        <w:rPr>
          <w:spacing w:val="-2"/>
          <w:sz w:val="20"/>
        </w:rPr>
        <w:t xml:space="preserve"> </w:t>
      </w:r>
      <w:r>
        <w:rPr>
          <w:sz w:val="20"/>
        </w:rPr>
        <w:t>varios</w:t>
      </w:r>
      <w:r>
        <w:rPr>
          <w:spacing w:val="-1"/>
          <w:sz w:val="20"/>
        </w:rPr>
        <w:t xml:space="preserve"> </w:t>
      </w:r>
      <w:r>
        <w:rPr>
          <w:sz w:val="20"/>
        </w:rPr>
        <w:t>criterios</w:t>
      </w:r>
      <w:r>
        <w:rPr>
          <w:spacing w:val="-2"/>
          <w:sz w:val="20"/>
        </w:rPr>
        <w:t xml:space="preserve"> </w:t>
      </w:r>
      <w:r>
        <w:rPr>
          <w:sz w:val="20"/>
        </w:rPr>
        <w:t>de</w:t>
      </w:r>
      <w:r>
        <w:rPr>
          <w:spacing w:val="-1"/>
          <w:sz w:val="20"/>
        </w:rPr>
        <w:t xml:space="preserve"> </w:t>
      </w:r>
      <w:r>
        <w:rPr>
          <w:spacing w:val="-2"/>
          <w:sz w:val="20"/>
        </w:rPr>
        <w:t>adjudicación.</w:t>
      </w:r>
    </w:p>
    <w:p w:rsidR="0092635B" w:rsidRDefault="00000000">
      <w:pPr>
        <w:pStyle w:val="Prrafodelista"/>
        <w:numPr>
          <w:ilvl w:val="1"/>
          <w:numId w:val="268"/>
        </w:numPr>
        <w:tabs>
          <w:tab w:val="left" w:pos="1688"/>
        </w:tabs>
        <w:spacing w:before="10" w:line="249" w:lineRule="auto"/>
        <w:ind w:firstLine="340"/>
        <w:jc w:val="both"/>
        <w:rPr>
          <w:sz w:val="20"/>
        </w:rPr>
      </w:pPr>
      <w:r>
        <w:rPr>
          <w:sz w:val="20"/>
        </w:rPr>
        <w:t>Que previamente se lleve a cabo una evaluación comparativa para determinar si las ofertas presentadas por un licitador concreto para una combinación particular de lotes cumpliría mejor, en conjunto, los criterios de adjudicación establecidos en el pliego con respecto a dichos lotes, que las ofertas presentadas para los lotes separados de que se</w:t>
      </w:r>
      <w:r>
        <w:rPr>
          <w:spacing w:val="40"/>
          <w:sz w:val="20"/>
        </w:rPr>
        <w:t xml:space="preserve"> </w:t>
      </w:r>
      <w:r>
        <w:rPr>
          <w:sz w:val="20"/>
        </w:rPr>
        <w:t>trate, considerados aisladamente.</w:t>
      </w:r>
    </w:p>
    <w:p w:rsidR="0092635B" w:rsidRDefault="00000000">
      <w:pPr>
        <w:pStyle w:val="Prrafodelista"/>
        <w:numPr>
          <w:ilvl w:val="1"/>
          <w:numId w:val="268"/>
        </w:numPr>
        <w:tabs>
          <w:tab w:val="left" w:pos="1782"/>
        </w:tabs>
        <w:spacing w:before="4" w:line="249" w:lineRule="auto"/>
        <w:ind w:right="1104" w:firstLine="340"/>
        <w:jc w:val="both"/>
        <w:rPr>
          <w:sz w:val="20"/>
        </w:rPr>
      </w:pPr>
      <w:r>
        <w:rPr>
          <w:sz w:val="20"/>
        </w:rPr>
        <w:t>Que los empresarios acrediten la solvencia económica, financiera y técnica correspondiente, o, en su caso, la clasificación, al conjunto de lotes por los que licite.</w:t>
      </w:r>
    </w:p>
    <w:p w:rsidR="0092635B" w:rsidRDefault="00000000">
      <w:pPr>
        <w:pStyle w:val="Prrafodelista"/>
        <w:numPr>
          <w:ilvl w:val="0"/>
          <w:numId w:val="268"/>
        </w:numPr>
        <w:tabs>
          <w:tab w:val="left" w:pos="1675"/>
        </w:tabs>
        <w:spacing w:before="121" w:line="249" w:lineRule="auto"/>
        <w:ind w:right="1105" w:firstLine="340"/>
        <w:jc w:val="both"/>
        <w:rPr>
          <w:sz w:val="20"/>
        </w:rPr>
      </w:pPr>
      <w:r>
        <w:rPr>
          <w:sz w:val="20"/>
        </w:rPr>
        <w:t>Cuando se proceda a la división en lotes, las normas procedimentales y de publicidad que deben aplicarse en la adjudicación de cada lote o prestación diferenciada se determinarán</w:t>
      </w:r>
      <w:r>
        <w:rPr>
          <w:spacing w:val="-1"/>
          <w:sz w:val="20"/>
        </w:rPr>
        <w:t xml:space="preserve"> </w:t>
      </w:r>
      <w:r>
        <w:rPr>
          <w:sz w:val="20"/>
        </w:rPr>
        <w:t>en</w:t>
      </w:r>
      <w:r>
        <w:rPr>
          <w:spacing w:val="-1"/>
          <w:sz w:val="20"/>
        </w:rPr>
        <w:t xml:space="preserve"> </w:t>
      </w:r>
      <w:r>
        <w:rPr>
          <w:sz w:val="20"/>
        </w:rPr>
        <w:t>función</w:t>
      </w:r>
      <w:r>
        <w:rPr>
          <w:spacing w:val="-1"/>
          <w:sz w:val="20"/>
        </w:rPr>
        <w:t xml:space="preserve"> </w:t>
      </w:r>
      <w:r>
        <w:rPr>
          <w:sz w:val="20"/>
        </w:rPr>
        <w:t>del</w:t>
      </w:r>
      <w:r>
        <w:rPr>
          <w:spacing w:val="-1"/>
          <w:sz w:val="20"/>
        </w:rPr>
        <w:t xml:space="preserve"> </w:t>
      </w:r>
      <w:r>
        <w:rPr>
          <w:sz w:val="20"/>
        </w:rPr>
        <w:t>valor</w:t>
      </w:r>
      <w:r>
        <w:rPr>
          <w:spacing w:val="-1"/>
          <w:sz w:val="20"/>
        </w:rPr>
        <w:t xml:space="preserve"> </w:t>
      </w:r>
      <w:r>
        <w:rPr>
          <w:sz w:val="20"/>
        </w:rPr>
        <w:t>acumulado</w:t>
      </w:r>
      <w:r>
        <w:rPr>
          <w:spacing w:val="-1"/>
          <w:sz w:val="20"/>
        </w:rPr>
        <w:t xml:space="preserve"> </w:t>
      </w:r>
      <w:r>
        <w:rPr>
          <w:sz w:val="20"/>
        </w:rPr>
        <w:t>del</w:t>
      </w:r>
      <w:r>
        <w:rPr>
          <w:spacing w:val="-1"/>
          <w:sz w:val="20"/>
        </w:rPr>
        <w:t xml:space="preserve"> </w:t>
      </w:r>
      <w:r>
        <w:rPr>
          <w:sz w:val="20"/>
        </w:rPr>
        <w:t>conjunto,</w:t>
      </w:r>
      <w:r>
        <w:rPr>
          <w:spacing w:val="-1"/>
          <w:sz w:val="20"/>
        </w:rPr>
        <w:t xml:space="preserve"> </w:t>
      </w:r>
      <w:r>
        <w:rPr>
          <w:sz w:val="20"/>
        </w:rPr>
        <w:t>calculado</w:t>
      </w:r>
      <w:r>
        <w:rPr>
          <w:spacing w:val="-1"/>
          <w:sz w:val="20"/>
        </w:rPr>
        <w:t xml:space="preserve"> </w:t>
      </w:r>
      <w:r>
        <w:rPr>
          <w:sz w:val="20"/>
        </w:rPr>
        <w:t>según</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 el artículo 101, salvo que se dé alguna de las excepciones a que se refieren los artículos 20.2, 21.2 y 22.2.</w:t>
      </w:r>
    </w:p>
    <w:p w:rsidR="0092635B" w:rsidRDefault="00000000">
      <w:pPr>
        <w:pStyle w:val="Prrafodelista"/>
        <w:numPr>
          <w:ilvl w:val="0"/>
          <w:numId w:val="268"/>
        </w:numPr>
        <w:tabs>
          <w:tab w:val="left" w:pos="1680"/>
        </w:tabs>
        <w:spacing w:before="5" w:line="249" w:lineRule="auto"/>
        <w:ind w:firstLine="340"/>
        <w:jc w:val="both"/>
        <w:rPr>
          <w:sz w:val="20"/>
        </w:rPr>
      </w:pPr>
      <w:r>
        <w:rPr>
          <w:sz w:val="20"/>
        </w:rPr>
        <w:t>En los contratos adjudicados por lotes, y salvo que se establezca otra previsión en el pliego que rija el contrato, cada lote constituirá un contrato, salvo en casos en que se presenten ofertas integradoras, en los que todas las ofertas constituirán un contrato.</w:t>
      </w:r>
    </w:p>
    <w:p w:rsidR="0092635B" w:rsidRDefault="00000000">
      <w:pPr>
        <w:spacing w:before="229"/>
        <w:ind w:left="1106"/>
        <w:rPr>
          <w:rFonts w:ascii="Arial" w:hAnsi="Arial"/>
          <w:i/>
          <w:sz w:val="20"/>
        </w:rPr>
      </w:pPr>
      <w:bookmarkStart w:id="162" w:name="Artículo_100._Presupuesto_base_de_licita"/>
      <w:bookmarkEnd w:id="162"/>
      <w:r>
        <w:rPr>
          <w:rFonts w:ascii="Arial" w:hAnsi="Arial"/>
          <w:b/>
          <w:sz w:val="20"/>
        </w:rPr>
        <w:t>Artículo</w:t>
      </w:r>
      <w:r>
        <w:rPr>
          <w:rFonts w:ascii="Arial" w:hAnsi="Arial"/>
          <w:b/>
          <w:spacing w:val="-3"/>
          <w:sz w:val="20"/>
        </w:rPr>
        <w:t xml:space="preserve"> </w:t>
      </w:r>
      <w:r>
        <w:rPr>
          <w:rFonts w:ascii="Arial" w:hAnsi="Arial"/>
          <w:b/>
          <w:sz w:val="20"/>
        </w:rPr>
        <w:t>100.</w:t>
      </w:r>
      <w:r>
        <w:rPr>
          <w:rFonts w:ascii="Arial" w:hAnsi="Arial"/>
          <w:b/>
          <w:spacing w:val="50"/>
          <w:sz w:val="20"/>
        </w:rPr>
        <w:t xml:space="preserve"> </w:t>
      </w:r>
      <w:r>
        <w:rPr>
          <w:rFonts w:ascii="Arial" w:hAnsi="Arial"/>
          <w:i/>
          <w:sz w:val="20"/>
        </w:rPr>
        <w:t>Presupuesto</w:t>
      </w:r>
      <w:r>
        <w:rPr>
          <w:rFonts w:ascii="Arial" w:hAnsi="Arial"/>
          <w:i/>
          <w:spacing w:val="-3"/>
          <w:sz w:val="20"/>
        </w:rPr>
        <w:t xml:space="preserve"> </w:t>
      </w:r>
      <w:r>
        <w:rPr>
          <w:rFonts w:ascii="Arial" w:hAnsi="Arial"/>
          <w:i/>
          <w:sz w:val="20"/>
        </w:rPr>
        <w:t>base</w:t>
      </w:r>
      <w:r>
        <w:rPr>
          <w:rFonts w:ascii="Arial" w:hAnsi="Arial"/>
          <w:i/>
          <w:spacing w:val="-2"/>
          <w:sz w:val="20"/>
        </w:rPr>
        <w:t xml:space="preserve"> </w:t>
      </w:r>
      <w:r>
        <w:rPr>
          <w:rFonts w:ascii="Arial" w:hAnsi="Arial"/>
          <w:i/>
          <w:sz w:val="20"/>
        </w:rPr>
        <w:t>de</w:t>
      </w:r>
      <w:r>
        <w:rPr>
          <w:rFonts w:ascii="Arial" w:hAnsi="Arial"/>
          <w:i/>
          <w:spacing w:val="-2"/>
          <w:sz w:val="20"/>
        </w:rPr>
        <w:t xml:space="preserve"> licitación.</w:t>
      </w:r>
    </w:p>
    <w:p w:rsidR="0092635B" w:rsidRDefault="00000000">
      <w:pPr>
        <w:pStyle w:val="Prrafodelista"/>
        <w:numPr>
          <w:ilvl w:val="0"/>
          <w:numId w:val="267"/>
        </w:numPr>
        <w:tabs>
          <w:tab w:val="left" w:pos="1693"/>
        </w:tabs>
        <w:spacing w:before="123" w:line="249" w:lineRule="auto"/>
        <w:ind w:right="1104" w:firstLine="340"/>
        <w:jc w:val="both"/>
        <w:rPr>
          <w:sz w:val="20"/>
        </w:rPr>
      </w:pPr>
      <w:r>
        <w:rPr>
          <w:sz w:val="20"/>
        </w:rPr>
        <w:t>A los efectos de esta Ley, por presupuesto base de licitación se entenderá el límite máximo de gasto que en virtud del contrato puede comprometer el órgano de contratación, incluido el Impuesto sobre el Valor Añadido, salvo disposición en contrario.</w:t>
      </w:r>
    </w:p>
    <w:p w:rsidR="0092635B" w:rsidRDefault="00000000">
      <w:pPr>
        <w:pStyle w:val="Prrafodelista"/>
        <w:numPr>
          <w:ilvl w:val="0"/>
          <w:numId w:val="267"/>
        </w:numPr>
        <w:tabs>
          <w:tab w:val="left" w:pos="1734"/>
        </w:tabs>
        <w:spacing w:before="3" w:line="249" w:lineRule="auto"/>
        <w:ind w:firstLine="340"/>
        <w:jc w:val="both"/>
        <w:rPr>
          <w:sz w:val="20"/>
        </w:rPr>
      </w:pPr>
      <w:r>
        <w:rPr>
          <w:sz w:val="20"/>
        </w:rPr>
        <w:t>En el momento de elaborarlo, los órganos de contratación cuidarán de que el presupuesto base de licitación sea adecuado a los precios del mercado. A tal efecto, el presupuesto base de licitación se desglosará indicando en el pliego de cláusulas administrativas particulares o documento regulador de la licitación los costes directos e indirectos y otros eventuales gastos calculados para su determinación. En los contratos en que el coste de los salarios de las personas empleadas para su ejecución formen parte del precio total del contrato, el presupuesto base de licitación indicará de forma desglosada y</w:t>
      </w:r>
      <w:r>
        <w:rPr>
          <w:spacing w:val="40"/>
          <w:sz w:val="20"/>
        </w:rPr>
        <w:t xml:space="preserve"> </w:t>
      </w:r>
      <w:r>
        <w:rPr>
          <w:sz w:val="20"/>
        </w:rPr>
        <w:t>con desagregación de género y categoría profesional los costes salariales estimados a partir del convenio laboral de referencia.</w:t>
      </w:r>
    </w:p>
    <w:p w:rsidR="0092635B" w:rsidRDefault="00000000">
      <w:pPr>
        <w:pStyle w:val="Prrafodelista"/>
        <w:numPr>
          <w:ilvl w:val="0"/>
          <w:numId w:val="267"/>
        </w:numPr>
        <w:tabs>
          <w:tab w:val="left" w:pos="1668"/>
        </w:tabs>
        <w:spacing w:before="7" w:line="249" w:lineRule="auto"/>
        <w:ind w:right="1106" w:firstLine="340"/>
        <w:jc w:val="both"/>
        <w:rPr>
          <w:sz w:val="20"/>
        </w:rPr>
      </w:pPr>
      <w:r>
        <w:rPr>
          <w:sz w:val="20"/>
        </w:rPr>
        <w:t>Con</w:t>
      </w:r>
      <w:r>
        <w:rPr>
          <w:spacing w:val="-2"/>
          <w:sz w:val="20"/>
        </w:rPr>
        <w:t xml:space="preserve"> </w:t>
      </w:r>
      <w:r>
        <w:rPr>
          <w:sz w:val="20"/>
        </w:rPr>
        <w:t>carácter</w:t>
      </w:r>
      <w:r>
        <w:rPr>
          <w:spacing w:val="-2"/>
          <w:sz w:val="20"/>
        </w:rPr>
        <w:t xml:space="preserve"> </w:t>
      </w:r>
      <w:r>
        <w:rPr>
          <w:sz w:val="20"/>
        </w:rPr>
        <w:t>previo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tramitación</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acuerdo</w:t>
      </w:r>
      <w:r>
        <w:rPr>
          <w:spacing w:val="-2"/>
          <w:sz w:val="20"/>
        </w:rPr>
        <w:t xml:space="preserve"> </w:t>
      </w:r>
      <w:r>
        <w:rPr>
          <w:sz w:val="20"/>
        </w:rPr>
        <w:t>marco</w:t>
      </w:r>
      <w:r>
        <w:rPr>
          <w:spacing w:val="-2"/>
          <w:sz w:val="20"/>
        </w:rPr>
        <w:t xml:space="preserve"> </w:t>
      </w:r>
      <w:r>
        <w:rPr>
          <w:sz w:val="20"/>
        </w:rPr>
        <w:t>o</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sistema</w:t>
      </w:r>
      <w:r>
        <w:rPr>
          <w:spacing w:val="-2"/>
          <w:sz w:val="20"/>
        </w:rPr>
        <w:t xml:space="preserve"> </w:t>
      </w:r>
      <w:r>
        <w:rPr>
          <w:sz w:val="20"/>
        </w:rPr>
        <w:t>dinámico</w:t>
      </w:r>
      <w:r>
        <w:rPr>
          <w:spacing w:val="-2"/>
          <w:sz w:val="20"/>
        </w:rPr>
        <w:t xml:space="preserve"> </w:t>
      </w:r>
      <w:r>
        <w:rPr>
          <w:sz w:val="20"/>
        </w:rPr>
        <w:t>de adquisición no será necesario que se apruebe un presupuesto base de licitación.</w:t>
      </w:r>
    </w:p>
    <w:p w:rsidR="0092635B" w:rsidRDefault="00000000">
      <w:pPr>
        <w:spacing w:before="228"/>
        <w:ind w:left="1106"/>
        <w:rPr>
          <w:rFonts w:ascii="Arial" w:hAnsi="Arial"/>
          <w:i/>
          <w:sz w:val="20"/>
        </w:rPr>
      </w:pPr>
      <w:bookmarkStart w:id="163" w:name="Artículo_101._Valor_estimado."/>
      <w:bookmarkEnd w:id="163"/>
      <w:r>
        <w:rPr>
          <w:rFonts w:ascii="Arial" w:hAnsi="Arial"/>
          <w:b/>
          <w:sz w:val="20"/>
        </w:rPr>
        <w:t>Artículo</w:t>
      </w:r>
      <w:r>
        <w:rPr>
          <w:rFonts w:ascii="Arial" w:hAnsi="Arial"/>
          <w:b/>
          <w:spacing w:val="-5"/>
          <w:sz w:val="20"/>
        </w:rPr>
        <w:t xml:space="preserve"> </w:t>
      </w:r>
      <w:r>
        <w:rPr>
          <w:rFonts w:ascii="Arial" w:hAnsi="Arial"/>
          <w:b/>
          <w:sz w:val="20"/>
        </w:rPr>
        <w:t>101.</w:t>
      </w:r>
      <w:r>
        <w:rPr>
          <w:rFonts w:ascii="Arial" w:hAnsi="Arial"/>
          <w:b/>
          <w:spacing w:val="51"/>
          <w:sz w:val="20"/>
        </w:rPr>
        <w:t xml:space="preserve"> </w:t>
      </w:r>
      <w:r>
        <w:rPr>
          <w:rFonts w:ascii="Arial" w:hAnsi="Arial"/>
          <w:i/>
          <w:sz w:val="20"/>
        </w:rPr>
        <w:t>Valor</w:t>
      </w:r>
      <w:r>
        <w:rPr>
          <w:rFonts w:ascii="Arial" w:hAnsi="Arial"/>
          <w:i/>
          <w:spacing w:val="-2"/>
          <w:sz w:val="20"/>
        </w:rPr>
        <w:t xml:space="preserve"> estimado.</w:t>
      </w:r>
    </w:p>
    <w:p w:rsidR="0092635B" w:rsidRDefault="00000000">
      <w:pPr>
        <w:pStyle w:val="Prrafodelista"/>
        <w:numPr>
          <w:ilvl w:val="0"/>
          <w:numId w:val="266"/>
        </w:numPr>
        <w:tabs>
          <w:tab w:val="left" w:pos="1704"/>
        </w:tabs>
        <w:spacing w:before="124" w:line="249" w:lineRule="auto"/>
        <w:ind w:right="1105" w:firstLine="340"/>
        <w:jc w:val="both"/>
        <w:rPr>
          <w:sz w:val="20"/>
        </w:rPr>
      </w:pPr>
      <w:r>
        <w:rPr>
          <w:sz w:val="20"/>
        </w:rPr>
        <w:t>A todos los efectos previstos en esta Ley, el valor estimado de los contratos será determinado como sigue:</w:t>
      </w:r>
    </w:p>
    <w:p w:rsidR="0092635B" w:rsidRDefault="00000000">
      <w:pPr>
        <w:pStyle w:val="Prrafodelista"/>
        <w:numPr>
          <w:ilvl w:val="1"/>
          <w:numId w:val="266"/>
        </w:numPr>
        <w:tabs>
          <w:tab w:val="left" w:pos="1759"/>
        </w:tabs>
        <w:spacing w:before="121" w:line="249" w:lineRule="auto"/>
        <w:ind w:firstLine="340"/>
        <w:jc w:val="both"/>
        <w:rPr>
          <w:sz w:val="20"/>
        </w:rPr>
      </w:pPr>
      <w:r>
        <w:rPr>
          <w:sz w:val="20"/>
        </w:rPr>
        <w:t>En el caso de los contratos de obras, suministros y servicios, el órgano de contratación tomará el importe total, sin incluir el Impuesto sobre el Valor Añadido, pagadero según sus estimaciones.</w:t>
      </w:r>
    </w:p>
    <w:p w:rsidR="0092635B" w:rsidRDefault="00000000">
      <w:pPr>
        <w:pStyle w:val="Prrafodelista"/>
        <w:numPr>
          <w:ilvl w:val="1"/>
          <w:numId w:val="266"/>
        </w:numPr>
        <w:tabs>
          <w:tab w:val="left" w:pos="1707"/>
        </w:tabs>
        <w:spacing w:before="3" w:line="249" w:lineRule="auto"/>
        <w:ind w:firstLine="340"/>
        <w:jc w:val="both"/>
        <w:rPr>
          <w:sz w:val="20"/>
        </w:rPr>
      </w:pPr>
      <w:r>
        <w:rPr>
          <w:sz w:val="20"/>
        </w:rPr>
        <w:t>En el caso de los contratos de concesión de obras y de concesión de servicios, el órgano de contratación tomará el importe neto de la cifra de negocios, sin incluir el Impuesto sobre el Valor Añadido, que según sus estimaciones, generará la empresa concesionaria durante</w:t>
      </w:r>
      <w:r>
        <w:rPr>
          <w:spacing w:val="-2"/>
          <w:sz w:val="20"/>
        </w:rPr>
        <w:t xml:space="preserve"> </w:t>
      </w:r>
      <w:r>
        <w:rPr>
          <w:sz w:val="20"/>
        </w:rPr>
        <w:t>la</w:t>
      </w:r>
      <w:r>
        <w:rPr>
          <w:spacing w:val="-2"/>
          <w:sz w:val="20"/>
        </w:rPr>
        <w:t xml:space="preserve"> </w:t>
      </w:r>
      <w:r>
        <w:rPr>
          <w:sz w:val="20"/>
        </w:rPr>
        <w:t>ejecución</w:t>
      </w:r>
      <w:r>
        <w:rPr>
          <w:spacing w:val="-2"/>
          <w:sz w:val="20"/>
        </w:rPr>
        <w:t xml:space="preserve"> </w:t>
      </w:r>
      <w:r>
        <w:rPr>
          <w:sz w:val="20"/>
        </w:rPr>
        <w:t>del</w:t>
      </w:r>
      <w:r>
        <w:rPr>
          <w:spacing w:val="-2"/>
          <w:sz w:val="20"/>
        </w:rPr>
        <w:t xml:space="preserve"> </w:t>
      </w:r>
      <w:r>
        <w:rPr>
          <w:sz w:val="20"/>
        </w:rPr>
        <w:t>mismo</w:t>
      </w:r>
      <w:r>
        <w:rPr>
          <w:spacing w:val="-2"/>
          <w:sz w:val="20"/>
        </w:rPr>
        <w:t xml:space="preserve"> </w:t>
      </w:r>
      <w:r>
        <w:rPr>
          <w:sz w:val="20"/>
        </w:rPr>
        <w:t>como</w:t>
      </w:r>
      <w:r>
        <w:rPr>
          <w:spacing w:val="-2"/>
          <w:sz w:val="20"/>
        </w:rPr>
        <w:t xml:space="preserve"> </w:t>
      </w:r>
      <w:r>
        <w:rPr>
          <w:sz w:val="20"/>
        </w:rPr>
        <w:t>contraprestación</w:t>
      </w:r>
      <w:r>
        <w:rPr>
          <w:spacing w:val="-2"/>
          <w:sz w:val="20"/>
        </w:rPr>
        <w:t xml:space="preserve"> </w:t>
      </w:r>
      <w:r>
        <w:rPr>
          <w:sz w:val="20"/>
        </w:rPr>
        <w:t>por</w:t>
      </w:r>
      <w:r>
        <w:rPr>
          <w:spacing w:val="-2"/>
          <w:sz w:val="20"/>
        </w:rPr>
        <w:t xml:space="preserve"> </w:t>
      </w:r>
      <w:r>
        <w:rPr>
          <w:sz w:val="20"/>
        </w:rPr>
        <w:t>las</w:t>
      </w:r>
      <w:r>
        <w:rPr>
          <w:spacing w:val="-2"/>
          <w:sz w:val="20"/>
        </w:rPr>
        <w:t xml:space="preserve"> </w:t>
      </w:r>
      <w:r>
        <w:rPr>
          <w:sz w:val="20"/>
        </w:rPr>
        <w:t>obras</w:t>
      </w:r>
      <w:r>
        <w:rPr>
          <w:spacing w:val="-2"/>
          <w:sz w:val="20"/>
        </w:rPr>
        <w:t xml:space="preserve"> </w:t>
      </w:r>
      <w:r>
        <w:rPr>
          <w:sz w:val="20"/>
        </w:rPr>
        <w:t>y</w:t>
      </w:r>
      <w:r>
        <w:rPr>
          <w:spacing w:val="-2"/>
          <w:sz w:val="20"/>
        </w:rPr>
        <w:t xml:space="preserve"> </w:t>
      </w:r>
      <w:r>
        <w:rPr>
          <w:sz w:val="20"/>
        </w:rPr>
        <w:t>los</w:t>
      </w:r>
      <w:r>
        <w:rPr>
          <w:spacing w:val="-2"/>
          <w:sz w:val="20"/>
        </w:rPr>
        <w:t xml:space="preserve"> </w:t>
      </w:r>
      <w:r>
        <w:rPr>
          <w:sz w:val="20"/>
        </w:rPr>
        <w:t>servicios</w:t>
      </w:r>
      <w:r>
        <w:rPr>
          <w:spacing w:val="-2"/>
          <w:sz w:val="20"/>
        </w:rPr>
        <w:t xml:space="preserve"> </w:t>
      </w:r>
      <w:r>
        <w:rPr>
          <w:sz w:val="20"/>
        </w:rPr>
        <w:t>objeto</w:t>
      </w:r>
      <w:r>
        <w:rPr>
          <w:spacing w:val="-2"/>
          <w:sz w:val="20"/>
        </w:rPr>
        <w:t xml:space="preserve"> </w:t>
      </w:r>
      <w:r>
        <w:rPr>
          <w:sz w:val="20"/>
        </w:rPr>
        <w:t>del contrato, así como de los suministros relacionados con estas obras y servicios.</w:t>
      </w:r>
    </w:p>
    <w:p w:rsidR="0092635B" w:rsidRDefault="00000000">
      <w:pPr>
        <w:pStyle w:val="Prrafodelista"/>
        <w:numPr>
          <w:ilvl w:val="0"/>
          <w:numId w:val="266"/>
        </w:numPr>
        <w:tabs>
          <w:tab w:val="left" w:pos="1671"/>
        </w:tabs>
        <w:spacing w:before="124" w:line="249" w:lineRule="auto"/>
        <w:ind w:firstLine="340"/>
        <w:jc w:val="both"/>
        <w:rPr>
          <w:sz w:val="20"/>
        </w:rPr>
      </w:pPr>
      <w:r>
        <w:rPr>
          <w:sz w:val="20"/>
        </w:rPr>
        <w:t>En el cálculo del valor estimado deberán tenerse en cuenta, como mínimo, además de los costes derivados de la aplicación de las normativas laborales vigentes, otros costes que se deriven de la ejecución material de los servicios, los gastos generales de estructura y el beneficio industrial. Asimismo deberán tenerse en cuenta:</w:t>
      </w:r>
    </w:p>
    <w:p w:rsidR="0092635B" w:rsidRDefault="00000000">
      <w:pPr>
        <w:pStyle w:val="Prrafodelista"/>
        <w:numPr>
          <w:ilvl w:val="1"/>
          <w:numId w:val="266"/>
        </w:numPr>
        <w:tabs>
          <w:tab w:val="left" w:pos="1679"/>
        </w:tabs>
        <w:spacing w:before="123"/>
        <w:ind w:left="1679" w:right="0" w:hanging="233"/>
        <w:jc w:val="both"/>
        <w:rPr>
          <w:sz w:val="20"/>
        </w:rPr>
      </w:pPr>
      <w:r>
        <w:rPr>
          <w:sz w:val="20"/>
        </w:rPr>
        <w:t>Cualquier</w:t>
      </w:r>
      <w:r>
        <w:rPr>
          <w:spacing w:val="-2"/>
          <w:sz w:val="20"/>
        </w:rPr>
        <w:t xml:space="preserve"> </w:t>
      </w:r>
      <w:r>
        <w:rPr>
          <w:sz w:val="20"/>
        </w:rPr>
        <w:t>forma</w:t>
      </w:r>
      <w:r>
        <w:rPr>
          <w:spacing w:val="-2"/>
          <w:sz w:val="20"/>
        </w:rPr>
        <w:t xml:space="preserve"> </w:t>
      </w:r>
      <w:r>
        <w:rPr>
          <w:sz w:val="20"/>
        </w:rPr>
        <w:t>de</w:t>
      </w:r>
      <w:r>
        <w:rPr>
          <w:spacing w:val="-2"/>
          <w:sz w:val="20"/>
        </w:rPr>
        <w:t xml:space="preserve"> </w:t>
      </w:r>
      <w:r>
        <w:rPr>
          <w:sz w:val="20"/>
        </w:rPr>
        <w:t>opción</w:t>
      </w:r>
      <w:r>
        <w:rPr>
          <w:spacing w:val="-2"/>
          <w:sz w:val="20"/>
        </w:rPr>
        <w:t xml:space="preserve"> </w:t>
      </w:r>
      <w:r>
        <w:rPr>
          <w:sz w:val="20"/>
        </w:rPr>
        <w:t>eventual</w:t>
      </w:r>
      <w:r>
        <w:rPr>
          <w:spacing w:val="-2"/>
          <w:sz w:val="20"/>
        </w:rPr>
        <w:t xml:space="preserve"> </w:t>
      </w:r>
      <w:r>
        <w:rPr>
          <w:sz w:val="20"/>
        </w:rPr>
        <w:t>y</w:t>
      </w:r>
      <w:r>
        <w:rPr>
          <w:spacing w:val="-2"/>
          <w:sz w:val="20"/>
        </w:rPr>
        <w:t xml:space="preserve"> </w:t>
      </w:r>
      <w:r>
        <w:rPr>
          <w:sz w:val="20"/>
        </w:rPr>
        <w:t>las</w:t>
      </w:r>
      <w:r>
        <w:rPr>
          <w:spacing w:val="-2"/>
          <w:sz w:val="20"/>
        </w:rPr>
        <w:t xml:space="preserve"> </w:t>
      </w:r>
      <w:r>
        <w:rPr>
          <w:sz w:val="20"/>
        </w:rPr>
        <w:t>eventuales</w:t>
      </w:r>
      <w:r>
        <w:rPr>
          <w:spacing w:val="-2"/>
          <w:sz w:val="20"/>
        </w:rPr>
        <w:t xml:space="preserve"> </w:t>
      </w:r>
      <w:r>
        <w:rPr>
          <w:sz w:val="20"/>
        </w:rPr>
        <w:t>prórrogas</w:t>
      </w:r>
      <w:r>
        <w:rPr>
          <w:spacing w:val="-2"/>
          <w:sz w:val="20"/>
        </w:rPr>
        <w:t xml:space="preserve"> </w:t>
      </w:r>
      <w:r>
        <w:rPr>
          <w:sz w:val="20"/>
        </w:rPr>
        <w:t>del</w:t>
      </w:r>
      <w:r>
        <w:rPr>
          <w:spacing w:val="-1"/>
          <w:sz w:val="20"/>
        </w:rPr>
        <w:t xml:space="preserve"> </w:t>
      </w:r>
      <w:r>
        <w:rPr>
          <w:spacing w:val="-2"/>
          <w:sz w:val="20"/>
        </w:rPr>
        <w:t>contrato.</w:t>
      </w:r>
    </w:p>
    <w:p w:rsidR="0092635B" w:rsidRDefault="00000000">
      <w:pPr>
        <w:pStyle w:val="Prrafodelista"/>
        <w:numPr>
          <w:ilvl w:val="1"/>
          <w:numId w:val="266"/>
        </w:numPr>
        <w:tabs>
          <w:tab w:val="left" w:pos="1751"/>
        </w:tabs>
        <w:spacing w:before="10" w:line="249" w:lineRule="auto"/>
        <w:ind w:right="1104" w:firstLine="340"/>
        <w:jc w:val="both"/>
        <w:rPr>
          <w:sz w:val="20"/>
        </w:rPr>
      </w:pPr>
      <w:r>
        <w:rPr>
          <w:sz w:val="20"/>
        </w:rPr>
        <w:t>Cuando se haya previsto abonar primas o efectuar pagos a los candidatos o licitadores, la cuantía de los mismos.</w:t>
      </w:r>
    </w:p>
    <w:p w:rsidR="0092635B" w:rsidRDefault="00000000">
      <w:pPr>
        <w:pStyle w:val="Prrafodelista"/>
        <w:numPr>
          <w:ilvl w:val="1"/>
          <w:numId w:val="266"/>
        </w:numPr>
        <w:tabs>
          <w:tab w:val="left" w:pos="1712"/>
        </w:tabs>
        <w:spacing w:line="249" w:lineRule="auto"/>
        <w:ind w:right="1104" w:firstLine="340"/>
        <w:jc w:val="both"/>
        <w:rPr>
          <w:sz w:val="20"/>
        </w:rPr>
      </w:pPr>
      <w:r>
        <w:rPr>
          <w:sz w:val="20"/>
        </w:rPr>
        <w:t>En el caso de que, de conformidad con lo dispuesto en el artículo 204, se haya previsto en el pliego de cláusulas administrativas particulares o en el anuncio de licitación la posibilidad de que el contrato sea modificado, se considerará valor estimado del contrato el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importe</w:t>
      </w:r>
      <w:r>
        <w:rPr>
          <w:spacing w:val="80"/>
        </w:rPr>
        <w:t xml:space="preserve"> </w:t>
      </w:r>
      <w:r>
        <w:t>máximo</w:t>
      </w:r>
      <w:r>
        <w:rPr>
          <w:spacing w:val="80"/>
        </w:rPr>
        <w:t xml:space="preserve"> </w:t>
      </w:r>
      <w:r>
        <w:t>que</w:t>
      </w:r>
      <w:r>
        <w:rPr>
          <w:spacing w:val="80"/>
        </w:rPr>
        <w:t xml:space="preserve"> </w:t>
      </w:r>
      <w:r>
        <w:t>este</w:t>
      </w:r>
      <w:r>
        <w:rPr>
          <w:spacing w:val="80"/>
        </w:rPr>
        <w:t xml:space="preserve"> </w:t>
      </w:r>
      <w:r>
        <w:t>pueda</w:t>
      </w:r>
      <w:r>
        <w:rPr>
          <w:spacing w:val="80"/>
        </w:rPr>
        <w:t xml:space="preserve"> </w:t>
      </w:r>
      <w:r>
        <w:t>alcanzar,</w:t>
      </w:r>
      <w:r>
        <w:rPr>
          <w:spacing w:val="80"/>
        </w:rPr>
        <w:t xml:space="preserve"> </w:t>
      </w:r>
      <w:r>
        <w:t>teniendo</w:t>
      </w:r>
      <w:r>
        <w:rPr>
          <w:spacing w:val="80"/>
        </w:rPr>
        <w:t xml:space="preserve"> </w:t>
      </w:r>
      <w:r>
        <w:t>en</w:t>
      </w:r>
      <w:r>
        <w:rPr>
          <w:spacing w:val="80"/>
        </w:rPr>
        <w:t xml:space="preserve"> </w:t>
      </w:r>
      <w:r>
        <w:t>cuenta</w:t>
      </w:r>
      <w:r>
        <w:rPr>
          <w:spacing w:val="80"/>
        </w:rPr>
        <w:t xml:space="preserve"> </w:t>
      </w:r>
      <w:r>
        <w:t>la</w:t>
      </w:r>
      <w:r>
        <w:rPr>
          <w:spacing w:val="80"/>
        </w:rPr>
        <w:t xml:space="preserve"> </w:t>
      </w:r>
      <w:r>
        <w:t>totalidad</w:t>
      </w:r>
      <w:r>
        <w:rPr>
          <w:spacing w:val="80"/>
        </w:rPr>
        <w:t xml:space="preserve"> </w:t>
      </w:r>
      <w:r>
        <w:t>de</w:t>
      </w:r>
      <w:r>
        <w:rPr>
          <w:spacing w:val="80"/>
        </w:rPr>
        <w:t xml:space="preserve"> </w:t>
      </w:r>
      <w:r>
        <w:t>las modificaciones al alza previstas.</w:t>
      </w:r>
    </w:p>
    <w:p w:rsidR="0092635B" w:rsidRDefault="00000000">
      <w:pPr>
        <w:pStyle w:val="Textoindependiente"/>
        <w:spacing w:before="121" w:line="249" w:lineRule="auto"/>
        <w:ind w:right="1104"/>
      </w:pPr>
      <w:r>
        <w:t>En los contratos de servicios y de concesión de servicios en los que sea relevante la mano de obra, en la aplicación de la normativa laboral vigente a que se refiere el párrafo anterior se tendrán especialmente en cuenta los costes laborales derivados de los convenios colectivos sectoriales de aplicación.</w:t>
      </w:r>
    </w:p>
    <w:p w:rsidR="0092635B" w:rsidRDefault="00000000">
      <w:pPr>
        <w:pStyle w:val="Prrafodelista"/>
        <w:numPr>
          <w:ilvl w:val="0"/>
          <w:numId w:val="266"/>
        </w:numPr>
        <w:tabs>
          <w:tab w:val="left" w:pos="1686"/>
        </w:tabs>
        <w:spacing w:before="4" w:line="249" w:lineRule="auto"/>
        <w:ind w:right="1104" w:firstLine="340"/>
        <w:jc w:val="both"/>
        <w:rPr>
          <w:sz w:val="20"/>
        </w:rPr>
      </w:pPr>
      <w:r>
        <w:rPr>
          <w:sz w:val="20"/>
        </w:rPr>
        <w:t>Adicionalmente a lo previsto en el apartado anterior, en el cálculo del valor estimado de los contratos de concesión de obras y de concesión de servicios se tendrán en cuenta, cuando proceda, los siguientes conceptos:</w:t>
      </w:r>
    </w:p>
    <w:p w:rsidR="0092635B" w:rsidRDefault="00000000">
      <w:pPr>
        <w:pStyle w:val="Prrafodelista"/>
        <w:numPr>
          <w:ilvl w:val="1"/>
          <w:numId w:val="266"/>
        </w:numPr>
        <w:tabs>
          <w:tab w:val="left" w:pos="1722"/>
        </w:tabs>
        <w:spacing w:before="122" w:line="249" w:lineRule="auto"/>
        <w:ind w:firstLine="340"/>
        <w:jc w:val="both"/>
        <w:rPr>
          <w:sz w:val="20"/>
        </w:rPr>
      </w:pPr>
      <w:r>
        <w:rPr>
          <w:sz w:val="20"/>
        </w:rPr>
        <w:t>La renta procedente del pago de tasas y multas por los usuarios de las obras o servicios, distintas de las recaudadas en nombre del poder adjudicador.</w:t>
      </w:r>
    </w:p>
    <w:p w:rsidR="0092635B" w:rsidRDefault="00000000">
      <w:pPr>
        <w:pStyle w:val="Prrafodelista"/>
        <w:numPr>
          <w:ilvl w:val="1"/>
          <w:numId w:val="266"/>
        </w:numPr>
        <w:tabs>
          <w:tab w:val="left" w:pos="1746"/>
        </w:tabs>
        <w:spacing w:line="249" w:lineRule="auto"/>
        <w:ind w:right="1104" w:firstLine="340"/>
        <w:jc w:val="both"/>
        <w:rPr>
          <w:sz w:val="20"/>
        </w:rPr>
      </w:pPr>
      <w:r>
        <w:rPr>
          <w:sz w:val="20"/>
        </w:rPr>
        <w:t>Los pagos o ventajas financieras, cualquiera que sea su forma, concedidos al concesionario por el poder adjudicador o por cualquier otra autoridad pública, incluida la compensación por el cumplimiento de una obligación de servicio público y subvenciones a la inversión pública.</w:t>
      </w:r>
    </w:p>
    <w:p w:rsidR="0092635B" w:rsidRDefault="00000000">
      <w:pPr>
        <w:pStyle w:val="Prrafodelista"/>
        <w:numPr>
          <w:ilvl w:val="1"/>
          <w:numId w:val="266"/>
        </w:numPr>
        <w:tabs>
          <w:tab w:val="left" w:pos="1735"/>
        </w:tabs>
        <w:spacing w:before="3" w:line="249" w:lineRule="auto"/>
        <w:ind w:firstLine="340"/>
        <w:jc w:val="both"/>
        <w:rPr>
          <w:sz w:val="20"/>
        </w:rPr>
      </w:pPr>
      <w:r>
        <w:rPr>
          <w:sz w:val="20"/>
        </w:rPr>
        <w:t>El valor de los subsidios o ventajas financieras, cualquiera que sea su forma, procedentes de terceros a cambio de la ejecución de la concesión.</w:t>
      </w:r>
    </w:p>
    <w:p w:rsidR="0092635B" w:rsidRDefault="00000000">
      <w:pPr>
        <w:pStyle w:val="Prrafodelista"/>
        <w:numPr>
          <w:ilvl w:val="1"/>
          <w:numId w:val="266"/>
        </w:numPr>
        <w:tabs>
          <w:tab w:val="left" w:pos="1679"/>
        </w:tabs>
        <w:ind w:left="1679" w:right="0" w:hanging="233"/>
        <w:jc w:val="both"/>
        <w:rPr>
          <w:sz w:val="20"/>
        </w:rPr>
      </w:pPr>
      <w:r>
        <w:rPr>
          <w:sz w:val="20"/>
        </w:rPr>
        <w:t>El</w:t>
      </w:r>
      <w:r>
        <w:rPr>
          <w:spacing w:val="-3"/>
          <w:sz w:val="20"/>
        </w:rPr>
        <w:t xml:space="preserve"> </w:t>
      </w:r>
      <w:r>
        <w:rPr>
          <w:sz w:val="20"/>
        </w:rPr>
        <w:t>precio</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venta</w:t>
      </w:r>
      <w:r>
        <w:rPr>
          <w:spacing w:val="-2"/>
          <w:sz w:val="20"/>
        </w:rPr>
        <w:t xml:space="preserve"> </w:t>
      </w:r>
      <w:r>
        <w:rPr>
          <w:sz w:val="20"/>
        </w:rPr>
        <w:t>de</w:t>
      </w:r>
      <w:r>
        <w:rPr>
          <w:spacing w:val="-2"/>
          <w:sz w:val="20"/>
        </w:rPr>
        <w:t xml:space="preserve"> </w:t>
      </w:r>
      <w:r>
        <w:rPr>
          <w:sz w:val="20"/>
        </w:rPr>
        <w:t>cualquier</w:t>
      </w:r>
      <w:r>
        <w:rPr>
          <w:spacing w:val="-3"/>
          <w:sz w:val="20"/>
        </w:rPr>
        <w:t xml:space="preserve"> </w:t>
      </w:r>
      <w:r>
        <w:rPr>
          <w:sz w:val="20"/>
        </w:rPr>
        <w:t>activo</w:t>
      </w:r>
      <w:r>
        <w:rPr>
          <w:spacing w:val="-2"/>
          <w:sz w:val="20"/>
        </w:rPr>
        <w:t xml:space="preserve"> </w:t>
      </w:r>
      <w:r>
        <w:rPr>
          <w:sz w:val="20"/>
        </w:rPr>
        <w:t>que</w:t>
      </w:r>
      <w:r>
        <w:rPr>
          <w:spacing w:val="-2"/>
          <w:sz w:val="20"/>
        </w:rPr>
        <w:t xml:space="preserve"> </w:t>
      </w:r>
      <w:r>
        <w:rPr>
          <w:sz w:val="20"/>
        </w:rPr>
        <w:t>forme</w:t>
      </w:r>
      <w:r>
        <w:rPr>
          <w:spacing w:val="-3"/>
          <w:sz w:val="20"/>
        </w:rPr>
        <w:t xml:space="preserve"> </w:t>
      </w:r>
      <w:r>
        <w:rPr>
          <w:sz w:val="20"/>
        </w:rPr>
        <w:t>parte</w:t>
      </w:r>
      <w:r>
        <w:rPr>
          <w:spacing w:val="-2"/>
          <w:sz w:val="20"/>
        </w:rPr>
        <w:t xml:space="preserve"> </w:t>
      </w:r>
      <w:r>
        <w:rPr>
          <w:sz w:val="20"/>
        </w:rPr>
        <w:t>de</w:t>
      </w:r>
      <w:r>
        <w:rPr>
          <w:spacing w:val="-2"/>
          <w:sz w:val="20"/>
        </w:rPr>
        <w:t xml:space="preserve"> </w:t>
      </w:r>
      <w:r>
        <w:rPr>
          <w:sz w:val="20"/>
        </w:rPr>
        <w:t>la</w:t>
      </w:r>
      <w:r>
        <w:rPr>
          <w:spacing w:val="-2"/>
          <w:sz w:val="20"/>
        </w:rPr>
        <w:t xml:space="preserve"> concesión.</w:t>
      </w:r>
    </w:p>
    <w:p w:rsidR="0092635B" w:rsidRDefault="00000000">
      <w:pPr>
        <w:pStyle w:val="Prrafodelista"/>
        <w:numPr>
          <w:ilvl w:val="1"/>
          <w:numId w:val="266"/>
        </w:numPr>
        <w:tabs>
          <w:tab w:val="left" w:pos="1736"/>
        </w:tabs>
        <w:spacing w:before="10" w:line="249" w:lineRule="auto"/>
        <w:ind w:firstLine="340"/>
        <w:jc w:val="both"/>
        <w:rPr>
          <w:sz w:val="20"/>
        </w:rPr>
      </w:pPr>
      <w:r>
        <w:rPr>
          <w:sz w:val="20"/>
        </w:rPr>
        <w:t>El valor de todos los suministros y servicios que el poder adjudicador ponga a disposición del concesionario, siempre que sean necesarios para la ejecución de las obras o la prestación de servicios.</w:t>
      </w:r>
    </w:p>
    <w:p w:rsidR="0092635B" w:rsidRDefault="00000000">
      <w:pPr>
        <w:pStyle w:val="Prrafodelista"/>
        <w:numPr>
          <w:ilvl w:val="0"/>
          <w:numId w:val="266"/>
        </w:numPr>
        <w:tabs>
          <w:tab w:val="left" w:pos="1700"/>
        </w:tabs>
        <w:spacing w:before="122" w:line="249" w:lineRule="auto"/>
        <w:ind w:right="1104" w:firstLine="340"/>
        <w:jc w:val="both"/>
        <w:rPr>
          <w:sz w:val="20"/>
        </w:rPr>
      </w:pPr>
      <w:r>
        <w:rPr>
          <w:sz w:val="20"/>
        </w:rPr>
        <w:t xml:space="preserve">La elección del método para calcular el valor estimado no podrá efectuarse con la intención de sustraer el contrato a la aplicación de las normas de adjudicación que </w:t>
      </w:r>
      <w:r>
        <w:rPr>
          <w:spacing w:val="-2"/>
          <w:sz w:val="20"/>
        </w:rPr>
        <w:t>correspondan.</w:t>
      </w:r>
    </w:p>
    <w:p w:rsidR="0092635B" w:rsidRDefault="00000000">
      <w:pPr>
        <w:pStyle w:val="Prrafodelista"/>
        <w:numPr>
          <w:ilvl w:val="0"/>
          <w:numId w:val="266"/>
        </w:numPr>
        <w:tabs>
          <w:tab w:val="left" w:pos="1703"/>
        </w:tabs>
        <w:spacing w:before="3" w:line="249" w:lineRule="auto"/>
        <w:ind w:right="1104" w:firstLine="340"/>
        <w:jc w:val="both"/>
        <w:rPr>
          <w:sz w:val="20"/>
        </w:rPr>
      </w:pPr>
      <w:r>
        <w:rPr>
          <w:sz w:val="20"/>
        </w:rPr>
        <w:t>El método de cálculo aplicado por el órgano de contratación para calcular el valor estimado en todo caso deberá figurar en los pliegos de cláusulas administrativas</w:t>
      </w:r>
      <w:r>
        <w:rPr>
          <w:spacing w:val="80"/>
          <w:sz w:val="20"/>
        </w:rPr>
        <w:t xml:space="preserve"> </w:t>
      </w:r>
      <w:r>
        <w:rPr>
          <w:spacing w:val="-2"/>
          <w:sz w:val="20"/>
        </w:rPr>
        <w:t>particulares.</w:t>
      </w:r>
    </w:p>
    <w:p w:rsidR="0092635B" w:rsidRDefault="00000000">
      <w:pPr>
        <w:pStyle w:val="Prrafodelista"/>
        <w:numPr>
          <w:ilvl w:val="0"/>
          <w:numId w:val="266"/>
        </w:numPr>
        <w:tabs>
          <w:tab w:val="left" w:pos="1756"/>
        </w:tabs>
        <w:spacing w:line="249" w:lineRule="auto"/>
        <w:ind w:right="1104" w:firstLine="340"/>
        <w:jc w:val="both"/>
        <w:rPr>
          <w:sz w:val="20"/>
        </w:rPr>
      </w:pPr>
      <w:r>
        <w:rPr>
          <w:sz w:val="20"/>
        </w:rPr>
        <w:t xml:space="preserve">Cuando un órgano de contratación esté compuesto por unidades funcionales separadas, se tendrá en cuenta el valor total estimado para todas las unidades funcionales </w:t>
      </w:r>
      <w:r>
        <w:rPr>
          <w:spacing w:val="-2"/>
          <w:sz w:val="20"/>
        </w:rPr>
        <w:t>individuales.</w:t>
      </w:r>
    </w:p>
    <w:p w:rsidR="0092635B" w:rsidRDefault="00000000">
      <w:pPr>
        <w:pStyle w:val="Textoindependiente"/>
        <w:spacing w:line="249" w:lineRule="auto"/>
        <w:ind w:right="1105"/>
      </w:pPr>
      <w:r>
        <w:t>No obstante lo anterior, cuando una unidad funcional separada sea responsable de manera autónoma respecto de su contratación o de determinadas categorías de ella, los valores pueden estimarse al nivel de la unidad de que se trate.</w:t>
      </w:r>
    </w:p>
    <w:p w:rsidR="0092635B" w:rsidRDefault="00000000">
      <w:pPr>
        <w:pStyle w:val="Textoindependiente"/>
        <w:spacing w:before="3" w:line="249" w:lineRule="auto"/>
        <w:ind w:right="1105"/>
      </w:pPr>
      <w:r>
        <w:t>En todo caso, se entenderá que se da la circunstancia aludida en el párrafo anterior cuando dicha unidad funcional separada cuente con financiación específica y con competencias respecto a la adjudicación del contrato.</w:t>
      </w:r>
    </w:p>
    <w:p w:rsidR="0092635B" w:rsidRDefault="00000000">
      <w:pPr>
        <w:pStyle w:val="Prrafodelista"/>
        <w:numPr>
          <w:ilvl w:val="0"/>
          <w:numId w:val="266"/>
        </w:numPr>
        <w:tabs>
          <w:tab w:val="left" w:pos="1735"/>
        </w:tabs>
        <w:spacing w:line="249" w:lineRule="auto"/>
        <w:ind w:firstLine="340"/>
        <w:jc w:val="both"/>
        <w:rPr>
          <w:sz w:val="20"/>
        </w:rPr>
      </w:pPr>
      <w:r>
        <w:rPr>
          <w:sz w:val="20"/>
        </w:rPr>
        <w:t>La estimación deberá hacerse teniendo en cuenta los precios habituales en el mercado, y estar referida al momento del envío del anuncio de licitación o, en caso de que</w:t>
      </w:r>
      <w:r>
        <w:rPr>
          <w:spacing w:val="40"/>
          <w:sz w:val="20"/>
        </w:rPr>
        <w:t xml:space="preserve"> </w:t>
      </w:r>
      <w:r>
        <w:rPr>
          <w:sz w:val="20"/>
        </w:rPr>
        <w:t>no</w:t>
      </w:r>
      <w:r>
        <w:rPr>
          <w:spacing w:val="-1"/>
          <w:sz w:val="20"/>
        </w:rPr>
        <w:t xml:space="preserve"> </w:t>
      </w:r>
      <w:r>
        <w:rPr>
          <w:sz w:val="20"/>
        </w:rPr>
        <w:t>se</w:t>
      </w:r>
      <w:r>
        <w:rPr>
          <w:spacing w:val="-1"/>
          <w:sz w:val="20"/>
        </w:rPr>
        <w:t xml:space="preserve"> </w:t>
      </w:r>
      <w:r>
        <w:rPr>
          <w:sz w:val="20"/>
        </w:rPr>
        <w:t>requiera</w:t>
      </w:r>
      <w:r>
        <w:rPr>
          <w:spacing w:val="-1"/>
          <w:sz w:val="20"/>
        </w:rPr>
        <w:t xml:space="preserve"> </w:t>
      </w:r>
      <w:r>
        <w:rPr>
          <w:sz w:val="20"/>
        </w:rPr>
        <w:t>un</w:t>
      </w:r>
      <w:r>
        <w:rPr>
          <w:spacing w:val="-1"/>
          <w:sz w:val="20"/>
        </w:rPr>
        <w:t xml:space="preserve"> </w:t>
      </w:r>
      <w:r>
        <w:rPr>
          <w:sz w:val="20"/>
        </w:rPr>
        <w:t>anuncio</w:t>
      </w:r>
      <w:r>
        <w:rPr>
          <w:spacing w:val="-1"/>
          <w:sz w:val="20"/>
        </w:rPr>
        <w:t xml:space="preserve"> </w:t>
      </w:r>
      <w:r>
        <w:rPr>
          <w:sz w:val="20"/>
        </w:rPr>
        <w:t>de</w:t>
      </w:r>
      <w:r>
        <w:rPr>
          <w:spacing w:val="-1"/>
          <w:sz w:val="20"/>
        </w:rPr>
        <w:t xml:space="preserve"> </w:t>
      </w:r>
      <w:r>
        <w:rPr>
          <w:sz w:val="20"/>
        </w:rPr>
        <w:t>este</w:t>
      </w:r>
      <w:r>
        <w:rPr>
          <w:spacing w:val="-1"/>
          <w:sz w:val="20"/>
        </w:rPr>
        <w:t xml:space="preserve"> </w:t>
      </w:r>
      <w:r>
        <w:rPr>
          <w:sz w:val="20"/>
        </w:rPr>
        <w:t>tipo,</w:t>
      </w:r>
      <w:r>
        <w:rPr>
          <w:spacing w:val="-1"/>
          <w:sz w:val="20"/>
        </w:rPr>
        <w:t xml:space="preserve"> </w:t>
      </w:r>
      <w:r>
        <w:rPr>
          <w:sz w:val="20"/>
        </w:rPr>
        <w:t>al</w:t>
      </w:r>
      <w:r>
        <w:rPr>
          <w:spacing w:val="-1"/>
          <w:sz w:val="20"/>
        </w:rPr>
        <w:t xml:space="preserve"> </w:t>
      </w:r>
      <w:r>
        <w:rPr>
          <w:sz w:val="20"/>
        </w:rPr>
        <w:t>momento</w:t>
      </w:r>
      <w:r>
        <w:rPr>
          <w:spacing w:val="-1"/>
          <w:sz w:val="20"/>
        </w:rPr>
        <w:t xml:space="preserve"> </w:t>
      </w:r>
      <w:r>
        <w:rPr>
          <w:sz w:val="20"/>
        </w:rPr>
        <w:t>en</w:t>
      </w:r>
      <w:r>
        <w:rPr>
          <w:spacing w:val="-1"/>
          <w:sz w:val="20"/>
        </w:rPr>
        <w:t xml:space="preserve"> </w:t>
      </w:r>
      <w:r>
        <w:rPr>
          <w:sz w:val="20"/>
        </w:rPr>
        <w:t>que</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inicie</w:t>
      </w:r>
      <w:r>
        <w:rPr>
          <w:spacing w:val="-1"/>
          <w:sz w:val="20"/>
        </w:rPr>
        <w:t xml:space="preserve"> </w:t>
      </w:r>
      <w:r>
        <w:rPr>
          <w:sz w:val="20"/>
        </w:rPr>
        <w:t>el procedimiento de adjudicación del contrato.</w:t>
      </w:r>
    </w:p>
    <w:p w:rsidR="0092635B" w:rsidRDefault="00000000">
      <w:pPr>
        <w:pStyle w:val="Prrafodelista"/>
        <w:numPr>
          <w:ilvl w:val="0"/>
          <w:numId w:val="266"/>
        </w:numPr>
        <w:tabs>
          <w:tab w:val="left" w:pos="1715"/>
        </w:tabs>
        <w:spacing w:before="4" w:line="249" w:lineRule="auto"/>
        <w:ind w:right="1105" w:firstLine="340"/>
        <w:jc w:val="both"/>
        <w:rPr>
          <w:sz w:val="20"/>
        </w:rPr>
      </w:pPr>
      <w:r>
        <w:rPr>
          <w:sz w:val="20"/>
        </w:rPr>
        <w:t>En los contratos de obras el cálculo del valor estimado debe tener en cuenta el importe</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mismas</w:t>
      </w:r>
      <w:r>
        <w:rPr>
          <w:spacing w:val="-2"/>
          <w:sz w:val="20"/>
        </w:rPr>
        <w:t xml:space="preserve"> </w:t>
      </w:r>
      <w:r>
        <w:rPr>
          <w:sz w:val="20"/>
        </w:rPr>
        <w:t>así</w:t>
      </w:r>
      <w:r>
        <w:rPr>
          <w:spacing w:val="-2"/>
          <w:sz w:val="20"/>
        </w:rPr>
        <w:t xml:space="preserve"> </w:t>
      </w:r>
      <w:r>
        <w:rPr>
          <w:sz w:val="20"/>
        </w:rPr>
        <w:t>como</w:t>
      </w:r>
      <w:r>
        <w:rPr>
          <w:spacing w:val="-2"/>
          <w:sz w:val="20"/>
        </w:rPr>
        <w:t xml:space="preserve"> </w:t>
      </w:r>
      <w:r>
        <w:rPr>
          <w:sz w:val="20"/>
        </w:rPr>
        <w:t>el</w:t>
      </w:r>
      <w:r>
        <w:rPr>
          <w:spacing w:val="-2"/>
          <w:sz w:val="20"/>
        </w:rPr>
        <w:t xml:space="preserve"> </w:t>
      </w:r>
      <w:r>
        <w:rPr>
          <w:sz w:val="20"/>
        </w:rPr>
        <w:t>valor</w:t>
      </w:r>
      <w:r>
        <w:rPr>
          <w:spacing w:val="-2"/>
          <w:sz w:val="20"/>
        </w:rPr>
        <w:t xml:space="preserve"> </w:t>
      </w:r>
      <w:r>
        <w:rPr>
          <w:sz w:val="20"/>
        </w:rPr>
        <w:t>total</w:t>
      </w:r>
      <w:r>
        <w:rPr>
          <w:spacing w:val="-2"/>
          <w:sz w:val="20"/>
        </w:rPr>
        <w:t xml:space="preserve"> </w:t>
      </w:r>
      <w:r>
        <w:rPr>
          <w:sz w:val="20"/>
        </w:rPr>
        <w:t>estimado</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suministros</w:t>
      </w:r>
      <w:r>
        <w:rPr>
          <w:spacing w:val="-2"/>
          <w:sz w:val="20"/>
        </w:rPr>
        <w:t xml:space="preserve"> </w:t>
      </w:r>
      <w:r>
        <w:rPr>
          <w:sz w:val="20"/>
        </w:rPr>
        <w:t>necesarios</w:t>
      </w:r>
      <w:r>
        <w:rPr>
          <w:spacing w:val="-2"/>
          <w:sz w:val="20"/>
        </w:rPr>
        <w:t xml:space="preserve"> </w:t>
      </w:r>
      <w:r>
        <w:rPr>
          <w:sz w:val="20"/>
        </w:rPr>
        <w:t>para</w:t>
      </w:r>
      <w:r>
        <w:rPr>
          <w:spacing w:val="-2"/>
          <w:sz w:val="20"/>
        </w:rPr>
        <w:t xml:space="preserve"> </w:t>
      </w:r>
      <w:r>
        <w:rPr>
          <w:sz w:val="20"/>
        </w:rPr>
        <w:t>su ejecución que hayan sido puestos a disposición del contratista por el órgano de contratación.</w:t>
      </w:r>
    </w:p>
    <w:p w:rsidR="0092635B" w:rsidRDefault="00000000">
      <w:pPr>
        <w:pStyle w:val="Prrafodelista"/>
        <w:numPr>
          <w:ilvl w:val="0"/>
          <w:numId w:val="266"/>
        </w:numPr>
        <w:tabs>
          <w:tab w:val="left" w:pos="1690"/>
        </w:tabs>
        <w:spacing w:line="249" w:lineRule="auto"/>
        <w:ind w:firstLine="340"/>
        <w:jc w:val="both"/>
        <w:rPr>
          <w:sz w:val="20"/>
        </w:rPr>
      </w:pPr>
      <w:r>
        <w:rPr>
          <w:sz w:val="20"/>
        </w:rPr>
        <w:t>En los contratos de suministro que tengan por objeto el arrendamiento financiero, el arrendamiento o la venta a plazos de productos, el valor que se tomará como base para calcular el valor estimado del contrato será el siguiente:</w:t>
      </w:r>
    </w:p>
    <w:p w:rsidR="0092635B" w:rsidRDefault="00000000">
      <w:pPr>
        <w:pStyle w:val="Prrafodelista"/>
        <w:numPr>
          <w:ilvl w:val="1"/>
          <w:numId w:val="266"/>
        </w:numPr>
        <w:tabs>
          <w:tab w:val="left" w:pos="1711"/>
        </w:tabs>
        <w:spacing w:before="123" w:line="249" w:lineRule="auto"/>
        <w:ind w:right="1105" w:firstLine="340"/>
        <w:jc w:val="both"/>
        <w:rPr>
          <w:sz w:val="20"/>
        </w:rPr>
      </w:pPr>
      <w:r>
        <w:rPr>
          <w:sz w:val="20"/>
        </w:rPr>
        <w:t xml:space="preserve">En el caso de contratos de duración determinada, cuando su duración sea igual o inferior a doce meses, el valor total estimado para la duración del contrato; cuando su duración sea superior a doce meses, su valor total, incluido el importe estimado del valor </w:t>
      </w:r>
      <w:r>
        <w:rPr>
          <w:spacing w:val="-2"/>
          <w:sz w:val="20"/>
        </w:rPr>
        <w:t>residual.</w:t>
      </w:r>
    </w:p>
    <w:p w:rsidR="0092635B" w:rsidRDefault="00000000">
      <w:pPr>
        <w:pStyle w:val="Prrafodelista"/>
        <w:numPr>
          <w:ilvl w:val="1"/>
          <w:numId w:val="266"/>
        </w:numPr>
        <w:tabs>
          <w:tab w:val="left" w:pos="1682"/>
        </w:tabs>
        <w:spacing w:before="3" w:line="249" w:lineRule="auto"/>
        <w:ind w:right="1105" w:firstLine="340"/>
        <w:jc w:val="both"/>
        <w:rPr>
          <w:sz w:val="20"/>
        </w:rPr>
      </w:pPr>
      <w:r>
        <w:rPr>
          <w:sz w:val="20"/>
        </w:rPr>
        <w:t>En el caso de contratos cuya duración no se fije por referencia a un período de tiempo determinado, el valor mensual multiplicado por 48.</w:t>
      </w:r>
    </w:p>
    <w:p w:rsidR="0092635B" w:rsidRDefault="00000000">
      <w:pPr>
        <w:pStyle w:val="Prrafodelista"/>
        <w:numPr>
          <w:ilvl w:val="0"/>
          <w:numId w:val="266"/>
        </w:numPr>
        <w:tabs>
          <w:tab w:val="left" w:pos="1783"/>
        </w:tabs>
        <w:spacing w:before="121" w:line="249" w:lineRule="auto"/>
        <w:ind w:right="1102" w:firstLine="340"/>
        <w:jc w:val="both"/>
        <w:rPr>
          <w:sz w:val="20"/>
        </w:rPr>
      </w:pPr>
      <w:r>
        <w:rPr>
          <w:sz w:val="20"/>
        </w:rPr>
        <w:t>En los contratos de suministro o de servicios que tengan un carácter de periodicidad, o de contratos que se deban renovar en un período de tiempo determinado, se tomará como base para el cálculo del valor estimado del contrato alguna de las siguientes cantidades: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266"/>
        </w:numPr>
        <w:tabs>
          <w:tab w:val="left" w:pos="1687"/>
        </w:tabs>
        <w:spacing w:before="1" w:line="249" w:lineRule="auto"/>
        <w:ind w:firstLine="340"/>
        <w:jc w:val="both"/>
        <w:rPr>
          <w:sz w:val="20"/>
        </w:rPr>
      </w:pPr>
      <w:r>
        <w:rPr>
          <w:sz w:val="20"/>
        </w:rPr>
        <w:t>El valor real total de los contratos sucesivos similares adjudicados durante el ejercicio precedente o durante los doce meses previos, ajustado, cuando sea posible, en función de los cambios de cantidad o valor previstos para los doce meses posteriores al contrato inicial.</w:t>
      </w:r>
    </w:p>
    <w:p w:rsidR="0092635B" w:rsidRDefault="00000000">
      <w:pPr>
        <w:pStyle w:val="Prrafodelista"/>
        <w:numPr>
          <w:ilvl w:val="1"/>
          <w:numId w:val="266"/>
        </w:numPr>
        <w:tabs>
          <w:tab w:val="left" w:pos="1681"/>
        </w:tabs>
        <w:spacing w:line="249" w:lineRule="auto"/>
        <w:ind w:firstLine="340"/>
        <w:jc w:val="both"/>
        <w:rPr>
          <w:sz w:val="20"/>
        </w:rPr>
      </w:pPr>
      <w:r>
        <w:rPr>
          <w:sz w:val="20"/>
        </w:rPr>
        <w:t>El</w:t>
      </w:r>
      <w:r>
        <w:rPr>
          <w:spacing w:val="-1"/>
          <w:sz w:val="20"/>
        </w:rPr>
        <w:t xml:space="preserve"> </w:t>
      </w:r>
      <w:r>
        <w:rPr>
          <w:sz w:val="20"/>
        </w:rPr>
        <w:t>valor</w:t>
      </w:r>
      <w:r>
        <w:rPr>
          <w:spacing w:val="-1"/>
          <w:sz w:val="20"/>
        </w:rPr>
        <w:t xml:space="preserve"> </w:t>
      </w:r>
      <w:r>
        <w:rPr>
          <w:sz w:val="20"/>
        </w:rPr>
        <w:t>estimado</w:t>
      </w:r>
      <w:r>
        <w:rPr>
          <w:spacing w:val="-1"/>
          <w:sz w:val="20"/>
        </w:rPr>
        <w:t xml:space="preserve"> </w:t>
      </w:r>
      <w:r>
        <w:rPr>
          <w:sz w:val="20"/>
        </w:rPr>
        <w:t>total</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sucesivos</w:t>
      </w:r>
      <w:r>
        <w:rPr>
          <w:spacing w:val="-1"/>
          <w:sz w:val="20"/>
        </w:rPr>
        <w:t xml:space="preserve"> </w:t>
      </w:r>
      <w:r>
        <w:rPr>
          <w:sz w:val="20"/>
        </w:rPr>
        <w:t>adjudicados</w:t>
      </w:r>
      <w:r>
        <w:rPr>
          <w:spacing w:val="-1"/>
          <w:sz w:val="20"/>
        </w:rPr>
        <w:t xml:space="preserve"> </w:t>
      </w:r>
      <w:r>
        <w:rPr>
          <w:sz w:val="20"/>
        </w:rPr>
        <w:t>durante</w:t>
      </w:r>
      <w:r>
        <w:rPr>
          <w:spacing w:val="-1"/>
          <w:sz w:val="20"/>
        </w:rPr>
        <w:t xml:space="preserve"> </w:t>
      </w:r>
      <w:r>
        <w:rPr>
          <w:sz w:val="20"/>
        </w:rPr>
        <w:t>los</w:t>
      </w:r>
      <w:r>
        <w:rPr>
          <w:spacing w:val="-1"/>
          <w:sz w:val="20"/>
        </w:rPr>
        <w:t xml:space="preserve"> </w:t>
      </w:r>
      <w:r>
        <w:rPr>
          <w:sz w:val="20"/>
        </w:rPr>
        <w:t>doce</w:t>
      </w:r>
      <w:r>
        <w:rPr>
          <w:spacing w:val="-1"/>
          <w:sz w:val="20"/>
        </w:rPr>
        <w:t xml:space="preserve"> </w:t>
      </w:r>
      <w:r>
        <w:rPr>
          <w:sz w:val="20"/>
        </w:rPr>
        <w:t xml:space="preserve">meses siguientes a la primera entrega o en el transcurso del ejercicio, si este fuera superior a doce </w:t>
      </w:r>
      <w:r>
        <w:rPr>
          <w:spacing w:val="-2"/>
          <w:sz w:val="20"/>
        </w:rPr>
        <w:t>meses.</w:t>
      </w:r>
    </w:p>
    <w:p w:rsidR="0092635B" w:rsidRDefault="00000000">
      <w:pPr>
        <w:pStyle w:val="Prrafodelista"/>
        <w:numPr>
          <w:ilvl w:val="0"/>
          <w:numId w:val="266"/>
        </w:numPr>
        <w:tabs>
          <w:tab w:val="left" w:pos="1805"/>
        </w:tabs>
        <w:spacing w:before="123" w:line="249" w:lineRule="auto"/>
        <w:ind w:firstLine="340"/>
        <w:jc w:val="both"/>
        <w:rPr>
          <w:sz w:val="20"/>
        </w:rPr>
      </w:pPr>
      <w:r>
        <w:rPr>
          <w:sz w:val="20"/>
        </w:rPr>
        <w:t>En los contratos de servicios, a los efectos del cálculo de su valor estimado, se tomarán como base, en su caso, las siguientes cantidades:</w:t>
      </w:r>
    </w:p>
    <w:p w:rsidR="0092635B" w:rsidRDefault="00000000">
      <w:pPr>
        <w:pStyle w:val="Prrafodelista"/>
        <w:numPr>
          <w:ilvl w:val="1"/>
          <w:numId w:val="266"/>
        </w:numPr>
        <w:tabs>
          <w:tab w:val="left" w:pos="1679"/>
        </w:tabs>
        <w:spacing w:before="121"/>
        <w:ind w:left="1679" w:right="0" w:hanging="233"/>
        <w:jc w:val="both"/>
        <w:rPr>
          <w:sz w:val="20"/>
        </w:rPr>
      </w:pPr>
      <w:r>
        <w:rPr>
          <w:sz w:val="20"/>
        </w:rPr>
        <w:t>En</w:t>
      </w:r>
      <w:r>
        <w:rPr>
          <w:spacing w:val="-2"/>
          <w:sz w:val="20"/>
        </w:rPr>
        <w:t xml:space="preserve"> </w:t>
      </w:r>
      <w:r>
        <w:rPr>
          <w:sz w:val="20"/>
        </w:rPr>
        <w:t>los</w:t>
      </w:r>
      <w:r>
        <w:rPr>
          <w:spacing w:val="-1"/>
          <w:sz w:val="20"/>
        </w:rPr>
        <w:t xml:space="preserve"> </w:t>
      </w:r>
      <w:r>
        <w:rPr>
          <w:sz w:val="20"/>
        </w:rPr>
        <w:t>servicios</w:t>
      </w:r>
      <w:r>
        <w:rPr>
          <w:spacing w:val="-1"/>
          <w:sz w:val="20"/>
        </w:rPr>
        <w:t xml:space="preserve"> </w:t>
      </w:r>
      <w:r>
        <w:rPr>
          <w:sz w:val="20"/>
        </w:rPr>
        <w:t>de</w:t>
      </w:r>
      <w:r>
        <w:rPr>
          <w:spacing w:val="-1"/>
          <w:sz w:val="20"/>
        </w:rPr>
        <w:t xml:space="preserve"> </w:t>
      </w:r>
      <w:r>
        <w:rPr>
          <w:sz w:val="20"/>
        </w:rPr>
        <w:t>seguros,</w:t>
      </w:r>
      <w:r>
        <w:rPr>
          <w:spacing w:val="-2"/>
          <w:sz w:val="20"/>
        </w:rPr>
        <w:t xml:space="preserve"> </w:t>
      </w:r>
      <w:r>
        <w:rPr>
          <w:sz w:val="20"/>
        </w:rPr>
        <w:t>la</w:t>
      </w:r>
      <w:r>
        <w:rPr>
          <w:spacing w:val="-1"/>
          <w:sz w:val="20"/>
        </w:rPr>
        <w:t xml:space="preserve"> </w:t>
      </w:r>
      <w:r>
        <w:rPr>
          <w:sz w:val="20"/>
        </w:rPr>
        <w:t>prima</w:t>
      </w:r>
      <w:r>
        <w:rPr>
          <w:spacing w:val="-1"/>
          <w:sz w:val="20"/>
        </w:rPr>
        <w:t xml:space="preserve"> </w:t>
      </w:r>
      <w:r>
        <w:rPr>
          <w:sz w:val="20"/>
        </w:rPr>
        <w:t>pagadera</w:t>
      </w:r>
      <w:r>
        <w:rPr>
          <w:spacing w:val="-1"/>
          <w:sz w:val="20"/>
        </w:rPr>
        <w:t xml:space="preserve"> </w:t>
      </w:r>
      <w:r>
        <w:rPr>
          <w:sz w:val="20"/>
        </w:rPr>
        <w:t>y</w:t>
      </w:r>
      <w:r>
        <w:rPr>
          <w:spacing w:val="-2"/>
          <w:sz w:val="20"/>
        </w:rPr>
        <w:t xml:space="preserve"> </w:t>
      </w:r>
      <w:r>
        <w:rPr>
          <w:sz w:val="20"/>
        </w:rPr>
        <w:t>otras</w:t>
      </w:r>
      <w:r>
        <w:rPr>
          <w:spacing w:val="-1"/>
          <w:sz w:val="20"/>
        </w:rPr>
        <w:t xml:space="preserve"> </w:t>
      </w:r>
      <w:r>
        <w:rPr>
          <w:sz w:val="20"/>
        </w:rPr>
        <w:t>formas</w:t>
      </w:r>
      <w:r>
        <w:rPr>
          <w:spacing w:val="-1"/>
          <w:sz w:val="20"/>
        </w:rPr>
        <w:t xml:space="preserve"> </w:t>
      </w:r>
      <w:r>
        <w:rPr>
          <w:sz w:val="20"/>
        </w:rPr>
        <w:t>de</w:t>
      </w:r>
      <w:r>
        <w:rPr>
          <w:spacing w:val="-1"/>
          <w:sz w:val="20"/>
        </w:rPr>
        <w:t xml:space="preserve"> </w:t>
      </w:r>
      <w:r>
        <w:rPr>
          <w:spacing w:val="-2"/>
          <w:sz w:val="20"/>
        </w:rPr>
        <w:t>remuneración.</w:t>
      </w:r>
    </w:p>
    <w:p w:rsidR="0092635B" w:rsidRDefault="00000000">
      <w:pPr>
        <w:pStyle w:val="Prrafodelista"/>
        <w:numPr>
          <w:ilvl w:val="1"/>
          <w:numId w:val="266"/>
        </w:numPr>
        <w:tabs>
          <w:tab w:val="left" w:pos="1681"/>
        </w:tabs>
        <w:spacing w:before="10" w:line="249" w:lineRule="auto"/>
        <w:ind w:right="1102" w:firstLine="340"/>
        <w:jc w:val="both"/>
        <w:rPr>
          <w:sz w:val="20"/>
        </w:rPr>
      </w:pPr>
      <w:r>
        <w:rPr>
          <w:sz w:val="20"/>
        </w:rPr>
        <w:t>En servicios bancarios y otros servicios financieros, los honorarios, las comisiones, los intereses y otras formas de remuneración.</w:t>
      </w:r>
    </w:p>
    <w:p w:rsidR="0092635B" w:rsidRDefault="00000000">
      <w:pPr>
        <w:pStyle w:val="Prrafodelista"/>
        <w:numPr>
          <w:ilvl w:val="1"/>
          <w:numId w:val="266"/>
        </w:numPr>
        <w:tabs>
          <w:tab w:val="left" w:pos="1688"/>
        </w:tabs>
        <w:spacing w:line="249" w:lineRule="auto"/>
        <w:ind w:right="1101" w:firstLine="340"/>
        <w:jc w:val="both"/>
        <w:rPr>
          <w:sz w:val="20"/>
        </w:rPr>
      </w:pPr>
      <w:r>
        <w:rPr>
          <w:sz w:val="20"/>
        </w:rPr>
        <w:t>En los contratos relativos a un proyecto, los honorarios, las comisiones pagaderas y otras</w:t>
      </w:r>
      <w:r>
        <w:rPr>
          <w:spacing w:val="-1"/>
          <w:sz w:val="20"/>
        </w:rPr>
        <w:t xml:space="preserve"> </w:t>
      </w:r>
      <w:r>
        <w:rPr>
          <w:sz w:val="20"/>
        </w:rPr>
        <w:t>formas</w:t>
      </w:r>
      <w:r>
        <w:rPr>
          <w:spacing w:val="-1"/>
          <w:sz w:val="20"/>
        </w:rPr>
        <w:t xml:space="preserve"> </w:t>
      </w:r>
      <w:r>
        <w:rPr>
          <w:sz w:val="20"/>
        </w:rPr>
        <w:t>de</w:t>
      </w:r>
      <w:r>
        <w:rPr>
          <w:spacing w:val="-1"/>
          <w:sz w:val="20"/>
        </w:rPr>
        <w:t xml:space="preserve"> </w:t>
      </w:r>
      <w:r>
        <w:rPr>
          <w:sz w:val="20"/>
        </w:rPr>
        <w:t>remuneración,</w:t>
      </w:r>
      <w:r>
        <w:rPr>
          <w:spacing w:val="-1"/>
          <w:sz w:val="20"/>
        </w:rPr>
        <w:t xml:space="preserve"> </w:t>
      </w:r>
      <w:r>
        <w:rPr>
          <w:sz w:val="20"/>
        </w:rPr>
        <w:t>así</w:t>
      </w:r>
      <w:r>
        <w:rPr>
          <w:spacing w:val="-1"/>
          <w:sz w:val="20"/>
        </w:rPr>
        <w:t xml:space="preserve"> </w:t>
      </w:r>
      <w:r>
        <w:rPr>
          <w:sz w:val="20"/>
        </w:rPr>
        <w:t>como</w:t>
      </w:r>
      <w:r>
        <w:rPr>
          <w:spacing w:val="-1"/>
          <w:sz w:val="20"/>
        </w:rPr>
        <w:t xml:space="preserve"> </w:t>
      </w:r>
      <w:r>
        <w:rPr>
          <w:sz w:val="20"/>
        </w:rPr>
        <w:t>las</w:t>
      </w:r>
      <w:r>
        <w:rPr>
          <w:spacing w:val="-1"/>
          <w:sz w:val="20"/>
        </w:rPr>
        <w:t xml:space="preserve"> </w:t>
      </w:r>
      <w:r>
        <w:rPr>
          <w:sz w:val="20"/>
        </w:rPr>
        <w:t>primas</w:t>
      </w:r>
      <w:r>
        <w:rPr>
          <w:spacing w:val="-1"/>
          <w:sz w:val="20"/>
        </w:rPr>
        <w:t xml:space="preserve"> </w:t>
      </w:r>
      <w:r>
        <w:rPr>
          <w:sz w:val="20"/>
        </w:rPr>
        <w:t>o</w:t>
      </w:r>
      <w:r>
        <w:rPr>
          <w:spacing w:val="-1"/>
          <w:sz w:val="20"/>
        </w:rPr>
        <w:t xml:space="preserve"> </w:t>
      </w:r>
      <w:r>
        <w:rPr>
          <w:sz w:val="20"/>
        </w:rPr>
        <w:t>contraprestaciones</w:t>
      </w:r>
      <w:r>
        <w:rPr>
          <w:spacing w:val="-1"/>
          <w:sz w:val="20"/>
        </w:rPr>
        <w:t xml:space="preserve"> </w:t>
      </w:r>
      <w:r>
        <w:rPr>
          <w:sz w:val="20"/>
        </w:rPr>
        <w:t>que,</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caso,</w:t>
      </w:r>
      <w:r>
        <w:rPr>
          <w:spacing w:val="-1"/>
          <w:sz w:val="20"/>
        </w:rPr>
        <w:t xml:space="preserve"> </w:t>
      </w:r>
      <w:r>
        <w:rPr>
          <w:sz w:val="20"/>
        </w:rPr>
        <w:t>se fijen para los participantes en el concurso.</w:t>
      </w:r>
    </w:p>
    <w:p w:rsidR="0092635B" w:rsidRDefault="00000000">
      <w:pPr>
        <w:pStyle w:val="Prrafodelista"/>
        <w:numPr>
          <w:ilvl w:val="1"/>
          <w:numId w:val="266"/>
        </w:numPr>
        <w:tabs>
          <w:tab w:val="left" w:pos="1699"/>
        </w:tabs>
        <w:spacing w:line="249" w:lineRule="auto"/>
        <w:ind w:right="1104" w:firstLine="340"/>
        <w:jc w:val="both"/>
        <w:rPr>
          <w:sz w:val="20"/>
        </w:rPr>
      </w:pPr>
      <w:r>
        <w:rPr>
          <w:sz w:val="20"/>
        </w:rPr>
        <w:t>En los contratos de servicios en que no se especifique un precio total, si tienen una duración determinada igual o inferior a cuarenta y ocho meses, el valor total estimado correspondiente a toda su duración. Si la duración es superior a cuarenta y ocho meses o no se encuentra fijada por referencia a un período de tiempo cierto, el valor mensual</w:t>
      </w:r>
      <w:r>
        <w:rPr>
          <w:spacing w:val="40"/>
          <w:sz w:val="20"/>
        </w:rPr>
        <w:t xml:space="preserve"> </w:t>
      </w:r>
      <w:r>
        <w:rPr>
          <w:sz w:val="20"/>
        </w:rPr>
        <w:t>multiplicado por 48.</w:t>
      </w:r>
    </w:p>
    <w:p w:rsidR="0092635B" w:rsidRDefault="00000000">
      <w:pPr>
        <w:pStyle w:val="Prrafodelista"/>
        <w:numPr>
          <w:ilvl w:val="0"/>
          <w:numId w:val="266"/>
        </w:numPr>
        <w:tabs>
          <w:tab w:val="left" w:pos="1796"/>
        </w:tabs>
        <w:spacing w:before="124" w:line="249" w:lineRule="auto"/>
        <w:ind w:firstLine="340"/>
        <w:jc w:val="both"/>
        <w:rPr>
          <w:sz w:val="20"/>
        </w:rPr>
      </w:pPr>
      <w:r>
        <w:rPr>
          <w:sz w:val="20"/>
        </w:rPr>
        <w:t>Cuando la realización de una obra, la contratación de unos servicios o la obtención de unos suministros destinados a usos idénticos o similares pueda dar lugar a la</w:t>
      </w:r>
      <w:r>
        <w:rPr>
          <w:spacing w:val="40"/>
          <w:sz w:val="20"/>
        </w:rPr>
        <w:t xml:space="preserve"> </w:t>
      </w:r>
      <w:r>
        <w:rPr>
          <w:sz w:val="20"/>
        </w:rPr>
        <w:t>adjudicación</w:t>
      </w:r>
      <w:r>
        <w:rPr>
          <w:spacing w:val="-1"/>
          <w:sz w:val="20"/>
        </w:rPr>
        <w:t xml:space="preserve"> </w:t>
      </w:r>
      <w:r>
        <w:rPr>
          <w:sz w:val="20"/>
        </w:rPr>
        <w:t>simultánea</w:t>
      </w:r>
      <w:r>
        <w:rPr>
          <w:spacing w:val="-1"/>
          <w:sz w:val="20"/>
        </w:rPr>
        <w:t xml:space="preserve"> </w:t>
      </w:r>
      <w:r>
        <w:rPr>
          <w:sz w:val="20"/>
        </w:rPr>
        <w:t>de</w:t>
      </w:r>
      <w:r>
        <w:rPr>
          <w:spacing w:val="-1"/>
          <w:sz w:val="20"/>
        </w:rPr>
        <w:t xml:space="preserve"> </w:t>
      </w:r>
      <w:r>
        <w:rPr>
          <w:sz w:val="20"/>
        </w:rPr>
        <w:t>contratos</w:t>
      </w:r>
      <w:r>
        <w:rPr>
          <w:spacing w:val="-1"/>
          <w:sz w:val="20"/>
        </w:rPr>
        <w:t xml:space="preserve"> </w:t>
      </w:r>
      <w:r>
        <w:rPr>
          <w:sz w:val="20"/>
        </w:rPr>
        <w:t>por</w:t>
      </w:r>
      <w:r>
        <w:rPr>
          <w:spacing w:val="-1"/>
          <w:sz w:val="20"/>
        </w:rPr>
        <w:t xml:space="preserve"> </w:t>
      </w:r>
      <w:r>
        <w:rPr>
          <w:sz w:val="20"/>
        </w:rPr>
        <w:t>lotes</w:t>
      </w:r>
      <w:r>
        <w:rPr>
          <w:spacing w:val="-1"/>
          <w:sz w:val="20"/>
        </w:rPr>
        <w:t xml:space="preserve"> </w:t>
      </w:r>
      <w:r>
        <w:rPr>
          <w:sz w:val="20"/>
        </w:rPr>
        <w:t>separados,</w:t>
      </w:r>
      <w:r>
        <w:rPr>
          <w:spacing w:val="-1"/>
          <w:sz w:val="20"/>
        </w:rPr>
        <w:t xml:space="preserve"> </w:t>
      </w:r>
      <w:r>
        <w:rPr>
          <w:sz w:val="20"/>
        </w:rPr>
        <w:t>se</w:t>
      </w:r>
      <w:r>
        <w:rPr>
          <w:spacing w:val="-1"/>
          <w:sz w:val="20"/>
        </w:rPr>
        <w:t xml:space="preserve"> </w:t>
      </w:r>
      <w:r>
        <w:rPr>
          <w:sz w:val="20"/>
        </w:rPr>
        <w:t>deberá</w:t>
      </w:r>
      <w:r>
        <w:rPr>
          <w:spacing w:val="-1"/>
          <w:sz w:val="20"/>
        </w:rPr>
        <w:t xml:space="preserve"> </w:t>
      </w:r>
      <w:r>
        <w:rPr>
          <w:sz w:val="20"/>
        </w:rPr>
        <w:t>tener</w:t>
      </w:r>
      <w:r>
        <w:rPr>
          <w:spacing w:val="-1"/>
          <w:sz w:val="20"/>
        </w:rPr>
        <w:t xml:space="preserve"> </w:t>
      </w:r>
      <w:r>
        <w:rPr>
          <w:sz w:val="20"/>
        </w:rPr>
        <w:t>en</w:t>
      </w:r>
      <w:r>
        <w:rPr>
          <w:spacing w:val="-1"/>
          <w:sz w:val="20"/>
        </w:rPr>
        <w:t xml:space="preserve"> </w:t>
      </w:r>
      <w:r>
        <w:rPr>
          <w:sz w:val="20"/>
        </w:rPr>
        <w:t>cuenta</w:t>
      </w:r>
      <w:r>
        <w:rPr>
          <w:spacing w:val="-1"/>
          <w:sz w:val="20"/>
        </w:rPr>
        <w:t xml:space="preserve"> </w:t>
      </w:r>
      <w:r>
        <w:rPr>
          <w:sz w:val="20"/>
        </w:rPr>
        <w:t>el</w:t>
      </w:r>
      <w:r>
        <w:rPr>
          <w:spacing w:val="-1"/>
          <w:sz w:val="20"/>
        </w:rPr>
        <w:t xml:space="preserve"> </w:t>
      </w:r>
      <w:r>
        <w:rPr>
          <w:sz w:val="20"/>
        </w:rPr>
        <w:t>valor global estimado de la totalidad de dichos lotes.</w:t>
      </w:r>
    </w:p>
    <w:p w:rsidR="0092635B" w:rsidRDefault="00000000">
      <w:pPr>
        <w:pStyle w:val="Textoindependiente"/>
        <w:spacing w:before="4" w:line="249" w:lineRule="auto"/>
        <w:ind w:right="1104"/>
      </w:pPr>
      <w:r>
        <w:t>Igualmente, cuando una obra o un servicio propuestos puedan derivar en la adjudicación simultánea de contratos de concesión de obras o de concesión de servicios por lotes separados, deberá tenerse en cuenta el valor global estimado de todos los lotes.</w:t>
      </w:r>
    </w:p>
    <w:p w:rsidR="0092635B" w:rsidRDefault="00000000">
      <w:pPr>
        <w:pStyle w:val="Prrafodelista"/>
        <w:numPr>
          <w:ilvl w:val="0"/>
          <w:numId w:val="266"/>
        </w:numPr>
        <w:tabs>
          <w:tab w:val="left" w:pos="1790"/>
        </w:tabs>
        <w:spacing w:line="249" w:lineRule="auto"/>
        <w:ind w:firstLine="340"/>
        <w:jc w:val="both"/>
        <w:rPr>
          <w:sz w:val="20"/>
        </w:rPr>
      </w:pPr>
      <w:r>
        <w:rPr>
          <w:sz w:val="20"/>
        </w:rPr>
        <w:t xml:space="preserve">Para los acuerdos marco y para los sistemas dinámicos de adquisición se tendrá en cuenta el valor máximo estimado, excluido el Impuesto sobre el Valor Añadido, del conjunto de contratos previstos durante la duración total del acuerdo marco o del sistema dinámico de </w:t>
      </w:r>
      <w:r>
        <w:rPr>
          <w:spacing w:val="-2"/>
          <w:sz w:val="20"/>
        </w:rPr>
        <w:t>adquisición.</w:t>
      </w:r>
    </w:p>
    <w:p w:rsidR="0092635B" w:rsidRDefault="00000000">
      <w:pPr>
        <w:pStyle w:val="Prrafodelista"/>
        <w:numPr>
          <w:ilvl w:val="0"/>
          <w:numId w:val="266"/>
        </w:numPr>
        <w:tabs>
          <w:tab w:val="left" w:pos="1804"/>
        </w:tabs>
        <w:spacing w:before="3" w:line="249" w:lineRule="auto"/>
        <w:ind w:firstLine="340"/>
        <w:jc w:val="both"/>
        <w:rPr>
          <w:sz w:val="20"/>
        </w:rPr>
      </w:pPr>
      <w:r>
        <w:rPr>
          <w:sz w:val="20"/>
        </w:rPr>
        <w:t>En el procedimiento de asociación para la innovación se tendrá en cuenta el valor máximo estimado, excluido el Impuesto sobre el Valor Añadido, de las actividades de investigación y desarrollo que esté previsto que se realicen a lo largo de la duración total de la asociación, y de los suministros, servicios u obras que esté previsto que se ejecuten o adquieran al final de la asociación prevista.</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164" w:name="Artículo_102._Precio."/>
      <w:bookmarkEnd w:id="164"/>
      <w:r>
        <w:rPr>
          <w:rFonts w:ascii="Arial" w:hAnsi="Arial"/>
          <w:b/>
          <w:sz w:val="20"/>
        </w:rPr>
        <w:t>Artículo 102.</w:t>
      </w:r>
      <w:r>
        <w:rPr>
          <w:rFonts w:ascii="Arial" w:hAnsi="Arial"/>
          <w:b/>
          <w:spacing w:val="54"/>
          <w:sz w:val="20"/>
        </w:rPr>
        <w:t xml:space="preserve"> </w:t>
      </w:r>
      <w:r>
        <w:rPr>
          <w:rFonts w:ascii="Arial" w:hAnsi="Arial"/>
          <w:i/>
          <w:spacing w:val="-2"/>
          <w:sz w:val="20"/>
        </w:rPr>
        <w:t>Precio.</w:t>
      </w:r>
    </w:p>
    <w:p w:rsidR="0092635B" w:rsidRDefault="00000000">
      <w:pPr>
        <w:pStyle w:val="Prrafodelista"/>
        <w:numPr>
          <w:ilvl w:val="0"/>
          <w:numId w:val="265"/>
        </w:numPr>
        <w:tabs>
          <w:tab w:val="left" w:pos="1687"/>
        </w:tabs>
        <w:spacing w:before="124" w:line="249" w:lineRule="auto"/>
        <w:ind w:right="1104" w:firstLine="340"/>
        <w:jc w:val="both"/>
        <w:rPr>
          <w:sz w:val="20"/>
        </w:rPr>
      </w:pPr>
      <w:r>
        <w:rPr>
          <w:sz w:val="20"/>
        </w:rPr>
        <w:t>Los contratos del sector público tendrán siempre un precio cierto, que se abonará al contratista en función de la prestación realmente ejecutada y de acuerdo con lo pactado. En el precio se entenderá incluido el importe a abonar en concepto de Impuesto sobre el Valor Añadido, que en todo caso se indicará como partida independiente.</w:t>
      </w:r>
    </w:p>
    <w:p w:rsidR="0092635B" w:rsidRDefault="00000000">
      <w:pPr>
        <w:pStyle w:val="Prrafodelista"/>
        <w:numPr>
          <w:ilvl w:val="0"/>
          <w:numId w:val="265"/>
        </w:numPr>
        <w:tabs>
          <w:tab w:val="left" w:pos="1695"/>
        </w:tabs>
        <w:spacing w:before="3" w:line="249" w:lineRule="auto"/>
        <w:ind w:firstLine="340"/>
        <w:jc w:val="both"/>
        <w:rPr>
          <w:sz w:val="20"/>
        </w:rPr>
      </w:pPr>
      <w:r>
        <w:rPr>
          <w:sz w:val="20"/>
        </w:rPr>
        <w:t>Con carácter general el precio deberá expresarse en euros, sin perjuicio de que su pago pueda hacerse mediante la entrega de otras contraprestaciones en los casos en que esta u otras Leyes así lo prevean.</w:t>
      </w:r>
    </w:p>
    <w:p w:rsidR="0092635B" w:rsidRDefault="00000000">
      <w:pPr>
        <w:pStyle w:val="Textoindependiente"/>
        <w:spacing w:line="249" w:lineRule="auto"/>
        <w:ind w:right="1104"/>
      </w:pPr>
      <w:r>
        <w:t>No obstante lo anterior, en los contratos podrá preverse que la totalidad o parte del</w:t>
      </w:r>
      <w:r>
        <w:rPr>
          <w:spacing w:val="40"/>
        </w:rPr>
        <w:t xml:space="preserve"> </w:t>
      </w:r>
      <w:r>
        <w:t>precio sea satisfecho en moneda distinta del euro. En este supuesto se expresará en la correspondiente divisa el importe que deba satisfacerse en esa moneda, y se incluirá una estimación en euros del importe total del contrato.</w:t>
      </w:r>
    </w:p>
    <w:p w:rsidR="0092635B" w:rsidRDefault="00000000">
      <w:pPr>
        <w:pStyle w:val="Prrafodelista"/>
        <w:numPr>
          <w:ilvl w:val="0"/>
          <w:numId w:val="265"/>
        </w:numPr>
        <w:tabs>
          <w:tab w:val="left" w:pos="1679"/>
        </w:tabs>
        <w:spacing w:before="4" w:line="249" w:lineRule="auto"/>
        <w:ind w:right="1102" w:firstLine="340"/>
        <w:jc w:val="both"/>
        <w:rPr>
          <w:sz w:val="20"/>
        </w:rPr>
      </w:pPr>
      <w:r>
        <w:rPr>
          <w:sz w:val="20"/>
        </w:rPr>
        <w:t xml:space="preserve">Los órganos de contratación cuidarán de que el precio sea adecuado para el efectivo cumplimiento del contrato mediante la correcta estimación de su importe, atendiendo al precio general de mercado, en el momento de fijar el presupuesto base de licitación y la aplicación, en su caso, de las normas sobre ofertas con valores anormales o </w:t>
      </w:r>
      <w:r>
        <w:rPr>
          <w:spacing w:val="-2"/>
          <w:sz w:val="20"/>
        </w:rPr>
        <w:t>desproporcionados.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En aquellos servicios en los que el coste económico principal sean los costes laborales, deberán considerarse los términos económicos de los convenios colectivos sectoriales, nacionales, autonómicos y provinciales aplicables en el lugar de prestación de los servicios.</w:t>
      </w:r>
    </w:p>
    <w:p w:rsidR="0092635B" w:rsidRDefault="00000000">
      <w:pPr>
        <w:pStyle w:val="Prrafodelista"/>
        <w:numPr>
          <w:ilvl w:val="0"/>
          <w:numId w:val="265"/>
        </w:numPr>
        <w:tabs>
          <w:tab w:val="left" w:pos="1671"/>
        </w:tabs>
        <w:spacing w:line="249" w:lineRule="auto"/>
        <w:ind w:right="1104" w:firstLine="340"/>
        <w:jc w:val="both"/>
        <w:rPr>
          <w:sz w:val="20"/>
        </w:rPr>
      </w:pPr>
      <w:r>
        <w:rPr>
          <w:sz w:val="20"/>
        </w:rPr>
        <w:t>El precio del contrato podrá formularse tanto en términos de precios unitarios referidos a los distintos componentes de la prestación o a las unidades de la misma que se entreguen o ejecuten, como en términos de precios aplicables a tanto alzado a la totalidad o a parte de las prestaciones del contrato.</w:t>
      </w:r>
    </w:p>
    <w:p w:rsidR="0092635B" w:rsidRDefault="00000000">
      <w:pPr>
        <w:pStyle w:val="Prrafodelista"/>
        <w:numPr>
          <w:ilvl w:val="0"/>
          <w:numId w:val="265"/>
        </w:numPr>
        <w:tabs>
          <w:tab w:val="left" w:pos="1700"/>
        </w:tabs>
        <w:spacing w:before="3" w:line="249" w:lineRule="auto"/>
        <w:ind w:right="1102" w:firstLine="340"/>
        <w:jc w:val="both"/>
        <w:rPr>
          <w:sz w:val="20"/>
        </w:rPr>
      </w:pPr>
      <w:r>
        <w:rPr>
          <w:sz w:val="20"/>
        </w:rPr>
        <w:t>Los precios fijados en los contratos del sector público podrán ser revisados en los términos previstos en el Capítulo II de este Título, cuando deban ser ajustados, al alza o a la baja, para tener en cuenta las variaciones económicas de costes que acaezcan durante la ejecución del contrato.</w:t>
      </w:r>
    </w:p>
    <w:p w:rsidR="0092635B" w:rsidRDefault="00000000">
      <w:pPr>
        <w:pStyle w:val="Prrafodelista"/>
        <w:numPr>
          <w:ilvl w:val="0"/>
          <w:numId w:val="265"/>
        </w:numPr>
        <w:tabs>
          <w:tab w:val="left" w:pos="1684"/>
        </w:tabs>
        <w:spacing w:before="4" w:line="249" w:lineRule="auto"/>
        <w:ind w:firstLine="340"/>
        <w:jc w:val="both"/>
        <w:rPr>
          <w:sz w:val="20"/>
        </w:rPr>
      </w:pPr>
      <w:r>
        <w:rPr>
          <w:sz w:val="20"/>
        </w:rPr>
        <w:t>Los contratos, cuando su naturaleza y objeto lo permitan, podrán incluir cláusulas de variación</w:t>
      </w:r>
      <w:r>
        <w:rPr>
          <w:spacing w:val="-2"/>
          <w:sz w:val="20"/>
        </w:rPr>
        <w:t xml:space="preserve"> </w:t>
      </w:r>
      <w:r>
        <w:rPr>
          <w:sz w:val="20"/>
        </w:rPr>
        <w:t>de</w:t>
      </w:r>
      <w:r>
        <w:rPr>
          <w:spacing w:val="-2"/>
          <w:sz w:val="20"/>
        </w:rPr>
        <w:t xml:space="preserve"> </w:t>
      </w:r>
      <w:r>
        <w:rPr>
          <w:sz w:val="20"/>
        </w:rPr>
        <w:t>precios</w:t>
      </w:r>
      <w:r>
        <w:rPr>
          <w:spacing w:val="-2"/>
          <w:sz w:val="20"/>
        </w:rPr>
        <w:t xml:space="preserve"> </w:t>
      </w:r>
      <w:r>
        <w:rPr>
          <w:sz w:val="20"/>
        </w:rPr>
        <w:t>en</w:t>
      </w:r>
      <w:r>
        <w:rPr>
          <w:spacing w:val="-2"/>
          <w:sz w:val="20"/>
        </w:rPr>
        <w:t xml:space="preserve"> </w:t>
      </w:r>
      <w:r>
        <w:rPr>
          <w:sz w:val="20"/>
        </w:rPr>
        <w:t>función</w:t>
      </w:r>
      <w:r>
        <w:rPr>
          <w:spacing w:val="-2"/>
          <w:sz w:val="20"/>
        </w:rPr>
        <w:t xml:space="preserve"> </w:t>
      </w:r>
      <w:r>
        <w:rPr>
          <w:sz w:val="20"/>
        </w:rPr>
        <w:t>del</w:t>
      </w:r>
      <w:r>
        <w:rPr>
          <w:spacing w:val="-2"/>
          <w:sz w:val="20"/>
        </w:rPr>
        <w:t xml:space="preserve"> </w:t>
      </w:r>
      <w:r>
        <w:rPr>
          <w:sz w:val="20"/>
        </w:rPr>
        <w:t>cumplimiento</w:t>
      </w:r>
      <w:r>
        <w:rPr>
          <w:spacing w:val="-2"/>
          <w:sz w:val="20"/>
        </w:rPr>
        <w:t xml:space="preserve"> </w:t>
      </w:r>
      <w:r>
        <w:rPr>
          <w:sz w:val="20"/>
        </w:rPr>
        <w:t>o</w:t>
      </w:r>
      <w:r>
        <w:rPr>
          <w:spacing w:val="-2"/>
          <w:sz w:val="20"/>
        </w:rPr>
        <w:t xml:space="preserve"> </w:t>
      </w:r>
      <w:r>
        <w:rPr>
          <w:sz w:val="20"/>
        </w:rPr>
        <w:t>incumplimiento</w:t>
      </w:r>
      <w:r>
        <w:rPr>
          <w:spacing w:val="-2"/>
          <w:sz w:val="20"/>
        </w:rPr>
        <w:t xml:space="preserve"> </w:t>
      </w:r>
      <w:r>
        <w:rPr>
          <w:sz w:val="20"/>
        </w:rPr>
        <w:t>de</w:t>
      </w:r>
      <w:r>
        <w:rPr>
          <w:spacing w:val="-2"/>
          <w:sz w:val="20"/>
        </w:rPr>
        <w:t xml:space="preserve"> </w:t>
      </w:r>
      <w:r>
        <w:rPr>
          <w:sz w:val="20"/>
        </w:rPr>
        <w:t>determinados</w:t>
      </w:r>
      <w:r>
        <w:rPr>
          <w:spacing w:val="-2"/>
          <w:sz w:val="20"/>
        </w:rPr>
        <w:t xml:space="preserve"> </w:t>
      </w:r>
      <w:r>
        <w:rPr>
          <w:sz w:val="20"/>
        </w:rPr>
        <w:t>objetivos de plazos o de rendimiento, debiendo establecerse con precisión los supuestos en que se producirán estas variaciones y las reglas para su determinación, de manera que el precio</w:t>
      </w:r>
      <w:r>
        <w:rPr>
          <w:spacing w:val="40"/>
          <w:sz w:val="20"/>
        </w:rPr>
        <w:t xml:space="preserve"> </w:t>
      </w:r>
      <w:r>
        <w:rPr>
          <w:sz w:val="20"/>
        </w:rPr>
        <w:t>sea determinable en todo caso.</w:t>
      </w:r>
    </w:p>
    <w:p w:rsidR="0092635B" w:rsidRDefault="00000000">
      <w:pPr>
        <w:pStyle w:val="Prrafodelista"/>
        <w:numPr>
          <w:ilvl w:val="0"/>
          <w:numId w:val="265"/>
        </w:numPr>
        <w:tabs>
          <w:tab w:val="left" w:pos="1671"/>
        </w:tabs>
        <w:spacing w:before="4" w:line="249" w:lineRule="auto"/>
        <w:ind w:firstLine="340"/>
        <w:jc w:val="both"/>
        <w:rPr>
          <w:sz w:val="20"/>
        </w:rPr>
      </w:pPr>
      <w:r>
        <w:rPr>
          <w:sz w:val="20"/>
        </w:rPr>
        <w:t>Excepcionalmente</w:t>
      </w:r>
      <w:r>
        <w:rPr>
          <w:spacing w:val="-1"/>
          <w:sz w:val="20"/>
        </w:rPr>
        <w:t xml:space="preserve"> </w:t>
      </w:r>
      <w:r>
        <w:rPr>
          <w:sz w:val="20"/>
        </w:rPr>
        <w:t>pueden</w:t>
      </w:r>
      <w:r>
        <w:rPr>
          <w:spacing w:val="-1"/>
          <w:sz w:val="20"/>
        </w:rPr>
        <w:t xml:space="preserve"> </w:t>
      </w:r>
      <w:r>
        <w:rPr>
          <w:sz w:val="20"/>
        </w:rPr>
        <w:t>celebrarse</w:t>
      </w:r>
      <w:r>
        <w:rPr>
          <w:spacing w:val="-1"/>
          <w:sz w:val="20"/>
        </w:rPr>
        <w:t xml:space="preserve"> </w:t>
      </w:r>
      <w:r>
        <w:rPr>
          <w:sz w:val="20"/>
        </w:rPr>
        <w:t>contratos</w:t>
      </w:r>
      <w:r>
        <w:rPr>
          <w:spacing w:val="-1"/>
          <w:sz w:val="20"/>
        </w:rPr>
        <w:t xml:space="preserve"> </w:t>
      </w:r>
      <w:r>
        <w:rPr>
          <w:sz w:val="20"/>
        </w:rPr>
        <w:t>con</w:t>
      </w:r>
      <w:r>
        <w:rPr>
          <w:spacing w:val="-1"/>
          <w:sz w:val="20"/>
        </w:rPr>
        <w:t xml:space="preserve"> </w:t>
      </w:r>
      <w:r>
        <w:rPr>
          <w:sz w:val="20"/>
        </w:rPr>
        <w:t>precios</w:t>
      </w:r>
      <w:r>
        <w:rPr>
          <w:spacing w:val="-1"/>
          <w:sz w:val="20"/>
        </w:rPr>
        <w:t xml:space="preserve"> </w:t>
      </w:r>
      <w:r>
        <w:rPr>
          <w:sz w:val="20"/>
        </w:rPr>
        <w:t>provisionales</w:t>
      </w:r>
      <w:r>
        <w:rPr>
          <w:spacing w:val="-1"/>
          <w:sz w:val="20"/>
        </w:rPr>
        <w:t xml:space="preserve"> </w:t>
      </w:r>
      <w:r>
        <w:rPr>
          <w:sz w:val="20"/>
        </w:rPr>
        <w:t>cuando,</w:t>
      </w:r>
      <w:r>
        <w:rPr>
          <w:spacing w:val="-1"/>
          <w:sz w:val="20"/>
        </w:rPr>
        <w:t xml:space="preserve"> </w:t>
      </w:r>
      <w:r>
        <w:rPr>
          <w:sz w:val="20"/>
        </w:rPr>
        <w:t>tras la tramitación de un procedimiento negociado, de un diálogo competitivo, o de un procedimiento de asociación para la innovación, se ponga de manifiesto que la ejecución del contrato debe comenzar antes de que la determinación del precio sea posible por la complejidad</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prestaciones</w:t>
      </w:r>
      <w:r>
        <w:rPr>
          <w:spacing w:val="-1"/>
          <w:sz w:val="20"/>
        </w:rPr>
        <w:t xml:space="preserve"> </w:t>
      </w:r>
      <w:r>
        <w:rPr>
          <w:sz w:val="20"/>
        </w:rPr>
        <w:t>o</w:t>
      </w:r>
      <w:r>
        <w:rPr>
          <w:spacing w:val="-1"/>
          <w:sz w:val="20"/>
        </w:rPr>
        <w:t xml:space="preserve"> </w:t>
      </w:r>
      <w:r>
        <w:rPr>
          <w:sz w:val="20"/>
        </w:rPr>
        <w:t>la</w:t>
      </w:r>
      <w:r>
        <w:rPr>
          <w:spacing w:val="-1"/>
          <w:sz w:val="20"/>
        </w:rPr>
        <w:t xml:space="preserve"> </w:t>
      </w:r>
      <w:r>
        <w:rPr>
          <w:sz w:val="20"/>
        </w:rPr>
        <w:t>necesidad</w:t>
      </w:r>
      <w:r>
        <w:rPr>
          <w:spacing w:val="-1"/>
          <w:sz w:val="20"/>
        </w:rPr>
        <w:t xml:space="preserve"> </w:t>
      </w:r>
      <w:r>
        <w:rPr>
          <w:sz w:val="20"/>
        </w:rPr>
        <w:t>de</w:t>
      </w:r>
      <w:r>
        <w:rPr>
          <w:spacing w:val="-1"/>
          <w:sz w:val="20"/>
        </w:rPr>
        <w:t xml:space="preserve"> </w:t>
      </w:r>
      <w:r>
        <w:rPr>
          <w:sz w:val="20"/>
        </w:rPr>
        <w:t>utilizar</w:t>
      </w:r>
      <w:r>
        <w:rPr>
          <w:spacing w:val="-1"/>
          <w:sz w:val="20"/>
        </w:rPr>
        <w:t xml:space="preserve"> </w:t>
      </w:r>
      <w:r>
        <w:rPr>
          <w:sz w:val="20"/>
        </w:rPr>
        <w:t>una</w:t>
      </w:r>
      <w:r>
        <w:rPr>
          <w:spacing w:val="-1"/>
          <w:sz w:val="20"/>
        </w:rPr>
        <w:t xml:space="preserve"> </w:t>
      </w:r>
      <w:r>
        <w:rPr>
          <w:sz w:val="20"/>
        </w:rPr>
        <w:t>técnica</w:t>
      </w:r>
      <w:r>
        <w:rPr>
          <w:spacing w:val="-1"/>
          <w:sz w:val="20"/>
        </w:rPr>
        <w:t xml:space="preserve"> </w:t>
      </w:r>
      <w:r>
        <w:rPr>
          <w:sz w:val="20"/>
        </w:rPr>
        <w:t>nueva,</w:t>
      </w:r>
      <w:r>
        <w:rPr>
          <w:spacing w:val="-1"/>
          <w:sz w:val="20"/>
        </w:rPr>
        <w:t xml:space="preserve"> </w:t>
      </w:r>
      <w:r>
        <w:rPr>
          <w:sz w:val="20"/>
        </w:rPr>
        <w:t>o</w:t>
      </w:r>
      <w:r>
        <w:rPr>
          <w:spacing w:val="-1"/>
          <w:sz w:val="20"/>
        </w:rPr>
        <w:t xml:space="preserve"> </w:t>
      </w:r>
      <w:r>
        <w:rPr>
          <w:sz w:val="20"/>
        </w:rPr>
        <w:t>que</w:t>
      </w:r>
      <w:r>
        <w:rPr>
          <w:spacing w:val="-1"/>
          <w:sz w:val="20"/>
        </w:rPr>
        <w:t xml:space="preserve"> </w:t>
      </w:r>
      <w:r>
        <w:rPr>
          <w:sz w:val="20"/>
        </w:rPr>
        <w:t>no</w:t>
      </w:r>
      <w:r>
        <w:rPr>
          <w:spacing w:val="-1"/>
          <w:sz w:val="20"/>
        </w:rPr>
        <w:t xml:space="preserve"> </w:t>
      </w:r>
      <w:r>
        <w:rPr>
          <w:sz w:val="20"/>
        </w:rPr>
        <w:t>existe información sobre los costes de prestaciones análogas y sobre los elementos técnicos o contables que permitan negociar con precisión un precio cierto.</w:t>
      </w:r>
    </w:p>
    <w:p w:rsidR="0092635B" w:rsidRDefault="00000000">
      <w:pPr>
        <w:pStyle w:val="Textoindependiente"/>
        <w:spacing w:before="6" w:line="249" w:lineRule="auto"/>
        <w:ind w:right="1103"/>
      </w:pPr>
      <w:r>
        <w:t>En</w:t>
      </w:r>
      <w:r>
        <w:rPr>
          <w:spacing w:val="-2"/>
        </w:rPr>
        <w:t xml:space="preserve"> </w:t>
      </w:r>
      <w:r>
        <w:t>los</w:t>
      </w:r>
      <w:r>
        <w:rPr>
          <w:spacing w:val="-2"/>
        </w:rPr>
        <w:t xml:space="preserve"> </w:t>
      </w:r>
      <w:r>
        <w:t>contratos</w:t>
      </w:r>
      <w:r>
        <w:rPr>
          <w:spacing w:val="-2"/>
        </w:rPr>
        <w:t xml:space="preserve"> </w:t>
      </w:r>
      <w:r>
        <w:t>celebrados</w:t>
      </w:r>
      <w:r>
        <w:rPr>
          <w:spacing w:val="-2"/>
        </w:rPr>
        <w:t xml:space="preserve"> </w:t>
      </w:r>
      <w:r>
        <w:t>con</w:t>
      </w:r>
      <w:r>
        <w:rPr>
          <w:spacing w:val="-2"/>
        </w:rPr>
        <w:t xml:space="preserve"> </w:t>
      </w:r>
      <w:r>
        <w:t>precios</w:t>
      </w:r>
      <w:r>
        <w:rPr>
          <w:spacing w:val="-2"/>
        </w:rPr>
        <w:t xml:space="preserve"> </w:t>
      </w:r>
      <w:r>
        <w:t>provisionales</w:t>
      </w:r>
      <w:r>
        <w:rPr>
          <w:spacing w:val="-2"/>
        </w:rPr>
        <w:t xml:space="preserve"> </w:t>
      </w:r>
      <w:r>
        <w:t>el</w:t>
      </w:r>
      <w:r>
        <w:rPr>
          <w:spacing w:val="-2"/>
        </w:rPr>
        <w:t xml:space="preserve"> </w:t>
      </w:r>
      <w:r>
        <w:t>precio</w:t>
      </w:r>
      <w:r>
        <w:rPr>
          <w:spacing w:val="-2"/>
        </w:rPr>
        <w:t xml:space="preserve"> </w:t>
      </w:r>
      <w:r>
        <w:t>se</w:t>
      </w:r>
      <w:r>
        <w:rPr>
          <w:spacing w:val="-2"/>
        </w:rPr>
        <w:t xml:space="preserve"> </w:t>
      </w:r>
      <w:r>
        <w:t>determinará,</w:t>
      </w:r>
      <w:r>
        <w:rPr>
          <w:spacing w:val="-2"/>
        </w:rPr>
        <w:t xml:space="preserve"> </w:t>
      </w:r>
      <w:r>
        <w:t>dentro</w:t>
      </w:r>
      <w:r>
        <w:rPr>
          <w:spacing w:val="-2"/>
        </w:rPr>
        <w:t xml:space="preserve"> </w:t>
      </w:r>
      <w:r>
        <w:t>de los límites fijados para el precio máximo, en función de los costes en que realmente incurra</w:t>
      </w:r>
      <w:r>
        <w:rPr>
          <w:spacing w:val="40"/>
        </w:rPr>
        <w:t xml:space="preserve"> </w:t>
      </w:r>
      <w:r>
        <w:t>el contratista y del beneficio que se haya acordado, para lo que, en todo caso, se detallarán en el contrato los siguientes extremos:</w:t>
      </w:r>
    </w:p>
    <w:p w:rsidR="0092635B" w:rsidRDefault="00000000">
      <w:pPr>
        <w:pStyle w:val="Prrafodelista"/>
        <w:numPr>
          <w:ilvl w:val="1"/>
          <w:numId w:val="265"/>
        </w:numPr>
        <w:tabs>
          <w:tab w:val="left" w:pos="1728"/>
        </w:tabs>
        <w:spacing w:before="123" w:line="249" w:lineRule="auto"/>
        <w:ind w:right="1104" w:firstLine="340"/>
        <w:rPr>
          <w:sz w:val="20"/>
        </w:rPr>
      </w:pPr>
      <w:r>
        <w:rPr>
          <w:sz w:val="20"/>
        </w:rPr>
        <w:t>El</w:t>
      </w:r>
      <w:r>
        <w:rPr>
          <w:spacing w:val="40"/>
          <w:sz w:val="20"/>
        </w:rPr>
        <w:t xml:space="preserve"> </w:t>
      </w:r>
      <w:r>
        <w:rPr>
          <w:sz w:val="20"/>
        </w:rPr>
        <w:t>procedimiento</w:t>
      </w:r>
      <w:r>
        <w:rPr>
          <w:spacing w:val="40"/>
          <w:sz w:val="20"/>
        </w:rPr>
        <w:t xml:space="preserve"> </w:t>
      </w:r>
      <w:r>
        <w:rPr>
          <w:sz w:val="20"/>
        </w:rPr>
        <w:t>para</w:t>
      </w:r>
      <w:r>
        <w:rPr>
          <w:spacing w:val="40"/>
          <w:sz w:val="20"/>
        </w:rPr>
        <w:t xml:space="preserve"> </w:t>
      </w:r>
      <w:r>
        <w:rPr>
          <w:sz w:val="20"/>
        </w:rPr>
        <w:t>determinar</w:t>
      </w:r>
      <w:r>
        <w:rPr>
          <w:spacing w:val="40"/>
          <w:sz w:val="20"/>
        </w:rPr>
        <w:t xml:space="preserve"> </w:t>
      </w:r>
      <w:r>
        <w:rPr>
          <w:sz w:val="20"/>
        </w:rPr>
        <w:t>el</w:t>
      </w:r>
      <w:r>
        <w:rPr>
          <w:spacing w:val="40"/>
          <w:sz w:val="20"/>
        </w:rPr>
        <w:t xml:space="preserve"> </w:t>
      </w:r>
      <w:r>
        <w:rPr>
          <w:sz w:val="20"/>
        </w:rPr>
        <w:t>precio</w:t>
      </w:r>
      <w:r>
        <w:rPr>
          <w:spacing w:val="40"/>
          <w:sz w:val="20"/>
        </w:rPr>
        <w:t xml:space="preserve"> </w:t>
      </w:r>
      <w:r>
        <w:rPr>
          <w:sz w:val="20"/>
        </w:rPr>
        <w:t>definitivo,</w:t>
      </w:r>
      <w:r>
        <w:rPr>
          <w:spacing w:val="40"/>
          <w:sz w:val="20"/>
        </w:rPr>
        <w:t xml:space="preserve"> </w:t>
      </w:r>
      <w:r>
        <w:rPr>
          <w:sz w:val="20"/>
        </w:rPr>
        <w:t>con</w:t>
      </w:r>
      <w:r>
        <w:rPr>
          <w:spacing w:val="40"/>
          <w:sz w:val="20"/>
        </w:rPr>
        <w:t xml:space="preserve"> </w:t>
      </w:r>
      <w:r>
        <w:rPr>
          <w:sz w:val="20"/>
        </w:rPr>
        <w:t>referencia</w:t>
      </w:r>
      <w:r>
        <w:rPr>
          <w:spacing w:val="40"/>
          <w:sz w:val="20"/>
        </w:rPr>
        <w:t xml:space="preserve"> </w:t>
      </w:r>
      <w:r>
        <w:rPr>
          <w:sz w:val="20"/>
        </w:rPr>
        <w:t>a</w:t>
      </w:r>
      <w:r>
        <w:rPr>
          <w:spacing w:val="40"/>
          <w:sz w:val="20"/>
        </w:rPr>
        <w:t xml:space="preserve"> </w:t>
      </w:r>
      <w:r>
        <w:rPr>
          <w:sz w:val="20"/>
        </w:rPr>
        <w:t>los</w:t>
      </w:r>
      <w:r>
        <w:rPr>
          <w:spacing w:val="40"/>
          <w:sz w:val="20"/>
        </w:rPr>
        <w:t xml:space="preserve"> </w:t>
      </w:r>
      <w:r>
        <w:rPr>
          <w:sz w:val="20"/>
        </w:rPr>
        <w:t>costes efectivos y a la fórmula de cálculo del beneficio.</w:t>
      </w:r>
    </w:p>
    <w:p w:rsidR="0092635B" w:rsidRDefault="00000000">
      <w:pPr>
        <w:pStyle w:val="Prrafodelista"/>
        <w:numPr>
          <w:ilvl w:val="1"/>
          <w:numId w:val="265"/>
        </w:numPr>
        <w:tabs>
          <w:tab w:val="left" w:pos="1699"/>
        </w:tabs>
        <w:spacing w:before="1" w:line="249" w:lineRule="auto"/>
        <w:ind w:right="1105" w:firstLine="340"/>
        <w:rPr>
          <w:sz w:val="20"/>
        </w:rPr>
      </w:pPr>
      <w:r>
        <w:rPr>
          <w:sz w:val="20"/>
        </w:rPr>
        <w:t>Las reglas contables que el adjudicatario deberá aplicar para determinar el coste de las prestaciones.</w:t>
      </w:r>
    </w:p>
    <w:p w:rsidR="0092635B" w:rsidRDefault="00000000">
      <w:pPr>
        <w:pStyle w:val="Prrafodelista"/>
        <w:numPr>
          <w:ilvl w:val="1"/>
          <w:numId w:val="265"/>
        </w:numPr>
        <w:tabs>
          <w:tab w:val="left" w:pos="1711"/>
        </w:tabs>
        <w:spacing w:line="249" w:lineRule="auto"/>
        <w:ind w:right="1104" w:firstLine="340"/>
        <w:rPr>
          <w:sz w:val="20"/>
        </w:rPr>
      </w:pPr>
      <w:r>
        <w:rPr>
          <w:sz w:val="20"/>
        </w:rPr>
        <w:t>Los</w:t>
      </w:r>
      <w:r>
        <w:rPr>
          <w:spacing w:val="40"/>
          <w:sz w:val="20"/>
        </w:rPr>
        <w:t xml:space="preserve"> </w:t>
      </w:r>
      <w:r>
        <w:rPr>
          <w:sz w:val="20"/>
        </w:rPr>
        <w:t>controles</w:t>
      </w:r>
      <w:r>
        <w:rPr>
          <w:spacing w:val="40"/>
          <w:sz w:val="20"/>
        </w:rPr>
        <w:t xml:space="preserve"> </w:t>
      </w:r>
      <w:r>
        <w:rPr>
          <w:sz w:val="20"/>
        </w:rPr>
        <w:t>documentales</w:t>
      </w:r>
      <w:r>
        <w:rPr>
          <w:spacing w:val="40"/>
          <w:sz w:val="20"/>
        </w:rPr>
        <w:t xml:space="preserve"> </w:t>
      </w:r>
      <w:r>
        <w:rPr>
          <w:sz w:val="20"/>
        </w:rPr>
        <w:t>y</w:t>
      </w:r>
      <w:r>
        <w:rPr>
          <w:spacing w:val="40"/>
          <w:sz w:val="20"/>
        </w:rPr>
        <w:t xml:space="preserve"> </w:t>
      </w:r>
      <w:r>
        <w:rPr>
          <w:sz w:val="20"/>
        </w:rPr>
        <w:t>sobre</w:t>
      </w:r>
      <w:r>
        <w:rPr>
          <w:spacing w:val="40"/>
          <w:sz w:val="20"/>
        </w:rPr>
        <w:t xml:space="preserve"> </w:t>
      </w:r>
      <w:r>
        <w:rPr>
          <w:sz w:val="20"/>
        </w:rPr>
        <w:t>el</w:t>
      </w:r>
      <w:r>
        <w:rPr>
          <w:spacing w:val="40"/>
          <w:sz w:val="20"/>
        </w:rPr>
        <w:t xml:space="preserve"> </w:t>
      </w:r>
      <w:r>
        <w:rPr>
          <w:sz w:val="20"/>
        </w:rPr>
        <w:t>proceso</w:t>
      </w:r>
      <w:r>
        <w:rPr>
          <w:spacing w:val="40"/>
          <w:sz w:val="20"/>
        </w:rPr>
        <w:t xml:space="preserve"> </w:t>
      </w:r>
      <w:r>
        <w:rPr>
          <w:sz w:val="20"/>
        </w:rPr>
        <w:t>de</w:t>
      </w:r>
      <w:r>
        <w:rPr>
          <w:spacing w:val="40"/>
          <w:sz w:val="20"/>
        </w:rPr>
        <w:t xml:space="preserve"> </w:t>
      </w:r>
      <w:r>
        <w:rPr>
          <w:sz w:val="20"/>
        </w:rPr>
        <w:t>producción</w:t>
      </w:r>
      <w:r>
        <w:rPr>
          <w:spacing w:val="40"/>
          <w:sz w:val="20"/>
        </w:rPr>
        <w:t xml:space="preserve"> </w:t>
      </w:r>
      <w:r>
        <w:rPr>
          <w:sz w:val="20"/>
        </w:rPr>
        <w:t>que</w:t>
      </w:r>
      <w:r>
        <w:rPr>
          <w:spacing w:val="40"/>
          <w:sz w:val="20"/>
        </w:rPr>
        <w:t xml:space="preserve"> </w:t>
      </w:r>
      <w:r>
        <w:rPr>
          <w:sz w:val="20"/>
        </w:rPr>
        <w:t>el</w:t>
      </w:r>
      <w:r>
        <w:rPr>
          <w:spacing w:val="40"/>
          <w:sz w:val="20"/>
        </w:rPr>
        <w:t xml:space="preserve"> </w:t>
      </w:r>
      <w:r>
        <w:rPr>
          <w:sz w:val="20"/>
        </w:rPr>
        <w:t>adjudicador podrá efectuar sobre los elementos técnicos y contables del coste de producción.</w:t>
      </w:r>
    </w:p>
    <w:p w:rsidR="0092635B" w:rsidRDefault="00000000">
      <w:pPr>
        <w:pStyle w:val="Textoindependiente"/>
        <w:spacing w:before="122"/>
        <w:ind w:left="1446" w:firstLine="0"/>
      </w:pPr>
      <w:r>
        <w:t>En</w:t>
      </w:r>
      <w:r>
        <w:rPr>
          <w:spacing w:val="-2"/>
        </w:rPr>
        <w:t xml:space="preserve"> </w:t>
      </w:r>
      <w:r>
        <w:t>los</w:t>
      </w:r>
      <w:r>
        <w:rPr>
          <w:spacing w:val="-1"/>
        </w:rPr>
        <w:t xml:space="preserve"> </w:t>
      </w:r>
      <w:r>
        <w:t>contratos</w:t>
      </w:r>
      <w:r>
        <w:rPr>
          <w:spacing w:val="-2"/>
        </w:rPr>
        <w:t xml:space="preserve"> </w:t>
      </w:r>
      <w:r>
        <w:t>celebrados</w:t>
      </w:r>
      <w:r>
        <w:rPr>
          <w:spacing w:val="-1"/>
        </w:rPr>
        <w:t xml:space="preserve"> </w:t>
      </w:r>
      <w:r>
        <w:t>con</w:t>
      </w:r>
      <w:r>
        <w:rPr>
          <w:spacing w:val="-2"/>
        </w:rPr>
        <w:t xml:space="preserve"> </w:t>
      </w:r>
      <w:r>
        <w:t>precios</w:t>
      </w:r>
      <w:r>
        <w:rPr>
          <w:spacing w:val="-1"/>
        </w:rPr>
        <w:t xml:space="preserve"> </w:t>
      </w:r>
      <w:r>
        <w:t>provisionales</w:t>
      </w:r>
      <w:r>
        <w:rPr>
          <w:spacing w:val="-1"/>
        </w:rPr>
        <w:t xml:space="preserve"> </w:t>
      </w:r>
      <w:r>
        <w:t>no</w:t>
      </w:r>
      <w:r>
        <w:rPr>
          <w:spacing w:val="-2"/>
        </w:rPr>
        <w:t xml:space="preserve"> </w:t>
      </w:r>
      <w:r>
        <w:t>cabrá</w:t>
      </w:r>
      <w:r>
        <w:rPr>
          <w:spacing w:val="-1"/>
        </w:rPr>
        <w:t xml:space="preserve"> </w:t>
      </w:r>
      <w:r>
        <w:t>la</w:t>
      </w:r>
      <w:r>
        <w:rPr>
          <w:spacing w:val="-2"/>
        </w:rPr>
        <w:t xml:space="preserve"> </w:t>
      </w:r>
      <w:r>
        <w:t>revisión</w:t>
      </w:r>
      <w:r>
        <w:rPr>
          <w:spacing w:val="-1"/>
        </w:rPr>
        <w:t xml:space="preserve"> </w:t>
      </w:r>
      <w:r>
        <w:t>de</w:t>
      </w:r>
      <w:r>
        <w:rPr>
          <w:spacing w:val="-1"/>
        </w:rPr>
        <w:t xml:space="preserve"> </w:t>
      </w:r>
      <w:r>
        <w:rPr>
          <w:spacing w:val="-2"/>
        </w:rPr>
        <w:t>precios.</w:t>
      </w:r>
    </w:p>
    <w:p w:rsidR="0092635B" w:rsidRDefault="00000000">
      <w:pPr>
        <w:pStyle w:val="Prrafodelista"/>
        <w:numPr>
          <w:ilvl w:val="0"/>
          <w:numId w:val="265"/>
        </w:numPr>
        <w:tabs>
          <w:tab w:val="left" w:pos="1713"/>
        </w:tabs>
        <w:spacing w:before="10" w:line="249" w:lineRule="auto"/>
        <w:ind w:right="1104" w:firstLine="340"/>
        <w:jc w:val="both"/>
        <w:rPr>
          <w:sz w:val="20"/>
        </w:rPr>
      </w:pPr>
      <w:r>
        <w:rPr>
          <w:sz w:val="20"/>
        </w:rPr>
        <w:t>Se prohíbe el pago aplazado del precio en los contratos de las Administraciones Públicas, excepto en los supuestos en que el sistema de pago se establezca mediante la modalidad de arrendamiento financiero o de arrendamiento con opción de compra, así como en los casos en que esta u otra Ley lo autorice expresamente.</w:t>
      </w:r>
    </w:p>
    <w:p w:rsidR="0092635B" w:rsidRDefault="0092635B">
      <w:pPr>
        <w:pStyle w:val="Textoindependiente"/>
        <w:spacing w:before="113"/>
        <w:ind w:left="0" w:firstLine="0"/>
        <w:jc w:val="left"/>
      </w:pPr>
    </w:p>
    <w:p w:rsidR="0092635B" w:rsidRDefault="00000000">
      <w:pPr>
        <w:pStyle w:val="Textoindependiente"/>
        <w:spacing w:before="0"/>
        <w:ind w:left="0" w:firstLine="0"/>
        <w:jc w:val="center"/>
      </w:pPr>
      <w:bookmarkStart w:id="165" w:name="CAPÍTULO_II._Revisión_de_precios_en_los_"/>
      <w:bookmarkStart w:id="166" w:name="_bookmark32"/>
      <w:bookmarkEnd w:id="165"/>
      <w:bookmarkEnd w:id="166"/>
      <w:r>
        <w:t xml:space="preserve">CAPÍTULO </w:t>
      </w:r>
      <w:r>
        <w:rPr>
          <w:spacing w:val="-5"/>
        </w:rPr>
        <w:t>II</w:t>
      </w:r>
    </w:p>
    <w:p w:rsidR="0092635B" w:rsidRDefault="00000000">
      <w:pPr>
        <w:pStyle w:val="Ttulo2"/>
        <w:spacing w:before="124"/>
      </w:pPr>
      <w:r>
        <w:t>Revisión</w:t>
      </w:r>
      <w:r>
        <w:rPr>
          <w:spacing w:val="-3"/>
        </w:rPr>
        <w:t xml:space="preserve"> </w:t>
      </w:r>
      <w:r>
        <w:t>de</w:t>
      </w:r>
      <w:r>
        <w:rPr>
          <w:spacing w:val="-3"/>
        </w:rPr>
        <w:t xml:space="preserve"> </w:t>
      </w:r>
      <w:r>
        <w:t>precios</w:t>
      </w:r>
      <w:r>
        <w:rPr>
          <w:spacing w:val="-3"/>
        </w:rPr>
        <w:t xml:space="preserve"> </w:t>
      </w:r>
      <w:r>
        <w:t>en</w:t>
      </w:r>
      <w:r>
        <w:rPr>
          <w:spacing w:val="-3"/>
        </w:rPr>
        <w:t xml:space="preserve"> </w:t>
      </w:r>
      <w:r>
        <w:t>los</w:t>
      </w:r>
      <w:r>
        <w:rPr>
          <w:spacing w:val="-3"/>
        </w:rPr>
        <w:t xml:space="preserve"> </w:t>
      </w:r>
      <w:r>
        <w:t>contratos</w:t>
      </w:r>
      <w:r>
        <w:rPr>
          <w:spacing w:val="-3"/>
        </w:rPr>
        <w:t xml:space="preserve"> </w:t>
      </w:r>
      <w:r>
        <w:t>de</w:t>
      </w:r>
      <w:r>
        <w:rPr>
          <w:spacing w:val="-3"/>
        </w:rPr>
        <w:t xml:space="preserve"> </w:t>
      </w:r>
      <w:r>
        <w:t>las</w:t>
      </w:r>
      <w:r>
        <w:rPr>
          <w:spacing w:val="-3"/>
        </w:rPr>
        <w:t xml:space="preserve"> </w:t>
      </w:r>
      <w:r>
        <w:t>entidades</w:t>
      </w:r>
      <w:r>
        <w:rPr>
          <w:spacing w:val="-3"/>
        </w:rPr>
        <w:t xml:space="preserve"> </w:t>
      </w:r>
      <w:r>
        <w:t>del</w:t>
      </w:r>
      <w:r>
        <w:rPr>
          <w:spacing w:val="-3"/>
        </w:rPr>
        <w:t xml:space="preserve"> </w:t>
      </w:r>
      <w:r>
        <w:t>Sector</w:t>
      </w:r>
      <w:r>
        <w:rPr>
          <w:spacing w:val="-3"/>
        </w:rPr>
        <w:t xml:space="preserve"> </w:t>
      </w:r>
      <w:r>
        <w:rPr>
          <w:spacing w:val="-2"/>
        </w:rPr>
        <w:t>Público</w:t>
      </w:r>
    </w:p>
    <w:p w:rsidR="0092635B" w:rsidRDefault="0092635B">
      <w:pPr>
        <w:pStyle w:val="Textoindependiente"/>
        <w:spacing w:before="6"/>
        <w:ind w:left="0" w:firstLine="0"/>
        <w:jc w:val="left"/>
        <w:rPr>
          <w:rFonts w:ascii="Arial"/>
          <w:b/>
        </w:rPr>
      </w:pPr>
    </w:p>
    <w:p w:rsidR="0092635B" w:rsidRDefault="00000000">
      <w:pPr>
        <w:ind w:left="1106"/>
        <w:rPr>
          <w:rFonts w:ascii="Arial" w:hAnsi="Arial"/>
          <w:i/>
          <w:sz w:val="20"/>
        </w:rPr>
      </w:pPr>
      <w:bookmarkStart w:id="167" w:name="Artículo_103._Procedencia_y_límites."/>
      <w:bookmarkEnd w:id="167"/>
      <w:r>
        <w:rPr>
          <w:rFonts w:ascii="Arial" w:hAnsi="Arial"/>
          <w:b/>
          <w:sz w:val="20"/>
        </w:rPr>
        <w:t>Artículo</w:t>
      </w:r>
      <w:r>
        <w:rPr>
          <w:rFonts w:ascii="Arial" w:hAnsi="Arial"/>
          <w:b/>
          <w:spacing w:val="-3"/>
          <w:sz w:val="20"/>
        </w:rPr>
        <w:t xml:space="preserve"> </w:t>
      </w:r>
      <w:r>
        <w:rPr>
          <w:rFonts w:ascii="Arial" w:hAnsi="Arial"/>
          <w:b/>
          <w:sz w:val="20"/>
        </w:rPr>
        <w:t>103.</w:t>
      </w:r>
      <w:r>
        <w:rPr>
          <w:rFonts w:ascii="Arial" w:hAnsi="Arial"/>
          <w:b/>
          <w:spacing w:val="51"/>
          <w:sz w:val="20"/>
        </w:rPr>
        <w:t xml:space="preserve"> </w:t>
      </w:r>
      <w:r>
        <w:rPr>
          <w:rFonts w:ascii="Arial" w:hAnsi="Arial"/>
          <w:i/>
          <w:sz w:val="20"/>
        </w:rPr>
        <w:t>Procedencia</w:t>
      </w:r>
      <w:r>
        <w:rPr>
          <w:rFonts w:ascii="Arial" w:hAnsi="Arial"/>
          <w:i/>
          <w:spacing w:val="-2"/>
          <w:sz w:val="20"/>
        </w:rPr>
        <w:t xml:space="preserve"> </w:t>
      </w:r>
      <w:r>
        <w:rPr>
          <w:rFonts w:ascii="Arial" w:hAnsi="Arial"/>
          <w:i/>
          <w:sz w:val="20"/>
        </w:rPr>
        <w:t>y</w:t>
      </w:r>
      <w:r>
        <w:rPr>
          <w:rFonts w:ascii="Arial" w:hAnsi="Arial"/>
          <w:i/>
          <w:spacing w:val="-2"/>
          <w:sz w:val="20"/>
        </w:rPr>
        <w:t xml:space="preserve"> límites.</w:t>
      </w:r>
    </w:p>
    <w:p w:rsidR="0092635B" w:rsidRDefault="00000000">
      <w:pPr>
        <w:pStyle w:val="Prrafodelista"/>
        <w:numPr>
          <w:ilvl w:val="0"/>
          <w:numId w:val="264"/>
        </w:numPr>
        <w:tabs>
          <w:tab w:val="left" w:pos="1707"/>
        </w:tabs>
        <w:spacing w:before="124" w:line="249" w:lineRule="auto"/>
        <w:ind w:right="1105" w:firstLine="340"/>
        <w:jc w:val="both"/>
        <w:rPr>
          <w:sz w:val="20"/>
        </w:rPr>
      </w:pPr>
      <w:r>
        <w:rPr>
          <w:sz w:val="20"/>
        </w:rPr>
        <w:t>Los precios de los contratos del sector público solo podrán ser objeto de revisión periódica y predeterminada en los términos establecidos en este Capítulo.</w:t>
      </w:r>
    </w:p>
    <w:p w:rsidR="0092635B" w:rsidRDefault="00000000">
      <w:pPr>
        <w:pStyle w:val="Textoindependiente"/>
        <w:spacing w:before="1" w:line="249" w:lineRule="auto"/>
        <w:ind w:right="1103"/>
      </w:pPr>
      <w:r>
        <w:t>Salvo en los contratos no sujetos a regulación armonizada a los que se refiere el apartado 2 del artículo 19, no cabrá la revisión periódica no predeterminada o no periódica</w:t>
      </w:r>
      <w:r>
        <w:rPr>
          <w:spacing w:val="40"/>
        </w:rPr>
        <w:t xml:space="preserve"> </w:t>
      </w:r>
      <w:r>
        <w:t>de los precios de los contratos.</w:t>
      </w:r>
    </w:p>
    <w:p w:rsidR="0092635B" w:rsidRDefault="00000000">
      <w:pPr>
        <w:pStyle w:val="Textoindependiente"/>
        <w:spacing w:before="3" w:line="249" w:lineRule="auto"/>
        <w:ind w:right="1105"/>
      </w:pPr>
      <w:r>
        <w:t>Se entenderá por precio cualquier retribución o contraprestación económica del contrato, bien sean abonadas por la Administración o por los usuarios.</w:t>
      </w:r>
    </w:p>
    <w:p w:rsidR="0092635B" w:rsidRDefault="00000000">
      <w:pPr>
        <w:pStyle w:val="Prrafodelista"/>
        <w:numPr>
          <w:ilvl w:val="0"/>
          <w:numId w:val="264"/>
        </w:numPr>
        <w:tabs>
          <w:tab w:val="left" w:pos="1713"/>
        </w:tabs>
        <w:spacing w:line="249" w:lineRule="auto"/>
        <w:ind w:right="1102" w:firstLine="340"/>
        <w:jc w:val="both"/>
        <w:rPr>
          <w:sz w:val="20"/>
        </w:rPr>
      </w:pPr>
      <w:r>
        <w:rPr>
          <w:sz w:val="20"/>
        </w:rPr>
        <w:t>Previa justificación en el expediente y de conformidad con lo previsto en el Real Decreto al que se refieren los artículos 4 y 5 de la Ley 2/2015, de 30 de marzo, de desindexación de la economía española, la revisión periódica y predeterminada de precios sólo se podrá llevar a cabo en los contratos de obra, en los contratos de suministros de fabricación de armamento y equipamiento de las Administraciones Públicas, en los contratos de suministro de energía y en aquellos otros contratos en los que el período de recuperación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de la inversión sea igual o superior a cinco años. Dicho período se calculará conforme a lo dispuesto en el Real Decreto anteriormente citado.</w:t>
      </w:r>
    </w:p>
    <w:p w:rsidR="0092635B" w:rsidRDefault="00000000">
      <w:pPr>
        <w:pStyle w:val="Textoindependiente"/>
        <w:spacing w:before="1" w:line="249" w:lineRule="auto"/>
        <w:ind w:right="1103"/>
      </w:pPr>
      <w:r>
        <w:t>No se considerarán revisables en ningún caso los costes asociados a las</w:t>
      </w:r>
      <w:r>
        <w:rPr>
          <w:spacing w:val="80"/>
        </w:rPr>
        <w:t xml:space="preserve"> </w:t>
      </w:r>
      <w:r>
        <w:t>amortizaciones, los costes financieros, los gastos generales o de estructura ni el beneficio industrial. Los costes de mano de obra de los contratos distintos de los de obra, suministro</w:t>
      </w:r>
      <w:r>
        <w:rPr>
          <w:spacing w:val="40"/>
        </w:rPr>
        <w:t xml:space="preserve"> </w:t>
      </w:r>
      <w:r>
        <w:t>de fabricación de armamento y equipamiento de las Administraciones Públicas, se revisarán cuando el período de recuperación de la inversión sea igual o superior a cinco años y la intensidad en el uso del factor trabajo sea considerada significativa, de acuerdo con los supuestos y límites establecidos en el Real Decreto.</w:t>
      </w:r>
    </w:p>
    <w:p w:rsidR="0092635B" w:rsidRDefault="00000000">
      <w:pPr>
        <w:pStyle w:val="Textoindependiente"/>
        <w:spacing w:before="6" w:line="249" w:lineRule="auto"/>
        <w:ind w:right="1103"/>
      </w:pPr>
      <w:r>
        <w:t>No obstante, previa justificación en el expediente, podrá admitirse la revisión de precios en los contratos que no sean de obras, de suministros de fabricación de armamento y equipamiento de las Administraciones Públicas o de suministro de energía, aunque su período de recuperación de la inversión sea inferior a cinco años siempre que la suma de la participación en el presupuesto base de licitación del contrato de las materias primas, bienes intermedios y energía que se hayan de emplear supere el 20 por ciento de dicho presupuesto. En estos casos la revisión solo podrá afectar a la fracción del precio del contrato que representa dicha participación. El pliego deberá indicar el peso de cada materia prima, bien intermedio o suministro energético con participación superior al 1 por ciento y su respectivo índice oficial de revisión de precios. No será exigible para la inclusión en los pliegos de la fórmula de revisión a aplicar al precio del contrato la emisión de informe por el Comité Superior de Precios de Contratos del Estado.</w:t>
      </w:r>
    </w:p>
    <w:p w:rsidR="0092635B" w:rsidRDefault="00000000">
      <w:pPr>
        <w:pStyle w:val="Prrafodelista"/>
        <w:numPr>
          <w:ilvl w:val="0"/>
          <w:numId w:val="264"/>
        </w:numPr>
        <w:tabs>
          <w:tab w:val="left" w:pos="1715"/>
        </w:tabs>
        <w:spacing w:before="10" w:line="249" w:lineRule="auto"/>
        <w:ind w:right="1104" w:firstLine="340"/>
        <w:jc w:val="both"/>
        <w:rPr>
          <w:sz w:val="20"/>
        </w:rPr>
      </w:pPr>
      <w:r>
        <w:rPr>
          <w:sz w:val="20"/>
        </w:rPr>
        <w:t>En los supuestos en que proceda, el órgano de contratación podrá establecer el derecho a revisión periódica y predeterminada de precios y fijará la fórmula de revisión que deba</w:t>
      </w:r>
      <w:r>
        <w:rPr>
          <w:spacing w:val="-2"/>
          <w:sz w:val="20"/>
        </w:rPr>
        <w:t xml:space="preserve"> </w:t>
      </w:r>
      <w:r>
        <w:rPr>
          <w:sz w:val="20"/>
        </w:rPr>
        <w:t>aplicarse,</w:t>
      </w:r>
      <w:r>
        <w:rPr>
          <w:spacing w:val="-2"/>
          <w:sz w:val="20"/>
        </w:rPr>
        <w:t xml:space="preserve"> </w:t>
      </w:r>
      <w:r>
        <w:rPr>
          <w:sz w:val="20"/>
        </w:rPr>
        <w:t>atendiendo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naturaleza</w:t>
      </w:r>
      <w:r>
        <w:rPr>
          <w:spacing w:val="-2"/>
          <w:sz w:val="20"/>
        </w:rPr>
        <w:t xml:space="preserve"> </w:t>
      </w:r>
      <w:r>
        <w:rPr>
          <w:sz w:val="20"/>
        </w:rPr>
        <w:t>de</w:t>
      </w:r>
      <w:r>
        <w:rPr>
          <w:spacing w:val="-2"/>
          <w:sz w:val="20"/>
        </w:rPr>
        <w:t xml:space="preserve"> </w:t>
      </w:r>
      <w:r>
        <w:rPr>
          <w:sz w:val="20"/>
        </w:rPr>
        <w:t>cada</w:t>
      </w:r>
      <w:r>
        <w:rPr>
          <w:spacing w:val="-2"/>
          <w:sz w:val="20"/>
        </w:rPr>
        <w:t xml:space="preserve"> </w:t>
      </w:r>
      <w:r>
        <w:rPr>
          <w:sz w:val="20"/>
        </w:rPr>
        <w:t>contrato</w:t>
      </w:r>
      <w:r>
        <w:rPr>
          <w:spacing w:val="-2"/>
          <w:sz w:val="20"/>
        </w:rPr>
        <w:t xml:space="preserve"> </w:t>
      </w:r>
      <w:r>
        <w:rPr>
          <w:sz w:val="20"/>
        </w:rPr>
        <w:t>y</w:t>
      </w:r>
      <w:r>
        <w:rPr>
          <w:spacing w:val="-2"/>
          <w:sz w:val="20"/>
        </w:rPr>
        <w:t xml:space="preserve"> </w:t>
      </w:r>
      <w:r>
        <w:rPr>
          <w:sz w:val="20"/>
        </w:rPr>
        <w:t>la</w:t>
      </w:r>
      <w:r>
        <w:rPr>
          <w:spacing w:val="-2"/>
          <w:sz w:val="20"/>
        </w:rPr>
        <w:t xml:space="preserve"> </w:t>
      </w:r>
      <w:r>
        <w:rPr>
          <w:sz w:val="20"/>
        </w:rPr>
        <w:t>estructura</w:t>
      </w:r>
      <w:r>
        <w:rPr>
          <w:spacing w:val="-2"/>
          <w:sz w:val="20"/>
        </w:rPr>
        <w:t xml:space="preserve"> </w:t>
      </w:r>
      <w:r>
        <w:rPr>
          <w:sz w:val="20"/>
        </w:rPr>
        <w:t>y</w:t>
      </w:r>
      <w:r>
        <w:rPr>
          <w:spacing w:val="-2"/>
          <w:sz w:val="20"/>
        </w:rPr>
        <w:t xml:space="preserve"> </w:t>
      </w:r>
      <w:r>
        <w:rPr>
          <w:sz w:val="20"/>
        </w:rPr>
        <w:t>evolución</w:t>
      </w:r>
      <w:r>
        <w:rPr>
          <w:spacing w:val="-2"/>
          <w:sz w:val="20"/>
        </w:rPr>
        <w:t xml:space="preserve"> </w:t>
      </w:r>
      <w:r>
        <w:rPr>
          <w:sz w:val="20"/>
        </w:rPr>
        <w:t>de</w:t>
      </w:r>
      <w:r>
        <w:rPr>
          <w:spacing w:val="-2"/>
          <w:sz w:val="20"/>
        </w:rPr>
        <w:t xml:space="preserve"> </w:t>
      </w:r>
      <w:r>
        <w:rPr>
          <w:sz w:val="20"/>
        </w:rPr>
        <w:t>los costes de las prestaciones del mismo.</w:t>
      </w:r>
    </w:p>
    <w:p w:rsidR="0092635B" w:rsidRDefault="00000000">
      <w:pPr>
        <w:pStyle w:val="Prrafodelista"/>
        <w:numPr>
          <w:ilvl w:val="0"/>
          <w:numId w:val="264"/>
        </w:numPr>
        <w:tabs>
          <w:tab w:val="left" w:pos="1690"/>
        </w:tabs>
        <w:spacing w:before="3" w:line="249" w:lineRule="auto"/>
        <w:ind w:firstLine="340"/>
        <w:jc w:val="both"/>
        <w:rPr>
          <w:sz w:val="20"/>
        </w:rPr>
      </w:pPr>
      <w:r>
        <w:rPr>
          <w:sz w:val="20"/>
        </w:rPr>
        <w:t>El pliego de cláusulas administrativas particulares deberá detallar, en tales casos, la fórmula de revisión aplicable, que será invariable durante la vigencia del contrato y determinará la revisión de precios en cada fecha respecto a la fecha de formalización del contrato, siempre que la formalización se produzca en el plazo de tres meses desde la finalización del plazo de presentación de ofertas, o respecto a la fecha en que termine dicho plazo de tres meses si la formalización se produce con posterioridad.</w:t>
      </w:r>
    </w:p>
    <w:p w:rsidR="0092635B" w:rsidRDefault="00000000">
      <w:pPr>
        <w:pStyle w:val="Prrafodelista"/>
        <w:numPr>
          <w:ilvl w:val="0"/>
          <w:numId w:val="264"/>
        </w:numPr>
        <w:tabs>
          <w:tab w:val="left" w:pos="1673"/>
        </w:tabs>
        <w:spacing w:before="5" w:line="249" w:lineRule="auto"/>
        <w:ind w:firstLine="340"/>
        <w:jc w:val="both"/>
        <w:rPr>
          <w:sz w:val="20"/>
        </w:rPr>
      </w:pPr>
      <w:r>
        <w:rPr>
          <w:sz w:val="20"/>
        </w:rPr>
        <w:t>Salvo en los contratos de suministro de energía, cuando proceda, la revisión periódica y predeterminada de precios en los contratos del sector público tendrá lugar en los términos establecidos en este capítulo, cuando el contrato se hubiese ejecutado, al menos, en el 20 por ciento de su importe y hubiese transcurrido un año desde su formalización. En consecuencia, el primer 20 por ciento ejecutado y el importe ejecutado en el primer año transcurrido desde la formalización quedarán excluidos de la revisión.</w:t>
      </w:r>
    </w:p>
    <w:p w:rsidR="0092635B" w:rsidRDefault="00000000">
      <w:pPr>
        <w:pStyle w:val="Textoindependiente"/>
        <w:spacing w:before="5" w:line="249" w:lineRule="auto"/>
        <w:ind w:right="1105"/>
      </w:pPr>
      <w:r>
        <w:t>No obstante, la condición relativa al porcentaje de ejecución del contrato no será exigible a efectos de proceder a la revisión periódica y predeterminada en los contratos de concesión de servicios.</w:t>
      </w:r>
    </w:p>
    <w:p w:rsidR="0092635B" w:rsidRDefault="00000000">
      <w:pPr>
        <w:pStyle w:val="Prrafodelista"/>
        <w:numPr>
          <w:ilvl w:val="0"/>
          <w:numId w:val="264"/>
        </w:numPr>
        <w:tabs>
          <w:tab w:val="left" w:pos="1716"/>
        </w:tabs>
        <w:spacing w:line="249" w:lineRule="auto"/>
        <w:ind w:right="1105" w:firstLine="340"/>
        <w:jc w:val="both"/>
        <w:rPr>
          <w:sz w:val="20"/>
        </w:rPr>
      </w:pPr>
      <w:r>
        <w:rPr>
          <w:sz w:val="20"/>
        </w:rPr>
        <w:t>El Consejo de Ministros podrá aprobar, previo informe de la Junta Consultiva de Contratación Pública del Estado y de la Comisión Delegada del Gobierno para Asuntos Económicos, fórmulas tipo de revisión periódica y predeterminada para los contratos previstos en el apartado 2.</w:t>
      </w:r>
    </w:p>
    <w:p w:rsidR="0092635B" w:rsidRDefault="00000000">
      <w:pPr>
        <w:pStyle w:val="Textoindependiente"/>
        <w:spacing w:before="4" w:line="249" w:lineRule="auto"/>
        <w:ind w:right="1104"/>
      </w:pPr>
      <w:r>
        <w:t>A propuesta de la Administración Pública competente de la contratación, el Comité Superior de Precios de Contratos del Estado determinará aquellas actividades donde resulte conveniente contar con una fórmula tipo, elaborará las fórmulas y las remitirá para su aprobación al Consejo de Ministros.</w:t>
      </w:r>
    </w:p>
    <w:p w:rsidR="0092635B" w:rsidRDefault="00000000">
      <w:pPr>
        <w:pStyle w:val="Textoindependiente"/>
        <w:spacing w:before="3" w:line="249" w:lineRule="auto"/>
        <w:ind w:right="1104"/>
      </w:pPr>
      <w:r>
        <w:t>Cuando para un determinado tipo de contrato, se hayan aprobado, por el procedimiento descrito, fórmulas tipo, el órgano de contratación no podrá incluir otra fórmula de revisión diferente a esta en los pliegos y contrato.</w:t>
      </w:r>
    </w:p>
    <w:p w:rsidR="0092635B" w:rsidRDefault="00000000">
      <w:pPr>
        <w:pStyle w:val="Prrafodelista"/>
        <w:numPr>
          <w:ilvl w:val="0"/>
          <w:numId w:val="264"/>
        </w:numPr>
        <w:tabs>
          <w:tab w:val="left" w:pos="1702"/>
        </w:tabs>
        <w:spacing w:line="249" w:lineRule="auto"/>
        <w:ind w:right="1104" w:firstLine="340"/>
        <w:jc w:val="both"/>
        <w:rPr>
          <w:sz w:val="20"/>
        </w:rPr>
      </w:pPr>
      <w:r>
        <w:rPr>
          <w:sz w:val="20"/>
        </w:rPr>
        <w:t>Las fórmulas tipo que se establezcan con sujeción a los principios y metodologías contenidos en el Real Decreto referido en el apartado 2 de la presente disposición reflejarán la ponderación en el precio del contrato de los componentes básicos de costes relativos al proceso de generación de las prestaciones objeto del mismo.</w:t>
      </w:r>
    </w:p>
    <w:p w:rsidR="0092635B" w:rsidRDefault="00000000">
      <w:pPr>
        <w:pStyle w:val="Prrafodelista"/>
        <w:numPr>
          <w:ilvl w:val="0"/>
          <w:numId w:val="264"/>
        </w:numPr>
        <w:tabs>
          <w:tab w:val="left" w:pos="1679"/>
        </w:tabs>
        <w:spacing w:before="4" w:line="249" w:lineRule="auto"/>
        <w:ind w:firstLine="340"/>
        <w:jc w:val="both"/>
        <w:rPr>
          <w:sz w:val="20"/>
        </w:rPr>
      </w:pPr>
      <w:r>
        <w:rPr>
          <w:sz w:val="20"/>
        </w:rPr>
        <w:t>El Instituto Nacional de Estadística elaborará los índices mensuales de los precios de los</w:t>
      </w:r>
      <w:r>
        <w:rPr>
          <w:spacing w:val="14"/>
          <w:sz w:val="20"/>
        </w:rPr>
        <w:t xml:space="preserve"> </w:t>
      </w:r>
      <w:r>
        <w:rPr>
          <w:sz w:val="20"/>
        </w:rPr>
        <w:t>componentes</w:t>
      </w:r>
      <w:r>
        <w:rPr>
          <w:spacing w:val="14"/>
          <w:sz w:val="20"/>
        </w:rPr>
        <w:t xml:space="preserve"> </w:t>
      </w:r>
      <w:r>
        <w:rPr>
          <w:sz w:val="20"/>
        </w:rPr>
        <w:t>básicos</w:t>
      </w:r>
      <w:r>
        <w:rPr>
          <w:spacing w:val="14"/>
          <w:sz w:val="20"/>
        </w:rPr>
        <w:t xml:space="preserve"> </w:t>
      </w:r>
      <w:r>
        <w:rPr>
          <w:sz w:val="20"/>
        </w:rPr>
        <w:t>de</w:t>
      </w:r>
      <w:r>
        <w:rPr>
          <w:spacing w:val="14"/>
          <w:sz w:val="20"/>
        </w:rPr>
        <w:t xml:space="preserve"> </w:t>
      </w:r>
      <w:r>
        <w:rPr>
          <w:sz w:val="20"/>
        </w:rPr>
        <w:t>costes</w:t>
      </w:r>
      <w:r>
        <w:rPr>
          <w:spacing w:val="14"/>
          <w:sz w:val="20"/>
        </w:rPr>
        <w:t xml:space="preserve"> </w:t>
      </w:r>
      <w:r>
        <w:rPr>
          <w:sz w:val="20"/>
        </w:rPr>
        <w:t>incluidos</w:t>
      </w:r>
      <w:r>
        <w:rPr>
          <w:spacing w:val="14"/>
          <w:sz w:val="20"/>
        </w:rPr>
        <w:t xml:space="preserve"> </w:t>
      </w:r>
      <w:r>
        <w:rPr>
          <w:sz w:val="20"/>
        </w:rPr>
        <w:t>en</w:t>
      </w:r>
      <w:r>
        <w:rPr>
          <w:spacing w:val="14"/>
          <w:sz w:val="20"/>
        </w:rPr>
        <w:t xml:space="preserve"> </w:t>
      </w:r>
      <w:r>
        <w:rPr>
          <w:sz w:val="20"/>
        </w:rPr>
        <w:t>las</w:t>
      </w:r>
      <w:r>
        <w:rPr>
          <w:spacing w:val="14"/>
          <w:sz w:val="20"/>
        </w:rPr>
        <w:t xml:space="preserve"> </w:t>
      </w:r>
      <w:r>
        <w:rPr>
          <w:sz w:val="20"/>
        </w:rPr>
        <w:t>fórmulas</w:t>
      </w:r>
      <w:r>
        <w:rPr>
          <w:spacing w:val="14"/>
          <w:sz w:val="20"/>
        </w:rPr>
        <w:t xml:space="preserve"> </w:t>
      </w:r>
      <w:r>
        <w:rPr>
          <w:sz w:val="20"/>
        </w:rPr>
        <w:t>tipo</w:t>
      </w:r>
      <w:r>
        <w:rPr>
          <w:spacing w:val="14"/>
          <w:sz w:val="20"/>
        </w:rPr>
        <w:t xml:space="preserve"> </w:t>
      </w:r>
      <w:r>
        <w:rPr>
          <w:sz w:val="20"/>
        </w:rPr>
        <w:t>de</w:t>
      </w:r>
      <w:r>
        <w:rPr>
          <w:spacing w:val="14"/>
          <w:sz w:val="20"/>
        </w:rPr>
        <w:t xml:space="preserve"> </w:t>
      </w:r>
      <w:r>
        <w:rPr>
          <w:sz w:val="20"/>
        </w:rPr>
        <w:t>revisión</w:t>
      </w:r>
      <w:r>
        <w:rPr>
          <w:spacing w:val="14"/>
          <w:sz w:val="20"/>
        </w:rPr>
        <w:t xml:space="preserve"> </w:t>
      </w:r>
      <w:r>
        <w:rPr>
          <w:sz w:val="20"/>
        </w:rPr>
        <w:t>de</w:t>
      </w:r>
      <w:r>
        <w:rPr>
          <w:spacing w:val="14"/>
          <w:sz w:val="20"/>
        </w:rPr>
        <w:t xml:space="preserve"> </w:t>
      </w:r>
      <w:r>
        <w:rPr>
          <w:sz w:val="20"/>
        </w:rPr>
        <w:t>precios</w:t>
      </w:r>
      <w:r>
        <w:rPr>
          <w:spacing w:val="14"/>
          <w:sz w:val="20"/>
        </w:rPr>
        <w:t xml:space="preserve"> </w:t>
      </w:r>
      <w:r>
        <w:rPr>
          <w:spacing w:val="-5"/>
          <w:sz w:val="20"/>
        </w:rPr>
        <w:t>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pPr>
      <w:r>
        <w:t>los contratos, los cuales serán aprobados por Orden del Ministro de Hacienda y Función Pública, previo informe del Comité Superior de Precios de Contratos del Estado.</w:t>
      </w:r>
    </w:p>
    <w:p w:rsidR="0092635B" w:rsidRDefault="00000000">
      <w:pPr>
        <w:pStyle w:val="Textoindependiente"/>
        <w:spacing w:before="1" w:line="249" w:lineRule="auto"/>
        <w:ind w:right="1104"/>
      </w:pPr>
      <w:r>
        <w:t>Los índices reflejarán, al alza o a la baja, las variaciones reales de los precios de la energía y materiales básicos observadas en el mercado y podrán ser únicos para todo el territorio nacional o particularizarse por zonas geográficas.</w:t>
      </w:r>
    </w:p>
    <w:p w:rsidR="0092635B" w:rsidRDefault="00000000">
      <w:pPr>
        <w:pStyle w:val="Textoindependiente"/>
        <w:spacing w:before="3" w:line="249" w:lineRule="auto"/>
        <w:ind w:right="1104"/>
      </w:pPr>
      <w:r>
        <w:t>Reglamentariamente se establecerá la relación de componentes básicos de costes a incluir en las fórmulas tipo referidas en este apartado, relación que podrá ser ampliada por Orden del Ministro de Hacienda y Función Pública, previo informe de la Junta Consultiva de Contratación Pública del Estado cuando así lo exija la evolución de los procesos productivos o la aparición de nuevos materiales con participación relevante en el coste de determinados contratos</w:t>
      </w:r>
      <w:r>
        <w:rPr>
          <w:spacing w:val="-1"/>
        </w:rPr>
        <w:t xml:space="preserve"> </w:t>
      </w:r>
      <w:r>
        <w:t>o</w:t>
      </w:r>
      <w:r>
        <w:rPr>
          <w:spacing w:val="-1"/>
        </w:rPr>
        <w:t xml:space="preserve"> </w:t>
      </w:r>
      <w:r>
        <w:t>la</w:t>
      </w:r>
      <w:r>
        <w:rPr>
          <w:spacing w:val="-1"/>
        </w:rPr>
        <w:t xml:space="preserve"> </w:t>
      </w:r>
      <w:r>
        <w:t>creación</w:t>
      </w:r>
      <w:r>
        <w:rPr>
          <w:spacing w:val="-1"/>
        </w:rPr>
        <w:t xml:space="preserve"> </w:t>
      </w:r>
      <w:r>
        <w:t>de</w:t>
      </w:r>
      <w:r>
        <w:rPr>
          <w:spacing w:val="-1"/>
        </w:rPr>
        <w:t xml:space="preserve"> </w:t>
      </w:r>
      <w:r>
        <w:t>nuevas</w:t>
      </w:r>
      <w:r>
        <w:rPr>
          <w:spacing w:val="-1"/>
        </w:rPr>
        <w:t xml:space="preserve"> </w:t>
      </w:r>
      <w:r>
        <w:t>fórmulas</w:t>
      </w:r>
      <w:r>
        <w:rPr>
          <w:spacing w:val="-1"/>
        </w:rPr>
        <w:t xml:space="preserve"> </w:t>
      </w:r>
      <w:r>
        <w:t>tipo</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dispuesto</w:t>
      </w:r>
      <w:r>
        <w:rPr>
          <w:spacing w:val="-1"/>
        </w:rPr>
        <w:t xml:space="preserve"> </w:t>
      </w:r>
      <w:r>
        <w:t>en</w:t>
      </w:r>
      <w:r>
        <w:rPr>
          <w:spacing w:val="-1"/>
        </w:rPr>
        <w:t xml:space="preserve"> </w:t>
      </w:r>
      <w:r>
        <w:t>esta</w:t>
      </w:r>
      <w:r>
        <w:rPr>
          <w:spacing w:val="-1"/>
        </w:rPr>
        <w:t xml:space="preserve"> </w:t>
      </w:r>
      <w:r>
        <w:t>Ley</w:t>
      </w:r>
      <w:r>
        <w:rPr>
          <w:spacing w:val="-1"/>
        </w:rPr>
        <w:t xml:space="preserve"> </w:t>
      </w:r>
      <w:r>
        <w:t>y</w:t>
      </w:r>
      <w:r>
        <w:rPr>
          <w:spacing w:val="-1"/>
        </w:rPr>
        <w:t xml:space="preserve"> </w:t>
      </w:r>
      <w:r>
        <w:t xml:space="preserve">su </w:t>
      </w:r>
      <w:r>
        <w:rPr>
          <w:spacing w:val="-2"/>
        </w:rPr>
        <w:t>desarrollo.</w:t>
      </w:r>
    </w:p>
    <w:p w:rsidR="0092635B" w:rsidRDefault="00000000">
      <w:pPr>
        <w:pStyle w:val="Textoindependiente"/>
        <w:spacing w:before="5" w:line="249" w:lineRule="auto"/>
        <w:ind w:right="1104"/>
      </w:pPr>
      <w:r>
        <w:t>Los indicadores o reglas de determinación de cada uno de los índices que intervienen en las fórmulas de revisión de precios serán establecidos por Orden del Ministerio de Hacienda y Función Pública, a propuesta del Comité Superior de Precios de Contratos del Estado.</w:t>
      </w:r>
    </w:p>
    <w:p w:rsidR="0092635B" w:rsidRDefault="00000000">
      <w:pPr>
        <w:pStyle w:val="Prrafodelista"/>
        <w:numPr>
          <w:ilvl w:val="0"/>
          <w:numId w:val="264"/>
        </w:numPr>
        <w:tabs>
          <w:tab w:val="left" w:pos="1674"/>
        </w:tabs>
        <w:spacing w:before="3" w:line="249" w:lineRule="auto"/>
        <w:ind w:firstLine="340"/>
        <w:jc w:val="both"/>
        <w:rPr>
          <w:sz w:val="20"/>
        </w:rPr>
      </w:pPr>
      <w:r>
        <w:rPr>
          <w:sz w:val="20"/>
        </w:rPr>
        <w:t>Cuando resulte aplicable la revisión de precios mediante las fórmulas tipo referidas en el apartado 6 de la presente disposición, el resultado de aplicar las ponderaciones previstas en el apartado 7 a los índices de precios, que se determinen conforme al apartado 8, proporcionará en cada fecha, respecto a la fecha y períodos determinados en el apartado 4, un coeficiente que se aplicará a los importes líquidos de las prestaciones realizadas que tengan derecho a revisión a los efectos de calcular el precio que corresponda satisfacer.</w:t>
      </w:r>
    </w:p>
    <w:p w:rsidR="0092635B" w:rsidRDefault="00000000">
      <w:pPr>
        <w:pStyle w:val="Prrafodelista"/>
        <w:numPr>
          <w:ilvl w:val="0"/>
          <w:numId w:val="264"/>
        </w:numPr>
        <w:tabs>
          <w:tab w:val="left" w:pos="1781"/>
        </w:tabs>
        <w:spacing w:before="5" w:line="249" w:lineRule="auto"/>
        <w:ind w:right="1104" w:firstLine="340"/>
        <w:jc w:val="both"/>
        <w:rPr>
          <w:sz w:val="20"/>
        </w:rPr>
      </w:pPr>
      <w:r>
        <w:rPr>
          <w:sz w:val="20"/>
        </w:rPr>
        <w:t>Lo</w:t>
      </w:r>
      <w:r>
        <w:rPr>
          <w:spacing w:val="-1"/>
          <w:sz w:val="20"/>
        </w:rPr>
        <w:t xml:space="preserve"> </w:t>
      </w:r>
      <w:r>
        <w:rPr>
          <w:sz w:val="20"/>
        </w:rPr>
        <w:t>establecido</w:t>
      </w:r>
      <w:r>
        <w:rPr>
          <w:spacing w:val="-1"/>
          <w:sz w:val="20"/>
        </w:rPr>
        <w:t xml:space="preserve"> </w:t>
      </w:r>
      <w:r>
        <w:rPr>
          <w:sz w:val="20"/>
        </w:rPr>
        <w:t>en</w:t>
      </w:r>
      <w:r>
        <w:rPr>
          <w:spacing w:val="-1"/>
          <w:sz w:val="20"/>
        </w:rPr>
        <w:t xml:space="preserve"> </w:t>
      </w:r>
      <w:r>
        <w:rPr>
          <w:sz w:val="20"/>
        </w:rPr>
        <w:t>este</w:t>
      </w:r>
      <w:r>
        <w:rPr>
          <w:spacing w:val="-1"/>
          <w:sz w:val="20"/>
        </w:rPr>
        <w:t xml:space="preserve"> </w:t>
      </w:r>
      <w:r>
        <w:rPr>
          <w:sz w:val="20"/>
        </w:rPr>
        <w:t>artículo</w:t>
      </w:r>
      <w:r>
        <w:rPr>
          <w:spacing w:val="-1"/>
          <w:sz w:val="20"/>
        </w:rPr>
        <w:t xml:space="preserve"> </w:t>
      </w:r>
      <w:r>
        <w:rPr>
          <w:sz w:val="20"/>
        </w:rPr>
        <w:t>y</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2/2015,</w:t>
      </w:r>
      <w:r>
        <w:rPr>
          <w:spacing w:val="-1"/>
          <w:sz w:val="20"/>
        </w:rPr>
        <w:t xml:space="preserve"> </w:t>
      </w:r>
      <w:r>
        <w:rPr>
          <w:sz w:val="20"/>
        </w:rPr>
        <w:t>de</w:t>
      </w:r>
      <w:r>
        <w:rPr>
          <w:spacing w:val="-1"/>
          <w:sz w:val="20"/>
        </w:rPr>
        <w:t xml:space="preserve"> </w:t>
      </w:r>
      <w:r>
        <w:rPr>
          <w:sz w:val="20"/>
        </w:rPr>
        <w:t>30</w:t>
      </w:r>
      <w:r>
        <w:rPr>
          <w:spacing w:val="-1"/>
          <w:sz w:val="20"/>
        </w:rPr>
        <w:t xml:space="preserve"> </w:t>
      </w:r>
      <w:r>
        <w:rPr>
          <w:sz w:val="20"/>
        </w:rPr>
        <w:t>de</w:t>
      </w:r>
      <w:r>
        <w:rPr>
          <w:spacing w:val="-1"/>
          <w:sz w:val="20"/>
        </w:rPr>
        <w:t xml:space="preserve"> </w:t>
      </w:r>
      <w:r>
        <w:rPr>
          <w:sz w:val="20"/>
        </w:rPr>
        <w:t>marzo,</w:t>
      </w:r>
      <w:r>
        <w:rPr>
          <w:spacing w:val="-1"/>
          <w:sz w:val="20"/>
        </w:rPr>
        <w:t xml:space="preserve"> </w:t>
      </w:r>
      <w:r>
        <w:rPr>
          <w:sz w:val="20"/>
        </w:rPr>
        <w:t>de</w:t>
      </w:r>
      <w:r>
        <w:rPr>
          <w:spacing w:val="-1"/>
          <w:sz w:val="20"/>
        </w:rPr>
        <w:t xml:space="preserve"> </w:t>
      </w:r>
      <w:r>
        <w:rPr>
          <w:sz w:val="20"/>
        </w:rPr>
        <w:t>desindexación de la economía española, se entenderá, en todo caso, sin perjuicio de la posibilidad de mantener el equilibrio económico en las circunstancias previstas en los artículos 270 y 290.</w:t>
      </w:r>
    </w:p>
    <w:p w:rsidR="0092635B" w:rsidRDefault="00000000">
      <w:pPr>
        <w:spacing w:before="229"/>
        <w:ind w:left="1106"/>
        <w:rPr>
          <w:rFonts w:ascii="Arial" w:hAnsi="Arial"/>
          <w:i/>
          <w:sz w:val="20"/>
        </w:rPr>
      </w:pPr>
      <w:bookmarkStart w:id="168" w:name="Artículo_104._Revisión_en_casos_de_demor"/>
      <w:bookmarkEnd w:id="168"/>
      <w:r>
        <w:rPr>
          <w:rFonts w:ascii="Arial" w:hAnsi="Arial"/>
          <w:b/>
          <w:sz w:val="20"/>
        </w:rPr>
        <w:t>Artículo</w:t>
      </w:r>
      <w:r>
        <w:rPr>
          <w:rFonts w:ascii="Arial" w:hAnsi="Arial"/>
          <w:b/>
          <w:spacing w:val="-2"/>
          <w:sz w:val="20"/>
        </w:rPr>
        <w:t xml:space="preserve"> </w:t>
      </w:r>
      <w:r>
        <w:rPr>
          <w:rFonts w:ascii="Arial" w:hAnsi="Arial"/>
          <w:b/>
          <w:sz w:val="20"/>
        </w:rPr>
        <w:t>104.</w:t>
      </w:r>
      <w:r>
        <w:rPr>
          <w:rFonts w:ascii="Arial" w:hAnsi="Arial"/>
          <w:b/>
          <w:spacing w:val="51"/>
          <w:sz w:val="20"/>
        </w:rPr>
        <w:t xml:space="preserve"> </w:t>
      </w:r>
      <w:r>
        <w:rPr>
          <w:rFonts w:ascii="Arial" w:hAnsi="Arial"/>
          <w:i/>
          <w:sz w:val="20"/>
        </w:rPr>
        <w:t>Revisión</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casos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demora</w:t>
      </w:r>
      <w:r>
        <w:rPr>
          <w:rFonts w:ascii="Arial" w:hAnsi="Arial"/>
          <w:i/>
          <w:spacing w:val="-1"/>
          <w:sz w:val="20"/>
        </w:rPr>
        <w:t xml:space="preserve"> </w:t>
      </w:r>
      <w:r>
        <w:rPr>
          <w:rFonts w:ascii="Arial" w:hAnsi="Arial"/>
          <w:i/>
          <w:sz w:val="20"/>
        </w:rPr>
        <w:t>en</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ejecución.</w:t>
      </w:r>
    </w:p>
    <w:p w:rsidR="0092635B" w:rsidRDefault="00000000">
      <w:pPr>
        <w:pStyle w:val="Textoindependiente"/>
        <w:spacing w:before="124" w:line="249" w:lineRule="auto"/>
        <w:ind w:right="1102"/>
      </w:pPr>
      <w:r>
        <w:t>Cuando la cláusula de revisión se aplique sobre períodos de tiempo en los que el contratista hubiese incurrido en mora y sin perjuicio de las penalidades que fueren procedentes, los índices de precios que habrán de ser tenidos en cuenta serán aquellos que hubiesen correspondido a las fechas establecidas en el contrato para la realización de la prestación en plazo, salvo que los correspondientes al período real de ejecución produzcan un coeficiente inferior, en cuyo caso se aplicarán estos últimos.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169" w:name="Artículo_105._Pago_del_importe_de_la_rev"/>
      <w:bookmarkEnd w:id="169"/>
      <w:r>
        <w:rPr>
          <w:rFonts w:ascii="Arial" w:hAnsi="Arial"/>
          <w:b/>
          <w:sz w:val="20"/>
        </w:rPr>
        <w:t>Artículo</w:t>
      </w:r>
      <w:r>
        <w:rPr>
          <w:rFonts w:ascii="Arial" w:hAnsi="Arial"/>
          <w:b/>
          <w:spacing w:val="-2"/>
          <w:sz w:val="20"/>
        </w:rPr>
        <w:t xml:space="preserve"> </w:t>
      </w:r>
      <w:r>
        <w:rPr>
          <w:rFonts w:ascii="Arial" w:hAnsi="Arial"/>
          <w:b/>
          <w:sz w:val="20"/>
        </w:rPr>
        <w:t>105.</w:t>
      </w:r>
      <w:r>
        <w:rPr>
          <w:rFonts w:ascii="Arial" w:hAnsi="Arial"/>
          <w:b/>
          <w:spacing w:val="51"/>
          <w:sz w:val="20"/>
        </w:rPr>
        <w:t xml:space="preserve"> </w:t>
      </w:r>
      <w:r>
        <w:rPr>
          <w:rFonts w:ascii="Arial" w:hAnsi="Arial"/>
          <w:i/>
          <w:sz w:val="20"/>
        </w:rPr>
        <w:t>Pago</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importe</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revisión.</w:t>
      </w:r>
    </w:p>
    <w:p w:rsidR="0092635B" w:rsidRDefault="00000000">
      <w:pPr>
        <w:pStyle w:val="Textoindependiente"/>
        <w:spacing w:before="124" w:line="249" w:lineRule="auto"/>
        <w:ind w:right="1104"/>
      </w:pPr>
      <w:r>
        <w:t>El importe de las revisiones que procedan se hará efectivo, de oficio, mediante el abono</w:t>
      </w:r>
      <w:r>
        <w:rPr>
          <w:spacing w:val="40"/>
        </w:rPr>
        <w:t xml:space="preserve"> </w:t>
      </w:r>
      <w:r>
        <w:t>o descuento correspondiente en las certificaciones o pagos parciales a cuyo efecto se tramitará a comienzo del ejercicio económico el oportuno expediente de gasto para su cobertura. Los posibles desajustes que se produjeran respecto del expediente de gasto aprobado en el ejercicio, tales como los derivados de diferencias temporales en la</w:t>
      </w:r>
      <w:r>
        <w:rPr>
          <w:spacing w:val="40"/>
        </w:rPr>
        <w:t xml:space="preserve"> </w:t>
      </w:r>
      <w:r>
        <w:t>aprobación de los índices de precios aplicables al contrato, se podrán hacer efectivos en la certificación final o en la liquidación del contrato.</w:t>
      </w:r>
    </w:p>
    <w:p w:rsidR="0092635B" w:rsidRDefault="0092635B">
      <w:pPr>
        <w:pStyle w:val="Textoindependiente"/>
        <w:spacing w:before="229"/>
        <w:ind w:left="0" w:firstLine="0"/>
        <w:jc w:val="left"/>
      </w:pPr>
    </w:p>
    <w:p w:rsidR="0092635B" w:rsidRDefault="00000000">
      <w:pPr>
        <w:pStyle w:val="Textoindependiente"/>
        <w:spacing w:before="0"/>
        <w:ind w:left="0" w:firstLine="0"/>
        <w:jc w:val="center"/>
      </w:pPr>
      <w:bookmarkStart w:id="170" w:name="TÍTULO_IV._Garantías_exigibles_en_la_con"/>
      <w:bookmarkStart w:id="171" w:name="_bookmark33"/>
      <w:bookmarkEnd w:id="170"/>
      <w:bookmarkEnd w:id="171"/>
      <w:r>
        <w:t xml:space="preserve">TÍTULO </w:t>
      </w:r>
      <w:r>
        <w:rPr>
          <w:spacing w:val="-5"/>
        </w:rPr>
        <w:t>IV</w:t>
      </w:r>
    </w:p>
    <w:p w:rsidR="0092635B" w:rsidRDefault="00000000">
      <w:pPr>
        <w:pStyle w:val="Ttulo2"/>
      </w:pPr>
      <w:r>
        <w:t>Garantías</w:t>
      </w:r>
      <w:r>
        <w:rPr>
          <w:spacing w:val="-4"/>
        </w:rPr>
        <w:t xml:space="preserve"> </w:t>
      </w:r>
      <w:r>
        <w:t>exigibles</w:t>
      </w:r>
      <w:r>
        <w:rPr>
          <w:spacing w:val="-3"/>
        </w:rPr>
        <w:t xml:space="preserve"> </w:t>
      </w:r>
      <w:r>
        <w:t>en</w:t>
      </w:r>
      <w:r>
        <w:rPr>
          <w:spacing w:val="-3"/>
        </w:rPr>
        <w:t xml:space="preserve"> </w:t>
      </w:r>
      <w:r>
        <w:t>la</w:t>
      </w:r>
      <w:r>
        <w:rPr>
          <w:spacing w:val="-3"/>
        </w:rPr>
        <w:t xml:space="preserve"> </w:t>
      </w:r>
      <w:r>
        <w:t>contratación</w:t>
      </w:r>
      <w:r>
        <w:rPr>
          <w:spacing w:val="-3"/>
        </w:rPr>
        <w:t xml:space="preserve"> </w:t>
      </w:r>
      <w:r>
        <w:t>del</w:t>
      </w:r>
      <w:r>
        <w:rPr>
          <w:spacing w:val="-3"/>
        </w:rPr>
        <w:t xml:space="preserve"> </w:t>
      </w:r>
      <w:r>
        <w:t>sector</w:t>
      </w:r>
      <w:r>
        <w:rPr>
          <w:spacing w:val="-3"/>
        </w:rPr>
        <w:t xml:space="preserve"> </w:t>
      </w:r>
      <w:r>
        <w:rPr>
          <w:spacing w:val="-2"/>
        </w:rPr>
        <w:t>público</w:t>
      </w:r>
    </w:p>
    <w:p w:rsidR="0092635B" w:rsidRDefault="0092635B">
      <w:pPr>
        <w:pStyle w:val="Textoindependiente"/>
        <w:spacing w:before="120"/>
        <w:ind w:left="0" w:firstLine="0"/>
        <w:jc w:val="left"/>
        <w:rPr>
          <w:rFonts w:ascii="Arial"/>
          <w:b/>
        </w:rPr>
      </w:pPr>
    </w:p>
    <w:p w:rsidR="0092635B" w:rsidRDefault="00000000">
      <w:pPr>
        <w:pStyle w:val="Textoindependiente"/>
        <w:spacing w:before="1"/>
        <w:ind w:left="0" w:firstLine="0"/>
        <w:jc w:val="center"/>
      </w:pPr>
      <w:bookmarkStart w:id="172" w:name="CAPÍTULO_I._Garantías_exigibles_en_los_c"/>
      <w:bookmarkStart w:id="173" w:name="_bookmark34"/>
      <w:bookmarkEnd w:id="172"/>
      <w:bookmarkEnd w:id="173"/>
      <w:r>
        <w:t xml:space="preserve">CAPÍTULO </w:t>
      </w:r>
      <w:r>
        <w:rPr>
          <w:spacing w:val="-10"/>
        </w:rPr>
        <w:t>I</w:t>
      </w:r>
    </w:p>
    <w:p w:rsidR="0092635B" w:rsidRDefault="00000000">
      <w:pPr>
        <w:pStyle w:val="Ttulo2"/>
        <w:spacing w:line="249" w:lineRule="auto"/>
        <w:ind w:left="1446" w:right="1445"/>
      </w:pPr>
      <w:r>
        <w:t>Garantías</w:t>
      </w:r>
      <w:r>
        <w:rPr>
          <w:spacing w:val="40"/>
        </w:rPr>
        <w:t xml:space="preserve"> </w:t>
      </w:r>
      <w:r>
        <w:t>exigibles</w:t>
      </w:r>
      <w:r>
        <w:rPr>
          <w:spacing w:val="40"/>
        </w:rPr>
        <w:t xml:space="preserve"> </w:t>
      </w:r>
      <w:r>
        <w:t>en</w:t>
      </w:r>
      <w:r>
        <w:rPr>
          <w:spacing w:val="40"/>
        </w:rPr>
        <w:t xml:space="preserve"> </w:t>
      </w:r>
      <w:r>
        <w:t>los</w:t>
      </w:r>
      <w:r>
        <w:rPr>
          <w:spacing w:val="40"/>
        </w:rPr>
        <w:t xml:space="preserve"> </w:t>
      </w:r>
      <w:r>
        <w:t>contratos</w:t>
      </w:r>
      <w:r>
        <w:rPr>
          <w:spacing w:val="40"/>
        </w:rPr>
        <w:t xml:space="preserve"> </w:t>
      </w:r>
      <w:r>
        <w:t>celebrados</w:t>
      </w:r>
      <w:r>
        <w:rPr>
          <w:spacing w:val="40"/>
        </w:rPr>
        <w:t xml:space="preserve"> </w:t>
      </w:r>
      <w:r>
        <w:t>con</w:t>
      </w:r>
      <w:r>
        <w:rPr>
          <w:spacing w:val="40"/>
        </w:rPr>
        <w:t xml:space="preserve"> </w:t>
      </w:r>
      <w:r>
        <w:t>las</w:t>
      </w:r>
      <w:r>
        <w:rPr>
          <w:spacing w:val="40"/>
        </w:rPr>
        <w:t xml:space="preserve"> </w:t>
      </w:r>
      <w:r>
        <w:t xml:space="preserve">Administraciones </w:t>
      </w:r>
      <w:r>
        <w:rPr>
          <w:spacing w:val="-2"/>
        </w:rPr>
        <w:t>Públicas</w:t>
      </w:r>
    </w:p>
    <w:p w:rsidR="0092635B" w:rsidRDefault="00000000">
      <w:pPr>
        <w:pStyle w:val="Ttulo3"/>
        <w:spacing w:before="228"/>
      </w:pPr>
      <w:bookmarkStart w:id="174" w:name="Sección_1.ª_Garantía_provisional"/>
      <w:bookmarkStart w:id="175" w:name="_bookmark35"/>
      <w:bookmarkEnd w:id="174"/>
      <w:bookmarkEnd w:id="175"/>
      <w:r>
        <w:t>Sección</w:t>
      </w:r>
      <w:r>
        <w:rPr>
          <w:spacing w:val="-3"/>
        </w:rPr>
        <w:t xml:space="preserve"> </w:t>
      </w:r>
      <w:r>
        <w:t>1.ª</w:t>
      </w:r>
      <w:r>
        <w:rPr>
          <w:spacing w:val="-3"/>
        </w:rPr>
        <w:t xml:space="preserve"> </w:t>
      </w:r>
      <w:r>
        <w:t>Garantía</w:t>
      </w:r>
      <w:r>
        <w:rPr>
          <w:spacing w:val="-3"/>
        </w:rPr>
        <w:t xml:space="preserve"> </w:t>
      </w:r>
      <w:r>
        <w:rPr>
          <w:spacing w:val="-2"/>
        </w:rPr>
        <w:t>provisional</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176" w:name="Artículo_106._Exigencia_y_régimen_de_la_"/>
      <w:bookmarkEnd w:id="176"/>
      <w:r>
        <w:rPr>
          <w:rFonts w:ascii="Arial" w:hAnsi="Arial"/>
          <w:b/>
          <w:sz w:val="20"/>
        </w:rPr>
        <w:t>Artículo</w:t>
      </w:r>
      <w:r>
        <w:rPr>
          <w:rFonts w:ascii="Arial" w:hAnsi="Arial"/>
          <w:b/>
          <w:spacing w:val="-3"/>
          <w:sz w:val="20"/>
        </w:rPr>
        <w:t xml:space="preserve"> </w:t>
      </w:r>
      <w:r>
        <w:rPr>
          <w:rFonts w:ascii="Arial" w:hAnsi="Arial"/>
          <w:b/>
          <w:sz w:val="20"/>
        </w:rPr>
        <w:t>106.</w:t>
      </w:r>
      <w:r>
        <w:rPr>
          <w:rFonts w:ascii="Arial" w:hAnsi="Arial"/>
          <w:b/>
          <w:spacing w:val="49"/>
          <w:sz w:val="20"/>
        </w:rPr>
        <w:t xml:space="preserve"> </w:t>
      </w:r>
      <w:r>
        <w:rPr>
          <w:rFonts w:ascii="Arial" w:hAnsi="Arial"/>
          <w:i/>
          <w:sz w:val="20"/>
        </w:rPr>
        <w:t>Exigencia</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régimen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3"/>
          <w:sz w:val="20"/>
        </w:rPr>
        <w:t xml:space="preserve"> </w:t>
      </w:r>
      <w:r>
        <w:rPr>
          <w:rFonts w:ascii="Arial" w:hAnsi="Arial"/>
          <w:i/>
          <w:sz w:val="20"/>
        </w:rPr>
        <w:t>garantía</w:t>
      </w:r>
      <w:r>
        <w:rPr>
          <w:rFonts w:ascii="Arial" w:hAnsi="Arial"/>
          <w:i/>
          <w:spacing w:val="-2"/>
          <w:sz w:val="20"/>
        </w:rPr>
        <w:t xml:space="preserve"> provisional.</w:t>
      </w:r>
    </w:p>
    <w:p w:rsidR="0092635B" w:rsidRDefault="00000000">
      <w:pPr>
        <w:pStyle w:val="Prrafodelista"/>
        <w:numPr>
          <w:ilvl w:val="0"/>
          <w:numId w:val="263"/>
        </w:numPr>
        <w:tabs>
          <w:tab w:val="left" w:pos="1671"/>
        </w:tabs>
        <w:spacing w:before="124" w:line="249" w:lineRule="auto"/>
        <w:ind w:right="1105" w:firstLine="340"/>
        <w:jc w:val="both"/>
        <w:rPr>
          <w:sz w:val="20"/>
        </w:rPr>
      </w:pPr>
      <w:r>
        <w:rPr>
          <w:sz w:val="20"/>
        </w:rPr>
        <w:t>En el procedimiento de contratación no procederá la exigencia de garantía provisional, salvo</w:t>
      </w:r>
      <w:r>
        <w:rPr>
          <w:spacing w:val="-3"/>
          <w:sz w:val="20"/>
        </w:rPr>
        <w:t xml:space="preserve"> </w:t>
      </w:r>
      <w:r>
        <w:rPr>
          <w:sz w:val="20"/>
        </w:rPr>
        <w:t>cuando</w:t>
      </w:r>
      <w:r>
        <w:rPr>
          <w:spacing w:val="-3"/>
          <w:sz w:val="20"/>
        </w:rPr>
        <w:t xml:space="preserve"> </w:t>
      </w:r>
      <w:r>
        <w:rPr>
          <w:sz w:val="20"/>
        </w:rPr>
        <w:t>de</w:t>
      </w:r>
      <w:r>
        <w:rPr>
          <w:spacing w:val="-3"/>
          <w:sz w:val="20"/>
        </w:rPr>
        <w:t xml:space="preserve"> </w:t>
      </w:r>
      <w:r>
        <w:rPr>
          <w:sz w:val="20"/>
        </w:rPr>
        <w:t>forma</w:t>
      </w:r>
      <w:r>
        <w:rPr>
          <w:spacing w:val="-3"/>
          <w:sz w:val="20"/>
        </w:rPr>
        <w:t xml:space="preserve"> </w:t>
      </w:r>
      <w:r>
        <w:rPr>
          <w:sz w:val="20"/>
        </w:rPr>
        <w:t>excepcional</w:t>
      </w:r>
      <w:r>
        <w:rPr>
          <w:spacing w:val="-3"/>
          <w:sz w:val="20"/>
        </w:rPr>
        <w:t xml:space="preserve"> </w:t>
      </w:r>
      <w:r>
        <w:rPr>
          <w:sz w:val="20"/>
        </w:rPr>
        <w:t>el</w:t>
      </w:r>
      <w:r>
        <w:rPr>
          <w:spacing w:val="-3"/>
          <w:sz w:val="20"/>
        </w:rPr>
        <w:t xml:space="preserve"> </w:t>
      </w:r>
      <w:r>
        <w:rPr>
          <w:sz w:val="20"/>
        </w:rPr>
        <w:t>órgano</w:t>
      </w:r>
      <w:r>
        <w:rPr>
          <w:spacing w:val="-3"/>
          <w:sz w:val="20"/>
        </w:rPr>
        <w:t xml:space="preserve"> </w:t>
      </w:r>
      <w:r>
        <w:rPr>
          <w:sz w:val="20"/>
        </w:rPr>
        <w:t>de</w:t>
      </w:r>
      <w:r>
        <w:rPr>
          <w:spacing w:val="-3"/>
          <w:sz w:val="20"/>
        </w:rPr>
        <w:t xml:space="preserve"> </w:t>
      </w:r>
      <w:r>
        <w:rPr>
          <w:sz w:val="20"/>
        </w:rPr>
        <w:t>contratación,</w:t>
      </w:r>
      <w:r>
        <w:rPr>
          <w:spacing w:val="-3"/>
          <w:sz w:val="20"/>
        </w:rPr>
        <w:t xml:space="preserve"> </w:t>
      </w:r>
      <w:r>
        <w:rPr>
          <w:sz w:val="20"/>
        </w:rPr>
        <w:t>por</w:t>
      </w:r>
      <w:r>
        <w:rPr>
          <w:spacing w:val="-3"/>
          <w:sz w:val="20"/>
        </w:rPr>
        <w:t xml:space="preserve"> </w:t>
      </w:r>
      <w:r>
        <w:rPr>
          <w:sz w:val="20"/>
        </w:rPr>
        <w:t>motivos</w:t>
      </w:r>
      <w:r>
        <w:rPr>
          <w:spacing w:val="-3"/>
          <w:sz w:val="20"/>
        </w:rPr>
        <w:t xml:space="preserve"> </w:t>
      </w:r>
      <w:r>
        <w:rPr>
          <w:sz w:val="20"/>
        </w:rPr>
        <w:t>de</w:t>
      </w:r>
      <w:r>
        <w:rPr>
          <w:spacing w:val="-3"/>
          <w:sz w:val="20"/>
        </w:rPr>
        <w:t xml:space="preserve"> </w:t>
      </w:r>
      <w:r>
        <w:rPr>
          <w:sz w:val="20"/>
        </w:rPr>
        <w:t>interés</w:t>
      </w:r>
      <w:r>
        <w:rPr>
          <w:spacing w:val="-3"/>
          <w:sz w:val="20"/>
        </w:rPr>
        <w:t xml:space="preserve"> </w:t>
      </w:r>
      <w:r>
        <w:rPr>
          <w:sz w:val="20"/>
        </w:rPr>
        <w:t>público,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lo considere necesario y lo justifique motivadamente en el expediente. En este último caso, se podrá exigir a los licitadores la constitución previa de una garantía que responda del mantenimiento de sus ofertas hasta la perfección del contrato.</w:t>
      </w:r>
    </w:p>
    <w:p w:rsidR="0092635B" w:rsidRDefault="00000000">
      <w:pPr>
        <w:pStyle w:val="Prrafodelista"/>
        <w:numPr>
          <w:ilvl w:val="0"/>
          <w:numId w:val="263"/>
        </w:numPr>
        <w:tabs>
          <w:tab w:val="left" w:pos="1670"/>
        </w:tabs>
        <w:spacing w:line="249" w:lineRule="auto"/>
        <w:ind w:right="1104" w:firstLine="340"/>
        <w:jc w:val="both"/>
        <w:rPr>
          <w:sz w:val="20"/>
        </w:rPr>
      </w:pPr>
      <w:r>
        <w:rPr>
          <w:sz w:val="20"/>
        </w:rPr>
        <w:t>En los casos en que el órgano de contratación haya acordado la exigencia de garantía provisional,</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pliegos</w:t>
      </w:r>
      <w:r>
        <w:rPr>
          <w:spacing w:val="-2"/>
          <w:sz w:val="20"/>
        </w:rPr>
        <w:t xml:space="preserve"> </w:t>
      </w:r>
      <w:r>
        <w:rPr>
          <w:sz w:val="20"/>
        </w:rPr>
        <w:t>de</w:t>
      </w:r>
      <w:r>
        <w:rPr>
          <w:spacing w:val="-2"/>
          <w:sz w:val="20"/>
        </w:rPr>
        <w:t xml:space="preserve"> </w:t>
      </w:r>
      <w:r>
        <w:rPr>
          <w:sz w:val="20"/>
        </w:rPr>
        <w:t>cláusulas</w:t>
      </w:r>
      <w:r>
        <w:rPr>
          <w:spacing w:val="-2"/>
          <w:sz w:val="20"/>
        </w:rPr>
        <w:t xml:space="preserve"> </w:t>
      </w:r>
      <w:r>
        <w:rPr>
          <w:sz w:val="20"/>
        </w:rPr>
        <w:t>administrativas</w:t>
      </w:r>
      <w:r>
        <w:rPr>
          <w:spacing w:val="-2"/>
          <w:sz w:val="20"/>
        </w:rPr>
        <w:t xml:space="preserve"> </w:t>
      </w:r>
      <w:r>
        <w:rPr>
          <w:sz w:val="20"/>
        </w:rPr>
        <w:t>particulares</w:t>
      </w:r>
      <w:r>
        <w:rPr>
          <w:spacing w:val="-2"/>
          <w:sz w:val="20"/>
        </w:rPr>
        <w:t xml:space="preserve"> </w:t>
      </w:r>
      <w:r>
        <w:rPr>
          <w:sz w:val="20"/>
        </w:rPr>
        <w:t>se</w:t>
      </w:r>
      <w:r>
        <w:rPr>
          <w:spacing w:val="-2"/>
          <w:sz w:val="20"/>
        </w:rPr>
        <w:t xml:space="preserve"> </w:t>
      </w:r>
      <w:r>
        <w:rPr>
          <w:sz w:val="20"/>
        </w:rPr>
        <w:t>determinará</w:t>
      </w:r>
      <w:r>
        <w:rPr>
          <w:spacing w:val="-2"/>
          <w:sz w:val="20"/>
        </w:rPr>
        <w:t xml:space="preserve"> </w:t>
      </w:r>
      <w:r>
        <w:rPr>
          <w:sz w:val="20"/>
        </w:rPr>
        <w:t>el</w:t>
      </w:r>
      <w:r>
        <w:rPr>
          <w:spacing w:val="-2"/>
          <w:sz w:val="20"/>
        </w:rPr>
        <w:t xml:space="preserve"> </w:t>
      </w:r>
      <w:r>
        <w:rPr>
          <w:sz w:val="20"/>
        </w:rPr>
        <w:t>importe de la misma, que no podrá ser superior a un 3 por 100 del presupuesto base de licitación del contrato, excluido el Impuesto sobre el Valor Añadido y el régimen de su devolución. La garantía provisional podrá prestarse en alguna o algunas de las formas previstas en el apartado 1 del artículo 108.</w:t>
      </w:r>
    </w:p>
    <w:p w:rsidR="0092635B" w:rsidRDefault="00000000">
      <w:pPr>
        <w:pStyle w:val="Textoindependiente"/>
        <w:spacing w:before="5" w:line="249" w:lineRule="auto"/>
        <w:ind w:right="1104"/>
      </w:pPr>
      <w:r>
        <w:t>En el caso de división en lotes, la garantía provisional se fijará atendiendo exclusivamente al importe de los lotes para los que el licitador vaya a presentar oferta y no</w:t>
      </w:r>
      <w:r>
        <w:rPr>
          <w:spacing w:val="40"/>
        </w:rPr>
        <w:t xml:space="preserve"> </w:t>
      </w:r>
      <w:r>
        <w:t>en función del importe del presupuesto total del contrato.</w:t>
      </w:r>
    </w:p>
    <w:p w:rsidR="0092635B" w:rsidRDefault="00000000">
      <w:pPr>
        <w:pStyle w:val="Textoindependiente"/>
        <w:spacing w:line="249" w:lineRule="auto"/>
        <w:ind w:right="1105"/>
      </w:pPr>
      <w:r>
        <w:t>En los acuerdos marco y en los sistemas dinámicos de adquisición, el importe de la garantía provisional, de exigirse, se fijará a tanto alzado por la Administración Pública, sin que en ningún caso pueda superar el 3 por 100 del valor estimado del contrato.</w:t>
      </w:r>
    </w:p>
    <w:p w:rsidR="0092635B" w:rsidRDefault="00000000">
      <w:pPr>
        <w:pStyle w:val="Prrafodelista"/>
        <w:numPr>
          <w:ilvl w:val="0"/>
          <w:numId w:val="263"/>
        </w:numPr>
        <w:tabs>
          <w:tab w:val="left" w:pos="1698"/>
        </w:tabs>
        <w:spacing w:before="3" w:line="249" w:lineRule="auto"/>
        <w:ind w:firstLine="340"/>
        <w:jc w:val="both"/>
        <w:rPr>
          <w:sz w:val="20"/>
        </w:rPr>
      </w:pPr>
      <w:r>
        <w:rPr>
          <w:sz w:val="20"/>
        </w:rPr>
        <w:t>Cuando se exijan garantías provisionales, estas se depositarán, en las condiciones que las normas de desarrollo de esta Ley establezcan, del modo siguiente:</w:t>
      </w:r>
    </w:p>
    <w:p w:rsidR="0092635B" w:rsidRDefault="00000000">
      <w:pPr>
        <w:pStyle w:val="Prrafodelista"/>
        <w:numPr>
          <w:ilvl w:val="1"/>
          <w:numId w:val="263"/>
        </w:numPr>
        <w:tabs>
          <w:tab w:val="left" w:pos="1768"/>
        </w:tabs>
        <w:spacing w:before="122" w:line="249" w:lineRule="auto"/>
        <w:ind w:firstLine="340"/>
        <w:jc w:val="both"/>
        <w:rPr>
          <w:sz w:val="20"/>
        </w:rPr>
      </w:pPr>
      <w:r>
        <w:rPr>
          <w:sz w:val="20"/>
        </w:rPr>
        <w:t>En la Caja General de Depósitos o en sus sucursales encuadradas en las Delegaciones de Economía y Hacienda, o en la Caja o establecimiento público equivalente de las Comunidades Autónomas o Entidades locales contratantes ante las que deban surtir efecto cuando se trate de garantías en efectivo.</w:t>
      </w:r>
    </w:p>
    <w:p w:rsidR="0092635B" w:rsidRDefault="00000000">
      <w:pPr>
        <w:pStyle w:val="Prrafodelista"/>
        <w:numPr>
          <w:ilvl w:val="1"/>
          <w:numId w:val="263"/>
        </w:numPr>
        <w:tabs>
          <w:tab w:val="left" w:pos="1701"/>
        </w:tabs>
        <w:spacing w:before="3" w:line="249" w:lineRule="auto"/>
        <w:ind w:right="1104" w:firstLine="340"/>
        <w:jc w:val="both"/>
        <w:rPr>
          <w:sz w:val="20"/>
        </w:rPr>
      </w:pPr>
      <w:r>
        <w:rPr>
          <w:sz w:val="20"/>
        </w:rPr>
        <w:t>Ante el órgano de contratación, cuando se trate de certificados de inmovilización de valores anotados, de avales o de certificados de seguro de caución.</w:t>
      </w:r>
    </w:p>
    <w:p w:rsidR="0092635B" w:rsidRDefault="00000000">
      <w:pPr>
        <w:pStyle w:val="Prrafodelista"/>
        <w:numPr>
          <w:ilvl w:val="0"/>
          <w:numId w:val="263"/>
        </w:numPr>
        <w:tabs>
          <w:tab w:val="left" w:pos="1673"/>
        </w:tabs>
        <w:spacing w:before="122" w:line="249" w:lineRule="auto"/>
        <w:ind w:right="1104" w:firstLine="340"/>
        <w:jc w:val="both"/>
        <w:rPr>
          <w:sz w:val="20"/>
        </w:rPr>
      </w:pPr>
      <w:r>
        <w:rPr>
          <w:sz w:val="20"/>
        </w:rPr>
        <w:t>La garantía provisional se extinguirá automáticamente y será devuelta a los licitadores inmediatamente después de la perfección del contrato. En todo caso, la garantía provisional se</w:t>
      </w:r>
      <w:r>
        <w:rPr>
          <w:spacing w:val="-2"/>
          <w:sz w:val="20"/>
        </w:rPr>
        <w:t xml:space="preserve"> </w:t>
      </w:r>
      <w:r>
        <w:rPr>
          <w:sz w:val="20"/>
        </w:rPr>
        <w:t>devolverá</w:t>
      </w:r>
      <w:r>
        <w:rPr>
          <w:spacing w:val="-2"/>
          <w:sz w:val="20"/>
        </w:rPr>
        <w:t xml:space="preserve"> </w:t>
      </w:r>
      <w:r>
        <w:rPr>
          <w:sz w:val="20"/>
        </w:rPr>
        <w:t>al</w:t>
      </w:r>
      <w:r>
        <w:rPr>
          <w:spacing w:val="-2"/>
          <w:sz w:val="20"/>
        </w:rPr>
        <w:t xml:space="preserve"> </w:t>
      </w:r>
      <w:r>
        <w:rPr>
          <w:sz w:val="20"/>
        </w:rPr>
        <w:t>licitador</w:t>
      </w:r>
      <w:r>
        <w:rPr>
          <w:spacing w:val="-2"/>
          <w:sz w:val="20"/>
        </w:rPr>
        <w:t xml:space="preserve"> </w:t>
      </w:r>
      <w:r>
        <w:rPr>
          <w:sz w:val="20"/>
        </w:rPr>
        <w:t>seleccionado</w:t>
      </w:r>
      <w:r>
        <w:rPr>
          <w:spacing w:val="-2"/>
          <w:sz w:val="20"/>
        </w:rPr>
        <w:t xml:space="preserve"> </w:t>
      </w:r>
      <w:r>
        <w:rPr>
          <w:sz w:val="20"/>
        </w:rPr>
        <w:t>como</w:t>
      </w:r>
      <w:r>
        <w:rPr>
          <w:spacing w:val="-2"/>
          <w:sz w:val="20"/>
        </w:rPr>
        <w:t xml:space="preserve"> </w:t>
      </w:r>
      <w:r>
        <w:rPr>
          <w:sz w:val="20"/>
        </w:rPr>
        <w:t>adjudicatario</w:t>
      </w:r>
      <w:r>
        <w:rPr>
          <w:spacing w:val="-2"/>
          <w:sz w:val="20"/>
        </w:rPr>
        <w:t xml:space="preserve"> </w:t>
      </w:r>
      <w:r>
        <w:rPr>
          <w:sz w:val="20"/>
        </w:rPr>
        <w:t>cuando</w:t>
      </w:r>
      <w:r>
        <w:rPr>
          <w:spacing w:val="-2"/>
          <w:sz w:val="20"/>
        </w:rPr>
        <w:t xml:space="preserve"> </w:t>
      </w:r>
      <w:r>
        <w:rPr>
          <w:sz w:val="20"/>
        </w:rPr>
        <w:t>haya</w:t>
      </w:r>
      <w:r>
        <w:rPr>
          <w:spacing w:val="-2"/>
          <w:sz w:val="20"/>
        </w:rPr>
        <w:t xml:space="preserve"> </w:t>
      </w:r>
      <w:r>
        <w:rPr>
          <w:sz w:val="20"/>
        </w:rPr>
        <w:t>constituido</w:t>
      </w:r>
      <w:r>
        <w:rPr>
          <w:spacing w:val="-2"/>
          <w:sz w:val="20"/>
        </w:rPr>
        <w:t xml:space="preserve"> </w:t>
      </w:r>
      <w:r>
        <w:rPr>
          <w:sz w:val="20"/>
        </w:rPr>
        <w:t>la</w:t>
      </w:r>
      <w:r>
        <w:rPr>
          <w:spacing w:val="-2"/>
          <w:sz w:val="20"/>
        </w:rPr>
        <w:t xml:space="preserve"> </w:t>
      </w:r>
      <w:r>
        <w:rPr>
          <w:sz w:val="20"/>
        </w:rPr>
        <w:t>garantía definitiva, pudiendo aplicar el importe de la garantía provisional a la definitiva o proceder a una nueva constitución de esta última.</w:t>
      </w:r>
    </w:p>
    <w:p w:rsidR="0092635B" w:rsidRDefault="0092635B">
      <w:pPr>
        <w:pStyle w:val="Textoindependiente"/>
        <w:spacing w:before="0"/>
        <w:ind w:left="0" w:firstLine="0"/>
        <w:jc w:val="left"/>
      </w:pPr>
    </w:p>
    <w:p w:rsidR="0092635B" w:rsidRDefault="00000000">
      <w:pPr>
        <w:pStyle w:val="Ttulo3"/>
      </w:pPr>
      <w:bookmarkStart w:id="177" w:name="Sección_2.ª_Garantía_definitiva"/>
      <w:bookmarkStart w:id="178" w:name="_bookmark36"/>
      <w:bookmarkEnd w:id="177"/>
      <w:bookmarkEnd w:id="178"/>
      <w:r>
        <w:t>Sección</w:t>
      </w:r>
      <w:r>
        <w:rPr>
          <w:spacing w:val="-3"/>
        </w:rPr>
        <w:t xml:space="preserve"> </w:t>
      </w:r>
      <w:r>
        <w:t>2.ª</w:t>
      </w:r>
      <w:r>
        <w:rPr>
          <w:spacing w:val="-3"/>
        </w:rPr>
        <w:t xml:space="preserve"> </w:t>
      </w:r>
      <w:r>
        <w:t>Garantía</w:t>
      </w:r>
      <w:r>
        <w:rPr>
          <w:spacing w:val="-3"/>
        </w:rPr>
        <w:t xml:space="preserve"> </w:t>
      </w:r>
      <w:r>
        <w:rPr>
          <w:spacing w:val="-2"/>
        </w:rPr>
        <w:t>definitiva</w:t>
      </w:r>
    </w:p>
    <w:p w:rsidR="0092635B" w:rsidRDefault="0092635B">
      <w:pPr>
        <w:pStyle w:val="Textoindependiente"/>
        <w:spacing w:before="7"/>
        <w:ind w:left="0" w:firstLine="0"/>
        <w:jc w:val="left"/>
        <w:rPr>
          <w:rFonts w:ascii="Arial"/>
          <w:b/>
          <w:i/>
        </w:rPr>
      </w:pPr>
    </w:p>
    <w:p w:rsidR="0092635B" w:rsidRDefault="00000000">
      <w:pPr>
        <w:ind w:left="1106"/>
        <w:jc w:val="both"/>
        <w:rPr>
          <w:rFonts w:ascii="Arial" w:hAnsi="Arial"/>
          <w:i/>
          <w:sz w:val="20"/>
        </w:rPr>
      </w:pPr>
      <w:bookmarkStart w:id="179" w:name="Artículo_107._Exigencia_de_la_garantía_d"/>
      <w:bookmarkEnd w:id="179"/>
      <w:r>
        <w:rPr>
          <w:rFonts w:ascii="Arial" w:hAnsi="Arial"/>
          <w:b/>
          <w:sz w:val="20"/>
        </w:rPr>
        <w:t>Artículo</w:t>
      </w:r>
      <w:r>
        <w:rPr>
          <w:rFonts w:ascii="Arial" w:hAnsi="Arial"/>
          <w:b/>
          <w:spacing w:val="-3"/>
          <w:sz w:val="20"/>
        </w:rPr>
        <w:t xml:space="preserve"> </w:t>
      </w:r>
      <w:r>
        <w:rPr>
          <w:rFonts w:ascii="Arial" w:hAnsi="Arial"/>
          <w:b/>
          <w:sz w:val="20"/>
        </w:rPr>
        <w:t>107.</w:t>
      </w:r>
      <w:r>
        <w:rPr>
          <w:rFonts w:ascii="Arial" w:hAnsi="Arial"/>
          <w:b/>
          <w:spacing w:val="49"/>
          <w:sz w:val="20"/>
        </w:rPr>
        <w:t xml:space="preserve"> </w:t>
      </w:r>
      <w:r>
        <w:rPr>
          <w:rFonts w:ascii="Arial" w:hAnsi="Arial"/>
          <w:i/>
          <w:sz w:val="20"/>
        </w:rPr>
        <w:t>Exigencia</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garantía</w:t>
      </w:r>
      <w:r>
        <w:rPr>
          <w:rFonts w:ascii="Arial" w:hAnsi="Arial"/>
          <w:i/>
          <w:spacing w:val="-2"/>
          <w:sz w:val="20"/>
        </w:rPr>
        <w:t xml:space="preserve"> definitiva.</w:t>
      </w:r>
    </w:p>
    <w:p w:rsidR="0092635B" w:rsidRDefault="00000000">
      <w:pPr>
        <w:pStyle w:val="Prrafodelista"/>
        <w:numPr>
          <w:ilvl w:val="0"/>
          <w:numId w:val="262"/>
        </w:numPr>
        <w:tabs>
          <w:tab w:val="left" w:pos="1682"/>
        </w:tabs>
        <w:spacing w:before="124" w:line="249" w:lineRule="auto"/>
        <w:ind w:right="1102" w:firstLine="340"/>
        <w:jc w:val="both"/>
        <w:rPr>
          <w:sz w:val="20"/>
        </w:rPr>
      </w:pPr>
      <w:r>
        <w:rPr>
          <w:sz w:val="20"/>
        </w:rPr>
        <w:t>A salvo de lo dispuesto en los apartados 4 y 5, los licitadores que, en las licitaciones</w:t>
      </w:r>
      <w:r>
        <w:rPr>
          <w:spacing w:val="40"/>
          <w:sz w:val="20"/>
        </w:rPr>
        <w:t xml:space="preserve"> </w:t>
      </w:r>
      <w:r>
        <w:rPr>
          <w:sz w:val="20"/>
        </w:rPr>
        <w:t>de los contratos que celebren las Administraciones Públicas, presenten las mejores ofertas de conformidad con lo dispuesto en el artículo 145, deberán constituir a disposición del órgano de contratación una garantía de un 5 por 100 del precio final ofertado por aquellos, excluido el Impuesto sobre el Valor Añadido. En el caso de los contratos con precios provisionales a que se refiere el apartado 7 del artículo 102, el porcentaje se calculará con referencia al precio máximo fijado, excluido el Impuesto sobre el Valor Añadido.</w:t>
      </w:r>
    </w:p>
    <w:p w:rsidR="0092635B" w:rsidRDefault="00000000">
      <w:pPr>
        <w:pStyle w:val="Textoindependiente"/>
        <w:spacing w:before="5" w:line="249" w:lineRule="auto"/>
        <w:ind w:right="1103"/>
      </w:pPr>
      <w:r>
        <w:t>No obstante, atendidas las circunstancias concurrentes en el contrato, el órgano de contratación podrá eximir al adjudicatario de la obligación de constituir garantía definitiva, justificándolo adecuadamente en el pliego de cláusulas administrativas particulares, especialmente en el caso de suministros de bienes consumibles cuya entrega y recepción deba efectuarse antes del pago del precio, contratos que tengan por objeto la prestación de servicios sociales o la inclusión social o laboral de personas pertenecientes a colectivos en riesgo de exclusión social, así como en los contratos privados de la Administración a los que se refieren los puntos 1.º y 2.º de la letra a) del apartado 1 del artículo 25 de la presente Ley. Esta exención no será posible en el caso de contratos de obras, ni de concesión de obras.</w:t>
      </w:r>
    </w:p>
    <w:p w:rsidR="0092635B" w:rsidRDefault="00000000">
      <w:pPr>
        <w:pStyle w:val="Prrafodelista"/>
        <w:numPr>
          <w:ilvl w:val="0"/>
          <w:numId w:val="262"/>
        </w:numPr>
        <w:tabs>
          <w:tab w:val="left" w:pos="1715"/>
        </w:tabs>
        <w:spacing w:before="8" w:line="249" w:lineRule="auto"/>
        <w:ind w:firstLine="340"/>
        <w:jc w:val="both"/>
        <w:rPr>
          <w:sz w:val="20"/>
        </w:rPr>
      </w:pPr>
      <w:r>
        <w:rPr>
          <w:sz w:val="20"/>
        </w:rPr>
        <w:t>En casos especiales, el órgano de contratación podrá establecer en el pliego de cláusulas administrativas particulares que, además de la garantía a que se refiere el</w:t>
      </w:r>
      <w:r>
        <w:rPr>
          <w:spacing w:val="40"/>
          <w:sz w:val="20"/>
        </w:rPr>
        <w:t xml:space="preserve"> </w:t>
      </w:r>
      <w:r>
        <w:rPr>
          <w:sz w:val="20"/>
        </w:rPr>
        <w:t>apartado anterior, se preste una complementaria de hasta un 5 por 100 del precio final ofertado por el licitador que presentó la mejor oferta de conformidad con lo dispuesto en el artículo 145, excluido el Impuesto sobre el Valor Añadido, pudiendo alcanzar la garantía total un 10 por 100 del citado precio.</w:t>
      </w:r>
    </w:p>
    <w:p w:rsidR="0092635B" w:rsidRDefault="00000000">
      <w:pPr>
        <w:pStyle w:val="Textoindependiente"/>
        <w:spacing w:before="5" w:line="249" w:lineRule="auto"/>
        <w:ind w:right="1103"/>
      </w:pPr>
      <w:r>
        <w:t>A estos efectos se considerará que constituyen casos especiales aquellos contratos en los</w:t>
      </w:r>
      <w:r>
        <w:rPr>
          <w:spacing w:val="30"/>
        </w:rPr>
        <w:t xml:space="preserve"> </w:t>
      </w:r>
      <w:r>
        <w:t>que,</w:t>
      </w:r>
      <w:r>
        <w:rPr>
          <w:spacing w:val="30"/>
        </w:rPr>
        <w:t xml:space="preserve"> </w:t>
      </w:r>
      <w:r>
        <w:t>debido</w:t>
      </w:r>
      <w:r>
        <w:rPr>
          <w:spacing w:val="30"/>
        </w:rPr>
        <w:t xml:space="preserve"> </w:t>
      </w:r>
      <w:r>
        <w:t>al</w:t>
      </w:r>
      <w:r>
        <w:rPr>
          <w:spacing w:val="30"/>
        </w:rPr>
        <w:t xml:space="preserve"> </w:t>
      </w:r>
      <w:r>
        <w:t>riesgo</w:t>
      </w:r>
      <w:r>
        <w:rPr>
          <w:spacing w:val="30"/>
        </w:rPr>
        <w:t xml:space="preserve"> </w:t>
      </w:r>
      <w:r>
        <w:t>que</w:t>
      </w:r>
      <w:r>
        <w:rPr>
          <w:spacing w:val="30"/>
        </w:rPr>
        <w:t xml:space="preserve"> </w:t>
      </w:r>
      <w:r>
        <w:t>en</w:t>
      </w:r>
      <w:r>
        <w:rPr>
          <w:spacing w:val="30"/>
        </w:rPr>
        <w:t xml:space="preserve"> </w:t>
      </w:r>
      <w:r>
        <w:t>virtud</w:t>
      </w:r>
      <w:r>
        <w:rPr>
          <w:spacing w:val="30"/>
        </w:rPr>
        <w:t xml:space="preserve"> </w:t>
      </w:r>
      <w:r>
        <w:t>de</w:t>
      </w:r>
      <w:r>
        <w:rPr>
          <w:spacing w:val="30"/>
        </w:rPr>
        <w:t xml:space="preserve"> </w:t>
      </w:r>
      <w:r>
        <w:t>ellos</w:t>
      </w:r>
      <w:r>
        <w:rPr>
          <w:spacing w:val="30"/>
        </w:rPr>
        <w:t xml:space="preserve"> </w:t>
      </w:r>
      <w:r>
        <w:t>asume</w:t>
      </w:r>
      <w:r>
        <w:rPr>
          <w:spacing w:val="30"/>
        </w:rPr>
        <w:t xml:space="preserve"> </w:t>
      </w:r>
      <w:r>
        <w:t>el</w:t>
      </w:r>
      <w:r>
        <w:rPr>
          <w:spacing w:val="30"/>
        </w:rPr>
        <w:t xml:space="preserve"> </w:t>
      </w:r>
      <w:r>
        <w:t>órgano</w:t>
      </w:r>
      <w:r>
        <w:rPr>
          <w:spacing w:val="30"/>
        </w:rPr>
        <w:t xml:space="preserve"> </w:t>
      </w:r>
      <w:r>
        <w:t>de</w:t>
      </w:r>
      <w:r>
        <w:rPr>
          <w:spacing w:val="30"/>
        </w:rPr>
        <w:t xml:space="preserve"> </w:t>
      </w:r>
      <w:r>
        <w:t>contratación,</w:t>
      </w:r>
      <w:r>
        <w:rPr>
          <w:spacing w:val="30"/>
        </w:rPr>
        <w:t xml:space="preserve"> </w:t>
      </w:r>
      <w:r>
        <w:t>por</w:t>
      </w:r>
      <w:r>
        <w:rPr>
          <w:spacing w:val="30"/>
        </w:rPr>
        <w:t xml:space="preserve"> </w:t>
      </w:r>
      <w:r>
        <w:t>su</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especial naturaleza, régimen de pagos o condiciones del cumplimiento del contrato, resulte aconsejable incrementar el porcentaje de la garantía definitiva ordinaria a que se refiere el apartado anterior, lo que deberá acordarse mediante resolución motivada. En particular, se podrá prever la presentación de esta garantía complementaria para los casos en que la</w:t>
      </w:r>
      <w:r>
        <w:rPr>
          <w:spacing w:val="40"/>
        </w:rPr>
        <w:t xml:space="preserve"> </w:t>
      </w:r>
      <w:r>
        <w:t>oferta del adjudicatario resultara inicialmente incursa en presunción de anormalidad.</w:t>
      </w:r>
    </w:p>
    <w:p w:rsidR="0092635B" w:rsidRDefault="00000000">
      <w:pPr>
        <w:pStyle w:val="Prrafodelista"/>
        <w:numPr>
          <w:ilvl w:val="0"/>
          <w:numId w:val="262"/>
        </w:numPr>
        <w:tabs>
          <w:tab w:val="left" w:pos="1673"/>
        </w:tabs>
        <w:spacing w:before="4" w:line="249" w:lineRule="auto"/>
        <w:ind w:firstLine="340"/>
        <w:jc w:val="both"/>
        <w:rPr>
          <w:sz w:val="20"/>
        </w:rPr>
      </w:pPr>
      <w:r>
        <w:rPr>
          <w:sz w:val="20"/>
        </w:rPr>
        <w:t>Cuando el precio del contrato se formule en función de precios unitarios, el importe de la garantía a constituir se fijará atendiendo al presupuesto base de licitación, IVA excluido.</w:t>
      </w:r>
    </w:p>
    <w:p w:rsidR="0092635B" w:rsidRDefault="00000000">
      <w:pPr>
        <w:pStyle w:val="Prrafodelista"/>
        <w:numPr>
          <w:ilvl w:val="0"/>
          <w:numId w:val="262"/>
        </w:numPr>
        <w:tabs>
          <w:tab w:val="left" w:pos="1701"/>
        </w:tabs>
        <w:spacing w:before="1" w:line="249" w:lineRule="auto"/>
        <w:ind w:right="1104" w:firstLine="340"/>
        <w:jc w:val="both"/>
        <w:rPr>
          <w:sz w:val="20"/>
        </w:rPr>
      </w:pPr>
      <w:r>
        <w:rPr>
          <w:sz w:val="20"/>
        </w:rPr>
        <w:t>En la concesión de obras y en la concesión de servicios el importe de la garantía definitiva se fijará en cada caso por el órgano de contratación en el pliego de cláusulas administrativas particulares, en función de la naturaleza, importancia y duración de la concesión de que se trate.</w:t>
      </w:r>
    </w:p>
    <w:p w:rsidR="0092635B" w:rsidRDefault="00000000">
      <w:pPr>
        <w:pStyle w:val="Prrafodelista"/>
        <w:numPr>
          <w:ilvl w:val="0"/>
          <w:numId w:val="262"/>
        </w:numPr>
        <w:tabs>
          <w:tab w:val="left" w:pos="1704"/>
        </w:tabs>
        <w:spacing w:before="4" w:line="249" w:lineRule="auto"/>
        <w:ind w:firstLine="340"/>
        <w:jc w:val="both"/>
        <w:rPr>
          <w:sz w:val="20"/>
        </w:rPr>
      </w:pPr>
      <w:r>
        <w:rPr>
          <w:sz w:val="20"/>
        </w:rPr>
        <w:t>Los pliegos que rijan los acuerdos marco y los sistemas dinámicos de adquisición establecerán si la garantía definitiva se fija estimativamente por la Administración o se fija para cada contrato basado en relación con su importe de adjudicación.</w:t>
      </w:r>
    </w:p>
    <w:p w:rsidR="0092635B" w:rsidRDefault="00000000">
      <w:pPr>
        <w:pStyle w:val="Textoindependiente"/>
        <w:spacing w:line="249" w:lineRule="auto"/>
        <w:ind w:right="1103"/>
      </w:pPr>
      <w:r>
        <w:t>Si se optara por la constitución de una garantía definitiva general del acuerdo marco o</w:t>
      </w:r>
      <w:r>
        <w:rPr>
          <w:spacing w:val="40"/>
        </w:rPr>
        <w:t xml:space="preserve"> </w:t>
      </w:r>
      <w:r>
        <w:t>del sistema dinámico de adquisición fijada estimativamente por la Administración, cuando la suma de los importes, IVA excluido, de los contratos basados en los acuerdos marco o sistemas dinámicos de adquisición exceda del doble de la cantidad resultante de capitalizar al</w:t>
      </w:r>
      <w:r>
        <w:rPr>
          <w:spacing w:val="-1"/>
        </w:rPr>
        <w:t xml:space="preserve"> </w:t>
      </w:r>
      <w:r>
        <w:t>5</w:t>
      </w:r>
      <w:r>
        <w:rPr>
          <w:spacing w:val="-1"/>
        </w:rPr>
        <w:t xml:space="preserve"> </w:t>
      </w:r>
      <w:r>
        <w:t>por</w:t>
      </w:r>
      <w:r>
        <w:rPr>
          <w:spacing w:val="-1"/>
        </w:rPr>
        <w:t xml:space="preserve"> </w:t>
      </w:r>
      <w:r>
        <w:t>100</w:t>
      </w:r>
      <w:r>
        <w:rPr>
          <w:spacing w:val="-1"/>
        </w:rPr>
        <w:t xml:space="preserve"> </w:t>
      </w:r>
      <w:r>
        <w:t>el</w:t>
      </w:r>
      <w:r>
        <w:rPr>
          <w:spacing w:val="-2"/>
        </w:rPr>
        <w:t xml:space="preserve"> </w:t>
      </w:r>
      <w:r>
        <w:t>importe</w:t>
      </w:r>
      <w:r>
        <w:rPr>
          <w:spacing w:val="-1"/>
        </w:rPr>
        <w:t xml:space="preserve"> </w:t>
      </w:r>
      <w:r>
        <w:t>de</w:t>
      </w:r>
      <w:r>
        <w:rPr>
          <w:spacing w:val="-1"/>
        </w:rPr>
        <w:t xml:space="preserve"> </w:t>
      </w:r>
      <w:r>
        <w:t>la</w:t>
      </w:r>
      <w:r>
        <w:rPr>
          <w:spacing w:val="-1"/>
        </w:rPr>
        <w:t xml:space="preserve"> </w:t>
      </w:r>
      <w:r>
        <w:t>garantía</w:t>
      </w:r>
      <w:r>
        <w:rPr>
          <w:spacing w:val="-1"/>
        </w:rPr>
        <w:t xml:space="preserve"> </w:t>
      </w:r>
      <w:r>
        <w:t>definitiva,</w:t>
      </w:r>
      <w:r>
        <w:rPr>
          <w:spacing w:val="-2"/>
        </w:rPr>
        <w:t xml:space="preserve"> </w:t>
      </w:r>
      <w:r>
        <w:t>esta</w:t>
      </w:r>
      <w:r>
        <w:rPr>
          <w:spacing w:val="-1"/>
        </w:rPr>
        <w:t xml:space="preserve"> </w:t>
      </w:r>
      <w:r>
        <w:t>deberá</w:t>
      </w:r>
      <w:r>
        <w:rPr>
          <w:spacing w:val="-1"/>
        </w:rPr>
        <w:t xml:space="preserve"> </w:t>
      </w:r>
      <w:r>
        <w:t>ser</w:t>
      </w:r>
      <w:r>
        <w:rPr>
          <w:spacing w:val="-1"/>
        </w:rPr>
        <w:t xml:space="preserve"> </w:t>
      </w:r>
      <w:r>
        <w:t>incrementada</w:t>
      </w:r>
      <w:r>
        <w:rPr>
          <w:spacing w:val="-1"/>
        </w:rPr>
        <w:t xml:space="preserve"> </w:t>
      </w:r>
      <w:r>
        <w:t>en</w:t>
      </w:r>
      <w:r>
        <w:rPr>
          <w:spacing w:val="-2"/>
        </w:rPr>
        <w:t xml:space="preserve"> </w:t>
      </w:r>
      <w:r>
        <w:t>una</w:t>
      </w:r>
      <w:r>
        <w:rPr>
          <w:spacing w:val="-1"/>
        </w:rPr>
        <w:t xml:space="preserve"> </w:t>
      </w:r>
      <w:r>
        <w:t xml:space="preserve">cuantía </w:t>
      </w:r>
      <w:r>
        <w:rPr>
          <w:spacing w:val="-2"/>
        </w:rPr>
        <w:t>equivalente.</w:t>
      </w:r>
    </w:p>
    <w:p w:rsidR="0092635B" w:rsidRDefault="00000000">
      <w:pPr>
        <w:pStyle w:val="Textoindependiente"/>
        <w:spacing w:before="5" w:line="249" w:lineRule="auto"/>
        <w:ind w:right="1104"/>
      </w:pPr>
      <w:r>
        <w:t>La garantía definitiva a que se refieren los párrafos anteriores responderá respecto de</w:t>
      </w:r>
      <w:r>
        <w:rPr>
          <w:spacing w:val="80"/>
        </w:rPr>
        <w:t xml:space="preserve"> </w:t>
      </w:r>
      <w:r>
        <w:t>los incumplimientos tanto del acuerdo marco y de los sistemas dinámicos de adquisición, como del contrato basado o específico de que se trate.</w:t>
      </w:r>
    </w:p>
    <w:p w:rsidR="0092635B" w:rsidRDefault="00000000">
      <w:pPr>
        <w:spacing w:before="229"/>
        <w:ind w:left="1106"/>
        <w:jc w:val="both"/>
        <w:rPr>
          <w:rFonts w:ascii="Arial" w:hAnsi="Arial"/>
          <w:i/>
          <w:sz w:val="20"/>
        </w:rPr>
      </w:pPr>
      <w:bookmarkStart w:id="180" w:name="Artículo_108._Garantías_definitivas_admi"/>
      <w:bookmarkEnd w:id="180"/>
      <w:r>
        <w:rPr>
          <w:rFonts w:ascii="Arial" w:hAnsi="Arial"/>
          <w:b/>
          <w:sz w:val="20"/>
        </w:rPr>
        <w:t>Artículo 108.</w:t>
      </w:r>
      <w:r>
        <w:rPr>
          <w:rFonts w:ascii="Arial" w:hAnsi="Arial"/>
          <w:b/>
          <w:spacing w:val="54"/>
          <w:sz w:val="20"/>
        </w:rPr>
        <w:t xml:space="preserve"> </w:t>
      </w:r>
      <w:r>
        <w:rPr>
          <w:rFonts w:ascii="Arial" w:hAnsi="Arial"/>
          <w:i/>
          <w:sz w:val="20"/>
        </w:rPr>
        <w:t xml:space="preserve">Garantías definitivas </w:t>
      </w:r>
      <w:r>
        <w:rPr>
          <w:rFonts w:ascii="Arial" w:hAnsi="Arial"/>
          <w:i/>
          <w:spacing w:val="-2"/>
          <w:sz w:val="20"/>
        </w:rPr>
        <w:t>admisibles.</w:t>
      </w:r>
    </w:p>
    <w:p w:rsidR="0092635B" w:rsidRDefault="00000000">
      <w:pPr>
        <w:pStyle w:val="Prrafodelista"/>
        <w:numPr>
          <w:ilvl w:val="0"/>
          <w:numId w:val="261"/>
        </w:numPr>
        <w:tabs>
          <w:tab w:val="left" w:pos="1826"/>
        </w:tabs>
        <w:spacing w:before="124" w:line="249" w:lineRule="auto"/>
        <w:ind w:firstLine="340"/>
        <w:jc w:val="both"/>
        <w:rPr>
          <w:sz w:val="20"/>
        </w:rPr>
      </w:pPr>
      <w:r>
        <w:rPr>
          <w:sz w:val="20"/>
        </w:rPr>
        <w:t>Las garantías definitivas exigidas en los contratos celebrados con las Administraciones Públicas podrán prestarse en alguna o algunas de las siguientes formas:</w:t>
      </w:r>
    </w:p>
    <w:p w:rsidR="0092635B" w:rsidRDefault="00000000">
      <w:pPr>
        <w:pStyle w:val="Prrafodelista"/>
        <w:numPr>
          <w:ilvl w:val="1"/>
          <w:numId w:val="261"/>
        </w:numPr>
        <w:tabs>
          <w:tab w:val="left" w:pos="1690"/>
        </w:tabs>
        <w:spacing w:before="121" w:line="249" w:lineRule="auto"/>
        <w:ind w:right="1102" w:firstLine="340"/>
        <w:jc w:val="both"/>
        <w:rPr>
          <w:sz w:val="20"/>
        </w:rPr>
      </w:pPr>
      <w:r>
        <w:rPr>
          <w:sz w:val="20"/>
        </w:rPr>
        <w:t>En efectivo o en valores, que en todo caso serán de Deuda Pública, con sujeción, en cada caso, a las condiciones establecidas en las normas de desarrollo de esta Ley. El efectivo y los certificados de inmovilización de los valores anotados se depositarán en la</w:t>
      </w:r>
      <w:r>
        <w:rPr>
          <w:spacing w:val="40"/>
          <w:sz w:val="20"/>
        </w:rPr>
        <w:t xml:space="preserve"> </w:t>
      </w:r>
      <w:r>
        <w:rPr>
          <w:sz w:val="20"/>
        </w:rPr>
        <w:t>Caja General de Depósitos o en sus sucursales encuadradas en las Delegaciones de Economía y Hacienda, o en las Cajas o establecimientos públicos equivalentes de las Comunidades</w:t>
      </w:r>
      <w:r>
        <w:rPr>
          <w:spacing w:val="-2"/>
          <w:sz w:val="20"/>
        </w:rPr>
        <w:t xml:space="preserve"> </w:t>
      </w:r>
      <w:r>
        <w:rPr>
          <w:sz w:val="20"/>
        </w:rPr>
        <w:t>Autónomas</w:t>
      </w:r>
      <w:r>
        <w:rPr>
          <w:spacing w:val="-2"/>
          <w:sz w:val="20"/>
        </w:rPr>
        <w:t xml:space="preserve"> </w:t>
      </w:r>
      <w:r>
        <w:rPr>
          <w:sz w:val="20"/>
        </w:rPr>
        <w:t>o</w:t>
      </w:r>
      <w:r>
        <w:rPr>
          <w:spacing w:val="-2"/>
          <w:sz w:val="20"/>
        </w:rPr>
        <w:t xml:space="preserve"> </w:t>
      </w:r>
      <w:r>
        <w:rPr>
          <w:sz w:val="20"/>
        </w:rPr>
        <w:t>Entidades</w:t>
      </w:r>
      <w:r>
        <w:rPr>
          <w:spacing w:val="-2"/>
          <w:sz w:val="20"/>
        </w:rPr>
        <w:t xml:space="preserve"> </w:t>
      </w:r>
      <w:r>
        <w:rPr>
          <w:sz w:val="20"/>
        </w:rPr>
        <w:t>locales</w:t>
      </w:r>
      <w:r>
        <w:rPr>
          <w:spacing w:val="-2"/>
          <w:sz w:val="20"/>
        </w:rPr>
        <w:t xml:space="preserve"> </w:t>
      </w:r>
      <w:r>
        <w:rPr>
          <w:sz w:val="20"/>
        </w:rPr>
        <w:t>contratantes</w:t>
      </w:r>
      <w:r>
        <w:rPr>
          <w:spacing w:val="-2"/>
          <w:sz w:val="20"/>
        </w:rPr>
        <w:t xml:space="preserve"> </w:t>
      </w:r>
      <w:r>
        <w:rPr>
          <w:sz w:val="20"/>
        </w:rPr>
        <w:t>ante</w:t>
      </w:r>
      <w:r>
        <w:rPr>
          <w:spacing w:val="-2"/>
          <w:sz w:val="20"/>
        </w:rPr>
        <w:t xml:space="preserve"> </w:t>
      </w:r>
      <w:r>
        <w:rPr>
          <w:sz w:val="20"/>
        </w:rPr>
        <w:t>las</w:t>
      </w:r>
      <w:r>
        <w:rPr>
          <w:spacing w:val="-2"/>
          <w:sz w:val="20"/>
        </w:rPr>
        <w:t xml:space="preserve"> </w:t>
      </w:r>
      <w:r>
        <w:rPr>
          <w:sz w:val="20"/>
        </w:rPr>
        <w:t>que</w:t>
      </w:r>
      <w:r>
        <w:rPr>
          <w:spacing w:val="-2"/>
          <w:sz w:val="20"/>
        </w:rPr>
        <w:t xml:space="preserve"> </w:t>
      </w:r>
      <w:r>
        <w:rPr>
          <w:sz w:val="20"/>
        </w:rPr>
        <w:t>deban</w:t>
      </w:r>
      <w:r>
        <w:rPr>
          <w:spacing w:val="-2"/>
          <w:sz w:val="20"/>
        </w:rPr>
        <w:t xml:space="preserve"> </w:t>
      </w:r>
      <w:r>
        <w:rPr>
          <w:sz w:val="20"/>
        </w:rPr>
        <w:t>surtir</w:t>
      </w:r>
      <w:r>
        <w:rPr>
          <w:spacing w:val="-2"/>
          <w:sz w:val="20"/>
        </w:rPr>
        <w:t xml:space="preserve"> </w:t>
      </w:r>
      <w:r>
        <w:rPr>
          <w:sz w:val="20"/>
        </w:rPr>
        <w:t>efectos, en la forma y con las condiciones que las normas de desarrollo de esta Ley establezcan, sin perjuicio de lo dispuesto para los contratos que se celebren en el extranjero.</w:t>
      </w:r>
    </w:p>
    <w:p w:rsidR="0092635B" w:rsidRDefault="00000000">
      <w:pPr>
        <w:pStyle w:val="Prrafodelista"/>
        <w:numPr>
          <w:ilvl w:val="1"/>
          <w:numId w:val="261"/>
        </w:numPr>
        <w:tabs>
          <w:tab w:val="left" w:pos="1710"/>
        </w:tabs>
        <w:spacing w:before="7" w:line="249" w:lineRule="auto"/>
        <w:ind w:firstLine="340"/>
        <w:jc w:val="both"/>
        <w:rPr>
          <w:sz w:val="20"/>
        </w:rPr>
      </w:pPr>
      <w:r>
        <w:rPr>
          <w:sz w:val="20"/>
        </w:rPr>
        <w:t xml:space="preserve">Mediante aval, prestado en la forma y condiciones que establezcan las normas de desarrollo de esta Ley, por alguno de los bancos, cajas de ahorros, cooperativas de crédito, establecimientos financieros de crédito y sociedades de garantía recíproca autorizados para operar en España, que deberá depositarse en los establecimientos señalados en la letra a) </w:t>
      </w:r>
      <w:r>
        <w:rPr>
          <w:spacing w:val="-2"/>
          <w:sz w:val="20"/>
        </w:rPr>
        <w:t>anterior.</w:t>
      </w:r>
    </w:p>
    <w:p w:rsidR="0092635B" w:rsidRDefault="00000000">
      <w:pPr>
        <w:pStyle w:val="Prrafodelista"/>
        <w:numPr>
          <w:ilvl w:val="1"/>
          <w:numId w:val="261"/>
        </w:numPr>
        <w:tabs>
          <w:tab w:val="left" w:pos="1677"/>
        </w:tabs>
        <w:spacing w:before="4" w:line="249" w:lineRule="auto"/>
        <w:ind w:right="1104" w:firstLine="340"/>
        <w:jc w:val="both"/>
        <w:rPr>
          <w:sz w:val="20"/>
        </w:rPr>
      </w:pPr>
      <w:r>
        <w:rPr>
          <w:sz w:val="20"/>
        </w:rPr>
        <w:t>Mediante contrato de seguro de caución, celebrado en la forma y condiciones que las normas</w:t>
      </w:r>
      <w:r>
        <w:rPr>
          <w:spacing w:val="-1"/>
          <w:sz w:val="20"/>
        </w:rPr>
        <w:t xml:space="preserve"> </w:t>
      </w:r>
      <w:r>
        <w:rPr>
          <w:sz w:val="20"/>
        </w:rPr>
        <w:t>de</w:t>
      </w:r>
      <w:r>
        <w:rPr>
          <w:spacing w:val="-1"/>
          <w:sz w:val="20"/>
        </w:rPr>
        <w:t xml:space="preserve"> </w:t>
      </w:r>
      <w:r>
        <w:rPr>
          <w:sz w:val="20"/>
        </w:rPr>
        <w:t>desarrollo</w:t>
      </w:r>
      <w:r>
        <w:rPr>
          <w:spacing w:val="-1"/>
          <w:sz w:val="20"/>
        </w:rPr>
        <w:t xml:space="preserve"> </w:t>
      </w:r>
      <w:r>
        <w:rPr>
          <w:sz w:val="20"/>
        </w:rPr>
        <w:t>de</w:t>
      </w:r>
      <w:r>
        <w:rPr>
          <w:spacing w:val="-1"/>
          <w:sz w:val="20"/>
        </w:rPr>
        <w:t xml:space="preserve"> </w:t>
      </w:r>
      <w:r>
        <w:rPr>
          <w:sz w:val="20"/>
        </w:rPr>
        <w:t>esta</w:t>
      </w:r>
      <w:r>
        <w:rPr>
          <w:spacing w:val="-1"/>
          <w:sz w:val="20"/>
        </w:rPr>
        <w:t xml:space="preserve"> </w:t>
      </w:r>
      <w:r>
        <w:rPr>
          <w:sz w:val="20"/>
        </w:rPr>
        <w:t>Ley</w:t>
      </w:r>
      <w:r>
        <w:rPr>
          <w:spacing w:val="-1"/>
          <w:sz w:val="20"/>
        </w:rPr>
        <w:t xml:space="preserve"> </w:t>
      </w:r>
      <w:r>
        <w:rPr>
          <w:sz w:val="20"/>
        </w:rPr>
        <w:t>establezcan,</w:t>
      </w:r>
      <w:r>
        <w:rPr>
          <w:spacing w:val="-1"/>
          <w:sz w:val="20"/>
        </w:rPr>
        <w:t xml:space="preserve"> </w:t>
      </w:r>
      <w:r>
        <w:rPr>
          <w:sz w:val="20"/>
        </w:rPr>
        <w:t>con</w:t>
      </w:r>
      <w:r>
        <w:rPr>
          <w:spacing w:val="-1"/>
          <w:sz w:val="20"/>
        </w:rPr>
        <w:t xml:space="preserve"> </w:t>
      </w:r>
      <w:r>
        <w:rPr>
          <w:sz w:val="20"/>
        </w:rPr>
        <w:t>una</w:t>
      </w:r>
      <w:r>
        <w:rPr>
          <w:spacing w:val="-1"/>
          <w:sz w:val="20"/>
        </w:rPr>
        <w:t xml:space="preserve"> </w:t>
      </w:r>
      <w:r>
        <w:rPr>
          <w:sz w:val="20"/>
        </w:rPr>
        <w:t>entidad</w:t>
      </w:r>
      <w:r>
        <w:rPr>
          <w:spacing w:val="-1"/>
          <w:sz w:val="20"/>
        </w:rPr>
        <w:t xml:space="preserve"> </w:t>
      </w:r>
      <w:r>
        <w:rPr>
          <w:sz w:val="20"/>
        </w:rPr>
        <w:t>aseguradora</w:t>
      </w:r>
      <w:r>
        <w:rPr>
          <w:spacing w:val="-1"/>
          <w:sz w:val="20"/>
        </w:rPr>
        <w:t xml:space="preserve"> </w:t>
      </w:r>
      <w:r>
        <w:rPr>
          <w:sz w:val="20"/>
        </w:rPr>
        <w:t>autorizada</w:t>
      </w:r>
      <w:r>
        <w:rPr>
          <w:spacing w:val="-1"/>
          <w:sz w:val="20"/>
        </w:rPr>
        <w:t xml:space="preserve"> </w:t>
      </w:r>
      <w:r>
        <w:rPr>
          <w:sz w:val="20"/>
        </w:rPr>
        <w:t>para operar en el ramo. El certificado del seguro deberá entregarse en los establecimientos señalados en la letra a) anterior.</w:t>
      </w:r>
    </w:p>
    <w:p w:rsidR="0092635B" w:rsidRDefault="00000000">
      <w:pPr>
        <w:pStyle w:val="Prrafodelista"/>
        <w:numPr>
          <w:ilvl w:val="0"/>
          <w:numId w:val="261"/>
        </w:numPr>
        <w:tabs>
          <w:tab w:val="left" w:pos="1714"/>
        </w:tabs>
        <w:spacing w:before="123" w:line="249" w:lineRule="auto"/>
        <w:ind w:firstLine="340"/>
        <w:jc w:val="both"/>
        <w:rPr>
          <w:sz w:val="20"/>
        </w:rPr>
      </w:pPr>
      <w:r>
        <w:rPr>
          <w:sz w:val="20"/>
        </w:rPr>
        <w:t>Cuando así se prevea en los pliegos de cláusulas administrativas particulares, la garantía definitiva en los contratos de obras, suministros y servicios, así como en los de concesión de servicios cuando las tarifas las abone la administración contratante, podrá constituirse mediante retención en el precio. En el pliego de cláusulas administrativas particulares se fijará la forma y condiciones de la retención.</w:t>
      </w:r>
    </w:p>
    <w:p w:rsidR="0092635B" w:rsidRDefault="00000000">
      <w:pPr>
        <w:pStyle w:val="Prrafodelista"/>
        <w:numPr>
          <w:ilvl w:val="0"/>
          <w:numId w:val="261"/>
        </w:numPr>
        <w:tabs>
          <w:tab w:val="left" w:pos="1702"/>
        </w:tabs>
        <w:spacing w:before="4" w:line="249" w:lineRule="auto"/>
        <w:ind w:right="1107" w:firstLine="340"/>
        <w:jc w:val="both"/>
        <w:rPr>
          <w:sz w:val="20"/>
        </w:rPr>
      </w:pPr>
      <w:r>
        <w:rPr>
          <w:sz w:val="20"/>
        </w:rPr>
        <w:t>La acreditación de la constitución de la garantía definitiva podrá hacerse mediante medios electrónicos.</w:t>
      </w:r>
    </w:p>
    <w:p w:rsidR="0092635B" w:rsidRDefault="00000000">
      <w:pPr>
        <w:spacing w:before="229"/>
        <w:ind w:left="1106"/>
        <w:jc w:val="both"/>
        <w:rPr>
          <w:rFonts w:ascii="Arial" w:hAnsi="Arial"/>
          <w:i/>
          <w:sz w:val="20"/>
        </w:rPr>
      </w:pPr>
      <w:bookmarkStart w:id="181" w:name="Artículo_109._Constitución,_reposición_y"/>
      <w:bookmarkEnd w:id="181"/>
      <w:r>
        <w:rPr>
          <w:rFonts w:ascii="Arial" w:hAnsi="Arial"/>
          <w:b/>
          <w:sz w:val="20"/>
        </w:rPr>
        <w:t>Artículo</w:t>
      </w:r>
      <w:r>
        <w:rPr>
          <w:rFonts w:ascii="Arial" w:hAnsi="Arial"/>
          <w:b/>
          <w:spacing w:val="-3"/>
          <w:sz w:val="20"/>
        </w:rPr>
        <w:t xml:space="preserve"> </w:t>
      </w:r>
      <w:r>
        <w:rPr>
          <w:rFonts w:ascii="Arial" w:hAnsi="Arial"/>
          <w:b/>
          <w:sz w:val="20"/>
        </w:rPr>
        <w:t>109.</w:t>
      </w:r>
      <w:r>
        <w:rPr>
          <w:rFonts w:ascii="Arial" w:hAnsi="Arial"/>
          <w:b/>
          <w:spacing w:val="50"/>
          <w:sz w:val="20"/>
        </w:rPr>
        <w:t xml:space="preserve"> </w:t>
      </w:r>
      <w:r>
        <w:rPr>
          <w:rFonts w:ascii="Arial" w:hAnsi="Arial"/>
          <w:i/>
          <w:sz w:val="20"/>
        </w:rPr>
        <w:t>Constitución,</w:t>
      </w:r>
      <w:r>
        <w:rPr>
          <w:rFonts w:ascii="Arial" w:hAnsi="Arial"/>
          <w:i/>
          <w:spacing w:val="-2"/>
          <w:sz w:val="20"/>
        </w:rPr>
        <w:t xml:space="preserve"> </w:t>
      </w:r>
      <w:r>
        <w:rPr>
          <w:rFonts w:ascii="Arial" w:hAnsi="Arial"/>
          <w:i/>
          <w:sz w:val="20"/>
        </w:rPr>
        <w:t>reposición</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reajuste</w:t>
      </w:r>
      <w:r>
        <w:rPr>
          <w:rFonts w:ascii="Arial" w:hAnsi="Arial"/>
          <w:i/>
          <w:spacing w:val="-2"/>
          <w:sz w:val="20"/>
        </w:rPr>
        <w:t xml:space="preserve"> </w:t>
      </w:r>
      <w:r>
        <w:rPr>
          <w:rFonts w:ascii="Arial" w:hAnsi="Arial"/>
          <w:i/>
          <w:sz w:val="20"/>
        </w:rPr>
        <w:t>de</w:t>
      </w:r>
      <w:r>
        <w:rPr>
          <w:rFonts w:ascii="Arial" w:hAnsi="Arial"/>
          <w:i/>
          <w:spacing w:val="-2"/>
          <w:sz w:val="20"/>
        </w:rPr>
        <w:t xml:space="preserve"> garantías.</w:t>
      </w:r>
    </w:p>
    <w:p w:rsidR="0092635B" w:rsidRDefault="00000000">
      <w:pPr>
        <w:pStyle w:val="Prrafodelista"/>
        <w:numPr>
          <w:ilvl w:val="0"/>
          <w:numId w:val="260"/>
        </w:numPr>
        <w:tabs>
          <w:tab w:val="left" w:pos="1673"/>
        </w:tabs>
        <w:spacing w:before="123" w:line="249" w:lineRule="auto"/>
        <w:ind w:firstLine="340"/>
        <w:jc w:val="both"/>
        <w:rPr>
          <w:sz w:val="20"/>
        </w:rPr>
      </w:pPr>
      <w:r>
        <w:rPr>
          <w:sz w:val="20"/>
        </w:rPr>
        <w:t>El licitador que hubiera presentado la mejor oferta de conformidad con lo dispuesto en el artículo 145 deberá acreditar en el plazo señalado en el apartado 2 del artículo 150, la constitución</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garantía</w:t>
      </w:r>
      <w:r>
        <w:rPr>
          <w:spacing w:val="-2"/>
          <w:sz w:val="20"/>
        </w:rPr>
        <w:t xml:space="preserve"> </w:t>
      </w:r>
      <w:r>
        <w:rPr>
          <w:sz w:val="20"/>
        </w:rPr>
        <w:t>definitiva.</w:t>
      </w:r>
      <w:r>
        <w:rPr>
          <w:spacing w:val="-2"/>
          <w:sz w:val="20"/>
        </w:rPr>
        <w:t xml:space="preserve"> </w:t>
      </w:r>
      <w:r>
        <w:rPr>
          <w:sz w:val="20"/>
        </w:rPr>
        <w:t>De</w:t>
      </w:r>
      <w:r>
        <w:rPr>
          <w:spacing w:val="-2"/>
          <w:sz w:val="20"/>
        </w:rPr>
        <w:t xml:space="preserve"> </w:t>
      </w:r>
      <w:r>
        <w:rPr>
          <w:sz w:val="20"/>
        </w:rPr>
        <w:t>no</w:t>
      </w:r>
      <w:r>
        <w:rPr>
          <w:spacing w:val="-2"/>
          <w:sz w:val="20"/>
        </w:rPr>
        <w:t xml:space="preserve"> </w:t>
      </w:r>
      <w:r>
        <w:rPr>
          <w:sz w:val="20"/>
        </w:rPr>
        <w:t>cumplir</w:t>
      </w:r>
      <w:r>
        <w:rPr>
          <w:spacing w:val="-2"/>
          <w:sz w:val="20"/>
        </w:rPr>
        <w:t xml:space="preserve"> </w:t>
      </w:r>
      <w:r>
        <w:rPr>
          <w:sz w:val="20"/>
        </w:rPr>
        <w:t>este</w:t>
      </w:r>
      <w:r>
        <w:rPr>
          <w:spacing w:val="-2"/>
          <w:sz w:val="20"/>
        </w:rPr>
        <w:t xml:space="preserve"> </w:t>
      </w:r>
      <w:r>
        <w:rPr>
          <w:sz w:val="20"/>
        </w:rPr>
        <w:t>requisito</w:t>
      </w:r>
      <w:r>
        <w:rPr>
          <w:spacing w:val="-2"/>
          <w:sz w:val="20"/>
        </w:rPr>
        <w:t xml:space="preserve"> </w:t>
      </w:r>
      <w:r>
        <w:rPr>
          <w:sz w:val="20"/>
        </w:rPr>
        <w:t>por</w:t>
      </w:r>
      <w:r>
        <w:rPr>
          <w:spacing w:val="-2"/>
          <w:sz w:val="20"/>
        </w:rPr>
        <w:t xml:space="preserve"> </w:t>
      </w:r>
      <w:r>
        <w:rPr>
          <w:sz w:val="20"/>
        </w:rPr>
        <w:t>causas</w:t>
      </w:r>
      <w:r>
        <w:rPr>
          <w:spacing w:val="-2"/>
          <w:sz w:val="20"/>
        </w:rPr>
        <w:t xml:space="preserve"> </w:t>
      </w:r>
      <w:r>
        <w:rPr>
          <w:sz w:val="20"/>
        </w:rPr>
        <w:t>a</w:t>
      </w:r>
      <w:r>
        <w:rPr>
          <w:spacing w:val="-2"/>
          <w:sz w:val="20"/>
        </w:rPr>
        <w:t xml:space="preserve"> </w:t>
      </w:r>
      <w:r>
        <w:rPr>
          <w:sz w:val="20"/>
        </w:rPr>
        <w:t>él</w:t>
      </w:r>
      <w:r>
        <w:rPr>
          <w:spacing w:val="-2"/>
          <w:sz w:val="20"/>
        </w:rPr>
        <w:t xml:space="preserve"> </w:t>
      </w:r>
      <w:r>
        <w:rPr>
          <w:sz w:val="20"/>
        </w:rPr>
        <w:t>imputables,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la Administración no efectuará la adjudicación a su favor, siendo de aplicación lo dispuesto en el penúltimo párrafo del apartado 2 del artículo 150.</w:t>
      </w:r>
    </w:p>
    <w:p w:rsidR="0092635B" w:rsidRDefault="00000000">
      <w:pPr>
        <w:pStyle w:val="Prrafodelista"/>
        <w:numPr>
          <w:ilvl w:val="0"/>
          <w:numId w:val="260"/>
        </w:numPr>
        <w:tabs>
          <w:tab w:val="left" w:pos="1709"/>
        </w:tabs>
        <w:spacing w:before="1" w:line="249" w:lineRule="auto"/>
        <w:ind w:firstLine="340"/>
        <w:jc w:val="both"/>
        <w:rPr>
          <w:sz w:val="20"/>
        </w:rPr>
      </w:pPr>
      <w:r>
        <w:rPr>
          <w:sz w:val="20"/>
        </w:rPr>
        <w:t>En caso de que se hagan efectivas sobre la garantía definitiva las penalidades o indemnizaciones</w:t>
      </w:r>
      <w:r>
        <w:rPr>
          <w:spacing w:val="-2"/>
          <w:sz w:val="20"/>
        </w:rPr>
        <w:t xml:space="preserve"> </w:t>
      </w:r>
      <w:r>
        <w:rPr>
          <w:sz w:val="20"/>
        </w:rPr>
        <w:t>exigibles</w:t>
      </w:r>
      <w:r>
        <w:rPr>
          <w:spacing w:val="-2"/>
          <w:sz w:val="20"/>
        </w:rPr>
        <w:t xml:space="preserve"> </w:t>
      </w:r>
      <w:r>
        <w:rPr>
          <w:sz w:val="20"/>
        </w:rPr>
        <w:t>al</w:t>
      </w:r>
      <w:r>
        <w:rPr>
          <w:spacing w:val="-2"/>
          <w:sz w:val="20"/>
        </w:rPr>
        <w:t xml:space="preserve"> </w:t>
      </w:r>
      <w:r>
        <w:rPr>
          <w:sz w:val="20"/>
        </w:rPr>
        <w:t>contratista,</w:t>
      </w:r>
      <w:r>
        <w:rPr>
          <w:spacing w:val="-2"/>
          <w:sz w:val="20"/>
        </w:rPr>
        <w:t xml:space="preserve"> </w:t>
      </w:r>
      <w:r>
        <w:rPr>
          <w:sz w:val="20"/>
        </w:rPr>
        <w:t>este</w:t>
      </w:r>
      <w:r>
        <w:rPr>
          <w:spacing w:val="-2"/>
          <w:sz w:val="20"/>
        </w:rPr>
        <w:t xml:space="preserve"> </w:t>
      </w:r>
      <w:r>
        <w:rPr>
          <w:sz w:val="20"/>
        </w:rPr>
        <w:t>deberá</w:t>
      </w:r>
      <w:r>
        <w:rPr>
          <w:spacing w:val="-2"/>
          <w:sz w:val="20"/>
        </w:rPr>
        <w:t xml:space="preserve"> </w:t>
      </w:r>
      <w:r>
        <w:rPr>
          <w:sz w:val="20"/>
        </w:rPr>
        <w:t>reponer</w:t>
      </w:r>
      <w:r>
        <w:rPr>
          <w:spacing w:val="-2"/>
          <w:sz w:val="20"/>
        </w:rPr>
        <w:t xml:space="preserve"> </w:t>
      </w:r>
      <w:r>
        <w:rPr>
          <w:sz w:val="20"/>
        </w:rPr>
        <w:t>o</w:t>
      </w:r>
      <w:r>
        <w:rPr>
          <w:spacing w:val="-2"/>
          <w:sz w:val="20"/>
        </w:rPr>
        <w:t xml:space="preserve"> </w:t>
      </w:r>
      <w:r>
        <w:rPr>
          <w:sz w:val="20"/>
        </w:rPr>
        <w:t>ampliar</w:t>
      </w:r>
      <w:r>
        <w:rPr>
          <w:spacing w:val="-2"/>
          <w:sz w:val="20"/>
        </w:rPr>
        <w:t xml:space="preserve"> </w:t>
      </w:r>
      <w:r>
        <w:rPr>
          <w:sz w:val="20"/>
        </w:rPr>
        <w:t>aquella,</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cuantía que corresponda, en el plazo de quince días desde la ejecución, incurriendo en caso contrario en causa de resolución.</w:t>
      </w:r>
    </w:p>
    <w:p w:rsidR="0092635B" w:rsidRDefault="00000000">
      <w:pPr>
        <w:pStyle w:val="Prrafodelista"/>
        <w:numPr>
          <w:ilvl w:val="0"/>
          <w:numId w:val="260"/>
        </w:numPr>
        <w:tabs>
          <w:tab w:val="left" w:pos="1681"/>
        </w:tabs>
        <w:spacing w:before="4" w:line="249" w:lineRule="auto"/>
        <w:ind w:firstLine="340"/>
        <w:jc w:val="both"/>
        <w:rPr>
          <w:sz w:val="20"/>
        </w:rPr>
      </w:pPr>
      <w:r>
        <w:rPr>
          <w:sz w:val="20"/>
        </w:rPr>
        <w:t>Cuando, como consecuencia de una modificación del contrato, experimente variación el precio del mismo, deberá reajustarse la garantía, para que guarde la debida proporción con el nuevo precio modificado, en el plazo de quince días contados desde la fecha en que se</w:t>
      </w:r>
      <w:r>
        <w:rPr>
          <w:spacing w:val="-2"/>
          <w:sz w:val="20"/>
        </w:rPr>
        <w:t xml:space="preserve"> </w:t>
      </w:r>
      <w:r>
        <w:rPr>
          <w:sz w:val="20"/>
        </w:rPr>
        <w:t>notifique</w:t>
      </w:r>
      <w:r>
        <w:rPr>
          <w:spacing w:val="-2"/>
          <w:sz w:val="20"/>
        </w:rPr>
        <w:t xml:space="preserve"> </w:t>
      </w:r>
      <w:r>
        <w:rPr>
          <w:sz w:val="20"/>
        </w:rPr>
        <w:t>al</w:t>
      </w:r>
      <w:r>
        <w:rPr>
          <w:spacing w:val="-2"/>
          <w:sz w:val="20"/>
        </w:rPr>
        <w:t xml:space="preserve"> </w:t>
      </w:r>
      <w:r>
        <w:rPr>
          <w:sz w:val="20"/>
        </w:rPr>
        <w:t>empresario</w:t>
      </w:r>
      <w:r>
        <w:rPr>
          <w:spacing w:val="-2"/>
          <w:sz w:val="20"/>
        </w:rPr>
        <w:t xml:space="preserve"> </w:t>
      </w:r>
      <w:r>
        <w:rPr>
          <w:sz w:val="20"/>
        </w:rPr>
        <w:t>el</w:t>
      </w:r>
      <w:r>
        <w:rPr>
          <w:spacing w:val="-2"/>
          <w:sz w:val="20"/>
        </w:rPr>
        <w:t xml:space="preserve"> </w:t>
      </w:r>
      <w:r>
        <w:rPr>
          <w:sz w:val="20"/>
        </w:rPr>
        <w:t>acuerdo</w:t>
      </w:r>
      <w:r>
        <w:rPr>
          <w:spacing w:val="-2"/>
          <w:sz w:val="20"/>
        </w:rPr>
        <w:t xml:space="preserve"> </w:t>
      </w:r>
      <w:r>
        <w:rPr>
          <w:sz w:val="20"/>
        </w:rPr>
        <w:t>de</w:t>
      </w:r>
      <w:r>
        <w:rPr>
          <w:spacing w:val="-2"/>
          <w:sz w:val="20"/>
        </w:rPr>
        <w:t xml:space="preserve"> </w:t>
      </w:r>
      <w:r>
        <w:rPr>
          <w:sz w:val="20"/>
        </w:rPr>
        <w:t>modificación.</w:t>
      </w:r>
      <w:r>
        <w:rPr>
          <w:spacing w:val="-2"/>
          <w:sz w:val="20"/>
        </w:rPr>
        <w:t xml:space="preserve"> </w:t>
      </w:r>
      <w:r>
        <w:rPr>
          <w:sz w:val="20"/>
        </w:rPr>
        <w:t>A</w:t>
      </w:r>
      <w:r>
        <w:rPr>
          <w:spacing w:val="-2"/>
          <w:sz w:val="20"/>
        </w:rPr>
        <w:t xml:space="preserve"> </w:t>
      </w:r>
      <w:r>
        <w:rPr>
          <w:sz w:val="20"/>
        </w:rPr>
        <w:t>estos</w:t>
      </w:r>
      <w:r>
        <w:rPr>
          <w:spacing w:val="-2"/>
          <w:sz w:val="20"/>
        </w:rPr>
        <w:t xml:space="preserve"> </w:t>
      </w:r>
      <w:r>
        <w:rPr>
          <w:sz w:val="20"/>
        </w:rPr>
        <w:t>efectos</w:t>
      </w:r>
      <w:r>
        <w:rPr>
          <w:spacing w:val="-2"/>
          <w:sz w:val="20"/>
        </w:rPr>
        <w:t xml:space="preserve"> </w:t>
      </w:r>
      <w:r>
        <w:rPr>
          <w:sz w:val="20"/>
        </w:rPr>
        <w:t>no</w:t>
      </w:r>
      <w:r>
        <w:rPr>
          <w:spacing w:val="-2"/>
          <w:sz w:val="20"/>
        </w:rPr>
        <w:t xml:space="preserve"> </w:t>
      </w:r>
      <w:r>
        <w:rPr>
          <w:sz w:val="20"/>
        </w:rPr>
        <w:t>se</w:t>
      </w:r>
      <w:r>
        <w:rPr>
          <w:spacing w:val="-2"/>
          <w:sz w:val="20"/>
        </w:rPr>
        <w:t xml:space="preserve"> </w:t>
      </w:r>
      <w:r>
        <w:rPr>
          <w:sz w:val="20"/>
        </w:rPr>
        <w:t>considerarán</w:t>
      </w:r>
      <w:r>
        <w:rPr>
          <w:spacing w:val="-2"/>
          <w:sz w:val="20"/>
        </w:rPr>
        <w:t xml:space="preserve"> </w:t>
      </w:r>
      <w:r>
        <w:rPr>
          <w:sz w:val="20"/>
        </w:rPr>
        <w:t>las variaciones de precio que se produzcan como consecuencia de una revisión del mismo conforme a lo señalado en el Capítulo II del Título III de este Libro.</w:t>
      </w:r>
    </w:p>
    <w:p w:rsidR="0092635B" w:rsidRDefault="00000000">
      <w:pPr>
        <w:pStyle w:val="Prrafodelista"/>
        <w:numPr>
          <w:ilvl w:val="0"/>
          <w:numId w:val="260"/>
        </w:numPr>
        <w:tabs>
          <w:tab w:val="left" w:pos="1692"/>
        </w:tabs>
        <w:spacing w:before="4" w:line="249" w:lineRule="auto"/>
        <w:ind w:firstLine="340"/>
        <w:jc w:val="both"/>
        <w:rPr>
          <w:sz w:val="20"/>
        </w:rPr>
      </w:pPr>
      <w:r>
        <w:rPr>
          <w:sz w:val="20"/>
        </w:rPr>
        <w:t>Cuando la garantía definitiva se hubiere constituido mediante contrato de seguro de caución y la duración del contrato excediera los cinco años, el contratista podrá presentar como</w:t>
      </w:r>
      <w:r>
        <w:rPr>
          <w:spacing w:val="-2"/>
          <w:sz w:val="20"/>
        </w:rPr>
        <w:t xml:space="preserve"> </w:t>
      </w:r>
      <w:r>
        <w:rPr>
          <w:sz w:val="20"/>
        </w:rPr>
        <w:t>garantía</w:t>
      </w:r>
      <w:r>
        <w:rPr>
          <w:spacing w:val="-2"/>
          <w:sz w:val="20"/>
        </w:rPr>
        <w:t xml:space="preserve"> </w:t>
      </w:r>
      <w:r>
        <w:rPr>
          <w:sz w:val="20"/>
        </w:rPr>
        <w:t>definitiva</w:t>
      </w:r>
      <w:r>
        <w:rPr>
          <w:spacing w:val="-2"/>
          <w:sz w:val="20"/>
        </w:rPr>
        <w:t xml:space="preserve"> </w:t>
      </w:r>
      <w:r>
        <w:rPr>
          <w:sz w:val="20"/>
        </w:rPr>
        <w:t>un</w:t>
      </w:r>
      <w:r>
        <w:rPr>
          <w:spacing w:val="-2"/>
          <w:sz w:val="20"/>
        </w:rPr>
        <w:t xml:space="preserve"> </w:t>
      </w:r>
      <w:r>
        <w:rPr>
          <w:sz w:val="20"/>
        </w:rPr>
        <w:t>contrato</w:t>
      </w:r>
      <w:r>
        <w:rPr>
          <w:spacing w:val="-2"/>
          <w:sz w:val="20"/>
        </w:rPr>
        <w:t xml:space="preserve"> </w:t>
      </w:r>
      <w:r>
        <w:rPr>
          <w:sz w:val="20"/>
        </w:rPr>
        <w:t>de</w:t>
      </w:r>
      <w:r>
        <w:rPr>
          <w:spacing w:val="-2"/>
          <w:sz w:val="20"/>
        </w:rPr>
        <w:t xml:space="preserve"> </w:t>
      </w:r>
      <w:r>
        <w:rPr>
          <w:sz w:val="20"/>
        </w:rPr>
        <w:t>seguro</w:t>
      </w:r>
      <w:r>
        <w:rPr>
          <w:spacing w:val="-2"/>
          <w:sz w:val="20"/>
        </w:rPr>
        <w:t xml:space="preserve"> </w:t>
      </w:r>
      <w:r>
        <w:rPr>
          <w:sz w:val="20"/>
        </w:rPr>
        <w:t>de</w:t>
      </w:r>
      <w:r>
        <w:rPr>
          <w:spacing w:val="-2"/>
          <w:sz w:val="20"/>
        </w:rPr>
        <w:t xml:space="preserve"> </w:t>
      </w:r>
      <w:r>
        <w:rPr>
          <w:sz w:val="20"/>
        </w:rPr>
        <w:t>caución</w:t>
      </w:r>
      <w:r>
        <w:rPr>
          <w:spacing w:val="-2"/>
          <w:sz w:val="20"/>
        </w:rPr>
        <w:t xml:space="preserve"> </w:t>
      </w:r>
      <w:r>
        <w:rPr>
          <w:sz w:val="20"/>
        </w:rPr>
        <w:t>de</w:t>
      </w:r>
      <w:r>
        <w:rPr>
          <w:spacing w:val="-2"/>
          <w:sz w:val="20"/>
        </w:rPr>
        <w:t xml:space="preserve"> </w:t>
      </w:r>
      <w:r>
        <w:rPr>
          <w:sz w:val="20"/>
        </w:rPr>
        <w:t>plazo</w:t>
      </w:r>
      <w:r>
        <w:rPr>
          <w:spacing w:val="-2"/>
          <w:sz w:val="20"/>
        </w:rPr>
        <w:t xml:space="preserve"> </w:t>
      </w:r>
      <w:r>
        <w:rPr>
          <w:sz w:val="20"/>
        </w:rPr>
        <w:t>inferior</w:t>
      </w:r>
      <w:r>
        <w:rPr>
          <w:spacing w:val="-2"/>
          <w:sz w:val="20"/>
        </w:rPr>
        <w:t xml:space="preserve"> </w:t>
      </w:r>
      <w:r>
        <w:rPr>
          <w:sz w:val="20"/>
        </w:rPr>
        <w:t>al</w:t>
      </w:r>
      <w:r>
        <w:rPr>
          <w:spacing w:val="-2"/>
          <w:sz w:val="20"/>
        </w:rPr>
        <w:t xml:space="preserve"> </w:t>
      </w:r>
      <w:r>
        <w:rPr>
          <w:sz w:val="20"/>
        </w:rPr>
        <w:t>de</w:t>
      </w:r>
      <w:r>
        <w:rPr>
          <w:spacing w:val="-2"/>
          <w:sz w:val="20"/>
        </w:rPr>
        <w:t xml:space="preserve"> </w:t>
      </w:r>
      <w:r>
        <w:rPr>
          <w:sz w:val="20"/>
        </w:rPr>
        <w:t>duración</w:t>
      </w:r>
      <w:r>
        <w:rPr>
          <w:spacing w:val="-2"/>
          <w:sz w:val="20"/>
        </w:rPr>
        <w:t xml:space="preserve"> </w:t>
      </w:r>
      <w:r>
        <w:rPr>
          <w:sz w:val="20"/>
        </w:rPr>
        <w:t>del contrato, estando obligado en este caso, con una antelación mínima de dos meses al vencimiento del contrato de seguro de caución, bien a prestar una nueva garantía, o bien a prorrogar el contrato de seguro de caución y a acreditárselo al órgano de contratación. En caso contrario se incautará la garantía definitiva por aplicación del artículo 110.c).</w:t>
      </w:r>
    </w:p>
    <w:p w:rsidR="0092635B" w:rsidRDefault="0092635B">
      <w:pPr>
        <w:pStyle w:val="Textoindependiente"/>
        <w:spacing w:before="3"/>
        <w:ind w:left="0" w:firstLine="0"/>
        <w:jc w:val="left"/>
      </w:pPr>
    </w:p>
    <w:p w:rsidR="0092635B" w:rsidRDefault="00000000">
      <w:pPr>
        <w:ind w:left="1106"/>
        <w:jc w:val="both"/>
        <w:rPr>
          <w:rFonts w:ascii="Arial" w:hAnsi="Arial"/>
          <w:i/>
          <w:sz w:val="20"/>
        </w:rPr>
      </w:pPr>
      <w:bookmarkStart w:id="182" w:name="Artículo_110._Responsabilidades_a_que_es"/>
      <w:bookmarkEnd w:id="182"/>
      <w:r>
        <w:rPr>
          <w:rFonts w:ascii="Arial" w:hAnsi="Arial"/>
          <w:b/>
          <w:sz w:val="20"/>
        </w:rPr>
        <w:t>Artículo</w:t>
      </w:r>
      <w:r>
        <w:rPr>
          <w:rFonts w:ascii="Arial" w:hAnsi="Arial"/>
          <w:b/>
          <w:spacing w:val="-2"/>
          <w:sz w:val="20"/>
        </w:rPr>
        <w:t xml:space="preserve"> </w:t>
      </w:r>
      <w:r>
        <w:rPr>
          <w:rFonts w:ascii="Arial" w:hAnsi="Arial"/>
          <w:b/>
          <w:sz w:val="20"/>
        </w:rPr>
        <w:t>110.</w:t>
      </w:r>
      <w:r>
        <w:rPr>
          <w:rFonts w:ascii="Arial" w:hAnsi="Arial"/>
          <w:b/>
          <w:spacing w:val="50"/>
          <w:sz w:val="20"/>
        </w:rPr>
        <w:t xml:space="preserve"> </w:t>
      </w:r>
      <w:r>
        <w:rPr>
          <w:rFonts w:ascii="Arial" w:hAnsi="Arial"/>
          <w:i/>
          <w:sz w:val="20"/>
        </w:rPr>
        <w:t>Responsabilidades</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que</w:t>
      </w:r>
      <w:r>
        <w:rPr>
          <w:rFonts w:ascii="Arial" w:hAnsi="Arial"/>
          <w:i/>
          <w:spacing w:val="-2"/>
          <w:sz w:val="20"/>
        </w:rPr>
        <w:t xml:space="preserve"> </w:t>
      </w:r>
      <w:r>
        <w:rPr>
          <w:rFonts w:ascii="Arial" w:hAnsi="Arial"/>
          <w:i/>
          <w:sz w:val="20"/>
        </w:rPr>
        <w:t>están</w:t>
      </w:r>
      <w:r>
        <w:rPr>
          <w:rFonts w:ascii="Arial" w:hAnsi="Arial"/>
          <w:i/>
          <w:spacing w:val="-2"/>
          <w:sz w:val="20"/>
        </w:rPr>
        <w:t xml:space="preserve"> </w:t>
      </w:r>
      <w:r>
        <w:rPr>
          <w:rFonts w:ascii="Arial" w:hAnsi="Arial"/>
          <w:i/>
          <w:sz w:val="20"/>
        </w:rPr>
        <w:t>afectas</w:t>
      </w:r>
      <w:r>
        <w:rPr>
          <w:rFonts w:ascii="Arial" w:hAnsi="Arial"/>
          <w:i/>
          <w:spacing w:val="-2"/>
          <w:sz w:val="20"/>
        </w:rPr>
        <w:t xml:space="preserve"> </w:t>
      </w:r>
      <w:r>
        <w:rPr>
          <w:rFonts w:ascii="Arial" w:hAnsi="Arial"/>
          <w:i/>
          <w:sz w:val="20"/>
        </w:rPr>
        <w:t>las</w:t>
      </w:r>
      <w:r>
        <w:rPr>
          <w:rFonts w:ascii="Arial" w:hAnsi="Arial"/>
          <w:i/>
          <w:spacing w:val="-2"/>
          <w:sz w:val="20"/>
        </w:rPr>
        <w:t xml:space="preserve"> garantías.</w:t>
      </w:r>
    </w:p>
    <w:p w:rsidR="0092635B" w:rsidRDefault="00000000">
      <w:pPr>
        <w:pStyle w:val="Textoindependiente"/>
        <w:spacing w:before="123"/>
        <w:ind w:left="1446" w:firstLine="0"/>
        <w:jc w:val="left"/>
      </w:pPr>
      <w:r>
        <w:t>La</w:t>
      </w:r>
      <w:r>
        <w:rPr>
          <w:spacing w:val="-7"/>
        </w:rPr>
        <w:t xml:space="preserve"> </w:t>
      </w:r>
      <w:r>
        <w:t>garantía</w:t>
      </w:r>
      <w:r>
        <w:rPr>
          <w:spacing w:val="-4"/>
        </w:rPr>
        <w:t xml:space="preserve"> </w:t>
      </w:r>
      <w:r>
        <w:t>definitiva</w:t>
      </w:r>
      <w:r>
        <w:rPr>
          <w:spacing w:val="-5"/>
        </w:rPr>
        <w:t xml:space="preserve"> </w:t>
      </w:r>
      <w:r>
        <w:t>únicamente</w:t>
      </w:r>
      <w:r>
        <w:rPr>
          <w:spacing w:val="-4"/>
        </w:rPr>
        <w:t xml:space="preserve"> </w:t>
      </w:r>
      <w:r>
        <w:t>responderá</w:t>
      </w:r>
      <w:r>
        <w:rPr>
          <w:spacing w:val="-5"/>
        </w:rPr>
        <w:t xml:space="preserve"> </w:t>
      </w:r>
      <w:r>
        <w:t>de</w:t>
      </w:r>
      <w:r>
        <w:rPr>
          <w:spacing w:val="-4"/>
        </w:rPr>
        <w:t xml:space="preserve"> </w:t>
      </w:r>
      <w:r>
        <w:t>los</w:t>
      </w:r>
      <w:r>
        <w:rPr>
          <w:spacing w:val="-5"/>
        </w:rPr>
        <w:t xml:space="preserve"> </w:t>
      </w:r>
      <w:r>
        <w:t>siguientes</w:t>
      </w:r>
      <w:r>
        <w:rPr>
          <w:spacing w:val="-4"/>
        </w:rPr>
        <w:t xml:space="preserve"> </w:t>
      </w:r>
      <w:r>
        <w:rPr>
          <w:spacing w:val="-2"/>
        </w:rPr>
        <w:t>conceptos:</w:t>
      </w:r>
    </w:p>
    <w:p w:rsidR="0092635B" w:rsidRDefault="00000000">
      <w:pPr>
        <w:pStyle w:val="Prrafodelista"/>
        <w:numPr>
          <w:ilvl w:val="1"/>
          <w:numId w:val="260"/>
        </w:numPr>
        <w:tabs>
          <w:tab w:val="left" w:pos="1698"/>
        </w:tabs>
        <w:spacing w:before="130" w:line="249" w:lineRule="auto"/>
        <w:ind w:right="1105" w:firstLine="340"/>
        <w:jc w:val="both"/>
        <w:rPr>
          <w:sz w:val="20"/>
        </w:rPr>
      </w:pPr>
      <w:r>
        <w:rPr>
          <w:sz w:val="20"/>
        </w:rPr>
        <w:t>De la obligación de formalizar el contrato en plazo, de conformidad con lo dispuesto</w:t>
      </w:r>
      <w:r>
        <w:rPr>
          <w:spacing w:val="40"/>
          <w:sz w:val="20"/>
        </w:rPr>
        <w:t xml:space="preserve"> </w:t>
      </w:r>
      <w:r>
        <w:rPr>
          <w:sz w:val="20"/>
        </w:rPr>
        <w:t>en el artículo 153.</w:t>
      </w:r>
    </w:p>
    <w:p w:rsidR="0092635B" w:rsidRDefault="00000000">
      <w:pPr>
        <w:pStyle w:val="Prrafodelista"/>
        <w:numPr>
          <w:ilvl w:val="1"/>
          <w:numId w:val="260"/>
        </w:numPr>
        <w:tabs>
          <w:tab w:val="left" w:pos="1703"/>
        </w:tabs>
        <w:spacing w:line="249" w:lineRule="auto"/>
        <w:ind w:right="1104" w:firstLine="340"/>
        <w:jc w:val="both"/>
        <w:rPr>
          <w:sz w:val="20"/>
        </w:rPr>
      </w:pPr>
      <w:r>
        <w:rPr>
          <w:sz w:val="20"/>
        </w:rPr>
        <w:t xml:space="preserve">De las penalidades impuestas al contratista conforme al artículo 192 de la presente </w:t>
      </w:r>
      <w:r>
        <w:rPr>
          <w:spacing w:val="-4"/>
          <w:sz w:val="20"/>
        </w:rPr>
        <w:t>Ley.</w:t>
      </w:r>
    </w:p>
    <w:p w:rsidR="0092635B" w:rsidRDefault="00000000">
      <w:pPr>
        <w:pStyle w:val="Prrafodelista"/>
        <w:numPr>
          <w:ilvl w:val="1"/>
          <w:numId w:val="260"/>
        </w:numPr>
        <w:tabs>
          <w:tab w:val="left" w:pos="1674"/>
        </w:tabs>
        <w:spacing w:line="249" w:lineRule="auto"/>
        <w:ind w:right="1102" w:firstLine="340"/>
        <w:jc w:val="both"/>
        <w:rPr>
          <w:sz w:val="20"/>
        </w:rPr>
      </w:pPr>
      <w:r>
        <w:rPr>
          <w:sz w:val="20"/>
        </w:rPr>
        <w:t>De la correcta ejecución de las prestaciones contempladas en el contrato incluidas las mejoras que ofertadas por el contratista hayan sido aceptadas por el órgano de contratación, de los gastos originados a la Administración por la demora del contratista en el cumplimiento de sus obligaciones, y de los daños y perjuicios ocasionados a la misma con motivo de la ejecución del contrato o por su incumplimiento, cuando no proceda su resolución.</w:t>
      </w:r>
    </w:p>
    <w:p w:rsidR="0092635B" w:rsidRDefault="00000000">
      <w:pPr>
        <w:pStyle w:val="Prrafodelista"/>
        <w:numPr>
          <w:ilvl w:val="1"/>
          <w:numId w:val="260"/>
        </w:numPr>
        <w:tabs>
          <w:tab w:val="left" w:pos="1702"/>
        </w:tabs>
        <w:spacing w:before="4" w:line="249" w:lineRule="auto"/>
        <w:ind w:right="1104" w:firstLine="340"/>
        <w:jc w:val="both"/>
        <w:rPr>
          <w:sz w:val="20"/>
        </w:rPr>
      </w:pPr>
      <w:r>
        <w:rPr>
          <w:sz w:val="20"/>
        </w:rPr>
        <w:t>De la incautación que puede decretarse en los casos de resolución del contrato, de acuerdo con lo que en él o en esta Ley esté establecido.</w:t>
      </w:r>
    </w:p>
    <w:p w:rsidR="0092635B" w:rsidRDefault="00000000">
      <w:pPr>
        <w:pStyle w:val="Prrafodelista"/>
        <w:numPr>
          <w:ilvl w:val="1"/>
          <w:numId w:val="260"/>
        </w:numPr>
        <w:tabs>
          <w:tab w:val="left" w:pos="1682"/>
        </w:tabs>
        <w:spacing w:before="1" w:line="249" w:lineRule="auto"/>
        <w:ind w:firstLine="340"/>
        <w:jc w:val="both"/>
        <w:rPr>
          <w:sz w:val="20"/>
        </w:rPr>
      </w:pPr>
      <w:r>
        <w:rPr>
          <w:sz w:val="20"/>
        </w:rPr>
        <w:t>Además, en los contratos de obras, de servicios y de suministros, la garantía definitiva responderá de la inexistencia de vicios o defectos de los bienes construidos o suministrados o de los servicios prestados durante el plazo de garantía que se haya previsto en el contrato.</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183" w:name="Artículo_111._Devolución_y_cancelación_d"/>
      <w:bookmarkEnd w:id="183"/>
      <w:r>
        <w:rPr>
          <w:rFonts w:ascii="Arial" w:hAnsi="Arial"/>
          <w:b/>
          <w:sz w:val="20"/>
        </w:rPr>
        <w:t>Artículo</w:t>
      </w:r>
      <w:r>
        <w:rPr>
          <w:rFonts w:ascii="Arial" w:hAnsi="Arial"/>
          <w:b/>
          <w:spacing w:val="-5"/>
          <w:sz w:val="20"/>
        </w:rPr>
        <w:t xml:space="preserve"> </w:t>
      </w:r>
      <w:r>
        <w:rPr>
          <w:rFonts w:ascii="Arial" w:hAnsi="Arial"/>
          <w:b/>
          <w:sz w:val="20"/>
        </w:rPr>
        <w:t>111.</w:t>
      </w:r>
      <w:r>
        <w:rPr>
          <w:rFonts w:ascii="Arial" w:hAnsi="Arial"/>
          <w:b/>
          <w:spacing w:val="44"/>
          <w:sz w:val="20"/>
        </w:rPr>
        <w:t xml:space="preserve"> </w:t>
      </w:r>
      <w:r>
        <w:rPr>
          <w:rFonts w:ascii="Arial" w:hAnsi="Arial"/>
          <w:i/>
          <w:sz w:val="20"/>
        </w:rPr>
        <w:t>Devolución</w:t>
      </w:r>
      <w:r>
        <w:rPr>
          <w:rFonts w:ascii="Arial" w:hAnsi="Arial"/>
          <w:i/>
          <w:spacing w:val="-5"/>
          <w:sz w:val="20"/>
        </w:rPr>
        <w:t xml:space="preserve"> </w:t>
      </w:r>
      <w:r>
        <w:rPr>
          <w:rFonts w:ascii="Arial" w:hAnsi="Arial"/>
          <w:i/>
          <w:sz w:val="20"/>
        </w:rPr>
        <w:t>y</w:t>
      </w:r>
      <w:r>
        <w:rPr>
          <w:rFonts w:ascii="Arial" w:hAnsi="Arial"/>
          <w:i/>
          <w:spacing w:val="-5"/>
          <w:sz w:val="20"/>
        </w:rPr>
        <w:t xml:space="preserve"> </w:t>
      </w:r>
      <w:r>
        <w:rPr>
          <w:rFonts w:ascii="Arial" w:hAnsi="Arial"/>
          <w:i/>
          <w:sz w:val="20"/>
        </w:rPr>
        <w:t>cancelación</w:t>
      </w:r>
      <w:r>
        <w:rPr>
          <w:rFonts w:ascii="Arial" w:hAnsi="Arial"/>
          <w:i/>
          <w:spacing w:val="-5"/>
          <w:sz w:val="20"/>
        </w:rPr>
        <w:t xml:space="preserve"> </w:t>
      </w:r>
      <w:r>
        <w:rPr>
          <w:rFonts w:ascii="Arial" w:hAnsi="Arial"/>
          <w:i/>
          <w:sz w:val="20"/>
        </w:rPr>
        <w:t>de</w:t>
      </w:r>
      <w:r>
        <w:rPr>
          <w:rFonts w:ascii="Arial" w:hAnsi="Arial"/>
          <w:i/>
          <w:spacing w:val="-5"/>
          <w:sz w:val="20"/>
        </w:rPr>
        <w:t xml:space="preserve"> </w:t>
      </w:r>
      <w:r>
        <w:rPr>
          <w:rFonts w:ascii="Arial" w:hAnsi="Arial"/>
          <w:i/>
          <w:sz w:val="20"/>
        </w:rPr>
        <w:t>las</w:t>
      </w:r>
      <w:r>
        <w:rPr>
          <w:rFonts w:ascii="Arial" w:hAnsi="Arial"/>
          <w:i/>
          <w:spacing w:val="-5"/>
          <w:sz w:val="20"/>
        </w:rPr>
        <w:t xml:space="preserve"> </w:t>
      </w:r>
      <w:r>
        <w:rPr>
          <w:rFonts w:ascii="Arial" w:hAnsi="Arial"/>
          <w:i/>
          <w:sz w:val="20"/>
        </w:rPr>
        <w:t>garantías</w:t>
      </w:r>
      <w:r>
        <w:rPr>
          <w:rFonts w:ascii="Arial" w:hAnsi="Arial"/>
          <w:i/>
          <w:spacing w:val="-4"/>
          <w:sz w:val="20"/>
        </w:rPr>
        <w:t xml:space="preserve"> </w:t>
      </w:r>
      <w:r>
        <w:rPr>
          <w:rFonts w:ascii="Arial" w:hAnsi="Arial"/>
          <w:i/>
          <w:spacing w:val="-2"/>
          <w:sz w:val="20"/>
        </w:rPr>
        <w:t>definitivas.</w:t>
      </w:r>
    </w:p>
    <w:p w:rsidR="0092635B" w:rsidRDefault="00000000">
      <w:pPr>
        <w:pStyle w:val="Prrafodelista"/>
        <w:numPr>
          <w:ilvl w:val="0"/>
          <w:numId w:val="259"/>
        </w:numPr>
        <w:tabs>
          <w:tab w:val="left" w:pos="1673"/>
        </w:tabs>
        <w:spacing w:before="123" w:line="249" w:lineRule="auto"/>
        <w:ind w:right="1105" w:firstLine="340"/>
        <w:jc w:val="both"/>
        <w:rPr>
          <w:sz w:val="20"/>
        </w:rPr>
      </w:pPr>
      <w:r>
        <w:rPr>
          <w:sz w:val="20"/>
        </w:rPr>
        <w:t>La garantía no será devuelta o cancelada hasta que se haya producido el vencimiento del plazo de garantía y cumplido satisfactoriamente el contrato de que se trate, o hasta que se declare la resolución de este sin culpa del contratista.</w:t>
      </w:r>
    </w:p>
    <w:p w:rsidR="0092635B" w:rsidRDefault="00000000">
      <w:pPr>
        <w:pStyle w:val="Prrafodelista"/>
        <w:numPr>
          <w:ilvl w:val="0"/>
          <w:numId w:val="259"/>
        </w:numPr>
        <w:tabs>
          <w:tab w:val="left" w:pos="1738"/>
        </w:tabs>
        <w:spacing w:before="3" w:line="249" w:lineRule="auto"/>
        <w:ind w:right="1104" w:firstLine="340"/>
        <w:jc w:val="both"/>
        <w:rPr>
          <w:sz w:val="20"/>
        </w:rPr>
      </w:pPr>
      <w:r>
        <w:rPr>
          <w:sz w:val="20"/>
        </w:rPr>
        <w:t>Aprobada la liquidación del contrato y transcurrido el plazo de garantía, si no resultaren responsabilidades se devolverá la garantía constituida o se cancelará el aval o seguro de caución.</w:t>
      </w:r>
    </w:p>
    <w:p w:rsidR="0092635B" w:rsidRDefault="00000000">
      <w:pPr>
        <w:pStyle w:val="Textoindependiente"/>
        <w:spacing w:line="249" w:lineRule="auto"/>
        <w:ind w:right="1104"/>
      </w:pPr>
      <w:r>
        <w:t>El acuerdo de devolución deberá adoptarse y notificarse al interesado en el plazo de dos meses desde la finalización del plazo de garantía. Transcurrido el mismo, la Administración deberá abonar al contratista la cantidad adeudada incrementada con el interés legal del dinero correspondiente al período transcurrido desde el vencimiento del citado plazo hasta la fecha de la devolución de la garantía, si esta no se hubiera hecho efectiva por causa imputable a la Administración.</w:t>
      </w:r>
    </w:p>
    <w:p w:rsidR="0092635B" w:rsidRDefault="00000000">
      <w:pPr>
        <w:pStyle w:val="Prrafodelista"/>
        <w:numPr>
          <w:ilvl w:val="0"/>
          <w:numId w:val="259"/>
        </w:numPr>
        <w:tabs>
          <w:tab w:val="left" w:pos="1685"/>
        </w:tabs>
        <w:spacing w:before="5" w:line="249" w:lineRule="auto"/>
        <w:ind w:right="1105" w:firstLine="340"/>
        <w:jc w:val="both"/>
        <w:rPr>
          <w:sz w:val="20"/>
        </w:rPr>
      </w:pPr>
      <w:r>
        <w:rPr>
          <w:sz w:val="20"/>
        </w:rPr>
        <w:t>En el supuesto de recepción parcial solo podrá el contratista solicitar la devolución o cancelación de la parte proporcional de la garantía cuando así se autorice expresamente en el pliego de cláusulas administrativas particulares.</w:t>
      </w:r>
    </w:p>
    <w:p w:rsidR="0092635B" w:rsidRDefault="00000000">
      <w:pPr>
        <w:pStyle w:val="Prrafodelista"/>
        <w:numPr>
          <w:ilvl w:val="0"/>
          <w:numId w:val="259"/>
        </w:numPr>
        <w:tabs>
          <w:tab w:val="left" w:pos="1672"/>
        </w:tabs>
        <w:spacing w:line="249" w:lineRule="auto"/>
        <w:ind w:right="1106" w:firstLine="340"/>
        <w:jc w:val="both"/>
        <w:rPr>
          <w:sz w:val="20"/>
        </w:rPr>
      </w:pPr>
      <w:r>
        <w:rPr>
          <w:sz w:val="20"/>
        </w:rPr>
        <w:t xml:space="preserve">En los casos de cesión de contratos no se procederá a la devolución o cancelación de la garantía prestada por el cedente hasta que se halle formalmente constituida la del </w:t>
      </w:r>
      <w:r>
        <w:rPr>
          <w:spacing w:val="-2"/>
          <w:sz w:val="20"/>
        </w:rPr>
        <w:t>cesionario.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59"/>
        </w:numPr>
        <w:tabs>
          <w:tab w:val="left" w:pos="1676"/>
        </w:tabs>
        <w:spacing w:before="1" w:line="249" w:lineRule="auto"/>
        <w:ind w:firstLine="340"/>
        <w:jc w:val="both"/>
        <w:rPr>
          <w:sz w:val="20"/>
        </w:rPr>
      </w:pPr>
      <w:r>
        <w:rPr>
          <w:sz w:val="20"/>
        </w:rPr>
        <w:t>Transcurrido un año desde la fecha de terminación del contrato, y vencido el plazo de garantía, sin que la recepción formal y la liquidación hubiesen tenido lugar por causas no imputables al contratista, se procederá, sin más demora, a la devolución o cancelación de</w:t>
      </w:r>
      <w:r>
        <w:rPr>
          <w:spacing w:val="80"/>
          <w:sz w:val="20"/>
        </w:rPr>
        <w:t xml:space="preserve"> </w:t>
      </w:r>
      <w:r>
        <w:rPr>
          <w:sz w:val="20"/>
        </w:rPr>
        <w:t>las garantías una vez depuradas las responsabilidades a que se refiere el artículo 110.</w:t>
      </w:r>
    </w:p>
    <w:p w:rsidR="0092635B" w:rsidRDefault="00000000">
      <w:pPr>
        <w:pStyle w:val="Textoindependiente"/>
        <w:spacing w:before="3" w:line="249" w:lineRule="auto"/>
        <w:ind w:right="1104"/>
      </w:pPr>
      <w:r>
        <w:t>Cuando el valor estimado del contrato sea inferior a 1.000.000 de euros, si se trata de contratos de obras, o a 100.000 euros, en el caso de otros contratos, o cuando las empresas licitadoras reúnan los requisitos de pequeña o mediana empresa, definida según lo establecido en el Reglamento (CE) n.º 800/2008, de la Comisión, de 6 de agosto de 2008, por el que se declaran determinadas categorías de ayuda compatibles con el mercado</w:t>
      </w:r>
      <w:r>
        <w:rPr>
          <w:spacing w:val="40"/>
        </w:rPr>
        <w:t xml:space="preserve"> </w:t>
      </w:r>
      <w:r>
        <w:t>común en aplicación de los artículos 107 y 108 del Tratado de Funcionamiento de la Unión Europea y no estén controladas directa o indirectamente por otra empresa que no cumpla tales requisitos, el plazo se reducirá a seis meses.</w:t>
      </w:r>
    </w:p>
    <w:p w:rsidR="0092635B" w:rsidRDefault="0092635B">
      <w:pPr>
        <w:pStyle w:val="Textoindependiente"/>
        <w:spacing w:before="3"/>
        <w:ind w:left="0" w:firstLine="0"/>
        <w:jc w:val="left"/>
      </w:pPr>
    </w:p>
    <w:p w:rsidR="0092635B" w:rsidRDefault="00000000">
      <w:pPr>
        <w:pStyle w:val="Ttulo3"/>
        <w:spacing w:line="249" w:lineRule="auto"/>
        <w:ind w:left="1446" w:right="1444"/>
      </w:pPr>
      <w:bookmarkStart w:id="184" w:name="Sección_3.ª_Garantías_prestadas_por_terc"/>
      <w:bookmarkStart w:id="185" w:name="_bookmark37"/>
      <w:bookmarkEnd w:id="184"/>
      <w:bookmarkEnd w:id="185"/>
      <w:r>
        <w:t xml:space="preserve">Sección 3.ª Garantías prestadas por terceros y preferencia en la ejecución de </w:t>
      </w:r>
      <w:r>
        <w:rPr>
          <w:spacing w:val="-2"/>
        </w:rPr>
        <w:t>garantías</w:t>
      </w:r>
    </w:p>
    <w:p w:rsidR="0092635B" w:rsidRDefault="00000000">
      <w:pPr>
        <w:spacing w:before="229"/>
        <w:ind w:left="1106"/>
        <w:rPr>
          <w:rFonts w:ascii="Arial" w:hAnsi="Arial"/>
          <w:i/>
          <w:sz w:val="20"/>
        </w:rPr>
      </w:pPr>
      <w:bookmarkStart w:id="186" w:name="Artículo_112._Régimen_de_las_garantías_p"/>
      <w:bookmarkEnd w:id="186"/>
      <w:r>
        <w:rPr>
          <w:rFonts w:ascii="Arial" w:hAnsi="Arial"/>
          <w:b/>
          <w:sz w:val="20"/>
        </w:rPr>
        <w:t>Artículo</w:t>
      </w:r>
      <w:r>
        <w:rPr>
          <w:rFonts w:ascii="Arial" w:hAnsi="Arial"/>
          <w:b/>
          <w:spacing w:val="-3"/>
          <w:sz w:val="20"/>
        </w:rPr>
        <w:t xml:space="preserve"> </w:t>
      </w:r>
      <w:r>
        <w:rPr>
          <w:rFonts w:ascii="Arial" w:hAnsi="Arial"/>
          <w:b/>
          <w:sz w:val="20"/>
        </w:rPr>
        <w:t>112.</w:t>
      </w:r>
      <w:r>
        <w:rPr>
          <w:rFonts w:ascii="Arial" w:hAnsi="Arial"/>
          <w:b/>
          <w:spacing w:val="50"/>
          <w:sz w:val="20"/>
        </w:rPr>
        <w:t xml:space="preserve"> </w:t>
      </w:r>
      <w:r>
        <w:rPr>
          <w:rFonts w:ascii="Arial" w:hAnsi="Arial"/>
          <w:i/>
          <w:sz w:val="20"/>
        </w:rPr>
        <w:t>Régimen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w:t>
      </w:r>
      <w:r>
        <w:rPr>
          <w:rFonts w:ascii="Arial" w:hAnsi="Arial"/>
          <w:i/>
          <w:sz w:val="20"/>
        </w:rPr>
        <w:t>garantías</w:t>
      </w:r>
      <w:r>
        <w:rPr>
          <w:rFonts w:ascii="Arial" w:hAnsi="Arial"/>
          <w:i/>
          <w:spacing w:val="-2"/>
          <w:sz w:val="20"/>
        </w:rPr>
        <w:t xml:space="preserve"> </w:t>
      </w:r>
      <w:r>
        <w:rPr>
          <w:rFonts w:ascii="Arial" w:hAnsi="Arial"/>
          <w:i/>
          <w:sz w:val="20"/>
        </w:rPr>
        <w:t>prestadas</w:t>
      </w:r>
      <w:r>
        <w:rPr>
          <w:rFonts w:ascii="Arial" w:hAnsi="Arial"/>
          <w:i/>
          <w:spacing w:val="-2"/>
          <w:sz w:val="20"/>
        </w:rPr>
        <w:t xml:space="preserve"> </w:t>
      </w:r>
      <w:r>
        <w:rPr>
          <w:rFonts w:ascii="Arial" w:hAnsi="Arial"/>
          <w:i/>
          <w:sz w:val="20"/>
        </w:rPr>
        <w:t>por</w:t>
      </w:r>
      <w:r>
        <w:rPr>
          <w:rFonts w:ascii="Arial" w:hAnsi="Arial"/>
          <w:i/>
          <w:spacing w:val="-2"/>
          <w:sz w:val="20"/>
        </w:rPr>
        <w:t xml:space="preserve"> terceros.</w:t>
      </w:r>
    </w:p>
    <w:p w:rsidR="0092635B" w:rsidRDefault="00000000">
      <w:pPr>
        <w:pStyle w:val="Prrafodelista"/>
        <w:numPr>
          <w:ilvl w:val="0"/>
          <w:numId w:val="258"/>
        </w:numPr>
        <w:tabs>
          <w:tab w:val="left" w:pos="1697"/>
        </w:tabs>
        <w:spacing w:before="123" w:line="249" w:lineRule="auto"/>
        <w:ind w:right="1104" w:firstLine="340"/>
        <w:jc w:val="both"/>
        <w:rPr>
          <w:sz w:val="20"/>
        </w:rPr>
      </w:pPr>
      <w:r>
        <w:rPr>
          <w:sz w:val="20"/>
        </w:rPr>
        <w:t>Las personas o entidades distintas del contratista que presten garantías a favor de este no podrán utilizar el beneficio de excusión a que se refieren los artículos 1.830 y concordantes del Código Civil.</w:t>
      </w:r>
    </w:p>
    <w:p w:rsidR="0092635B" w:rsidRDefault="00000000">
      <w:pPr>
        <w:pStyle w:val="Prrafodelista"/>
        <w:numPr>
          <w:ilvl w:val="0"/>
          <w:numId w:val="258"/>
        </w:numPr>
        <w:tabs>
          <w:tab w:val="left" w:pos="1675"/>
        </w:tabs>
        <w:spacing w:before="3" w:line="249" w:lineRule="auto"/>
        <w:ind w:right="1104" w:firstLine="340"/>
        <w:jc w:val="both"/>
        <w:rPr>
          <w:sz w:val="20"/>
        </w:rPr>
      </w:pPr>
      <w:r>
        <w:rPr>
          <w:sz w:val="20"/>
        </w:rPr>
        <w:t>El avalista o asegurador será considerado parte interesada en los procedimientos que afecten a la garantía prestada, en los términos previstos en la legislación vigente en materia de procedimiento administrativo común.</w:t>
      </w:r>
    </w:p>
    <w:p w:rsidR="0092635B" w:rsidRDefault="00000000">
      <w:pPr>
        <w:pStyle w:val="Prrafodelista"/>
        <w:numPr>
          <w:ilvl w:val="0"/>
          <w:numId w:val="258"/>
        </w:numPr>
        <w:tabs>
          <w:tab w:val="left" w:pos="1668"/>
        </w:tabs>
        <w:ind w:left="1668" w:right="0" w:hanging="222"/>
        <w:jc w:val="both"/>
        <w:rPr>
          <w:sz w:val="20"/>
        </w:rPr>
      </w:pPr>
      <w:r>
        <w:rPr>
          <w:sz w:val="20"/>
        </w:rPr>
        <w:t>En</w:t>
      </w:r>
      <w:r>
        <w:rPr>
          <w:spacing w:val="-3"/>
          <w:sz w:val="20"/>
        </w:rPr>
        <w:t xml:space="preserve"> </w:t>
      </w:r>
      <w:r>
        <w:rPr>
          <w:sz w:val="20"/>
        </w:rPr>
        <w:t>el</w:t>
      </w:r>
      <w:r>
        <w:rPr>
          <w:spacing w:val="-3"/>
          <w:sz w:val="20"/>
        </w:rPr>
        <w:t xml:space="preserve"> </w:t>
      </w:r>
      <w:r>
        <w:rPr>
          <w:sz w:val="20"/>
        </w:rPr>
        <w:t>contrato</w:t>
      </w:r>
      <w:r>
        <w:rPr>
          <w:spacing w:val="-3"/>
          <w:sz w:val="20"/>
        </w:rPr>
        <w:t xml:space="preserve"> </w:t>
      </w:r>
      <w:r>
        <w:rPr>
          <w:sz w:val="20"/>
        </w:rPr>
        <w:t>de</w:t>
      </w:r>
      <w:r>
        <w:rPr>
          <w:spacing w:val="-3"/>
          <w:sz w:val="20"/>
        </w:rPr>
        <w:t xml:space="preserve"> </w:t>
      </w:r>
      <w:r>
        <w:rPr>
          <w:sz w:val="20"/>
        </w:rPr>
        <w:t>seguro</w:t>
      </w:r>
      <w:r>
        <w:rPr>
          <w:spacing w:val="-3"/>
          <w:sz w:val="20"/>
        </w:rPr>
        <w:t xml:space="preserve"> </w:t>
      </w:r>
      <w:r>
        <w:rPr>
          <w:sz w:val="20"/>
        </w:rPr>
        <w:t>de</w:t>
      </w:r>
      <w:r>
        <w:rPr>
          <w:spacing w:val="-2"/>
          <w:sz w:val="20"/>
        </w:rPr>
        <w:t xml:space="preserve"> </w:t>
      </w:r>
      <w:r>
        <w:rPr>
          <w:sz w:val="20"/>
        </w:rPr>
        <w:t>caución</w:t>
      </w:r>
      <w:r>
        <w:rPr>
          <w:spacing w:val="-3"/>
          <w:sz w:val="20"/>
        </w:rPr>
        <w:t xml:space="preserve"> </w:t>
      </w:r>
      <w:r>
        <w:rPr>
          <w:sz w:val="20"/>
        </w:rPr>
        <w:t>se</w:t>
      </w:r>
      <w:r>
        <w:rPr>
          <w:spacing w:val="-3"/>
          <w:sz w:val="20"/>
        </w:rPr>
        <w:t xml:space="preserve"> </w:t>
      </w:r>
      <w:r>
        <w:rPr>
          <w:sz w:val="20"/>
        </w:rPr>
        <w:t>aplicarán</w:t>
      </w:r>
      <w:r>
        <w:rPr>
          <w:spacing w:val="-3"/>
          <w:sz w:val="20"/>
        </w:rPr>
        <w:t xml:space="preserve"> </w:t>
      </w:r>
      <w:r>
        <w:rPr>
          <w:sz w:val="20"/>
        </w:rPr>
        <w:t>las</w:t>
      </w:r>
      <w:r>
        <w:rPr>
          <w:spacing w:val="-3"/>
          <w:sz w:val="20"/>
        </w:rPr>
        <w:t xml:space="preserve"> </w:t>
      </w:r>
      <w:r>
        <w:rPr>
          <w:sz w:val="20"/>
        </w:rPr>
        <w:t>siguientes</w:t>
      </w:r>
      <w:r>
        <w:rPr>
          <w:spacing w:val="-2"/>
          <w:sz w:val="20"/>
        </w:rPr>
        <w:t xml:space="preserve"> normas:</w:t>
      </w:r>
    </w:p>
    <w:p w:rsidR="0092635B" w:rsidRDefault="00000000">
      <w:pPr>
        <w:pStyle w:val="Prrafodelista"/>
        <w:numPr>
          <w:ilvl w:val="1"/>
          <w:numId w:val="258"/>
        </w:numPr>
        <w:tabs>
          <w:tab w:val="left" w:pos="1741"/>
        </w:tabs>
        <w:spacing w:before="130" w:line="249" w:lineRule="auto"/>
        <w:ind w:right="1106" w:firstLine="340"/>
        <w:jc w:val="both"/>
        <w:rPr>
          <w:sz w:val="20"/>
        </w:rPr>
      </w:pPr>
      <w:r>
        <w:rPr>
          <w:sz w:val="20"/>
        </w:rPr>
        <w:t>Tendrá la condición de tomador del seguro el contratista y la de asegurado la Administración contratante.</w:t>
      </w:r>
    </w:p>
    <w:p w:rsidR="0092635B" w:rsidRDefault="00000000">
      <w:pPr>
        <w:pStyle w:val="Prrafodelista"/>
        <w:numPr>
          <w:ilvl w:val="1"/>
          <w:numId w:val="258"/>
        </w:numPr>
        <w:tabs>
          <w:tab w:val="left" w:pos="1713"/>
        </w:tabs>
        <w:spacing w:line="249" w:lineRule="auto"/>
        <w:ind w:firstLine="340"/>
        <w:jc w:val="both"/>
        <w:rPr>
          <w:sz w:val="20"/>
        </w:rPr>
      </w:pPr>
      <w:r>
        <w:rPr>
          <w:sz w:val="20"/>
        </w:rPr>
        <w:t xml:space="preserve">La falta de pago de la prima, sea única, primera o siguientes, no dará derecho al asegurador a resolver el contrato, ni extinguirá el seguro, ni suspenderá la cobertura, ni liberará al asegurador de su obligación, en el caso de que este deba hacer efectiva la </w:t>
      </w:r>
      <w:r>
        <w:rPr>
          <w:spacing w:val="-2"/>
          <w:sz w:val="20"/>
        </w:rPr>
        <w:t>garantía.</w:t>
      </w:r>
    </w:p>
    <w:p w:rsidR="0092635B" w:rsidRDefault="00000000">
      <w:pPr>
        <w:pStyle w:val="Prrafodelista"/>
        <w:numPr>
          <w:ilvl w:val="1"/>
          <w:numId w:val="258"/>
        </w:numPr>
        <w:tabs>
          <w:tab w:val="left" w:pos="1771"/>
        </w:tabs>
        <w:spacing w:before="3" w:line="249" w:lineRule="auto"/>
        <w:ind w:right="1104" w:firstLine="340"/>
        <w:jc w:val="both"/>
        <w:rPr>
          <w:sz w:val="20"/>
        </w:rPr>
      </w:pPr>
      <w:r>
        <w:rPr>
          <w:sz w:val="20"/>
        </w:rPr>
        <w:t>El asegurador no podrá oponer al asegurado las excepciones que puedan corresponderle contra el tomador del seguro.</w:t>
      </w:r>
    </w:p>
    <w:p w:rsidR="0092635B" w:rsidRDefault="00000000">
      <w:pPr>
        <w:spacing w:before="228"/>
        <w:ind w:left="1106"/>
        <w:rPr>
          <w:rFonts w:ascii="Arial" w:hAnsi="Arial"/>
          <w:i/>
          <w:sz w:val="20"/>
        </w:rPr>
      </w:pPr>
      <w:bookmarkStart w:id="187" w:name="Artículo_113._Preferencia_en_la_ejecució"/>
      <w:bookmarkEnd w:id="187"/>
      <w:r>
        <w:rPr>
          <w:rFonts w:ascii="Arial" w:hAnsi="Arial"/>
          <w:b/>
          <w:sz w:val="20"/>
        </w:rPr>
        <w:t>Artículo</w:t>
      </w:r>
      <w:r>
        <w:rPr>
          <w:rFonts w:ascii="Arial" w:hAnsi="Arial"/>
          <w:b/>
          <w:spacing w:val="-7"/>
          <w:sz w:val="20"/>
        </w:rPr>
        <w:t xml:space="preserve"> </w:t>
      </w:r>
      <w:r>
        <w:rPr>
          <w:rFonts w:ascii="Arial" w:hAnsi="Arial"/>
          <w:b/>
          <w:sz w:val="20"/>
        </w:rPr>
        <w:t>113.</w:t>
      </w:r>
      <w:r>
        <w:rPr>
          <w:rFonts w:ascii="Arial" w:hAnsi="Arial"/>
          <w:b/>
          <w:spacing w:val="46"/>
          <w:sz w:val="20"/>
        </w:rPr>
        <w:t xml:space="preserve"> </w:t>
      </w:r>
      <w:r>
        <w:rPr>
          <w:rFonts w:ascii="Arial" w:hAnsi="Arial"/>
          <w:i/>
          <w:sz w:val="20"/>
        </w:rPr>
        <w:t>Preferencia</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ejecución</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pacing w:val="-2"/>
          <w:sz w:val="20"/>
        </w:rPr>
        <w:t>garantías.</w:t>
      </w:r>
    </w:p>
    <w:p w:rsidR="0092635B" w:rsidRDefault="00000000">
      <w:pPr>
        <w:pStyle w:val="Prrafodelista"/>
        <w:numPr>
          <w:ilvl w:val="0"/>
          <w:numId w:val="257"/>
        </w:numPr>
        <w:tabs>
          <w:tab w:val="left" w:pos="1783"/>
        </w:tabs>
        <w:spacing w:before="124" w:line="249" w:lineRule="auto"/>
        <w:ind w:firstLine="340"/>
        <w:jc w:val="both"/>
        <w:rPr>
          <w:sz w:val="20"/>
        </w:rPr>
      </w:pPr>
      <w:r>
        <w:rPr>
          <w:sz w:val="20"/>
        </w:rPr>
        <w:t>Para hacer efectivas las garantías, tanto provisionales como definitivas, la Administración contratante tendrá preferencia sobre cualquier otro acreedor, sea cual fuere</w:t>
      </w:r>
      <w:r>
        <w:rPr>
          <w:spacing w:val="40"/>
          <w:sz w:val="20"/>
        </w:rPr>
        <w:t xml:space="preserve"> </w:t>
      </w:r>
      <w:r>
        <w:rPr>
          <w:sz w:val="20"/>
        </w:rPr>
        <w:t>la naturaleza del mismo y el título del que derive su crédito.</w:t>
      </w:r>
    </w:p>
    <w:p w:rsidR="0092635B" w:rsidRDefault="00000000">
      <w:pPr>
        <w:pStyle w:val="Prrafodelista"/>
        <w:numPr>
          <w:ilvl w:val="0"/>
          <w:numId w:val="257"/>
        </w:numPr>
        <w:tabs>
          <w:tab w:val="left" w:pos="1685"/>
        </w:tabs>
        <w:spacing w:line="249" w:lineRule="auto"/>
        <w:ind w:right="1104" w:firstLine="340"/>
        <w:jc w:val="both"/>
        <w:rPr>
          <w:sz w:val="20"/>
        </w:rPr>
      </w:pPr>
      <w:r>
        <w:rPr>
          <w:sz w:val="20"/>
        </w:rPr>
        <w:t>Cuando la garantía no sea bastante para cubrir las responsabilidades a las que está afecta, la Administración procederá al cobro de la diferencia mediante el procedimiento administrativo de apremio, con arreglo a lo establecido en las normas de recaudación.</w:t>
      </w:r>
    </w:p>
    <w:p w:rsidR="0092635B" w:rsidRDefault="00000000">
      <w:pPr>
        <w:pStyle w:val="Prrafodelista"/>
        <w:numPr>
          <w:ilvl w:val="0"/>
          <w:numId w:val="257"/>
        </w:numPr>
        <w:tabs>
          <w:tab w:val="left" w:pos="1708"/>
        </w:tabs>
        <w:spacing w:before="3" w:line="249" w:lineRule="auto"/>
        <w:ind w:right="1102" w:firstLine="340"/>
        <w:jc w:val="both"/>
        <w:rPr>
          <w:sz w:val="20"/>
        </w:rPr>
      </w:pPr>
      <w:r>
        <w:rPr>
          <w:sz w:val="20"/>
        </w:rPr>
        <w:t>Sin perjuicio de lo establecido en el artículo 90 de la Ley 22/2003, de 9 de julio, Concursal, en el caso de concurso los créditos derivados de las obligaciones ex lege o los surgidos</w:t>
      </w:r>
      <w:r>
        <w:rPr>
          <w:spacing w:val="-3"/>
          <w:sz w:val="20"/>
        </w:rPr>
        <w:t xml:space="preserve"> </w:t>
      </w:r>
      <w:r>
        <w:rPr>
          <w:sz w:val="20"/>
        </w:rPr>
        <w:t>en</w:t>
      </w:r>
      <w:r>
        <w:rPr>
          <w:spacing w:val="-3"/>
          <w:sz w:val="20"/>
        </w:rPr>
        <w:t xml:space="preserve"> </w:t>
      </w:r>
      <w:r>
        <w:rPr>
          <w:sz w:val="20"/>
        </w:rPr>
        <w:t>virtud</w:t>
      </w:r>
      <w:r>
        <w:rPr>
          <w:spacing w:val="-3"/>
          <w:sz w:val="20"/>
        </w:rPr>
        <w:t xml:space="preserve"> </w:t>
      </w:r>
      <w:r>
        <w:rPr>
          <w:sz w:val="20"/>
        </w:rPr>
        <w:t>de</w:t>
      </w:r>
      <w:r>
        <w:rPr>
          <w:spacing w:val="-3"/>
          <w:sz w:val="20"/>
        </w:rPr>
        <w:t xml:space="preserve"> </w:t>
      </w:r>
      <w:r>
        <w:rPr>
          <w:sz w:val="20"/>
        </w:rPr>
        <w:t>actos</w:t>
      </w:r>
      <w:r>
        <w:rPr>
          <w:spacing w:val="-3"/>
          <w:sz w:val="20"/>
        </w:rPr>
        <w:t xml:space="preserve"> </w:t>
      </w:r>
      <w:r>
        <w:rPr>
          <w:sz w:val="20"/>
        </w:rPr>
        <w:t>administrativos</w:t>
      </w:r>
      <w:r>
        <w:rPr>
          <w:spacing w:val="-3"/>
          <w:sz w:val="20"/>
        </w:rPr>
        <w:t xml:space="preserve"> </w:t>
      </w:r>
      <w:r>
        <w:rPr>
          <w:sz w:val="20"/>
        </w:rPr>
        <w:t>tendrán</w:t>
      </w:r>
      <w:r>
        <w:rPr>
          <w:spacing w:val="-3"/>
          <w:sz w:val="20"/>
        </w:rPr>
        <w:t xml:space="preserve"> </w:t>
      </w:r>
      <w:r>
        <w:rPr>
          <w:sz w:val="20"/>
        </w:rPr>
        <w:t>la</w:t>
      </w:r>
      <w:r>
        <w:rPr>
          <w:spacing w:val="-3"/>
          <w:sz w:val="20"/>
        </w:rPr>
        <w:t xml:space="preserve"> </w:t>
      </w:r>
      <w:r>
        <w:rPr>
          <w:sz w:val="20"/>
        </w:rPr>
        <w:t>consideración</w:t>
      </w:r>
      <w:r>
        <w:rPr>
          <w:spacing w:val="-3"/>
          <w:sz w:val="20"/>
        </w:rPr>
        <w:t xml:space="preserve"> </w:t>
      </w:r>
      <w:r>
        <w:rPr>
          <w:sz w:val="20"/>
        </w:rPr>
        <w:t>de</w:t>
      </w:r>
      <w:r>
        <w:rPr>
          <w:spacing w:val="-3"/>
          <w:sz w:val="20"/>
        </w:rPr>
        <w:t xml:space="preserve"> </w:t>
      </w:r>
      <w:r>
        <w:rPr>
          <w:sz w:val="20"/>
        </w:rPr>
        <w:t>créditos</w:t>
      </w:r>
      <w:r>
        <w:rPr>
          <w:spacing w:val="-3"/>
          <w:sz w:val="20"/>
        </w:rPr>
        <w:t xml:space="preserve"> </w:t>
      </w:r>
      <w:r>
        <w:rPr>
          <w:sz w:val="20"/>
        </w:rPr>
        <w:t>con</w:t>
      </w:r>
      <w:r>
        <w:rPr>
          <w:spacing w:val="-3"/>
          <w:sz w:val="20"/>
        </w:rPr>
        <w:t xml:space="preserve"> </w:t>
      </w:r>
      <w:r>
        <w:rPr>
          <w:sz w:val="20"/>
        </w:rPr>
        <w:t>privilegio general conforme a lo establecido en el artículo 91.4 de la Ley 22/2003.</w:t>
      </w:r>
    </w:p>
    <w:p w:rsidR="0092635B" w:rsidRDefault="0092635B">
      <w:pPr>
        <w:pStyle w:val="Textoindependiente"/>
        <w:spacing w:before="113"/>
        <w:ind w:left="0" w:firstLine="0"/>
        <w:jc w:val="left"/>
      </w:pPr>
    </w:p>
    <w:p w:rsidR="0092635B" w:rsidRDefault="00000000">
      <w:pPr>
        <w:pStyle w:val="Textoindependiente"/>
        <w:spacing w:before="0"/>
        <w:ind w:left="0" w:firstLine="0"/>
        <w:jc w:val="center"/>
      </w:pPr>
      <w:bookmarkStart w:id="188" w:name="CAPÍTULO_II._Garantías_exigibles_en_otro"/>
      <w:bookmarkStart w:id="189" w:name="_bookmark38"/>
      <w:bookmarkEnd w:id="188"/>
      <w:bookmarkEnd w:id="189"/>
      <w:r>
        <w:t xml:space="preserve">CAPÍTULO </w:t>
      </w:r>
      <w:r>
        <w:rPr>
          <w:spacing w:val="-5"/>
        </w:rPr>
        <w:t>II</w:t>
      </w:r>
    </w:p>
    <w:p w:rsidR="0092635B" w:rsidRDefault="00000000">
      <w:pPr>
        <w:pStyle w:val="Ttulo2"/>
        <w:spacing w:before="124"/>
      </w:pPr>
      <w:r>
        <w:t>Garantías</w:t>
      </w:r>
      <w:r>
        <w:rPr>
          <w:spacing w:val="-7"/>
        </w:rPr>
        <w:t xml:space="preserve"> </w:t>
      </w:r>
      <w:r>
        <w:t>exigibles</w:t>
      </w:r>
      <w:r>
        <w:rPr>
          <w:spacing w:val="-5"/>
        </w:rPr>
        <w:t xml:space="preserve"> </w:t>
      </w:r>
      <w:r>
        <w:t>en</w:t>
      </w:r>
      <w:r>
        <w:rPr>
          <w:spacing w:val="-5"/>
        </w:rPr>
        <w:t xml:space="preserve"> </w:t>
      </w:r>
      <w:r>
        <w:t>otros</w:t>
      </w:r>
      <w:r>
        <w:rPr>
          <w:spacing w:val="-4"/>
        </w:rPr>
        <w:t xml:space="preserve"> </w:t>
      </w:r>
      <w:r>
        <w:t>contratos</w:t>
      </w:r>
      <w:r>
        <w:rPr>
          <w:spacing w:val="-5"/>
        </w:rPr>
        <w:t xml:space="preserve"> </w:t>
      </w:r>
      <w:r>
        <w:t>del</w:t>
      </w:r>
      <w:r>
        <w:rPr>
          <w:spacing w:val="-5"/>
        </w:rPr>
        <w:t xml:space="preserve"> </w:t>
      </w:r>
      <w:r>
        <w:t>sector</w:t>
      </w:r>
      <w:r>
        <w:rPr>
          <w:spacing w:val="-4"/>
        </w:rPr>
        <w:t xml:space="preserve"> </w:t>
      </w:r>
      <w:r>
        <w:rPr>
          <w:spacing w:val="-2"/>
        </w:rPr>
        <w:t>público</w:t>
      </w:r>
    </w:p>
    <w:p w:rsidR="0092635B" w:rsidRDefault="0092635B">
      <w:pPr>
        <w:pStyle w:val="Textoindependiente"/>
        <w:spacing w:before="6"/>
        <w:ind w:left="0" w:firstLine="0"/>
        <w:jc w:val="left"/>
        <w:rPr>
          <w:rFonts w:ascii="Arial"/>
          <w:b/>
        </w:rPr>
      </w:pPr>
    </w:p>
    <w:p w:rsidR="0092635B" w:rsidRDefault="00000000">
      <w:pPr>
        <w:ind w:left="1106"/>
        <w:rPr>
          <w:rFonts w:ascii="Arial" w:hAnsi="Arial"/>
          <w:i/>
          <w:sz w:val="20"/>
        </w:rPr>
      </w:pPr>
      <w:bookmarkStart w:id="190" w:name="Artículo_114._Supuestos_y_régimen."/>
      <w:bookmarkEnd w:id="190"/>
      <w:r>
        <w:rPr>
          <w:rFonts w:ascii="Arial" w:hAnsi="Arial"/>
          <w:b/>
          <w:sz w:val="20"/>
        </w:rPr>
        <w:t>Artículo</w:t>
      </w:r>
      <w:r>
        <w:rPr>
          <w:rFonts w:ascii="Arial" w:hAnsi="Arial"/>
          <w:b/>
          <w:spacing w:val="-5"/>
          <w:sz w:val="20"/>
        </w:rPr>
        <w:t xml:space="preserve"> </w:t>
      </w:r>
      <w:r>
        <w:rPr>
          <w:rFonts w:ascii="Arial" w:hAnsi="Arial"/>
          <w:b/>
          <w:sz w:val="20"/>
        </w:rPr>
        <w:t>114.</w:t>
      </w:r>
      <w:r>
        <w:rPr>
          <w:rFonts w:ascii="Arial" w:hAnsi="Arial"/>
          <w:b/>
          <w:spacing w:val="49"/>
          <w:sz w:val="20"/>
        </w:rPr>
        <w:t xml:space="preserve"> </w:t>
      </w:r>
      <w:r>
        <w:rPr>
          <w:rFonts w:ascii="Arial" w:hAnsi="Arial"/>
          <w:i/>
          <w:sz w:val="20"/>
        </w:rPr>
        <w:t>Supuestos</w:t>
      </w:r>
      <w:r>
        <w:rPr>
          <w:rFonts w:ascii="Arial" w:hAnsi="Arial"/>
          <w:i/>
          <w:spacing w:val="-2"/>
          <w:sz w:val="20"/>
        </w:rPr>
        <w:t xml:space="preserve"> </w:t>
      </w:r>
      <w:r>
        <w:rPr>
          <w:rFonts w:ascii="Arial" w:hAnsi="Arial"/>
          <w:i/>
          <w:sz w:val="20"/>
        </w:rPr>
        <w:t>y</w:t>
      </w:r>
      <w:r>
        <w:rPr>
          <w:rFonts w:ascii="Arial" w:hAnsi="Arial"/>
          <w:i/>
          <w:spacing w:val="-2"/>
          <w:sz w:val="20"/>
        </w:rPr>
        <w:t xml:space="preserve"> régimen.</w:t>
      </w:r>
    </w:p>
    <w:p w:rsidR="0092635B" w:rsidRDefault="00000000">
      <w:pPr>
        <w:pStyle w:val="Prrafodelista"/>
        <w:numPr>
          <w:ilvl w:val="0"/>
          <w:numId w:val="256"/>
        </w:numPr>
        <w:tabs>
          <w:tab w:val="left" w:pos="1715"/>
        </w:tabs>
        <w:spacing w:before="124" w:line="249" w:lineRule="auto"/>
        <w:ind w:firstLine="340"/>
        <w:jc w:val="both"/>
        <w:rPr>
          <w:sz w:val="20"/>
        </w:rPr>
      </w:pPr>
      <w:r>
        <w:rPr>
          <w:sz w:val="20"/>
        </w:rPr>
        <w:t>En los contratos que celebren las entidades del sector público que no tengan la consideración de Administraciones Públicas, los órganos de contratación podrán exigir la prestación de una garantía a los licitadores o candidatos, para responder del mantenimiento de sus ofertas hasta la adjudicación y, en su caso, formalización del contrato o al adjudicatario, para asegurar la correcta ejecución de la prestación.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56"/>
        </w:numPr>
        <w:tabs>
          <w:tab w:val="left" w:pos="1673"/>
        </w:tabs>
        <w:spacing w:before="1" w:line="249" w:lineRule="auto"/>
        <w:ind w:firstLine="340"/>
        <w:jc w:val="both"/>
        <w:rPr>
          <w:sz w:val="20"/>
        </w:rPr>
      </w:pPr>
      <w:r>
        <w:rPr>
          <w:sz w:val="20"/>
        </w:rPr>
        <w:t>El importe de la garantía, que podrá presentarse en alguna de las formas previstas en el artículo 108, sin que resulte necesaria su constitución en la Caja General de Depósitos,</w:t>
      </w:r>
      <w:r>
        <w:rPr>
          <w:spacing w:val="40"/>
          <w:sz w:val="20"/>
        </w:rPr>
        <w:t xml:space="preserve"> </w:t>
      </w:r>
      <w:r>
        <w:rPr>
          <w:sz w:val="20"/>
        </w:rPr>
        <w:t>así como el régimen de su devolución o cancelación serán establecidos por el órgano de contratación, atendidas las circunstancias y características del contrato, sin que pueda sobrepasar los límites que establecen los artículos 106.2 y 107.2, según el caso.</w:t>
      </w:r>
    </w:p>
    <w:p w:rsidR="0092635B" w:rsidRDefault="0092635B">
      <w:pPr>
        <w:pStyle w:val="Textoindependiente"/>
        <w:spacing w:before="227"/>
        <w:ind w:left="0" w:firstLine="0"/>
        <w:jc w:val="left"/>
      </w:pPr>
    </w:p>
    <w:p w:rsidR="0092635B" w:rsidRDefault="00000000">
      <w:pPr>
        <w:pStyle w:val="Textoindependiente"/>
        <w:spacing w:before="0"/>
        <w:ind w:left="0" w:firstLine="0"/>
        <w:jc w:val="center"/>
      </w:pPr>
      <w:bookmarkStart w:id="191" w:name="LIBRO_SEGUNDO._De_los_contratos_de_las_A"/>
      <w:bookmarkStart w:id="192" w:name="_bookmark39"/>
      <w:bookmarkEnd w:id="191"/>
      <w:bookmarkEnd w:id="192"/>
      <w:r>
        <w:t xml:space="preserve">LIBRO </w:t>
      </w:r>
      <w:r>
        <w:rPr>
          <w:spacing w:val="-2"/>
        </w:rPr>
        <w:t>SEGUNDO</w:t>
      </w:r>
    </w:p>
    <w:p w:rsidR="0092635B" w:rsidRDefault="00000000">
      <w:pPr>
        <w:pStyle w:val="Ttulo2"/>
        <w:spacing w:before="124"/>
        <w:ind w:right="1"/>
      </w:pPr>
      <w:r>
        <w:t>De</w:t>
      </w:r>
      <w:r>
        <w:rPr>
          <w:spacing w:val="-5"/>
        </w:rPr>
        <w:t xml:space="preserve"> </w:t>
      </w:r>
      <w:r>
        <w:t>los</w:t>
      </w:r>
      <w:r>
        <w:rPr>
          <w:spacing w:val="-5"/>
        </w:rPr>
        <w:t xml:space="preserve"> </w:t>
      </w:r>
      <w:r>
        <w:t>contratos</w:t>
      </w:r>
      <w:r>
        <w:rPr>
          <w:spacing w:val="-5"/>
        </w:rPr>
        <w:t xml:space="preserve"> </w:t>
      </w:r>
      <w:r>
        <w:t>de</w:t>
      </w:r>
      <w:r>
        <w:rPr>
          <w:spacing w:val="-5"/>
        </w:rPr>
        <w:t xml:space="preserve"> </w:t>
      </w:r>
      <w:r>
        <w:t>las</w:t>
      </w:r>
      <w:r>
        <w:rPr>
          <w:spacing w:val="-5"/>
        </w:rPr>
        <w:t xml:space="preserve"> </w:t>
      </w:r>
      <w:r>
        <w:t>Administraciones</w:t>
      </w:r>
      <w:r>
        <w:rPr>
          <w:spacing w:val="-4"/>
        </w:rPr>
        <w:t xml:space="preserve"> </w:t>
      </w:r>
      <w:r>
        <w:rPr>
          <w:spacing w:val="-2"/>
        </w:rPr>
        <w:t>Públicas</w:t>
      </w:r>
    </w:p>
    <w:p w:rsidR="0092635B" w:rsidRDefault="0092635B">
      <w:pPr>
        <w:pStyle w:val="Textoindependiente"/>
        <w:spacing w:before="0"/>
        <w:ind w:left="0" w:firstLine="0"/>
        <w:jc w:val="left"/>
        <w:rPr>
          <w:rFonts w:ascii="Arial"/>
          <w:b/>
        </w:rPr>
      </w:pPr>
    </w:p>
    <w:p w:rsidR="0092635B" w:rsidRDefault="0092635B">
      <w:pPr>
        <w:pStyle w:val="Textoindependiente"/>
        <w:spacing w:before="3"/>
        <w:ind w:left="0" w:firstLine="0"/>
        <w:jc w:val="left"/>
        <w:rPr>
          <w:rFonts w:ascii="Arial"/>
          <w:b/>
        </w:rPr>
      </w:pPr>
    </w:p>
    <w:p w:rsidR="0092635B" w:rsidRDefault="00000000">
      <w:pPr>
        <w:pStyle w:val="Textoindependiente"/>
        <w:spacing w:before="0"/>
        <w:ind w:left="0" w:firstLine="0"/>
        <w:jc w:val="center"/>
      </w:pPr>
      <w:bookmarkStart w:id="193" w:name="TÍTULO_I._Disposiciones_generales"/>
      <w:bookmarkStart w:id="194" w:name="_bookmark40"/>
      <w:bookmarkEnd w:id="193"/>
      <w:bookmarkEnd w:id="194"/>
      <w:r>
        <w:t xml:space="preserve">TÍTULO </w:t>
      </w:r>
      <w:r>
        <w:rPr>
          <w:spacing w:val="-10"/>
        </w:rPr>
        <w:t>I</w:t>
      </w:r>
    </w:p>
    <w:p w:rsidR="0092635B" w:rsidRDefault="00000000">
      <w:pPr>
        <w:pStyle w:val="Ttulo2"/>
        <w:spacing w:before="124"/>
      </w:pPr>
      <w:r>
        <w:t>Disposiciones</w:t>
      </w:r>
      <w:r>
        <w:rPr>
          <w:spacing w:val="-12"/>
        </w:rPr>
        <w:t xml:space="preserve"> </w:t>
      </w:r>
      <w:r>
        <w:rPr>
          <w:spacing w:val="-2"/>
        </w:rPr>
        <w:t>generales</w:t>
      </w:r>
    </w:p>
    <w:p w:rsidR="0092635B" w:rsidRDefault="0092635B">
      <w:pPr>
        <w:pStyle w:val="Textoindependiente"/>
        <w:spacing w:before="120"/>
        <w:ind w:left="0" w:firstLine="0"/>
        <w:jc w:val="left"/>
        <w:rPr>
          <w:rFonts w:ascii="Arial"/>
          <w:b/>
        </w:rPr>
      </w:pPr>
    </w:p>
    <w:p w:rsidR="0092635B" w:rsidRDefault="00000000">
      <w:pPr>
        <w:pStyle w:val="Textoindependiente"/>
        <w:spacing w:before="0"/>
        <w:ind w:left="0" w:firstLine="0"/>
        <w:jc w:val="center"/>
      </w:pPr>
      <w:bookmarkStart w:id="195" w:name="CAPÍTULO_I._De_las_actuaciones_relativas"/>
      <w:bookmarkStart w:id="196" w:name="_bookmark41"/>
      <w:bookmarkEnd w:id="195"/>
      <w:bookmarkEnd w:id="196"/>
      <w:r>
        <w:t xml:space="preserve">CAPÍTULO </w:t>
      </w:r>
      <w:r>
        <w:rPr>
          <w:spacing w:val="-10"/>
        </w:rPr>
        <w:t>I</w:t>
      </w:r>
    </w:p>
    <w:p w:rsidR="0092635B" w:rsidRDefault="00000000">
      <w:pPr>
        <w:pStyle w:val="Ttulo2"/>
        <w:ind w:right="1"/>
      </w:pPr>
      <w:r>
        <w:t>De</w:t>
      </w:r>
      <w:r>
        <w:rPr>
          <w:spacing w:val="-6"/>
        </w:rPr>
        <w:t xml:space="preserve"> </w:t>
      </w:r>
      <w:r>
        <w:t>las</w:t>
      </w:r>
      <w:r>
        <w:rPr>
          <w:spacing w:val="-4"/>
        </w:rPr>
        <w:t xml:space="preserve"> </w:t>
      </w:r>
      <w:r>
        <w:t>actuaciones</w:t>
      </w:r>
      <w:r>
        <w:rPr>
          <w:spacing w:val="-4"/>
        </w:rPr>
        <w:t xml:space="preserve"> </w:t>
      </w:r>
      <w:r>
        <w:t>relativas</w:t>
      </w:r>
      <w:r>
        <w:rPr>
          <w:spacing w:val="-4"/>
        </w:rPr>
        <w:t xml:space="preserve"> </w:t>
      </w:r>
      <w:r>
        <w:t>a</w:t>
      </w:r>
      <w:r>
        <w:rPr>
          <w:spacing w:val="-4"/>
        </w:rPr>
        <w:t xml:space="preserve"> </w:t>
      </w:r>
      <w:r>
        <w:t>la</w:t>
      </w:r>
      <w:r>
        <w:rPr>
          <w:spacing w:val="-4"/>
        </w:rPr>
        <w:t xml:space="preserve"> </w:t>
      </w:r>
      <w:r>
        <w:t>contratación</w:t>
      </w:r>
      <w:r>
        <w:rPr>
          <w:spacing w:val="-4"/>
        </w:rPr>
        <w:t xml:space="preserve"> </w:t>
      </w:r>
      <w:r>
        <w:t>de</w:t>
      </w:r>
      <w:r>
        <w:rPr>
          <w:spacing w:val="-4"/>
        </w:rPr>
        <w:t xml:space="preserve"> </w:t>
      </w:r>
      <w:r>
        <w:t>las</w:t>
      </w:r>
      <w:r>
        <w:rPr>
          <w:spacing w:val="-4"/>
        </w:rPr>
        <w:t xml:space="preserve"> </w:t>
      </w:r>
      <w:r>
        <w:t>Administraciones</w:t>
      </w:r>
      <w:r>
        <w:rPr>
          <w:spacing w:val="-4"/>
        </w:rPr>
        <w:t xml:space="preserve"> </w:t>
      </w:r>
      <w:r>
        <w:rPr>
          <w:spacing w:val="-2"/>
        </w:rPr>
        <w:t>Públicas</w:t>
      </w:r>
    </w:p>
    <w:p w:rsidR="0092635B" w:rsidRDefault="0092635B">
      <w:pPr>
        <w:pStyle w:val="Textoindependiente"/>
        <w:spacing w:before="7"/>
        <w:ind w:left="0" w:firstLine="0"/>
        <w:jc w:val="left"/>
        <w:rPr>
          <w:rFonts w:ascii="Arial"/>
          <w:b/>
        </w:rPr>
      </w:pPr>
    </w:p>
    <w:p w:rsidR="0092635B" w:rsidRDefault="00000000">
      <w:pPr>
        <w:pStyle w:val="Ttulo3"/>
        <w:spacing w:line="249" w:lineRule="auto"/>
        <w:ind w:left="1446" w:right="1445"/>
      </w:pPr>
      <w:bookmarkStart w:id="197" w:name="Sección_1.ª_De_la_preparación_de_los_con"/>
      <w:bookmarkStart w:id="198" w:name="_bookmark42"/>
      <w:bookmarkEnd w:id="197"/>
      <w:bookmarkEnd w:id="198"/>
      <w:r>
        <w:t>Sección</w:t>
      </w:r>
      <w:r>
        <w:rPr>
          <w:spacing w:val="80"/>
        </w:rPr>
        <w:t xml:space="preserve"> </w:t>
      </w:r>
      <w:r>
        <w:t>1.ª</w:t>
      </w:r>
      <w:r>
        <w:rPr>
          <w:spacing w:val="80"/>
        </w:rPr>
        <w:t xml:space="preserve"> </w:t>
      </w:r>
      <w:r>
        <w:t>De</w:t>
      </w:r>
      <w:r>
        <w:rPr>
          <w:spacing w:val="80"/>
        </w:rPr>
        <w:t xml:space="preserve"> </w:t>
      </w:r>
      <w:r>
        <w:t>la</w:t>
      </w:r>
      <w:r>
        <w:rPr>
          <w:spacing w:val="80"/>
        </w:rPr>
        <w:t xml:space="preserve"> </w:t>
      </w:r>
      <w:r>
        <w:t>preparación</w:t>
      </w:r>
      <w:r>
        <w:rPr>
          <w:spacing w:val="80"/>
        </w:rPr>
        <w:t xml:space="preserve"> </w:t>
      </w:r>
      <w:r>
        <w:t>de</w:t>
      </w:r>
      <w:r>
        <w:rPr>
          <w:spacing w:val="80"/>
        </w:rPr>
        <w:t xml:space="preserve"> </w:t>
      </w:r>
      <w:r>
        <w:t>los</w:t>
      </w:r>
      <w:r>
        <w:rPr>
          <w:spacing w:val="80"/>
        </w:rPr>
        <w:t xml:space="preserve"> </w:t>
      </w:r>
      <w:r>
        <w:t>contratos</w:t>
      </w:r>
      <w:r>
        <w:rPr>
          <w:spacing w:val="80"/>
        </w:rPr>
        <w:t xml:space="preserve"> </w:t>
      </w:r>
      <w:r>
        <w:t>de</w:t>
      </w:r>
      <w:r>
        <w:rPr>
          <w:spacing w:val="80"/>
        </w:rPr>
        <w:t xml:space="preserve"> </w:t>
      </w:r>
      <w:r>
        <w:t>las</w:t>
      </w:r>
      <w:r>
        <w:rPr>
          <w:spacing w:val="80"/>
        </w:rPr>
        <w:t xml:space="preserve"> </w:t>
      </w:r>
      <w:r>
        <w:t xml:space="preserve">Administraciones </w:t>
      </w:r>
      <w:r>
        <w:rPr>
          <w:spacing w:val="-2"/>
        </w:rPr>
        <w:t>Públicas</w:t>
      </w:r>
    </w:p>
    <w:p w:rsidR="0092635B" w:rsidRDefault="00000000">
      <w:pPr>
        <w:spacing w:before="229"/>
        <w:ind w:left="1106"/>
        <w:rPr>
          <w:rFonts w:ascii="Arial" w:hAnsi="Arial"/>
          <w:i/>
          <w:sz w:val="20"/>
        </w:rPr>
      </w:pPr>
      <w:bookmarkStart w:id="199" w:name="Artículo_115._Consultas_preliminares_del"/>
      <w:bookmarkEnd w:id="199"/>
      <w:r>
        <w:rPr>
          <w:rFonts w:ascii="Arial" w:hAnsi="Arial"/>
          <w:b/>
          <w:sz w:val="20"/>
        </w:rPr>
        <w:t>Artículo</w:t>
      </w:r>
      <w:r>
        <w:rPr>
          <w:rFonts w:ascii="Arial" w:hAnsi="Arial"/>
          <w:b/>
          <w:spacing w:val="-3"/>
          <w:sz w:val="20"/>
        </w:rPr>
        <w:t xml:space="preserve"> </w:t>
      </w:r>
      <w:r>
        <w:rPr>
          <w:rFonts w:ascii="Arial" w:hAnsi="Arial"/>
          <w:b/>
          <w:sz w:val="20"/>
        </w:rPr>
        <w:t>115.</w:t>
      </w:r>
      <w:r>
        <w:rPr>
          <w:rFonts w:ascii="Arial" w:hAnsi="Arial"/>
          <w:b/>
          <w:spacing w:val="50"/>
          <w:sz w:val="20"/>
        </w:rPr>
        <w:t xml:space="preserve"> </w:t>
      </w:r>
      <w:r>
        <w:rPr>
          <w:rFonts w:ascii="Arial" w:hAnsi="Arial"/>
          <w:i/>
          <w:sz w:val="20"/>
        </w:rPr>
        <w:t>Consultas</w:t>
      </w:r>
      <w:r>
        <w:rPr>
          <w:rFonts w:ascii="Arial" w:hAnsi="Arial"/>
          <w:i/>
          <w:spacing w:val="-3"/>
          <w:sz w:val="20"/>
        </w:rPr>
        <w:t xml:space="preserve"> </w:t>
      </w:r>
      <w:r>
        <w:rPr>
          <w:rFonts w:ascii="Arial" w:hAnsi="Arial"/>
          <w:i/>
          <w:sz w:val="20"/>
        </w:rPr>
        <w:t>preliminares</w:t>
      </w:r>
      <w:r>
        <w:rPr>
          <w:rFonts w:ascii="Arial" w:hAnsi="Arial"/>
          <w:i/>
          <w:spacing w:val="-2"/>
          <w:sz w:val="20"/>
        </w:rPr>
        <w:t xml:space="preserve"> </w:t>
      </w:r>
      <w:r>
        <w:rPr>
          <w:rFonts w:ascii="Arial" w:hAnsi="Arial"/>
          <w:i/>
          <w:sz w:val="20"/>
        </w:rPr>
        <w:t>del</w:t>
      </w:r>
      <w:r>
        <w:rPr>
          <w:rFonts w:ascii="Arial" w:hAnsi="Arial"/>
          <w:i/>
          <w:spacing w:val="-2"/>
          <w:sz w:val="20"/>
        </w:rPr>
        <w:t xml:space="preserve"> mercado.</w:t>
      </w:r>
    </w:p>
    <w:p w:rsidR="0092635B" w:rsidRDefault="00000000">
      <w:pPr>
        <w:pStyle w:val="Prrafodelista"/>
        <w:numPr>
          <w:ilvl w:val="0"/>
          <w:numId w:val="255"/>
        </w:numPr>
        <w:tabs>
          <w:tab w:val="left" w:pos="1677"/>
        </w:tabs>
        <w:spacing w:before="123" w:line="249" w:lineRule="auto"/>
        <w:ind w:firstLine="340"/>
        <w:jc w:val="both"/>
        <w:rPr>
          <w:sz w:val="20"/>
        </w:rPr>
      </w:pPr>
      <w:r>
        <w:rPr>
          <w:sz w:val="20"/>
        </w:rPr>
        <w:t>Los órganos de contratación podrán realizar estudios de mercado y dirigir consultas a los operadores económicos que estuvieran activos en el mismo con la finalidad de preparar correctamente la licitación e informar a los citados operadores económicos acerca de sus planes y de los requisitos que exigirán para concurrir al procedimiento. Para ello los órganos de contratación podrán valerse del asesoramiento de terceros, que podrán ser expertos o autoridades independientes, colegios profesionales, o, incluso, con carácter excepcional operadores económicos activos en el mercado. Antes de iniciarse la consulta, el órgano de contratación publicará en el perfil de contratante ubicado en la Plataforma de contratación</w:t>
      </w:r>
      <w:r>
        <w:rPr>
          <w:spacing w:val="80"/>
          <w:sz w:val="20"/>
        </w:rPr>
        <w:t xml:space="preserve"> </w:t>
      </w:r>
      <w:r>
        <w:rPr>
          <w:sz w:val="20"/>
        </w:rPr>
        <w:t>del Sector Público o servicio de información equivalente a nivel autonómico, el objeto de la misma, cuando se iniciara esta y las denominaciones de los terceros que vayan a participar en la consulta, a efectos de que puedan tener acceso y posibilidad de realizar aportaciones todos los posibles interesados. Asimismo en el perfil del contratante se publicarán las razones que motiven la elección de los asesores externos que resulten seleccionados.</w:t>
      </w:r>
    </w:p>
    <w:p w:rsidR="0092635B" w:rsidRDefault="00000000">
      <w:pPr>
        <w:pStyle w:val="Prrafodelista"/>
        <w:numPr>
          <w:ilvl w:val="0"/>
          <w:numId w:val="255"/>
        </w:numPr>
        <w:tabs>
          <w:tab w:val="left" w:pos="1680"/>
        </w:tabs>
        <w:spacing w:before="11" w:line="249" w:lineRule="auto"/>
        <w:ind w:right="1104" w:firstLine="340"/>
        <w:jc w:val="both"/>
        <w:rPr>
          <w:sz w:val="20"/>
        </w:rPr>
      </w:pPr>
      <w:r>
        <w:rPr>
          <w:sz w:val="20"/>
        </w:rPr>
        <w:t>El asesoramiento a que se refiere el apartado anterior será utilizado por el órgano de contratación</w:t>
      </w:r>
      <w:r>
        <w:rPr>
          <w:spacing w:val="-3"/>
          <w:sz w:val="20"/>
        </w:rPr>
        <w:t xml:space="preserve"> </w:t>
      </w:r>
      <w:r>
        <w:rPr>
          <w:sz w:val="20"/>
        </w:rPr>
        <w:t>para</w:t>
      </w:r>
      <w:r>
        <w:rPr>
          <w:spacing w:val="-3"/>
          <w:sz w:val="20"/>
        </w:rPr>
        <w:t xml:space="preserve"> </w:t>
      </w:r>
      <w:r>
        <w:rPr>
          <w:sz w:val="20"/>
        </w:rPr>
        <w:t>planificar</w:t>
      </w:r>
      <w:r>
        <w:rPr>
          <w:spacing w:val="-3"/>
          <w:sz w:val="20"/>
        </w:rPr>
        <w:t xml:space="preserve"> </w:t>
      </w:r>
      <w:r>
        <w:rPr>
          <w:sz w:val="20"/>
        </w:rPr>
        <w:t>el</w:t>
      </w:r>
      <w:r>
        <w:rPr>
          <w:spacing w:val="-3"/>
          <w:sz w:val="20"/>
        </w:rPr>
        <w:t xml:space="preserve"> </w:t>
      </w:r>
      <w:r>
        <w:rPr>
          <w:sz w:val="20"/>
        </w:rPr>
        <w:t>procedimiento</w:t>
      </w:r>
      <w:r>
        <w:rPr>
          <w:spacing w:val="-3"/>
          <w:sz w:val="20"/>
        </w:rPr>
        <w:t xml:space="preserve"> </w:t>
      </w:r>
      <w:r>
        <w:rPr>
          <w:sz w:val="20"/>
        </w:rPr>
        <w:t>de</w:t>
      </w:r>
      <w:r>
        <w:rPr>
          <w:spacing w:val="-3"/>
          <w:sz w:val="20"/>
        </w:rPr>
        <w:t xml:space="preserve"> </w:t>
      </w:r>
      <w:r>
        <w:rPr>
          <w:sz w:val="20"/>
        </w:rPr>
        <w:t>licitación</w:t>
      </w:r>
      <w:r>
        <w:rPr>
          <w:spacing w:val="-3"/>
          <w:sz w:val="20"/>
        </w:rPr>
        <w:t xml:space="preserve"> </w:t>
      </w:r>
      <w:r>
        <w:rPr>
          <w:sz w:val="20"/>
        </w:rPr>
        <w:t>y,</w:t>
      </w:r>
      <w:r>
        <w:rPr>
          <w:spacing w:val="-3"/>
          <w:sz w:val="20"/>
        </w:rPr>
        <w:t xml:space="preserve"> </w:t>
      </w:r>
      <w:r>
        <w:rPr>
          <w:sz w:val="20"/>
        </w:rPr>
        <w:t>también,</w:t>
      </w:r>
      <w:r>
        <w:rPr>
          <w:spacing w:val="-3"/>
          <w:sz w:val="20"/>
        </w:rPr>
        <w:t xml:space="preserve"> </w:t>
      </w:r>
      <w:r>
        <w:rPr>
          <w:sz w:val="20"/>
        </w:rPr>
        <w:t>durante</w:t>
      </w:r>
      <w:r>
        <w:rPr>
          <w:spacing w:val="-3"/>
          <w:sz w:val="20"/>
        </w:rPr>
        <w:t xml:space="preserve"> </w:t>
      </w:r>
      <w:r>
        <w:rPr>
          <w:sz w:val="20"/>
        </w:rPr>
        <w:t>la</w:t>
      </w:r>
      <w:r>
        <w:rPr>
          <w:spacing w:val="-3"/>
          <w:sz w:val="20"/>
        </w:rPr>
        <w:t xml:space="preserve"> </w:t>
      </w:r>
      <w:r>
        <w:rPr>
          <w:sz w:val="20"/>
        </w:rPr>
        <w:t>sustanciación del mismo, siempre y cuando ello no tenga el efecto de falsear la competencia o de vulnerar los principios de no discriminación y transparencia.</w:t>
      </w:r>
    </w:p>
    <w:p w:rsidR="0092635B" w:rsidRDefault="00000000">
      <w:pPr>
        <w:pStyle w:val="Textoindependiente"/>
        <w:spacing w:before="3" w:line="249" w:lineRule="auto"/>
        <w:ind w:right="1104"/>
      </w:pPr>
      <w:r>
        <w:t>De las consultas realizadas no podrá resultar un objeto contractual tan concreto y delimitado que únicamente se ajuste a las características técnicas de uno de los</w:t>
      </w:r>
      <w:r>
        <w:rPr>
          <w:spacing w:val="40"/>
        </w:rPr>
        <w:t xml:space="preserve"> </w:t>
      </w:r>
      <w:r>
        <w:t>consultados. El resultado de los estudios y consultas debe, en su caso, concretarse en la introducción de características genéricas, exigencias generales o fórmulas abstractas que aseguren una mejor satisfacción de los intereses públicos, sin que en ningún caso, puedan las consultas realizadas comportar ventajas respecto de la adjudicación del contrato para las empresas participantes en aquellas.</w:t>
      </w:r>
    </w:p>
    <w:p w:rsidR="0092635B" w:rsidRDefault="00000000">
      <w:pPr>
        <w:pStyle w:val="Prrafodelista"/>
        <w:numPr>
          <w:ilvl w:val="0"/>
          <w:numId w:val="255"/>
        </w:numPr>
        <w:tabs>
          <w:tab w:val="left" w:pos="1701"/>
        </w:tabs>
        <w:spacing w:before="6" w:line="249" w:lineRule="auto"/>
        <w:ind w:firstLine="340"/>
        <w:jc w:val="both"/>
        <w:rPr>
          <w:sz w:val="20"/>
        </w:rPr>
      </w:pPr>
      <w:r>
        <w:rPr>
          <w:sz w:val="20"/>
        </w:rPr>
        <w:t>Cuando el órgano de contratación haya realizado las consultas a que se refiere el presente artículo, hará constar en un informe las actuaciones realizadas. En el informe se relacionarán los estudios realizados y sus autores, las entidades consultadas, las cuestiones que se les han formulado y las respuestas a las mismas. Este informe estará motivado, formará parte del expediente de contratación, y estará sujeto a las mismas obligaciones de publicidad que los pliegos de condiciones, publicándose en todo caso en el perfil del contratante del órgano de contratación.</w:t>
      </w:r>
    </w:p>
    <w:p w:rsidR="0092635B" w:rsidRDefault="00000000">
      <w:pPr>
        <w:pStyle w:val="Textoindependiente"/>
        <w:spacing w:before="5" w:line="249" w:lineRule="auto"/>
        <w:ind w:right="1103"/>
      </w:pPr>
      <w:r>
        <w:t xml:space="preserve">En ningún caso durante el proceso de consultas al que se refiere el presente artículo, el órgano de contratación podrá revelar a los participantes en el mismo las soluciones propuestas por los otros participantes, siendo las mismas solo conocidas íntegramente por </w:t>
      </w:r>
      <w:r>
        <w:rPr>
          <w:spacing w:val="-2"/>
        </w:rPr>
        <w:t>aquel.</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pPr>
      <w:r>
        <w:t>Con carácter general, el órgano de contratación al elaborar los pliegos deberá tener en cuenta los resultados de las consultas realizadas; de no ser así deberá dejar constancia de los motivos en el informe a que se refiere el párrafo anterior.</w:t>
      </w:r>
    </w:p>
    <w:p w:rsidR="0092635B" w:rsidRDefault="00000000">
      <w:pPr>
        <w:pStyle w:val="Textoindependiente"/>
        <w:spacing w:line="249" w:lineRule="auto"/>
        <w:ind w:right="1106"/>
      </w:pPr>
      <w:r>
        <w:t>La participación en la consulta no impide la posterior intervención en el procedimiento de contratación que en su caso se tramite.</w:t>
      </w:r>
    </w:p>
    <w:p w:rsidR="0092635B" w:rsidRDefault="0092635B">
      <w:pPr>
        <w:pStyle w:val="Textoindependiente"/>
        <w:spacing w:before="55"/>
        <w:ind w:left="0" w:firstLine="0"/>
        <w:jc w:val="left"/>
      </w:pPr>
    </w:p>
    <w:p w:rsidR="0092635B" w:rsidRDefault="00000000">
      <w:pPr>
        <w:pStyle w:val="Textoindependiente"/>
        <w:spacing w:before="0"/>
        <w:ind w:left="0" w:right="1" w:firstLine="0"/>
        <w:jc w:val="center"/>
      </w:pPr>
      <w:bookmarkStart w:id="200" w:name="Subsección_1.ª_Expediente_de_contratació"/>
      <w:bookmarkStart w:id="201" w:name="_bookmark43"/>
      <w:bookmarkEnd w:id="200"/>
      <w:bookmarkEnd w:id="201"/>
      <w:r>
        <w:t>Subsección</w:t>
      </w:r>
      <w:r>
        <w:rPr>
          <w:spacing w:val="-6"/>
        </w:rPr>
        <w:t xml:space="preserve"> </w:t>
      </w:r>
      <w:r>
        <w:t>1.ª</w:t>
      </w:r>
      <w:r>
        <w:rPr>
          <w:spacing w:val="-5"/>
        </w:rPr>
        <w:t xml:space="preserve"> </w:t>
      </w:r>
      <w:r>
        <w:t>Expediente</w:t>
      </w:r>
      <w:r>
        <w:rPr>
          <w:spacing w:val="-5"/>
        </w:rPr>
        <w:t xml:space="preserve"> </w:t>
      </w:r>
      <w:r>
        <w:t>de</w:t>
      </w:r>
      <w:r>
        <w:rPr>
          <w:spacing w:val="-5"/>
        </w:rPr>
        <w:t xml:space="preserve"> </w:t>
      </w:r>
      <w:r>
        <w:rPr>
          <w:spacing w:val="-2"/>
        </w:rPr>
        <w:t>contratación</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202" w:name="Artículo_116._Expediente_de_contratación"/>
      <w:bookmarkEnd w:id="202"/>
      <w:r>
        <w:rPr>
          <w:rFonts w:ascii="Arial" w:hAnsi="Arial"/>
          <w:b/>
          <w:sz w:val="20"/>
        </w:rPr>
        <w:t>Artículo</w:t>
      </w:r>
      <w:r>
        <w:rPr>
          <w:rFonts w:ascii="Arial" w:hAnsi="Arial"/>
          <w:b/>
          <w:spacing w:val="-4"/>
          <w:sz w:val="20"/>
        </w:rPr>
        <w:t xml:space="preserve"> </w:t>
      </w:r>
      <w:r>
        <w:rPr>
          <w:rFonts w:ascii="Arial" w:hAnsi="Arial"/>
          <w:b/>
          <w:sz w:val="20"/>
        </w:rPr>
        <w:t>116.</w:t>
      </w:r>
      <w:r>
        <w:rPr>
          <w:rFonts w:ascii="Arial" w:hAnsi="Arial"/>
          <w:b/>
          <w:spacing w:val="46"/>
          <w:sz w:val="20"/>
        </w:rPr>
        <w:t xml:space="preserve"> </w:t>
      </w:r>
      <w:r>
        <w:rPr>
          <w:rFonts w:ascii="Arial" w:hAnsi="Arial"/>
          <w:i/>
          <w:sz w:val="20"/>
        </w:rPr>
        <w:t>Expediente</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contratación:</w:t>
      </w:r>
      <w:r>
        <w:rPr>
          <w:rFonts w:ascii="Arial" w:hAnsi="Arial"/>
          <w:i/>
          <w:spacing w:val="-4"/>
          <w:sz w:val="20"/>
        </w:rPr>
        <w:t xml:space="preserve"> </w:t>
      </w:r>
      <w:r>
        <w:rPr>
          <w:rFonts w:ascii="Arial" w:hAnsi="Arial"/>
          <w:i/>
          <w:sz w:val="20"/>
        </w:rPr>
        <w:t>iniciación</w:t>
      </w:r>
      <w:r>
        <w:rPr>
          <w:rFonts w:ascii="Arial" w:hAnsi="Arial"/>
          <w:i/>
          <w:spacing w:val="-4"/>
          <w:sz w:val="20"/>
        </w:rPr>
        <w:t xml:space="preserve"> </w:t>
      </w:r>
      <w:r>
        <w:rPr>
          <w:rFonts w:ascii="Arial" w:hAnsi="Arial"/>
          <w:i/>
          <w:sz w:val="20"/>
        </w:rPr>
        <w:t>y</w:t>
      </w:r>
      <w:r>
        <w:rPr>
          <w:rFonts w:ascii="Arial" w:hAnsi="Arial"/>
          <w:i/>
          <w:spacing w:val="-3"/>
          <w:sz w:val="20"/>
        </w:rPr>
        <w:t xml:space="preserve"> </w:t>
      </w:r>
      <w:r>
        <w:rPr>
          <w:rFonts w:ascii="Arial" w:hAnsi="Arial"/>
          <w:i/>
          <w:spacing w:val="-2"/>
          <w:sz w:val="20"/>
        </w:rPr>
        <w:t>contenido.</w:t>
      </w:r>
    </w:p>
    <w:p w:rsidR="0092635B" w:rsidRDefault="00000000">
      <w:pPr>
        <w:pStyle w:val="Prrafodelista"/>
        <w:numPr>
          <w:ilvl w:val="0"/>
          <w:numId w:val="254"/>
        </w:numPr>
        <w:tabs>
          <w:tab w:val="left" w:pos="1697"/>
        </w:tabs>
        <w:spacing w:before="123" w:line="249" w:lineRule="auto"/>
        <w:ind w:right="1104" w:firstLine="340"/>
        <w:jc w:val="both"/>
        <w:rPr>
          <w:sz w:val="20"/>
        </w:rPr>
      </w:pPr>
      <w:r>
        <w:rPr>
          <w:sz w:val="20"/>
        </w:rPr>
        <w:t>La celebración de contratos por parte de las Administraciones Públicas requerirá la previa tramitación del correspondiente expediente, que se iniciará por el órgano de contratación motivando la necesidad del contrato en los términos previstos en el artículo 28 de esta Ley y que deberá ser publicado en el perfil de contratante.</w:t>
      </w:r>
    </w:p>
    <w:p w:rsidR="0092635B" w:rsidRDefault="00000000">
      <w:pPr>
        <w:pStyle w:val="Textoindependiente"/>
        <w:spacing w:before="4" w:line="249" w:lineRule="auto"/>
        <w:ind w:right="1103"/>
      </w:pPr>
      <w:r>
        <w:t>En aquellos contratos cuya ejecución requiera de la cesión de datos por parte de entidades del sector público al contratista, el órgano de contratación en todo caso deberá especificar en el expediente de contratación cuál será la finalidad del tratamiento de los</w:t>
      </w:r>
      <w:r>
        <w:rPr>
          <w:spacing w:val="40"/>
        </w:rPr>
        <w:t xml:space="preserve"> </w:t>
      </w:r>
      <w:r>
        <w:t>datos que vayan a ser cedidos.</w:t>
      </w:r>
    </w:p>
    <w:p w:rsidR="0092635B" w:rsidRDefault="00000000">
      <w:pPr>
        <w:pStyle w:val="Prrafodelista"/>
        <w:numPr>
          <w:ilvl w:val="0"/>
          <w:numId w:val="254"/>
        </w:numPr>
        <w:tabs>
          <w:tab w:val="left" w:pos="1679"/>
        </w:tabs>
        <w:spacing w:before="3" w:line="249" w:lineRule="auto"/>
        <w:ind w:right="1105" w:firstLine="340"/>
        <w:jc w:val="both"/>
        <w:rPr>
          <w:sz w:val="20"/>
        </w:rPr>
      </w:pPr>
      <w:r>
        <w:rPr>
          <w:sz w:val="20"/>
        </w:rPr>
        <w:t>El expediente deberá referirse a la totalidad del objeto del contrato, sin perjuicio de lo previsto en el apartado 7 del artículo 99 para los contratos adjudicados por lotes.</w:t>
      </w:r>
    </w:p>
    <w:p w:rsidR="0092635B" w:rsidRDefault="00000000">
      <w:pPr>
        <w:pStyle w:val="Prrafodelista"/>
        <w:numPr>
          <w:ilvl w:val="0"/>
          <w:numId w:val="254"/>
        </w:numPr>
        <w:tabs>
          <w:tab w:val="left" w:pos="1688"/>
        </w:tabs>
        <w:spacing w:line="249" w:lineRule="auto"/>
        <w:ind w:firstLine="340"/>
        <w:jc w:val="both"/>
        <w:rPr>
          <w:sz w:val="20"/>
        </w:rPr>
      </w:pPr>
      <w:r>
        <w:rPr>
          <w:sz w:val="20"/>
        </w:rPr>
        <w:t>Al expediente se incorporarán el pliego de cláusulas administrativas particulares y el de prescripciones técnicas que hayan de regir el contrato. En el caso de que el</w:t>
      </w:r>
      <w:r>
        <w:rPr>
          <w:spacing w:val="40"/>
          <w:sz w:val="20"/>
        </w:rPr>
        <w:t xml:space="preserve"> </w:t>
      </w:r>
      <w:r>
        <w:rPr>
          <w:sz w:val="20"/>
        </w:rPr>
        <w:t>procedimiento elegido para adjudicar el contrato sea el de diálogo competitivo regulado en la subsección 5.ª, de la Sección 2.ª, del Capítulo I, del Título I, del Libro II, los pliegos de cláusulas administrativas y de prescripciones técnicas serán sustituidos por el documento descriptivo a que hace referencia el apartado 1 del artículo 174. En el caso de procedimientos para adjudicar los contratos basados en acuerdos marco invitando a una nueva licitación a las empresas parte del mismo, regulados en el artículo 221.4, los pliegos de cláusulas administrativas y de prescripciones técnicas serán sustituidos por el documento de licitación a que hace referencia el artículo 221.5 último párrafo.</w:t>
      </w:r>
    </w:p>
    <w:p w:rsidR="0092635B" w:rsidRDefault="00000000">
      <w:pPr>
        <w:pStyle w:val="Textoindependiente"/>
        <w:spacing w:before="8" w:line="249" w:lineRule="auto"/>
        <w:ind w:right="1103"/>
      </w:pPr>
      <w:r>
        <w:t>Asimismo, deberá incorporarse el certificado de existencia de crédito o, en el caso de entidades del sector público estatal con presupuesto estimativo, documento equivalente que acredite la existencia de financiación, y la fiscalización previa de la intervención, en su caso, en los términos previstos en la Ley 47/2003, de 26 de noviembre, General Presupuestaria.</w:t>
      </w:r>
    </w:p>
    <w:p w:rsidR="0092635B" w:rsidRDefault="00000000">
      <w:pPr>
        <w:pStyle w:val="Prrafodelista"/>
        <w:numPr>
          <w:ilvl w:val="0"/>
          <w:numId w:val="254"/>
        </w:numPr>
        <w:tabs>
          <w:tab w:val="left" w:pos="1668"/>
        </w:tabs>
        <w:spacing w:before="3"/>
        <w:ind w:left="1668" w:right="0" w:hanging="222"/>
        <w:jc w:val="both"/>
        <w:rPr>
          <w:sz w:val="20"/>
        </w:rPr>
      </w:pPr>
      <w:r>
        <w:rPr>
          <w:sz w:val="20"/>
        </w:rPr>
        <w:t>En</w:t>
      </w:r>
      <w:r>
        <w:rPr>
          <w:spacing w:val="-5"/>
          <w:sz w:val="20"/>
        </w:rPr>
        <w:t xml:space="preserve"> </w:t>
      </w:r>
      <w:r>
        <w:rPr>
          <w:sz w:val="20"/>
        </w:rPr>
        <w:t>el</w:t>
      </w:r>
      <w:r>
        <w:rPr>
          <w:spacing w:val="-4"/>
          <w:sz w:val="20"/>
        </w:rPr>
        <w:t xml:space="preserve"> </w:t>
      </w:r>
      <w:r>
        <w:rPr>
          <w:sz w:val="20"/>
        </w:rPr>
        <w:t>expediente</w:t>
      </w:r>
      <w:r>
        <w:rPr>
          <w:spacing w:val="-5"/>
          <w:sz w:val="20"/>
        </w:rPr>
        <w:t xml:space="preserve"> </w:t>
      </w:r>
      <w:r>
        <w:rPr>
          <w:sz w:val="20"/>
        </w:rPr>
        <w:t>se</w:t>
      </w:r>
      <w:r>
        <w:rPr>
          <w:spacing w:val="-4"/>
          <w:sz w:val="20"/>
        </w:rPr>
        <w:t xml:space="preserve"> </w:t>
      </w:r>
      <w:r>
        <w:rPr>
          <w:sz w:val="20"/>
        </w:rPr>
        <w:t>justificará</w:t>
      </w:r>
      <w:r>
        <w:rPr>
          <w:spacing w:val="-4"/>
          <w:sz w:val="20"/>
        </w:rPr>
        <w:t xml:space="preserve"> </w:t>
      </w:r>
      <w:r>
        <w:rPr>
          <w:spacing w:val="-2"/>
          <w:sz w:val="20"/>
        </w:rPr>
        <w:t>adecuadamente:</w:t>
      </w:r>
    </w:p>
    <w:p w:rsidR="0092635B" w:rsidRDefault="00000000">
      <w:pPr>
        <w:pStyle w:val="Prrafodelista"/>
        <w:numPr>
          <w:ilvl w:val="1"/>
          <w:numId w:val="254"/>
        </w:numPr>
        <w:tabs>
          <w:tab w:val="left" w:pos="1679"/>
        </w:tabs>
        <w:spacing w:before="130"/>
        <w:ind w:right="0" w:hanging="233"/>
        <w:jc w:val="both"/>
        <w:rPr>
          <w:sz w:val="20"/>
        </w:rPr>
      </w:pPr>
      <w:r>
        <w:rPr>
          <w:sz w:val="20"/>
        </w:rPr>
        <w:t>La</w:t>
      </w:r>
      <w:r>
        <w:rPr>
          <w:spacing w:val="-7"/>
          <w:sz w:val="20"/>
        </w:rPr>
        <w:t xml:space="preserve"> </w:t>
      </w:r>
      <w:r>
        <w:rPr>
          <w:sz w:val="20"/>
        </w:rPr>
        <w:t>elección</w:t>
      </w:r>
      <w:r>
        <w:rPr>
          <w:spacing w:val="-5"/>
          <w:sz w:val="20"/>
        </w:rPr>
        <w:t xml:space="preserve"> </w:t>
      </w:r>
      <w:r>
        <w:rPr>
          <w:sz w:val="20"/>
        </w:rPr>
        <w:t>del</w:t>
      </w:r>
      <w:r>
        <w:rPr>
          <w:spacing w:val="-4"/>
          <w:sz w:val="20"/>
        </w:rPr>
        <w:t xml:space="preserve"> </w:t>
      </w:r>
      <w:r>
        <w:rPr>
          <w:sz w:val="20"/>
        </w:rPr>
        <w:t>procedimiento</w:t>
      </w:r>
      <w:r>
        <w:rPr>
          <w:spacing w:val="-5"/>
          <w:sz w:val="20"/>
        </w:rPr>
        <w:t xml:space="preserve"> </w:t>
      </w:r>
      <w:r>
        <w:rPr>
          <w:sz w:val="20"/>
        </w:rPr>
        <w:t>de</w:t>
      </w:r>
      <w:r>
        <w:rPr>
          <w:spacing w:val="-4"/>
          <w:sz w:val="20"/>
        </w:rPr>
        <w:t xml:space="preserve"> </w:t>
      </w:r>
      <w:r>
        <w:rPr>
          <w:spacing w:val="-2"/>
          <w:sz w:val="20"/>
        </w:rPr>
        <w:t>licitación.</w:t>
      </w:r>
    </w:p>
    <w:p w:rsidR="0092635B" w:rsidRDefault="00000000">
      <w:pPr>
        <w:pStyle w:val="Prrafodelista"/>
        <w:numPr>
          <w:ilvl w:val="1"/>
          <w:numId w:val="254"/>
        </w:numPr>
        <w:tabs>
          <w:tab w:val="left" w:pos="1679"/>
        </w:tabs>
        <w:spacing w:before="10"/>
        <w:ind w:right="0" w:hanging="233"/>
        <w:jc w:val="both"/>
        <w:rPr>
          <w:sz w:val="20"/>
        </w:rPr>
      </w:pPr>
      <w:r>
        <w:rPr>
          <w:sz w:val="20"/>
        </w:rPr>
        <w:t>La</w:t>
      </w:r>
      <w:r>
        <w:rPr>
          <w:spacing w:val="-3"/>
          <w:sz w:val="20"/>
        </w:rPr>
        <w:t xml:space="preserve"> </w:t>
      </w:r>
      <w:r>
        <w:rPr>
          <w:sz w:val="20"/>
        </w:rPr>
        <w:t>clasificación</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exija</w:t>
      </w:r>
      <w:r>
        <w:rPr>
          <w:spacing w:val="-3"/>
          <w:sz w:val="20"/>
        </w:rPr>
        <w:t xml:space="preserve"> </w:t>
      </w:r>
      <w:r>
        <w:rPr>
          <w:sz w:val="20"/>
        </w:rPr>
        <w:t>a</w:t>
      </w:r>
      <w:r>
        <w:rPr>
          <w:spacing w:val="-3"/>
          <w:sz w:val="20"/>
        </w:rPr>
        <w:t xml:space="preserve"> </w:t>
      </w:r>
      <w:r>
        <w:rPr>
          <w:sz w:val="20"/>
        </w:rPr>
        <w:t>los</w:t>
      </w:r>
      <w:r>
        <w:rPr>
          <w:spacing w:val="-2"/>
          <w:sz w:val="20"/>
        </w:rPr>
        <w:t xml:space="preserve"> participantes.</w:t>
      </w:r>
    </w:p>
    <w:p w:rsidR="0092635B" w:rsidRDefault="00000000">
      <w:pPr>
        <w:pStyle w:val="Prrafodelista"/>
        <w:numPr>
          <w:ilvl w:val="1"/>
          <w:numId w:val="254"/>
        </w:numPr>
        <w:tabs>
          <w:tab w:val="left" w:pos="1724"/>
        </w:tabs>
        <w:spacing w:before="10" w:line="249" w:lineRule="auto"/>
        <w:ind w:left="1106" w:right="1104" w:firstLine="340"/>
        <w:jc w:val="both"/>
        <w:rPr>
          <w:sz w:val="20"/>
        </w:rPr>
      </w:pPr>
      <w:r>
        <w:rPr>
          <w:sz w:val="20"/>
        </w:rPr>
        <w:t>Los criterios de solvencia técnica o profesional, y económica y financiera, y los criterios que se tendrán en consideración para adjudicar el contrato, así como las</w:t>
      </w:r>
      <w:r>
        <w:rPr>
          <w:spacing w:val="40"/>
          <w:sz w:val="20"/>
        </w:rPr>
        <w:t xml:space="preserve"> </w:t>
      </w:r>
      <w:r>
        <w:rPr>
          <w:sz w:val="20"/>
        </w:rPr>
        <w:t>condiciones especiales de ejecución del mismo.</w:t>
      </w:r>
    </w:p>
    <w:p w:rsidR="0092635B" w:rsidRDefault="00000000">
      <w:pPr>
        <w:pStyle w:val="Prrafodelista"/>
        <w:numPr>
          <w:ilvl w:val="1"/>
          <w:numId w:val="254"/>
        </w:numPr>
        <w:tabs>
          <w:tab w:val="left" w:pos="1725"/>
        </w:tabs>
        <w:spacing w:before="3" w:line="249" w:lineRule="auto"/>
        <w:ind w:left="1106" w:right="1104" w:firstLine="340"/>
        <w:jc w:val="both"/>
        <w:rPr>
          <w:sz w:val="20"/>
        </w:rPr>
      </w:pPr>
      <w:r>
        <w:rPr>
          <w:sz w:val="20"/>
        </w:rPr>
        <w:t>El valor estimado del contrato con una indicación de todos los conceptos que lo integran, incluyendo siempre los costes laborales si existiesen.</w:t>
      </w:r>
    </w:p>
    <w:p w:rsidR="0092635B" w:rsidRDefault="00000000">
      <w:pPr>
        <w:pStyle w:val="Prrafodelista"/>
        <w:numPr>
          <w:ilvl w:val="1"/>
          <w:numId w:val="254"/>
        </w:numPr>
        <w:tabs>
          <w:tab w:val="left" w:pos="1696"/>
        </w:tabs>
        <w:spacing w:before="1" w:line="249" w:lineRule="auto"/>
        <w:ind w:left="1106" w:firstLine="340"/>
        <w:jc w:val="both"/>
        <w:rPr>
          <w:sz w:val="20"/>
        </w:rPr>
      </w:pPr>
      <w:r>
        <w:rPr>
          <w:sz w:val="20"/>
        </w:rPr>
        <w:t>La necesidad de la Administración a la que se pretende dar satisfacción mediante la contratación de las prestaciones correspondientes; y su relación con el objeto del contrato, que deberá ser directa, clara y proporcional.</w:t>
      </w:r>
    </w:p>
    <w:p w:rsidR="0092635B" w:rsidRDefault="00000000">
      <w:pPr>
        <w:pStyle w:val="Prrafodelista"/>
        <w:numPr>
          <w:ilvl w:val="1"/>
          <w:numId w:val="254"/>
        </w:numPr>
        <w:tabs>
          <w:tab w:val="left" w:pos="1623"/>
        </w:tabs>
        <w:spacing w:before="3"/>
        <w:ind w:left="1623" w:right="0" w:hanging="177"/>
        <w:jc w:val="both"/>
        <w:rPr>
          <w:sz w:val="20"/>
        </w:rPr>
      </w:pPr>
      <w:r>
        <w:rPr>
          <w:sz w:val="20"/>
        </w:rPr>
        <w:t>En</w:t>
      </w:r>
      <w:r>
        <w:rPr>
          <w:spacing w:val="-5"/>
          <w:sz w:val="20"/>
        </w:rPr>
        <w:t xml:space="preserve"> </w:t>
      </w:r>
      <w:r>
        <w:rPr>
          <w:sz w:val="20"/>
        </w:rPr>
        <w:t>los</w:t>
      </w:r>
      <w:r>
        <w:rPr>
          <w:spacing w:val="-2"/>
          <w:sz w:val="20"/>
        </w:rPr>
        <w:t xml:space="preserve"> </w:t>
      </w:r>
      <w:r>
        <w:rPr>
          <w:sz w:val="20"/>
        </w:rPr>
        <w:t>contratos</w:t>
      </w:r>
      <w:r>
        <w:rPr>
          <w:spacing w:val="-2"/>
          <w:sz w:val="20"/>
        </w:rPr>
        <w:t xml:space="preserve"> </w:t>
      </w:r>
      <w:r>
        <w:rPr>
          <w:sz w:val="20"/>
        </w:rPr>
        <w:t>de</w:t>
      </w:r>
      <w:r>
        <w:rPr>
          <w:spacing w:val="-3"/>
          <w:sz w:val="20"/>
        </w:rPr>
        <w:t xml:space="preserve"> </w:t>
      </w:r>
      <w:r>
        <w:rPr>
          <w:sz w:val="20"/>
        </w:rPr>
        <w:t>servicios,</w:t>
      </w:r>
      <w:r>
        <w:rPr>
          <w:spacing w:val="-2"/>
          <w:sz w:val="20"/>
        </w:rPr>
        <w:t xml:space="preserve"> </w:t>
      </w:r>
      <w:r>
        <w:rPr>
          <w:sz w:val="20"/>
        </w:rPr>
        <w:t>el</w:t>
      </w:r>
      <w:r>
        <w:rPr>
          <w:spacing w:val="-2"/>
          <w:sz w:val="20"/>
        </w:rPr>
        <w:t xml:space="preserve"> </w:t>
      </w:r>
      <w:r>
        <w:rPr>
          <w:sz w:val="20"/>
        </w:rPr>
        <w:t>informe</w:t>
      </w:r>
      <w:r>
        <w:rPr>
          <w:spacing w:val="-3"/>
          <w:sz w:val="20"/>
        </w:rPr>
        <w:t xml:space="preserve"> </w:t>
      </w:r>
      <w:r>
        <w:rPr>
          <w:sz w:val="20"/>
        </w:rPr>
        <w:t>de</w:t>
      </w:r>
      <w:r>
        <w:rPr>
          <w:spacing w:val="-2"/>
          <w:sz w:val="20"/>
        </w:rPr>
        <w:t xml:space="preserve"> </w:t>
      </w:r>
      <w:r>
        <w:rPr>
          <w:sz w:val="20"/>
        </w:rPr>
        <w:t>insuficiencia</w:t>
      </w:r>
      <w:r>
        <w:rPr>
          <w:spacing w:val="-2"/>
          <w:sz w:val="20"/>
        </w:rPr>
        <w:t xml:space="preserve"> </w:t>
      </w:r>
      <w:r>
        <w:rPr>
          <w:sz w:val="20"/>
        </w:rPr>
        <w:t>de</w:t>
      </w:r>
      <w:r>
        <w:rPr>
          <w:spacing w:val="-2"/>
          <w:sz w:val="20"/>
        </w:rPr>
        <w:t xml:space="preserve"> medios.</w:t>
      </w:r>
    </w:p>
    <w:p w:rsidR="0092635B" w:rsidRDefault="00000000">
      <w:pPr>
        <w:pStyle w:val="Prrafodelista"/>
        <w:numPr>
          <w:ilvl w:val="1"/>
          <w:numId w:val="254"/>
        </w:numPr>
        <w:tabs>
          <w:tab w:val="left" w:pos="1679"/>
        </w:tabs>
        <w:spacing w:before="10"/>
        <w:ind w:right="0" w:hanging="233"/>
        <w:jc w:val="both"/>
        <w:rPr>
          <w:sz w:val="20"/>
        </w:rPr>
      </w:pPr>
      <w:r>
        <w:rPr>
          <w:sz w:val="20"/>
        </w:rPr>
        <w:t>La</w:t>
      </w:r>
      <w:r>
        <w:rPr>
          <w:spacing w:val="-2"/>
          <w:sz w:val="20"/>
        </w:rPr>
        <w:t xml:space="preserve"> </w:t>
      </w:r>
      <w:r>
        <w:rPr>
          <w:sz w:val="20"/>
        </w:rPr>
        <w:t>decisión</w:t>
      </w:r>
      <w:r>
        <w:rPr>
          <w:spacing w:val="-2"/>
          <w:sz w:val="20"/>
        </w:rPr>
        <w:t xml:space="preserve"> </w:t>
      </w:r>
      <w:r>
        <w:rPr>
          <w:sz w:val="20"/>
        </w:rPr>
        <w:t>de</w:t>
      </w:r>
      <w:r>
        <w:rPr>
          <w:spacing w:val="-1"/>
          <w:sz w:val="20"/>
        </w:rPr>
        <w:t xml:space="preserve"> </w:t>
      </w:r>
      <w:r>
        <w:rPr>
          <w:sz w:val="20"/>
        </w:rPr>
        <w:t>no</w:t>
      </w:r>
      <w:r>
        <w:rPr>
          <w:spacing w:val="-2"/>
          <w:sz w:val="20"/>
        </w:rPr>
        <w:t xml:space="preserve"> </w:t>
      </w:r>
      <w:r>
        <w:rPr>
          <w:sz w:val="20"/>
        </w:rPr>
        <w:t>dividir</w:t>
      </w:r>
      <w:r>
        <w:rPr>
          <w:spacing w:val="-2"/>
          <w:sz w:val="20"/>
        </w:rPr>
        <w:t xml:space="preserve"> </w:t>
      </w:r>
      <w:r>
        <w:rPr>
          <w:sz w:val="20"/>
        </w:rPr>
        <w:t>en</w:t>
      </w:r>
      <w:r>
        <w:rPr>
          <w:spacing w:val="-1"/>
          <w:sz w:val="20"/>
        </w:rPr>
        <w:t xml:space="preserve"> </w:t>
      </w:r>
      <w:r>
        <w:rPr>
          <w:sz w:val="20"/>
        </w:rPr>
        <w:t>lotes</w:t>
      </w:r>
      <w:r>
        <w:rPr>
          <w:spacing w:val="-2"/>
          <w:sz w:val="20"/>
        </w:rPr>
        <w:t xml:space="preserve"> </w:t>
      </w:r>
      <w:r>
        <w:rPr>
          <w:sz w:val="20"/>
        </w:rPr>
        <w:t>el</w:t>
      </w:r>
      <w:r>
        <w:rPr>
          <w:spacing w:val="-1"/>
          <w:sz w:val="20"/>
        </w:rPr>
        <w:t xml:space="preserve"> </w:t>
      </w:r>
      <w:r>
        <w:rPr>
          <w:sz w:val="20"/>
        </w:rPr>
        <w:t>objeto</w:t>
      </w:r>
      <w:r>
        <w:rPr>
          <w:spacing w:val="-2"/>
          <w:sz w:val="20"/>
        </w:rPr>
        <w:t xml:space="preserve"> </w:t>
      </w:r>
      <w:r>
        <w:rPr>
          <w:sz w:val="20"/>
        </w:rPr>
        <w:t>del</w:t>
      </w:r>
      <w:r>
        <w:rPr>
          <w:spacing w:val="-2"/>
          <w:sz w:val="20"/>
        </w:rPr>
        <w:t xml:space="preserve"> </w:t>
      </w:r>
      <w:r>
        <w:rPr>
          <w:sz w:val="20"/>
        </w:rPr>
        <w:t>contrato,</w:t>
      </w:r>
      <w:r>
        <w:rPr>
          <w:spacing w:val="-1"/>
          <w:sz w:val="20"/>
        </w:rPr>
        <w:t xml:space="preserve"> </w:t>
      </w:r>
      <w:r>
        <w:rPr>
          <w:sz w:val="20"/>
        </w:rPr>
        <w:t>en</w:t>
      </w:r>
      <w:r>
        <w:rPr>
          <w:spacing w:val="-2"/>
          <w:sz w:val="20"/>
        </w:rPr>
        <w:t xml:space="preserve"> </w:t>
      </w:r>
      <w:r>
        <w:rPr>
          <w:sz w:val="20"/>
        </w:rPr>
        <w:t>su</w:t>
      </w:r>
      <w:r>
        <w:rPr>
          <w:spacing w:val="-1"/>
          <w:sz w:val="20"/>
        </w:rPr>
        <w:t xml:space="preserve"> </w:t>
      </w:r>
      <w:r>
        <w:rPr>
          <w:spacing w:val="-2"/>
          <w:sz w:val="20"/>
        </w:rPr>
        <w:t>caso.</w:t>
      </w:r>
    </w:p>
    <w:p w:rsidR="0092635B" w:rsidRDefault="00000000">
      <w:pPr>
        <w:pStyle w:val="Prrafodelista"/>
        <w:numPr>
          <w:ilvl w:val="0"/>
          <w:numId w:val="254"/>
        </w:numPr>
        <w:tabs>
          <w:tab w:val="left" w:pos="1758"/>
        </w:tabs>
        <w:spacing w:before="130" w:line="249" w:lineRule="auto"/>
        <w:ind w:firstLine="340"/>
        <w:jc w:val="both"/>
        <w:rPr>
          <w:sz w:val="20"/>
        </w:rPr>
      </w:pPr>
      <w:r>
        <w:rPr>
          <w:sz w:val="20"/>
        </w:rPr>
        <w:t>Si la financiación del contrato ha de realizarse con aportaciones de distinta procedencia, aunque se trate de órganos de una misma Administración pública, se tramitará un solo expediente por el órgano de contratación al que corresponda la adjudicación del contrato, debiendo acreditarse en aquel la plena disponibilidad de todas las aportaciones y determinarse el orden de su abono, con inclusión de una garantía para su efectividad.</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203" w:name="Artículo_117._Aprobación_del_expediente."/>
      <w:bookmarkEnd w:id="203"/>
      <w:r>
        <w:rPr>
          <w:rFonts w:ascii="Arial" w:hAnsi="Arial"/>
          <w:b/>
          <w:sz w:val="20"/>
        </w:rPr>
        <w:t>Artículo</w:t>
      </w:r>
      <w:r>
        <w:rPr>
          <w:rFonts w:ascii="Arial" w:hAnsi="Arial"/>
          <w:b/>
          <w:spacing w:val="-5"/>
          <w:sz w:val="20"/>
        </w:rPr>
        <w:t xml:space="preserve"> </w:t>
      </w:r>
      <w:r>
        <w:rPr>
          <w:rFonts w:ascii="Arial" w:hAnsi="Arial"/>
          <w:b/>
          <w:sz w:val="20"/>
        </w:rPr>
        <w:t>117.</w:t>
      </w:r>
      <w:r>
        <w:rPr>
          <w:rFonts w:ascii="Arial" w:hAnsi="Arial"/>
          <w:b/>
          <w:spacing w:val="45"/>
          <w:sz w:val="20"/>
        </w:rPr>
        <w:t xml:space="preserve"> </w:t>
      </w:r>
      <w:r>
        <w:rPr>
          <w:rFonts w:ascii="Arial" w:hAnsi="Arial"/>
          <w:i/>
          <w:sz w:val="20"/>
        </w:rPr>
        <w:t>Aprobación</w:t>
      </w:r>
      <w:r>
        <w:rPr>
          <w:rFonts w:ascii="Arial" w:hAnsi="Arial"/>
          <w:i/>
          <w:spacing w:val="-5"/>
          <w:sz w:val="20"/>
        </w:rPr>
        <w:t xml:space="preserve"> </w:t>
      </w:r>
      <w:r>
        <w:rPr>
          <w:rFonts w:ascii="Arial" w:hAnsi="Arial"/>
          <w:i/>
          <w:sz w:val="20"/>
        </w:rPr>
        <w:t>del</w:t>
      </w:r>
      <w:r>
        <w:rPr>
          <w:rFonts w:ascii="Arial" w:hAnsi="Arial"/>
          <w:i/>
          <w:spacing w:val="-4"/>
          <w:sz w:val="20"/>
        </w:rPr>
        <w:t xml:space="preserve"> </w:t>
      </w:r>
      <w:r>
        <w:rPr>
          <w:rFonts w:ascii="Arial" w:hAnsi="Arial"/>
          <w:i/>
          <w:spacing w:val="-2"/>
          <w:sz w:val="20"/>
        </w:rPr>
        <w:t>expediente.</w:t>
      </w:r>
    </w:p>
    <w:p w:rsidR="0092635B" w:rsidRDefault="00000000">
      <w:pPr>
        <w:pStyle w:val="Prrafodelista"/>
        <w:numPr>
          <w:ilvl w:val="0"/>
          <w:numId w:val="253"/>
        </w:numPr>
        <w:tabs>
          <w:tab w:val="left" w:pos="1721"/>
        </w:tabs>
        <w:spacing w:before="123" w:line="249" w:lineRule="auto"/>
        <w:ind w:right="1105" w:firstLine="340"/>
        <w:jc w:val="both"/>
        <w:rPr>
          <w:sz w:val="20"/>
        </w:rPr>
      </w:pPr>
      <w:r>
        <w:rPr>
          <w:sz w:val="20"/>
        </w:rPr>
        <w:t>Completado el expediente de contratación, se dictará resolución motivada por el órgano de contratación aprobando el mismo y disponiendo la apertura del procedimiento de adjudicación.</w:t>
      </w:r>
      <w:r>
        <w:rPr>
          <w:spacing w:val="66"/>
          <w:sz w:val="20"/>
        </w:rPr>
        <w:t xml:space="preserve"> </w:t>
      </w:r>
      <w:r>
        <w:rPr>
          <w:sz w:val="20"/>
        </w:rPr>
        <w:t>Dicha</w:t>
      </w:r>
      <w:r>
        <w:rPr>
          <w:spacing w:val="66"/>
          <w:sz w:val="20"/>
        </w:rPr>
        <w:t xml:space="preserve"> </w:t>
      </w:r>
      <w:r>
        <w:rPr>
          <w:sz w:val="20"/>
        </w:rPr>
        <w:t>resolución</w:t>
      </w:r>
      <w:r>
        <w:rPr>
          <w:spacing w:val="66"/>
          <w:sz w:val="20"/>
        </w:rPr>
        <w:t xml:space="preserve"> </w:t>
      </w:r>
      <w:r>
        <w:rPr>
          <w:sz w:val="20"/>
        </w:rPr>
        <w:t>implicará</w:t>
      </w:r>
      <w:r>
        <w:rPr>
          <w:spacing w:val="66"/>
          <w:sz w:val="20"/>
        </w:rPr>
        <w:t xml:space="preserve"> </w:t>
      </w:r>
      <w:r>
        <w:rPr>
          <w:sz w:val="20"/>
        </w:rPr>
        <w:t>también</w:t>
      </w:r>
      <w:r>
        <w:rPr>
          <w:spacing w:val="66"/>
          <w:sz w:val="20"/>
        </w:rPr>
        <w:t xml:space="preserve"> </w:t>
      </w:r>
      <w:r>
        <w:rPr>
          <w:sz w:val="20"/>
        </w:rPr>
        <w:t>la</w:t>
      </w:r>
      <w:r>
        <w:rPr>
          <w:spacing w:val="66"/>
          <w:sz w:val="20"/>
        </w:rPr>
        <w:t xml:space="preserve"> </w:t>
      </w:r>
      <w:r>
        <w:rPr>
          <w:sz w:val="20"/>
        </w:rPr>
        <w:t>aprobación</w:t>
      </w:r>
      <w:r>
        <w:rPr>
          <w:spacing w:val="66"/>
          <w:sz w:val="20"/>
        </w:rPr>
        <w:t xml:space="preserve"> </w:t>
      </w:r>
      <w:r>
        <w:rPr>
          <w:sz w:val="20"/>
        </w:rPr>
        <w:t>del</w:t>
      </w:r>
      <w:r>
        <w:rPr>
          <w:spacing w:val="66"/>
          <w:sz w:val="20"/>
        </w:rPr>
        <w:t xml:space="preserve"> </w:t>
      </w:r>
      <w:r>
        <w:rPr>
          <w:sz w:val="20"/>
        </w:rPr>
        <w:t>gasto,</w:t>
      </w:r>
      <w:r>
        <w:rPr>
          <w:spacing w:val="66"/>
          <w:sz w:val="20"/>
        </w:rPr>
        <w:t xml:space="preserve"> </w:t>
      </w:r>
      <w:r>
        <w:rPr>
          <w:sz w:val="20"/>
        </w:rPr>
        <w:t>salvo</w:t>
      </w:r>
      <w:r>
        <w:rPr>
          <w:spacing w:val="66"/>
          <w:sz w:val="20"/>
        </w:rPr>
        <w:t xml:space="preserve"> </w:t>
      </w:r>
      <w:r>
        <w:rPr>
          <w:sz w:val="20"/>
        </w:rPr>
        <w:t>en</w:t>
      </w:r>
      <w:r>
        <w:rPr>
          <w:spacing w:val="66"/>
          <w:sz w:val="20"/>
        </w:rPr>
        <w:t xml:space="preserve"> </w:t>
      </w:r>
      <w:r>
        <w:rPr>
          <w:sz w:val="20"/>
        </w:rPr>
        <w:t>el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supuesto excepcional de que el presupuesto no hubiera podido ser establecido previamente, o que las normas de desconcentración o el acto de delegación hubiesen establecido lo contrario, en cuyo caso deberá recabarse la aprobación del órgano competente. Esta resolución deberá ser objeto de publicación en el perfil de contratante.</w:t>
      </w:r>
    </w:p>
    <w:p w:rsidR="0092635B" w:rsidRDefault="00000000">
      <w:pPr>
        <w:pStyle w:val="Prrafodelista"/>
        <w:numPr>
          <w:ilvl w:val="0"/>
          <w:numId w:val="253"/>
        </w:numPr>
        <w:tabs>
          <w:tab w:val="left" w:pos="1731"/>
        </w:tabs>
        <w:spacing w:before="3" w:line="249" w:lineRule="auto"/>
        <w:ind w:right="1104" w:firstLine="340"/>
        <w:jc w:val="both"/>
        <w:rPr>
          <w:sz w:val="20"/>
        </w:rPr>
      </w:pPr>
      <w:r>
        <w:rPr>
          <w:sz w:val="20"/>
        </w:rPr>
        <w:t>Los expedientes de contratación podrán ultimarse incluso con la adjudicación y formalización del correspondiente contrato, aun cuando su ejecución, ya se realice en una o en varias anualidades, deba iniciarse en el ejercicio siguiente. A estos efectos podrán comprometerse créditos con las limitaciones que se determinen en las normas presupuestarias de las distintas Administraciones Públicas sujetas a esta Ley.</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204" w:name="Artículo_118._Expediente_de_contratación"/>
      <w:bookmarkEnd w:id="204"/>
      <w:r>
        <w:rPr>
          <w:rFonts w:ascii="Arial" w:hAnsi="Arial"/>
          <w:b/>
          <w:sz w:val="20"/>
        </w:rPr>
        <w:t>Artículo</w:t>
      </w:r>
      <w:r>
        <w:rPr>
          <w:rFonts w:ascii="Arial" w:hAnsi="Arial"/>
          <w:b/>
          <w:spacing w:val="-5"/>
          <w:sz w:val="20"/>
        </w:rPr>
        <w:t xml:space="preserve"> </w:t>
      </w:r>
      <w:r>
        <w:rPr>
          <w:rFonts w:ascii="Arial" w:hAnsi="Arial"/>
          <w:b/>
          <w:sz w:val="20"/>
        </w:rPr>
        <w:t>118.</w:t>
      </w:r>
      <w:r>
        <w:rPr>
          <w:rFonts w:ascii="Arial" w:hAnsi="Arial"/>
          <w:b/>
          <w:spacing w:val="46"/>
          <w:sz w:val="20"/>
        </w:rPr>
        <w:t xml:space="preserve"> </w:t>
      </w:r>
      <w:r>
        <w:rPr>
          <w:rFonts w:ascii="Arial" w:hAnsi="Arial"/>
          <w:i/>
          <w:sz w:val="20"/>
        </w:rPr>
        <w:t>Expediente</w:t>
      </w:r>
      <w:r>
        <w:rPr>
          <w:rFonts w:ascii="Arial" w:hAnsi="Arial"/>
          <w:i/>
          <w:spacing w:val="-4"/>
          <w:sz w:val="20"/>
        </w:rPr>
        <w:t xml:space="preserve"> </w:t>
      </w:r>
      <w:r>
        <w:rPr>
          <w:rFonts w:ascii="Arial" w:hAnsi="Arial"/>
          <w:i/>
          <w:sz w:val="20"/>
        </w:rPr>
        <w:t>de</w:t>
      </w:r>
      <w:r>
        <w:rPr>
          <w:rFonts w:ascii="Arial" w:hAnsi="Arial"/>
          <w:i/>
          <w:spacing w:val="-5"/>
          <w:sz w:val="20"/>
        </w:rPr>
        <w:t xml:space="preserve"> </w:t>
      </w:r>
      <w:r>
        <w:rPr>
          <w:rFonts w:ascii="Arial" w:hAnsi="Arial"/>
          <w:i/>
          <w:sz w:val="20"/>
        </w:rPr>
        <w:t>contratación</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contratos</w:t>
      </w:r>
      <w:r>
        <w:rPr>
          <w:rFonts w:ascii="Arial" w:hAnsi="Arial"/>
          <w:i/>
          <w:spacing w:val="-4"/>
          <w:sz w:val="20"/>
        </w:rPr>
        <w:t xml:space="preserve"> </w:t>
      </w:r>
      <w:r>
        <w:rPr>
          <w:rFonts w:ascii="Arial" w:hAnsi="Arial"/>
          <w:i/>
          <w:spacing w:val="-2"/>
          <w:sz w:val="20"/>
        </w:rPr>
        <w:t>menores.</w:t>
      </w:r>
    </w:p>
    <w:p w:rsidR="0092635B" w:rsidRDefault="00000000">
      <w:pPr>
        <w:pStyle w:val="Prrafodelista"/>
        <w:numPr>
          <w:ilvl w:val="0"/>
          <w:numId w:val="252"/>
        </w:numPr>
        <w:tabs>
          <w:tab w:val="left" w:pos="1700"/>
        </w:tabs>
        <w:spacing w:before="123" w:line="249" w:lineRule="auto"/>
        <w:ind w:right="1104" w:firstLine="340"/>
        <w:jc w:val="both"/>
        <w:rPr>
          <w:sz w:val="20"/>
        </w:rPr>
      </w:pPr>
      <w:r>
        <w:rPr>
          <w:sz w:val="20"/>
        </w:rPr>
        <w:t>Se consideran contratos menores los contratos de valor estimado inferior a 40.000 euros, cuando se trate de contratos de obras, o a 15.000 euros, cuando se trate de contratos de suministro o de servicios, sin perjuicio de lo dispuesto en el artículo 229 en relación con las obras, servicios y suministros centralizados en el ámbito estatal.</w:t>
      </w:r>
    </w:p>
    <w:p w:rsidR="0092635B" w:rsidRDefault="00000000">
      <w:pPr>
        <w:pStyle w:val="Prrafodelista"/>
        <w:numPr>
          <w:ilvl w:val="0"/>
          <w:numId w:val="252"/>
        </w:numPr>
        <w:tabs>
          <w:tab w:val="left" w:pos="1720"/>
        </w:tabs>
        <w:spacing w:before="4" w:line="249" w:lineRule="auto"/>
        <w:ind w:right="1104" w:firstLine="340"/>
        <w:jc w:val="both"/>
        <w:rPr>
          <w:sz w:val="20"/>
        </w:rPr>
      </w:pPr>
      <w:r>
        <w:rPr>
          <w:sz w:val="20"/>
        </w:rPr>
        <w:t>En los contratos menores la tramitación del expediente exigirá la emisión de un informe del órgano de contratación justificando de manera motivada la necesidad del</w:t>
      </w:r>
      <w:r>
        <w:rPr>
          <w:spacing w:val="40"/>
          <w:sz w:val="20"/>
        </w:rPr>
        <w:t xml:space="preserve"> </w:t>
      </w:r>
      <w:r>
        <w:rPr>
          <w:sz w:val="20"/>
        </w:rPr>
        <w:t>contrato y que no se está alterando su objeto con el fin de evitar la aplicación de los</w:t>
      </w:r>
      <w:r>
        <w:rPr>
          <w:spacing w:val="40"/>
          <w:sz w:val="20"/>
        </w:rPr>
        <w:t xml:space="preserve"> </w:t>
      </w:r>
      <w:r>
        <w:rPr>
          <w:sz w:val="20"/>
        </w:rPr>
        <w:t>umbrales descritos en el apartado anterior.</w:t>
      </w:r>
    </w:p>
    <w:p w:rsidR="0092635B" w:rsidRDefault="00000000">
      <w:pPr>
        <w:pStyle w:val="Prrafodelista"/>
        <w:numPr>
          <w:ilvl w:val="0"/>
          <w:numId w:val="252"/>
        </w:numPr>
        <w:tabs>
          <w:tab w:val="left" w:pos="1712"/>
        </w:tabs>
        <w:spacing w:before="3" w:line="249" w:lineRule="auto"/>
        <w:ind w:right="1104" w:firstLine="340"/>
        <w:jc w:val="both"/>
        <w:rPr>
          <w:sz w:val="20"/>
        </w:rPr>
      </w:pPr>
      <w:r>
        <w:rPr>
          <w:sz w:val="20"/>
        </w:rPr>
        <w:t>Asimismo se requerirá la aprobación del gasto y la incorporación al mismo de la factura correspondiente, que deberá reunir los requisitos que las normas de desarrollo de esta Ley establezcan.</w:t>
      </w:r>
    </w:p>
    <w:p w:rsidR="0092635B" w:rsidRDefault="00000000">
      <w:pPr>
        <w:pStyle w:val="Prrafodelista"/>
        <w:numPr>
          <w:ilvl w:val="0"/>
          <w:numId w:val="252"/>
        </w:numPr>
        <w:tabs>
          <w:tab w:val="left" w:pos="1669"/>
        </w:tabs>
        <w:spacing w:line="249" w:lineRule="auto"/>
        <w:ind w:right="1102" w:firstLine="340"/>
        <w:jc w:val="both"/>
        <w:rPr>
          <w:sz w:val="20"/>
        </w:rPr>
      </w:pPr>
      <w:r>
        <w:rPr>
          <w:sz w:val="20"/>
        </w:rPr>
        <w:t>En</w:t>
      </w:r>
      <w:r>
        <w:rPr>
          <w:spacing w:val="-1"/>
          <w:sz w:val="20"/>
        </w:rPr>
        <w:t xml:space="preserve"> </w:t>
      </w:r>
      <w:r>
        <w:rPr>
          <w:sz w:val="20"/>
        </w:rPr>
        <w:t>el</w:t>
      </w:r>
      <w:r>
        <w:rPr>
          <w:spacing w:val="-1"/>
          <w:sz w:val="20"/>
        </w:rPr>
        <w:t xml:space="preserve"> </w:t>
      </w:r>
      <w:r>
        <w:rPr>
          <w:sz w:val="20"/>
        </w:rPr>
        <w:t>contrato</w:t>
      </w:r>
      <w:r>
        <w:rPr>
          <w:spacing w:val="-1"/>
          <w:sz w:val="20"/>
        </w:rPr>
        <w:t xml:space="preserve"> </w:t>
      </w:r>
      <w:r>
        <w:rPr>
          <w:sz w:val="20"/>
        </w:rPr>
        <w:t>menor</w:t>
      </w:r>
      <w:r>
        <w:rPr>
          <w:spacing w:val="-1"/>
          <w:sz w:val="20"/>
        </w:rPr>
        <w:t xml:space="preserve"> </w:t>
      </w:r>
      <w:r>
        <w:rPr>
          <w:sz w:val="20"/>
        </w:rPr>
        <w:t>de</w:t>
      </w:r>
      <w:r>
        <w:rPr>
          <w:spacing w:val="-1"/>
          <w:sz w:val="20"/>
        </w:rPr>
        <w:t xml:space="preserve"> </w:t>
      </w:r>
      <w:r>
        <w:rPr>
          <w:sz w:val="20"/>
        </w:rPr>
        <w:t>obras,</w:t>
      </w:r>
      <w:r>
        <w:rPr>
          <w:spacing w:val="-1"/>
          <w:sz w:val="20"/>
        </w:rPr>
        <w:t xml:space="preserve"> </w:t>
      </w:r>
      <w:r>
        <w:rPr>
          <w:sz w:val="20"/>
        </w:rPr>
        <w:t>deberá</w:t>
      </w:r>
      <w:r>
        <w:rPr>
          <w:spacing w:val="-1"/>
          <w:sz w:val="20"/>
        </w:rPr>
        <w:t xml:space="preserve"> </w:t>
      </w:r>
      <w:r>
        <w:rPr>
          <w:sz w:val="20"/>
        </w:rPr>
        <w:t>añadirse,</w:t>
      </w:r>
      <w:r>
        <w:rPr>
          <w:spacing w:val="-1"/>
          <w:sz w:val="20"/>
        </w:rPr>
        <w:t xml:space="preserve"> </w:t>
      </w:r>
      <w:r>
        <w:rPr>
          <w:sz w:val="20"/>
        </w:rPr>
        <w:t>además,</w:t>
      </w:r>
      <w:r>
        <w:rPr>
          <w:spacing w:val="-1"/>
          <w:sz w:val="20"/>
        </w:rPr>
        <w:t xml:space="preserve"> </w:t>
      </w:r>
      <w:r>
        <w:rPr>
          <w:sz w:val="20"/>
        </w:rPr>
        <w:t>el</w:t>
      </w:r>
      <w:r>
        <w:rPr>
          <w:spacing w:val="-1"/>
          <w:sz w:val="20"/>
        </w:rPr>
        <w:t xml:space="preserve"> </w:t>
      </w:r>
      <w:r>
        <w:rPr>
          <w:sz w:val="20"/>
        </w:rPr>
        <w:t>presupuesto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 sin perjuicio de que deba existir el correspondiente proyecto cuando sea requerido por las disposiciones vigentes. Deberá igualmente solicitarse el informe de las oficinas o unidades</w:t>
      </w:r>
      <w:r>
        <w:rPr>
          <w:spacing w:val="40"/>
          <w:sz w:val="20"/>
        </w:rPr>
        <w:t xml:space="preserve"> </w:t>
      </w:r>
      <w:r>
        <w:rPr>
          <w:sz w:val="20"/>
        </w:rPr>
        <w:t>de supervisión a que se refiere el artículo 235 cuando el trabajo afecte a la estabilidad, seguridad o estanqueidad de la obra.</w:t>
      </w:r>
    </w:p>
    <w:p w:rsidR="0092635B" w:rsidRDefault="00000000">
      <w:pPr>
        <w:pStyle w:val="Prrafodelista"/>
        <w:numPr>
          <w:ilvl w:val="0"/>
          <w:numId w:val="252"/>
        </w:numPr>
        <w:tabs>
          <w:tab w:val="left" w:pos="1701"/>
        </w:tabs>
        <w:spacing w:before="4" w:line="249" w:lineRule="auto"/>
        <w:ind w:right="1104" w:firstLine="340"/>
        <w:jc w:val="both"/>
        <w:rPr>
          <w:sz w:val="20"/>
        </w:rPr>
      </w:pPr>
      <w:r>
        <w:rPr>
          <w:sz w:val="20"/>
        </w:rPr>
        <w:t>Lo dispuesto en el apartado 2.º de este artículo no será de aplicación en aquellos contratos cuyo pago se verifique a través del sistema de anticipos de caja fija u otro similar para realizar pagos menores, siempre y cuando el valor estimado del contrato no exceda de</w:t>
      </w:r>
    </w:p>
    <w:p w:rsidR="0092635B" w:rsidRDefault="00000000">
      <w:pPr>
        <w:pStyle w:val="Textoindependiente"/>
        <w:spacing w:before="3"/>
        <w:ind w:firstLine="0"/>
      </w:pPr>
      <w:r>
        <w:t>5.000</w:t>
      </w:r>
      <w:r>
        <w:rPr>
          <w:spacing w:val="-4"/>
        </w:rPr>
        <w:t xml:space="preserve"> </w:t>
      </w:r>
      <w:r>
        <w:rPr>
          <w:spacing w:val="-2"/>
        </w:rPr>
        <w:t>euros.</w:t>
      </w:r>
    </w:p>
    <w:p w:rsidR="0092635B" w:rsidRDefault="00000000">
      <w:pPr>
        <w:pStyle w:val="Prrafodelista"/>
        <w:numPr>
          <w:ilvl w:val="0"/>
          <w:numId w:val="252"/>
        </w:numPr>
        <w:tabs>
          <w:tab w:val="left" w:pos="1668"/>
        </w:tabs>
        <w:spacing w:before="10"/>
        <w:ind w:left="1668" w:right="0" w:hanging="222"/>
        <w:jc w:val="both"/>
        <w:rPr>
          <w:sz w:val="20"/>
        </w:rPr>
      </w:pPr>
      <w:r>
        <w:rPr>
          <w:sz w:val="20"/>
        </w:rPr>
        <w:t>Los</w:t>
      </w:r>
      <w:r>
        <w:rPr>
          <w:spacing w:val="-3"/>
          <w:sz w:val="20"/>
        </w:rPr>
        <w:t xml:space="preserve"> </w:t>
      </w:r>
      <w:r>
        <w:rPr>
          <w:sz w:val="20"/>
        </w:rPr>
        <w:t>contratos</w:t>
      </w:r>
      <w:r>
        <w:rPr>
          <w:spacing w:val="-3"/>
          <w:sz w:val="20"/>
        </w:rPr>
        <w:t xml:space="preserve"> </w:t>
      </w:r>
      <w:r>
        <w:rPr>
          <w:sz w:val="20"/>
        </w:rPr>
        <w:t>menores</w:t>
      </w:r>
      <w:r>
        <w:rPr>
          <w:spacing w:val="-2"/>
          <w:sz w:val="20"/>
        </w:rPr>
        <w:t xml:space="preserve"> </w:t>
      </w:r>
      <w:r>
        <w:rPr>
          <w:sz w:val="20"/>
        </w:rPr>
        <w:t>se</w:t>
      </w:r>
      <w:r>
        <w:rPr>
          <w:spacing w:val="-3"/>
          <w:sz w:val="20"/>
        </w:rPr>
        <w:t xml:space="preserve"> </w:t>
      </w:r>
      <w:r>
        <w:rPr>
          <w:sz w:val="20"/>
        </w:rPr>
        <w:t>publicarán</w:t>
      </w:r>
      <w:r>
        <w:rPr>
          <w:spacing w:val="-3"/>
          <w:sz w:val="20"/>
        </w:rPr>
        <w:t xml:space="preserve"> </w:t>
      </w:r>
      <w:r>
        <w:rPr>
          <w:sz w:val="20"/>
        </w:rPr>
        <w:t>en</w:t>
      </w:r>
      <w:r>
        <w:rPr>
          <w:spacing w:val="-2"/>
          <w:sz w:val="20"/>
        </w:rPr>
        <w:t xml:space="preserve"> </w:t>
      </w:r>
      <w:r>
        <w:rPr>
          <w:sz w:val="20"/>
        </w:rPr>
        <w:t>la</w:t>
      </w:r>
      <w:r>
        <w:rPr>
          <w:spacing w:val="-3"/>
          <w:sz w:val="20"/>
        </w:rPr>
        <w:t xml:space="preserve"> </w:t>
      </w:r>
      <w:r>
        <w:rPr>
          <w:sz w:val="20"/>
        </w:rPr>
        <w:t>forma</w:t>
      </w:r>
      <w:r>
        <w:rPr>
          <w:spacing w:val="-3"/>
          <w:sz w:val="20"/>
        </w:rPr>
        <w:t xml:space="preserve"> </w:t>
      </w:r>
      <w:r>
        <w:rPr>
          <w:sz w:val="20"/>
        </w:rPr>
        <w:t>prevista</w:t>
      </w:r>
      <w:r>
        <w:rPr>
          <w:spacing w:val="-2"/>
          <w:sz w:val="20"/>
        </w:rPr>
        <w:t xml:space="preserve"> </w:t>
      </w:r>
      <w:r>
        <w:rPr>
          <w:sz w:val="20"/>
        </w:rPr>
        <w:t>en</w:t>
      </w:r>
      <w:r>
        <w:rPr>
          <w:spacing w:val="-3"/>
          <w:sz w:val="20"/>
        </w:rPr>
        <w:t xml:space="preserve"> </w:t>
      </w:r>
      <w:r>
        <w:rPr>
          <w:sz w:val="20"/>
        </w:rPr>
        <w:t>el</w:t>
      </w:r>
      <w:r>
        <w:rPr>
          <w:spacing w:val="-3"/>
          <w:sz w:val="20"/>
        </w:rPr>
        <w:t xml:space="preserve"> </w:t>
      </w:r>
      <w:r>
        <w:rPr>
          <w:sz w:val="20"/>
        </w:rPr>
        <w:t>artículo</w:t>
      </w:r>
      <w:r>
        <w:rPr>
          <w:spacing w:val="-2"/>
          <w:sz w:val="20"/>
        </w:rPr>
        <w:t xml:space="preserve"> 63.4.</w:t>
      </w:r>
    </w:p>
    <w:p w:rsidR="0092635B" w:rsidRDefault="0092635B">
      <w:pPr>
        <w:pStyle w:val="Textoindependiente"/>
        <w:spacing w:before="6"/>
        <w:ind w:left="0" w:firstLine="0"/>
        <w:jc w:val="left"/>
      </w:pPr>
    </w:p>
    <w:p w:rsidR="0092635B" w:rsidRDefault="00000000">
      <w:pPr>
        <w:spacing w:before="1"/>
        <w:ind w:left="1106"/>
        <w:jc w:val="both"/>
        <w:rPr>
          <w:rFonts w:ascii="Arial" w:hAnsi="Arial"/>
          <w:i/>
          <w:sz w:val="20"/>
        </w:rPr>
      </w:pPr>
      <w:bookmarkStart w:id="205" w:name="Artículo_119._Tramitación_urgente_del_ex"/>
      <w:bookmarkEnd w:id="205"/>
      <w:r>
        <w:rPr>
          <w:rFonts w:ascii="Arial" w:hAnsi="Arial"/>
          <w:b/>
          <w:sz w:val="20"/>
        </w:rPr>
        <w:t>Artículo</w:t>
      </w:r>
      <w:r>
        <w:rPr>
          <w:rFonts w:ascii="Arial" w:hAnsi="Arial"/>
          <w:b/>
          <w:spacing w:val="-8"/>
          <w:sz w:val="20"/>
        </w:rPr>
        <w:t xml:space="preserve"> </w:t>
      </w:r>
      <w:r>
        <w:rPr>
          <w:rFonts w:ascii="Arial" w:hAnsi="Arial"/>
          <w:b/>
          <w:sz w:val="20"/>
        </w:rPr>
        <w:t>119.</w:t>
      </w:r>
      <w:r>
        <w:rPr>
          <w:rFonts w:ascii="Arial" w:hAnsi="Arial"/>
          <w:b/>
          <w:spacing w:val="40"/>
          <w:sz w:val="20"/>
        </w:rPr>
        <w:t xml:space="preserve"> </w:t>
      </w:r>
      <w:r>
        <w:rPr>
          <w:rFonts w:ascii="Arial" w:hAnsi="Arial"/>
          <w:i/>
          <w:sz w:val="20"/>
        </w:rPr>
        <w:t>Tramitación</w:t>
      </w:r>
      <w:r>
        <w:rPr>
          <w:rFonts w:ascii="Arial" w:hAnsi="Arial"/>
          <w:i/>
          <w:spacing w:val="-8"/>
          <w:sz w:val="20"/>
        </w:rPr>
        <w:t xml:space="preserve"> </w:t>
      </w:r>
      <w:r>
        <w:rPr>
          <w:rFonts w:ascii="Arial" w:hAnsi="Arial"/>
          <w:i/>
          <w:sz w:val="20"/>
        </w:rPr>
        <w:t>urgente</w:t>
      </w:r>
      <w:r>
        <w:rPr>
          <w:rFonts w:ascii="Arial" w:hAnsi="Arial"/>
          <w:i/>
          <w:spacing w:val="-7"/>
          <w:sz w:val="20"/>
        </w:rPr>
        <w:t xml:space="preserve"> </w:t>
      </w:r>
      <w:r>
        <w:rPr>
          <w:rFonts w:ascii="Arial" w:hAnsi="Arial"/>
          <w:i/>
          <w:sz w:val="20"/>
        </w:rPr>
        <w:t>del</w:t>
      </w:r>
      <w:r>
        <w:rPr>
          <w:rFonts w:ascii="Arial" w:hAnsi="Arial"/>
          <w:i/>
          <w:spacing w:val="-7"/>
          <w:sz w:val="20"/>
        </w:rPr>
        <w:t xml:space="preserve"> </w:t>
      </w:r>
      <w:r>
        <w:rPr>
          <w:rFonts w:ascii="Arial" w:hAnsi="Arial"/>
          <w:i/>
          <w:spacing w:val="-2"/>
          <w:sz w:val="20"/>
        </w:rPr>
        <w:t>expediente.</w:t>
      </w:r>
    </w:p>
    <w:p w:rsidR="0092635B" w:rsidRDefault="00000000">
      <w:pPr>
        <w:pStyle w:val="Prrafodelista"/>
        <w:numPr>
          <w:ilvl w:val="0"/>
          <w:numId w:val="251"/>
        </w:numPr>
        <w:tabs>
          <w:tab w:val="left" w:pos="1719"/>
        </w:tabs>
        <w:spacing w:before="123" w:line="249" w:lineRule="auto"/>
        <w:ind w:right="1104" w:firstLine="340"/>
        <w:jc w:val="both"/>
        <w:rPr>
          <w:sz w:val="20"/>
        </w:rPr>
      </w:pPr>
      <w:r>
        <w:rPr>
          <w:sz w:val="20"/>
        </w:rPr>
        <w:t xml:space="preserve">Podrán ser objeto de tramitación urgente los expedientes correspondientes a los contratos cuya celebración responda a una necesidad inaplazable o cuya adjudicación sea preciso acelerar por razones de interés público. A tales efectos el expediente deberá contener la declaración de urgencia hecha por el órgano de contratación, debidamente </w:t>
      </w:r>
      <w:r>
        <w:rPr>
          <w:spacing w:val="-2"/>
          <w:sz w:val="20"/>
        </w:rPr>
        <w:t>motivada.</w:t>
      </w:r>
    </w:p>
    <w:p w:rsidR="0092635B" w:rsidRDefault="00000000">
      <w:pPr>
        <w:pStyle w:val="Prrafodelista"/>
        <w:numPr>
          <w:ilvl w:val="0"/>
          <w:numId w:val="251"/>
        </w:numPr>
        <w:tabs>
          <w:tab w:val="left" w:pos="1784"/>
        </w:tabs>
        <w:spacing w:before="4" w:line="249" w:lineRule="auto"/>
        <w:ind w:right="1105" w:firstLine="340"/>
        <w:jc w:val="both"/>
        <w:rPr>
          <w:sz w:val="20"/>
        </w:rPr>
      </w:pPr>
      <w:r>
        <w:rPr>
          <w:sz w:val="20"/>
        </w:rPr>
        <w:t>Los expedientes calificados de urgentes se tramitarán siguiendo el mismo procedimiento que los ordinarios, con las siguientes especialidades:</w:t>
      </w:r>
    </w:p>
    <w:p w:rsidR="0092635B" w:rsidRDefault="00000000">
      <w:pPr>
        <w:pStyle w:val="Prrafodelista"/>
        <w:numPr>
          <w:ilvl w:val="1"/>
          <w:numId w:val="251"/>
        </w:numPr>
        <w:tabs>
          <w:tab w:val="left" w:pos="1701"/>
        </w:tabs>
        <w:spacing w:before="122" w:line="249" w:lineRule="auto"/>
        <w:ind w:firstLine="340"/>
        <w:jc w:val="both"/>
        <w:rPr>
          <w:sz w:val="20"/>
        </w:rPr>
      </w:pPr>
      <w:r>
        <w:rPr>
          <w:sz w:val="20"/>
        </w:rPr>
        <w:t>Los expedientes gozarán de preferencia para su despacho por los distintos órganos que intervengan en la tramitación, que dispondrán de un plazo de cinco días para emitir los respectivos informes o cumplimentar los trámites correspondientes.</w:t>
      </w:r>
    </w:p>
    <w:p w:rsidR="0092635B" w:rsidRDefault="00000000">
      <w:pPr>
        <w:pStyle w:val="Textoindependiente"/>
        <w:spacing w:line="249" w:lineRule="auto"/>
        <w:ind w:right="1103"/>
      </w:pPr>
      <w:r>
        <w:t>Cuando la complejidad del expediente o cualquier otra causa igualmente justificada impida cumplir el plazo antes indicado, los órganos que deban evacuar el trámite lo pondrán en conocimiento del órgano de contratación que hubiese declarado la urgencia. En tal caso</w:t>
      </w:r>
      <w:r>
        <w:rPr>
          <w:spacing w:val="40"/>
        </w:rPr>
        <w:t xml:space="preserve"> </w:t>
      </w:r>
      <w:r>
        <w:t>el plazo quedará prorrogado hasta diez días.</w:t>
      </w:r>
    </w:p>
    <w:p w:rsidR="0092635B" w:rsidRDefault="00000000">
      <w:pPr>
        <w:pStyle w:val="Prrafodelista"/>
        <w:numPr>
          <w:ilvl w:val="1"/>
          <w:numId w:val="251"/>
        </w:numPr>
        <w:tabs>
          <w:tab w:val="left" w:pos="1706"/>
        </w:tabs>
        <w:spacing w:before="4" w:line="249" w:lineRule="auto"/>
        <w:ind w:right="1104" w:firstLine="340"/>
        <w:jc w:val="both"/>
        <w:rPr>
          <w:sz w:val="20"/>
        </w:rPr>
      </w:pPr>
      <w:r>
        <w:rPr>
          <w:sz w:val="20"/>
        </w:rPr>
        <w:t>Acordada la apertura del procedimiento de adjudicación, los plazos establecidos en esta Ley para la licitación, adjudicación y formalización del contrato se reducirán a la mitad, salvo los siguientes:</w:t>
      </w:r>
    </w:p>
    <w:p w:rsidR="0092635B" w:rsidRDefault="00000000">
      <w:pPr>
        <w:pStyle w:val="Prrafodelista"/>
        <w:numPr>
          <w:ilvl w:val="2"/>
          <w:numId w:val="251"/>
        </w:numPr>
        <w:tabs>
          <w:tab w:val="left" w:pos="1610"/>
        </w:tabs>
        <w:spacing w:before="122" w:line="249" w:lineRule="auto"/>
        <w:ind w:right="1106" w:firstLine="340"/>
        <w:jc w:val="both"/>
        <w:rPr>
          <w:sz w:val="20"/>
        </w:rPr>
      </w:pPr>
      <w:r>
        <w:rPr>
          <w:sz w:val="20"/>
        </w:rPr>
        <w:t>º El plazo de quince días hábiles establecido en el apartado 3 del artículo 153, como período de espera antes de la formalización del contrato.</w:t>
      </w:r>
    </w:p>
    <w:p w:rsidR="0092635B" w:rsidRDefault="00000000">
      <w:pPr>
        <w:pStyle w:val="Prrafodelista"/>
        <w:numPr>
          <w:ilvl w:val="2"/>
          <w:numId w:val="251"/>
        </w:numPr>
        <w:tabs>
          <w:tab w:val="left" w:pos="1610"/>
        </w:tabs>
        <w:spacing w:line="249" w:lineRule="auto"/>
        <w:ind w:right="1104" w:firstLine="340"/>
        <w:jc w:val="both"/>
        <w:rPr>
          <w:sz w:val="20"/>
        </w:rPr>
      </w:pPr>
      <w:r>
        <w:rPr>
          <w:sz w:val="20"/>
        </w:rPr>
        <w:t>º El plazo de presentación de proposiciones en el procedimiento abierto en los contratos de obras, suministros y servicios sujetos a regulación armonizada, que se podrá reducir de conformidad con lo indicado en la letra b) del apartado 3) del artículo 156.</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2"/>
          <w:numId w:val="251"/>
        </w:numPr>
        <w:tabs>
          <w:tab w:val="left" w:pos="1610"/>
        </w:tabs>
        <w:spacing w:before="1" w:line="249" w:lineRule="auto"/>
        <w:ind w:firstLine="340"/>
        <w:jc w:val="both"/>
        <w:rPr>
          <w:sz w:val="20"/>
        </w:rPr>
      </w:pPr>
      <w:r>
        <w:rPr>
          <w:sz w:val="20"/>
        </w:rPr>
        <w:t>º Los plazos de presentación de solicitudes y de proposiciones en los procedimientos restringido y de licitación con negociación en los contratos de obras, suministros y servicios sujetos a regulación armonizada, que se podrán reducir según lo establecido en el segundo párrafo del apartado 1 del artículo 161 y en la letra b) del apartado 1 del artículo 164, según el caso.</w:t>
      </w:r>
    </w:p>
    <w:p w:rsidR="0092635B" w:rsidRDefault="00000000">
      <w:pPr>
        <w:pStyle w:val="Prrafodelista"/>
        <w:numPr>
          <w:ilvl w:val="2"/>
          <w:numId w:val="251"/>
        </w:numPr>
        <w:tabs>
          <w:tab w:val="left" w:pos="1610"/>
        </w:tabs>
        <w:spacing w:before="4" w:line="249" w:lineRule="auto"/>
        <w:ind w:firstLine="340"/>
        <w:jc w:val="both"/>
        <w:rPr>
          <w:sz w:val="20"/>
        </w:rPr>
      </w:pPr>
      <w:r>
        <w:rPr>
          <w:sz w:val="20"/>
        </w:rPr>
        <w:t>º Los plazos de presentación de solicitudes en los procedimientos de diálogo competitivo y de asociación para la innovación en contratos de obras, suministros y servicios sujetos a regulación armonizada, no serán susceptibles de reducirse.</w:t>
      </w:r>
    </w:p>
    <w:p w:rsidR="0092635B" w:rsidRDefault="00000000">
      <w:pPr>
        <w:pStyle w:val="Prrafodelista"/>
        <w:numPr>
          <w:ilvl w:val="2"/>
          <w:numId w:val="251"/>
        </w:numPr>
        <w:tabs>
          <w:tab w:val="left" w:pos="1610"/>
        </w:tabs>
        <w:spacing w:line="249" w:lineRule="auto"/>
        <w:ind w:firstLine="340"/>
        <w:jc w:val="both"/>
        <w:rPr>
          <w:sz w:val="20"/>
        </w:rPr>
      </w:pPr>
      <w:r>
        <w:rPr>
          <w:sz w:val="20"/>
        </w:rPr>
        <w:t>º El plazo de 6 días a más tardar antes de que finalice el plazo fijado para la presentación de ofertas, para que los servicios dependientes del órgano de contratación faciliten al candidato o licitador la información adicional solicitada, será de 4 días a más</w:t>
      </w:r>
      <w:r>
        <w:rPr>
          <w:spacing w:val="40"/>
          <w:sz w:val="20"/>
        </w:rPr>
        <w:t xml:space="preserve"> </w:t>
      </w:r>
      <w:r>
        <w:rPr>
          <w:sz w:val="20"/>
        </w:rPr>
        <w:t xml:space="preserve">tardar antes de que finalice el citado plazo en los contratos de obras, suministros y servicios sujetos a regulación armonizada siempre que se adjudiquen por procedimientos abierto y </w:t>
      </w:r>
      <w:r>
        <w:rPr>
          <w:spacing w:val="-2"/>
          <w:sz w:val="20"/>
        </w:rPr>
        <w:t>restringido.</w:t>
      </w:r>
    </w:p>
    <w:p w:rsidR="0092635B" w:rsidRDefault="00000000">
      <w:pPr>
        <w:pStyle w:val="Textoindependiente"/>
        <w:spacing w:before="5" w:line="249" w:lineRule="auto"/>
        <w:ind w:right="1103"/>
      </w:pPr>
      <w:r>
        <w:t>La reducción anterior no se aplicará a los citados contratos cuando el procedimiento de adjudicación sea uno distinto del abierto o del restringido.</w:t>
      </w:r>
    </w:p>
    <w:p w:rsidR="0092635B" w:rsidRDefault="00000000">
      <w:pPr>
        <w:pStyle w:val="Prrafodelista"/>
        <w:numPr>
          <w:ilvl w:val="2"/>
          <w:numId w:val="251"/>
        </w:numPr>
        <w:tabs>
          <w:tab w:val="left" w:pos="1610"/>
        </w:tabs>
        <w:spacing w:line="249" w:lineRule="auto"/>
        <w:ind w:right="1105" w:firstLine="340"/>
        <w:jc w:val="both"/>
        <w:rPr>
          <w:sz w:val="20"/>
        </w:rPr>
      </w:pPr>
      <w:r>
        <w:rPr>
          <w:sz w:val="20"/>
        </w:rPr>
        <w:t>º Los plazos establecidos en el artículo 159 respecto a la tramitación del procedimiento abierto simplificado, de conformidad con lo señalado en el apartado 5 de dicho artículo.</w:t>
      </w:r>
    </w:p>
    <w:p w:rsidR="0092635B" w:rsidRDefault="00000000">
      <w:pPr>
        <w:pStyle w:val="Textoindependiente"/>
        <w:spacing w:before="121" w:line="249" w:lineRule="auto"/>
        <w:ind w:right="1104"/>
      </w:pPr>
      <w:r>
        <w:t>Las reducciones de plazo establecidas en los puntos 2.º, 3.º y 5.º anteriores no se aplicarán en la adjudicación de los contratos de concesiones de obras y concesiones de servicios sujetos a regulación armonizada cualquiera que sea el procedimiento de adjudicación utilizado, no siendo los plazos a que se refieren dichos puntos, en estos contratos, susceptibles de reducción alguna.</w:t>
      </w:r>
    </w:p>
    <w:p w:rsidR="0092635B" w:rsidRDefault="00000000">
      <w:pPr>
        <w:pStyle w:val="Prrafodelista"/>
        <w:numPr>
          <w:ilvl w:val="1"/>
          <w:numId w:val="251"/>
        </w:numPr>
        <w:tabs>
          <w:tab w:val="left" w:pos="1686"/>
        </w:tabs>
        <w:spacing w:before="5" w:line="249" w:lineRule="auto"/>
        <w:ind w:right="1106" w:firstLine="340"/>
        <w:jc w:val="both"/>
        <w:rPr>
          <w:sz w:val="20"/>
        </w:rPr>
      </w:pPr>
      <w:r>
        <w:rPr>
          <w:sz w:val="20"/>
        </w:rPr>
        <w:t>El plazo de inicio de la ejecución del contrato no podrá exceder de un mes, contado desde la formalización.</w:t>
      </w:r>
    </w:p>
    <w:p w:rsidR="0092635B" w:rsidRDefault="00000000">
      <w:pPr>
        <w:spacing w:before="228"/>
        <w:ind w:left="1106"/>
        <w:rPr>
          <w:rFonts w:ascii="Arial" w:hAnsi="Arial"/>
          <w:i/>
          <w:sz w:val="20"/>
        </w:rPr>
      </w:pPr>
      <w:bookmarkStart w:id="206" w:name="Artículo_120._Tramitación_de_emergencia."/>
      <w:bookmarkEnd w:id="206"/>
      <w:r>
        <w:rPr>
          <w:rFonts w:ascii="Arial" w:hAnsi="Arial"/>
          <w:b/>
          <w:sz w:val="20"/>
        </w:rPr>
        <w:t>Artículo</w:t>
      </w:r>
      <w:r>
        <w:rPr>
          <w:rFonts w:ascii="Arial" w:hAnsi="Arial"/>
          <w:b/>
          <w:spacing w:val="-6"/>
          <w:sz w:val="20"/>
        </w:rPr>
        <w:t xml:space="preserve"> </w:t>
      </w:r>
      <w:r>
        <w:rPr>
          <w:rFonts w:ascii="Arial" w:hAnsi="Arial"/>
          <w:b/>
          <w:sz w:val="20"/>
        </w:rPr>
        <w:t>120.</w:t>
      </w:r>
      <w:r>
        <w:rPr>
          <w:rFonts w:ascii="Arial" w:hAnsi="Arial"/>
          <w:b/>
          <w:spacing w:val="45"/>
          <w:sz w:val="20"/>
        </w:rPr>
        <w:t xml:space="preserve"> </w:t>
      </w:r>
      <w:r>
        <w:rPr>
          <w:rFonts w:ascii="Arial" w:hAnsi="Arial"/>
          <w:i/>
          <w:sz w:val="20"/>
        </w:rPr>
        <w:t>Tramitación</w:t>
      </w:r>
      <w:r>
        <w:rPr>
          <w:rFonts w:ascii="Arial" w:hAnsi="Arial"/>
          <w:i/>
          <w:spacing w:val="-5"/>
          <w:sz w:val="20"/>
        </w:rPr>
        <w:t xml:space="preserve"> </w:t>
      </w:r>
      <w:r>
        <w:rPr>
          <w:rFonts w:ascii="Arial" w:hAnsi="Arial"/>
          <w:i/>
          <w:sz w:val="20"/>
        </w:rPr>
        <w:t>de</w:t>
      </w:r>
      <w:r>
        <w:rPr>
          <w:rFonts w:ascii="Arial" w:hAnsi="Arial"/>
          <w:i/>
          <w:spacing w:val="-5"/>
          <w:sz w:val="20"/>
        </w:rPr>
        <w:t xml:space="preserve"> </w:t>
      </w:r>
      <w:r>
        <w:rPr>
          <w:rFonts w:ascii="Arial" w:hAnsi="Arial"/>
          <w:i/>
          <w:spacing w:val="-2"/>
          <w:sz w:val="20"/>
        </w:rPr>
        <w:t>emergencia.</w:t>
      </w:r>
    </w:p>
    <w:p w:rsidR="0092635B" w:rsidRDefault="00000000">
      <w:pPr>
        <w:pStyle w:val="Prrafodelista"/>
        <w:numPr>
          <w:ilvl w:val="0"/>
          <w:numId w:val="250"/>
        </w:numPr>
        <w:tabs>
          <w:tab w:val="left" w:pos="1743"/>
        </w:tabs>
        <w:spacing w:before="123" w:line="249" w:lineRule="auto"/>
        <w:ind w:firstLine="340"/>
        <w:jc w:val="both"/>
        <w:rPr>
          <w:sz w:val="20"/>
        </w:rPr>
      </w:pPr>
      <w:r>
        <w:rPr>
          <w:sz w:val="20"/>
        </w:rPr>
        <w:t>Cuando la Administración tenga que actuar de manera inmediata a causa de acontecimientos catastróficos, de situaciones que supongan grave peligro o de necesidades que afecten a la defensa nacional, se estará al siguiente régimen excepcional:</w:t>
      </w:r>
    </w:p>
    <w:p w:rsidR="0092635B" w:rsidRDefault="00000000">
      <w:pPr>
        <w:pStyle w:val="Prrafodelista"/>
        <w:numPr>
          <w:ilvl w:val="1"/>
          <w:numId w:val="250"/>
        </w:numPr>
        <w:tabs>
          <w:tab w:val="left" w:pos="1679"/>
        </w:tabs>
        <w:spacing w:before="123" w:line="249" w:lineRule="auto"/>
        <w:ind w:firstLine="340"/>
        <w:jc w:val="both"/>
        <w:rPr>
          <w:sz w:val="20"/>
        </w:rPr>
      </w:pPr>
      <w:r>
        <w:rPr>
          <w:sz w:val="20"/>
        </w:rPr>
        <w:t>El</w:t>
      </w:r>
      <w:r>
        <w:rPr>
          <w:spacing w:val="-2"/>
          <w:sz w:val="20"/>
        </w:rPr>
        <w:t xml:space="preserve"> </w:t>
      </w:r>
      <w:r>
        <w:rPr>
          <w:sz w:val="20"/>
        </w:rPr>
        <w:t>órgano</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sin</w:t>
      </w:r>
      <w:r>
        <w:rPr>
          <w:spacing w:val="-2"/>
          <w:sz w:val="20"/>
        </w:rPr>
        <w:t xml:space="preserve"> </w:t>
      </w:r>
      <w:r>
        <w:rPr>
          <w:sz w:val="20"/>
        </w:rPr>
        <w:t>obligación</w:t>
      </w:r>
      <w:r>
        <w:rPr>
          <w:spacing w:val="-2"/>
          <w:sz w:val="20"/>
        </w:rPr>
        <w:t xml:space="preserve"> </w:t>
      </w:r>
      <w:r>
        <w:rPr>
          <w:sz w:val="20"/>
        </w:rPr>
        <w:t>de</w:t>
      </w:r>
      <w:r>
        <w:rPr>
          <w:spacing w:val="-2"/>
          <w:sz w:val="20"/>
        </w:rPr>
        <w:t xml:space="preserve"> </w:t>
      </w:r>
      <w:r>
        <w:rPr>
          <w:sz w:val="20"/>
        </w:rPr>
        <w:t>tramitar</w:t>
      </w:r>
      <w:r>
        <w:rPr>
          <w:spacing w:val="-2"/>
          <w:sz w:val="20"/>
        </w:rPr>
        <w:t xml:space="preserve"> </w:t>
      </w:r>
      <w:r>
        <w:rPr>
          <w:sz w:val="20"/>
        </w:rPr>
        <w:t>expediente</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 xml:space="preserve">podrá ordenar la ejecución de lo necesario para remediar el acontecimiento producido o satisfacer la necesidad sobrevenida, o contratar libremente su objeto, en todo o en parte, sin sujetarse a los requisitos formales establecidos en la presente Ley, incluso el de la existencia de crédito suficiente. En caso de que no exista crédito adecuado y suficiente, una vez adoptado el acuerdo, se procederá a su dotación de conformidad con lo establecido en la Ley General </w:t>
      </w:r>
      <w:r>
        <w:rPr>
          <w:spacing w:val="-2"/>
          <w:sz w:val="20"/>
        </w:rPr>
        <w:t>Presupuestaria.</w:t>
      </w:r>
    </w:p>
    <w:p w:rsidR="0092635B" w:rsidRDefault="00000000">
      <w:pPr>
        <w:pStyle w:val="Prrafodelista"/>
        <w:numPr>
          <w:ilvl w:val="1"/>
          <w:numId w:val="250"/>
        </w:numPr>
        <w:tabs>
          <w:tab w:val="left" w:pos="1739"/>
        </w:tabs>
        <w:spacing w:before="6" w:line="249" w:lineRule="auto"/>
        <w:ind w:right="1104" w:firstLine="340"/>
        <w:jc w:val="both"/>
        <w:rPr>
          <w:sz w:val="20"/>
        </w:rPr>
      </w:pPr>
      <w:r>
        <w:rPr>
          <w:sz w:val="20"/>
        </w:rPr>
        <w:t>Si el contrato ha sido celebrado por la Administración General del Estado, sus Organismos Autónomos, Entidades Gestoras y Servicios Comunes de la Seguridad Social o demás entidades públicas estatales, se dará cuenta de dichos acuerdos al Consejo de Ministros en el plazo máximo de treinta días.</w:t>
      </w:r>
    </w:p>
    <w:p w:rsidR="0092635B" w:rsidRDefault="00000000">
      <w:pPr>
        <w:pStyle w:val="Prrafodelista"/>
        <w:numPr>
          <w:ilvl w:val="1"/>
          <w:numId w:val="250"/>
        </w:numPr>
        <w:tabs>
          <w:tab w:val="left" w:pos="1677"/>
        </w:tabs>
        <w:spacing w:before="3" w:line="249" w:lineRule="auto"/>
        <w:ind w:firstLine="340"/>
        <w:jc w:val="both"/>
        <w:rPr>
          <w:sz w:val="20"/>
        </w:rPr>
      </w:pPr>
      <w:r>
        <w:rPr>
          <w:sz w:val="20"/>
        </w:rPr>
        <w:t>El plazo de inicio de la ejecución de las prestaciones no podrá ser superior a un mes, contado desde la adopción del acuerdo previsto en la letra a). Si se excediese este plazo, la contratación de dichas prestaciones requerirá la tramitación de un procedimiento ordinario.</w:t>
      </w:r>
    </w:p>
    <w:p w:rsidR="0092635B" w:rsidRDefault="00000000">
      <w:pPr>
        <w:pStyle w:val="Prrafodelista"/>
        <w:numPr>
          <w:ilvl w:val="1"/>
          <w:numId w:val="250"/>
        </w:numPr>
        <w:tabs>
          <w:tab w:val="left" w:pos="1732"/>
        </w:tabs>
        <w:spacing w:line="249" w:lineRule="auto"/>
        <w:ind w:right="1105" w:firstLine="340"/>
        <w:jc w:val="both"/>
        <w:rPr>
          <w:sz w:val="20"/>
        </w:rPr>
      </w:pPr>
      <w:r>
        <w:rPr>
          <w:sz w:val="20"/>
        </w:rPr>
        <w:t xml:space="preserve">Ejecutadas las actuaciones objeto de este régimen excepcional, se observará lo dispuesto en esta Ley sobre cumplimiento de los contratos, recepción y liquidación de la </w:t>
      </w:r>
      <w:r>
        <w:rPr>
          <w:spacing w:val="-2"/>
          <w:sz w:val="20"/>
        </w:rPr>
        <w:t>prestación.</w:t>
      </w:r>
    </w:p>
    <w:p w:rsidR="0092635B" w:rsidRDefault="00000000">
      <w:pPr>
        <w:pStyle w:val="Textoindependiente"/>
        <w:spacing w:before="123" w:line="249" w:lineRule="auto"/>
        <w:ind w:right="1104"/>
      </w:pPr>
      <w:r>
        <w:t>En el supuesto de que el libramiento de los fondos necesarios se hubiera realizado a justificar, transcurrido el plazo establecido en la letra c) anterior, se rendirá la cuenta justificativa del mismo, con reintegro de los fondos no invertidos.</w:t>
      </w:r>
    </w:p>
    <w:p w:rsidR="0092635B" w:rsidRDefault="00000000">
      <w:pPr>
        <w:pStyle w:val="Prrafodelista"/>
        <w:numPr>
          <w:ilvl w:val="0"/>
          <w:numId w:val="250"/>
        </w:numPr>
        <w:tabs>
          <w:tab w:val="left" w:pos="1758"/>
        </w:tabs>
        <w:spacing w:line="249" w:lineRule="auto"/>
        <w:ind w:right="1105" w:firstLine="340"/>
        <w:jc w:val="both"/>
        <w:rPr>
          <w:sz w:val="20"/>
        </w:rPr>
      </w:pPr>
      <w:r>
        <w:rPr>
          <w:sz w:val="20"/>
        </w:rPr>
        <w:t>Las restantes prestaciones que sean necesarias para completar la actuación acometida por la Administración y que no tengan carácter de emergencia se contratarán con arreglo a la tramitación ordinaria regulada en esta Ley.</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207" w:name="Subsección_2.ª_Pliegos_de_cláusulas_admi"/>
      <w:bookmarkStart w:id="208" w:name="_bookmark44"/>
      <w:bookmarkEnd w:id="207"/>
      <w:bookmarkEnd w:id="208"/>
      <w:r>
        <w:t>Subsección</w:t>
      </w:r>
      <w:r>
        <w:rPr>
          <w:spacing w:val="-2"/>
        </w:rPr>
        <w:t xml:space="preserve"> </w:t>
      </w:r>
      <w:r>
        <w:t>2.ª</w:t>
      </w:r>
      <w:r>
        <w:rPr>
          <w:spacing w:val="-1"/>
        </w:rPr>
        <w:t xml:space="preserve"> </w:t>
      </w:r>
      <w:r>
        <w:t>Pliegos</w:t>
      </w:r>
      <w:r>
        <w:rPr>
          <w:spacing w:val="-2"/>
        </w:rPr>
        <w:t xml:space="preserve"> </w:t>
      </w:r>
      <w:r>
        <w:t>de</w:t>
      </w:r>
      <w:r>
        <w:rPr>
          <w:spacing w:val="-1"/>
        </w:rPr>
        <w:t xml:space="preserve"> </w:t>
      </w:r>
      <w:r>
        <w:t>cláusulas</w:t>
      </w:r>
      <w:r>
        <w:rPr>
          <w:spacing w:val="-2"/>
        </w:rPr>
        <w:t xml:space="preserve"> </w:t>
      </w:r>
      <w:r>
        <w:t>administrativas</w:t>
      </w:r>
      <w:r>
        <w:rPr>
          <w:spacing w:val="-1"/>
        </w:rPr>
        <w:t xml:space="preserve"> </w:t>
      </w:r>
      <w:r>
        <w:t>y</w:t>
      </w:r>
      <w:r>
        <w:rPr>
          <w:spacing w:val="-2"/>
        </w:rPr>
        <w:t xml:space="preserve"> </w:t>
      </w:r>
      <w:r>
        <w:t>de</w:t>
      </w:r>
      <w:r>
        <w:rPr>
          <w:spacing w:val="-1"/>
        </w:rPr>
        <w:t xml:space="preserve"> </w:t>
      </w:r>
      <w:r>
        <w:t>prescripciones</w:t>
      </w:r>
      <w:r>
        <w:rPr>
          <w:spacing w:val="-1"/>
        </w:rPr>
        <w:t xml:space="preserve"> </w:t>
      </w:r>
      <w:r>
        <w:rPr>
          <w:spacing w:val="-2"/>
        </w:rPr>
        <w:t>técnicas</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209" w:name="Artículo_121._Pliegos_de_cláusulas_admin"/>
      <w:bookmarkEnd w:id="209"/>
      <w:r>
        <w:rPr>
          <w:rFonts w:ascii="Arial" w:hAnsi="Arial"/>
          <w:b/>
          <w:sz w:val="20"/>
        </w:rPr>
        <w:t>Artículo</w:t>
      </w:r>
      <w:r>
        <w:rPr>
          <w:rFonts w:ascii="Arial" w:hAnsi="Arial"/>
          <w:b/>
          <w:spacing w:val="-1"/>
          <w:sz w:val="20"/>
        </w:rPr>
        <w:t xml:space="preserve"> </w:t>
      </w:r>
      <w:r>
        <w:rPr>
          <w:rFonts w:ascii="Arial" w:hAnsi="Arial"/>
          <w:b/>
          <w:sz w:val="20"/>
        </w:rPr>
        <w:t>121.</w:t>
      </w:r>
      <w:r>
        <w:rPr>
          <w:rFonts w:ascii="Arial" w:hAnsi="Arial"/>
          <w:b/>
          <w:spacing w:val="54"/>
          <w:sz w:val="20"/>
        </w:rPr>
        <w:t xml:space="preserve"> </w:t>
      </w:r>
      <w:r>
        <w:rPr>
          <w:rFonts w:ascii="Arial" w:hAnsi="Arial"/>
          <w:i/>
          <w:sz w:val="20"/>
        </w:rPr>
        <w:t xml:space="preserve">Pliegos de cláusulas administrativas </w:t>
      </w:r>
      <w:r>
        <w:rPr>
          <w:rFonts w:ascii="Arial" w:hAnsi="Arial"/>
          <w:i/>
          <w:spacing w:val="-2"/>
          <w:sz w:val="20"/>
        </w:rPr>
        <w:t>generales.</w:t>
      </w:r>
    </w:p>
    <w:p w:rsidR="0092635B" w:rsidRDefault="00000000">
      <w:pPr>
        <w:pStyle w:val="Prrafodelista"/>
        <w:numPr>
          <w:ilvl w:val="0"/>
          <w:numId w:val="249"/>
        </w:numPr>
        <w:tabs>
          <w:tab w:val="left" w:pos="1697"/>
        </w:tabs>
        <w:spacing w:before="124" w:line="249" w:lineRule="auto"/>
        <w:ind w:right="1102" w:firstLine="340"/>
        <w:jc w:val="both"/>
        <w:rPr>
          <w:sz w:val="20"/>
        </w:rPr>
      </w:pPr>
      <w:r>
        <w:rPr>
          <w:sz w:val="20"/>
        </w:rPr>
        <w:t>El Consejo de Ministros, a iniciativa de los Ministerios interesados, a propuesta del Ministro de Hacienda y Función Pública, y previo dictamen del Consejo de Estado, podrá aprobar pliegos de cláusulas administrativas generales, que deberán ajustarse en su contenido a los preceptos de esta Ley y de sus disposiciones de desarrollo, para su utilización en los contratos que se celebren por los órganos de contratación de la Administración General del Estado, sus Organismos Autónomos, Entidades Gestoras y Servicios Comunes de la Seguridad Social y demás entidades que gocen de la condición de Administraciones Públicas integrantes del sector público estatal.</w:t>
      </w:r>
    </w:p>
    <w:p w:rsidR="0092635B" w:rsidRDefault="00000000">
      <w:pPr>
        <w:pStyle w:val="Prrafodelista"/>
        <w:numPr>
          <w:ilvl w:val="0"/>
          <w:numId w:val="249"/>
        </w:numPr>
        <w:tabs>
          <w:tab w:val="left" w:pos="1700"/>
        </w:tabs>
        <w:spacing w:before="6" w:line="249" w:lineRule="auto"/>
        <w:ind w:right="1104" w:firstLine="340"/>
        <w:jc w:val="both"/>
        <w:rPr>
          <w:sz w:val="20"/>
        </w:rPr>
      </w:pPr>
      <w:r>
        <w:rPr>
          <w:sz w:val="20"/>
        </w:rPr>
        <w:t>Las Comunidades Autónomas y las entidades que integran la Administración Local podrán aprobar pliegos de cláusulas administrativas generales, de acuerdo con sus normas específicas, previo dictamen del Consejo de Estado u órgano consultivo equivalente de la Comunidad Autónoma respectiva, si lo hubiera.</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210" w:name="Artículo_122._Pliegos_de_cláusulas_admin"/>
      <w:bookmarkEnd w:id="210"/>
      <w:r>
        <w:rPr>
          <w:rFonts w:ascii="Arial" w:hAnsi="Arial"/>
          <w:b/>
          <w:sz w:val="20"/>
        </w:rPr>
        <w:t>Artículo</w:t>
      </w:r>
      <w:r>
        <w:rPr>
          <w:rFonts w:ascii="Arial" w:hAnsi="Arial"/>
          <w:b/>
          <w:spacing w:val="-1"/>
          <w:sz w:val="20"/>
        </w:rPr>
        <w:t xml:space="preserve"> </w:t>
      </w:r>
      <w:r>
        <w:rPr>
          <w:rFonts w:ascii="Arial" w:hAnsi="Arial"/>
          <w:b/>
          <w:sz w:val="20"/>
        </w:rPr>
        <w:t>122.</w:t>
      </w:r>
      <w:r>
        <w:rPr>
          <w:rFonts w:ascii="Arial" w:hAnsi="Arial"/>
          <w:b/>
          <w:spacing w:val="54"/>
          <w:sz w:val="20"/>
        </w:rPr>
        <w:t xml:space="preserve"> </w:t>
      </w:r>
      <w:r>
        <w:rPr>
          <w:rFonts w:ascii="Arial" w:hAnsi="Arial"/>
          <w:i/>
          <w:sz w:val="20"/>
        </w:rPr>
        <w:t xml:space="preserve">Pliegos de cláusulas administrativas </w:t>
      </w:r>
      <w:r>
        <w:rPr>
          <w:rFonts w:ascii="Arial" w:hAnsi="Arial"/>
          <w:i/>
          <w:spacing w:val="-2"/>
          <w:sz w:val="20"/>
        </w:rPr>
        <w:t>particulares.</w:t>
      </w:r>
    </w:p>
    <w:p w:rsidR="0092635B" w:rsidRDefault="00000000">
      <w:pPr>
        <w:pStyle w:val="Prrafodelista"/>
        <w:numPr>
          <w:ilvl w:val="0"/>
          <w:numId w:val="248"/>
        </w:numPr>
        <w:tabs>
          <w:tab w:val="left" w:pos="1685"/>
        </w:tabs>
        <w:spacing w:before="124" w:line="249" w:lineRule="auto"/>
        <w:ind w:firstLine="340"/>
        <w:jc w:val="both"/>
        <w:rPr>
          <w:sz w:val="20"/>
        </w:rPr>
      </w:pPr>
      <w:r>
        <w:rPr>
          <w:sz w:val="20"/>
        </w:rPr>
        <w:t>Los pliegos de cláusulas administrativas particulares deberán aprobarse previamente</w:t>
      </w:r>
      <w:r>
        <w:rPr>
          <w:spacing w:val="40"/>
          <w:sz w:val="20"/>
        </w:rPr>
        <w:t xml:space="preserve"> </w:t>
      </w:r>
      <w:r>
        <w:rPr>
          <w:sz w:val="20"/>
        </w:rPr>
        <w:t>a la autorización del gasto o conjuntamente con ella, y siempre antes de la licitación del contrato, o de no existir esta, antes de su adjudicación, y solo podrán ser modificados con posterioridad por error material, de hecho o aritmético. En otro caso, la modificación del pliego conllevará la retroacción de actuaciones.</w:t>
      </w:r>
    </w:p>
    <w:p w:rsidR="0092635B" w:rsidRDefault="00000000">
      <w:pPr>
        <w:pStyle w:val="Prrafodelista"/>
        <w:numPr>
          <w:ilvl w:val="0"/>
          <w:numId w:val="248"/>
        </w:numPr>
        <w:tabs>
          <w:tab w:val="left" w:pos="1701"/>
        </w:tabs>
        <w:spacing w:before="4" w:line="249" w:lineRule="auto"/>
        <w:ind w:firstLine="340"/>
        <w:jc w:val="both"/>
        <w:rPr>
          <w:sz w:val="20"/>
        </w:rPr>
      </w:pPr>
      <w:r>
        <w:rPr>
          <w:sz w:val="20"/>
        </w:rPr>
        <w:t>En los pliegos de cláusulas administrativas particulares se incluirán los criterios de solvencia y adjudicación del contrato; las consideraciones sociales, laborales y ambientales que como criterios de solvencia, de adjudicación o como condiciones especiales de</w:t>
      </w:r>
      <w:r>
        <w:rPr>
          <w:spacing w:val="40"/>
          <w:sz w:val="20"/>
        </w:rPr>
        <w:t xml:space="preserve"> </w:t>
      </w:r>
      <w:r>
        <w:rPr>
          <w:sz w:val="20"/>
        </w:rPr>
        <w:t>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rsidR="0092635B" w:rsidRDefault="00000000">
      <w:pPr>
        <w:pStyle w:val="Textoindependiente"/>
        <w:spacing w:before="23"/>
        <w:ind w:left="0" w:firstLine="0"/>
        <w:jc w:val="left"/>
      </w:pPr>
      <w:r>
        <w:rPr>
          <w:noProof/>
        </w:rPr>
        <mc:AlternateContent>
          <mc:Choice Requires="wps">
            <w:drawing>
              <wp:anchor distT="0" distB="0" distL="0" distR="0" simplePos="0" relativeHeight="487592448" behindDoc="1" locked="0" layoutInCell="1" allowOverlap="1">
                <wp:simplePos x="0" y="0"/>
                <wp:positionH relativeFrom="page">
                  <wp:posOffset>1156762</wp:posOffset>
                </wp:positionH>
                <wp:positionV relativeFrom="paragraph">
                  <wp:posOffset>181029</wp:posOffset>
                </wp:positionV>
                <wp:extent cx="5247005" cy="119824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119824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70" w:right="268" w:firstLine="340"/>
                              <w:jc w:val="both"/>
                              <w:rPr>
                                <w:color w:val="000000"/>
                                <w:sz w:val="18"/>
                              </w:rPr>
                            </w:pPr>
                            <w:r>
                              <w:rPr>
                                <w:color w:val="000000"/>
                                <w:sz w:val="18"/>
                              </w:rPr>
                              <w:t>Téngase en cuenta que se declara que el párrafo primero del apartado 2 no es conforme con el orden constitucional de competencias, salvo los incisos relativos a la necesidad de incluir</w:t>
                            </w:r>
                          </w:p>
                          <w:p w:rsidR="0092635B" w:rsidRDefault="00000000">
                            <w:pPr>
                              <w:spacing w:before="2" w:line="249" w:lineRule="auto"/>
                              <w:ind w:left="269" w:right="267"/>
                              <w:jc w:val="both"/>
                              <w:rPr>
                                <w:color w:val="000000"/>
                                <w:sz w:val="18"/>
                              </w:rPr>
                            </w:pPr>
                            <w:r>
                              <w:rPr>
                                <w:color w:val="000000"/>
                                <w:sz w:val="18"/>
                              </w:rPr>
                              <w:t xml:space="preserve">«los pactos y condiciones definidores de los derechos y obligaciones de las partes del contrato» y «En el caso de contratos mixtos, se detallará el régimen jurídico aplicable a sus efectos, cumplimiento y extinción, atendiendo a las normas aplicables a las diferentes prestaciones fusionadas en ellos», en los términos del fundamento jurídico 7 A) d), por la Sentencia del TC 68/2021, de 18 de marzo. </w:t>
                            </w:r>
                            <w:hyperlink r:id="rId29">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17" o:spid="_x0000_s1032" type="#_x0000_t202" style="position:absolute;margin-left:91.1pt;margin-top:14.25pt;width:413.15pt;height:94.3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" fillcolor="#f7f7ff" strokecolor="#9f9f9f">
                <v:path arrowok="t"/>
                <v:textbox inset="0,0,0,0">
                  <w:txbxContent>
                    <w:p w:rsidR="0092635B" w:rsidRDefault="00000000">
                      <w:pPr>
                        <w:spacing w:before="181" w:line="249" w:lineRule="auto"/>
                        <w:ind w:left="270" w:right="268" w:firstLine="340"/>
                        <w:jc w:val="both"/>
                        <w:rPr>
                          <w:color w:val="000000"/>
                          <w:sz w:val="18"/>
                        </w:rPr>
                      </w:pPr>
                      <w:r>
                        <w:rPr>
                          <w:color w:val="000000"/>
                          <w:sz w:val="18"/>
                        </w:rPr>
                        <w:t>Téngase en cuenta que se declara que el párrafo primero del apartado 2 no es conforme con el orden constitucional de competencias, salvo los incisos relativos a la necesidad de incluir</w:t>
                      </w:r>
                    </w:p>
                    <w:p w:rsidR="0092635B" w:rsidRDefault="00000000">
                      <w:pPr>
                        <w:spacing w:before="2" w:line="249" w:lineRule="auto"/>
                        <w:ind w:left="269" w:right="267"/>
                        <w:jc w:val="both"/>
                        <w:rPr>
                          <w:color w:val="000000"/>
                          <w:sz w:val="18"/>
                        </w:rPr>
                      </w:pPr>
                      <w:r>
                        <w:rPr>
                          <w:color w:val="000000"/>
                          <w:sz w:val="18"/>
                        </w:rPr>
                        <w:t xml:space="preserve">«los pactos y condiciones definidores de los derechos y obligaciones de las partes del contrato» y «En el caso de contratos mixtos, se detallará el régimen jurídico aplicable a sus efectos, cumplimiento y extinción, atendiendo a las normas aplicables a las diferentes prestaciones fusionadas en ellos», en los términos del fundamento jurídico 7 A) d), por la Sentencia del TC 68/2021, de 18 de marzo. </w:t>
                      </w:r>
                      <w:hyperlink r:id="rId30">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Textoindependiente"/>
        <w:spacing w:before="0" w:line="249" w:lineRule="auto"/>
        <w:ind w:right="1104"/>
      </w:pPr>
      <w:r>
        <w:t>Los pliegos podrán también especificar si va a exigirse la transferencia de derechos de propiedad intelectual o industrial, sin perjuicio de lo establecido en el artículo 308 respecto</w:t>
      </w:r>
      <w:r>
        <w:rPr>
          <w:spacing w:val="80"/>
        </w:rPr>
        <w:t xml:space="preserve"> </w:t>
      </w:r>
      <w:r>
        <w:t>de los contratos de servicios.</w:t>
      </w:r>
    </w:p>
    <w:p w:rsidR="0092635B" w:rsidRDefault="00000000">
      <w:pPr>
        <w:pStyle w:val="Textoindependiente"/>
        <w:spacing w:line="249" w:lineRule="auto"/>
        <w:ind w:right="1105"/>
      </w:pPr>
      <w:r>
        <w:t>Los pliegos deberán mencionar expresamente la obligación del futuro contratista de respetar la normativa vigente en materia de protección de datos.</w:t>
      </w:r>
    </w:p>
    <w:p w:rsidR="0092635B" w:rsidRDefault="00000000">
      <w:pPr>
        <w:pStyle w:val="Textoindependiente"/>
        <w:spacing w:line="249" w:lineRule="auto"/>
        <w:ind w:right="1103"/>
      </w:pPr>
      <w:r>
        <w:t>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contratista de datos personales por cuenta del responsable del tratamiento, adicionalmente en el pliego se hará constar:</w:t>
      </w:r>
    </w:p>
    <w:p w:rsidR="0092635B" w:rsidRDefault="00000000">
      <w:pPr>
        <w:pStyle w:val="Prrafodelista"/>
        <w:numPr>
          <w:ilvl w:val="1"/>
          <w:numId w:val="248"/>
        </w:numPr>
        <w:tabs>
          <w:tab w:val="left" w:pos="1679"/>
        </w:tabs>
        <w:spacing w:before="125"/>
        <w:ind w:right="0" w:hanging="233"/>
        <w:rPr>
          <w:sz w:val="20"/>
        </w:rPr>
      </w:pPr>
      <w:r>
        <w:rPr>
          <w:sz w:val="20"/>
        </w:rPr>
        <w:t>La</w:t>
      </w:r>
      <w:r>
        <w:rPr>
          <w:spacing w:val="-3"/>
          <w:sz w:val="20"/>
        </w:rPr>
        <w:t xml:space="preserve"> </w:t>
      </w:r>
      <w:r>
        <w:rPr>
          <w:sz w:val="20"/>
        </w:rPr>
        <w:t>finalidad</w:t>
      </w:r>
      <w:r>
        <w:rPr>
          <w:spacing w:val="-3"/>
          <w:sz w:val="20"/>
        </w:rPr>
        <w:t xml:space="preserve"> </w:t>
      </w:r>
      <w:r>
        <w:rPr>
          <w:sz w:val="20"/>
        </w:rPr>
        <w:t>para</w:t>
      </w:r>
      <w:r>
        <w:rPr>
          <w:spacing w:val="-3"/>
          <w:sz w:val="20"/>
        </w:rPr>
        <w:t xml:space="preserve"> </w:t>
      </w:r>
      <w:r>
        <w:rPr>
          <w:sz w:val="20"/>
        </w:rPr>
        <w:t>la</w:t>
      </w:r>
      <w:r>
        <w:rPr>
          <w:spacing w:val="-3"/>
          <w:sz w:val="20"/>
        </w:rPr>
        <w:t xml:space="preserve"> </w:t>
      </w:r>
      <w:r>
        <w:rPr>
          <w:sz w:val="20"/>
        </w:rPr>
        <w:t>cual</w:t>
      </w:r>
      <w:r>
        <w:rPr>
          <w:spacing w:val="-3"/>
          <w:sz w:val="20"/>
        </w:rPr>
        <w:t xml:space="preserve"> </w:t>
      </w:r>
      <w:r>
        <w:rPr>
          <w:sz w:val="20"/>
        </w:rPr>
        <w:t>se</w:t>
      </w:r>
      <w:r>
        <w:rPr>
          <w:spacing w:val="-3"/>
          <w:sz w:val="20"/>
        </w:rPr>
        <w:t xml:space="preserve"> </w:t>
      </w:r>
      <w:r>
        <w:rPr>
          <w:sz w:val="20"/>
        </w:rPr>
        <w:t>cederán</w:t>
      </w:r>
      <w:r>
        <w:rPr>
          <w:spacing w:val="-3"/>
          <w:sz w:val="20"/>
        </w:rPr>
        <w:t xml:space="preserve"> </w:t>
      </w:r>
      <w:r>
        <w:rPr>
          <w:sz w:val="20"/>
        </w:rPr>
        <w:t>dichos</w:t>
      </w:r>
      <w:r>
        <w:rPr>
          <w:spacing w:val="-2"/>
          <w:sz w:val="20"/>
        </w:rPr>
        <w:t xml:space="preserve"> datos.</w:t>
      </w:r>
    </w:p>
    <w:p w:rsidR="0092635B" w:rsidRDefault="0092635B">
      <w:pPr>
        <w:pStyle w:val="Prrafodelista"/>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48"/>
        </w:numPr>
        <w:tabs>
          <w:tab w:val="left" w:pos="1684"/>
        </w:tabs>
        <w:spacing w:before="1" w:line="249" w:lineRule="auto"/>
        <w:ind w:left="1106" w:right="1107" w:firstLine="340"/>
        <w:jc w:val="both"/>
        <w:rPr>
          <w:sz w:val="20"/>
        </w:rPr>
      </w:pPr>
      <w:r>
        <w:rPr>
          <w:sz w:val="20"/>
        </w:rPr>
        <w:t>La obligación del futuro contratista de someterse en todo caso a la normativa nacional y</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Unión</w:t>
      </w:r>
      <w:r>
        <w:rPr>
          <w:spacing w:val="-2"/>
          <w:sz w:val="20"/>
        </w:rPr>
        <w:t xml:space="preserve"> </w:t>
      </w:r>
      <w:r>
        <w:rPr>
          <w:sz w:val="20"/>
        </w:rPr>
        <w:t>Europea</w:t>
      </w:r>
      <w:r>
        <w:rPr>
          <w:spacing w:val="-2"/>
          <w:sz w:val="20"/>
        </w:rPr>
        <w:t xml:space="preserve"> </w:t>
      </w:r>
      <w:r>
        <w:rPr>
          <w:sz w:val="20"/>
        </w:rPr>
        <w:t>en</w:t>
      </w:r>
      <w:r>
        <w:rPr>
          <w:spacing w:val="-2"/>
          <w:sz w:val="20"/>
        </w:rPr>
        <w:t xml:space="preserve"> </w:t>
      </w:r>
      <w:r>
        <w:rPr>
          <w:sz w:val="20"/>
        </w:rPr>
        <w:t>materia</w:t>
      </w:r>
      <w:r>
        <w:rPr>
          <w:spacing w:val="-2"/>
          <w:sz w:val="20"/>
        </w:rPr>
        <w:t xml:space="preserve"> </w:t>
      </w:r>
      <w:r>
        <w:rPr>
          <w:sz w:val="20"/>
        </w:rPr>
        <w:t>de</w:t>
      </w:r>
      <w:r>
        <w:rPr>
          <w:spacing w:val="-2"/>
          <w:sz w:val="20"/>
        </w:rPr>
        <w:t xml:space="preserve"> </w:t>
      </w:r>
      <w:r>
        <w:rPr>
          <w:sz w:val="20"/>
        </w:rPr>
        <w:t>protección</w:t>
      </w:r>
      <w:r>
        <w:rPr>
          <w:spacing w:val="-2"/>
          <w:sz w:val="20"/>
        </w:rPr>
        <w:t xml:space="preserve"> </w:t>
      </w:r>
      <w:r>
        <w:rPr>
          <w:sz w:val="20"/>
        </w:rPr>
        <w:t>de</w:t>
      </w:r>
      <w:r>
        <w:rPr>
          <w:spacing w:val="-2"/>
          <w:sz w:val="20"/>
        </w:rPr>
        <w:t xml:space="preserve"> </w:t>
      </w:r>
      <w:r>
        <w:rPr>
          <w:sz w:val="20"/>
        </w:rPr>
        <w:t>datos,</w:t>
      </w:r>
      <w:r>
        <w:rPr>
          <w:spacing w:val="-2"/>
          <w:sz w:val="20"/>
        </w:rPr>
        <w:t xml:space="preserve"> </w:t>
      </w:r>
      <w:r>
        <w:rPr>
          <w:sz w:val="20"/>
        </w:rPr>
        <w:t>sin</w:t>
      </w:r>
      <w:r>
        <w:rPr>
          <w:spacing w:val="-2"/>
          <w:sz w:val="20"/>
        </w:rPr>
        <w:t xml:space="preserve"> </w:t>
      </w:r>
      <w:r>
        <w:rPr>
          <w:sz w:val="20"/>
        </w:rPr>
        <w:t>perjuicio</w:t>
      </w:r>
      <w:r>
        <w:rPr>
          <w:spacing w:val="-2"/>
          <w:sz w:val="20"/>
        </w:rPr>
        <w:t xml:space="preserve"> </w:t>
      </w:r>
      <w:r>
        <w:rPr>
          <w:sz w:val="20"/>
        </w:rPr>
        <w:t>de</w:t>
      </w:r>
      <w:r>
        <w:rPr>
          <w:spacing w:val="-2"/>
          <w:sz w:val="20"/>
        </w:rPr>
        <w:t xml:space="preserve"> </w:t>
      </w:r>
      <w:r>
        <w:rPr>
          <w:sz w:val="20"/>
        </w:rPr>
        <w:t>lo</w:t>
      </w:r>
      <w:r>
        <w:rPr>
          <w:spacing w:val="-2"/>
          <w:sz w:val="20"/>
        </w:rPr>
        <w:t xml:space="preserve"> </w:t>
      </w:r>
      <w:r>
        <w:rPr>
          <w:sz w:val="20"/>
        </w:rPr>
        <w:t>establecido</w:t>
      </w:r>
      <w:r>
        <w:rPr>
          <w:spacing w:val="-2"/>
          <w:sz w:val="20"/>
        </w:rPr>
        <w:t xml:space="preserve"> </w:t>
      </w:r>
      <w:r>
        <w:rPr>
          <w:sz w:val="20"/>
        </w:rPr>
        <w:t>en</w:t>
      </w:r>
      <w:r>
        <w:rPr>
          <w:spacing w:val="-2"/>
          <w:sz w:val="20"/>
        </w:rPr>
        <w:t xml:space="preserve"> </w:t>
      </w:r>
      <w:r>
        <w:rPr>
          <w:sz w:val="20"/>
        </w:rPr>
        <w:t>el último párrafo del apartado 1 del artículo 202.</w:t>
      </w:r>
    </w:p>
    <w:p w:rsidR="0092635B" w:rsidRDefault="00000000">
      <w:pPr>
        <w:pStyle w:val="Prrafodelista"/>
        <w:numPr>
          <w:ilvl w:val="1"/>
          <w:numId w:val="248"/>
        </w:numPr>
        <w:tabs>
          <w:tab w:val="left" w:pos="1687"/>
        </w:tabs>
        <w:spacing w:line="249" w:lineRule="auto"/>
        <w:ind w:left="1106" w:right="1105" w:firstLine="340"/>
        <w:jc w:val="both"/>
        <w:rPr>
          <w:sz w:val="20"/>
        </w:rPr>
      </w:pPr>
      <w:r>
        <w:rPr>
          <w:sz w:val="20"/>
        </w:rPr>
        <w:t>La obligación de la empresa adjudicataria de presentar antes de la formalización del contrato una declaración en la que ponga de manifiesto dónde van a estar ubicados los servidores y desde dónde se van a prestar los servicios asociados a los mismos.</w:t>
      </w:r>
    </w:p>
    <w:p w:rsidR="0092635B" w:rsidRDefault="00000000">
      <w:pPr>
        <w:pStyle w:val="Prrafodelista"/>
        <w:numPr>
          <w:ilvl w:val="1"/>
          <w:numId w:val="248"/>
        </w:numPr>
        <w:tabs>
          <w:tab w:val="left" w:pos="1700"/>
        </w:tabs>
        <w:spacing w:before="3" w:line="249" w:lineRule="auto"/>
        <w:ind w:left="1106" w:right="1106" w:firstLine="340"/>
        <w:jc w:val="both"/>
        <w:rPr>
          <w:sz w:val="20"/>
        </w:rPr>
      </w:pPr>
      <w:r>
        <w:rPr>
          <w:sz w:val="20"/>
        </w:rPr>
        <w:t>La obligación de comunicar cualquier cambio que se produzca, a lo largo de la vida</w:t>
      </w:r>
      <w:r>
        <w:rPr>
          <w:spacing w:val="40"/>
          <w:sz w:val="20"/>
        </w:rPr>
        <w:t xml:space="preserve"> </w:t>
      </w:r>
      <w:r>
        <w:rPr>
          <w:sz w:val="20"/>
        </w:rPr>
        <w:t>del contrato, de la información facilitada en la declaración a que se refiere la letra c) anterior.</w:t>
      </w:r>
    </w:p>
    <w:p w:rsidR="0092635B" w:rsidRDefault="00000000">
      <w:pPr>
        <w:pStyle w:val="Prrafodelista"/>
        <w:numPr>
          <w:ilvl w:val="1"/>
          <w:numId w:val="248"/>
        </w:numPr>
        <w:tabs>
          <w:tab w:val="left" w:pos="1690"/>
        </w:tabs>
        <w:spacing w:before="1" w:line="249" w:lineRule="auto"/>
        <w:ind w:left="1106" w:firstLine="340"/>
        <w:jc w:val="both"/>
        <w:rPr>
          <w:sz w:val="20"/>
        </w:rPr>
      </w:pPr>
      <w:r>
        <w:rPr>
          <w:sz w:val="20"/>
        </w:rPr>
        <w:t>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92635B" w:rsidRDefault="00000000">
      <w:pPr>
        <w:pStyle w:val="Textoindependiente"/>
        <w:spacing w:before="3" w:line="249" w:lineRule="auto"/>
        <w:ind w:right="1103"/>
      </w:pPr>
      <w:r>
        <w:t>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rsidR="0092635B" w:rsidRDefault="00000000">
      <w:pPr>
        <w:pStyle w:val="Prrafodelista"/>
        <w:numPr>
          <w:ilvl w:val="0"/>
          <w:numId w:val="248"/>
        </w:numPr>
        <w:tabs>
          <w:tab w:val="left" w:pos="1691"/>
        </w:tabs>
        <w:spacing w:before="3" w:line="249" w:lineRule="auto"/>
        <w:ind w:firstLine="340"/>
        <w:jc w:val="both"/>
        <w:rPr>
          <w:sz w:val="20"/>
        </w:rPr>
      </w:pPr>
      <w:r>
        <w:rPr>
          <w:sz w:val="20"/>
        </w:rPr>
        <w:t>Los pliegos de cláusulas administrativas particulares podrán establecer penalidades, conforme a lo prevenido en el apartado 1 del artículo 192, para los casos de incumplimiento</w:t>
      </w:r>
      <w:r>
        <w:rPr>
          <w:spacing w:val="40"/>
          <w:sz w:val="20"/>
        </w:rPr>
        <w:t xml:space="preserve"> </w:t>
      </w:r>
      <w:r>
        <w:rPr>
          <w:sz w:val="20"/>
        </w:rPr>
        <w:t>o de cumplimiento defectuoso de la prestación que afecten a características de la misma, en especial cuando se hayan tenido en cuenta para definir los criterios de adjudicación, o</w:t>
      </w:r>
      <w:r>
        <w:rPr>
          <w:spacing w:val="40"/>
          <w:sz w:val="20"/>
        </w:rPr>
        <w:t xml:space="preserve"> </w:t>
      </w:r>
      <w:r>
        <w:rPr>
          <w:sz w:val="20"/>
        </w:rPr>
        <w:t>atribuir</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puntual</w:t>
      </w:r>
      <w:r>
        <w:rPr>
          <w:spacing w:val="-1"/>
          <w:sz w:val="20"/>
        </w:rPr>
        <w:t xml:space="preserve"> </w:t>
      </w:r>
      <w:r>
        <w:rPr>
          <w:sz w:val="20"/>
        </w:rPr>
        <w:t>observancia</w:t>
      </w:r>
      <w:r>
        <w:rPr>
          <w:spacing w:val="-1"/>
          <w:sz w:val="20"/>
        </w:rPr>
        <w:t xml:space="preserve"> </w:t>
      </w:r>
      <w:r>
        <w:rPr>
          <w:sz w:val="20"/>
        </w:rPr>
        <w:t>de</w:t>
      </w:r>
      <w:r>
        <w:rPr>
          <w:spacing w:val="-1"/>
          <w:sz w:val="20"/>
        </w:rPr>
        <w:t xml:space="preserve"> </w:t>
      </w:r>
      <w:r>
        <w:rPr>
          <w:sz w:val="20"/>
        </w:rPr>
        <w:t>estas</w:t>
      </w:r>
      <w:r>
        <w:rPr>
          <w:spacing w:val="-1"/>
          <w:sz w:val="20"/>
        </w:rPr>
        <w:t xml:space="preserve"> </w:t>
      </w:r>
      <w:r>
        <w:rPr>
          <w:sz w:val="20"/>
        </w:rPr>
        <w:t>características</w:t>
      </w:r>
      <w:r>
        <w:rPr>
          <w:spacing w:val="-1"/>
          <w:sz w:val="20"/>
        </w:rPr>
        <w:t xml:space="preserve"> </w:t>
      </w:r>
      <w:r>
        <w:rPr>
          <w:sz w:val="20"/>
        </w:rPr>
        <w:t>el</w:t>
      </w:r>
      <w:r>
        <w:rPr>
          <w:spacing w:val="-1"/>
          <w:sz w:val="20"/>
        </w:rPr>
        <w:t xml:space="preserve"> </w:t>
      </w:r>
      <w:r>
        <w:rPr>
          <w:sz w:val="20"/>
        </w:rPr>
        <w:t>carácter</w:t>
      </w:r>
      <w:r>
        <w:rPr>
          <w:spacing w:val="-1"/>
          <w:sz w:val="20"/>
        </w:rPr>
        <w:t xml:space="preserve"> </w:t>
      </w:r>
      <w:r>
        <w:rPr>
          <w:sz w:val="20"/>
        </w:rPr>
        <w:t>de</w:t>
      </w:r>
      <w:r>
        <w:rPr>
          <w:spacing w:val="-1"/>
          <w:sz w:val="20"/>
        </w:rPr>
        <w:t xml:space="preserve"> </w:t>
      </w:r>
      <w:r>
        <w:rPr>
          <w:sz w:val="20"/>
        </w:rPr>
        <w:t>obligación</w:t>
      </w:r>
      <w:r>
        <w:rPr>
          <w:spacing w:val="-1"/>
          <w:sz w:val="20"/>
        </w:rPr>
        <w:t xml:space="preserve"> </w:t>
      </w:r>
      <w:r>
        <w:rPr>
          <w:sz w:val="20"/>
        </w:rPr>
        <w:t>contractual esencial a los efectos señalados en la letra f) del apartado 1 del artículo 211. Asimismo, para los casos de incumplimiento de lo prevenido en los artículos 130 y 201.</w:t>
      </w:r>
    </w:p>
    <w:p w:rsidR="0092635B" w:rsidRDefault="00000000">
      <w:pPr>
        <w:pStyle w:val="Textoindependiente"/>
        <w:spacing w:before="6" w:line="249" w:lineRule="auto"/>
        <w:ind w:right="1104"/>
      </w:pPr>
      <w:r>
        <w:t>3 bis. Las Administraciones públicas incorporarán en los pliegos de cláusulas administrativas particulares condiciones especiales de ejecución o criterios de adjudicación dirigidos a la promoción de la igualdad de trato y no discriminación por razón de orientación sexual, identidad sexual, expresión de género y características sexuales, siempre que exista vinculación con el objeto del contrato.</w:t>
      </w:r>
    </w:p>
    <w:p w:rsidR="0092635B" w:rsidRDefault="00000000">
      <w:pPr>
        <w:pStyle w:val="Prrafodelista"/>
        <w:numPr>
          <w:ilvl w:val="0"/>
          <w:numId w:val="248"/>
        </w:numPr>
        <w:tabs>
          <w:tab w:val="left" w:pos="1700"/>
        </w:tabs>
        <w:spacing w:before="4" w:line="249" w:lineRule="auto"/>
        <w:ind w:right="1105" w:firstLine="340"/>
        <w:jc w:val="both"/>
        <w:rPr>
          <w:sz w:val="20"/>
        </w:rPr>
      </w:pPr>
      <w:r>
        <w:rPr>
          <w:sz w:val="20"/>
        </w:rPr>
        <w:t>Los contratos se ajustarán al contenido de los pliegos de cláusulas administrativas particulares, cuyas cláusulas se consideran parte integrante de los mismos.</w:t>
      </w:r>
    </w:p>
    <w:p w:rsidR="0092635B" w:rsidRDefault="00000000">
      <w:pPr>
        <w:pStyle w:val="Prrafodelista"/>
        <w:numPr>
          <w:ilvl w:val="0"/>
          <w:numId w:val="248"/>
        </w:numPr>
        <w:tabs>
          <w:tab w:val="left" w:pos="1685"/>
        </w:tabs>
        <w:spacing w:before="1" w:line="249" w:lineRule="auto"/>
        <w:ind w:firstLine="340"/>
        <w:jc w:val="both"/>
        <w:rPr>
          <w:sz w:val="20"/>
        </w:rPr>
      </w:pPr>
      <w:r>
        <w:rPr>
          <w:sz w:val="20"/>
        </w:rPr>
        <w:t>La aprobación de los pliegos de cláusulas administrativas particulares corresponderá al órgano de contratación, que podrá, asimismo, aprobar modelos de pliegos particulares para determinadas categorías de contratos de naturaleza análoga.</w:t>
      </w:r>
    </w:p>
    <w:p w:rsidR="0092635B" w:rsidRDefault="00000000">
      <w:pPr>
        <w:pStyle w:val="Prrafodelista"/>
        <w:numPr>
          <w:ilvl w:val="0"/>
          <w:numId w:val="248"/>
        </w:numPr>
        <w:tabs>
          <w:tab w:val="left" w:pos="1680"/>
        </w:tabs>
        <w:spacing w:before="3" w:line="249" w:lineRule="auto"/>
        <w:ind w:right="1104" w:firstLine="340"/>
        <w:jc w:val="both"/>
        <w:rPr>
          <w:sz w:val="20"/>
        </w:rPr>
      </w:pPr>
      <w:r>
        <w:rPr>
          <w:sz w:val="20"/>
        </w:rPr>
        <w:t>La Junta Consultiva de Contratación Pública del Estado deberá informar con carácter previo todos los pliegos de cláusulas administrativas particulares en que se proponga la inclusión de estipulaciones contrarias a los correspondientes pliegos generales.</w:t>
      </w:r>
    </w:p>
    <w:p w:rsidR="0092635B" w:rsidRDefault="00000000">
      <w:pPr>
        <w:pStyle w:val="Prrafodelista"/>
        <w:numPr>
          <w:ilvl w:val="0"/>
          <w:numId w:val="248"/>
        </w:numPr>
        <w:tabs>
          <w:tab w:val="left" w:pos="1717"/>
        </w:tabs>
        <w:spacing w:line="249" w:lineRule="auto"/>
        <w:ind w:firstLine="340"/>
        <w:jc w:val="both"/>
        <w:rPr>
          <w:sz w:val="20"/>
        </w:rPr>
      </w:pPr>
      <w:r>
        <w:rPr>
          <w:sz w:val="20"/>
        </w:rPr>
        <w:t>En la Administración General del Estado, sus Organismos Autónomos, Entidades Gestoras y Servicios Comunes de la Seguridad Social y demás Administraciones Públicas integrantes</w:t>
      </w:r>
      <w:r>
        <w:rPr>
          <w:spacing w:val="-1"/>
          <w:sz w:val="20"/>
        </w:rPr>
        <w:t xml:space="preserve"> </w:t>
      </w:r>
      <w:r>
        <w:rPr>
          <w:sz w:val="20"/>
        </w:rPr>
        <w:t>del</w:t>
      </w:r>
      <w:r>
        <w:rPr>
          <w:spacing w:val="-1"/>
          <w:sz w:val="20"/>
        </w:rPr>
        <w:t xml:space="preserve"> </w:t>
      </w:r>
      <w:r>
        <w:rPr>
          <w:sz w:val="20"/>
        </w:rPr>
        <w:t>sector</w:t>
      </w:r>
      <w:r>
        <w:rPr>
          <w:spacing w:val="-1"/>
          <w:sz w:val="20"/>
        </w:rPr>
        <w:t xml:space="preserve"> </w:t>
      </w:r>
      <w:r>
        <w:rPr>
          <w:sz w:val="20"/>
        </w:rPr>
        <w:t>público</w:t>
      </w:r>
      <w:r>
        <w:rPr>
          <w:spacing w:val="-1"/>
          <w:sz w:val="20"/>
        </w:rPr>
        <w:t xml:space="preserve"> </w:t>
      </w:r>
      <w:r>
        <w:rPr>
          <w:sz w:val="20"/>
        </w:rPr>
        <w:t>estatal,</w:t>
      </w:r>
      <w:r>
        <w:rPr>
          <w:spacing w:val="-1"/>
          <w:sz w:val="20"/>
        </w:rPr>
        <w:t xml:space="preserve"> </w:t>
      </w:r>
      <w:r>
        <w:rPr>
          <w:sz w:val="20"/>
        </w:rPr>
        <w:t>la</w:t>
      </w:r>
      <w:r>
        <w:rPr>
          <w:spacing w:val="-1"/>
          <w:sz w:val="20"/>
        </w:rPr>
        <w:t xml:space="preserve"> </w:t>
      </w:r>
      <w:r>
        <w:rPr>
          <w:sz w:val="20"/>
        </w:rPr>
        <w:t>aprobación</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pliegos</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modelos</w:t>
      </w:r>
      <w:r>
        <w:rPr>
          <w:spacing w:val="-1"/>
          <w:sz w:val="20"/>
        </w:rPr>
        <w:t xml:space="preserve"> </w:t>
      </w:r>
      <w:r>
        <w:rPr>
          <w:sz w:val="20"/>
        </w:rPr>
        <w:t>requerirá el informe previo del Servicio Jurídico respectivo. Este informe no será necesario cuando el pliego de cláusulas administrativas particulares se ajuste a un modelo de pliego que haya sido previamente objeto de este informe.</w:t>
      </w:r>
    </w:p>
    <w:p w:rsidR="0092635B" w:rsidRDefault="0092635B">
      <w:pPr>
        <w:pStyle w:val="Textoindependiente"/>
        <w:ind w:left="0" w:firstLine="0"/>
        <w:jc w:val="left"/>
      </w:pPr>
    </w:p>
    <w:p w:rsidR="0092635B" w:rsidRDefault="00000000">
      <w:pPr>
        <w:ind w:left="1106"/>
        <w:rPr>
          <w:rFonts w:ascii="Arial" w:hAnsi="Arial"/>
          <w:i/>
          <w:sz w:val="20"/>
        </w:rPr>
      </w:pPr>
      <w:bookmarkStart w:id="211" w:name="Artículo_123._Pliego_de_prescripciones_t"/>
      <w:bookmarkEnd w:id="211"/>
      <w:r>
        <w:rPr>
          <w:rFonts w:ascii="Arial" w:hAnsi="Arial"/>
          <w:b/>
          <w:sz w:val="20"/>
        </w:rPr>
        <w:t>Artículo</w:t>
      </w:r>
      <w:r>
        <w:rPr>
          <w:rFonts w:ascii="Arial" w:hAnsi="Arial"/>
          <w:b/>
          <w:spacing w:val="-1"/>
          <w:sz w:val="20"/>
        </w:rPr>
        <w:t xml:space="preserve"> </w:t>
      </w:r>
      <w:r>
        <w:rPr>
          <w:rFonts w:ascii="Arial" w:hAnsi="Arial"/>
          <w:b/>
          <w:sz w:val="20"/>
        </w:rPr>
        <w:t>123.</w:t>
      </w:r>
      <w:r>
        <w:rPr>
          <w:rFonts w:ascii="Arial" w:hAnsi="Arial"/>
          <w:b/>
          <w:spacing w:val="52"/>
          <w:sz w:val="20"/>
        </w:rPr>
        <w:t xml:space="preserve"> </w:t>
      </w:r>
      <w:r>
        <w:rPr>
          <w:rFonts w:ascii="Arial" w:hAnsi="Arial"/>
          <w:i/>
          <w:sz w:val="20"/>
        </w:rPr>
        <w:t>Pliego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prescripciones</w:t>
      </w:r>
      <w:r>
        <w:rPr>
          <w:rFonts w:ascii="Arial" w:hAnsi="Arial"/>
          <w:i/>
          <w:spacing w:val="-1"/>
          <w:sz w:val="20"/>
        </w:rPr>
        <w:t xml:space="preserve"> </w:t>
      </w:r>
      <w:r>
        <w:rPr>
          <w:rFonts w:ascii="Arial" w:hAnsi="Arial"/>
          <w:i/>
          <w:sz w:val="20"/>
        </w:rPr>
        <w:t xml:space="preserve">técnicas </w:t>
      </w:r>
      <w:r>
        <w:rPr>
          <w:rFonts w:ascii="Arial" w:hAnsi="Arial"/>
          <w:i/>
          <w:spacing w:val="-2"/>
          <w:sz w:val="20"/>
        </w:rPr>
        <w:t>generales.</w:t>
      </w:r>
    </w:p>
    <w:p w:rsidR="0092635B" w:rsidRDefault="00000000">
      <w:pPr>
        <w:pStyle w:val="Textoindependiente"/>
        <w:spacing w:before="123" w:line="249" w:lineRule="auto"/>
        <w:ind w:right="1103"/>
      </w:pPr>
      <w:r>
        <w:t>Previo informe de la Junta Consultiva de Contratación Pública del Estado, el Consejo de Ministros, a propuesta del Ministro correspondiente, podrá establecer los pliegos de prescripciones técnicas generales a que hayan de ajustarse la Administración General del Estado, sus Organismos Autónomos, Entidades Gestoras y Servicios Comunes de la Seguridad Social y demás entidades que gocen de la condición de Administraciones</w:t>
      </w:r>
      <w:r>
        <w:rPr>
          <w:spacing w:val="40"/>
        </w:rPr>
        <w:t xml:space="preserve"> </w:t>
      </w:r>
      <w:r>
        <w:t>Públicas integrantes del sector público estatal.</w:t>
      </w:r>
    </w:p>
    <w:p w:rsidR="0092635B" w:rsidRDefault="0092635B">
      <w:pPr>
        <w:pStyle w:val="Textoindependiente"/>
        <w:ind w:left="0" w:firstLine="0"/>
        <w:jc w:val="left"/>
      </w:pPr>
    </w:p>
    <w:p w:rsidR="0092635B" w:rsidRDefault="00000000">
      <w:pPr>
        <w:ind w:left="1106"/>
        <w:rPr>
          <w:rFonts w:ascii="Arial" w:hAnsi="Arial"/>
          <w:i/>
          <w:sz w:val="20"/>
        </w:rPr>
      </w:pPr>
      <w:bookmarkStart w:id="212" w:name="Artículo_124._Pliego_de_prescripciones_t"/>
      <w:bookmarkEnd w:id="212"/>
      <w:r>
        <w:rPr>
          <w:rFonts w:ascii="Arial" w:hAnsi="Arial"/>
          <w:b/>
          <w:sz w:val="20"/>
        </w:rPr>
        <w:t>Artículo</w:t>
      </w:r>
      <w:r>
        <w:rPr>
          <w:rFonts w:ascii="Arial" w:hAnsi="Arial"/>
          <w:b/>
          <w:spacing w:val="-1"/>
          <w:sz w:val="20"/>
        </w:rPr>
        <w:t xml:space="preserve"> </w:t>
      </w:r>
      <w:r>
        <w:rPr>
          <w:rFonts w:ascii="Arial" w:hAnsi="Arial"/>
          <w:b/>
          <w:sz w:val="20"/>
        </w:rPr>
        <w:t>124.</w:t>
      </w:r>
      <w:r>
        <w:rPr>
          <w:rFonts w:ascii="Arial" w:hAnsi="Arial"/>
          <w:b/>
          <w:spacing w:val="52"/>
          <w:sz w:val="20"/>
        </w:rPr>
        <w:t xml:space="preserve"> </w:t>
      </w:r>
      <w:r>
        <w:rPr>
          <w:rFonts w:ascii="Arial" w:hAnsi="Arial"/>
          <w:i/>
          <w:sz w:val="20"/>
        </w:rPr>
        <w:t>Pliego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prescripciones</w:t>
      </w:r>
      <w:r>
        <w:rPr>
          <w:rFonts w:ascii="Arial" w:hAnsi="Arial"/>
          <w:i/>
          <w:spacing w:val="-1"/>
          <w:sz w:val="20"/>
        </w:rPr>
        <w:t xml:space="preserve"> </w:t>
      </w:r>
      <w:r>
        <w:rPr>
          <w:rFonts w:ascii="Arial" w:hAnsi="Arial"/>
          <w:i/>
          <w:sz w:val="20"/>
        </w:rPr>
        <w:t xml:space="preserve">técnicas </w:t>
      </w:r>
      <w:r>
        <w:rPr>
          <w:rFonts w:ascii="Arial" w:hAnsi="Arial"/>
          <w:i/>
          <w:spacing w:val="-2"/>
          <w:sz w:val="20"/>
        </w:rPr>
        <w:t>particulares.</w:t>
      </w:r>
    </w:p>
    <w:p w:rsidR="0092635B" w:rsidRDefault="00000000">
      <w:pPr>
        <w:pStyle w:val="Textoindependiente"/>
        <w:spacing w:before="124" w:line="249" w:lineRule="auto"/>
        <w:ind w:right="1103"/>
      </w:pPr>
      <w:r>
        <w:t>El órgano de contratación aprobará con anterioridad a la autorización del gasto o conjuntamente con ella, y siempre antes de la licitación del contrato, o de no existir esta, antes de su adjudicación, los pliegos y documentos que contengan las prescripciones técnicas particulares que hayan de regir la realización de la prestación y definan sus calidades, sus condiciones sociales y ambientales, de conformidad con los requisitos que para</w:t>
      </w:r>
      <w:r>
        <w:rPr>
          <w:spacing w:val="80"/>
        </w:rPr>
        <w:t xml:space="preserve"> </w:t>
      </w:r>
      <w:r>
        <w:t>cada</w:t>
      </w:r>
      <w:r>
        <w:rPr>
          <w:spacing w:val="80"/>
        </w:rPr>
        <w:t xml:space="preserve"> </w:t>
      </w:r>
      <w:r>
        <w:t>contrato</w:t>
      </w:r>
      <w:r>
        <w:rPr>
          <w:spacing w:val="80"/>
        </w:rPr>
        <w:t xml:space="preserve"> </w:t>
      </w:r>
      <w:r>
        <w:t>establece</w:t>
      </w:r>
      <w:r>
        <w:rPr>
          <w:spacing w:val="80"/>
        </w:rPr>
        <w:t xml:space="preserve"> </w:t>
      </w:r>
      <w:r>
        <w:t>la</w:t>
      </w:r>
      <w:r>
        <w:rPr>
          <w:spacing w:val="80"/>
        </w:rPr>
        <w:t xml:space="preserve"> </w:t>
      </w:r>
      <w:r>
        <w:t>presente</w:t>
      </w:r>
      <w:r>
        <w:rPr>
          <w:spacing w:val="80"/>
        </w:rPr>
        <w:t xml:space="preserve"> </w:t>
      </w:r>
      <w:r>
        <w:t>Ley,</w:t>
      </w:r>
      <w:r>
        <w:rPr>
          <w:spacing w:val="80"/>
        </w:rPr>
        <w:t xml:space="preserve"> </w:t>
      </w:r>
      <w:r>
        <w:t>y</w:t>
      </w:r>
      <w:r>
        <w:rPr>
          <w:spacing w:val="80"/>
        </w:rPr>
        <w:t xml:space="preserve"> </w:t>
      </w:r>
      <w:r>
        <w:t>solo</w:t>
      </w:r>
      <w:r>
        <w:rPr>
          <w:spacing w:val="80"/>
        </w:rPr>
        <w:t xml:space="preserve"> </w:t>
      </w:r>
      <w:r>
        <w:t>podrán</w:t>
      </w:r>
      <w:r>
        <w:rPr>
          <w:spacing w:val="80"/>
        </w:rPr>
        <w:t xml:space="preserve"> </w:t>
      </w:r>
      <w:r>
        <w:t>ser</w:t>
      </w:r>
      <w:r>
        <w:rPr>
          <w:spacing w:val="80"/>
        </w:rPr>
        <w:t xml:space="preserve"> </w:t>
      </w:r>
      <w:r>
        <w:t>modificados</w:t>
      </w:r>
      <w:r>
        <w:rPr>
          <w:spacing w:val="80"/>
        </w:rPr>
        <w:t xml:space="preserve"> </w:t>
      </w:r>
      <w:r>
        <w:t>con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jc w:val="left"/>
      </w:pPr>
      <w:r>
        <w:t>posterioridad</w:t>
      </w:r>
      <w:r>
        <w:rPr>
          <w:spacing w:val="37"/>
        </w:rPr>
        <w:t xml:space="preserve"> </w:t>
      </w:r>
      <w:r>
        <w:t>por</w:t>
      </w:r>
      <w:r>
        <w:rPr>
          <w:spacing w:val="37"/>
        </w:rPr>
        <w:t xml:space="preserve"> </w:t>
      </w:r>
      <w:r>
        <w:t>error</w:t>
      </w:r>
      <w:r>
        <w:rPr>
          <w:spacing w:val="37"/>
        </w:rPr>
        <w:t xml:space="preserve"> </w:t>
      </w:r>
      <w:r>
        <w:t>material,</w:t>
      </w:r>
      <w:r>
        <w:rPr>
          <w:spacing w:val="37"/>
        </w:rPr>
        <w:t xml:space="preserve"> </w:t>
      </w:r>
      <w:r>
        <w:t>de</w:t>
      </w:r>
      <w:r>
        <w:rPr>
          <w:spacing w:val="37"/>
        </w:rPr>
        <w:t xml:space="preserve"> </w:t>
      </w:r>
      <w:r>
        <w:t>hecho</w:t>
      </w:r>
      <w:r>
        <w:rPr>
          <w:spacing w:val="37"/>
        </w:rPr>
        <w:t xml:space="preserve"> </w:t>
      </w:r>
      <w:r>
        <w:t>o</w:t>
      </w:r>
      <w:r>
        <w:rPr>
          <w:spacing w:val="37"/>
        </w:rPr>
        <w:t xml:space="preserve"> </w:t>
      </w:r>
      <w:r>
        <w:t>aritmético.</w:t>
      </w:r>
      <w:r>
        <w:rPr>
          <w:spacing w:val="37"/>
        </w:rPr>
        <w:t xml:space="preserve"> </w:t>
      </w:r>
      <w:r>
        <w:t>En</w:t>
      </w:r>
      <w:r>
        <w:rPr>
          <w:spacing w:val="37"/>
        </w:rPr>
        <w:t xml:space="preserve"> </w:t>
      </w:r>
      <w:r>
        <w:t>otro</w:t>
      </w:r>
      <w:r>
        <w:rPr>
          <w:spacing w:val="37"/>
        </w:rPr>
        <w:t xml:space="preserve"> </w:t>
      </w:r>
      <w:r>
        <w:t>caso,</w:t>
      </w:r>
      <w:r>
        <w:rPr>
          <w:spacing w:val="37"/>
        </w:rPr>
        <w:t xml:space="preserve"> </w:t>
      </w:r>
      <w:r>
        <w:t>la</w:t>
      </w:r>
      <w:r>
        <w:rPr>
          <w:spacing w:val="37"/>
        </w:rPr>
        <w:t xml:space="preserve"> </w:t>
      </w:r>
      <w:r>
        <w:t>modificación</w:t>
      </w:r>
      <w:r>
        <w:rPr>
          <w:spacing w:val="37"/>
        </w:rPr>
        <w:t xml:space="preserve"> </w:t>
      </w:r>
      <w:r>
        <w:t>del pliego conllevará la retroacción de actuaciones.</w:t>
      </w:r>
    </w:p>
    <w:p w:rsidR="0092635B" w:rsidRDefault="00000000">
      <w:pPr>
        <w:spacing w:before="228"/>
        <w:ind w:left="1106"/>
        <w:rPr>
          <w:rFonts w:ascii="Arial" w:hAnsi="Arial"/>
          <w:i/>
          <w:sz w:val="20"/>
        </w:rPr>
      </w:pPr>
      <w:bookmarkStart w:id="213" w:name="Artículo_125._Definición_de_determinadas"/>
      <w:bookmarkEnd w:id="213"/>
      <w:r>
        <w:rPr>
          <w:rFonts w:ascii="Arial" w:hAnsi="Arial"/>
          <w:b/>
          <w:sz w:val="20"/>
        </w:rPr>
        <w:t>Artículo</w:t>
      </w:r>
      <w:r>
        <w:rPr>
          <w:rFonts w:ascii="Arial" w:hAnsi="Arial"/>
          <w:b/>
          <w:spacing w:val="-2"/>
          <w:sz w:val="20"/>
        </w:rPr>
        <w:t xml:space="preserve"> </w:t>
      </w:r>
      <w:r>
        <w:rPr>
          <w:rFonts w:ascii="Arial" w:hAnsi="Arial"/>
          <w:b/>
          <w:sz w:val="20"/>
        </w:rPr>
        <w:t>125.</w:t>
      </w:r>
      <w:r>
        <w:rPr>
          <w:rFonts w:ascii="Arial" w:hAnsi="Arial"/>
          <w:b/>
          <w:spacing w:val="51"/>
          <w:sz w:val="20"/>
        </w:rPr>
        <w:t xml:space="preserve"> </w:t>
      </w:r>
      <w:r>
        <w:rPr>
          <w:rFonts w:ascii="Arial" w:hAnsi="Arial"/>
          <w:i/>
          <w:sz w:val="20"/>
        </w:rPr>
        <w:t>Definición</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determinadas</w:t>
      </w:r>
      <w:r>
        <w:rPr>
          <w:rFonts w:ascii="Arial" w:hAnsi="Arial"/>
          <w:i/>
          <w:spacing w:val="-1"/>
          <w:sz w:val="20"/>
        </w:rPr>
        <w:t xml:space="preserve"> </w:t>
      </w:r>
      <w:r>
        <w:rPr>
          <w:rFonts w:ascii="Arial" w:hAnsi="Arial"/>
          <w:i/>
          <w:sz w:val="20"/>
        </w:rPr>
        <w:t>prescripciones</w:t>
      </w:r>
      <w:r>
        <w:rPr>
          <w:rFonts w:ascii="Arial" w:hAnsi="Arial"/>
          <w:i/>
          <w:spacing w:val="-1"/>
          <w:sz w:val="20"/>
        </w:rPr>
        <w:t xml:space="preserve"> </w:t>
      </w:r>
      <w:r>
        <w:rPr>
          <w:rFonts w:ascii="Arial" w:hAnsi="Arial"/>
          <w:i/>
          <w:spacing w:val="-2"/>
          <w:sz w:val="20"/>
        </w:rPr>
        <w:t>técnicas.</w:t>
      </w:r>
    </w:p>
    <w:p w:rsidR="0092635B" w:rsidRDefault="00000000">
      <w:pPr>
        <w:pStyle w:val="Textoindependiente"/>
        <w:spacing w:before="123"/>
        <w:ind w:left="1446" w:firstLine="0"/>
        <w:jc w:val="left"/>
      </w:pPr>
      <w:r>
        <w:t>A</w:t>
      </w:r>
      <w:r>
        <w:rPr>
          <w:spacing w:val="-5"/>
        </w:rPr>
        <w:t xml:space="preserve"> </w:t>
      </w:r>
      <w:r>
        <w:t>efectos</w:t>
      </w:r>
      <w:r>
        <w:rPr>
          <w:spacing w:val="-2"/>
        </w:rPr>
        <w:t xml:space="preserve"> </w:t>
      </w:r>
      <w:r>
        <w:t>de</w:t>
      </w:r>
      <w:r>
        <w:rPr>
          <w:spacing w:val="-2"/>
        </w:rPr>
        <w:t xml:space="preserve"> </w:t>
      </w:r>
      <w:r>
        <w:t>la</w:t>
      </w:r>
      <w:r>
        <w:rPr>
          <w:spacing w:val="-2"/>
        </w:rPr>
        <w:t xml:space="preserve"> </w:t>
      </w:r>
      <w:r>
        <w:t>presente</w:t>
      </w:r>
      <w:r>
        <w:rPr>
          <w:spacing w:val="-3"/>
        </w:rPr>
        <w:t xml:space="preserve"> </w:t>
      </w:r>
      <w:r>
        <w:t>Ley</w:t>
      </w:r>
      <w:r>
        <w:rPr>
          <w:spacing w:val="-2"/>
        </w:rPr>
        <w:t xml:space="preserve"> </w:t>
      </w:r>
      <w:r>
        <w:t>se</w:t>
      </w:r>
      <w:r>
        <w:rPr>
          <w:spacing w:val="-2"/>
        </w:rPr>
        <w:t xml:space="preserve"> </w:t>
      </w:r>
      <w:r>
        <w:t>entenderá</w:t>
      </w:r>
      <w:r>
        <w:rPr>
          <w:spacing w:val="-2"/>
        </w:rPr>
        <w:t xml:space="preserve"> </w:t>
      </w:r>
      <w:r>
        <w:rPr>
          <w:spacing w:val="-4"/>
        </w:rPr>
        <w:t>por:</w:t>
      </w:r>
    </w:p>
    <w:p w:rsidR="0092635B" w:rsidRDefault="00000000">
      <w:pPr>
        <w:pStyle w:val="Prrafodelista"/>
        <w:numPr>
          <w:ilvl w:val="0"/>
          <w:numId w:val="247"/>
        </w:numPr>
        <w:tabs>
          <w:tab w:val="left" w:pos="1668"/>
        </w:tabs>
        <w:spacing w:before="130"/>
        <w:ind w:right="0" w:hanging="222"/>
        <w:rPr>
          <w:sz w:val="20"/>
        </w:rPr>
      </w:pPr>
      <w:r>
        <w:rPr>
          <w:sz w:val="20"/>
        </w:rPr>
        <w:t>«Prescripción</w:t>
      </w:r>
      <w:r>
        <w:rPr>
          <w:spacing w:val="-9"/>
          <w:sz w:val="20"/>
        </w:rPr>
        <w:t xml:space="preserve"> </w:t>
      </w:r>
      <w:r>
        <w:rPr>
          <w:sz w:val="20"/>
        </w:rPr>
        <w:t>o</w:t>
      </w:r>
      <w:r>
        <w:rPr>
          <w:spacing w:val="-8"/>
          <w:sz w:val="20"/>
        </w:rPr>
        <w:t xml:space="preserve"> </w:t>
      </w:r>
      <w:r>
        <w:rPr>
          <w:sz w:val="20"/>
        </w:rPr>
        <w:t>especificación</w:t>
      </w:r>
      <w:r>
        <w:rPr>
          <w:spacing w:val="-8"/>
          <w:sz w:val="20"/>
        </w:rPr>
        <w:t xml:space="preserve"> </w:t>
      </w:r>
      <w:r>
        <w:rPr>
          <w:spacing w:val="-2"/>
          <w:sz w:val="20"/>
        </w:rPr>
        <w:t>técnica»:</w:t>
      </w:r>
    </w:p>
    <w:p w:rsidR="0092635B" w:rsidRDefault="00000000">
      <w:pPr>
        <w:pStyle w:val="Prrafodelista"/>
        <w:numPr>
          <w:ilvl w:val="1"/>
          <w:numId w:val="247"/>
        </w:numPr>
        <w:tabs>
          <w:tab w:val="left" w:pos="1716"/>
        </w:tabs>
        <w:spacing w:before="130" w:line="249" w:lineRule="auto"/>
        <w:ind w:right="1101" w:firstLine="340"/>
        <w:jc w:val="both"/>
        <w:rPr>
          <w:sz w:val="20"/>
        </w:rPr>
      </w:pPr>
      <w:r>
        <w:rPr>
          <w:sz w:val="20"/>
        </w:rPr>
        <w:t>Cuando se trate de contratos de obras, el conjunto de las prescripciones técnicas contenidas principalmente en los pliegos de la contratación, en las que se definan las características requeridas de un material, producto o suministro, y que permitan caracterizarlos de manera que respondan a la utilización a que los destine el poder adjudicador;</w:t>
      </w:r>
      <w:r>
        <w:rPr>
          <w:spacing w:val="-1"/>
          <w:sz w:val="20"/>
        </w:rPr>
        <w:t xml:space="preserve"> </w:t>
      </w:r>
      <w:r>
        <w:rPr>
          <w:sz w:val="20"/>
        </w:rPr>
        <w:t>asimismo,</w:t>
      </w:r>
      <w:r>
        <w:rPr>
          <w:spacing w:val="-1"/>
          <w:sz w:val="20"/>
        </w:rPr>
        <w:t xml:space="preserve"> </w:t>
      </w:r>
      <w:r>
        <w:rPr>
          <w:sz w:val="20"/>
        </w:rPr>
        <w:t>los</w:t>
      </w:r>
      <w:r>
        <w:rPr>
          <w:spacing w:val="-1"/>
          <w:sz w:val="20"/>
        </w:rPr>
        <w:t xml:space="preserve"> </w:t>
      </w:r>
      <w:r>
        <w:rPr>
          <w:sz w:val="20"/>
        </w:rPr>
        <w:t>procedimientos</w:t>
      </w:r>
      <w:r>
        <w:rPr>
          <w:spacing w:val="-1"/>
          <w:sz w:val="20"/>
        </w:rPr>
        <w:t xml:space="preserve"> </w:t>
      </w:r>
      <w:r>
        <w:rPr>
          <w:sz w:val="20"/>
        </w:rPr>
        <w:t>de</w:t>
      </w:r>
      <w:r>
        <w:rPr>
          <w:spacing w:val="-1"/>
          <w:sz w:val="20"/>
        </w:rPr>
        <w:t xml:space="preserve"> </w:t>
      </w:r>
      <w:r>
        <w:rPr>
          <w:sz w:val="20"/>
        </w:rPr>
        <w:t>aseguramiento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calidad,</w:t>
      </w:r>
      <w:r>
        <w:rPr>
          <w:spacing w:val="-1"/>
          <w:sz w:val="20"/>
        </w:rPr>
        <w:t xml:space="preserve"> </w:t>
      </w:r>
      <w:r>
        <w:rPr>
          <w:sz w:val="20"/>
        </w:rPr>
        <w:t>el</w:t>
      </w:r>
      <w:r>
        <w:rPr>
          <w:spacing w:val="-1"/>
          <w:sz w:val="20"/>
        </w:rPr>
        <w:t xml:space="preserve"> </w:t>
      </w:r>
      <w:r>
        <w:rPr>
          <w:sz w:val="20"/>
        </w:rPr>
        <w:t>impacto</w:t>
      </w:r>
      <w:r>
        <w:rPr>
          <w:spacing w:val="-1"/>
          <w:sz w:val="20"/>
        </w:rPr>
        <w:t xml:space="preserve"> </w:t>
      </w:r>
      <w:r>
        <w:rPr>
          <w:sz w:val="20"/>
        </w:rPr>
        <w:t xml:space="preserve">social, laboral, ambiental y climático de dichos materiales, productos o actividades que se desarrollen durante la elaboración o utilización de los mismos, el diseño para todas las necesidades (incluida la accesibilidad universal y diseño universal o diseño para todas las personas), la terminología, los símbolos, las pruebas y métodos de prueba, el envasado, marcado y etiquetado, las instrucciones de uso y los procesos y métodos de producción en cualquier fase del ciclo de vida de las obras; incluyen asimismo las reglas de elaboración del proyecto y cálculo de las obras, las condiciones de prueba, control y recepción de las obras, así como las técnicas o métodos de construcción y todas las demás condiciones de carácter técnico que el poder adjudicador pueda prescribir, por vía de reglamentación general o específica, en lo referente a obras acabadas y a los materiales o elementos que las </w:t>
      </w:r>
      <w:r>
        <w:rPr>
          <w:spacing w:val="-2"/>
          <w:sz w:val="20"/>
        </w:rPr>
        <w:t>constituyan;</w:t>
      </w:r>
    </w:p>
    <w:p w:rsidR="0092635B" w:rsidRDefault="00000000">
      <w:pPr>
        <w:pStyle w:val="Prrafodelista"/>
        <w:numPr>
          <w:ilvl w:val="1"/>
          <w:numId w:val="247"/>
        </w:numPr>
        <w:tabs>
          <w:tab w:val="left" w:pos="1690"/>
        </w:tabs>
        <w:spacing w:before="14" w:line="249" w:lineRule="auto"/>
        <w:ind w:right="1101" w:firstLine="340"/>
        <w:jc w:val="both"/>
        <w:rPr>
          <w:sz w:val="20"/>
        </w:rPr>
      </w:pPr>
      <w:r>
        <w:rPr>
          <w:sz w:val="20"/>
        </w:rPr>
        <w:t>Cuando se trate de contratos de suministro o de servicios, aquella especificación que figure en un documento en la que se definan las características exigidas de un producto o de un servicio, como, por ejemplo, los niveles de calidad, los niveles de comportamiento ambiental y climático, el diseño para todas las necesidades (incluida la accesibilidad</w:t>
      </w:r>
      <w:r>
        <w:rPr>
          <w:spacing w:val="40"/>
          <w:sz w:val="20"/>
        </w:rPr>
        <w:t xml:space="preserve"> </w:t>
      </w:r>
      <w:r>
        <w:rPr>
          <w:sz w:val="20"/>
        </w:rPr>
        <w:t>universal y diseño universal o diseño para todas las personas) y la evaluación de la conformidad, el rendimiento, la utilización del producto, su seguridad, o sus dimensiones; asimismo, los requisitos aplicables al producto en lo referente a la denominación de venta, la terminología, los símbolos, las pruebas y métodos de prueba, el envasado, marcado y etiquetado, las instrucciones de uso, los procesos y métodos de producción en cualquier</w:t>
      </w:r>
      <w:r>
        <w:rPr>
          <w:spacing w:val="80"/>
          <w:sz w:val="20"/>
        </w:rPr>
        <w:t xml:space="preserve"> </w:t>
      </w:r>
      <w:r>
        <w:rPr>
          <w:sz w:val="20"/>
        </w:rPr>
        <w:t>fase</w:t>
      </w:r>
      <w:r>
        <w:rPr>
          <w:spacing w:val="-1"/>
          <w:sz w:val="20"/>
        </w:rPr>
        <w:t xml:space="preserve"> </w:t>
      </w:r>
      <w:r>
        <w:rPr>
          <w:sz w:val="20"/>
        </w:rPr>
        <w:t>del</w:t>
      </w:r>
      <w:r>
        <w:rPr>
          <w:spacing w:val="-1"/>
          <w:sz w:val="20"/>
        </w:rPr>
        <w:t xml:space="preserve"> </w:t>
      </w:r>
      <w:r>
        <w:rPr>
          <w:sz w:val="20"/>
        </w:rPr>
        <w:t>ciclo</w:t>
      </w:r>
      <w:r>
        <w:rPr>
          <w:spacing w:val="-1"/>
          <w:sz w:val="20"/>
        </w:rPr>
        <w:t xml:space="preserve"> </w:t>
      </w:r>
      <w:r>
        <w:rPr>
          <w:sz w:val="20"/>
        </w:rPr>
        <w:t>de</w:t>
      </w:r>
      <w:r>
        <w:rPr>
          <w:spacing w:val="-1"/>
          <w:sz w:val="20"/>
        </w:rPr>
        <w:t xml:space="preserve"> </w:t>
      </w:r>
      <w:r>
        <w:rPr>
          <w:sz w:val="20"/>
        </w:rPr>
        <w:t>vida</w:t>
      </w:r>
      <w:r>
        <w:rPr>
          <w:spacing w:val="-1"/>
          <w:sz w:val="20"/>
        </w:rPr>
        <w:t xml:space="preserve"> </w:t>
      </w:r>
      <w:r>
        <w:rPr>
          <w:sz w:val="20"/>
        </w:rPr>
        <w:t>del</w:t>
      </w:r>
      <w:r>
        <w:rPr>
          <w:spacing w:val="-1"/>
          <w:sz w:val="20"/>
        </w:rPr>
        <w:t xml:space="preserve"> </w:t>
      </w:r>
      <w:r>
        <w:rPr>
          <w:sz w:val="20"/>
        </w:rPr>
        <w:t>suministro</w:t>
      </w:r>
      <w:r>
        <w:rPr>
          <w:spacing w:val="-1"/>
          <w:sz w:val="20"/>
        </w:rPr>
        <w:t xml:space="preserve"> </w:t>
      </w:r>
      <w:r>
        <w:rPr>
          <w:sz w:val="20"/>
        </w:rPr>
        <w:t>o</w:t>
      </w:r>
      <w:r>
        <w:rPr>
          <w:spacing w:val="-1"/>
          <w:sz w:val="20"/>
        </w:rPr>
        <w:t xml:space="preserve"> </w:t>
      </w:r>
      <w:r>
        <w:rPr>
          <w:sz w:val="20"/>
        </w:rPr>
        <w:t>servicio,</w:t>
      </w:r>
      <w:r>
        <w:rPr>
          <w:spacing w:val="-1"/>
          <w:sz w:val="20"/>
        </w:rPr>
        <w:t xml:space="preserve"> </w:t>
      </w:r>
      <w:r>
        <w:rPr>
          <w:sz w:val="20"/>
        </w:rPr>
        <w:t>así</w:t>
      </w:r>
      <w:r>
        <w:rPr>
          <w:spacing w:val="-1"/>
          <w:sz w:val="20"/>
        </w:rPr>
        <w:t xml:space="preserve"> </w:t>
      </w:r>
      <w:r>
        <w:rPr>
          <w:sz w:val="20"/>
        </w:rPr>
        <w:t>como</w:t>
      </w:r>
      <w:r>
        <w:rPr>
          <w:spacing w:val="-1"/>
          <w:sz w:val="20"/>
        </w:rPr>
        <w:t xml:space="preserve"> </w:t>
      </w:r>
      <w:r>
        <w:rPr>
          <w:sz w:val="20"/>
        </w:rPr>
        <w:t>los</w:t>
      </w:r>
      <w:r>
        <w:rPr>
          <w:spacing w:val="-1"/>
          <w:sz w:val="20"/>
        </w:rPr>
        <w:t xml:space="preserve"> </w:t>
      </w:r>
      <w:r>
        <w:rPr>
          <w:sz w:val="20"/>
        </w:rPr>
        <w:t>procedimientos</w:t>
      </w:r>
      <w:r>
        <w:rPr>
          <w:spacing w:val="-1"/>
          <w:sz w:val="20"/>
        </w:rPr>
        <w:t xml:space="preserve"> </w:t>
      </w:r>
      <w:r>
        <w:rPr>
          <w:sz w:val="20"/>
        </w:rPr>
        <w:t>de</w:t>
      </w:r>
      <w:r>
        <w:rPr>
          <w:spacing w:val="-1"/>
          <w:sz w:val="20"/>
        </w:rPr>
        <w:t xml:space="preserve"> </w:t>
      </w:r>
      <w:r>
        <w:rPr>
          <w:sz w:val="20"/>
        </w:rPr>
        <w:t>evaluación</w:t>
      </w:r>
      <w:r>
        <w:rPr>
          <w:spacing w:val="-1"/>
          <w:sz w:val="20"/>
        </w:rPr>
        <w:t xml:space="preserve"> </w:t>
      </w:r>
      <w:r>
        <w:rPr>
          <w:sz w:val="20"/>
        </w:rPr>
        <w:t>de la conformidad.</w:t>
      </w:r>
    </w:p>
    <w:p w:rsidR="0092635B" w:rsidRDefault="00000000">
      <w:pPr>
        <w:pStyle w:val="Textoindependiente"/>
        <w:spacing w:before="22"/>
        <w:ind w:left="0" w:firstLine="0"/>
        <w:jc w:val="left"/>
      </w:pPr>
      <w:r>
        <w:rPr>
          <w:noProof/>
        </w:rPr>
        <mc:AlternateContent>
          <mc:Choice Requires="wps">
            <w:drawing>
              <wp:anchor distT="0" distB="0" distL="0" distR="0" simplePos="0" relativeHeight="487592960" behindDoc="1" locked="0" layoutInCell="1" allowOverlap="1">
                <wp:simplePos x="0" y="0"/>
                <wp:positionH relativeFrom="page">
                  <wp:posOffset>1156762</wp:posOffset>
                </wp:positionH>
                <wp:positionV relativeFrom="paragraph">
                  <wp:posOffset>180790</wp:posOffset>
                </wp:positionV>
                <wp:extent cx="5247005" cy="64960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8" w:firstLine="340"/>
                              <w:jc w:val="both"/>
                              <w:rPr>
                                <w:color w:val="000000"/>
                                <w:sz w:val="18"/>
                              </w:rPr>
                            </w:pPr>
                            <w:r>
                              <w:rPr>
                                <w:color w:val="000000"/>
                                <w:sz w:val="18"/>
                              </w:rPr>
                              <w:t>Téngase en cuenta que se declara que el apartado 1 no es conforme con el orden constitucional de competencias, en los términos del fundamento jurídico 7 A) e), por la</w:t>
                            </w:r>
                            <w:r>
                              <w:rPr>
                                <w:color w:val="000000"/>
                                <w:spacing w:val="40"/>
                                <w:sz w:val="18"/>
                              </w:rPr>
                              <w:t xml:space="preserve"> </w:t>
                            </w:r>
                            <w:r>
                              <w:rPr>
                                <w:color w:val="000000"/>
                                <w:sz w:val="18"/>
                              </w:rPr>
                              <w:t xml:space="preserve">Sentencia del TC 68/2021, de 18 de marzo. </w:t>
                            </w:r>
                            <w:hyperlink r:id="rId31">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18" o:spid="_x0000_s1033" type="#_x0000_t202" style="position:absolute;margin-left:91.1pt;margin-top:14.25pt;width:413.15pt;height:51.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" fillcolor="#f7f7ff" strokecolor="#9f9f9f">
                <v:path arrowok="t"/>
                <v:textbox inset="0,0,0,0">
                  <w:txbxContent>
                    <w:p w:rsidR="0092635B" w:rsidRDefault="00000000">
                      <w:pPr>
                        <w:spacing w:before="181" w:line="249" w:lineRule="auto"/>
                        <w:ind w:left="269" w:right="268" w:firstLine="340"/>
                        <w:jc w:val="both"/>
                        <w:rPr>
                          <w:color w:val="000000"/>
                          <w:sz w:val="18"/>
                        </w:rPr>
                      </w:pPr>
                      <w:r>
                        <w:rPr>
                          <w:color w:val="000000"/>
                          <w:sz w:val="18"/>
                        </w:rPr>
                        <w:t>Téngase en cuenta que se declara que el apartado 1 no es conforme con el orden constitucional de competencias, en los términos del fundamento jurídico 7 A) e), por la</w:t>
                      </w:r>
                      <w:r>
                        <w:rPr>
                          <w:color w:val="000000"/>
                          <w:spacing w:val="40"/>
                          <w:sz w:val="18"/>
                        </w:rPr>
                        <w:t xml:space="preserve"> </w:t>
                      </w:r>
                      <w:r>
                        <w:rPr>
                          <w:color w:val="000000"/>
                          <w:sz w:val="18"/>
                        </w:rPr>
                        <w:t xml:space="preserve">Sentencia del TC 68/2021, de 18 de marzo. </w:t>
                      </w:r>
                      <w:hyperlink r:id="rId32">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247"/>
        </w:numPr>
        <w:tabs>
          <w:tab w:val="left" w:pos="1704"/>
        </w:tabs>
        <w:spacing w:before="0" w:line="249" w:lineRule="auto"/>
        <w:ind w:left="1106" w:right="1105" w:firstLine="340"/>
        <w:jc w:val="both"/>
        <w:rPr>
          <w:sz w:val="20"/>
        </w:rPr>
      </w:pPr>
      <w:r>
        <w:rPr>
          <w:sz w:val="20"/>
        </w:rPr>
        <w:t>«Norma»: una especificación técnica aprobada por un organismo de normalización reconocido</w:t>
      </w:r>
      <w:r>
        <w:rPr>
          <w:spacing w:val="-1"/>
          <w:sz w:val="20"/>
        </w:rPr>
        <w:t xml:space="preserve"> </w:t>
      </w:r>
      <w:r>
        <w:rPr>
          <w:sz w:val="20"/>
        </w:rPr>
        <w:t>para</w:t>
      </w:r>
      <w:r>
        <w:rPr>
          <w:spacing w:val="-1"/>
          <w:sz w:val="20"/>
        </w:rPr>
        <w:t xml:space="preserve"> </w:t>
      </w:r>
      <w:r>
        <w:rPr>
          <w:sz w:val="20"/>
        </w:rPr>
        <w:t>una</w:t>
      </w:r>
      <w:r>
        <w:rPr>
          <w:spacing w:val="-1"/>
          <w:sz w:val="20"/>
        </w:rPr>
        <w:t xml:space="preserve"> </w:t>
      </w:r>
      <w:r>
        <w:rPr>
          <w:sz w:val="20"/>
        </w:rPr>
        <w:t>aplicación</w:t>
      </w:r>
      <w:r>
        <w:rPr>
          <w:spacing w:val="-1"/>
          <w:sz w:val="20"/>
        </w:rPr>
        <w:t xml:space="preserve"> </w:t>
      </w:r>
      <w:r>
        <w:rPr>
          <w:sz w:val="20"/>
        </w:rPr>
        <w:t>repetida</w:t>
      </w:r>
      <w:r>
        <w:rPr>
          <w:spacing w:val="-1"/>
          <w:sz w:val="20"/>
        </w:rPr>
        <w:t xml:space="preserve"> </w:t>
      </w:r>
      <w:r>
        <w:rPr>
          <w:sz w:val="20"/>
        </w:rPr>
        <w:t>o</w:t>
      </w:r>
      <w:r>
        <w:rPr>
          <w:spacing w:val="-1"/>
          <w:sz w:val="20"/>
        </w:rPr>
        <w:t xml:space="preserve"> </w:t>
      </w:r>
      <w:r>
        <w:rPr>
          <w:sz w:val="20"/>
        </w:rPr>
        <w:t>continuada</w:t>
      </w:r>
      <w:r>
        <w:rPr>
          <w:spacing w:val="-1"/>
          <w:sz w:val="20"/>
        </w:rPr>
        <w:t xml:space="preserve"> </w:t>
      </w:r>
      <w:r>
        <w:rPr>
          <w:sz w:val="20"/>
        </w:rPr>
        <w:t>cuyo</w:t>
      </w:r>
      <w:r>
        <w:rPr>
          <w:spacing w:val="-1"/>
          <w:sz w:val="20"/>
        </w:rPr>
        <w:t xml:space="preserve"> </w:t>
      </w:r>
      <w:r>
        <w:rPr>
          <w:sz w:val="20"/>
        </w:rPr>
        <w:t>cumplimiento</w:t>
      </w:r>
      <w:r>
        <w:rPr>
          <w:spacing w:val="-1"/>
          <w:sz w:val="20"/>
        </w:rPr>
        <w:t xml:space="preserve"> </w:t>
      </w:r>
      <w:r>
        <w:rPr>
          <w:sz w:val="20"/>
        </w:rPr>
        <w:t>no</w:t>
      </w:r>
      <w:r>
        <w:rPr>
          <w:spacing w:val="-1"/>
          <w:sz w:val="20"/>
        </w:rPr>
        <w:t xml:space="preserve"> </w:t>
      </w:r>
      <w:r>
        <w:rPr>
          <w:sz w:val="20"/>
        </w:rPr>
        <w:t>sea</w:t>
      </w:r>
      <w:r>
        <w:rPr>
          <w:spacing w:val="-1"/>
          <w:sz w:val="20"/>
        </w:rPr>
        <w:t xml:space="preserve"> </w:t>
      </w:r>
      <w:r>
        <w:rPr>
          <w:sz w:val="20"/>
        </w:rPr>
        <w:t>obligatorio</w:t>
      </w:r>
      <w:r>
        <w:rPr>
          <w:spacing w:val="-1"/>
          <w:sz w:val="20"/>
        </w:rPr>
        <w:t xml:space="preserve"> </w:t>
      </w:r>
      <w:r>
        <w:rPr>
          <w:sz w:val="20"/>
        </w:rPr>
        <w:t>y que esté incluida en una de las categorías siguientes:</w:t>
      </w:r>
    </w:p>
    <w:p w:rsidR="0092635B" w:rsidRDefault="00000000">
      <w:pPr>
        <w:pStyle w:val="Prrafodelista"/>
        <w:numPr>
          <w:ilvl w:val="1"/>
          <w:numId w:val="247"/>
        </w:numPr>
        <w:tabs>
          <w:tab w:val="left" w:pos="1791"/>
        </w:tabs>
        <w:spacing w:before="122" w:line="249" w:lineRule="auto"/>
        <w:ind w:firstLine="340"/>
        <w:rPr>
          <w:sz w:val="20"/>
        </w:rPr>
      </w:pPr>
      <w:r>
        <w:rPr>
          <w:sz w:val="20"/>
        </w:rPr>
        <w:t>«Norma</w:t>
      </w:r>
      <w:r>
        <w:rPr>
          <w:spacing w:val="80"/>
          <w:sz w:val="20"/>
        </w:rPr>
        <w:t xml:space="preserve"> </w:t>
      </w:r>
      <w:r>
        <w:rPr>
          <w:sz w:val="20"/>
        </w:rPr>
        <w:t>internacional»:</w:t>
      </w:r>
      <w:r>
        <w:rPr>
          <w:spacing w:val="80"/>
          <w:sz w:val="20"/>
        </w:rPr>
        <w:t xml:space="preserve"> </w:t>
      </w:r>
      <w:r>
        <w:rPr>
          <w:sz w:val="20"/>
        </w:rPr>
        <w:t>Norma</w:t>
      </w:r>
      <w:r>
        <w:rPr>
          <w:spacing w:val="80"/>
          <w:sz w:val="20"/>
        </w:rPr>
        <w:t xml:space="preserve"> </w:t>
      </w:r>
      <w:r>
        <w:rPr>
          <w:sz w:val="20"/>
        </w:rPr>
        <w:t>adoptada</w:t>
      </w:r>
      <w:r>
        <w:rPr>
          <w:spacing w:val="80"/>
          <w:sz w:val="20"/>
        </w:rPr>
        <w:t xml:space="preserve"> </w:t>
      </w:r>
      <w:r>
        <w:rPr>
          <w:sz w:val="20"/>
        </w:rPr>
        <w:t>por</w:t>
      </w:r>
      <w:r>
        <w:rPr>
          <w:spacing w:val="80"/>
          <w:sz w:val="20"/>
        </w:rPr>
        <w:t xml:space="preserve"> </w:t>
      </w:r>
      <w:r>
        <w:rPr>
          <w:sz w:val="20"/>
        </w:rPr>
        <w:t>un</w:t>
      </w:r>
      <w:r>
        <w:rPr>
          <w:spacing w:val="80"/>
          <w:sz w:val="20"/>
        </w:rPr>
        <w:t xml:space="preserve"> </w:t>
      </w:r>
      <w:r>
        <w:rPr>
          <w:sz w:val="20"/>
        </w:rPr>
        <w:t>organismo</w:t>
      </w:r>
      <w:r>
        <w:rPr>
          <w:spacing w:val="80"/>
          <w:sz w:val="20"/>
        </w:rPr>
        <w:t xml:space="preserve"> </w:t>
      </w:r>
      <w:r>
        <w:rPr>
          <w:sz w:val="20"/>
        </w:rPr>
        <w:t>internacional</w:t>
      </w:r>
      <w:r>
        <w:rPr>
          <w:spacing w:val="80"/>
          <w:sz w:val="20"/>
        </w:rPr>
        <w:t xml:space="preserve"> </w:t>
      </w:r>
      <w:r>
        <w:rPr>
          <w:sz w:val="20"/>
        </w:rPr>
        <w:t>de</w:t>
      </w:r>
      <w:r>
        <w:rPr>
          <w:spacing w:val="40"/>
          <w:sz w:val="20"/>
        </w:rPr>
        <w:t xml:space="preserve"> </w:t>
      </w:r>
      <w:r>
        <w:rPr>
          <w:sz w:val="20"/>
        </w:rPr>
        <w:t>normalización y puesta a disposición del público.</w:t>
      </w:r>
    </w:p>
    <w:p w:rsidR="0092635B" w:rsidRDefault="00000000">
      <w:pPr>
        <w:pStyle w:val="Prrafodelista"/>
        <w:numPr>
          <w:ilvl w:val="1"/>
          <w:numId w:val="247"/>
        </w:numPr>
        <w:tabs>
          <w:tab w:val="left" w:pos="1711"/>
        </w:tabs>
        <w:spacing w:line="249" w:lineRule="auto"/>
        <w:ind w:right="1105" w:firstLine="340"/>
        <w:rPr>
          <w:sz w:val="20"/>
        </w:rPr>
      </w:pPr>
      <w:r>
        <w:rPr>
          <w:sz w:val="20"/>
        </w:rPr>
        <w:t>«Norma</w:t>
      </w:r>
      <w:r>
        <w:rPr>
          <w:spacing w:val="30"/>
          <w:sz w:val="20"/>
        </w:rPr>
        <w:t xml:space="preserve"> </w:t>
      </w:r>
      <w:r>
        <w:rPr>
          <w:sz w:val="20"/>
        </w:rPr>
        <w:t>europea»:</w:t>
      </w:r>
      <w:r>
        <w:rPr>
          <w:spacing w:val="30"/>
          <w:sz w:val="20"/>
        </w:rPr>
        <w:t xml:space="preserve"> </w:t>
      </w:r>
      <w:r>
        <w:rPr>
          <w:sz w:val="20"/>
        </w:rPr>
        <w:t>Norma</w:t>
      </w:r>
      <w:r>
        <w:rPr>
          <w:spacing w:val="30"/>
          <w:sz w:val="20"/>
        </w:rPr>
        <w:t xml:space="preserve"> </w:t>
      </w:r>
      <w:r>
        <w:rPr>
          <w:sz w:val="20"/>
        </w:rPr>
        <w:t>adoptada</w:t>
      </w:r>
      <w:r>
        <w:rPr>
          <w:spacing w:val="30"/>
          <w:sz w:val="20"/>
        </w:rPr>
        <w:t xml:space="preserve"> </w:t>
      </w:r>
      <w:r>
        <w:rPr>
          <w:sz w:val="20"/>
        </w:rPr>
        <w:t>por</w:t>
      </w:r>
      <w:r>
        <w:rPr>
          <w:spacing w:val="30"/>
          <w:sz w:val="20"/>
        </w:rPr>
        <w:t xml:space="preserve"> </w:t>
      </w:r>
      <w:r>
        <w:rPr>
          <w:sz w:val="20"/>
        </w:rPr>
        <w:t>un</w:t>
      </w:r>
      <w:r>
        <w:rPr>
          <w:spacing w:val="30"/>
          <w:sz w:val="20"/>
        </w:rPr>
        <w:t xml:space="preserve"> </w:t>
      </w:r>
      <w:r>
        <w:rPr>
          <w:sz w:val="20"/>
        </w:rPr>
        <w:t>organismo</w:t>
      </w:r>
      <w:r>
        <w:rPr>
          <w:spacing w:val="30"/>
          <w:sz w:val="20"/>
        </w:rPr>
        <w:t xml:space="preserve"> </w:t>
      </w:r>
      <w:r>
        <w:rPr>
          <w:sz w:val="20"/>
        </w:rPr>
        <w:t>europeo</w:t>
      </w:r>
      <w:r>
        <w:rPr>
          <w:spacing w:val="30"/>
          <w:sz w:val="20"/>
        </w:rPr>
        <w:t xml:space="preserve"> </w:t>
      </w:r>
      <w:r>
        <w:rPr>
          <w:sz w:val="20"/>
        </w:rPr>
        <w:t>de</w:t>
      </w:r>
      <w:r>
        <w:rPr>
          <w:spacing w:val="30"/>
          <w:sz w:val="20"/>
        </w:rPr>
        <w:t xml:space="preserve"> </w:t>
      </w:r>
      <w:r>
        <w:rPr>
          <w:sz w:val="20"/>
        </w:rPr>
        <w:t>normalización</w:t>
      </w:r>
      <w:r>
        <w:rPr>
          <w:spacing w:val="30"/>
          <w:sz w:val="20"/>
        </w:rPr>
        <w:t xml:space="preserve"> </w:t>
      </w:r>
      <w:r>
        <w:rPr>
          <w:sz w:val="20"/>
        </w:rPr>
        <w:t>y puesta a disposición del público.</w:t>
      </w:r>
    </w:p>
    <w:p w:rsidR="0092635B" w:rsidRDefault="00000000">
      <w:pPr>
        <w:pStyle w:val="Prrafodelista"/>
        <w:numPr>
          <w:ilvl w:val="1"/>
          <w:numId w:val="247"/>
        </w:numPr>
        <w:tabs>
          <w:tab w:val="left" w:pos="1699"/>
        </w:tabs>
        <w:spacing w:line="249" w:lineRule="auto"/>
        <w:ind w:right="1106" w:firstLine="340"/>
        <w:rPr>
          <w:sz w:val="20"/>
        </w:rPr>
      </w:pPr>
      <w:r>
        <w:rPr>
          <w:sz w:val="20"/>
        </w:rPr>
        <w:t>«Norma</w:t>
      </w:r>
      <w:r>
        <w:rPr>
          <w:spacing w:val="28"/>
          <w:sz w:val="20"/>
        </w:rPr>
        <w:t xml:space="preserve"> </w:t>
      </w:r>
      <w:r>
        <w:rPr>
          <w:sz w:val="20"/>
        </w:rPr>
        <w:t>nacional»:</w:t>
      </w:r>
      <w:r>
        <w:rPr>
          <w:spacing w:val="28"/>
          <w:sz w:val="20"/>
        </w:rPr>
        <w:t xml:space="preserve"> </w:t>
      </w:r>
      <w:r>
        <w:rPr>
          <w:sz w:val="20"/>
        </w:rPr>
        <w:t>Norma</w:t>
      </w:r>
      <w:r>
        <w:rPr>
          <w:spacing w:val="28"/>
          <w:sz w:val="20"/>
        </w:rPr>
        <w:t xml:space="preserve"> </w:t>
      </w:r>
      <w:r>
        <w:rPr>
          <w:sz w:val="20"/>
        </w:rPr>
        <w:t>adoptada</w:t>
      </w:r>
      <w:r>
        <w:rPr>
          <w:spacing w:val="28"/>
          <w:sz w:val="20"/>
        </w:rPr>
        <w:t xml:space="preserve"> </w:t>
      </w:r>
      <w:r>
        <w:rPr>
          <w:sz w:val="20"/>
        </w:rPr>
        <w:t>por</w:t>
      </w:r>
      <w:r>
        <w:rPr>
          <w:spacing w:val="28"/>
          <w:sz w:val="20"/>
        </w:rPr>
        <w:t xml:space="preserve"> </w:t>
      </w:r>
      <w:r>
        <w:rPr>
          <w:sz w:val="20"/>
        </w:rPr>
        <w:t>un</w:t>
      </w:r>
      <w:r>
        <w:rPr>
          <w:spacing w:val="28"/>
          <w:sz w:val="20"/>
        </w:rPr>
        <w:t xml:space="preserve"> </w:t>
      </w:r>
      <w:r>
        <w:rPr>
          <w:sz w:val="20"/>
        </w:rPr>
        <w:t>organismo</w:t>
      </w:r>
      <w:r>
        <w:rPr>
          <w:spacing w:val="28"/>
          <w:sz w:val="20"/>
        </w:rPr>
        <w:t xml:space="preserve"> </w:t>
      </w:r>
      <w:r>
        <w:rPr>
          <w:sz w:val="20"/>
        </w:rPr>
        <w:t>nacional</w:t>
      </w:r>
      <w:r>
        <w:rPr>
          <w:spacing w:val="28"/>
          <w:sz w:val="20"/>
        </w:rPr>
        <w:t xml:space="preserve"> </w:t>
      </w:r>
      <w:r>
        <w:rPr>
          <w:sz w:val="20"/>
        </w:rPr>
        <w:t>de</w:t>
      </w:r>
      <w:r>
        <w:rPr>
          <w:spacing w:val="28"/>
          <w:sz w:val="20"/>
        </w:rPr>
        <w:t xml:space="preserve"> </w:t>
      </w:r>
      <w:r>
        <w:rPr>
          <w:sz w:val="20"/>
        </w:rPr>
        <w:t>normalización</w:t>
      </w:r>
      <w:r>
        <w:rPr>
          <w:spacing w:val="28"/>
          <w:sz w:val="20"/>
        </w:rPr>
        <w:t xml:space="preserve"> </w:t>
      </w:r>
      <w:r>
        <w:rPr>
          <w:sz w:val="20"/>
        </w:rPr>
        <w:t>y puesta a disposición del público.</w:t>
      </w:r>
    </w:p>
    <w:p w:rsidR="0092635B" w:rsidRDefault="00000000">
      <w:pPr>
        <w:pStyle w:val="Prrafodelista"/>
        <w:numPr>
          <w:ilvl w:val="0"/>
          <w:numId w:val="247"/>
        </w:numPr>
        <w:tabs>
          <w:tab w:val="left" w:pos="1676"/>
        </w:tabs>
        <w:spacing w:before="121" w:line="249" w:lineRule="auto"/>
        <w:ind w:left="1106" w:right="1104" w:firstLine="340"/>
        <w:jc w:val="both"/>
        <w:rPr>
          <w:sz w:val="20"/>
        </w:rPr>
      </w:pPr>
      <w:r>
        <w:rPr>
          <w:sz w:val="20"/>
        </w:rPr>
        <w:t>«Evaluación técnica europea»: La evaluación documentada de las prestaciones de un producto de construcción en cuanto a sus características esenciales, con arreglo al correspondiente</w:t>
      </w:r>
      <w:r>
        <w:rPr>
          <w:spacing w:val="-3"/>
          <w:sz w:val="20"/>
        </w:rPr>
        <w:t xml:space="preserve"> </w:t>
      </w:r>
      <w:r>
        <w:rPr>
          <w:sz w:val="20"/>
        </w:rPr>
        <w:t>documento</w:t>
      </w:r>
      <w:r>
        <w:rPr>
          <w:spacing w:val="-3"/>
          <w:sz w:val="20"/>
        </w:rPr>
        <w:t xml:space="preserve"> </w:t>
      </w:r>
      <w:r>
        <w:rPr>
          <w:sz w:val="20"/>
        </w:rPr>
        <w:t>de</w:t>
      </w:r>
      <w:r>
        <w:rPr>
          <w:spacing w:val="-3"/>
          <w:sz w:val="20"/>
        </w:rPr>
        <w:t xml:space="preserve"> </w:t>
      </w:r>
      <w:r>
        <w:rPr>
          <w:sz w:val="20"/>
        </w:rPr>
        <w:t>evaluación</w:t>
      </w:r>
      <w:r>
        <w:rPr>
          <w:spacing w:val="-3"/>
          <w:sz w:val="20"/>
        </w:rPr>
        <w:t xml:space="preserve"> </w:t>
      </w:r>
      <w:r>
        <w:rPr>
          <w:sz w:val="20"/>
        </w:rPr>
        <w:t>europeo,</w:t>
      </w:r>
      <w:r>
        <w:rPr>
          <w:spacing w:val="-3"/>
          <w:sz w:val="20"/>
        </w:rPr>
        <w:t xml:space="preserve"> </w:t>
      </w:r>
      <w:r>
        <w:rPr>
          <w:sz w:val="20"/>
        </w:rPr>
        <w:t>tal</w:t>
      </w:r>
      <w:r>
        <w:rPr>
          <w:spacing w:val="-3"/>
          <w:sz w:val="20"/>
        </w:rPr>
        <w:t xml:space="preserve"> </w:t>
      </w:r>
      <w:r>
        <w:rPr>
          <w:sz w:val="20"/>
        </w:rPr>
        <w:t>como</w:t>
      </w:r>
      <w:r>
        <w:rPr>
          <w:spacing w:val="-3"/>
          <w:sz w:val="20"/>
        </w:rPr>
        <w:t xml:space="preserve"> </w:t>
      </w:r>
      <w:r>
        <w:rPr>
          <w:sz w:val="20"/>
        </w:rPr>
        <w:t>se</w:t>
      </w:r>
      <w:r>
        <w:rPr>
          <w:spacing w:val="-3"/>
          <w:sz w:val="20"/>
        </w:rPr>
        <w:t xml:space="preserve"> </w:t>
      </w:r>
      <w:r>
        <w:rPr>
          <w:sz w:val="20"/>
        </w:rPr>
        <w:t>define</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artículo</w:t>
      </w:r>
      <w:r>
        <w:rPr>
          <w:spacing w:val="-3"/>
          <w:sz w:val="20"/>
        </w:rPr>
        <w:t xml:space="preserve"> </w:t>
      </w:r>
      <w:r>
        <w:rPr>
          <w:sz w:val="20"/>
        </w:rPr>
        <w:t>2,</w:t>
      </w:r>
      <w:r>
        <w:rPr>
          <w:spacing w:val="-3"/>
          <w:sz w:val="20"/>
        </w:rPr>
        <w:t xml:space="preserve"> </w:t>
      </w:r>
      <w:r>
        <w:rPr>
          <w:sz w:val="20"/>
        </w:rPr>
        <w:t>punto 12, del Reglamento (UE) n.º 305/2011, del Parlamento Europeo y del Consejo.</w:t>
      </w:r>
    </w:p>
    <w:p w:rsidR="0092635B" w:rsidRDefault="00000000">
      <w:pPr>
        <w:pStyle w:val="Prrafodelista"/>
        <w:numPr>
          <w:ilvl w:val="0"/>
          <w:numId w:val="247"/>
        </w:numPr>
        <w:tabs>
          <w:tab w:val="left" w:pos="1708"/>
        </w:tabs>
        <w:spacing w:before="4" w:line="249" w:lineRule="auto"/>
        <w:ind w:left="1106" w:right="1104" w:firstLine="340"/>
        <w:jc w:val="both"/>
        <w:rPr>
          <w:sz w:val="20"/>
        </w:rPr>
      </w:pPr>
      <w:r>
        <w:rPr>
          <w:sz w:val="20"/>
        </w:rPr>
        <w:t>«Especificación técnica común»: la especificación técnica en el ámbito de las TIC elaborada de conformidad con los artículos 13 y 14 del Reglamento (UE) n.º 1025/2012.</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47"/>
        </w:numPr>
        <w:tabs>
          <w:tab w:val="left" w:pos="1695"/>
        </w:tabs>
        <w:spacing w:before="1" w:line="249" w:lineRule="auto"/>
        <w:ind w:left="1106" w:right="1104" w:firstLine="340"/>
        <w:jc w:val="both"/>
        <w:rPr>
          <w:sz w:val="20"/>
        </w:rPr>
      </w:pPr>
      <w:r>
        <w:rPr>
          <w:sz w:val="20"/>
        </w:rPr>
        <w:t>«Referencia técnica»: Cualquier documento elaborado por los organismos europeos de normalización, distinto de las normas europeas, con arreglo a procedimientos adaptados</w:t>
      </w:r>
      <w:r>
        <w:rPr>
          <w:spacing w:val="40"/>
          <w:sz w:val="20"/>
        </w:rPr>
        <w:t xml:space="preserve"> </w:t>
      </w:r>
      <w:r>
        <w:rPr>
          <w:sz w:val="20"/>
        </w:rPr>
        <w:t>a la evolución de las necesidades del mercado.</w:t>
      </w:r>
    </w:p>
    <w:p w:rsidR="0092635B" w:rsidRDefault="00000000">
      <w:pPr>
        <w:spacing w:before="229"/>
        <w:ind w:left="1106"/>
        <w:rPr>
          <w:rFonts w:ascii="Arial" w:hAnsi="Arial"/>
          <w:i/>
          <w:sz w:val="20"/>
        </w:rPr>
      </w:pPr>
      <w:bookmarkStart w:id="214" w:name="Artículo_126._Reglas_para_el_establecimi"/>
      <w:bookmarkEnd w:id="214"/>
      <w:r>
        <w:rPr>
          <w:rFonts w:ascii="Arial" w:hAnsi="Arial"/>
          <w:b/>
          <w:sz w:val="20"/>
        </w:rPr>
        <w:t>Artículo</w:t>
      </w:r>
      <w:r>
        <w:rPr>
          <w:rFonts w:ascii="Arial" w:hAnsi="Arial"/>
          <w:b/>
          <w:spacing w:val="-3"/>
          <w:sz w:val="20"/>
        </w:rPr>
        <w:t xml:space="preserve"> </w:t>
      </w:r>
      <w:r>
        <w:rPr>
          <w:rFonts w:ascii="Arial" w:hAnsi="Arial"/>
          <w:b/>
          <w:sz w:val="20"/>
        </w:rPr>
        <w:t>126.</w:t>
      </w:r>
      <w:r>
        <w:rPr>
          <w:rFonts w:ascii="Arial" w:hAnsi="Arial"/>
          <w:b/>
          <w:spacing w:val="50"/>
          <w:sz w:val="20"/>
        </w:rPr>
        <w:t xml:space="preserve"> </w:t>
      </w:r>
      <w:r>
        <w:rPr>
          <w:rFonts w:ascii="Arial" w:hAnsi="Arial"/>
          <w:i/>
          <w:sz w:val="20"/>
        </w:rPr>
        <w:t>Reglas</w:t>
      </w:r>
      <w:r>
        <w:rPr>
          <w:rFonts w:ascii="Arial" w:hAnsi="Arial"/>
          <w:i/>
          <w:spacing w:val="-2"/>
          <w:sz w:val="20"/>
        </w:rPr>
        <w:t xml:space="preserve"> </w:t>
      </w:r>
      <w:r>
        <w:rPr>
          <w:rFonts w:ascii="Arial" w:hAnsi="Arial"/>
          <w:i/>
          <w:sz w:val="20"/>
        </w:rPr>
        <w:t>para</w:t>
      </w:r>
      <w:r>
        <w:rPr>
          <w:rFonts w:ascii="Arial" w:hAnsi="Arial"/>
          <w:i/>
          <w:spacing w:val="-2"/>
          <w:sz w:val="20"/>
        </w:rPr>
        <w:t xml:space="preserve"> </w:t>
      </w:r>
      <w:r>
        <w:rPr>
          <w:rFonts w:ascii="Arial" w:hAnsi="Arial"/>
          <w:i/>
          <w:sz w:val="20"/>
        </w:rPr>
        <w:t>el</w:t>
      </w:r>
      <w:r>
        <w:rPr>
          <w:rFonts w:ascii="Arial" w:hAnsi="Arial"/>
          <w:i/>
          <w:spacing w:val="-2"/>
          <w:sz w:val="20"/>
        </w:rPr>
        <w:t xml:space="preserve"> </w:t>
      </w:r>
      <w:r>
        <w:rPr>
          <w:rFonts w:ascii="Arial" w:hAnsi="Arial"/>
          <w:i/>
          <w:sz w:val="20"/>
        </w:rPr>
        <w:t>establecimiento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prescripciones</w:t>
      </w:r>
      <w:r>
        <w:rPr>
          <w:rFonts w:ascii="Arial" w:hAnsi="Arial"/>
          <w:i/>
          <w:spacing w:val="-2"/>
          <w:sz w:val="20"/>
        </w:rPr>
        <w:t xml:space="preserve"> técnicas.</w:t>
      </w:r>
    </w:p>
    <w:p w:rsidR="0092635B" w:rsidRDefault="00000000">
      <w:pPr>
        <w:pStyle w:val="Prrafodelista"/>
        <w:numPr>
          <w:ilvl w:val="0"/>
          <w:numId w:val="246"/>
        </w:numPr>
        <w:tabs>
          <w:tab w:val="left" w:pos="1669"/>
        </w:tabs>
        <w:spacing w:before="123" w:line="249" w:lineRule="auto"/>
        <w:ind w:firstLine="340"/>
        <w:jc w:val="both"/>
        <w:rPr>
          <w:sz w:val="20"/>
        </w:rPr>
      </w:pPr>
      <w:r>
        <w:rPr>
          <w:sz w:val="20"/>
        </w:rPr>
        <w:t>Las</w:t>
      </w:r>
      <w:r>
        <w:rPr>
          <w:spacing w:val="-1"/>
          <w:sz w:val="20"/>
        </w:rPr>
        <w:t xml:space="preserve"> </w:t>
      </w:r>
      <w:r>
        <w:rPr>
          <w:sz w:val="20"/>
        </w:rPr>
        <w:t>prescripciones</w:t>
      </w:r>
      <w:r>
        <w:rPr>
          <w:spacing w:val="-1"/>
          <w:sz w:val="20"/>
        </w:rPr>
        <w:t xml:space="preserve"> </w:t>
      </w:r>
      <w:r>
        <w:rPr>
          <w:sz w:val="20"/>
        </w:rPr>
        <w:t>técnicas</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refieren</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123</w:t>
      </w:r>
      <w:r>
        <w:rPr>
          <w:spacing w:val="-1"/>
          <w:sz w:val="20"/>
        </w:rPr>
        <w:t xml:space="preserve"> </w:t>
      </w:r>
      <w:r>
        <w:rPr>
          <w:sz w:val="20"/>
        </w:rPr>
        <w:t>y</w:t>
      </w:r>
      <w:r>
        <w:rPr>
          <w:spacing w:val="-1"/>
          <w:sz w:val="20"/>
        </w:rPr>
        <w:t xml:space="preserve"> </w:t>
      </w:r>
      <w:r>
        <w:rPr>
          <w:sz w:val="20"/>
        </w:rPr>
        <w:t>124,</w:t>
      </w:r>
      <w:r>
        <w:rPr>
          <w:spacing w:val="-1"/>
          <w:sz w:val="20"/>
        </w:rPr>
        <w:t xml:space="preserve"> </w:t>
      </w:r>
      <w:r>
        <w:rPr>
          <w:sz w:val="20"/>
        </w:rPr>
        <w:t>proporcionarán</w:t>
      </w:r>
      <w:r>
        <w:rPr>
          <w:spacing w:val="-1"/>
          <w:sz w:val="20"/>
        </w:rPr>
        <w:t xml:space="preserve"> </w:t>
      </w:r>
      <w:r>
        <w:rPr>
          <w:sz w:val="20"/>
        </w:rPr>
        <w:t>a los empresarios acceso en condiciones de igualdad al procedimiento de contratación y no tendrán por efecto la creación de obstáculos injustificados a la apertura de la contratación pública a la competencia.</w:t>
      </w:r>
    </w:p>
    <w:p w:rsidR="0092635B" w:rsidRDefault="00000000">
      <w:pPr>
        <w:pStyle w:val="Prrafodelista"/>
        <w:numPr>
          <w:ilvl w:val="0"/>
          <w:numId w:val="246"/>
        </w:numPr>
        <w:tabs>
          <w:tab w:val="left" w:pos="1730"/>
        </w:tabs>
        <w:spacing w:before="4" w:line="249" w:lineRule="auto"/>
        <w:ind w:firstLine="340"/>
        <w:jc w:val="both"/>
        <w:rPr>
          <w:sz w:val="20"/>
        </w:rPr>
      </w:pPr>
      <w:r>
        <w:rPr>
          <w:sz w:val="20"/>
        </w:rPr>
        <w:t>Las prescripciones técnicas podrán referirse al proceso o método específico de producción o prestación de las obras, los suministros o los servicios requeridos, o a un proceso específico de otra fase de su ciclo de vida, según la definición establecida en el artículo 148, incluso cuando dichos factores no formen parte de la sustancia material de las obras, suministros o servicios, siempre que estén vinculados al objeto del contrato y guarden proporción con el valor y los objetivos de este.</w:t>
      </w:r>
    </w:p>
    <w:p w:rsidR="0092635B" w:rsidRDefault="00000000">
      <w:pPr>
        <w:pStyle w:val="Prrafodelista"/>
        <w:numPr>
          <w:ilvl w:val="0"/>
          <w:numId w:val="246"/>
        </w:numPr>
        <w:tabs>
          <w:tab w:val="left" w:pos="1676"/>
        </w:tabs>
        <w:spacing w:before="4" w:line="249" w:lineRule="auto"/>
        <w:ind w:firstLine="340"/>
        <w:jc w:val="both"/>
        <w:rPr>
          <w:sz w:val="20"/>
        </w:rPr>
      </w:pPr>
      <w:r>
        <w:rPr>
          <w:sz w:val="20"/>
        </w:rPr>
        <w:t>Para toda contratación que esté destinada a ser utilizada por personas físicas, ya sea el público en general o el personal de la Administración Pública contratante, las prescripciones técnicas se redactarán, salvo en casos debidamente justificados, de manera que se tengan en cuenta la Convención de las Naciones Unidas sobre los derechos de las personas con discapacidad, así como los criterios de accesibilidad universal y de diseño universal o diseño para todas las personas, tal y como son definidos estos términos en el texto refundido de la Ley General de derechos de las personas con discapacidad y de su inclusión social, aprobado mediante Real Decreto Legislativo 1/2013, de 29 de noviembre.</w:t>
      </w:r>
    </w:p>
    <w:p w:rsidR="0092635B" w:rsidRDefault="00000000">
      <w:pPr>
        <w:pStyle w:val="Textoindependiente"/>
        <w:spacing w:before="7" w:line="249" w:lineRule="auto"/>
        <w:ind w:right="1104"/>
      </w:pPr>
      <w:r>
        <w:t>De no ser posible definir las prescripciones técnicas teniendo en cuenta criterios de accesibilidad universal y de diseño universal o diseño para todas las personas, deberá motivarse suficientemente esta circunstancia.</w:t>
      </w:r>
    </w:p>
    <w:p w:rsidR="0092635B" w:rsidRDefault="00000000">
      <w:pPr>
        <w:pStyle w:val="Textoindependiente"/>
        <w:spacing w:before="3" w:line="249" w:lineRule="auto"/>
        <w:ind w:right="1105"/>
      </w:pPr>
      <w:r>
        <w:t>Sin perjuicio de lo anterior, siempre que existan requisitos de accesibilidad obligatorios adoptados por un acto jurídico de la Unión Europea, las especificaciones técnicas deberán ser definidas por referencia a esas normas en lo que respecta a los criterios de accesibilidad para las personas con discapacidad o el diseño para todos los usuarios.</w:t>
      </w:r>
    </w:p>
    <w:p w:rsidR="0092635B" w:rsidRDefault="00000000">
      <w:pPr>
        <w:pStyle w:val="Prrafodelista"/>
        <w:numPr>
          <w:ilvl w:val="0"/>
          <w:numId w:val="246"/>
        </w:numPr>
        <w:tabs>
          <w:tab w:val="left" w:pos="1707"/>
        </w:tabs>
        <w:spacing w:before="3" w:line="249" w:lineRule="auto"/>
        <w:ind w:right="1102" w:firstLine="340"/>
        <w:jc w:val="both"/>
        <w:rPr>
          <w:sz w:val="20"/>
        </w:rPr>
      </w:pPr>
      <w:r>
        <w:rPr>
          <w:sz w:val="20"/>
        </w:rPr>
        <w:t xml:space="preserve">Siempre que el objeto del contrato afecte o pueda afectar al medio ambiente, las prescripciones técnicas se definirán aplicando criterios de sostenibilidad y protección ambiental, de acuerdo con las definiciones y principios regulados en los artículos 3 y 4, respectivamente, de la Ley 16/2002, de 1 de julio, de Prevención y Control Integrados de la </w:t>
      </w:r>
      <w:r>
        <w:rPr>
          <w:spacing w:val="-2"/>
          <w:sz w:val="20"/>
        </w:rPr>
        <w:t>Contaminación.</w:t>
      </w:r>
    </w:p>
    <w:p w:rsidR="0092635B" w:rsidRDefault="00000000">
      <w:pPr>
        <w:pStyle w:val="Prrafodelista"/>
        <w:numPr>
          <w:ilvl w:val="0"/>
          <w:numId w:val="246"/>
        </w:numPr>
        <w:tabs>
          <w:tab w:val="left" w:pos="1742"/>
        </w:tabs>
        <w:spacing w:before="4" w:line="249" w:lineRule="auto"/>
        <w:ind w:firstLine="340"/>
        <w:jc w:val="both"/>
        <w:rPr>
          <w:sz w:val="20"/>
        </w:rPr>
      </w:pPr>
      <w:r>
        <w:rPr>
          <w:sz w:val="20"/>
        </w:rPr>
        <w:t>Sin perjuicio de las instrucciones y reglamentos técnicos nacionales que sean obligatorios, siempre y cuando sean compatibles con el derecho de la Unión Europea, las prescripciones técnicas se formularán de una de las siguientes maneras:</w:t>
      </w:r>
    </w:p>
    <w:p w:rsidR="0092635B" w:rsidRDefault="00000000">
      <w:pPr>
        <w:pStyle w:val="Prrafodelista"/>
        <w:numPr>
          <w:ilvl w:val="1"/>
          <w:numId w:val="246"/>
        </w:numPr>
        <w:tabs>
          <w:tab w:val="left" w:pos="1697"/>
        </w:tabs>
        <w:spacing w:before="122" w:line="249" w:lineRule="auto"/>
        <w:ind w:firstLine="340"/>
        <w:jc w:val="both"/>
        <w:rPr>
          <w:sz w:val="20"/>
        </w:rPr>
      </w:pPr>
      <w:r>
        <w:rPr>
          <w:sz w:val="20"/>
        </w:rPr>
        <w:t>En términos de rendimiento o de exigencias funcionales, incluidas las características medioambientales, siempre que los parámetros sean lo suficientemente precisos para permitir a los licitadores determinar el objeto del contrato y al órgano de contratación adjudicar el mismo;</w:t>
      </w:r>
    </w:p>
    <w:p w:rsidR="0092635B" w:rsidRDefault="00000000">
      <w:pPr>
        <w:pStyle w:val="Prrafodelista"/>
        <w:numPr>
          <w:ilvl w:val="1"/>
          <w:numId w:val="246"/>
        </w:numPr>
        <w:tabs>
          <w:tab w:val="left" w:pos="1808"/>
        </w:tabs>
        <w:spacing w:before="4" w:line="249" w:lineRule="auto"/>
        <w:ind w:firstLine="340"/>
        <w:jc w:val="both"/>
        <w:rPr>
          <w:sz w:val="20"/>
        </w:rPr>
      </w:pPr>
      <w:r>
        <w:rPr>
          <w:sz w:val="20"/>
        </w:rPr>
        <w:t>Haciendo referencia, de acuerdo con el siguiente orden de prelación, a especificaciones técnicas contenidas en normas nacionales que incorporen normas europeas, a evaluaciones técnicas europeas, a especificaciones técnicas comunes, a</w:t>
      </w:r>
      <w:r>
        <w:rPr>
          <w:spacing w:val="40"/>
          <w:sz w:val="20"/>
        </w:rPr>
        <w:t xml:space="preserve"> </w:t>
      </w:r>
      <w:r>
        <w:rPr>
          <w:sz w:val="20"/>
        </w:rPr>
        <w:t>normas internacionales, a otros sistemas de referencias técnicas elaborados por los organismos europeos de normalización o, en defecto de todos los anteriores, a normas nacionales, a documentos de idoneidad técnica nacionales o a especificaciones técnicas nacionales en materia de proyecto, cálculo y ejecución de obras y de uso de suministros; acompañando cada referencia de la mención «o equivalente»;</w:t>
      </w:r>
    </w:p>
    <w:p w:rsidR="0092635B" w:rsidRDefault="00000000">
      <w:pPr>
        <w:pStyle w:val="Prrafodelista"/>
        <w:numPr>
          <w:ilvl w:val="1"/>
          <w:numId w:val="246"/>
        </w:numPr>
        <w:tabs>
          <w:tab w:val="left" w:pos="1691"/>
        </w:tabs>
        <w:spacing w:before="6" w:line="249" w:lineRule="auto"/>
        <w:ind w:right="1105" w:firstLine="340"/>
        <w:jc w:val="both"/>
        <w:rPr>
          <w:sz w:val="20"/>
        </w:rPr>
      </w:pPr>
      <w:r>
        <w:rPr>
          <w:sz w:val="20"/>
        </w:rPr>
        <w:t>En términos de rendimiento o de exigencias funcionales según lo mencionado en la letra</w:t>
      </w:r>
      <w:r>
        <w:rPr>
          <w:spacing w:val="-2"/>
          <w:sz w:val="20"/>
        </w:rPr>
        <w:t xml:space="preserve"> </w:t>
      </w:r>
      <w:r>
        <w:rPr>
          <w:sz w:val="20"/>
        </w:rPr>
        <w:t>a),</w:t>
      </w:r>
      <w:r>
        <w:rPr>
          <w:spacing w:val="-2"/>
          <w:sz w:val="20"/>
        </w:rPr>
        <w:t xml:space="preserve"> </w:t>
      </w:r>
      <w:r>
        <w:rPr>
          <w:sz w:val="20"/>
        </w:rPr>
        <w:t>haciendo</w:t>
      </w:r>
      <w:r>
        <w:rPr>
          <w:spacing w:val="-2"/>
          <w:sz w:val="20"/>
        </w:rPr>
        <w:t xml:space="preserve"> </w:t>
      </w:r>
      <w:r>
        <w:rPr>
          <w:sz w:val="20"/>
        </w:rPr>
        <w:t>referencia,</w:t>
      </w:r>
      <w:r>
        <w:rPr>
          <w:spacing w:val="-2"/>
          <w:sz w:val="20"/>
        </w:rPr>
        <w:t xml:space="preserve"> </w:t>
      </w:r>
      <w:r>
        <w:rPr>
          <w:sz w:val="20"/>
        </w:rPr>
        <w:t>como</w:t>
      </w:r>
      <w:r>
        <w:rPr>
          <w:spacing w:val="-2"/>
          <w:sz w:val="20"/>
        </w:rPr>
        <w:t xml:space="preserve"> </w:t>
      </w:r>
      <w:r>
        <w:rPr>
          <w:sz w:val="20"/>
        </w:rPr>
        <w:t>medio</w:t>
      </w:r>
      <w:r>
        <w:rPr>
          <w:spacing w:val="-2"/>
          <w:sz w:val="20"/>
        </w:rPr>
        <w:t xml:space="preserve"> </w:t>
      </w:r>
      <w:r>
        <w:rPr>
          <w:sz w:val="20"/>
        </w:rPr>
        <w:t>de</w:t>
      </w:r>
      <w:r>
        <w:rPr>
          <w:spacing w:val="-2"/>
          <w:sz w:val="20"/>
        </w:rPr>
        <w:t xml:space="preserve"> </w:t>
      </w:r>
      <w:r>
        <w:rPr>
          <w:sz w:val="20"/>
        </w:rPr>
        <w:t>presunción</w:t>
      </w:r>
      <w:r>
        <w:rPr>
          <w:spacing w:val="-2"/>
          <w:sz w:val="20"/>
        </w:rPr>
        <w:t xml:space="preserve"> </w:t>
      </w:r>
      <w:r>
        <w:rPr>
          <w:sz w:val="20"/>
        </w:rPr>
        <w:t>de</w:t>
      </w:r>
      <w:r>
        <w:rPr>
          <w:spacing w:val="-2"/>
          <w:sz w:val="20"/>
        </w:rPr>
        <w:t xml:space="preserve"> </w:t>
      </w:r>
      <w:r>
        <w:rPr>
          <w:sz w:val="20"/>
        </w:rPr>
        <w:t>conformidad</w:t>
      </w:r>
      <w:r>
        <w:rPr>
          <w:spacing w:val="-2"/>
          <w:sz w:val="20"/>
        </w:rPr>
        <w:t xml:space="preserve"> </w:t>
      </w:r>
      <w:r>
        <w:rPr>
          <w:sz w:val="20"/>
        </w:rPr>
        <w:t>con</w:t>
      </w:r>
      <w:r>
        <w:rPr>
          <w:spacing w:val="-2"/>
          <w:sz w:val="20"/>
        </w:rPr>
        <w:t xml:space="preserve"> </w:t>
      </w:r>
      <w:r>
        <w:rPr>
          <w:sz w:val="20"/>
        </w:rPr>
        <w:t>estos</w:t>
      </w:r>
      <w:r>
        <w:rPr>
          <w:spacing w:val="-2"/>
          <w:sz w:val="20"/>
        </w:rPr>
        <w:t xml:space="preserve"> </w:t>
      </w:r>
      <w:r>
        <w:rPr>
          <w:sz w:val="20"/>
        </w:rPr>
        <w:t>requisitos de rendimiento o exigencias funcionales, a las especificaciones contempladas en la letra b);</w:t>
      </w:r>
    </w:p>
    <w:p w:rsidR="0092635B" w:rsidRDefault="00000000">
      <w:pPr>
        <w:pStyle w:val="Prrafodelista"/>
        <w:numPr>
          <w:ilvl w:val="1"/>
          <w:numId w:val="246"/>
        </w:numPr>
        <w:tabs>
          <w:tab w:val="left" w:pos="1729"/>
        </w:tabs>
        <w:spacing w:before="3" w:line="249" w:lineRule="auto"/>
        <w:ind w:firstLine="340"/>
        <w:jc w:val="both"/>
        <w:rPr>
          <w:sz w:val="20"/>
        </w:rPr>
      </w:pPr>
      <w:r>
        <w:rPr>
          <w:sz w:val="20"/>
        </w:rPr>
        <w:t>Haciendo referencia a especificaciones técnicas mencionadas en la letra b) para determinadas características, y mediante referencia al rendimiento o exigencias funcionales mencionados en la letra a) para otras características.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246"/>
        </w:numPr>
        <w:tabs>
          <w:tab w:val="left" w:pos="1706"/>
        </w:tabs>
        <w:spacing w:before="1" w:line="249" w:lineRule="auto"/>
        <w:ind w:right="1104" w:firstLine="340"/>
        <w:jc w:val="both"/>
        <w:rPr>
          <w:sz w:val="20"/>
        </w:rPr>
      </w:pPr>
      <w:r>
        <w:rPr>
          <w:sz w:val="20"/>
        </w:rPr>
        <w:t>Salvo que lo justifique el objeto del contrato, las prescripciones técnicas no harán referencia a una fabricación o una procedencia determinada, o a un procedimiento concreto que caracterice a los productos o servicios ofrecidos por un empresario determinado, o a marcas, patentes o tipos, o a un origen o a una producción determinados, con la finalidad de favorecer o descartar ciertas empresas o ciertos productos. Tal referencia se autorizará, con carácter excepcional, en el caso en que no sea posible hacer una descripción lo bastante precisa e inteligible del objeto del contrato en aplicación del apartado 5, en cuyo caso irá acompañada de la mención «o equivalente».</w:t>
      </w:r>
    </w:p>
    <w:p w:rsidR="0092635B" w:rsidRDefault="00000000">
      <w:pPr>
        <w:pStyle w:val="Prrafodelista"/>
        <w:numPr>
          <w:ilvl w:val="0"/>
          <w:numId w:val="246"/>
        </w:numPr>
        <w:tabs>
          <w:tab w:val="left" w:pos="1672"/>
        </w:tabs>
        <w:spacing w:before="6" w:line="249" w:lineRule="auto"/>
        <w:ind w:firstLine="340"/>
        <w:jc w:val="both"/>
        <w:rPr>
          <w:sz w:val="20"/>
        </w:rPr>
      </w:pPr>
      <w:r>
        <w:rPr>
          <w:sz w:val="20"/>
        </w:rPr>
        <w:t>Cuando los órganos de contratación hagan uso de la opción prevista en el apartado 5, letra a), de formular prescripciones técnicas en términos de rendimiento o de exigencias funcionales, no podrán rechazar una oferta de obras, de suministros o de servicios que se ajusten a una norma nacional que transponga una norma europea, a un documento de idoneidad técnica europeo, a una especificación técnica común, a una norma internacional o a un sistema de referencias técnicas elaborado por un organismo europeo de normalización, si tales especificaciones tienen por objeto los requisitos de rendimiento o exigencias funcionales exigidos por las prescripciones técnicas, siempre que en su oferta, el licitador pruebe por cualquier medio adecuado, incluidos los medios de prueba mencionados en los artículos 127 y 128, que la obra, el suministro o el servicio conforme a la norma reúne los requisitos de rendimiento o exigencias funcionales establecidos por el órgano de</w:t>
      </w:r>
      <w:r>
        <w:rPr>
          <w:spacing w:val="40"/>
          <w:sz w:val="20"/>
        </w:rPr>
        <w:t xml:space="preserve"> </w:t>
      </w:r>
      <w:r>
        <w:rPr>
          <w:spacing w:val="-2"/>
          <w:sz w:val="20"/>
        </w:rPr>
        <w:t>contratación.</w:t>
      </w:r>
    </w:p>
    <w:p w:rsidR="0092635B" w:rsidRDefault="00000000">
      <w:pPr>
        <w:pStyle w:val="Prrafodelista"/>
        <w:numPr>
          <w:ilvl w:val="0"/>
          <w:numId w:val="246"/>
        </w:numPr>
        <w:tabs>
          <w:tab w:val="left" w:pos="1726"/>
        </w:tabs>
        <w:spacing w:before="10" w:line="249" w:lineRule="auto"/>
        <w:ind w:firstLine="340"/>
        <w:jc w:val="both"/>
        <w:rPr>
          <w:sz w:val="20"/>
        </w:rPr>
      </w:pPr>
      <w:r>
        <w:rPr>
          <w:sz w:val="20"/>
        </w:rPr>
        <w:t>Cuando los órganos de contratación hagan uso de la opción de referirse a las especificaciones técnicas previstas en el apartado 5, letra b), no podrán rechazar una oferta basándose en que las obras, los suministros o los servicios ofrecidos no se ajustan a las especificaciones técnicas a las que han hecho referencia, siempre que en su oferta el licitador demuestre por cualquier medio adecuado, incluidos los medios de prueba mencionados en el artículo 128, que las soluciones que propone cumplen de forma equivalente los requisitos exigidos en las correspondientes prescripciones técnicas.</w:t>
      </w:r>
    </w:p>
    <w:p w:rsidR="0092635B" w:rsidRDefault="0092635B">
      <w:pPr>
        <w:pStyle w:val="Textoindependiente"/>
        <w:ind w:left="0" w:firstLine="0"/>
        <w:jc w:val="left"/>
      </w:pPr>
    </w:p>
    <w:p w:rsidR="0092635B" w:rsidRDefault="00000000">
      <w:pPr>
        <w:spacing w:before="1"/>
        <w:ind w:left="1106"/>
        <w:rPr>
          <w:rFonts w:ascii="Arial" w:hAnsi="Arial"/>
          <w:i/>
          <w:sz w:val="20"/>
        </w:rPr>
      </w:pPr>
      <w:bookmarkStart w:id="215" w:name="Artículo_127._Etiquetas."/>
      <w:bookmarkEnd w:id="215"/>
      <w:r>
        <w:rPr>
          <w:rFonts w:ascii="Arial" w:hAnsi="Arial"/>
          <w:b/>
          <w:sz w:val="20"/>
        </w:rPr>
        <w:t>Artículo 127.</w:t>
      </w:r>
      <w:r>
        <w:rPr>
          <w:rFonts w:ascii="Arial" w:hAnsi="Arial"/>
          <w:b/>
          <w:spacing w:val="54"/>
          <w:sz w:val="20"/>
        </w:rPr>
        <w:t xml:space="preserve"> </w:t>
      </w:r>
      <w:r>
        <w:rPr>
          <w:rFonts w:ascii="Arial" w:hAnsi="Arial"/>
          <w:i/>
          <w:spacing w:val="-2"/>
          <w:sz w:val="20"/>
        </w:rPr>
        <w:t>Etiquetas.</w:t>
      </w:r>
    </w:p>
    <w:p w:rsidR="0092635B" w:rsidRDefault="00000000">
      <w:pPr>
        <w:pStyle w:val="Prrafodelista"/>
        <w:numPr>
          <w:ilvl w:val="0"/>
          <w:numId w:val="245"/>
        </w:numPr>
        <w:tabs>
          <w:tab w:val="left" w:pos="1739"/>
        </w:tabs>
        <w:spacing w:before="123" w:line="249" w:lineRule="auto"/>
        <w:ind w:right="1102" w:firstLine="340"/>
        <w:jc w:val="both"/>
        <w:rPr>
          <w:sz w:val="20"/>
        </w:rPr>
      </w:pPr>
      <w:r>
        <w:rPr>
          <w:sz w:val="20"/>
        </w:rPr>
        <w:t>A los efectos de esta Ley, se entenderá por «etiqueta»: cualquier documento, certificado o acreditación que confirme que las obras, productos, servicios, procesos o procedimientos de que se trate cumplen determinados requisitos.</w:t>
      </w:r>
    </w:p>
    <w:p w:rsidR="0092635B" w:rsidRDefault="00000000">
      <w:pPr>
        <w:pStyle w:val="Prrafodelista"/>
        <w:numPr>
          <w:ilvl w:val="0"/>
          <w:numId w:val="245"/>
        </w:numPr>
        <w:tabs>
          <w:tab w:val="left" w:pos="1675"/>
        </w:tabs>
        <w:spacing w:line="249" w:lineRule="auto"/>
        <w:ind w:firstLine="340"/>
        <w:jc w:val="both"/>
        <w:rPr>
          <w:sz w:val="20"/>
        </w:rPr>
      </w:pPr>
      <w:r>
        <w:rPr>
          <w:sz w:val="20"/>
        </w:rPr>
        <w:t>Cuando los órganos de contratación tengan la intención de adquirir obras, suministros o servicios con características específicas de tipo medioambiental, social u otro, podrán exigir,</w:t>
      </w:r>
      <w:r>
        <w:rPr>
          <w:spacing w:val="-1"/>
          <w:sz w:val="20"/>
        </w:rPr>
        <w:t xml:space="preserve"> </w:t>
      </w:r>
      <w:r>
        <w:rPr>
          <w:sz w:val="20"/>
        </w:rPr>
        <w:t>en</w:t>
      </w:r>
      <w:r>
        <w:rPr>
          <w:spacing w:val="-1"/>
          <w:sz w:val="20"/>
        </w:rPr>
        <w:t xml:space="preserve"> </w:t>
      </w:r>
      <w:r>
        <w:rPr>
          <w:sz w:val="20"/>
        </w:rPr>
        <w:t>las</w:t>
      </w:r>
      <w:r>
        <w:rPr>
          <w:spacing w:val="-1"/>
          <w:sz w:val="20"/>
        </w:rPr>
        <w:t xml:space="preserve"> </w:t>
      </w:r>
      <w:r>
        <w:rPr>
          <w:sz w:val="20"/>
        </w:rPr>
        <w:t>prescripciones</w:t>
      </w:r>
      <w:r>
        <w:rPr>
          <w:spacing w:val="-1"/>
          <w:sz w:val="20"/>
        </w:rPr>
        <w:t xml:space="preserve"> </w:t>
      </w:r>
      <w:r>
        <w:rPr>
          <w:sz w:val="20"/>
        </w:rPr>
        <w:t>técnicas,</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criterios</w:t>
      </w:r>
      <w:r>
        <w:rPr>
          <w:spacing w:val="-1"/>
          <w:sz w:val="20"/>
        </w:rPr>
        <w:t xml:space="preserve"> </w:t>
      </w:r>
      <w:r>
        <w:rPr>
          <w:sz w:val="20"/>
        </w:rPr>
        <w:t>de</w:t>
      </w:r>
      <w:r>
        <w:rPr>
          <w:spacing w:val="-1"/>
          <w:sz w:val="20"/>
        </w:rPr>
        <w:t xml:space="preserve"> </w:t>
      </w:r>
      <w:r>
        <w:rPr>
          <w:sz w:val="20"/>
        </w:rPr>
        <w:t>adjudicación</w:t>
      </w:r>
      <w:r>
        <w:rPr>
          <w:spacing w:val="-1"/>
          <w:sz w:val="20"/>
        </w:rPr>
        <w:t xml:space="preserve"> </w:t>
      </w:r>
      <w:r>
        <w:rPr>
          <w:sz w:val="20"/>
        </w:rPr>
        <w:t>o</w:t>
      </w:r>
      <w:r>
        <w:rPr>
          <w:spacing w:val="-1"/>
          <w:sz w:val="20"/>
        </w:rPr>
        <w:t xml:space="preserve"> </w:t>
      </w:r>
      <w:r>
        <w:rPr>
          <w:sz w:val="20"/>
        </w:rPr>
        <w:t>en</w:t>
      </w:r>
      <w:r>
        <w:rPr>
          <w:spacing w:val="-1"/>
          <w:sz w:val="20"/>
        </w:rPr>
        <w:t xml:space="preserve"> </w:t>
      </w:r>
      <w:r>
        <w:rPr>
          <w:sz w:val="20"/>
        </w:rPr>
        <w:t>las</w:t>
      </w:r>
      <w:r>
        <w:rPr>
          <w:spacing w:val="-1"/>
          <w:sz w:val="20"/>
        </w:rPr>
        <w:t xml:space="preserve"> </w:t>
      </w:r>
      <w:r>
        <w:rPr>
          <w:sz w:val="20"/>
        </w:rPr>
        <w:t>condiciones</w:t>
      </w:r>
      <w:r>
        <w:rPr>
          <w:spacing w:val="-1"/>
          <w:sz w:val="20"/>
        </w:rPr>
        <w:t xml:space="preserve"> </w:t>
      </w:r>
      <w:r>
        <w:rPr>
          <w:sz w:val="20"/>
        </w:rPr>
        <w:t>de ejecución del contrato, una etiqueta específica como medio de prueba de que las obras, los servicios o los suministros cumplen las características exigidas, etiquetas de tipo social o medioambiental, como aquellas relacionadas con la agricultura o la ganadería ecológicas, el comercio justo, la igualdad de género o las que garantizan el cumplimiento de las Convenciones fundamentales de la Organización Internacional del Trabajo, siempre que se cumplan todas las condiciones siguientes:</w:t>
      </w:r>
    </w:p>
    <w:p w:rsidR="0092635B" w:rsidRDefault="00000000">
      <w:pPr>
        <w:pStyle w:val="Prrafodelista"/>
        <w:numPr>
          <w:ilvl w:val="1"/>
          <w:numId w:val="245"/>
        </w:numPr>
        <w:tabs>
          <w:tab w:val="left" w:pos="1694"/>
        </w:tabs>
        <w:spacing w:before="128" w:line="249" w:lineRule="auto"/>
        <w:ind w:firstLine="340"/>
        <w:jc w:val="both"/>
        <w:rPr>
          <w:sz w:val="20"/>
        </w:rPr>
      </w:pPr>
      <w:r>
        <w:rPr>
          <w:sz w:val="20"/>
        </w:rPr>
        <w:t>Que los requisitos exigidos para la obtención de la etiqueta se refieran únicamente a criterios vinculados al objeto del contrato y sean adecuados para definir las características</w:t>
      </w:r>
      <w:r>
        <w:rPr>
          <w:spacing w:val="80"/>
          <w:sz w:val="20"/>
        </w:rPr>
        <w:t xml:space="preserve"> </w:t>
      </w:r>
      <w:r>
        <w:rPr>
          <w:sz w:val="20"/>
        </w:rPr>
        <w:t>de las obras, los suministros o los servicios que constituyan dicho objeto.</w:t>
      </w:r>
    </w:p>
    <w:p w:rsidR="0092635B" w:rsidRDefault="00000000">
      <w:pPr>
        <w:pStyle w:val="Prrafodelista"/>
        <w:numPr>
          <w:ilvl w:val="1"/>
          <w:numId w:val="245"/>
        </w:numPr>
        <w:tabs>
          <w:tab w:val="left" w:pos="1718"/>
        </w:tabs>
        <w:spacing w:line="249" w:lineRule="auto"/>
        <w:ind w:right="1105" w:firstLine="340"/>
        <w:jc w:val="both"/>
        <w:rPr>
          <w:sz w:val="20"/>
        </w:rPr>
      </w:pPr>
      <w:r>
        <w:rPr>
          <w:sz w:val="20"/>
        </w:rPr>
        <w:t>Que los requisitos exigidos para la obtención de la etiqueta se basen en criterios verificables objetivamente y que no resulten discriminatorios.</w:t>
      </w:r>
    </w:p>
    <w:p w:rsidR="0092635B" w:rsidRDefault="00000000">
      <w:pPr>
        <w:pStyle w:val="Prrafodelista"/>
        <w:numPr>
          <w:ilvl w:val="1"/>
          <w:numId w:val="245"/>
        </w:numPr>
        <w:tabs>
          <w:tab w:val="left" w:pos="1669"/>
        </w:tabs>
        <w:spacing w:line="249" w:lineRule="auto"/>
        <w:ind w:right="1101" w:firstLine="340"/>
        <w:jc w:val="both"/>
        <w:rPr>
          <w:sz w:val="20"/>
        </w:rPr>
      </w:pPr>
      <w:r>
        <w:rPr>
          <w:sz w:val="20"/>
        </w:rPr>
        <w:t>Que</w:t>
      </w:r>
      <w:r>
        <w:rPr>
          <w:spacing w:val="-1"/>
          <w:sz w:val="20"/>
        </w:rPr>
        <w:t xml:space="preserve"> </w:t>
      </w:r>
      <w:r>
        <w:rPr>
          <w:sz w:val="20"/>
        </w:rPr>
        <w:t>las</w:t>
      </w:r>
      <w:r>
        <w:rPr>
          <w:spacing w:val="-1"/>
          <w:sz w:val="20"/>
        </w:rPr>
        <w:t xml:space="preserve"> </w:t>
      </w:r>
      <w:r>
        <w:rPr>
          <w:sz w:val="20"/>
        </w:rPr>
        <w:t>etiquetas</w:t>
      </w:r>
      <w:r>
        <w:rPr>
          <w:spacing w:val="-1"/>
          <w:sz w:val="20"/>
        </w:rPr>
        <w:t xml:space="preserve"> </w:t>
      </w:r>
      <w:r>
        <w:rPr>
          <w:sz w:val="20"/>
        </w:rPr>
        <w:t>se</w:t>
      </w:r>
      <w:r>
        <w:rPr>
          <w:spacing w:val="-1"/>
          <w:sz w:val="20"/>
        </w:rPr>
        <w:t xml:space="preserve"> </w:t>
      </w:r>
      <w:r>
        <w:rPr>
          <w:sz w:val="20"/>
        </w:rPr>
        <w:t>adopten</w:t>
      </w:r>
      <w:r>
        <w:rPr>
          <w:spacing w:val="-1"/>
          <w:sz w:val="20"/>
        </w:rPr>
        <w:t xml:space="preserve"> </w:t>
      </w:r>
      <w:r>
        <w:rPr>
          <w:sz w:val="20"/>
        </w:rPr>
        <w:t>con</w:t>
      </w:r>
      <w:r>
        <w:rPr>
          <w:spacing w:val="-1"/>
          <w:sz w:val="20"/>
        </w:rPr>
        <w:t xml:space="preserve"> </w:t>
      </w:r>
      <w:r>
        <w:rPr>
          <w:sz w:val="20"/>
        </w:rPr>
        <w:t>arreglo</w:t>
      </w:r>
      <w:r>
        <w:rPr>
          <w:spacing w:val="-1"/>
          <w:sz w:val="20"/>
        </w:rPr>
        <w:t xml:space="preserve"> </w:t>
      </w:r>
      <w:r>
        <w:rPr>
          <w:sz w:val="20"/>
        </w:rPr>
        <w:t>a</w:t>
      </w:r>
      <w:r>
        <w:rPr>
          <w:spacing w:val="-1"/>
          <w:sz w:val="20"/>
        </w:rPr>
        <w:t xml:space="preserve"> </w:t>
      </w:r>
      <w:r>
        <w:rPr>
          <w:sz w:val="20"/>
        </w:rPr>
        <w:t>un</w:t>
      </w:r>
      <w:r>
        <w:rPr>
          <w:spacing w:val="-1"/>
          <w:sz w:val="20"/>
        </w:rPr>
        <w:t xml:space="preserve"> </w:t>
      </w:r>
      <w:r>
        <w:rPr>
          <w:sz w:val="20"/>
        </w:rPr>
        <w:t>procedimiento</w:t>
      </w:r>
      <w:r>
        <w:rPr>
          <w:spacing w:val="-1"/>
          <w:sz w:val="20"/>
        </w:rPr>
        <w:t xml:space="preserve"> </w:t>
      </w:r>
      <w:r>
        <w:rPr>
          <w:sz w:val="20"/>
        </w:rPr>
        <w:t>abierto</w:t>
      </w:r>
      <w:r>
        <w:rPr>
          <w:spacing w:val="-1"/>
          <w:sz w:val="20"/>
        </w:rPr>
        <w:t xml:space="preserve"> </w:t>
      </w:r>
      <w:r>
        <w:rPr>
          <w:sz w:val="20"/>
        </w:rPr>
        <w:t>y</w:t>
      </w:r>
      <w:r>
        <w:rPr>
          <w:spacing w:val="-1"/>
          <w:sz w:val="20"/>
        </w:rPr>
        <w:t xml:space="preserve"> </w:t>
      </w:r>
      <w:r>
        <w:rPr>
          <w:sz w:val="20"/>
        </w:rPr>
        <w:t>transparente</w:t>
      </w:r>
      <w:r>
        <w:rPr>
          <w:spacing w:val="-1"/>
          <w:sz w:val="20"/>
        </w:rPr>
        <w:t xml:space="preserve"> </w:t>
      </w:r>
      <w:r>
        <w:rPr>
          <w:sz w:val="20"/>
        </w:rPr>
        <w:t>en el que puedan participar todas las partes concernidas, tales como organismos gubernamentales, los consumidores, los interlocutores sociales, los fabricantes, los distribuidores y las organizaciones no gubernamentales.</w:t>
      </w:r>
    </w:p>
    <w:p w:rsidR="0092635B" w:rsidRDefault="00000000">
      <w:pPr>
        <w:pStyle w:val="Prrafodelista"/>
        <w:numPr>
          <w:ilvl w:val="1"/>
          <w:numId w:val="245"/>
        </w:numPr>
        <w:tabs>
          <w:tab w:val="left" w:pos="1679"/>
        </w:tabs>
        <w:spacing w:before="3"/>
        <w:ind w:left="1679" w:right="0" w:hanging="233"/>
        <w:jc w:val="both"/>
        <w:rPr>
          <w:sz w:val="20"/>
        </w:rPr>
      </w:pPr>
      <w:r>
        <w:rPr>
          <w:sz w:val="20"/>
        </w:rPr>
        <w:t>Que</w:t>
      </w:r>
      <w:r>
        <w:rPr>
          <w:spacing w:val="-1"/>
          <w:sz w:val="20"/>
        </w:rPr>
        <w:t xml:space="preserve"> </w:t>
      </w:r>
      <w:r>
        <w:rPr>
          <w:sz w:val="20"/>
        </w:rPr>
        <w:t>las</w:t>
      </w:r>
      <w:r>
        <w:rPr>
          <w:spacing w:val="-1"/>
          <w:sz w:val="20"/>
        </w:rPr>
        <w:t xml:space="preserve"> </w:t>
      </w:r>
      <w:r>
        <w:rPr>
          <w:sz w:val="20"/>
        </w:rPr>
        <w:t>etiquetas sean</w:t>
      </w:r>
      <w:r>
        <w:rPr>
          <w:spacing w:val="-1"/>
          <w:sz w:val="20"/>
        </w:rPr>
        <w:t xml:space="preserve"> </w:t>
      </w:r>
      <w:r>
        <w:rPr>
          <w:sz w:val="20"/>
        </w:rPr>
        <w:t>accesibles a</w:t>
      </w:r>
      <w:r>
        <w:rPr>
          <w:spacing w:val="-1"/>
          <w:sz w:val="20"/>
        </w:rPr>
        <w:t xml:space="preserve"> </w:t>
      </w:r>
      <w:r>
        <w:rPr>
          <w:sz w:val="20"/>
        </w:rPr>
        <w:t>todas las</w:t>
      </w:r>
      <w:r>
        <w:rPr>
          <w:spacing w:val="-1"/>
          <w:sz w:val="20"/>
        </w:rPr>
        <w:t xml:space="preserve"> </w:t>
      </w:r>
      <w:r>
        <w:rPr>
          <w:sz w:val="20"/>
        </w:rPr>
        <w:t xml:space="preserve">partes </w:t>
      </w:r>
      <w:r>
        <w:rPr>
          <w:spacing w:val="-2"/>
          <w:sz w:val="20"/>
        </w:rPr>
        <w:t>interesadas.</w:t>
      </w:r>
    </w:p>
    <w:p w:rsidR="0092635B" w:rsidRDefault="00000000">
      <w:pPr>
        <w:pStyle w:val="Prrafodelista"/>
        <w:numPr>
          <w:ilvl w:val="1"/>
          <w:numId w:val="245"/>
        </w:numPr>
        <w:tabs>
          <w:tab w:val="left" w:pos="1691"/>
        </w:tabs>
        <w:spacing w:before="10" w:line="249" w:lineRule="auto"/>
        <w:ind w:firstLine="340"/>
        <w:jc w:val="both"/>
        <w:rPr>
          <w:sz w:val="20"/>
        </w:rPr>
      </w:pPr>
      <w:r>
        <w:rPr>
          <w:sz w:val="20"/>
        </w:rPr>
        <w:t>Que los requisitos exigidos para la obtención de la etiqueta hayan sido fijados por un tercero sobre el cual el empresario no pueda ejercer una influencia decisiva.</w:t>
      </w:r>
    </w:p>
    <w:p w:rsidR="0092635B" w:rsidRDefault="00000000">
      <w:pPr>
        <w:pStyle w:val="Prrafodelista"/>
        <w:numPr>
          <w:ilvl w:val="1"/>
          <w:numId w:val="245"/>
        </w:numPr>
        <w:tabs>
          <w:tab w:val="left" w:pos="1623"/>
        </w:tabs>
        <w:ind w:left="1623" w:right="0" w:hanging="177"/>
        <w:jc w:val="both"/>
        <w:rPr>
          <w:sz w:val="20"/>
        </w:rPr>
      </w:pPr>
      <w:r>
        <w:rPr>
          <w:sz w:val="20"/>
        </w:rPr>
        <w:t>Que</w:t>
      </w:r>
      <w:r>
        <w:rPr>
          <w:spacing w:val="-4"/>
          <w:sz w:val="20"/>
        </w:rPr>
        <w:t xml:space="preserve"> </w:t>
      </w:r>
      <w:r>
        <w:rPr>
          <w:sz w:val="20"/>
        </w:rPr>
        <w:t>las</w:t>
      </w:r>
      <w:r>
        <w:rPr>
          <w:spacing w:val="-1"/>
          <w:sz w:val="20"/>
        </w:rPr>
        <w:t xml:space="preserve"> </w:t>
      </w:r>
      <w:r>
        <w:rPr>
          <w:sz w:val="20"/>
        </w:rPr>
        <w:t>referencias</w:t>
      </w:r>
      <w:r>
        <w:rPr>
          <w:spacing w:val="-2"/>
          <w:sz w:val="20"/>
        </w:rPr>
        <w:t xml:space="preserve"> </w:t>
      </w:r>
      <w:r>
        <w:rPr>
          <w:sz w:val="20"/>
        </w:rPr>
        <w:t>a</w:t>
      </w:r>
      <w:r>
        <w:rPr>
          <w:spacing w:val="-1"/>
          <w:sz w:val="20"/>
        </w:rPr>
        <w:t xml:space="preserve"> </w:t>
      </w:r>
      <w:r>
        <w:rPr>
          <w:sz w:val="20"/>
        </w:rPr>
        <w:t>las</w:t>
      </w:r>
      <w:r>
        <w:rPr>
          <w:spacing w:val="-2"/>
          <w:sz w:val="20"/>
        </w:rPr>
        <w:t xml:space="preserve"> </w:t>
      </w:r>
      <w:r>
        <w:rPr>
          <w:sz w:val="20"/>
        </w:rPr>
        <w:t>etiquetas</w:t>
      </w:r>
      <w:r>
        <w:rPr>
          <w:spacing w:val="-1"/>
          <w:sz w:val="20"/>
        </w:rPr>
        <w:t xml:space="preserve"> </w:t>
      </w:r>
      <w:r>
        <w:rPr>
          <w:sz w:val="20"/>
        </w:rPr>
        <w:t>no</w:t>
      </w:r>
      <w:r>
        <w:rPr>
          <w:spacing w:val="-2"/>
          <w:sz w:val="20"/>
        </w:rPr>
        <w:t xml:space="preserve"> </w:t>
      </w:r>
      <w:r>
        <w:rPr>
          <w:sz w:val="20"/>
        </w:rPr>
        <w:t>restrinjan</w:t>
      </w:r>
      <w:r>
        <w:rPr>
          <w:spacing w:val="-1"/>
          <w:sz w:val="20"/>
        </w:rPr>
        <w:t xml:space="preserve"> </w:t>
      </w:r>
      <w:r>
        <w:rPr>
          <w:sz w:val="20"/>
        </w:rPr>
        <w:t>la</w:t>
      </w:r>
      <w:r>
        <w:rPr>
          <w:spacing w:val="-1"/>
          <w:sz w:val="20"/>
        </w:rPr>
        <w:t xml:space="preserve"> </w:t>
      </w:r>
      <w:r>
        <w:rPr>
          <w:spacing w:val="-2"/>
          <w:sz w:val="20"/>
        </w:rPr>
        <w:t>innovación.</w:t>
      </w:r>
    </w:p>
    <w:p w:rsidR="0092635B" w:rsidRDefault="00000000">
      <w:pPr>
        <w:pStyle w:val="Textoindependiente"/>
        <w:spacing w:before="130" w:line="249" w:lineRule="auto"/>
        <w:ind w:right="1105"/>
        <w:jc w:val="left"/>
      </w:pPr>
      <w:r>
        <w:t>Cuando una etiqueta cumpla las condiciones previstas en el apartado 2, letras b), c), d) y e),</w:t>
      </w:r>
      <w:r>
        <w:rPr>
          <w:spacing w:val="57"/>
          <w:w w:val="150"/>
        </w:rPr>
        <w:t xml:space="preserve"> </w:t>
      </w:r>
      <w:r>
        <w:t>pero</w:t>
      </w:r>
      <w:r>
        <w:rPr>
          <w:spacing w:val="57"/>
          <w:w w:val="150"/>
        </w:rPr>
        <w:t xml:space="preserve"> </w:t>
      </w:r>
      <w:r>
        <w:t>establezca</w:t>
      </w:r>
      <w:r>
        <w:rPr>
          <w:spacing w:val="58"/>
          <w:w w:val="150"/>
        </w:rPr>
        <w:t xml:space="preserve"> </w:t>
      </w:r>
      <w:r>
        <w:t>requisitos</w:t>
      </w:r>
      <w:r>
        <w:rPr>
          <w:spacing w:val="57"/>
          <w:w w:val="150"/>
        </w:rPr>
        <w:t xml:space="preserve"> </w:t>
      </w:r>
      <w:r>
        <w:t>no</w:t>
      </w:r>
      <w:r>
        <w:rPr>
          <w:spacing w:val="58"/>
          <w:w w:val="150"/>
        </w:rPr>
        <w:t xml:space="preserve"> </w:t>
      </w:r>
      <w:r>
        <w:t>vinculados</w:t>
      </w:r>
      <w:r>
        <w:rPr>
          <w:spacing w:val="57"/>
          <w:w w:val="150"/>
        </w:rPr>
        <w:t xml:space="preserve"> </w:t>
      </w:r>
      <w:r>
        <w:t>al</w:t>
      </w:r>
      <w:r>
        <w:rPr>
          <w:spacing w:val="58"/>
          <w:w w:val="150"/>
        </w:rPr>
        <w:t xml:space="preserve"> </w:t>
      </w:r>
      <w:r>
        <w:t>objeto</w:t>
      </w:r>
      <w:r>
        <w:rPr>
          <w:spacing w:val="57"/>
          <w:w w:val="150"/>
        </w:rPr>
        <w:t xml:space="preserve"> </w:t>
      </w:r>
      <w:r>
        <w:t>del</w:t>
      </w:r>
      <w:r>
        <w:rPr>
          <w:spacing w:val="58"/>
          <w:w w:val="150"/>
        </w:rPr>
        <w:t xml:space="preserve"> </w:t>
      </w:r>
      <w:r>
        <w:t>contrato,</w:t>
      </w:r>
      <w:r>
        <w:rPr>
          <w:spacing w:val="57"/>
          <w:w w:val="150"/>
        </w:rPr>
        <w:t xml:space="preserve"> </w:t>
      </w:r>
      <w:r>
        <w:t>los</w:t>
      </w:r>
      <w:r>
        <w:rPr>
          <w:spacing w:val="58"/>
          <w:w w:val="150"/>
        </w:rPr>
        <w:t xml:space="preserve"> </w:t>
      </w:r>
      <w:r>
        <w:t>órganos</w:t>
      </w:r>
      <w:r>
        <w:rPr>
          <w:spacing w:val="57"/>
          <w:w w:val="150"/>
        </w:rPr>
        <w:t xml:space="preserve"> </w:t>
      </w:r>
      <w:r>
        <w:rPr>
          <w:spacing w:val="-5"/>
        </w:rPr>
        <w:t>de</w:t>
      </w:r>
    </w:p>
    <w:p w:rsidR="0092635B" w:rsidRDefault="0092635B">
      <w:pPr>
        <w:pStyle w:val="Textoindependiente"/>
        <w:spacing w:line="249" w:lineRule="auto"/>
        <w:jc w:val="left"/>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3" w:firstLine="0"/>
      </w:pPr>
      <w:r>
        <w:t>contratación no exigirán la etiqueta como tal, pero, en sustitución de esta, podrán definir las prescripciones</w:t>
      </w:r>
      <w:r>
        <w:rPr>
          <w:spacing w:val="-2"/>
        </w:rPr>
        <w:t xml:space="preserve"> </w:t>
      </w:r>
      <w:r>
        <w:t>técnicas</w:t>
      </w:r>
      <w:r>
        <w:rPr>
          <w:spacing w:val="-2"/>
        </w:rPr>
        <w:t xml:space="preserve"> </w:t>
      </w:r>
      <w:r>
        <w:t>por</w:t>
      </w:r>
      <w:r>
        <w:rPr>
          <w:spacing w:val="-2"/>
        </w:rPr>
        <w:t xml:space="preserve"> </w:t>
      </w:r>
      <w:r>
        <w:t>referencia</w:t>
      </w:r>
      <w:r>
        <w:rPr>
          <w:spacing w:val="-2"/>
        </w:rPr>
        <w:t xml:space="preserve"> </w:t>
      </w:r>
      <w:r>
        <w:t>a</w:t>
      </w:r>
      <w:r>
        <w:rPr>
          <w:spacing w:val="-2"/>
        </w:rPr>
        <w:t xml:space="preserve"> </w:t>
      </w:r>
      <w:r>
        <w:t>las</w:t>
      </w:r>
      <w:r>
        <w:rPr>
          <w:spacing w:val="-2"/>
        </w:rPr>
        <w:t xml:space="preserve"> </w:t>
      </w:r>
      <w:r>
        <w:t>especificaciones</w:t>
      </w:r>
      <w:r>
        <w:rPr>
          <w:spacing w:val="-2"/>
        </w:rPr>
        <w:t xml:space="preserve"> </w:t>
      </w:r>
      <w:r>
        <w:t>detalladas</w:t>
      </w:r>
      <w:r>
        <w:rPr>
          <w:spacing w:val="-2"/>
        </w:rPr>
        <w:t xml:space="preserve"> </w:t>
      </w:r>
      <w:r>
        <w:t>de</w:t>
      </w:r>
      <w:r>
        <w:rPr>
          <w:spacing w:val="-2"/>
        </w:rPr>
        <w:t xml:space="preserve"> </w:t>
      </w:r>
      <w:r>
        <w:t>esa</w:t>
      </w:r>
      <w:r>
        <w:rPr>
          <w:spacing w:val="-2"/>
        </w:rPr>
        <w:t xml:space="preserve"> </w:t>
      </w:r>
      <w:r>
        <w:t>etiqueta</w:t>
      </w:r>
      <w:r>
        <w:rPr>
          <w:spacing w:val="-2"/>
        </w:rPr>
        <w:t xml:space="preserve"> </w:t>
      </w:r>
      <w:r>
        <w:t>o,</w:t>
      </w:r>
      <w:r>
        <w:rPr>
          <w:spacing w:val="-2"/>
        </w:rPr>
        <w:t xml:space="preserve"> </w:t>
      </w:r>
      <w:r>
        <w:t>en su</w:t>
      </w:r>
      <w:r>
        <w:rPr>
          <w:spacing w:val="-2"/>
        </w:rPr>
        <w:t xml:space="preserve"> </w:t>
      </w:r>
      <w:r>
        <w:t>caso,</w:t>
      </w:r>
      <w:r>
        <w:rPr>
          <w:spacing w:val="-2"/>
        </w:rPr>
        <w:t xml:space="preserve"> </w:t>
      </w:r>
      <w:r>
        <w:t>a</w:t>
      </w:r>
      <w:r>
        <w:rPr>
          <w:spacing w:val="-2"/>
        </w:rPr>
        <w:t xml:space="preserve"> </w:t>
      </w:r>
      <w:r>
        <w:t>partes</w:t>
      </w:r>
      <w:r>
        <w:rPr>
          <w:spacing w:val="-2"/>
        </w:rPr>
        <w:t xml:space="preserve"> </w:t>
      </w:r>
      <w:r>
        <w:t>de</w:t>
      </w:r>
      <w:r>
        <w:rPr>
          <w:spacing w:val="-2"/>
        </w:rPr>
        <w:t xml:space="preserve"> </w:t>
      </w:r>
      <w:r>
        <w:t>esta,</w:t>
      </w:r>
      <w:r>
        <w:rPr>
          <w:spacing w:val="-2"/>
        </w:rPr>
        <w:t xml:space="preserve"> </w:t>
      </w:r>
      <w:r>
        <w:t>que</w:t>
      </w:r>
      <w:r>
        <w:rPr>
          <w:spacing w:val="-2"/>
        </w:rPr>
        <w:t xml:space="preserve"> </w:t>
      </w:r>
      <w:r>
        <w:t>estén</w:t>
      </w:r>
      <w:r>
        <w:rPr>
          <w:spacing w:val="-2"/>
        </w:rPr>
        <w:t xml:space="preserve"> </w:t>
      </w:r>
      <w:r>
        <w:t>vinculadas</w:t>
      </w:r>
      <w:r>
        <w:rPr>
          <w:spacing w:val="-2"/>
        </w:rPr>
        <w:t xml:space="preserve"> </w:t>
      </w:r>
      <w:r>
        <w:t>al</w:t>
      </w:r>
      <w:r>
        <w:rPr>
          <w:spacing w:val="-2"/>
        </w:rPr>
        <w:t xml:space="preserve"> </w:t>
      </w:r>
      <w:r>
        <w:t>objeto</w:t>
      </w:r>
      <w:r>
        <w:rPr>
          <w:spacing w:val="-2"/>
        </w:rPr>
        <w:t xml:space="preserve"> </w:t>
      </w:r>
      <w:r>
        <w:t>del</w:t>
      </w:r>
      <w:r>
        <w:rPr>
          <w:spacing w:val="-2"/>
        </w:rPr>
        <w:t xml:space="preserve"> </w:t>
      </w:r>
      <w:r>
        <w:t>contrato</w:t>
      </w:r>
      <w:r>
        <w:rPr>
          <w:spacing w:val="-2"/>
        </w:rPr>
        <w:t xml:space="preserve"> </w:t>
      </w:r>
      <w:r>
        <w:t>y</w:t>
      </w:r>
      <w:r>
        <w:rPr>
          <w:spacing w:val="-2"/>
        </w:rPr>
        <w:t xml:space="preserve"> </w:t>
      </w:r>
      <w:r>
        <w:t>sean</w:t>
      </w:r>
      <w:r>
        <w:rPr>
          <w:spacing w:val="-2"/>
        </w:rPr>
        <w:t xml:space="preserve"> </w:t>
      </w:r>
      <w:r>
        <w:t>adecuadas</w:t>
      </w:r>
      <w:r>
        <w:rPr>
          <w:spacing w:val="-2"/>
        </w:rPr>
        <w:t xml:space="preserve"> </w:t>
      </w:r>
      <w:r>
        <w:t>para definir las características de dicho objeto.</w:t>
      </w:r>
    </w:p>
    <w:p w:rsidR="0092635B" w:rsidRDefault="00000000">
      <w:pPr>
        <w:pStyle w:val="Prrafodelista"/>
        <w:numPr>
          <w:ilvl w:val="0"/>
          <w:numId w:val="245"/>
        </w:numPr>
        <w:tabs>
          <w:tab w:val="left" w:pos="1672"/>
        </w:tabs>
        <w:spacing w:before="3" w:line="249" w:lineRule="auto"/>
        <w:ind w:right="1104" w:firstLine="340"/>
        <w:jc w:val="both"/>
        <w:rPr>
          <w:sz w:val="20"/>
        </w:rPr>
      </w:pPr>
      <w:r>
        <w:rPr>
          <w:sz w:val="20"/>
        </w:rPr>
        <w:t>Los órganos de contratación que exijan una etiqueta específica deberán aceptar todas las etiquetas que verifiquen que las obras, suministros o servicios cumplen requisitos que sean equivalentes a aquellos que son exigidos para la obtención de aquella.</w:t>
      </w:r>
    </w:p>
    <w:p w:rsidR="0092635B" w:rsidRDefault="00000000">
      <w:pPr>
        <w:pStyle w:val="Textoindependiente"/>
        <w:spacing w:line="249" w:lineRule="auto"/>
        <w:ind w:right="1105"/>
      </w:pPr>
      <w:r>
        <w:t>El órgano de contratación aceptará otros medios adecuados de prueba, incluidos los mencionados en el artículo 128, que demuestren que las obras, suministros o servicios que ha de prestar el futuro contratista cumplen los requisitos de la etiqueta específica exigida.</w:t>
      </w:r>
    </w:p>
    <w:p w:rsidR="0092635B" w:rsidRDefault="00000000">
      <w:pPr>
        <w:pStyle w:val="Prrafodelista"/>
        <w:numPr>
          <w:ilvl w:val="0"/>
          <w:numId w:val="245"/>
        </w:numPr>
        <w:tabs>
          <w:tab w:val="left" w:pos="1723"/>
        </w:tabs>
        <w:spacing w:before="3" w:line="249" w:lineRule="auto"/>
        <w:ind w:firstLine="340"/>
        <w:jc w:val="both"/>
        <w:rPr>
          <w:sz w:val="20"/>
        </w:rPr>
      </w:pPr>
      <w:r>
        <w:rPr>
          <w:sz w:val="20"/>
        </w:rPr>
        <w:t>Cuando los órganos de contratación no requieran en los pliegos que las obras, suministros o servicios cumplan todos los requisitos exigidos para la obtención de una etiqueta, indicarán a cuáles de dichos requisitos se está haciendo referencia.</w:t>
      </w:r>
    </w:p>
    <w:p w:rsidR="0092635B" w:rsidRDefault="00000000">
      <w:pPr>
        <w:pStyle w:val="Prrafodelista"/>
        <w:numPr>
          <w:ilvl w:val="0"/>
          <w:numId w:val="245"/>
        </w:numPr>
        <w:tabs>
          <w:tab w:val="left" w:pos="1669"/>
        </w:tabs>
        <w:spacing w:line="249" w:lineRule="auto"/>
        <w:ind w:right="1104" w:firstLine="340"/>
        <w:jc w:val="both"/>
        <w:rPr>
          <w:sz w:val="20"/>
        </w:rPr>
      </w:pPr>
      <w:r>
        <w:rPr>
          <w:sz w:val="20"/>
        </w:rPr>
        <w:t>La</w:t>
      </w:r>
      <w:r>
        <w:rPr>
          <w:spacing w:val="-2"/>
          <w:sz w:val="20"/>
        </w:rPr>
        <w:t xml:space="preserve"> </w:t>
      </w:r>
      <w:r>
        <w:rPr>
          <w:sz w:val="20"/>
        </w:rPr>
        <w:t>indicación</w:t>
      </w:r>
      <w:r>
        <w:rPr>
          <w:spacing w:val="-2"/>
          <w:sz w:val="20"/>
        </w:rPr>
        <w:t xml:space="preserve"> </w:t>
      </w:r>
      <w:r>
        <w:rPr>
          <w:sz w:val="20"/>
        </w:rPr>
        <w:t>de</w:t>
      </w:r>
      <w:r>
        <w:rPr>
          <w:spacing w:val="-2"/>
          <w:sz w:val="20"/>
        </w:rPr>
        <w:t xml:space="preserve"> </w:t>
      </w:r>
      <w:r>
        <w:rPr>
          <w:sz w:val="20"/>
        </w:rPr>
        <w:t>una</w:t>
      </w:r>
      <w:r>
        <w:rPr>
          <w:spacing w:val="-2"/>
          <w:sz w:val="20"/>
        </w:rPr>
        <w:t xml:space="preserve"> </w:t>
      </w:r>
      <w:r>
        <w:rPr>
          <w:sz w:val="20"/>
        </w:rPr>
        <w:t>etiqueta</w:t>
      </w:r>
      <w:r>
        <w:rPr>
          <w:spacing w:val="-2"/>
          <w:sz w:val="20"/>
        </w:rPr>
        <w:t xml:space="preserve"> </w:t>
      </w:r>
      <w:r>
        <w:rPr>
          <w:sz w:val="20"/>
        </w:rPr>
        <w:t>específica</w:t>
      </w:r>
      <w:r>
        <w:rPr>
          <w:spacing w:val="-2"/>
          <w:sz w:val="20"/>
        </w:rPr>
        <w:t xml:space="preserve"> </w:t>
      </w:r>
      <w:r>
        <w:rPr>
          <w:sz w:val="20"/>
        </w:rPr>
        <w:t>en</w:t>
      </w:r>
      <w:r>
        <w:rPr>
          <w:spacing w:val="-2"/>
          <w:sz w:val="20"/>
        </w:rPr>
        <w:t xml:space="preserve"> </w:t>
      </w:r>
      <w:r>
        <w:rPr>
          <w:sz w:val="20"/>
        </w:rPr>
        <w:t>las</w:t>
      </w:r>
      <w:r>
        <w:rPr>
          <w:spacing w:val="-2"/>
          <w:sz w:val="20"/>
        </w:rPr>
        <w:t xml:space="preserve"> </w:t>
      </w:r>
      <w:r>
        <w:rPr>
          <w:sz w:val="20"/>
        </w:rPr>
        <w:t>prescripciones</w:t>
      </w:r>
      <w:r>
        <w:rPr>
          <w:spacing w:val="-2"/>
          <w:sz w:val="20"/>
        </w:rPr>
        <w:t xml:space="preserve"> </w:t>
      </w:r>
      <w:r>
        <w:rPr>
          <w:sz w:val="20"/>
        </w:rPr>
        <w:t>técnicas</w:t>
      </w:r>
      <w:r>
        <w:rPr>
          <w:spacing w:val="-2"/>
          <w:sz w:val="20"/>
        </w:rPr>
        <w:t xml:space="preserve"> </w:t>
      </w:r>
      <w:r>
        <w:rPr>
          <w:sz w:val="20"/>
        </w:rPr>
        <w:t>en</w:t>
      </w:r>
      <w:r>
        <w:rPr>
          <w:spacing w:val="-2"/>
          <w:sz w:val="20"/>
        </w:rPr>
        <w:t xml:space="preserve"> </w:t>
      </w:r>
      <w:r>
        <w:rPr>
          <w:sz w:val="20"/>
        </w:rPr>
        <w:t>ningún</w:t>
      </w:r>
      <w:r>
        <w:rPr>
          <w:spacing w:val="-2"/>
          <w:sz w:val="20"/>
        </w:rPr>
        <w:t xml:space="preserve"> </w:t>
      </w:r>
      <w:r>
        <w:rPr>
          <w:sz w:val="20"/>
        </w:rPr>
        <w:t>caso exime al órgano de contratación de su obligación de detallar con claridad en los pliegos las características y requisitos que desea imponer y cuyo cumplimiento la etiqueta específica exigida pretende probar.</w:t>
      </w:r>
    </w:p>
    <w:p w:rsidR="0092635B" w:rsidRDefault="00000000">
      <w:pPr>
        <w:pStyle w:val="Prrafodelista"/>
        <w:numPr>
          <w:ilvl w:val="0"/>
          <w:numId w:val="245"/>
        </w:numPr>
        <w:tabs>
          <w:tab w:val="left" w:pos="1697"/>
        </w:tabs>
        <w:spacing w:before="4" w:line="249" w:lineRule="auto"/>
        <w:ind w:right="1105" w:firstLine="340"/>
        <w:jc w:val="both"/>
        <w:rPr>
          <w:sz w:val="20"/>
        </w:rPr>
      </w:pPr>
      <w:r>
        <w:rPr>
          <w:sz w:val="20"/>
        </w:rPr>
        <w:t xml:space="preserve">La carga de la prueba de la equivalencia recaerá, en todo caso, en el candidato o </w:t>
      </w:r>
      <w:r>
        <w:rPr>
          <w:spacing w:val="-2"/>
          <w:sz w:val="20"/>
        </w:rPr>
        <w:t>licitador.</w:t>
      </w:r>
    </w:p>
    <w:p w:rsidR="0092635B" w:rsidRDefault="00000000">
      <w:pPr>
        <w:spacing w:before="228"/>
        <w:ind w:left="1106"/>
        <w:jc w:val="both"/>
        <w:rPr>
          <w:rFonts w:ascii="Arial" w:hAnsi="Arial"/>
          <w:i/>
          <w:sz w:val="20"/>
        </w:rPr>
      </w:pPr>
      <w:bookmarkStart w:id="216" w:name="Artículo_128._Informes_de_pruebas,_certi"/>
      <w:bookmarkEnd w:id="216"/>
      <w:r>
        <w:rPr>
          <w:rFonts w:ascii="Arial" w:hAnsi="Arial"/>
          <w:b/>
          <w:sz w:val="20"/>
        </w:rPr>
        <w:t>Artículo</w:t>
      </w:r>
      <w:r>
        <w:rPr>
          <w:rFonts w:ascii="Arial" w:hAnsi="Arial"/>
          <w:b/>
          <w:spacing w:val="-2"/>
          <w:sz w:val="20"/>
        </w:rPr>
        <w:t xml:space="preserve"> </w:t>
      </w:r>
      <w:r>
        <w:rPr>
          <w:rFonts w:ascii="Arial" w:hAnsi="Arial"/>
          <w:b/>
          <w:sz w:val="20"/>
        </w:rPr>
        <w:t>128.</w:t>
      </w:r>
      <w:r>
        <w:rPr>
          <w:rFonts w:ascii="Arial" w:hAnsi="Arial"/>
          <w:b/>
          <w:spacing w:val="52"/>
          <w:sz w:val="20"/>
        </w:rPr>
        <w:t xml:space="preserve"> </w:t>
      </w:r>
      <w:r>
        <w:rPr>
          <w:rFonts w:ascii="Arial" w:hAnsi="Arial"/>
          <w:i/>
          <w:sz w:val="20"/>
        </w:rPr>
        <w:t>Informes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pruebas,</w:t>
      </w:r>
      <w:r>
        <w:rPr>
          <w:rFonts w:ascii="Arial" w:hAnsi="Arial"/>
          <w:i/>
          <w:spacing w:val="-1"/>
          <w:sz w:val="20"/>
        </w:rPr>
        <w:t xml:space="preserve"> </w:t>
      </w:r>
      <w:r>
        <w:rPr>
          <w:rFonts w:ascii="Arial" w:hAnsi="Arial"/>
          <w:i/>
          <w:sz w:val="20"/>
        </w:rPr>
        <w:t>certificación</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otros</w:t>
      </w:r>
      <w:r>
        <w:rPr>
          <w:rFonts w:ascii="Arial" w:hAnsi="Arial"/>
          <w:i/>
          <w:spacing w:val="-1"/>
          <w:sz w:val="20"/>
        </w:rPr>
        <w:t xml:space="preserve"> </w:t>
      </w:r>
      <w:r>
        <w:rPr>
          <w:rFonts w:ascii="Arial" w:hAnsi="Arial"/>
          <w:i/>
          <w:sz w:val="20"/>
        </w:rPr>
        <w:t>medios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prueba.</w:t>
      </w:r>
    </w:p>
    <w:p w:rsidR="0092635B" w:rsidRDefault="00000000">
      <w:pPr>
        <w:pStyle w:val="Prrafodelista"/>
        <w:numPr>
          <w:ilvl w:val="0"/>
          <w:numId w:val="244"/>
        </w:numPr>
        <w:tabs>
          <w:tab w:val="left" w:pos="1776"/>
        </w:tabs>
        <w:spacing w:before="123" w:line="249" w:lineRule="auto"/>
        <w:ind w:right="1104" w:firstLine="340"/>
        <w:jc w:val="both"/>
        <w:rPr>
          <w:sz w:val="20"/>
        </w:rPr>
      </w:pPr>
      <w:r>
        <w:rPr>
          <w:sz w:val="20"/>
        </w:rPr>
        <w:t>Los órganos de contratación podrán exigir que los operadores económicos proporcionen un informe de pruebas de un organismo de evaluación de la conformidad o un certificado expedido por este último, como medio de prueba del cumplimiento de las prescripciones técnicas exigidas, o de los criterios de adjudicación o de las condiciones de ejecución del contrato.</w:t>
      </w:r>
    </w:p>
    <w:p w:rsidR="0092635B" w:rsidRDefault="00000000">
      <w:pPr>
        <w:pStyle w:val="Textoindependiente"/>
        <w:spacing w:before="5" w:line="249" w:lineRule="auto"/>
        <w:ind w:right="1104"/>
      </w:pPr>
      <w:r>
        <w:t>Cuando los órganos de contratación exijan la presentación de certificados emitidos por</w:t>
      </w:r>
      <w:r>
        <w:rPr>
          <w:spacing w:val="40"/>
        </w:rPr>
        <w:t xml:space="preserve"> </w:t>
      </w:r>
      <w:r>
        <w:t>un organismo de evaluación de la conformidad determinado, los certificados de otros organismos de evaluación de la conformidad equivalentes también deberán ser aceptados por aquellos.</w:t>
      </w:r>
    </w:p>
    <w:p w:rsidR="0092635B" w:rsidRDefault="00000000">
      <w:pPr>
        <w:pStyle w:val="Textoindependiente"/>
        <w:spacing w:before="3" w:line="249" w:lineRule="auto"/>
        <w:ind w:right="1104"/>
      </w:pPr>
      <w:r>
        <w:t>A efectos de lo dispuesto en esta Ley, se entenderá por «organismo de evaluación de la conformidad» aquel que desempeña actividades de calibración, ensayo, certificación e inspección, y que están acreditados de conformidad con el Reglamento (CE) n.º 765/2008, del Parlamento Europeo y del Consejo.</w:t>
      </w:r>
    </w:p>
    <w:p w:rsidR="0092635B" w:rsidRDefault="00000000">
      <w:pPr>
        <w:pStyle w:val="Prrafodelista"/>
        <w:numPr>
          <w:ilvl w:val="0"/>
          <w:numId w:val="244"/>
        </w:numPr>
        <w:tabs>
          <w:tab w:val="left" w:pos="1675"/>
        </w:tabs>
        <w:spacing w:before="3" w:line="249" w:lineRule="auto"/>
        <w:ind w:firstLine="340"/>
        <w:jc w:val="both"/>
        <w:rPr>
          <w:sz w:val="20"/>
        </w:rPr>
      </w:pPr>
      <w:r>
        <w:rPr>
          <w:sz w:val="20"/>
        </w:rPr>
        <w:t>Supletoriamente los órganos de contratación deberán aceptar otros medios de prueba adecuados que no sean los contemplados en el apartado primero, como un informe técnico del fabricante, cuando el empresario de que se trate no tenga acceso a dichos certificados o informes de pruebas ni la posibilidad de obtenerlos en los plazos fijados, siempre que la falta de acceso no sea por causa imputable al mismo y que este sirva para demostrar que las obras, suministros o servicios que proporcionará cumplen con las prescripciones técnicas,</w:t>
      </w:r>
      <w:r>
        <w:rPr>
          <w:spacing w:val="40"/>
          <w:sz w:val="20"/>
        </w:rPr>
        <w:t xml:space="preserve"> </w:t>
      </w:r>
      <w:r>
        <w:rPr>
          <w:sz w:val="20"/>
        </w:rPr>
        <w:t>los criterios de adjudicación o las condiciones de ejecución del contrato, según el caso.</w:t>
      </w:r>
    </w:p>
    <w:p w:rsidR="0092635B" w:rsidRDefault="0092635B">
      <w:pPr>
        <w:pStyle w:val="Textoindependiente"/>
        <w:ind w:left="0" w:firstLine="0"/>
        <w:jc w:val="left"/>
      </w:pPr>
    </w:p>
    <w:p w:rsidR="0092635B" w:rsidRDefault="00000000">
      <w:pPr>
        <w:spacing w:before="1" w:line="249" w:lineRule="auto"/>
        <w:ind w:left="1106" w:right="1103" w:hanging="1"/>
        <w:jc w:val="both"/>
        <w:rPr>
          <w:rFonts w:ascii="Arial" w:hAnsi="Arial"/>
          <w:i/>
          <w:sz w:val="20"/>
        </w:rPr>
      </w:pPr>
      <w:bookmarkStart w:id="217" w:name="Artículo_129._Información_sobre_las_obli"/>
      <w:bookmarkEnd w:id="217"/>
      <w:r>
        <w:rPr>
          <w:rFonts w:ascii="Arial" w:hAnsi="Arial"/>
          <w:b/>
          <w:sz w:val="20"/>
        </w:rPr>
        <w:t>Artículo 129.</w:t>
      </w:r>
      <w:r>
        <w:rPr>
          <w:rFonts w:ascii="Arial" w:hAnsi="Arial"/>
          <w:b/>
          <w:spacing w:val="40"/>
          <w:sz w:val="20"/>
        </w:rPr>
        <w:t xml:space="preserve"> </w:t>
      </w:r>
      <w:r>
        <w:rPr>
          <w:rFonts w:ascii="Arial" w:hAnsi="Arial"/>
          <w:i/>
          <w:sz w:val="20"/>
        </w:rPr>
        <w:t>Información sobre las obligaciones relativas a la fiscalidad, protección del medio</w:t>
      </w:r>
      <w:r>
        <w:rPr>
          <w:rFonts w:ascii="Arial" w:hAnsi="Arial"/>
          <w:i/>
          <w:spacing w:val="-3"/>
          <w:sz w:val="20"/>
        </w:rPr>
        <w:t xml:space="preserve"> </w:t>
      </w:r>
      <w:r>
        <w:rPr>
          <w:rFonts w:ascii="Arial" w:hAnsi="Arial"/>
          <w:i/>
          <w:sz w:val="20"/>
        </w:rPr>
        <w:t>ambiente,</w:t>
      </w:r>
      <w:r>
        <w:rPr>
          <w:rFonts w:ascii="Arial" w:hAnsi="Arial"/>
          <w:i/>
          <w:spacing w:val="-3"/>
          <w:sz w:val="20"/>
        </w:rPr>
        <w:t xml:space="preserve"> </w:t>
      </w:r>
      <w:r>
        <w:rPr>
          <w:rFonts w:ascii="Arial" w:hAnsi="Arial"/>
          <w:i/>
          <w:sz w:val="20"/>
        </w:rPr>
        <w:t>empleo</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condiciones</w:t>
      </w:r>
      <w:r>
        <w:rPr>
          <w:rFonts w:ascii="Arial" w:hAnsi="Arial"/>
          <w:i/>
          <w:spacing w:val="-3"/>
          <w:sz w:val="20"/>
        </w:rPr>
        <w:t xml:space="preserve"> </w:t>
      </w:r>
      <w:r>
        <w:rPr>
          <w:rFonts w:ascii="Arial" w:hAnsi="Arial"/>
          <w:i/>
          <w:sz w:val="20"/>
        </w:rPr>
        <w:t>laborales</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contratar</w:t>
      </w:r>
      <w:r>
        <w:rPr>
          <w:rFonts w:ascii="Arial" w:hAnsi="Arial"/>
          <w:i/>
          <w:spacing w:val="-3"/>
          <w:sz w:val="20"/>
        </w:rPr>
        <w:t xml:space="preserve"> </w:t>
      </w:r>
      <w:r>
        <w:rPr>
          <w:rFonts w:ascii="Arial" w:hAnsi="Arial"/>
          <w:i/>
          <w:sz w:val="20"/>
        </w:rPr>
        <w:t>a</w:t>
      </w:r>
      <w:r>
        <w:rPr>
          <w:rFonts w:ascii="Arial" w:hAnsi="Arial"/>
          <w:i/>
          <w:spacing w:val="-3"/>
          <w:sz w:val="20"/>
        </w:rPr>
        <w:t xml:space="preserve"> </w:t>
      </w:r>
      <w:r>
        <w:rPr>
          <w:rFonts w:ascii="Arial" w:hAnsi="Arial"/>
          <w:i/>
          <w:sz w:val="20"/>
        </w:rPr>
        <w:t>un</w:t>
      </w:r>
      <w:r>
        <w:rPr>
          <w:rFonts w:ascii="Arial" w:hAnsi="Arial"/>
          <w:i/>
          <w:spacing w:val="-3"/>
          <w:sz w:val="20"/>
        </w:rPr>
        <w:t xml:space="preserve"> </w:t>
      </w:r>
      <w:r>
        <w:rPr>
          <w:rFonts w:ascii="Arial" w:hAnsi="Arial"/>
          <w:i/>
          <w:sz w:val="20"/>
        </w:rPr>
        <w:t>porcentaje</w:t>
      </w:r>
      <w:r>
        <w:rPr>
          <w:rFonts w:ascii="Arial" w:hAnsi="Arial"/>
          <w:i/>
          <w:spacing w:val="-3"/>
          <w:sz w:val="20"/>
        </w:rPr>
        <w:t xml:space="preserve"> </w:t>
      </w:r>
      <w:r>
        <w:rPr>
          <w:rFonts w:ascii="Arial" w:hAnsi="Arial"/>
          <w:i/>
          <w:sz w:val="20"/>
        </w:rPr>
        <w:t>específico</w:t>
      </w:r>
      <w:r>
        <w:rPr>
          <w:rFonts w:ascii="Arial" w:hAnsi="Arial"/>
          <w:i/>
          <w:spacing w:val="-3"/>
          <w:sz w:val="20"/>
        </w:rPr>
        <w:t xml:space="preserve"> </w:t>
      </w:r>
      <w:r>
        <w:rPr>
          <w:rFonts w:ascii="Arial" w:hAnsi="Arial"/>
          <w:i/>
          <w:sz w:val="20"/>
        </w:rPr>
        <w:t>de personas con discapacidad.</w:t>
      </w:r>
    </w:p>
    <w:p w:rsidR="0092635B" w:rsidRDefault="00000000">
      <w:pPr>
        <w:pStyle w:val="Prrafodelista"/>
        <w:numPr>
          <w:ilvl w:val="0"/>
          <w:numId w:val="243"/>
        </w:numPr>
        <w:tabs>
          <w:tab w:val="left" w:pos="1670"/>
        </w:tabs>
        <w:spacing w:before="115" w:line="249" w:lineRule="auto"/>
        <w:ind w:firstLine="340"/>
        <w:jc w:val="both"/>
        <w:rPr>
          <w:sz w:val="20"/>
        </w:rPr>
      </w:pPr>
      <w:r>
        <w:rPr>
          <w:sz w:val="20"/>
        </w:rPr>
        <w:t>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podrá</w:t>
      </w:r>
      <w:r>
        <w:rPr>
          <w:spacing w:val="-1"/>
          <w:sz w:val="20"/>
        </w:rPr>
        <w:t xml:space="preserve"> </w:t>
      </w:r>
      <w:r>
        <w:rPr>
          <w:sz w:val="20"/>
        </w:rPr>
        <w:t>señalar</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pliego</w:t>
      </w:r>
      <w:r>
        <w:rPr>
          <w:spacing w:val="-1"/>
          <w:sz w:val="20"/>
        </w:rPr>
        <w:t xml:space="preserve"> </w:t>
      </w:r>
      <w:r>
        <w:rPr>
          <w:sz w:val="20"/>
        </w:rPr>
        <w:t>el</w:t>
      </w:r>
      <w:r>
        <w:rPr>
          <w:spacing w:val="-1"/>
          <w:sz w:val="20"/>
        </w:rPr>
        <w:t xml:space="preserve"> </w:t>
      </w:r>
      <w:r>
        <w:rPr>
          <w:sz w:val="20"/>
        </w:rPr>
        <w:t>organismo</w:t>
      </w:r>
      <w:r>
        <w:rPr>
          <w:spacing w:val="-1"/>
          <w:sz w:val="20"/>
        </w:rPr>
        <w:t xml:space="preserve"> </w:t>
      </w:r>
      <w:r>
        <w:rPr>
          <w:sz w:val="20"/>
        </w:rPr>
        <w:t>u</w:t>
      </w:r>
      <w:r>
        <w:rPr>
          <w:spacing w:val="-1"/>
          <w:sz w:val="20"/>
        </w:rPr>
        <w:t xml:space="preserve"> </w:t>
      </w:r>
      <w:r>
        <w:rPr>
          <w:sz w:val="20"/>
        </w:rPr>
        <w:t>organismos</w:t>
      </w:r>
      <w:r>
        <w:rPr>
          <w:spacing w:val="-1"/>
          <w:sz w:val="20"/>
        </w:rPr>
        <w:t xml:space="preserve"> </w:t>
      </w:r>
      <w:r>
        <w:rPr>
          <w:sz w:val="20"/>
        </w:rPr>
        <w:t>de</w:t>
      </w:r>
      <w:r>
        <w:rPr>
          <w:spacing w:val="-1"/>
          <w:sz w:val="20"/>
        </w:rPr>
        <w:t xml:space="preserve"> </w:t>
      </w:r>
      <w:r>
        <w:rPr>
          <w:sz w:val="20"/>
        </w:rPr>
        <w:t>los que los candidatos o licitadores puedan obtener la información pertinente sobre las obligaciones relativas a la fiscalidad, a la protección del medio ambiente, y a las disposiciones vigentes en materia de protección del empleo, igualdad de género,</w:t>
      </w:r>
      <w:r>
        <w:rPr>
          <w:spacing w:val="80"/>
          <w:sz w:val="20"/>
        </w:rPr>
        <w:t xml:space="preserve"> </w:t>
      </w:r>
      <w:r>
        <w:rPr>
          <w:sz w:val="20"/>
        </w:rPr>
        <w:t>condiciones de trabajo y prevención de riesgos laborales e inserción sociolaboral de las personas con discapacidad, y a la obligación de contratar a un número o porcentaje específico de personas con discapacidad que serán aplicables a los trabajos efectuados en</w:t>
      </w:r>
      <w:r>
        <w:rPr>
          <w:spacing w:val="40"/>
          <w:sz w:val="20"/>
        </w:rPr>
        <w:t xml:space="preserve"> </w:t>
      </w:r>
      <w:r>
        <w:rPr>
          <w:sz w:val="20"/>
        </w:rPr>
        <w:t>la obra o a los servicios prestados durante la ejecución del contrato.</w:t>
      </w:r>
    </w:p>
    <w:p w:rsidR="0092635B" w:rsidRDefault="00000000">
      <w:pPr>
        <w:pStyle w:val="Prrafodelista"/>
        <w:numPr>
          <w:ilvl w:val="0"/>
          <w:numId w:val="243"/>
        </w:numPr>
        <w:tabs>
          <w:tab w:val="left" w:pos="1712"/>
        </w:tabs>
        <w:spacing w:before="7" w:line="249" w:lineRule="auto"/>
        <w:ind w:right="1104" w:firstLine="340"/>
        <w:jc w:val="both"/>
        <w:rPr>
          <w:sz w:val="20"/>
        </w:rPr>
      </w:pPr>
      <w:r>
        <w:rPr>
          <w:sz w:val="20"/>
        </w:rPr>
        <w:t>Cuando se facilite la información a la que se refiere el apartado 1, el órgano de contratación solicitará a los licitadores o a los candidatos en un procedimiento de adjudicación de contratos que manifiesten haber tenido en cuenta en la elaboración de sus ofertas</w:t>
      </w:r>
      <w:r>
        <w:rPr>
          <w:spacing w:val="34"/>
          <w:sz w:val="20"/>
        </w:rPr>
        <w:t xml:space="preserve"> </w:t>
      </w:r>
      <w:r>
        <w:rPr>
          <w:sz w:val="20"/>
        </w:rPr>
        <w:t>las</w:t>
      </w:r>
      <w:r>
        <w:rPr>
          <w:spacing w:val="34"/>
          <w:sz w:val="20"/>
        </w:rPr>
        <w:t xml:space="preserve"> </w:t>
      </w:r>
      <w:r>
        <w:rPr>
          <w:sz w:val="20"/>
        </w:rPr>
        <w:t>obligaciones</w:t>
      </w:r>
      <w:r>
        <w:rPr>
          <w:spacing w:val="34"/>
          <w:sz w:val="20"/>
        </w:rPr>
        <w:t xml:space="preserve"> </w:t>
      </w:r>
      <w:r>
        <w:rPr>
          <w:sz w:val="20"/>
        </w:rPr>
        <w:t>derivadas</w:t>
      </w:r>
      <w:r>
        <w:rPr>
          <w:spacing w:val="34"/>
          <w:sz w:val="20"/>
        </w:rPr>
        <w:t xml:space="preserve"> </w:t>
      </w:r>
      <w:r>
        <w:rPr>
          <w:sz w:val="20"/>
        </w:rPr>
        <w:t>de</w:t>
      </w:r>
      <w:r>
        <w:rPr>
          <w:spacing w:val="34"/>
          <w:sz w:val="20"/>
        </w:rPr>
        <w:t xml:space="preserve"> </w:t>
      </w:r>
      <w:r>
        <w:rPr>
          <w:sz w:val="20"/>
        </w:rPr>
        <w:t>las</w:t>
      </w:r>
      <w:r>
        <w:rPr>
          <w:spacing w:val="35"/>
          <w:sz w:val="20"/>
        </w:rPr>
        <w:t xml:space="preserve"> </w:t>
      </w:r>
      <w:r>
        <w:rPr>
          <w:sz w:val="20"/>
        </w:rPr>
        <w:t>disposiciones</w:t>
      </w:r>
      <w:r>
        <w:rPr>
          <w:spacing w:val="34"/>
          <w:sz w:val="20"/>
        </w:rPr>
        <w:t xml:space="preserve"> </w:t>
      </w:r>
      <w:r>
        <w:rPr>
          <w:sz w:val="20"/>
        </w:rPr>
        <w:t>vigentes</w:t>
      </w:r>
      <w:r>
        <w:rPr>
          <w:spacing w:val="34"/>
          <w:sz w:val="20"/>
        </w:rPr>
        <w:t xml:space="preserve"> </w:t>
      </w:r>
      <w:r>
        <w:rPr>
          <w:sz w:val="20"/>
        </w:rPr>
        <w:t>en</w:t>
      </w:r>
      <w:r>
        <w:rPr>
          <w:spacing w:val="34"/>
          <w:sz w:val="20"/>
        </w:rPr>
        <w:t xml:space="preserve"> </w:t>
      </w:r>
      <w:r>
        <w:rPr>
          <w:sz w:val="20"/>
        </w:rPr>
        <w:t>materia</w:t>
      </w:r>
      <w:r>
        <w:rPr>
          <w:spacing w:val="34"/>
          <w:sz w:val="20"/>
        </w:rPr>
        <w:t xml:space="preserve"> </w:t>
      </w:r>
      <w:r>
        <w:rPr>
          <w:sz w:val="20"/>
        </w:rPr>
        <w:t>de</w:t>
      </w:r>
      <w:r>
        <w:rPr>
          <w:spacing w:val="35"/>
          <w:sz w:val="20"/>
        </w:rPr>
        <w:t xml:space="preserve"> </w:t>
      </w:r>
      <w:r>
        <w:rPr>
          <w:spacing w:val="-2"/>
          <w:sz w:val="20"/>
        </w:rPr>
        <w:t>fiscalidad,</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protección del medio ambiente, protección del empleo, igualdad de género, condiciones de trabajo, prevención de riesgos laborales e inserción sociolaboral de las personas con discapacidad,</w:t>
      </w:r>
      <w:r>
        <w:rPr>
          <w:spacing w:val="-2"/>
        </w:rPr>
        <w:t xml:space="preserve"> </w:t>
      </w:r>
      <w:r>
        <w:t>y</w:t>
      </w:r>
      <w:r>
        <w:rPr>
          <w:spacing w:val="-3"/>
        </w:rPr>
        <w:t xml:space="preserve"> </w:t>
      </w:r>
      <w:r>
        <w:t>a</w:t>
      </w:r>
      <w:r>
        <w:rPr>
          <w:spacing w:val="-2"/>
        </w:rPr>
        <w:t xml:space="preserve"> </w:t>
      </w:r>
      <w:r>
        <w:t>la</w:t>
      </w:r>
      <w:r>
        <w:rPr>
          <w:spacing w:val="-3"/>
        </w:rPr>
        <w:t xml:space="preserve"> </w:t>
      </w:r>
      <w:r>
        <w:t>obligación</w:t>
      </w:r>
      <w:r>
        <w:rPr>
          <w:spacing w:val="-2"/>
        </w:rPr>
        <w:t xml:space="preserve"> </w:t>
      </w:r>
      <w:r>
        <w:t>de</w:t>
      </w:r>
      <w:r>
        <w:rPr>
          <w:spacing w:val="-3"/>
        </w:rPr>
        <w:t xml:space="preserve"> </w:t>
      </w:r>
      <w:r>
        <w:t>contratar</w:t>
      </w:r>
      <w:r>
        <w:rPr>
          <w:spacing w:val="-2"/>
        </w:rPr>
        <w:t xml:space="preserve"> </w:t>
      </w:r>
      <w:r>
        <w:t>a</w:t>
      </w:r>
      <w:r>
        <w:rPr>
          <w:spacing w:val="-3"/>
        </w:rPr>
        <w:t xml:space="preserve"> </w:t>
      </w:r>
      <w:r>
        <w:t>un</w:t>
      </w:r>
      <w:r>
        <w:rPr>
          <w:spacing w:val="-2"/>
        </w:rPr>
        <w:t xml:space="preserve"> </w:t>
      </w:r>
      <w:r>
        <w:t>número</w:t>
      </w:r>
      <w:r>
        <w:rPr>
          <w:spacing w:val="-3"/>
        </w:rPr>
        <w:t xml:space="preserve"> </w:t>
      </w:r>
      <w:r>
        <w:t>o</w:t>
      </w:r>
      <w:r>
        <w:rPr>
          <w:spacing w:val="-2"/>
        </w:rPr>
        <w:t xml:space="preserve"> </w:t>
      </w:r>
      <w:r>
        <w:t>porcentaje</w:t>
      </w:r>
      <w:r>
        <w:rPr>
          <w:spacing w:val="-3"/>
        </w:rPr>
        <w:t xml:space="preserve"> </w:t>
      </w:r>
      <w:r>
        <w:t>especifico</w:t>
      </w:r>
      <w:r>
        <w:rPr>
          <w:spacing w:val="-2"/>
        </w:rPr>
        <w:t xml:space="preserve"> </w:t>
      </w:r>
      <w:r>
        <w:t>de</w:t>
      </w:r>
      <w:r>
        <w:rPr>
          <w:spacing w:val="-3"/>
        </w:rPr>
        <w:t xml:space="preserve"> </w:t>
      </w:r>
      <w:r>
        <w:t>personas con discapacidad, y protección del medio ambiente.</w:t>
      </w:r>
    </w:p>
    <w:p w:rsidR="0092635B" w:rsidRDefault="00000000">
      <w:pPr>
        <w:pStyle w:val="Textoindependiente"/>
        <w:spacing w:before="3" w:line="249" w:lineRule="auto"/>
        <w:ind w:right="1107"/>
      </w:pPr>
      <w:r>
        <w:t>Esto no obstará para la aplicación de lo dispuesto en el artículo 149 sobre verificación de las ofertas que incluyan valores anormales o desproporcionados.</w:t>
      </w:r>
    </w:p>
    <w:p w:rsidR="0092635B" w:rsidRDefault="00000000">
      <w:pPr>
        <w:spacing w:before="228"/>
        <w:ind w:left="1106"/>
        <w:jc w:val="both"/>
        <w:rPr>
          <w:rFonts w:ascii="Arial" w:hAnsi="Arial"/>
          <w:i/>
          <w:sz w:val="20"/>
        </w:rPr>
      </w:pPr>
      <w:bookmarkStart w:id="218" w:name="Artículo_130._Información_sobre_las_cond"/>
      <w:bookmarkEnd w:id="218"/>
      <w:r>
        <w:rPr>
          <w:rFonts w:ascii="Arial" w:hAnsi="Arial"/>
          <w:b/>
          <w:sz w:val="20"/>
        </w:rPr>
        <w:t>Artículo</w:t>
      </w:r>
      <w:r>
        <w:rPr>
          <w:rFonts w:ascii="Arial" w:hAnsi="Arial"/>
          <w:b/>
          <w:spacing w:val="-3"/>
          <w:sz w:val="20"/>
        </w:rPr>
        <w:t xml:space="preserve"> </w:t>
      </w:r>
      <w:r>
        <w:rPr>
          <w:rFonts w:ascii="Arial" w:hAnsi="Arial"/>
          <w:b/>
          <w:sz w:val="20"/>
        </w:rPr>
        <w:t>130.</w:t>
      </w:r>
      <w:r>
        <w:rPr>
          <w:rFonts w:ascii="Arial" w:hAnsi="Arial"/>
          <w:b/>
          <w:spacing w:val="50"/>
          <w:sz w:val="20"/>
        </w:rPr>
        <w:t xml:space="preserve"> </w:t>
      </w:r>
      <w:r>
        <w:rPr>
          <w:rFonts w:ascii="Arial" w:hAnsi="Arial"/>
          <w:i/>
          <w:sz w:val="20"/>
        </w:rPr>
        <w:t>Información</w:t>
      </w:r>
      <w:r>
        <w:rPr>
          <w:rFonts w:ascii="Arial" w:hAnsi="Arial"/>
          <w:i/>
          <w:spacing w:val="-2"/>
          <w:sz w:val="20"/>
        </w:rPr>
        <w:t xml:space="preserve"> </w:t>
      </w:r>
      <w:r>
        <w:rPr>
          <w:rFonts w:ascii="Arial" w:hAnsi="Arial"/>
          <w:i/>
          <w:sz w:val="20"/>
        </w:rPr>
        <w:t>sobre</w:t>
      </w:r>
      <w:r>
        <w:rPr>
          <w:rFonts w:ascii="Arial" w:hAnsi="Arial"/>
          <w:i/>
          <w:spacing w:val="-3"/>
          <w:sz w:val="20"/>
        </w:rPr>
        <w:t xml:space="preserve"> </w:t>
      </w:r>
      <w:r>
        <w:rPr>
          <w:rFonts w:ascii="Arial" w:hAnsi="Arial"/>
          <w:i/>
          <w:sz w:val="20"/>
        </w:rPr>
        <w:t>las</w:t>
      </w:r>
      <w:r>
        <w:rPr>
          <w:rFonts w:ascii="Arial" w:hAnsi="Arial"/>
          <w:i/>
          <w:spacing w:val="-2"/>
          <w:sz w:val="20"/>
        </w:rPr>
        <w:t xml:space="preserve"> </w:t>
      </w:r>
      <w:r>
        <w:rPr>
          <w:rFonts w:ascii="Arial" w:hAnsi="Arial"/>
          <w:i/>
          <w:sz w:val="20"/>
        </w:rPr>
        <w:t>condiciones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subrogación</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de</w:t>
      </w:r>
      <w:r>
        <w:rPr>
          <w:rFonts w:ascii="Arial" w:hAnsi="Arial"/>
          <w:i/>
          <w:spacing w:val="-2"/>
          <w:sz w:val="20"/>
        </w:rPr>
        <w:t xml:space="preserve"> trabajo.</w:t>
      </w:r>
    </w:p>
    <w:p w:rsidR="0092635B" w:rsidRDefault="00000000">
      <w:pPr>
        <w:pStyle w:val="Prrafodelista"/>
        <w:numPr>
          <w:ilvl w:val="0"/>
          <w:numId w:val="242"/>
        </w:numPr>
        <w:tabs>
          <w:tab w:val="left" w:pos="1675"/>
        </w:tabs>
        <w:spacing w:before="124" w:line="249" w:lineRule="auto"/>
        <w:ind w:right="1105" w:firstLine="340"/>
        <w:jc w:val="both"/>
        <w:rPr>
          <w:sz w:val="20"/>
        </w:rPr>
      </w:pPr>
      <w:r>
        <w:rPr>
          <w:sz w:val="20"/>
        </w:rPr>
        <w:t>Cuando una norma legal un convenio colectivo o un acuerdo de negociación colectiva de eficacia general, imponga al adjudicatario la obligación de subrogarse como empleador</w:t>
      </w:r>
      <w:r>
        <w:rPr>
          <w:spacing w:val="80"/>
          <w:sz w:val="20"/>
        </w:rPr>
        <w:t xml:space="preserve"> </w:t>
      </w:r>
      <w:r>
        <w:rPr>
          <w:sz w:val="20"/>
        </w:rPr>
        <w:t>en determinadas relaciones laborales, los servicios dependientes del órgano de contratación deberán facilitar a los licitadores, en el propio pliego, la información sobre las condiciones de los contratos de los trabajadores a los que afecte la subrogación que resulte necesaria para permitir una exacta evaluación de los costes laborales que implicará tal medida, debiendo hacer constar igualmente que tal información se facilita en cumplimiento de lo previsto en el presente artículo.</w:t>
      </w:r>
    </w:p>
    <w:p w:rsidR="0092635B" w:rsidRDefault="00000000">
      <w:pPr>
        <w:pStyle w:val="Textoindependiente"/>
        <w:spacing w:before="6" w:line="249" w:lineRule="auto"/>
        <w:ind w:right="1102"/>
      </w:pPr>
      <w:r>
        <w:t>A estos efectos, la empresa que viniese efectuando la prestación objeto del contrato a adjudicar y que tenga la condición de empleadora de los trabajadores afectados estará obligada a proporcionar la referida información al órgano de contratación, a requerimiento de este. Como parte de esta información en todo caso se deberán aportar los listados del personal objeto de subrogación, indicándose: el convenio colectivo de aplicación y los detalles de categoría, tipo de contrato, jornada, fecha de antigüedad, vencimiento del contrato, salario bruto anual de cada trabajador, así como todos los pactos en vigor aplicables a los trabajadores a los que afecte la subrogación. La Administración comunicará al nuevo empresario la información que le hubiere sido facilitada por el anterior contratista.</w:t>
      </w:r>
    </w:p>
    <w:p w:rsidR="0092635B" w:rsidRDefault="00000000">
      <w:pPr>
        <w:pStyle w:val="Prrafodelista"/>
        <w:numPr>
          <w:ilvl w:val="0"/>
          <w:numId w:val="242"/>
        </w:numPr>
        <w:tabs>
          <w:tab w:val="left" w:pos="1702"/>
        </w:tabs>
        <w:spacing w:before="8" w:line="249" w:lineRule="auto"/>
        <w:ind w:right="1105" w:firstLine="340"/>
        <w:jc w:val="both"/>
        <w:rPr>
          <w:sz w:val="20"/>
        </w:rPr>
      </w:pPr>
      <w:r>
        <w:rPr>
          <w:sz w:val="20"/>
        </w:rPr>
        <w:t>Lo dispuesto en este artículo respecto de la subrogación de trabajadores resultará igualmente de aplicación a los socios trabajadores de las cooperativas cuando estos estuvieran adscritos al servicio o actividad objeto de la subrogación.</w:t>
      </w:r>
    </w:p>
    <w:p w:rsidR="0092635B" w:rsidRDefault="00000000">
      <w:pPr>
        <w:pStyle w:val="Textoindependiente"/>
        <w:spacing w:line="249" w:lineRule="auto"/>
        <w:ind w:right="1104"/>
      </w:pPr>
      <w:r>
        <w:t>Cuando la empresa que viniese efectuando la prestación objeto del contrato a adjudicar fuese un Centro Especial de Empleo, la empresa que resulte adjudicataria tendrá la obligación de subrogarse como empleador de todas las personas con discapacidad que vinieran desarrollando su actividad en la ejecución del referido contrato.</w:t>
      </w:r>
    </w:p>
    <w:p w:rsidR="0092635B" w:rsidRDefault="00000000">
      <w:pPr>
        <w:pStyle w:val="Prrafodelista"/>
        <w:numPr>
          <w:ilvl w:val="0"/>
          <w:numId w:val="242"/>
        </w:numPr>
        <w:tabs>
          <w:tab w:val="left" w:pos="1693"/>
        </w:tabs>
        <w:spacing w:before="3" w:line="249" w:lineRule="auto"/>
        <w:ind w:right="1105" w:firstLine="340"/>
        <w:jc w:val="both"/>
        <w:rPr>
          <w:sz w:val="20"/>
        </w:rPr>
      </w:pPr>
      <w:r>
        <w:rPr>
          <w:sz w:val="20"/>
        </w:rPr>
        <w:t>En caso de que una Administración Pública decida prestar directamente un servicio que hasta la fecha venía siendo prestado por un operador económico, vendrá obligada a la subrogación del personal que lo prestaba si así lo establece una norma legal, un convenio colectivo o un acuerdo de negociación colectiva de eficacia general.</w:t>
      </w:r>
    </w:p>
    <w:p w:rsidR="0092635B" w:rsidRDefault="00000000">
      <w:pPr>
        <w:pStyle w:val="Prrafodelista"/>
        <w:numPr>
          <w:ilvl w:val="0"/>
          <w:numId w:val="242"/>
        </w:numPr>
        <w:tabs>
          <w:tab w:val="left" w:pos="1718"/>
        </w:tabs>
        <w:spacing w:before="4" w:line="249" w:lineRule="auto"/>
        <w:ind w:right="1105" w:firstLine="340"/>
        <w:jc w:val="both"/>
        <w:rPr>
          <w:sz w:val="20"/>
        </w:rPr>
      </w:pPr>
      <w:r>
        <w:rPr>
          <w:sz w:val="20"/>
        </w:rPr>
        <w:t>El pliego de cláusulas administrativas particulares contemplará necesariamente la imposición de penalidades al contratista dentro de los límites establecidos en el artículo 192 para el supuesto de incumplimiento por el mismo de la obligación prevista en este artículo.</w:t>
      </w:r>
    </w:p>
    <w:p w:rsidR="0092635B" w:rsidRDefault="00000000">
      <w:pPr>
        <w:pStyle w:val="Prrafodelista"/>
        <w:numPr>
          <w:ilvl w:val="0"/>
          <w:numId w:val="242"/>
        </w:numPr>
        <w:tabs>
          <w:tab w:val="left" w:pos="1712"/>
        </w:tabs>
        <w:spacing w:line="249" w:lineRule="auto"/>
        <w:ind w:right="1104" w:firstLine="340"/>
        <w:jc w:val="both"/>
        <w:rPr>
          <w:sz w:val="20"/>
        </w:rPr>
      </w:pPr>
      <w:r>
        <w:rPr>
          <w:sz w:val="20"/>
        </w:rPr>
        <w:t>En el caso de que una vez producida la subrogación los costes laborales fueran superiores a los que se desprendieran de la información facilitada por el antiguo contratista</w:t>
      </w:r>
      <w:r>
        <w:rPr>
          <w:spacing w:val="80"/>
          <w:sz w:val="20"/>
        </w:rPr>
        <w:t xml:space="preserve"> </w:t>
      </w:r>
      <w:r>
        <w:rPr>
          <w:sz w:val="20"/>
        </w:rPr>
        <w:t>al órgano de contratación, el contratista tendrá acción directa contra el antiguo contratista.</w:t>
      </w:r>
    </w:p>
    <w:p w:rsidR="0092635B" w:rsidRDefault="00000000">
      <w:pPr>
        <w:pStyle w:val="Prrafodelista"/>
        <w:numPr>
          <w:ilvl w:val="0"/>
          <w:numId w:val="242"/>
        </w:numPr>
        <w:tabs>
          <w:tab w:val="left" w:pos="1680"/>
        </w:tabs>
        <w:spacing w:before="3" w:line="249" w:lineRule="auto"/>
        <w:ind w:firstLine="340"/>
        <w:jc w:val="both"/>
        <w:rPr>
          <w:sz w:val="20"/>
        </w:rPr>
      </w:pPr>
      <w:r>
        <w:rPr>
          <w:sz w:val="20"/>
        </w:rPr>
        <w:t>Asimismo, y sin perjuicio de la aplicación, en su caso, de lo establecido en el artículo 44</w:t>
      </w:r>
      <w:r>
        <w:rPr>
          <w:spacing w:val="-1"/>
          <w:sz w:val="20"/>
        </w:rPr>
        <w:t xml:space="preserve"> </w:t>
      </w:r>
      <w:r>
        <w:rPr>
          <w:sz w:val="20"/>
        </w:rPr>
        <w:t>del</w:t>
      </w:r>
      <w:r>
        <w:rPr>
          <w:spacing w:val="-1"/>
          <w:sz w:val="20"/>
        </w:rPr>
        <w:t xml:space="preserve"> </w:t>
      </w:r>
      <w:r>
        <w:rPr>
          <w:sz w:val="20"/>
        </w:rPr>
        <w:t>texto</w:t>
      </w:r>
      <w:r>
        <w:rPr>
          <w:spacing w:val="-1"/>
          <w:sz w:val="20"/>
        </w:rPr>
        <w:t xml:space="preserve"> </w:t>
      </w:r>
      <w:r>
        <w:rPr>
          <w:sz w:val="20"/>
        </w:rPr>
        <w:t>refundido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del</w:t>
      </w:r>
      <w:r>
        <w:rPr>
          <w:spacing w:val="-1"/>
          <w:sz w:val="20"/>
        </w:rPr>
        <w:t xml:space="preserve"> </w:t>
      </w:r>
      <w:r>
        <w:rPr>
          <w:sz w:val="20"/>
        </w:rPr>
        <w:t>Estatuto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Trabajadores,</w:t>
      </w:r>
      <w:r>
        <w:rPr>
          <w:spacing w:val="-1"/>
          <w:sz w:val="20"/>
        </w:rPr>
        <w:t xml:space="preserve"> </w:t>
      </w:r>
      <w:r>
        <w:rPr>
          <w:sz w:val="20"/>
        </w:rPr>
        <w:t>aprobado</w:t>
      </w:r>
      <w:r>
        <w:rPr>
          <w:spacing w:val="-1"/>
          <w:sz w:val="20"/>
        </w:rPr>
        <w:t xml:space="preserve"> </w:t>
      </w:r>
      <w:r>
        <w:rPr>
          <w:sz w:val="20"/>
        </w:rPr>
        <w:t>por</w:t>
      </w:r>
      <w:r>
        <w:rPr>
          <w:spacing w:val="-1"/>
          <w:sz w:val="20"/>
        </w:rPr>
        <w:t xml:space="preserve"> </w:t>
      </w:r>
      <w:r>
        <w:rPr>
          <w:sz w:val="20"/>
        </w:rPr>
        <w:t>Real</w:t>
      </w:r>
      <w:r>
        <w:rPr>
          <w:spacing w:val="-1"/>
          <w:sz w:val="20"/>
        </w:rPr>
        <w:t xml:space="preserve"> </w:t>
      </w:r>
      <w:r>
        <w:rPr>
          <w:sz w:val="20"/>
        </w:rPr>
        <w:t>Decreto Legislativo 2/2015, de 23 de octubre, el pliego de cláusulas administrativas particulares siempre contemplará la obligación del contratista de responder de los salarios impagados a los trabajadores afectados por subrogación, así como de las cotizaciones a la Seguridad social devengadas, aún en el supuesto de que se resuelva el contrato y aquellos sean subrogados por el nuevo contratista, sin que en ningún caso dicha obligación corresponda a este último. En este caso, la Administración, una vez acreditada la falta de pago de los citados salarios, procederá a la retención de las cantidades debidas al contratista para garantizar el pago de los citados salarios, y a la no devolución de la garantía definitiva en tanto no se acredite el abono de éstos.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line="249" w:lineRule="auto"/>
        <w:ind w:left="1446" w:right="1443"/>
      </w:pPr>
      <w:bookmarkStart w:id="219" w:name="Sección_2.ª_De_la_adjudicación_de_los_co"/>
      <w:bookmarkStart w:id="220" w:name="_bookmark45"/>
      <w:bookmarkEnd w:id="219"/>
      <w:bookmarkEnd w:id="220"/>
      <w:r>
        <w:t>Sección</w:t>
      </w:r>
      <w:r>
        <w:rPr>
          <w:spacing w:val="73"/>
        </w:rPr>
        <w:t xml:space="preserve"> </w:t>
      </w:r>
      <w:r>
        <w:t>2.ª</w:t>
      </w:r>
      <w:r>
        <w:rPr>
          <w:spacing w:val="73"/>
        </w:rPr>
        <w:t xml:space="preserve"> </w:t>
      </w:r>
      <w:r>
        <w:t>De</w:t>
      </w:r>
      <w:r>
        <w:rPr>
          <w:spacing w:val="73"/>
        </w:rPr>
        <w:t xml:space="preserve"> </w:t>
      </w:r>
      <w:r>
        <w:t>la</w:t>
      </w:r>
      <w:r>
        <w:rPr>
          <w:spacing w:val="73"/>
        </w:rPr>
        <w:t xml:space="preserve"> </w:t>
      </w:r>
      <w:r>
        <w:t>adjudicación</w:t>
      </w:r>
      <w:r>
        <w:rPr>
          <w:spacing w:val="73"/>
        </w:rPr>
        <w:t xml:space="preserve"> </w:t>
      </w:r>
      <w:r>
        <w:t>de</w:t>
      </w:r>
      <w:r>
        <w:rPr>
          <w:spacing w:val="73"/>
        </w:rPr>
        <w:t xml:space="preserve"> </w:t>
      </w:r>
      <w:r>
        <w:t>los</w:t>
      </w:r>
      <w:r>
        <w:rPr>
          <w:spacing w:val="73"/>
        </w:rPr>
        <w:t xml:space="preserve"> </w:t>
      </w:r>
      <w:r>
        <w:t>contratos</w:t>
      </w:r>
      <w:r>
        <w:rPr>
          <w:spacing w:val="73"/>
        </w:rPr>
        <w:t xml:space="preserve"> </w:t>
      </w:r>
      <w:r>
        <w:t>de</w:t>
      </w:r>
      <w:r>
        <w:rPr>
          <w:spacing w:val="73"/>
        </w:rPr>
        <w:t xml:space="preserve"> </w:t>
      </w:r>
      <w:r>
        <w:t>las</w:t>
      </w:r>
      <w:r>
        <w:rPr>
          <w:spacing w:val="73"/>
        </w:rPr>
        <w:t xml:space="preserve"> </w:t>
      </w:r>
      <w:r>
        <w:t xml:space="preserve">Administraciones </w:t>
      </w:r>
      <w:r>
        <w:rPr>
          <w:spacing w:val="-2"/>
        </w:rPr>
        <w:t>Públicas</w:t>
      </w:r>
    </w:p>
    <w:p w:rsidR="0092635B" w:rsidRDefault="0092635B">
      <w:pPr>
        <w:pStyle w:val="Textoindependiente"/>
        <w:spacing w:before="55"/>
        <w:ind w:left="0" w:firstLine="0"/>
        <w:jc w:val="left"/>
        <w:rPr>
          <w:rFonts w:ascii="Arial"/>
          <w:b/>
          <w:i/>
        </w:rPr>
      </w:pPr>
    </w:p>
    <w:p w:rsidR="0092635B" w:rsidRDefault="00000000">
      <w:pPr>
        <w:pStyle w:val="Textoindependiente"/>
        <w:spacing w:before="0"/>
        <w:ind w:left="0" w:firstLine="0"/>
        <w:jc w:val="center"/>
      </w:pPr>
      <w:bookmarkStart w:id="221" w:name="_bookmark46"/>
      <w:bookmarkEnd w:id="221"/>
      <w:r>
        <w:t>Subsección</w:t>
      </w:r>
      <w:r>
        <w:rPr>
          <w:spacing w:val="-4"/>
        </w:rPr>
        <w:t xml:space="preserve"> </w:t>
      </w:r>
      <w:r>
        <w:t>1.ª</w:t>
      </w:r>
      <w:r>
        <w:rPr>
          <w:spacing w:val="-4"/>
        </w:rPr>
        <w:t xml:space="preserve"> </w:t>
      </w:r>
      <w:r>
        <w:t>Normas</w:t>
      </w:r>
      <w:r>
        <w:rPr>
          <w:spacing w:val="-3"/>
        </w:rPr>
        <w:t xml:space="preserve"> </w:t>
      </w:r>
      <w:r>
        <w:rPr>
          <w:spacing w:val="-2"/>
        </w:rPr>
        <w:t>generales</w:t>
      </w:r>
    </w:p>
    <w:p w:rsidR="0092635B" w:rsidRDefault="0092635B">
      <w:pPr>
        <w:pStyle w:val="Textoindependiente"/>
        <w:spacing w:before="6"/>
        <w:ind w:left="0" w:firstLine="0"/>
        <w:jc w:val="left"/>
      </w:pPr>
    </w:p>
    <w:p w:rsidR="0092635B" w:rsidRDefault="00000000">
      <w:pPr>
        <w:spacing w:before="1"/>
        <w:ind w:left="1106"/>
        <w:rPr>
          <w:rFonts w:ascii="Arial" w:hAnsi="Arial"/>
          <w:i/>
          <w:sz w:val="20"/>
        </w:rPr>
      </w:pPr>
      <w:bookmarkStart w:id="222" w:name="Artículo_131._Procedimiento_de_adjudicac"/>
      <w:bookmarkEnd w:id="222"/>
      <w:r>
        <w:rPr>
          <w:rFonts w:ascii="Arial" w:hAnsi="Arial"/>
          <w:b/>
          <w:sz w:val="20"/>
        </w:rPr>
        <w:t>Artículo</w:t>
      </w:r>
      <w:r>
        <w:rPr>
          <w:rFonts w:ascii="Arial" w:hAnsi="Arial"/>
          <w:b/>
          <w:spacing w:val="-3"/>
          <w:sz w:val="20"/>
        </w:rPr>
        <w:t xml:space="preserve"> </w:t>
      </w:r>
      <w:r>
        <w:rPr>
          <w:rFonts w:ascii="Arial" w:hAnsi="Arial"/>
          <w:b/>
          <w:sz w:val="20"/>
        </w:rPr>
        <w:t>131.</w:t>
      </w:r>
      <w:r>
        <w:rPr>
          <w:rFonts w:ascii="Arial" w:hAnsi="Arial"/>
          <w:b/>
          <w:spacing w:val="49"/>
          <w:sz w:val="20"/>
        </w:rPr>
        <w:t xml:space="preserve"> </w:t>
      </w:r>
      <w:r>
        <w:rPr>
          <w:rFonts w:ascii="Arial" w:hAnsi="Arial"/>
          <w:i/>
          <w:sz w:val="20"/>
        </w:rPr>
        <w:t>Procedimiento</w:t>
      </w:r>
      <w:r>
        <w:rPr>
          <w:rFonts w:ascii="Arial" w:hAnsi="Arial"/>
          <w:i/>
          <w:spacing w:val="-3"/>
          <w:sz w:val="20"/>
        </w:rPr>
        <w:t xml:space="preserve"> </w:t>
      </w:r>
      <w:r>
        <w:rPr>
          <w:rFonts w:ascii="Arial" w:hAnsi="Arial"/>
          <w:i/>
          <w:sz w:val="20"/>
        </w:rPr>
        <w:t>de</w:t>
      </w:r>
      <w:r>
        <w:rPr>
          <w:rFonts w:ascii="Arial" w:hAnsi="Arial"/>
          <w:i/>
          <w:spacing w:val="-2"/>
          <w:sz w:val="20"/>
        </w:rPr>
        <w:t xml:space="preserve"> adjudicación.</w:t>
      </w:r>
    </w:p>
    <w:p w:rsidR="0092635B" w:rsidRDefault="00000000">
      <w:pPr>
        <w:pStyle w:val="Prrafodelista"/>
        <w:numPr>
          <w:ilvl w:val="0"/>
          <w:numId w:val="241"/>
        </w:numPr>
        <w:tabs>
          <w:tab w:val="left" w:pos="1669"/>
        </w:tabs>
        <w:spacing w:before="123" w:line="249" w:lineRule="auto"/>
        <w:ind w:right="1104" w:firstLine="340"/>
        <w:jc w:val="both"/>
        <w:rPr>
          <w:sz w:val="20"/>
        </w:rPr>
      </w:pPr>
      <w:r>
        <w:rPr>
          <w:sz w:val="20"/>
        </w:rPr>
        <w:t>Los</w:t>
      </w:r>
      <w:r>
        <w:rPr>
          <w:spacing w:val="-2"/>
          <w:sz w:val="20"/>
        </w:rPr>
        <w:t xml:space="preserve"> </w:t>
      </w:r>
      <w:r>
        <w:rPr>
          <w:sz w:val="20"/>
        </w:rPr>
        <w:t>contratos</w:t>
      </w:r>
      <w:r>
        <w:rPr>
          <w:spacing w:val="-2"/>
          <w:sz w:val="20"/>
        </w:rPr>
        <w:t xml:space="preserve"> </w:t>
      </w:r>
      <w:r>
        <w:rPr>
          <w:sz w:val="20"/>
        </w:rPr>
        <w:t>que</w:t>
      </w:r>
      <w:r>
        <w:rPr>
          <w:spacing w:val="-2"/>
          <w:sz w:val="20"/>
        </w:rPr>
        <w:t xml:space="preserve"> </w:t>
      </w:r>
      <w:r>
        <w:rPr>
          <w:sz w:val="20"/>
        </w:rPr>
        <w:t>celebren</w:t>
      </w:r>
      <w:r>
        <w:rPr>
          <w:spacing w:val="-2"/>
          <w:sz w:val="20"/>
        </w:rPr>
        <w:t xml:space="preserve"> </w:t>
      </w:r>
      <w:r>
        <w:rPr>
          <w:sz w:val="20"/>
        </w:rPr>
        <w:t>las</w:t>
      </w:r>
      <w:r>
        <w:rPr>
          <w:spacing w:val="-2"/>
          <w:sz w:val="20"/>
        </w:rPr>
        <w:t xml:space="preserve"> </w:t>
      </w:r>
      <w:r>
        <w:rPr>
          <w:sz w:val="20"/>
        </w:rPr>
        <w:t>Administraciones</w:t>
      </w:r>
      <w:r>
        <w:rPr>
          <w:spacing w:val="-2"/>
          <w:sz w:val="20"/>
        </w:rPr>
        <w:t xml:space="preserve"> </w:t>
      </w:r>
      <w:r>
        <w:rPr>
          <w:sz w:val="20"/>
        </w:rPr>
        <w:t>Públicas</w:t>
      </w:r>
      <w:r>
        <w:rPr>
          <w:spacing w:val="-2"/>
          <w:sz w:val="20"/>
        </w:rPr>
        <w:t xml:space="preserve"> </w:t>
      </w:r>
      <w:r>
        <w:rPr>
          <w:sz w:val="20"/>
        </w:rPr>
        <w:t>se</w:t>
      </w:r>
      <w:r>
        <w:rPr>
          <w:spacing w:val="-2"/>
          <w:sz w:val="20"/>
        </w:rPr>
        <w:t xml:space="preserve"> </w:t>
      </w:r>
      <w:r>
        <w:rPr>
          <w:sz w:val="20"/>
        </w:rPr>
        <w:t>adjudicarán</w:t>
      </w:r>
      <w:r>
        <w:rPr>
          <w:spacing w:val="-2"/>
          <w:sz w:val="20"/>
        </w:rPr>
        <w:t xml:space="preserve"> </w:t>
      </w:r>
      <w:r>
        <w:rPr>
          <w:sz w:val="20"/>
        </w:rPr>
        <w:t>con</w:t>
      </w:r>
      <w:r>
        <w:rPr>
          <w:spacing w:val="-2"/>
          <w:sz w:val="20"/>
        </w:rPr>
        <w:t xml:space="preserve"> </w:t>
      </w:r>
      <w:r>
        <w:rPr>
          <w:sz w:val="20"/>
        </w:rPr>
        <w:t>arreglo</w:t>
      </w:r>
      <w:r>
        <w:rPr>
          <w:spacing w:val="-2"/>
          <w:sz w:val="20"/>
        </w:rPr>
        <w:t xml:space="preserve"> </w:t>
      </w:r>
      <w:r>
        <w:rPr>
          <w:sz w:val="20"/>
        </w:rPr>
        <w:t>a las normas de la presente sección.</w:t>
      </w:r>
    </w:p>
    <w:p w:rsidR="0092635B" w:rsidRDefault="00000000">
      <w:pPr>
        <w:pStyle w:val="Prrafodelista"/>
        <w:numPr>
          <w:ilvl w:val="0"/>
          <w:numId w:val="241"/>
        </w:numPr>
        <w:tabs>
          <w:tab w:val="left" w:pos="1692"/>
        </w:tabs>
        <w:spacing w:line="249" w:lineRule="auto"/>
        <w:ind w:firstLine="340"/>
        <w:jc w:val="both"/>
        <w:rPr>
          <w:sz w:val="20"/>
        </w:rPr>
      </w:pPr>
      <w:r>
        <w:rPr>
          <w:sz w:val="20"/>
        </w:rPr>
        <w:t>La adjudicación se realizará, ordinariamente utilizando una pluralidad de criterios de adjudicación basados en el principio de mejor relación calidad-precio, y utilizando el procedimiento abierto o el procedimiento restringido, salvo los contratos de concesión de servicios especiales del Anexo IV, que se adjudicarán mediante este último procedimiento.</w:t>
      </w:r>
    </w:p>
    <w:p w:rsidR="0092635B" w:rsidRDefault="00000000">
      <w:pPr>
        <w:pStyle w:val="Textoindependiente"/>
        <w:spacing w:before="3" w:line="249" w:lineRule="auto"/>
        <w:ind w:right="1104"/>
      </w:pPr>
      <w:r>
        <w:t>En los supuestos del artículo 168 podrá seguirse el procedimiento negociado sin publicidad; en los casos previstos en el artículo 167 podrá recurrirse al diálogo competitivo o a la licitación con negociación, y en los indicados en el artículo 177 podrá emplearse el procedimiento de asociación para la innovación.</w:t>
      </w:r>
    </w:p>
    <w:p w:rsidR="0092635B" w:rsidRDefault="00000000">
      <w:pPr>
        <w:pStyle w:val="Prrafodelista"/>
        <w:numPr>
          <w:ilvl w:val="0"/>
          <w:numId w:val="241"/>
        </w:numPr>
        <w:tabs>
          <w:tab w:val="left" w:pos="1692"/>
        </w:tabs>
        <w:spacing w:before="3" w:line="249" w:lineRule="auto"/>
        <w:ind w:right="1104" w:firstLine="340"/>
        <w:jc w:val="both"/>
        <w:rPr>
          <w:sz w:val="20"/>
        </w:rPr>
      </w:pPr>
      <w:r>
        <w:rPr>
          <w:sz w:val="20"/>
        </w:rPr>
        <w:t>Los contratos menores podrán adjudicarse directamente a cualquier empresario con capacidad de obrar y que cuente con la habilitación profesional necesaria para realizar la prestación, cumpliendo con las normas establecidas en el artículo 118.</w:t>
      </w:r>
    </w:p>
    <w:p w:rsidR="0092635B" w:rsidRDefault="00000000">
      <w:pPr>
        <w:pStyle w:val="Prrafodelista"/>
        <w:numPr>
          <w:ilvl w:val="0"/>
          <w:numId w:val="241"/>
        </w:numPr>
        <w:tabs>
          <w:tab w:val="left" w:pos="1711"/>
        </w:tabs>
        <w:spacing w:before="3" w:line="249" w:lineRule="auto"/>
        <w:ind w:right="1104" w:firstLine="340"/>
        <w:jc w:val="both"/>
        <w:rPr>
          <w:sz w:val="20"/>
        </w:rPr>
      </w:pPr>
      <w:r>
        <w:rPr>
          <w:sz w:val="20"/>
        </w:rPr>
        <w:t>En los contratos relativos a la prestación de asistencia sanitaria en supuestos de urgencia y con un valor estimado inferior a 30.000 euros, no serán de aplicación las disposiciones de esta Ley relativas a la preparación y adjudicación del contrato.</w:t>
      </w:r>
    </w:p>
    <w:p w:rsidR="0092635B" w:rsidRDefault="00000000">
      <w:pPr>
        <w:pStyle w:val="Textoindependiente"/>
        <w:spacing w:line="249" w:lineRule="auto"/>
        <w:ind w:right="1104"/>
      </w:pPr>
      <w:r>
        <w:t>Para proceder a la contratación en estos casos bastará con que, además de justificarse</w:t>
      </w:r>
      <w:r>
        <w:rPr>
          <w:spacing w:val="40"/>
        </w:rPr>
        <w:t xml:space="preserve"> </w:t>
      </w:r>
      <w:r>
        <w:t xml:space="preserve">la urgencia, se determine el objeto de la prestación, se fije el precio a satisfacer por la asistencia y se designe por el órgano de contratación la empresa a la que corresponderá la </w:t>
      </w:r>
      <w:r>
        <w:rPr>
          <w:spacing w:val="-2"/>
        </w:rPr>
        <w:t>ejecución.</w:t>
      </w:r>
    </w:p>
    <w:p w:rsidR="0092635B" w:rsidRDefault="00000000">
      <w:pPr>
        <w:pStyle w:val="Prrafodelista"/>
        <w:numPr>
          <w:ilvl w:val="0"/>
          <w:numId w:val="241"/>
        </w:numPr>
        <w:tabs>
          <w:tab w:val="left" w:pos="1674"/>
        </w:tabs>
        <w:spacing w:before="3"/>
        <w:ind w:left="1674" w:right="0" w:hanging="228"/>
        <w:jc w:val="both"/>
        <w:rPr>
          <w:sz w:val="20"/>
        </w:rPr>
      </w:pPr>
      <w:r>
        <w:rPr>
          <w:sz w:val="20"/>
        </w:rPr>
        <w:t>En</w:t>
      </w:r>
      <w:r>
        <w:rPr>
          <w:spacing w:val="3"/>
          <w:sz w:val="20"/>
        </w:rPr>
        <w:t xml:space="preserve"> </w:t>
      </w:r>
      <w:r>
        <w:rPr>
          <w:sz w:val="20"/>
        </w:rPr>
        <w:t>los</w:t>
      </w:r>
      <w:r>
        <w:rPr>
          <w:spacing w:val="3"/>
          <w:sz w:val="20"/>
        </w:rPr>
        <w:t xml:space="preserve"> </w:t>
      </w:r>
      <w:r>
        <w:rPr>
          <w:sz w:val="20"/>
        </w:rPr>
        <w:t>concursos</w:t>
      </w:r>
      <w:r>
        <w:rPr>
          <w:spacing w:val="4"/>
          <w:sz w:val="20"/>
        </w:rPr>
        <w:t xml:space="preserve"> </w:t>
      </w:r>
      <w:r>
        <w:rPr>
          <w:sz w:val="20"/>
        </w:rPr>
        <w:t>de</w:t>
      </w:r>
      <w:r>
        <w:rPr>
          <w:spacing w:val="3"/>
          <w:sz w:val="20"/>
        </w:rPr>
        <w:t xml:space="preserve"> </w:t>
      </w:r>
      <w:r>
        <w:rPr>
          <w:sz w:val="20"/>
        </w:rPr>
        <w:t>proyectos</w:t>
      </w:r>
      <w:r>
        <w:rPr>
          <w:spacing w:val="4"/>
          <w:sz w:val="20"/>
        </w:rPr>
        <w:t xml:space="preserve"> </w:t>
      </w:r>
      <w:r>
        <w:rPr>
          <w:sz w:val="20"/>
        </w:rPr>
        <w:t>se</w:t>
      </w:r>
      <w:r>
        <w:rPr>
          <w:spacing w:val="3"/>
          <w:sz w:val="20"/>
        </w:rPr>
        <w:t xml:space="preserve"> </w:t>
      </w:r>
      <w:r>
        <w:rPr>
          <w:sz w:val="20"/>
        </w:rPr>
        <w:t>seguirá</w:t>
      </w:r>
      <w:r>
        <w:rPr>
          <w:spacing w:val="3"/>
          <w:sz w:val="20"/>
        </w:rPr>
        <w:t xml:space="preserve"> </w:t>
      </w:r>
      <w:r>
        <w:rPr>
          <w:sz w:val="20"/>
        </w:rPr>
        <w:t>el</w:t>
      </w:r>
      <w:r>
        <w:rPr>
          <w:spacing w:val="4"/>
          <w:sz w:val="20"/>
        </w:rPr>
        <w:t xml:space="preserve"> </w:t>
      </w:r>
      <w:r>
        <w:rPr>
          <w:sz w:val="20"/>
        </w:rPr>
        <w:t>procedimiento</w:t>
      </w:r>
      <w:r>
        <w:rPr>
          <w:spacing w:val="3"/>
          <w:sz w:val="20"/>
        </w:rPr>
        <w:t xml:space="preserve"> </w:t>
      </w:r>
      <w:r>
        <w:rPr>
          <w:sz w:val="20"/>
        </w:rPr>
        <w:t>regulado</w:t>
      </w:r>
      <w:r>
        <w:rPr>
          <w:spacing w:val="4"/>
          <w:sz w:val="20"/>
        </w:rPr>
        <w:t xml:space="preserve"> </w:t>
      </w:r>
      <w:r>
        <w:rPr>
          <w:sz w:val="20"/>
        </w:rPr>
        <w:t>en</w:t>
      </w:r>
      <w:r>
        <w:rPr>
          <w:spacing w:val="3"/>
          <w:sz w:val="20"/>
        </w:rPr>
        <w:t xml:space="preserve"> </w:t>
      </w:r>
      <w:r>
        <w:rPr>
          <w:sz w:val="20"/>
        </w:rPr>
        <w:t>la</w:t>
      </w:r>
      <w:r>
        <w:rPr>
          <w:spacing w:val="4"/>
          <w:sz w:val="20"/>
        </w:rPr>
        <w:t xml:space="preserve"> </w:t>
      </w:r>
      <w:r>
        <w:rPr>
          <w:spacing w:val="-2"/>
          <w:sz w:val="20"/>
        </w:rPr>
        <w:t>Subsección</w:t>
      </w:r>
    </w:p>
    <w:p w:rsidR="0092635B" w:rsidRDefault="00000000">
      <w:pPr>
        <w:pStyle w:val="Prrafodelista"/>
        <w:numPr>
          <w:ilvl w:val="0"/>
          <w:numId w:val="242"/>
        </w:numPr>
        <w:tabs>
          <w:tab w:val="left" w:pos="1270"/>
        </w:tabs>
        <w:spacing w:before="10"/>
        <w:ind w:left="1270" w:right="0" w:hanging="164"/>
        <w:jc w:val="both"/>
        <w:rPr>
          <w:sz w:val="20"/>
        </w:rPr>
      </w:pPr>
      <w:r>
        <w:rPr>
          <w:sz w:val="20"/>
        </w:rPr>
        <w:t>ª</w:t>
      </w:r>
      <w:r>
        <w:rPr>
          <w:spacing w:val="-4"/>
          <w:sz w:val="20"/>
        </w:rPr>
        <w:t xml:space="preserve"> </w:t>
      </w:r>
      <w:r>
        <w:rPr>
          <w:sz w:val="20"/>
        </w:rPr>
        <w:t>de</w:t>
      </w:r>
      <w:r>
        <w:rPr>
          <w:spacing w:val="-1"/>
          <w:sz w:val="20"/>
        </w:rPr>
        <w:t xml:space="preserve"> </w:t>
      </w:r>
      <w:r>
        <w:rPr>
          <w:sz w:val="20"/>
        </w:rPr>
        <w:t>esta</w:t>
      </w:r>
      <w:r>
        <w:rPr>
          <w:spacing w:val="-1"/>
          <w:sz w:val="20"/>
        </w:rPr>
        <w:t xml:space="preserve"> </w:t>
      </w:r>
      <w:r>
        <w:rPr>
          <w:spacing w:val="-2"/>
          <w:sz w:val="20"/>
        </w:rPr>
        <w:t>sección.</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223" w:name="Artículo_132._Principios_de_igualdad,_tr"/>
      <w:bookmarkEnd w:id="223"/>
      <w:r>
        <w:rPr>
          <w:rFonts w:ascii="Arial" w:hAnsi="Arial"/>
          <w:b/>
          <w:sz w:val="20"/>
        </w:rPr>
        <w:t>Artículo</w:t>
      </w:r>
      <w:r>
        <w:rPr>
          <w:rFonts w:ascii="Arial" w:hAnsi="Arial"/>
          <w:b/>
          <w:spacing w:val="-2"/>
          <w:sz w:val="20"/>
        </w:rPr>
        <w:t xml:space="preserve"> </w:t>
      </w:r>
      <w:r>
        <w:rPr>
          <w:rFonts w:ascii="Arial" w:hAnsi="Arial"/>
          <w:b/>
          <w:sz w:val="20"/>
        </w:rPr>
        <w:t>132.</w:t>
      </w:r>
      <w:r>
        <w:rPr>
          <w:rFonts w:ascii="Arial" w:hAnsi="Arial"/>
          <w:b/>
          <w:spacing w:val="50"/>
          <w:sz w:val="20"/>
        </w:rPr>
        <w:t xml:space="preserve"> </w:t>
      </w:r>
      <w:r>
        <w:rPr>
          <w:rFonts w:ascii="Arial" w:hAnsi="Arial"/>
          <w:i/>
          <w:sz w:val="20"/>
        </w:rPr>
        <w:t>Principios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igualdad,</w:t>
      </w:r>
      <w:r>
        <w:rPr>
          <w:rFonts w:ascii="Arial" w:hAnsi="Arial"/>
          <w:i/>
          <w:spacing w:val="-2"/>
          <w:sz w:val="20"/>
        </w:rPr>
        <w:t xml:space="preserve"> </w:t>
      </w:r>
      <w:r>
        <w:rPr>
          <w:rFonts w:ascii="Arial" w:hAnsi="Arial"/>
          <w:i/>
          <w:sz w:val="20"/>
        </w:rPr>
        <w:t>transparencia</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libre</w:t>
      </w:r>
      <w:r>
        <w:rPr>
          <w:rFonts w:ascii="Arial" w:hAnsi="Arial"/>
          <w:i/>
          <w:spacing w:val="-1"/>
          <w:sz w:val="20"/>
        </w:rPr>
        <w:t xml:space="preserve"> </w:t>
      </w:r>
      <w:r>
        <w:rPr>
          <w:rFonts w:ascii="Arial" w:hAnsi="Arial"/>
          <w:i/>
          <w:spacing w:val="-2"/>
          <w:sz w:val="20"/>
        </w:rPr>
        <w:t>competencia.</w:t>
      </w:r>
    </w:p>
    <w:p w:rsidR="0092635B" w:rsidRDefault="00000000">
      <w:pPr>
        <w:pStyle w:val="Prrafodelista"/>
        <w:numPr>
          <w:ilvl w:val="1"/>
          <w:numId w:val="242"/>
        </w:numPr>
        <w:tabs>
          <w:tab w:val="left" w:pos="1723"/>
        </w:tabs>
        <w:spacing w:before="124" w:line="249" w:lineRule="auto"/>
        <w:ind w:right="1104" w:firstLine="340"/>
        <w:jc w:val="both"/>
        <w:rPr>
          <w:sz w:val="20"/>
        </w:rPr>
      </w:pPr>
      <w:r>
        <w:rPr>
          <w:sz w:val="20"/>
        </w:rPr>
        <w:t xml:space="preserve">Los órganos de contratación darán a los licitadores y candidatos un tratamiento igualitario y no discriminatorio y ajustarán su actuación a los principios de transparencia y </w:t>
      </w:r>
      <w:r>
        <w:rPr>
          <w:spacing w:val="-2"/>
          <w:sz w:val="20"/>
        </w:rPr>
        <w:t>proporcionalidad.</w:t>
      </w:r>
    </w:p>
    <w:p w:rsidR="0092635B" w:rsidRDefault="00000000">
      <w:pPr>
        <w:pStyle w:val="Textoindependiente"/>
        <w:spacing w:line="249" w:lineRule="auto"/>
        <w:ind w:right="1104"/>
      </w:pPr>
      <w:r>
        <w:t>En ningún caso podrá limitarse la participación por la forma jurídica o el ánimo de lucro</w:t>
      </w:r>
      <w:r>
        <w:rPr>
          <w:spacing w:val="40"/>
        </w:rPr>
        <w:t xml:space="preserve"> </w:t>
      </w:r>
      <w:r>
        <w:t>en la contratación, salvo en los contratos reservados para entidades recogidas en la disposición adicional cuarta.</w:t>
      </w:r>
    </w:p>
    <w:p w:rsidR="0092635B" w:rsidRDefault="00000000">
      <w:pPr>
        <w:pStyle w:val="Prrafodelista"/>
        <w:numPr>
          <w:ilvl w:val="1"/>
          <w:numId w:val="242"/>
        </w:numPr>
        <w:tabs>
          <w:tab w:val="left" w:pos="1735"/>
        </w:tabs>
        <w:spacing w:before="3" w:line="249" w:lineRule="auto"/>
        <w:ind w:firstLine="340"/>
        <w:jc w:val="both"/>
        <w:rPr>
          <w:sz w:val="20"/>
        </w:rPr>
      </w:pPr>
      <w:r>
        <w:rPr>
          <w:sz w:val="20"/>
        </w:rPr>
        <w:t>La contratación no será concebida con la intención de eludir los requisitos de publicidad o los relativos al procedimiento de adjudicación que corresponda, ni de restringir artificialmente la competencia, bien favoreciendo o perjudicando indebidamente a determinados empresarios.</w:t>
      </w:r>
    </w:p>
    <w:p w:rsidR="0092635B" w:rsidRDefault="00000000">
      <w:pPr>
        <w:pStyle w:val="Prrafodelista"/>
        <w:numPr>
          <w:ilvl w:val="1"/>
          <w:numId w:val="242"/>
        </w:numPr>
        <w:tabs>
          <w:tab w:val="left" w:pos="1685"/>
        </w:tabs>
        <w:spacing w:before="3" w:line="249" w:lineRule="auto"/>
        <w:ind w:firstLine="340"/>
        <w:jc w:val="both"/>
        <w:rPr>
          <w:sz w:val="20"/>
        </w:rPr>
      </w:pPr>
      <w:r>
        <w:rPr>
          <w:sz w:val="20"/>
        </w:rPr>
        <w:t>Los órganos de contratación velarán en todo el procedimiento de adjudicación por la salvaguarda de la libre competencia. Así, tanto ellos como la Junta Consultiva de Contratación Pública del Estado o, en su caso, los órganos consultivos o equivalentes en materia de contratación pública de las Comunidades Autónomas, y los órganos competentes para resolver el recurso especial a que se refiere el artículo 44 de esta Ley, notificarán a la Comisión Nacional de los Mercados y la Competencia o, en su caso, a las autoridades autonómicas de competencia, cualesquiera hechos de los que tengan conocimiento en el ejercicio de sus funciones que puedan constituir infracción a la legislación de defensa de la competencia. En particular, comunicarán cualquier indicio de acuerdo, decisión o recomendación colectiva, o práctica concertada o conscientemente paralela entre los licitadores, que tenga por objeto, produzca o pueda producir el efecto de impedir, restringir o falsear la competencia en el proceso de contratación.</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224" w:name="Artículo_133._Confidencialidad."/>
      <w:bookmarkEnd w:id="224"/>
      <w:r>
        <w:rPr>
          <w:rFonts w:ascii="Arial" w:hAnsi="Arial"/>
          <w:b/>
          <w:sz w:val="20"/>
        </w:rPr>
        <w:t>Artículo 133.</w:t>
      </w:r>
      <w:r>
        <w:rPr>
          <w:rFonts w:ascii="Arial" w:hAnsi="Arial"/>
          <w:b/>
          <w:spacing w:val="54"/>
          <w:sz w:val="20"/>
        </w:rPr>
        <w:t xml:space="preserve"> </w:t>
      </w:r>
      <w:r>
        <w:rPr>
          <w:rFonts w:ascii="Arial" w:hAnsi="Arial"/>
          <w:i/>
          <w:spacing w:val="-2"/>
          <w:sz w:val="20"/>
        </w:rPr>
        <w:t>Confidencialidad.</w:t>
      </w:r>
    </w:p>
    <w:p w:rsidR="0092635B" w:rsidRDefault="00000000">
      <w:pPr>
        <w:pStyle w:val="Prrafodelista"/>
        <w:numPr>
          <w:ilvl w:val="0"/>
          <w:numId w:val="240"/>
        </w:numPr>
        <w:tabs>
          <w:tab w:val="left" w:pos="1714"/>
        </w:tabs>
        <w:spacing w:before="124" w:line="249" w:lineRule="auto"/>
        <w:ind w:right="1105" w:firstLine="340"/>
        <w:jc w:val="both"/>
        <w:rPr>
          <w:sz w:val="20"/>
        </w:rPr>
      </w:pPr>
      <w:r>
        <w:rPr>
          <w:sz w:val="20"/>
        </w:rPr>
        <w:t>Sin perjuicio de lo dispuesto en la legislación vigente en materia de acceso a la información</w:t>
      </w:r>
      <w:r>
        <w:rPr>
          <w:spacing w:val="45"/>
          <w:sz w:val="20"/>
        </w:rPr>
        <w:t xml:space="preserve"> </w:t>
      </w:r>
      <w:r>
        <w:rPr>
          <w:sz w:val="20"/>
        </w:rPr>
        <w:t>pública</w:t>
      </w:r>
      <w:r>
        <w:rPr>
          <w:spacing w:val="47"/>
          <w:sz w:val="20"/>
        </w:rPr>
        <w:t xml:space="preserve"> </w:t>
      </w:r>
      <w:r>
        <w:rPr>
          <w:sz w:val="20"/>
        </w:rPr>
        <w:t>y</w:t>
      </w:r>
      <w:r>
        <w:rPr>
          <w:spacing w:val="47"/>
          <w:sz w:val="20"/>
        </w:rPr>
        <w:t xml:space="preserve"> </w:t>
      </w:r>
      <w:r>
        <w:rPr>
          <w:sz w:val="20"/>
        </w:rPr>
        <w:t>de</w:t>
      </w:r>
      <w:r>
        <w:rPr>
          <w:spacing w:val="47"/>
          <w:sz w:val="20"/>
        </w:rPr>
        <w:t xml:space="preserve"> </w:t>
      </w:r>
      <w:r>
        <w:rPr>
          <w:sz w:val="20"/>
        </w:rPr>
        <w:t>las</w:t>
      </w:r>
      <w:r>
        <w:rPr>
          <w:spacing w:val="47"/>
          <w:sz w:val="20"/>
        </w:rPr>
        <w:t xml:space="preserve"> </w:t>
      </w:r>
      <w:r>
        <w:rPr>
          <w:sz w:val="20"/>
        </w:rPr>
        <w:t>disposiciones</w:t>
      </w:r>
      <w:r>
        <w:rPr>
          <w:spacing w:val="47"/>
          <w:sz w:val="20"/>
        </w:rPr>
        <w:t xml:space="preserve"> </w:t>
      </w:r>
      <w:r>
        <w:rPr>
          <w:sz w:val="20"/>
        </w:rPr>
        <w:t>contenidas</w:t>
      </w:r>
      <w:r>
        <w:rPr>
          <w:spacing w:val="47"/>
          <w:sz w:val="20"/>
        </w:rPr>
        <w:t xml:space="preserve"> </w:t>
      </w:r>
      <w:r>
        <w:rPr>
          <w:sz w:val="20"/>
        </w:rPr>
        <w:t>en</w:t>
      </w:r>
      <w:r>
        <w:rPr>
          <w:spacing w:val="47"/>
          <w:sz w:val="20"/>
        </w:rPr>
        <w:t xml:space="preserve"> </w:t>
      </w:r>
      <w:r>
        <w:rPr>
          <w:sz w:val="20"/>
        </w:rPr>
        <w:t>la</w:t>
      </w:r>
      <w:r>
        <w:rPr>
          <w:spacing w:val="47"/>
          <w:sz w:val="20"/>
        </w:rPr>
        <w:t xml:space="preserve"> </w:t>
      </w:r>
      <w:r>
        <w:rPr>
          <w:sz w:val="20"/>
        </w:rPr>
        <w:t>presente</w:t>
      </w:r>
      <w:r>
        <w:rPr>
          <w:spacing w:val="47"/>
          <w:sz w:val="20"/>
        </w:rPr>
        <w:t xml:space="preserve"> </w:t>
      </w:r>
      <w:r>
        <w:rPr>
          <w:sz w:val="20"/>
        </w:rPr>
        <w:t>Ley</w:t>
      </w:r>
      <w:r>
        <w:rPr>
          <w:spacing w:val="47"/>
          <w:sz w:val="20"/>
        </w:rPr>
        <w:t xml:space="preserve"> </w:t>
      </w:r>
      <w:r>
        <w:rPr>
          <w:sz w:val="20"/>
        </w:rPr>
        <w:t>relativas</w:t>
      </w:r>
      <w:r>
        <w:rPr>
          <w:spacing w:val="47"/>
          <w:sz w:val="20"/>
        </w:rPr>
        <w:t xml:space="preserve"> </w:t>
      </w:r>
      <w:r>
        <w:rPr>
          <w:sz w:val="20"/>
        </w:rPr>
        <w:t>a</w:t>
      </w:r>
      <w:r>
        <w:rPr>
          <w:spacing w:val="47"/>
          <w:sz w:val="20"/>
        </w:rPr>
        <w:t xml:space="preserve"> </w:t>
      </w:r>
      <w:r>
        <w:rPr>
          <w:spacing w:val="-5"/>
          <w:sz w:val="20"/>
        </w:rPr>
        <w:t>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publicidad de la adjudicación y a la información que debe darse a los candidatos y a los licitadores, los órganos de contratación no podrán divulgar la información facilitada por los empresarios que estos hayan designado como confidencial en el momento de presentar su oferta. El carácter de confidencial afecta, entre otros, a los secretos técnicos o comerciales,</w:t>
      </w:r>
      <w:r>
        <w:rPr>
          <w:spacing w:val="80"/>
        </w:rPr>
        <w:t xml:space="preserve"> </w:t>
      </w:r>
      <w:r>
        <w:t>a los aspectos confidenciales de las ofertas y a cualesquiera otras informaciones cuyo contenido pueda ser utilizado para falsear la competencia, ya sea en ese procedimiento de licitación o en otros posteriores.</w:t>
      </w:r>
    </w:p>
    <w:p w:rsidR="0092635B" w:rsidRDefault="00000000">
      <w:pPr>
        <w:pStyle w:val="Textoindependiente"/>
        <w:spacing w:before="5" w:line="249" w:lineRule="auto"/>
        <w:ind w:right="1103"/>
      </w:pPr>
      <w:r>
        <w:t>El deber de confidencialidad del órgano de contratación así como de sus servicios dependientes no podrá extenderse a todo el contenido de la oferta del adjudicatario ni a todo el contenido de los informes y documentación que, en su caso, genere directa o indirectamente el órgano de contratación en el curso del procedimiento de licitación. Únicamente podrá extenderse a documentos que tengan una difusión restringida, y en</w:t>
      </w:r>
      <w:r>
        <w:rPr>
          <w:spacing w:val="40"/>
        </w:rPr>
        <w:t xml:space="preserve"> </w:t>
      </w:r>
      <w:r>
        <w:t>ningún caso a documentos que sean públicamente accesibles.</w:t>
      </w:r>
    </w:p>
    <w:p w:rsidR="0092635B" w:rsidRDefault="00000000">
      <w:pPr>
        <w:pStyle w:val="Textoindependiente"/>
        <w:spacing w:before="5" w:line="249" w:lineRule="auto"/>
        <w:ind w:right="1103"/>
      </w:pPr>
      <w:r>
        <w:t>El deber de confidencialidad tampoco podrá impedir la divulgación pública de partes no confidenciales de los contratos celebrados, tales como, en su caso, la liquidación, los plazos finales de ejecución de la obra, las empresas con las que se ha contratado y subcontratado, y, en todo caso, las partes esenciales de la oferta y las modificaciones posteriores del contrato, respetando en todo caso lo dispuesto en la Ley Orgánica 15/1999, de 13 de diciembre, de Protección de Datos de Carácter Personal.</w:t>
      </w:r>
    </w:p>
    <w:p w:rsidR="0092635B" w:rsidRDefault="00000000">
      <w:pPr>
        <w:pStyle w:val="Prrafodelista"/>
        <w:numPr>
          <w:ilvl w:val="0"/>
          <w:numId w:val="240"/>
        </w:numPr>
        <w:tabs>
          <w:tab w:val="left" w:pos="1679"/>
        </w:tabs>
        <w:spacing w:before="5" w:line="249" w:lineRule="auto"/>
        <w:ind w:right="1104" w:firstLine="340"/>
        <w:jc w:val="both"/>
        <w:rPr>
          <w:sz w:val="20"/>
        </w:rPr>
      </w:pPr>
      <w:r>
        <w:rPr>
          <w:sz w:val="20"/>
        </w:rPr>
        <w:t>El contratista deberá respetar el carácter confidencial de aquella información a la que tenga</w:t>
      </w:r>
      <w:r>
        <w:rPr>
          <w:spacing w:val="-1"/>
          <w:sz w:val="20"/>
        </w:rPr>
        <w:t xml:space="preserve"> </w:t>
      </w:r>
      <w:r>
        <w:rPr>
          <w:sz w:val="20"/>
        </w:rPr>
        <w:t>acceso</w:t>
      </w:r>
      <w:r>
        <w:rPr>
          <w:spacing w:val="-1"/>
          <w:sz w:val="20"/>
        </w:rPr>
        <w:t xml:space="preserve"> </w:t>
      </w:r>
      <w:r>
        <w:rPr>
          <w:sz w:val="20"/>
        </w:rPr>
        <w:t>con</w:t>
      </w:r>
      <w:r>
        <w:rPr>
          <w:spacing w:val="-1"/>
          <w:sz w:val="20"/>
        </w:rPr>
        <w:t xml:space="preserve"> </w:t>
      </w:r>
      <w:r>
        <w:rPr>
          <w:sz w:val="20"/>
        </w:rPr>
        <w:t>ocasión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ejecución</w:t>
      </w:r>
      <w:r>
        <w:rPr>
          <w:spacing w:val="-1"/>
          <w:sz w:val="20"/>
        </w:rPr>
        <w:t xml:space="preserve"> </w:t>
      </w:r>
      <w:r>
        <w:rPr>
          <w:sz w:val="20"/>
        </w:rPr>
        <w:t>del</w:t>
      </w:r>
      <w:r>
        <w:rPr>
          <w:spacing w:val="-1"/>
          <w:sz w:val="20"/>
        </w:rPr>
        <w:t xml:space="preserve"> </w:t>
      </w:r>
      <w:r>
        <w:rPr>
          <w:sz w:val="20"/>
        </w:rPr>
        <w:t>contrato</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le</w:t>
      </w:r>
      <w:r>
        <w:rPr>
          <w:spacing w:val="-1"/>
          <w:sz w:val="20"/>
        </w:rPr>
        <w:t xml:space="preserve"> </w:t>
      </w:r>
      <w:r>
        <w:rPr>
          <w:sz w:val="20"/>
        </w:rPr>
        <w:t>hubiese</w:t>
      </w:r>
      <w:r>
        <w:rPr>
          <w:spacing w:val="-1"/>
          <w:sz w:val="20"/>
        </w:rPr>
        <w:t xml:space="preserve"> </w:t>
      </w:r>
      <w:r>
        <w:rPr>
          <w:sz w:val="20"/>
        </w:rPr>
        <w:t>dado</w:t>
      </w:r>
      <w:r>
        <w:rPr>
          <w:spacing w:val="-1"/>
          <w:sz w:val="20"/>
        </w:rPr>
        <w:t xml:space="preserve"> </w:t>
      </w:r>
      <w:r>
        <w:rPr>
          <w:sz w:val="20"/>
        </w:rPr>
        <w:t>el</w:t>
      </w:r>
      <w:r>
        <w:rPr>
          <w:spacing w:val="-1"/>
          <w:sz w:val="20"/>
        </w:rPr>
        <w:t xml:space="preserve"> </w:t>
      </w:r>
      <w:r>
        <w:rPr>
          <w:sz w:val="20"/>
        </w:rPr>
        <w:t>referido carácter en los pliegos o en el contrato, o que por su propia naturaleza deba ser tratada</w:t>
      </w:r>
      <w:r>
        <w:rPr>
          <w:spacing w:val="40"/>
          <w:sz w:val="20"/>
        </w:rPr>
        <w:t xml:space="preserve"> </w:t>
      </w:r>
      <w:r>
        <w:rPr>
          <w:sz w:val="20"/>
        </w:rPr>
        <w:t>como</w:t>
      </w:r>
      <w:r>
        <w:rPr>
          <w:spacing w:val="-2"/>
          <w:sz w:val="20"/>
        </w:rPr>
        <w:t xml:space="preserve"> </w:t>
      </w:r>
      <w:r>
        <w:rPr>
          <w:sz w:val="20"/>
        </w:rPr>
        <w:t>tal.</w:t>
      </w:r>
      <w:r>
        <w:rPr>
          <w:spacing w:val="-2"/>
          <w:sz w:val="20"/>
        </w:rPr>
        <w:t xml:space="preserve"> </w:t>
      </w:r>
      <w:r>
        <w:rPr>
          <w:sz w:val="20"/>
        </w:rPr>
        <w:t>Este</w:t>
      </w:r>
      <w:r>
        <w:rPr>
          <w:spacing w:val="-2"/>
          <w:sz w:val="20"/>
        </w:rPr>
        <w:t xml:space="preserve"> </w:t>
      </w:r>
      <w:r>
        <w:rPr>
          <w:sz w:val="20"/>
        </w:rPr>
        <w:t>deber</w:t>
      </w:r>
      <w:r>
        <w:rPr>
          <w:spacing w:val="-2"/>
          <w:sz w:val="20"/>
        </w:rPr>
        <w:t xml:space="preserve"> </w:t>
      </w:r>
      <w:r>
        <w:rPr>
          <w:sz w:val="20"/>
        </w:rPr>
        <w:t>se</w:t>
      </w:r>
      <w:r>
        <w:rPr>
          <w:spacing w:val="-2"/>
          <w:sz w:val="20"/>
        </w:rPr>
        <w:t xml:space="preserve"> </w:t>
      </w:r>
      <w:r>
        <w:rPr>
          <w:sz w:val="20"/>
        </w:rPr>
        <w:t>mantendrá</w:t>
      </w:r>
      <w:r>
        <w:rPr>
          <w:spacing w:val="-2"/>
          <w:sz w:val="20"/>
        </w:rPr>
        <w:t xml:space="preserve"> </w:t>
      </w:r>
      <w:r>
        <w:rPr>
          <w:sz w:val="20"/>
        </w:rPr>
        <w:t>durante</w:t>
      </w:r>
      <w:r>
        <w:rPr>
          <w:spacing w:val="-2"/>
          <w:sz w:val="20"/>
        </w:rPr>
        <w:t xml:space="preserve"> </w:t>
      </w:r>
      <w:r>
        <w:rPr>
          <w:sz w:val="20"/>
        </w:rPr>
        <w:t>un</w:t>
      </w:r>
      <w:r>
        <w:rPr>
          <w:spacing w:val="-2"/>
          <w:sz w:val="20"/>
        </w:rPr>
        <w:t xml:space="preserve"> </w:t>
      </w:r>
      <w:r>
        <w:rPr>
          <w:sz w:val="20"/>
        </w:rPr>
        <w:t>plazo</w:t>
      </w:r>
      <w:r>
        <w:rPr>
          <w:spacing w:val="-2"/>
          <w:sz w:val="20"/>
        </w:rPr>
        <w:t xml:space="preserve"> </w:t>
      </w:r>
      <w:r>
        <w:rPr>
          <w:sz w:val="20"/>
        </w:rPr>
        <w:t>de</w:t>
      </w:r>
      <w:r>
        <w:rPr>
          <w:spacing w:val="-2"/>
          <w:sz w:val="20"/>
        </w:rPr>
        <w:t xml:space="preserve"> </w:t>
      </w:r>
      <w:r>
        <w:rPr>
          <w:sz w:val="20"/>
        </w:rPr>
        <w:t>cinco</w:t>
      </w:r>
      <w:r>
        <w:rPr>
          <w:spacing w:val="-2"/>
          <w:sz w:val="20"/>
        </w:rPr>
        <w:t xml:space="preserve"> </w:t>
      </w:r>
      <w:r>
        <w:rPr>
          <w:sz w:val="20"/>
        </w:rPr>
        <w:t>años</w:t>
      </w:r>
      <w:r>
        <w:rPr>
          <w:spacing w:val="-2"/>
          <w:sz w:val="20"/>
        </w:rPr>
        <w:t xml:space="preserve"> </w:t>
      </w:r>
      <w:r>
        <w:rPr>
          <w:sz w:val="20"/>
        </w:rPr>
        <w:t>desde</w:t>
      </w:r>
      <w:r>
        <w:rPr>
          <w:spacing w:val="-2"/>
          <w:sz w:val="20"/>
        </w:rPr>
        <w:t xml:space="preserve"> </w:t>
      </w:r>
      <w:r>
        <w:rPr>
          <w:sz w:val="20"/>
        </w:rPr>
        <w:t>el</w:t>
      </w:r>
      <w:r>
        <w:rPr>
          <w:spacing w:val="-2"/>
          <w:sz w:val="20"/>
        </w:rPr>
        <w:t xml:space="preserve"> </w:t>
      </w:r>
      <w:r>
        <w:rPr>
          <w:sz w:val="20"/>
        </w:rPr>
        <w:t>conocimiento</w:t>
      </w:r>
      <w:r>
        <w:rPr>
          <w:spacing w:val="-2"/>
          <w:sz w:val="20"/>
        </w:rPr>
        <w:t xml:space="preserve"> </w:t>
      </w:r>
      <w:r>
        <w:rPr>
          <w:sz w:val="20"/>
        </w:rPr>
        <w:t>de esa</w:t>
      </w:r>
      <w:r>
        <w:rPr>
          <w:spacing w:val="-1"/>
          <w:sz w:val="20"/>
        </w:rPr>
        <w:t xml:space="preserve"> </w:t>
      </w:r>
      <w:r>
        <w:rPr>
          <w:sz w:val="20"/>
        </w:rPr>
        <w:t>información,</w:t>
      </w:r>
      <w:r>
        <w:rPr>
          <w:spacing w:val="-1"/>
          <w:sz w:val="20"/>
        </w:rPr>
        <w:t xml:space="preserve"> </w:t>
      </w:r>
      <w:r>
        <w:rPr>
          <w:sz w:val="20"/>
        </w:rPr>
        <w:t>salvo</w:t>
      </w:r>
      <w:r>
        <w:rPr>
          <w:spacing w:val="-1"/>
          <w:sz w:val="20"/>
        </w:rPr>
        <w:t xml:space="preserve"> </w:t>
      </w:r>
      <w:r>
        <w:rPr>
          <w:sz w:val="20"/>
        </w:rPr>
        <w:t>que</w:t>
      </w:r>
      <w:r>
        <w:rPr>
          <w:spacing w:val="-1"/>
          <w:sz w:val="20"/>
        </w:rPr>
        <w:t xml:space="preserve"> </w:t>
      </w:r>
      <w:r>
        <w:rPr>
          <w:sz w:val="20"/>
        </w:rPr>
        <w:t>los</w:t>
      </w:r>
      <w:r>
        <w:rPr>
          <w:spacing w:val="-1"/>
          <w:sz w:val="20"/>
        </w:rPr>
        <w:t xml:space="preserve"> </w:t>
      </w:r>
      <w:r>
        <w:rPr>
          <w:sz w:val="20"/>
        </w:rPr>
        <w:t>pliegos</w:t>
      </w:r>
      <w:r>
        <w:rPr>
          <w:spacing w:val="-1"/>
          <w:sz w:val="20"/>
        </w:rPr>
        <w:t xml:space="preserve"> </w:t>
      </w:r>
      <w:r>
        <w:rPr>
          <w:sz w:val="20"/>
        </w:rPr>
        <w:t>o</w:t>
      </w:r>
      <w:r>
        <w:rPr>
          <w:spacing w:val="-1"/>
          <w:sz w:val="20"/>
        </w:rPr>
        <w:t xml:space="preserve"> </w:t>
      </w:r>
      <w:r>
        <w:rPr>
          <w:sz w:val="20"/>
        </w:rPr>
        <w:t>el</w:t>
      </w:r>
      <w:r>
        <w:rPr>
          <w:spacing w:val="-1"/>
          <w:sz w:val="20"/>
        </w:rPr>
        <w:t xml:space="preserve"> </w:t>
      </w:r>
      <w:r>
        <w:rPr>
          <w:sz w:val="20"/>
        </w:rPr>
        <w:t>contrato</w:t>
      </w:r>
      <w:r>
        <w:rPr>
          <w:spacing w:val="-1"/>
          <w:sz w:val="20"/>
        </w:rPr>
        <w:t xml:space="preserve"> </w:t>
      </w:r>
      <w:r>
        <w:rPr>
          <w:sz w:val="20"/>
        </w:rPr>
        <w:t>establezcan</w:t>
      </w:r>
      <w:r>
        <w:rPr>
          <w:spacing w:val="-1"/>
          <w:sz w:val="20"/>
        </w:rPr>
        <w:t xml:space="preserve"> </w:t>
      </w:r>
      <w:r>
        <w:rPr>
          <w:sz w:val="20"/>
        </w:rPr>
        <w:t>un</w:t>
      </w:r>
      <w:r>
        <w:rPr>
          <w:spacing w:val="-1"/>
          <w:sz w:val="20"/>
        </w:rPr>
        <w:t xml:space="preserve"> </w:t>
      </w:r>
      <w:r>
        <w:rPr>
          <w:sz w:val="20"/>
        </w:rPr>
        <w:t>plazo</w:t>
      </w:r>
      <w:r>
        <w:rPr>
          <w:spacing w:val="-1"/>
          <w:sz w:val="20"/>
        </w:rPr>
        <w:t xml:space="preserve"> </w:t>
      </w:r>
      <w:r>
        <w:rPr>
          <w:sz w:val="20"/>
        </w:rPr>
        <w:t>mayor</w:t>
      </w:r>
      <w:r>
        <w:rPr>
          <w:spacing w:val="-1"/>
          <w:sz w:val="20"/>
        </w:rPr>
        <w:t xml:space="preserve"> </w:t>
      </w:r>
      <w:r>
        <w:rPr>
          <w:sz w:val="20"/>
        </w:rPr>
        <w:t>que,</w:t>
      </w:r>
      <w:r>
        <w:rPr>
          <w:spacing w:val="-1"/>
          <w:sz w:val="20"/>
        </w:rPr>
        <w:t xml:space="preserve"> </w:t>
      </w:r>
      <w:r>
        <w:rPr>
          <w:sz w:val="20"/>
        </w:rPr>
        <w:t>en</w:t>
      </w:r>
      <w:r>
        <w:rPr>
          <w:spacing w:val="-1"/>
          <w:sz w:val="20"/>
        </w:rPr>
        <w:t xml:space="preserve"> </w:t>
      </w:r>
      <w:r>
        <w:rPr>
          <w:sz w:val="20"/>
        </w:rPr>
        <w:t>todo caso, deberá ser definido y limitado en el tiempo.</w:t>
      </w:r>
    </w:p>
    <w:p w:rsidR="0092635B" w:rsidRDefault="0092635B">
      <w:pPr>
        <w:pStyle w:val="Textoindependiente"/>
        <w:ind w:left="0" w:firstLine="0"/>
        <w:jc w:val="left"/>
      </w:pPr>
    </w:p>
    <w:p w:rsidR="0092635B" w:rsidRDefault="00000000">
      <w:pPr>
        <w:ind w:left="1106"/>
        <w:jc w:val="both"/>
        <w:rPr>
          <w:rFonts w:ascii="Arial" w:hAnsi="Arial"/>
          <w:i/>
          <w:sz w:val="20"/>
        </w:rPr>
      </w:pPr>
      <w:bookmarkStart w:id="225" w:name="Artículo_134._Anuncio_de_información_pre"/>
      <w:bookmarkEnd w:id="225"/>
      <w:r>
        <w:rPr>
          <w:rFonts w:ascii="Arial" w:hAnsi="Arial"/>
          <w:b/>
          <w:sz w:val="20"/>
        </w:rPr>
        <w:t>Artículo</w:t>
      </w:r>
      <w:r>
        <w:rPr>
          <w:rFonts w:ascii="Arial" w:hAnsi="Arial"/>
          <w:b/>
          <w:spacing w:val="-3"/>
          <w:sz w:val="20"/>
        </w:rPr>
        <w:t xml:space="preserve"> </w:t>
      </w:r>
      <w:r>
        <w:rPr>
          <w:rFonts w:ascii="Arial" w:hAnsi="Arial"/>
          <w:b/>
          <w:sz w:val="20"/>
        </w:rPr>
        <w:t>134.</w:t>
      </w:r>
      <w:r>
        <w:rPr>
          <w:rFonts w:ascii="Arial" w:hAnsi="Arial"/>
          <w:b/>
          <w:spacing w:val="48"/>
          <w:sz w:val="20"/>
        </w:rPr>
        <w:t xml:space="preserve"> </w:t>
      </w:r>
      <w:r>
        <w:rPr>
          <w:rFonts w:ascii="Arial" w:hAnsi="Arial"/>
          <w:i/>
          <w:sz w:val="20"/>
        </w:rPr>
        <w:t>Anuncio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información</w:t>
      </w:r>
      <w:r>
        <w:rPr>
          <w:rFonts w:ascii="Arial" w:hAnsi="Arial"/>
          <w:i/>
          <w:spacing w:val="-2"/>
          <w:sz w:val="20"/>
        </w:rPr>
        <w:t xml:space="preserve"> previa.</w:t>
      </w:r>
    </w:p>
    <w:p w:rsidR="0092635B" w:rsidRDefault="00000000">
      <w:pPr>
        <w:pStyle w:val="Prrafodelista"/>
        <w:numPr>
          <w:ilvl w:val="0"/>
          <w:numId w:val="239"/>
        </w:numPr>
        <w:tabs>
          <w:tab w:val="left" w:pos="1680"/>
        </w:tabs>
        <w:spacing w:before="123" w:line="249" w:lineRule="auto"/>
        <w:ind w:right="1102" w:firstLine="340"/>
        <w:jc w:val="both"/>
        <w:rPr>
          <w:sz w:val="20"/>
        </w:rPr>
      </w:pPr>
      <w:r>
        <w:rPr>
          <w:sz w:val="20"/>
        </w:rPr>
        <w:t>Los órganos de contratación podrán publicar un anuncio de información previa con el fin de dar a conocer aquellos contratos de obras, suministros o servicios que, estando</w:t>
      </w:r>
      <w:r>
        <w:rPr>
          <w:spacing w:val="40"/>
          <w:sz w:val="20"/>
        </w:rPr>
        <w:t xml:space="preserve"> </w:t>
      </w:r>
      <w:r>
        <w:rPr>
          <w:sz w:val="20"/>
        </w:rPr>
        <w:t>sujetos a regulación armonizada, tengan proyectado adjudicar en el plazo a que se refiere el apartado 5 del presente artículo.</w:t>
      </w:r>
    </w:p>
    <w:p w:rsidR="0092635B" w:rsidRDefault="00000000">
      <w:pPr>
        <w:pStyle w:val="Prrafodelista"/>
        <w:numPr>
          <w:ilvl w:val="0"/>
          <w:numId w:val="239"/>
        </w:numPr>
        <w:tabs>
          <w:tab w:val="left" w:pos="1670"/>
        </w:tabs>
        <w:spacing w:before="4" w:line="249" w:lineRule="auto"/>
        <w:ind w:firstLine="340"/>
        <w:jc w:val="both"/>
        <w:rPr>
          <w:sz w:val="20"/>
        </w:rPr>
      </w:pPr>
      <w:r>
        <w:rPr>
          <w:sz w:val="20"/>
        </w:rPr>
        <w:t>Los</w:t>
      </w:r>
      <w:r>
        <w:rPr>
          <w:spacing w:val="-1"/>
          <w:sz w:val="20"/>
        </w:rPr>
        <w:t xml:space="preserve"> </w:t>
      </w:r>
      <w:r>
        <w:rPr>
          <w:sz w:val="20"/>
        </w:rPr>
        <w:t>anuncios</w:t>
      </w:r>
      <w:r>
        <w:rPr>
          <w:spacing w:val="-1"/>
          <w:sz w:val="20"/>
        </w:rPr>
        <w:t xml:space="preserve"> </w:t>
      </w:r>
      <w:r>
        <w:rPr>
          <w:sz w:val="20"/>
        </w:rPr>
        <w:t>de</w:t>
      </w:r>
      <w:r>
        <w:rPr>
          <w:spacing w:val="-1"/>
          <w:sz w:val="20"/>
        </w:rPr>
        <w:t xml:space="preserve"> </w:t>
      </w:r>
      <w:r>
        <w:rPr>
          <w:sz w:val="20"/>
        </w:rPr>
        <w:t>información</w:t>
      </w:r>
      <w:r>
        <w:rPr>
          <w:spacing w:val="-1"/>
          <w:sz w:val="20"/>
        </w:rPr>
        <w:t xml:space="preserve"> </w:t>
      </w:r>
      <w:r>
        <w:rPr>
          <w:sz w:val="20"/>
        </w:rPr>
        <w:t>previa</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w:t>
      </w:r>
      <w:r>
        <w:rPr>
          <w:spacing w:val="-1"/>
          <w:sz w:val="20"/>
        </w:rPr>
        <w:t xml:space="preserve"> </w:t>
      </w:r>
      <w:r>
        <w:rPr>
          <w:sz w:val="20"/>
        </w:rPr>
        <w:t>el</w:t>
      </w:r>
      <w:r>
        <w:rPr>
          <w:spacing w:val="-1"/>
          <w:sz w:val="20"/>
        </w:rPr>
        <w:t xml:space="preserve"> </w:t>
      </w:r>
      <w:r>
        <w:rPr>
          <w:sz w:val="20"/>
        </w:rPr>
        <w:t>apartado</w:t>
      </w:r>
      <w:r>
        <w:rPr>
          <w:spacing w:val="-1"/>
          <w:sz w:val="20"/>
        </w:rPr>
        <w:t xml:space="preserve"> </w:t>
      </w:r>
      <w:r>
        <w:rPr>
          <w:sz w:val="20"/>
        </w:rPr>
        <w:t>anterior</w:t>
      </w:r>
      <w:r>
        <w:rPr>
          <w:spacing w:val="-1"/>
          <w:sz w:val="20"/>
        </w:rPr>
        <w:t xml:space="preserve"> </w:t>
      </w:r>
      <w:r>
        <w:rPr>
          <w:sz w:val="20"/>
        </w:rPr>
        <w:t>se</w:t>
      </w:r>
      <w:r>
        <w:rPr>
          <w:spacing w:val="-1"/>
          <w:sz w:val="20"/>
        </w:rPr>
        <w:t xml:space="preserve"> </w:t>
      </w:r>
      <w:r>
        <w:rPr>
          <w:sz w:val="20"/>
        </w:rPr>
        <w:t>publicarán, con el contenido establecido en el Anexo III. A, a elección del órgano de contratación, en el</w:t>
      </w:r>
    </w:p>
    <w:p w:rsidR="0092635B" w:rsidRDefault="00000000">
      <w:pPr>
        <w:pStyle w:val="Textoindependiente"/>
        <w:spacing w:before="1" w:line="249" w:lineRule="auto"/>
        <w:ind w:right="1105" w:hanging="1"/>
      </w:pPr>
      <w:r>
        <w:t>«Diario Oficial de la Unión Europea» o en el perfil de contratante del órgano de contratación</w:t>
      </w:r>
      <w:r>
        <w:rPr>
          <w:spacing w:val="40"/>
        </w:rPr>
        <w:t xml:space="preserve"> </w:t>
      </w:r>
      <w:r>
        <w:t>a que se refiere el artículo 63 que se encuentre alojado en la Plataforma de Contratación del Sector Público o servicio de información equivalente a nivel autonómico.</w:t>
      </w:r>
    </w:p>
    <w:p w:rsidR="0092635B" w:rsidRDefault="00000000">
      <w:pPr>
        <w:pStyle w:val="Prrafodelista"/>
        <w:numPr>
          <w:ilvl w:val="0"/>
          <w:numId w:val="239"/>
        </w:numPr>
        <w:tabs>
          <w:tab w:val="left" w:pos="1694"/>
        </w:tabs>
        <w:spacing w:before="3" w:line="249" w:lineRule="auto"/>
        <w:ind w:right="1104" w:firstLine="340"/>
        <w:jc w:val="both"/>
        <w:rPr>
          <w:sz w:val="20"/>
        </w:rPr>
      </w:pPr>
      <w:r>
        <w:rPr>
          <w:sz w:val="20"/>
        </w:rPr>
        <w:t>Los anuncios de información previa se enviarán a la Oficina de Publicaciones de la Unión Europea o, en su caso, se publicarán en el perfil de contratante, lo antes posible, una vez tomada la decisión por la que se autorice el programa en el que se contemple la celebración de los correspondientes contratos, en el caso de los de obras, o una vez iniciado el ejercicio presupuestario, en los restantes.</w:t>
      </w:r>
    </w:p>
    <w:p w:rsidR="0092635B" w:rsidRDefault="00000000">
      <w:pPr>
        <w:pStyle w:val="Textoindependiente"/>
        <w:spacing w:before="4" w:line="249" w:lineRule="auto"/>
        <w:ind w:right="1104"/>
      </w:pPr>
      <w:r>
        <w:t>En</w:t>
      </w:r>
      <w:r>
        <w:rPr>
          <w:spacing w:val="-2"/>
        </w:rPr>
        <w:t xml:space="preserve"> </w:t>
      </w:r>
      <w:r>
        <w:t>cualquier</w:t>
      </w:r>
      <w:r>
        <w:rPr>
          <w:spacing w:val="-2"/>
        </w:rPr>
        <w:t xml:space="preserve"> </w:t>
      </w:r>
      <w:r>
        <w:t>caso,</w:t>
      </w:r>
      <w:r>
        <w:rPr>
          <w:spacing w:val="-2"/>
        </w:rPr>
        <w:t xml:space="preserve"> </w:t>
      </w:r>
      <w:r>
        <w:t>los</w:t>
      </w:r>
      <w:r>
        <w:rPr>
          <w:spacing w:val="-2"/>
        </w:rPr>
        <w:t xml:space="preserve"> </w:t>
      </w:r>
      <w:r>
        <w:t>poderes</w:t>
      </w:r>
      <w:r>
        <w:rPr>
          <w:spacing w:val="-2"/>
        </w:rPr>
        <w:t xml:space="preserve"> </w:t>
      </w:r>
      <w:r>
        <w:t>adjudicadores</w:t>
      </w:r>
      <w:r>
        <w:rPr>
          <w:spacing w:val="-2"/>
        </w:rPr>
        <w:t xml:space="preserve"> </w:t>
      </w:r>
      <w:r>
        <w:t>deberán</w:t>
      </w:r>
      <w:r>
        <w:rPr>
          <w:spacing w:val="-2"/>
        </w:rPr>
        <w:t xml:space="preserve"> </w:t>
      </w:r>
      <w:r>
        <w:t>poder</w:t>
      </w:r>
      <w:r>
        <w:rPr>
          <w:spacing w:val="-2"/>
        </w:rPr>
        <w:t xml:space="preserve"> </w:t>
      </w:r>
      <w:r>
        <w:t>demostrar</w:t>
      </w:r>
      <w:r>
        <w:rPr>
          <w:spacing w:val="-2"/>
        </w:rPr>
        <w:t xml:space="preserve"> </w:t>
      </w:r>
      <w:r>
        <w:t>la</w:t>
      </w:r>
      <w:r>
        <w:rPr>
          <w:spacing w:val="-2"/>
        </w:rPr>
        <w:t xml:space="preserve"> </w:t>
      </w:r>
      <w:r>
        <w:t>fecha</w:t>
      </w:r>
      <w:r>
        <w:rPr>
          <w:spacing w:val="-2"/>
        </w:rPr>
        <w:t xml:space="preserve"> </w:t>
      </w:r>
      <w:r>
        <w:t>de</w:t>
      </w:r>
      <w:r>
        <w:rPr>
          <w:spacing w:val="-2"/>
        </w:rPr>
        <w:t xml:space="preserve"> </w:t>
      </w:r>
      <w:r>
        <w:t>envío del anuncio de información previa.</w:t>
      </w:r>
    </w:p>
    <w:p w:rsidR="0092635B" w:rsidRDefault="00000000">
      <w:pPr>
        <w:pStyle w:val="Textoindependiente"/>
        <w:spacing w:before="1" w:line="249" w:lineRule="auto"/>
        <w:ind w:right="1104"/>
      </w:pPr>
      <w:r>
        <w:t>La Oficina de Publicaciones de la Unión Europea confirmará al poder adjudicador la recepción del anuncio y la publicación de la información enviada, indicando la fecha de dicha publicación. Esta confirmación constituirá prueba de la publicación.</w:t>
      </w:r>
    </w:p>
    <w:p w:rsidR="0092635B" w:rsidRDefault="00000000">
      <w:pPr>
        <w:pStyle w:val="Prrafodelista"/>
        <w:numPr>
          <w:ilvl w:val="0"/>
          <w:numId w:val="239"/>
        </w:numPr>
        <w:tabs>
          <w:tab w:val="left" w:pos="1669"/>
        </w:tabs>
        <w:spacing w:before="3" w:line="249" w:lineRule="auto"/>
        <w:ind w:right="1104" w:firstLine="340"/>
        <w:jc w:val="both"/>
        <w:rPr>
          <w:sz w:val="20"/>
        </w:rPr>
      </w:pP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el</w:t>
      </w:r>
      <w:r>
        <w:rPr>
          <w:spacing w:val="-1"/>
          <w:sz w:val="20"/>
        </w:rPr>
        <w:t xml:space="preserve"> </w:t>
      </w:r>
      <w:r>
        <w:rPr>
          <w:sz w:val="20"/>
        </w:rPr>
        <w:t>anuncio</w:t>
      </w:r>
      <w:r>
        <w:rPr>
          <w:spacing w:val="-1"/>
          <w:sz w:val="20"/>
        </w:rPr>
        <w:t xml:space="preserve"> </w:t>
      </w:r>
      <w:r>
        <w:rPr>
          <w:sz w:val="20"/>
        </w:rPr>
        <w:t>de</w:t>
      </w:r>
      <w:r>
        <w:rPr>
          <w:spacing w:val="-1"/>
          <w:sz w:val="20"/>
        </w:rPr>
        <w:t xml:space="preserve"> </w:t>
      </w:r>
      <w:r>
        <w:rPr>
          <w:sz w:val="20"/>
        </w:rPr>
        <w:t>información</w:t>
      </w:r>
      <w:r>
        <w:rPr>
          <w:spacing w:val="-1"/>
          <w:sz w:val="20"/>
        </w:rPr>
        <w:t xml:space="preserve"> </w:t>
      </w:r>
      <w:r>
        <w:rPr>
          <w:sz w:val="20"/>
        </w:rPr>
        <w:t>previa</w:t>
      </w:r>
      <w:r>
        <w:rPr>
          <w:spacing w:val="-1"/>
          <w:sz w:val="20"/>
        </w:rPr>
        <w:t xml:space="preserve"> </w:t>
      </w:r>
      <w:r>
        <w:rPr>
          <w:sz w:val="20"/>
        </w:rPr>
        <w:t>se</w:t>
      </w:r>
      <w:r>
        <w:rPr>
          <w:spacing w:val="-1"/>
          <w:sz w:val="20"/>
        </w:rPr>
        <w:t xml:space="preserve"> </w:t>
      </w:r>
      <w:r>
        <w:rPr>
          <w:sz w:val="20"/>
        </w:rPr>
        <w:t>publique</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«Diario</w:t>
      </w:r>
      <w:r>
        <w:rPr>
          <w:spacing w:val="-1"/>
          <w:sz w:val="20"/>
        </w:rPr>
        <w:t xml:space="preserve"> </w:t>
      </w:r>
      <w:r>
        <w:rPr>
          <w:sz w:val="20"/>
        </w:rPr>
        <w:t>Oficial</w:t>
      </w:r>
      <w:r>
        <w:rPr>
          <w:spacing w:val="-1"/>
          <w:sz w:val="20"/>
        </w:rPr>
        <w:t xml:space="preserve"> </w:t>
      </w:r>
      <w:r>
        <w:rPr>
          <w:sz w:val="20"/>
        </w:rPr>
        <w:t>de la Unión Europea», no se publicará a nivel nacional antes de aquella publicación. No obstante,</w:t>
      </w:r>
      <w:r>
        <w:rPr>
          <w:spacing w:val="-1"/>
          <w:sz w:val="20"/>
        </w:rPr>
        <w:t xml:space="preserve"> </w:t>
      </w:r>
      <w:r>
        <w:rPr>
          <w:sz w:val="20"/>
        </w:rPr>
        <w:t>podrá</w:t>
      </w:r>
      <w:r>
        <w:rPr>
          <w:spacing w:val="-1"/>
          <w:sz w:val="20"/>
        </w:rPr>
        <w:t xml:space="preserve"> </w:t>
      </w:r>
      <w:r>
        <w:rPr>
          <w:sz w:val="20"/>
        </w:rPr>
        <w:t>en</w:t>
      </w:r>
      <w:r>
        <w:rPr>
          <w:spacing w:val="-1"/>
          <w:sz w:val="20"/>
        </w:rPr>
        <w:t xml:space="preserve"> </w:t>
      </w:r>
      <w:r>
        <w:rPr>
          <w:sz w:val="20"/>
        </w:rPr>
        <w:t>todo</w:t>
      </w:r>
      <w:r>
        <w:rPr>
          <w:spacing w:val="-1"/>
          <w:sz w:val="20"/>
        </w:rPr>
        <w:t xml:space="preserve"> </w:t>
      </w:r>
      <w:r>
        <w:rPr>
          <w:sz w:val="20"/>
        </w:rPr>
        <w:t>caso</w:t>
      </w:r>
      <w:r>
        <w:rPr>
          <w:spacing w:val="-1"/>
          <w:sz w:val="20"/>
        </w:rPr>
        <w:t xml:space="preserve"> </w:t>
      </w:r>
      <w:r>
        <w:rPr>
          <w:sz w:val="20"/>
        </w:rPr>
        <w:t>publicarse</w:t>
      </w:r>
      <w:r>
        <w:rPr>
          <w:spacing w:val="-1"/>
          <w:sz w:val="20"/>
        </w:rPr>
        <w:t xml:space="preserve"> </w:t>
      </w:r>
      <w:r>
        <w:rPr>
          <w:sz w:val="20"/>
        </w:rPr>
        <w:t>a</w:t>
      </w:r>
      <w:r>
        <w:rPr>
          <w:spacing w:val="-1"/>
          <w:sz w:val="20"/>
        </w:rPr>
        <w:t xml:space="preserve"> </w:t>
      </w:r>
      <w:r>
        <w:rPr>
          <w:sz w:val="20"/>
        </w:rPr>
        <w:t>nivel</w:t>
      </w:r>
      <w:r>
        <w:rPr>
          <w:spacing w:val="-1"/>
          <w:sz w:val="20"/>
        </w:rPr>
        <w:t xml:space="preserve"> </w:t>
      </w:r>
      <w:r>
        <w:rPr>
          <w:sz w:val="20"/>
        </w:rPr>
        <w:t>nacional</w:t>
      </w:r>
      <w:r>
        <w:rPr>
          <w:spacing w:val="-1"/>
          <w:sz w:val="20"/>
        </w:rPr>
        <w:t xml:space="preserve"> </w:t>
      </w:r>
      <w:r>
        <w:rPr>
          <w:sz w:val="20"/>
        </w:rPr>
        <w:t>si</w:t>
      </w:r>
      <w:r>
        <w:rPr>
          <w:spacing w:val="-1"/>
          <w:sz w:val="20"/>
        </w:rPr>
        <w:t xml:space="preserve"> </w:t>
      </w:r>
      <w:r>
        <w:rPr>
          <w:sz w:val="20"/>
        </w:rPr>
        <w:t>los</w:t>
      </w:r>
      <w:r>
        <w:rPr>
          <w:spacing w:val="-1"/>
          <w:sz w:val="20"/>
        </w:rPr>
        <w:t xml:space="preserve"> </w:t>
      </w:r>
      <w:r>
        <w:rPr>
          <w:sz w:val="20"/>
        </w:rPr>
        <w:t>poderes</w:t>
      </w:r>
      <w:r>
        <w:rPr>
          <w:spacing w:val="-1"/>
          <w:sz w:val="20"/>
        </w:rPr>
        <w:t xml:space="preserve"> </w:t>
      </w:r>
      <w:r>
        <w:rPr>
          <w:sz w:val="20"/>
        </w:rPr>
        <w:t>adjudicadores</w:t>
      </w:r>
      <w:r>
        <w:rPr>
          <w:spacing w:val="-1"/>
          <w:sz w:val="20"/>
        </w:rPr>
        <w:t xml:space="preserve"> </w:t>
      </w:r>
      <w:r>
        <w:rPr>
          <w:sz w:val="20"/>
        </w:rPr>
        <w:t>no</w:t>
      </w:r>
      <w:r>
        <w:rPr>
          <w:spacing w:val="-1"/>
          <w:sz w:val="20"/>
        </w:rPr>
        <w:t xml:space="preserve"> </w:t>
      </w:r>
      <w:r>
        <w:rPr>
          <w:sz w:val="20"/>
        </w:rPr>
        <w:t>han recibido notificación de su publicación a las cuarenta y ocho horas de la confirmación de la recepción del anuncio por parte de la Oficina de Publicaciones de la Unión Europea.</w:t>
      </w:r>
    </w:p>
    <w:p w:rsidR="0092635B" w:rsidRDefault="00000000">
      <w:pPr>
        <w:pStyle w:val="Prrafodelista"/>
        <w:numPr>
          <w:ilvl w:val="0"/>
          <w:numId w:val="239"/>
        </w:numPr>
        <w:tabs>
          <w:tab w:val="left" w:pos="1676"/>
        </w:tabs>
        <w:spacing w:before="4" w:line="249" w:lineRule="auto"/>
        <w:ind w:right="1104" w:firstLine="340"/>
        <w:jc w:val="both"/>
        <w:rPr>
          <w:sz w:val="20"/>
        </w:rPr>
      </w:pPr>
      <w:r>
        <w:rPr>
          <w:sz w:val="20"/>
        </w:rPr>
        <w:t>En el caso de que la publicación del anuncio de información previa a que se refiere el primer apartado se vaya a efectuar en el perfil de contratante del órgano de contratación, este último deberá enviar a la Oficina de Publicaciones de la Unión Europea el anuncio de la publicación en su perfil.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El anuncio de información previa no se publicará en el perfil de contratante antes de que se envíe a la Oficina de Publicaciones de la Unión Europea el anuncio de su publicación en</w:t>
      </w:r>
      <w:r>
        <w:rPr>
          <w:spacing w:val="40"/>
        </w:rPr>
        <w:t xml:space="preserve"> </w:t>
      </w:r>
      <w:r>
        <w:t>la citada forma, e indicará la fecha de dicho envío.</w:t>
      </w:r>
    </w:p>
    <w:p w:rsidR="0092635B" w:rsidRDefault="00000000">
      <w:pPr>
        <w:pStyle w:val="Prrafodelista"/>
        <w:numPr>
          <w:ilvl w:val="0"/>
          <w:numId w:val="239"/>
        </w:numPr>
        <w:tabs>
          <w:tab w:val="left" w:pos="1719"/>
        </w:tabs>
        <w:spacing w:line="249" w:lineRule="auto"/>
        <w:ind w:right="1102" w:firstLine="340"/>
        <w:jc w:val="right"/>
        <w:rPr>
          <w:sz w:val="20"/>
        </w:rPr>
      </w:pPr>
      <w:r>
        <w:rPr>
          <w:sz w:val="20"/>
        </w:rPr>
        <w:t>El</w:t>
      </w:r>
      <w:r>
        <w:rPr>
          <w:spacing w:val="40"/>
          <w:sz w:val="20"/>
        </w:rPr>
        <w:t xml:space="preserve"> </w:t>
      </w:r>
      <w:r>
        <w:rPr>
          <w:sz w:val="20"/>
        </w:rPr>
        <w:t>periodo</w:t>
      </w:r>
      <w:r>
        <w:rPr>
          <w:spacing w:val="40"/>
          <w:sz w:val="20"/>
        </w:rPr>
        <w:t xml:space="preserve"> </w:t>
      </w:r>
      <w:r>
        <w:rPr>
          <w:sz w:val="20"/>
        </w:rPr>
        <w:t>cubierto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anuncio</w:t>
      </w:r>
      <w:r>
        <w:rPr>
          <w:spacing w:val="40"/>
          <w:sz w:val="20"/>
        </w:rPr>
        <w:t xml:space="preserve"> </w:t>
      </w:r>
      <w:r>
        <w:rPr>
          <w:sz w:val="20"/>
        </w:rPr>
        <w:t>de</w:t>
      </w:r>
      <w:r>
        <w:rPr>
          <w:spacing w:val="40"/>
          <w:sz w:val="20"/>
        </w:rPr>
        <w:t xml:space="preserve"> </w:t>
      </w:r>
      <w:r>
        <w:rPr>
          <w:sz w:val="20"/>
        </w:rPr>
        <w:t>información</w:t>
      </w:r>
      <w:r>
        <w:rPr>
          <w:spacing w:val="40"/>
          <w:sz w:val="20"/>
        </w:rPr>
        <w:t xml:space="preserve"> </w:t>
      </w:r>
      <w:r>
        <w:rPr>
          <w:sz w:val="20"/>
        </w:rPr>
        <w:t>previa</w:t>
      </w:r>
      <w:r>
        <w:rPr>
          <w:spacing w:val="40"/>
          <w:sz w:val="20"/>
        </w:rPr>
        <w:t xml:space="preserve"> </w:t>
      </w:r>
      <w:r>
        <w:rPr>
          <w:sz w:val="20"/>
        </w:rPr>
        <w:t>será</w:t>
      </w:r>
      <w:r>
        <w:rPr>
          <w:spacing w:val="40"/>
          <w:sz w:val="20"/>
        </w:rPr>
        <w:t xml:space="preserve"> </w:t>
      </w:r>
      <w:r>
        <w:rPr>
          <w:sz w:val="20"/>
        </w:rPr>
        <w:t>de</w:t>
      </w:r>
      <w:r>
        <w:rPr>
          <w:spacing w:val="40"/>
          <w:sz w:val="20"/>
        </w:rPr>
        <w:t xml:space="preserve"> </w:t>
      </w:r>
      <w:r>
        <w:rPr>
          <w:sz w:val="20"/>
        </w:rPr>
        <w:t>un</w:t>
      </w:r>
      <w:r>
        <w:rPr>
          <w:spacing w:val="40"/>
          <w:sz w:val="20"/>
        </w:rPr>
        <w:t xml:space="preserve"> </w:t>
      </w:r>
      <w:r>
        <w:rPr>
          <w:sz w:val="20"/>
        </w:rPr>
        <w:t>máximo</w:t>
      </w:r>
      <w:r>
        <w:rPr>
          <w:spacing w:val="40"/>
          <w:sz w:val="20"/>
        </w:rPr>
        <w:t xml:space="preserve"> </w:t>
      </w:r>
      <w:r>
        <w:rPr>
          <w:sz w:val="20"/>
        </w:rPr>
        <w:t>de 12 meses a contar desde la fecha de envío del citado anuncio a la Oficina de Publicaciones de la Unión Europea o, en su caso, a partir de la fecha de envío también a esta última, del</w:t>
      </w:r>
      <w:r>
        <w:rPr>
          <w:spacing w:val="40"/>
          <w:sz w:val="20"/>
        </w:rPr>
        <w:t xml:space="preserve"> </w:t>
      </w:r>
      <w:r>
        <w:rPr>
          <w:sz w:val="20"/>
        </w:rPr>
        <w:t>anuncio</w:t>
      </w:r>
      <w:r>
        <w:rPr>
          <w:spacing w:val="-1"/>
          <w:sz w:val="20"/>
        </w:rPr>
        <w:t xml:space="preserve"> </w:t>
      </w:r>
      <w:r>
        <w:rPr>
          <w:sz w:val="20"/>
        </w:rPr>
        <w:t>de</w:t>
      </w:r>
      <w:r>
        <w:rPr>
          <w:spacing w:val="-1"/>
          <w:sz w:val="20"/>
        </w:rPr>
        <w:t xml:space="preserve"> </w:t>
      </w:r>
      <w:r>
        <w:rPr>
          <w:sz w:val="20"/>
        </w:rPr>
        <w:t>publicación</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perfil</w:t>
      </w:r>
      <w:r>
        <w:rPr>
          <w:spacing w:val="-1"/>
          <w:sz w:val="20"/>
        </w:rPr>
        <w:t xml:space="preserve"> </w:t>
      </w:r>
      <w:r>
        <w:rPr>
          <w:sz w:val="20"/>
        </w:rPr>
        <w:t>de</w:t>
      </w:r>
      <w:r>
        <w:rPr>
          <w:spacing w:val="-1"/>
          <w:sz w:val="20"/>
        </w:rPr>
        <w:t xml:space="preserve"> </w:t>
      </w:r>
      <w:r>
        <w:rPr>
          <w:sz w:val="20"/>
        </w:rPr>
        <w:t>contratante</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w:t>
      </w:r>
      <w:r>
        <w:rPr>
          <w:spacing w:val="-1"/>
          <w:sz w:val="20"/>
        </w:rPr>
        <w:t xml:space="preserve"> </w:t>
      </w:r>
      <w:r>
        <w:rPr>
          <w:sz w:val="20"/>
        </w:rPr>
        <w:t>el</w:t>
      </w:r>
      <w:r>
        <w:rPr>
          <w:spacing w:val="-1"/>
          <w:sz w:val="20"/>
        </w:rPr>
        <w:t xml:space="preserve"> </w:t>
      </w:r>
      <w:r>
        <w:rPr>
          <w:sz w:val="20"/>
        </w:rPr>
        <w:t>apartado</w:t>
      </w:r>
      <w:r>
        <w:rPr>
          <w:spacing w:val="-1"/>
          <w:sz w:val="20"/>
        </w:rPr>
        <w:t xml:space="preserve"> </w:t>
      </w:r>
      <w:r>
        <w:rPr>
          <w:sz w:val="20"/>
        </w:rPr>
        <w:t>cuarto</w:t>
      </w:r>
      <w:r>
        <w:rPr>
          <w:spacing w:val="-1"/>
          <w:sz w:val="20"/>
        </w:rPr>
        <w:t xml:space="preserve"> </w:t>
      </w:r>
      <w:r>
        <w:rPr>
          <w:sz w:val="20"/>
        </w:rPr>
        <w:t>anterior.</w:t>
      </w:r>
    </w:p>
    <w:p w:rsidR="0092635B" w:rsidRDefault="00000000">
      <w:pPr>
        <w:pStyle w:val="Textoindependiente"/>
        <w:spacing w:before="3" w:line="249" w:lineRule="auto"/>
        <w:ind w:right="1104"/>
      </w:pPr>
      <w:r>
        <w:t>Sin embargo, en el caso de los contratos de servicios que tengan por objeto alguno de</w:t>
      </w:r>
      <w:r>
        <w:rPr>
          <w:spacing w:val="40"/>
        </w:rPr>
        <w:t xml:space="preserve"> </w:t>
      </w:r>
      <w:r>
        <w:t>los servicios especiales del Anexo IV, el anuncio de información previa podrá abarcar un plazo superior a 12 meses.</w:t>
      </w:r>
    </w:p>
    <w:p w:rsidR="0092635B" w:rsidRDefault="00000000">
      <w:pPr>
        <w:pStyle w:val="Prrafodelista"/>
        <w:numPr>
          <w:ilvl w:val="0"/>
          <w:numId w:val="239"/>
        </w:numPr>
        <w:tabs>
          <w:tab w:val="left" w:pos="1678"/>
        </w:tabs>
        <w:spacing w:before="3" w:line="249" w:lineRule="auto"/>
        <w:ind w:firstLine="340"/>
        <w:jc w:val="both"/>
        <w:rPr>
          <w:sz w:val="20"/>
        </w:rPr>
      </w:pPr>
      <w:r>
        <w:rPr>
          <w:sz w:val="20"/>
        </w:rPr>
        <w:t>La publicación del anuncio previo a que se refiere el primer apartado de este artículo, cumpliendo con las condiciones establecidas en los apartados 2 y 3 del artículo 156 y en el apartado 1 del artículo 164, permitirá reducir los plazos para la presentación de</w:t>
      </w:r>
      <w:r>
        <w:rPr>
          <w:spacing w:val="40"/>
          <w:sz w:val="20"/>
        </w:rPr>
        <w:t xml:space="preserve"> </w:t>
      </w:r>
      <w:r>
        <w:rPr>
          <w:sz w:val="20"/>
        </w:rPr>
        <w:t>proposiciones en los procedimientos abiertos y restringidos en la forma que en esos preceptos se determina.</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226" w:name="Artículo_135._Anuncio_de_licitación."/>
      <w:bookmarkEnd w:id="226"/>
      <w:r>
        <w:rPr>
          <w:rFonts w:ascii="Arial" w:hAnsi="Arial"/>
          <w:b/>
          <w:sz w:val="20"/>
        </w:rPr>
        <w:t>Artículo</w:t>
      </w:r>
      <w:r>
        <w:rPr>
          <w:rFonts w:ascii="Arial" w:hAnsi="Arial"/>
          <w:b/>
          <w:spacing w:val="-2"/>
          <w:sz w:val="20"/>
        </w:rPr>
        <w:t xml:space="preserve"> </w:t>
      </w:r>
      <w:r>
        <w:rPr>
          <w:rFonts w:ascii="Arial" w:hAnsi="Arial"/>
          <w:b/>
          <w:sz w:val="20"/>
        </w:rPr>
        <w:t>135.</w:t>
      </w:r>
      <w:r>
        <w:rPr>
          <w:rFonts w:ascii="Arial" w:hAnsi="Arial"/>
          <w:b/>
          <w:spacing w:val="51"/>
          <w:sz w:val="20"/>
        </w:rPr>
        <w:t xml:space="preserve"> </w:t>
      </w:r>
      <w:r>
        <w:rPr>
          <w:rFonts w:ascii="Arial" w:hAnsi="Arial"/>
          <w:i/>
          <w:sz w:val="20"/>
        </w:rPr>
        <w:t>Anuncio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licitación.</w:t>
      </w:r>
    </w:p>
    <w:p w:rsidR="0092635B" w:rsidRDefault="00000000">
      <w:pPr>
        <w:pStyle w:val="Prrafodelista"/>
        <w:numPr>
          <w:ilvl w:val="0"/>
          <w:numId w:val="238"/>
        </w:numPr>
        <w:tabs>
          <w:tab w:val="left" w:pos="1710"/>
        </w:tabs>
        <w:spacing w:before="123" w:line="249" w:lineRule="auto"/>
        <w:ind w:firstLine="340"/>
        <w:jc w:val="both"/>
        <w:rPr>
          <w:sz w:val="20"/>
        </w:rPr>
      </w:pPr>
      <w:r>
        <w:rPr>
          <w:sz w:val="20"/>
        </w:rPr>
        <w:t>El anuncio de licitación para la adjudicación de contratos de las Administraciones Públicas, a excepción de los procedimientos negociados sin publicidad, se publicará en el perfil</w:t>
      </w:r>
      <w:r>
        <w:rPr>
          <w:spacing w:val="-2"/>
          <w:sz w:val="20"/>
        </w:rPr>
        <w:t xml:space="preserve"> </w:t>
      </w:r>
      <w:r>
        <w:rPr>
          <w:sz w:val="20"/>
        </w:rPr>
        <w:t>de</w:t>
      </w:r>
      <w:r>
        <w:rPr>
          <w:spacing w:val="-2"/>
          <w:sz w:val="20"/>
        </w:rPr>
        <w:t xml:space="preserve"> </w:t>
      </w:r>
      <w:r>
        <w:rPr>
          <w:sz w:val="20"/>
        </w:rPr>
        <w:t>contratante.</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contratos</w:t>
      </w:r>
      <w:r>
        <w:rPr>
          <w:spacing w:val="-2"/>
          <w:sz w:val="20"/>
        </w:rPr>
        <w:t xml:space="preserve"> </w:t>
      </w:r>
      <w:r>
        <w:rPr>
          <w:sz w:val="20"/>
        </w:rPr>
        <w:t>celebrados</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General</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o por las entidades vinculadas a la misma que gocen de la naturaleza de Administraciones Públicas, el anuncio de licitación se publicará además en el «Boletín Oficial del Estado».</w:t>
      </w:r>
    </w:p>
    <w:p w:rsidR="0092635B" w:rsidRDefault="00000000">
      <w:pPr>
        <w:pStyle w:val="Textoindependiente"/>
        <w:spacing w:before="4" w:line="249" w:lineRule="auto"/>
        <w:ind w:right="1103"/>
      </w:pPr>
      <w:r>
        <w:t>Cuando los contratos estén sujetos a regulación armonizada la licitación deberá publicarse, además, en el «Diario Oficial de la Unión Europea», debiendo los poderes adjudicadores poder demostrar la fecha de envío del anuncio de licitación.</w:t>
      </w:r>
    </w:p>
    <w:p w:rsidR="0092635B" w:rsidRDefault="00000000">
      <w:pPr>
        <w:pStyle w:val="Textoindependiente"/>
        <w:spacing w:before="3" w:line="249" w:lineRule="auto"/>
        <w:ind w:right="1104"/>
      </w:pPr>
      <w:r>
        <w:t>La Oficina de Publicaciones de la Unión Europea confirmará al poder adjudicador la recepción del anuncio y la publicación de la información enviada, indicando la fecha de dicha publicación. Esta confirmación constituirá prueba de la publicación.</w:t>
      </w:r>
    </w:p>
    <w:p w:rsidR="0092635B" w:rsidRDefault="00000000">
      <w:pPr>
        <w:pStyle w:val="Prrafodelista"/>
        <w:numPr>
          <w:ilvl w:val="0"/>
          <w:numId w:val="238"/>
        </w:numPr>
        <w:tabs>
          <w:tab w:val="left" w:pos="1690"/>
        </w:tabs>
        <w:spacing w:line="249" w:lineRule="auto"/>
        <w:ind w:right="1102" w:firstLine="340"/>
        <w:jc w:val="both"/>
        <w:rPr>
          <w:sz w:val="20"/>
        </w:rPr>
      </w:pPr>
      <w:r>
        <w:rPr>
          <w:sz w:val="20"/>
        </w:rPr>
        <w:t>Cuando el órgano de contratación lo estime conveniente, los procedimientos para la adjudicación de contratos de obras, suministros, servicios, concesiones de obras y concesiones de servicios no sujetos a regulación armonizada podrán ser anunciados, además, en el «Diario Oficial de la Unión Europea».</w:t>
      </w:r>
    </w:p>
    <w:p w:rsidR="0092635B" w:rsidRDefault="00000000">
      <w:pPr>
        <w:pStyle w:val="Prrafodelista"/>
        <w:numPr>
          <w:ilvl w:val="0"/>
          <w:numId w:val="238"/>
        </w:numPr>
        <w:tabs>
          <w:tab w:val="left" w:pos="1700"/>
        </w:tabs>
        <w:spacing w:before="3" w:line="249" w:lineRule="auto"/>
        <w:ind w:firstLine="340"/>
        <w:jc w:val="both"/>
        <w:rPr>
          <w:sz w:val="20"/>
        </w:rPr>
      </w:pPr>
      <w:r>
        <w:rPr>
          <w:sz w:val="20"/>
        </w:rPr>
        <w:t>Los anuncios de licitación y los anuncios de información previa a que se refiere la disposición adicional trigésima sexta no se publicarán en los lugares indicados en el primer párrafo</w:t>
      </w:r>
      <w:r>
        <w:rPr>
          <w:spacing w:val="-2"/>
          <w:sz w:val="20"/>
        </w:rPr>
        <w:t xml:space="preserve"> </w:t>
      </w:r>
      <w:r>
        <w:rPr>
          <w:sz w:val="20"/>
        </w:rPr>
        <w:t>del</w:t>
      </w:r>
      <w:r>
        <w:rPr>
          <w:spacing w:val="-2"/>
          <w:sz w:val="20"/>
        </w:rPr>
        <w:t xml:space="preserve"> </w:t>
      </w:r>
      <w:r>
        <w:rPr>
          <w:sz w:val="20"/>
        </w:rPr>
        <w:t>apartado</w:t>
      </w:r>
      <w:r>
        <w:rPr>
          <w:spacing w:val="-2"/>
          <w:sz w:val="20"/>
        </w:rPr>
        <w:t xml:space="preserve"> </w:t>
      </w:r>
      <w:r>
        <w:rPr>
          <w:sz w:val="20"/>
        </w:rPr>
        <w:t>primero</w:t>
      </w:r>
      <w:r>
        <w:rPr>
          <w:spacing w:val="-2"/>
          <w:sz w:val="20"/>
        </w:rPr>
        <w:t xml:space="preserve"> </w:t>
      </w:r>
      <w:r>
        <w:rPr>
          <w:sz w:val="20"/>
        </w:rPr>
        <w:t>anterior</w:t>
      </w:r>
      <w:r>
        <w:rPr>
          <w:spacing w:val="-2"/>
          <w:sz w:val="20"/>
        </w:rPr>
        <w:t xml:space="preserve"> </w:t>
      </w:r>
      <w:r>
        <w:rPr>
          <w:sz w:val="20"/>
        </w:rPr>
        <w:t>antes</w:t>
      </w:r>
      <w:r>
        <w:rPr>
          <w:spacing w:val="-2"/>
          <w:sz w:val="20"/>
        </w:rPr>
        <w:t xml:space="preserve"> </w:t>
      </w:r>
      <w:r>
        <w:rPr>
          <w:sz w:val="20"/>
        </w:rPr>
        <w:t>de</w:t>
      </w:r>
      <w:r>
        <w:rPr>
          <w:spacing w:val="-2"/>
          <w:sz w:val="20"/>
        </w:rPr>
        <w:t xml:space="preserve"> </w:t>
      </w:r>
      <w:r>
        <w:rPr>
          <w:sz w:val="20"/>
        </w:rPr>
        <w:t>su</w:t>
      </w:r>
      <w:r>
        <w:rPr>
          <w:spacing w:val="-2"/>
          <w:sz w:val="20"/>
        </w:rPr>
        <w:t xml:space="preserve"> </w:t>
      </w:r>
      <w:r>
        <w:rPr>
          <w:sz w:val="20"/>
        </w:rPr>
        <w:t>publicación</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«Diario</w:t>
      </w:r>
      <w:r>
        <w:rPr>
          <w:spacing w:val="-2"/>
          <w:sz w:val="20"/>
        </w:rPr>
        <w:t xml:space="preserve"> </w:t>
      </w:r>
      <w:r>
        <w:rPr>
          <w:sz w:val="20"/>
        </w:rPr>
        <w:t>Oficial</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Unión Europea», en el caso en que deban ser publicados en dicho Diario Oficial, debiendo indicar</w:t>
      </w:r>
      <w:r>
        <w:rPr>
          <w:spacing w:val="40"/>
          <w:sz w:val="20"/>
        </w:rPr>
        <w:t xml:space="preserve"> </w:t>
      </w:r>
      <w:r>
        <w:rPr>
          <w:sz w:val="20"/>
        </w:rPr>
        <w:t>la fecha de aquel envío, de la que los servicios dependientes del órgano de contratación dejarán prueba suficiente en el expediente, y no podrán contener indicaciones distintas a las incluidas en dicho anuncio. No obstante, en todo caso podrán publicarse si el órgano de contratación no ha recibido notificación de su publicación a las 48 horas de la confirmación de la recepción del anuncio enviado.</w:t>
      </w:r>
    </w:p>
    <w:p w:rsidR="0092635B" w:rsidRDefault="00000000">
      <w:pPr>
        <w:pStyle w:val="Prrafodelista"/>
        <w:numPr>
          <w:ilvl w:val="0"/>
          <w:numId w:val="238"/>
        </w:numPr>
        <w:tabs>
          <w:tab w:val="left" w:pos="1668"/>
        </w:tabs>
        <w:spacing w:before="8"/>
        <w:ind w:left="1668" w:right="0" w:hanging="222"/>
        <w:jc w:val="both"/>
        <w:rPr>
          <w:sz w:val="20"/>
        </w:rPr>
      </w:pPr>
      <w:r>
        <w:rPr>
          <w:sz w:val="20"/>
        </w:rPr>
        <w:t>Los</w:t>
      </w:r>
      <w:r>
        <w:rPr>
          <w:spacing w:val="-6"/>
          <w:sz w:val="20"/>
        </w:rPr>
        <w:t xml:space="preserve"> </w:t>
      </w:r>
      <w:r>
        <w:rPr>
          <w:sz w:val="20"/>
        </w:rPr>
        <w:t>anuncios</w:t>
      </w:r>
      <w:r>
        <w:rPr>
          <w:spacing w:val="-3"/>
          <w:sz w:val="20"/>
        </w:rPr>
        <w:t xml:space="preserve"> </w:t>
      </w:r>
      <w:r>
        <w:rPr>
          <w:sz w:val="20"/>
        </w:rPr>
        <w:t>de</w:t>
      </w:r>
      <w:r>
        <w:rPr>
          <w:spacing w:val="-3"/>
          <w:sz w:val="20"/>
        </w:rPr>
        <w:t xml:space="preserve"> </w:t>
      </w:r>
      <w:r>
        <w:rPr>
          <w:sz w:val="20"/>
        </w:rPr>
        <w:t>licitación</w:t>
      </w:r>
      <w:r>
        <w:rPr>
          <w:spacing w:val="-4"/>
          <w:sz w:val="20"/>
        </w:rPr>
        <w:t xml:space="preserve"> </w:t>
      </w:r>
      <w:r>
        <w:rPr>
          <w:sz w:val="20"/>
        </w:rPr>
        <w:t>de</w:t>
      </w:r>
      <w:r>
        <w:rPr>
          <w:spacing w:val="-3"/>
          <w:sz w:val="20"/>
        </w:rPr>
        <w:t xml:space="preserve"> </w:t>
      </w:r>
      <w:r>
        <w:rPr>
          <w:sz w:val="20"/>
        </w:rPr>
        <w:t>contratos</w:t>
      </w:r>
      <w:r>
        <w:rPr>
          <w:spacing w:val="-3"/>
          <w:sz w:val="20"/>
        </w:rPr>
        <w:t xml:space="preserve"> </w:t>
      </w:r>
      <w:r>
        <w:rPr>
          <w:sz w:val="20"/>
        </w:rPr>
        <w:t>contendrán</w:t>
      </w:r>
      <w:r>
        <w:rPr>
          <w:spacing w:val="-4"/>
          <w:sz w:val="20"/>
        </w:rPr>
        <w:t xml:space="preserve"> </w:t>
      </w:r>
      <w:r>
        <w:rPr>
          <w:sz w:val="20"/>
        </w:rPr>
        <w:t>la</w:t>
      </w:r>
      <w:r>
        <w:rPr>
          <w:spacing w:val="-3"/>
          <w:sz w:val="20"/>
        </w:rPr>
        <w:t xml:space="preserve"> </w:t>
      </w:r>
      <w:r>
        <w:rPr>
          <w:sz w:val="20"/>
        </w:rPr>
        <w:t>información</w:t>
      </w:r>
      <w:r>
        <w:rPr>
          <w:spacing w:val="-3"/>
          <w:sz w:val="20"/>
        </w:rPr>
        <w:t xml:space="preserve"> </w:t>
      </w:r>
      <w:r>
        <w:rPr>
          <w:sz w:val="20"/>
        </w:rPr>
        <w:t>recogida</w:t>
      </w:r>
      <w:r>
        <w:rPr>
          <w:spacing w:val="-4"/>
          <w:sz w:val="20"/>
        </w:rPr>
        <w:t xml:space="preserve"> </w:t>
      </w:r>
      <w:r>
        <w:rPr>
          <w:sz w:val="20"/>
        </w:rPr>
        <w:t>en</w:t>
      </w:r>
      <w:r>
        <w:rPr>
          <w:spacing w:val="-3"/>
          <w:sz w:val="20"/>
        </w:rPr>
        <w:t xml:space="preserve"> </w:t>
      </w:r>
      <w:r>
        <w:rPr>
          <w:sz w:val="20"/>
        </w:rPr>
        <w:t>el</w:t>
      </w:r>
      <w:r>
        <w:rPr>
          <w:spacing w:val="-3"/>
          <w:sz w:val="20"/>
        </w:rPr>
        <w:t xml:space="preserve"> </w:t>
      </w:r>
      <w:r>
        <w:rPr>
          <w:spacing w:val="-2"/>
          <w:sz w:val="20"/>
        </w:rPr>
        <w:t>anexo</w:t>
      </w:r>
    </w:p>
    <w:p w:rsidR="0092635B" w:rsidRDefault="00000000">
      <w:pPr>
        <w:pStyle w:val="Prrafodelista"/>
        <w:numPr>
          <w:ilvl w:val="0"/>
          <w:numId w:val="335"/>
        </w:numPr>
        <w:tabs>
          <w:tab w:val="left" w:pos="1328"/>
        </w:tabs>
        <w:spacing w:before="10"/>
        <w:ind w:left="1328" w:right="0" w:hanging="222"/>
        <w:jc w:val="left"/>
        <w:rPr>
          <w:sz w:val="20"/>
        </w:rPr>
      </w:pPr>
      <w:r>
        <w:rPr>
          <w:sz w:val="20"/>
        </w:rPr>
        <w:t>​</w:t>
      </w:r>
    </w:p>
    <w:p w:rsidR="0092635B" w:rsidRDefault="00000000">
      <w:pPr>
        <w:pStyle w:val="Prrafodelista"/>
        <w:numPr>
          <w:ilvl w:val="0"/>
          <w:numId w:val="238"/>
        </w:numPr>
        <w:tabs>
          <w:tab w:val="left" w:pos="1674"/>
        </w:tabs>
        <w:spacing w:before="10"/>
        <w:ind w:left="1674" w:right="0" w:hanging="228"/>
        <w:rPr>
          <w:sz w:val="20"/>
        </w:rPr>
      </w:pPr>
      <w:r>
        <w:rPr>
          <w:sz w:val="20"/>
        </w:rPr>
        <w:t>En</w:t>
      </w:r>
      <w:r>
        <w:rPr>
          <w:spacing w:val="3"/>
          <w:sz w:val="20"/>
        </w:rPr>
        <w:t xml:space="preserve"> </w:t>
      </w:r>
      <w:r>
        <w:rPr>
          <w:sz w:val="20"/>
        </w:rPr>
        <w:t>los</w:t>
      </w:r>
      <w:r>
        <w:rPr>
          <w:spacing w:val="4"/>
          <w:sz w:val="20"/>
        </w:rPr>
        <w:t xml:space="preserve"> </w:t>
      </w:r>
      <w:r>
        <w:rPr>
          <w:sz w:val="20"/>
        </w:rPr>
        <w:t>contratos</w:t>
      </w:r>
      <w:r>
        <w:rPr>
          <w:spacing w:val="4"/>
          <w:sz w:val="20"/>
        </w:rPr>
        <w:t xml:space="preserve"> </w:t>
      </w:r>
      <w:r>
        <w:rPr>
          <w:sz w:val="20"/>
        </w:rPr>
        <w:t>de</w:t>
      </w:r>
      <w:r>
        <w:rPr>
          <w:spacing w:val="4"/>
          <w:sz w:val="20"/>
        </w:rPr>
        <w:t xml:space="preserve"> </w:t>
      </w:r>
      <w:r>
        <w:rPr>
          <w:sz w:val="20"/>
        </w:rPr>
        <w:t>concesión</w:t>
      </w:r>
      <w:r>
        <w:rPr>
          <w:spacing w:val="3"/>
          <w:sz w:val="20"/>
        </w:rPr>
        <w:t xml:space="preserve"> </w:t>
      </w:r>
      <w:r>
        <w:rPr>
          <w:sz w:val="20"/>
        </w:rPr>
        <w:t>de</w:t>
      </w:r>
      <w:r>
        <w:rPr>
          <w:spacing w:val="4"/>
          <w:sz w:val="20"/>
        </w:rPr>
        <w:t xml:space="preserve"> </w:t>
      </w:r>
      <w:r>
        <w:rPr>
          <w:sz w:val="20"/>
        </w:rPr>
        <w:t>servicios</w:t>
      </w:r>
      <w:r>
        <w:rPr>
          <w:spacing w:val="4"/>
          <w:sz w:val="20"/>
        </w:rPr>
        <w:t xml:space="preserve"> </w:t>
      </w:r>
      <w:r>
        <w:rPr>
          <w:sz w:val="20"/>
        </w:rPr>
        <w:t>especiales</w:t>
      </w:r>
      <w:r>
        <w:rPr>
          <w:spacing w:val="4"/>
          <w:sz w:val="20"/>
        </w:rPr>
        <w:t xml:space="preserve"> </w:t>
      </w:r>
      <w:r>
        <w:rPr>
          <w:sz w:val="20"/>
        </w:rPr>
        <w:t>del</w:t>
      </w:r>
      <w:r>
        <w:rPr>
          <w:spacing w:val="3"/>
          <w:sz w:val="20"/>
        </w:rPr>
        <w:t xml:space="preserve"> </w:t>
      </w:r>
      <w:r>
        <w:rPr>
          <w:sz w:val="20"/>
        </w:rPr>
        <w:t>anexo</w:t>
      </w:r>
      <w:r>
        <w:rPr>
          <w:spacing w:val="4"/>
          <w:sz w:val="20"/>
        </w:rPr>
        <w:t xml:space="preserve"> </w:t>
      </w:r>
      <w:r>
        <w:rPr>
          <w:sz w:val="20"/>
        </w:rPr>
        <w:t>IV</w:t>
      </w:r>
      <w:r>
        <w:rPr>
          <w:spacing w:val="4"/>
          <w:sz w:val="20"/>
        </w:rPr>
        <w:t xml:space="preserve"> </w:t>
      </w:r>
      <w:r>
        <w:rPr>
          <w:sz w:val="20"/>
        </w:rPr>
        <w:t>la</w:t>
      </w:r>
      <w:r>
        <w:rPr>
          <w:spacing w:val="4"/>
          <w:sz w:val="20"/>
        </w:rPr>
        <w:t xml:space="preserve"> </w:t>
      </w:r>
      <w:r>
        <w:rPr>
          <w:sz w:val="20"/>
        </w:rPr>
        <w:t>convocatoria</w:t>
      </w:r>
      <w:r>
        <w:rPr>
          <w:spacing w:val="4"/>
          <w:sz w:val="20"/>
        </w:rPr>
        <w:t xml:space="preserve"> </w:t>
      </w:r>
      <w:r>
        <w:rPr>
          <w:spacing w:val="-5"/>
          <w:sz w:val="20"/>
        </w:rPr>
        <w:t>de</w:t>
      </w:r>
    </w:p>
    <w:p w:rsidR="0092635B" w:rsidRDefault="00000000">
      <w:pPr>
        <w:pStyle w:val="Textoindependiente"/>
        <w:spacing w:before="10" w:line="249" w:lineRule="auto"/>
        <w:ind w:right="1105" w:firstLine="0"/>
        <w:jc w:val="left"/>
      </w:pPr>
      <w:r>
        <w:t>licitación</w:t>
      </w:r>
      <w:r>
        <w:rPr>
          <w:spacing w:val="39"/>
        </w:rPr>
        <w:t xml:space="preserve"> </w:t>
      </w:r>
      <w:r>
        <w:t>se</w:t>
      </w:r>
      <w:r>
        <w:rPr>
          <w:spacing w:val="39"/>
        </w:rPr>
        <w:t xml:space="preserve"> </w:t>
      </w:r>
      <w:r>
        <w:t>realizará</w:t>
      </w:r>
      <w:r>
        <w:rPr>
          <w:spacing w:val="39"/>
        </w:rPr>
        <w:t xml:space="preserve"> </w:t>
      </w:r>
      <w:r>
        <w:t>en</w:t>
      </w:r>
      <w:r>
        <w:rPr>
          <w:spacing w:val="39"/>
        </w:rPr>
        <w:t xml:space="preserve"> </w:t>
      </w:r>
      <w:r>
        <w:t>todo</w:t>
      </w:r>
      <w:r>
        <w:rPr>
          <w:spacing w:val="39"/>
        </w:rPr>
        <w:t xml:space="preserve"> </w:t>
      </w:r>
      <w:r>
        <w:t>caso</w:t>
      </w:r>
      <w:r>
        <w:rPr>
          <w:spacing w:val="39"/>
        </w:rPr>
        <w:t xml:space="preserve"> </w:t>
      </w:r>
      <w:r>
        <w:t>mediante</w:t>
      </w:r>
      <w:r>
        <w:rPr>
          <w:spacing w:val="39"/>
        </w:rPr>
        <w:t xml:space="preserve"> </w:t>
      </w:r>
      <w:r>
        <w:t>el</w:t>
      </w:r>
      <w:r>
        <w:rPr>
          <w:spacing w:val="39"/>
        </w:rPr>
        <w:t xml:space="preserve"> </w:t>
      </w:r>
      <w:r>
        <w:t>anuncio</w:t>
      </w:r>
      <w:r>
        <w:rPr>
          <w:spacing w:val="39"/>
        </w:rPr>
        <w:t xml:space="preserve"> </w:t>
      </w:r>
      <w:r>
        <w:t>de</w:t>
      </w:r>
      <w:r>
        <w:rPr>
          <w:spacing w:val="39"/>
        </w:rPr>
        <w:t xml:space="preserve"> </w:t>
      </w:r>
      <w:r>
        <w:t>información</w:t>
      </w:r>
      <w:r>
        <w:rPr>
          <w:spacing w:val="39"/>
        </w:rPr>
        <w:t xml:space="preserve"> </w:t>
      </w:r>
      <w:r>
        <w:t>previa</w:t>
      </w:r>
      <w:r>
        <w:rPr>
          <w:spacing w:val="39"/>
        </w:rPr>
        <w:t xml:space="preserve"> </w:t>
      </w:r>
      <w:r>
        <w:t>a</w:t>
      </w:r>
      <w:r>
        <w:rPr>
          <w:spacing w:val="39"/>
        </w:rPr>
        <w:t xml:space="preserve"> </w:t>
      </w:r>
      <w:r>
        <w:t>que</w:t>
      </w:r>
      <w:r>
        <w:rPr>
          <w:spacing w:val="39"/>
        </w:rPr>
        <w:t xml:space="preserve"> </w:t>
      </w:r>
      <w:r>
        <w:t>se refiere la Disposición adicional trigésima sexta.</w:t>
      </w:r>
    </w:p>
    <w:p w:rsidR="0092635B" w:rsidRDefault="00000000">
      <w:pPr>
        <w:tabs>
          <w:tab w:val="left" w:pos="2673"/>
        </w:tabs>
        <w:spacing w:before="228" w:line="249" w:lineRule="auto"/>
        <w:ind w:left="1106" w:right="1120"/>
        <w:rPr>
          <w:rFonts w:ascii="Arial" w:hAnsi="Arial"/>
          <w:i/>
          <w:sz w:val="20"/>
        </w:rPr>
      </w:pPr>
      <w:bookmarkStart w:id="227" w:name="Artículo_136._Plazos_de_presentación_de_"/>
      <w:bookmarkEnd w:id="227"/>
      <w:r>
        <w:rPr>
          <w:rFonts w:ascii="Arial" w:hAnsi="Arial"/>
          <w:b/>
          <w:sz w:val="20"/>
        </w:rPr>
        <w:t>Artículo</w:t>
      </w:r>
      <w:r>
        <w:rPr>
          <w:rFonts w:ascii="Arial" w:hAnsi="Arial"/>
          <w:b/>
          <w:spacing w:val="40"/>
          <w:sz w:val="20"/>
        </w:rPr>
        <w:t xml:space="preserve"> </w:t>
      </w:r>
      <w:r>
        <w:rPr>
          <w:rFonts w:ascii="Arial" w:hAnsi="Arial"/>
          <w:b/>
          <w:sz w:val="20"/>
        </w:rPr>
        <w:t>136.</w:t>
      </w:r>
      <w:r>
        <w:rPr>
          <w:rFonts w:ascii="Arial" w:hAnsi="Arial"/>
          <w:b/>
          <w:sz w:val="20"/>
        </w:rPr>
        <w:tab/>
      </w:r>
      <w:r>
        <w:rPr>
          <w:rFonts w:ascii="Arial" w:hAnsi="Arial"/>
          <w:i/>
          <w:sz w:val="20"/>
        </w:rPr>
        <w:t>Plazos</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presentación</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las</w:t>
      </w:r>
      <w:r>
        <w:rPr>
          <w:rFonts w:ascii="Arial" w:hAnsi="Arial"/>
          <w:i/>
          <w:spacing w:val="80"/>
          <w:sz w:val="20"/>
        </w:rPr>
        <w:t xml:space="preserve"> </w:t>
      </w:r>
      <w:r>
        <w:rPr>
          <w:rFonts w:ascii="Arial" w:hAnsi="Arial"/>
          <w:i/>
          <w:sz w:val="20"/>
        </w:rPr>
        <w:t>solicitudes</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participación</w:t>
      </w:r>
      <w:r>
        <w:rPr>
          <w:rFonts w:ascii="Arial" w:hAnsi="Arial"/>
          <w:i/>
          <w:spacing w:val="80"/>
          <w:sz w:val="20"/>
        </w:rPr>
        <w:t xml:space="preserve"> </w:t>
      </w:r>
      <w:r>
        <w:rPr>
          <w:rFonts w:ascii="Arial" w:hAnsi="Arial"/>
          <w:i/>
          <w:sz w:val="20"/>
        </w:rPr>
        <w:t>y</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 xml:space="preserve">las </w:t>
      </w:r>
      <w:r>
        <w:rPr>
          <w:rFonts w:ascii="Arial" w:hAnsi="Arial"/>
          <w:i/>
          <w:spacing w:val="-2"/>
          <w:sz w:val="20"/>
        </w:rPr>
        <w:t>proposiciones.</w:t>
      </w:r>
    </w:p>
    <w:p w:rsidR="0092635B" w:rsidRDefault="00000000">
      <w:pPr>
        <w:pStyle w:val="Prrafodelista"/>
        <w:numPr>
          <w:ilvl w:val="0"/>
          <w:numId w:val="237"/>
        </w:numPr>
        <w:tabs>
          <w:tab w:val="left" w:pos="1725"/>
        </w:tabs>
        <w:spacing w:before="115" w:line="249" w:lineRule="auto"/>
        <w:ind w:right="1104" w:firstLine="340"/>
        <w:jc w:val="both"/>
        <w:rPr>
          <w:sz w:val="20"/>
        </w:rPr>
      </w:pPr>
      <w:r>
        <w:rPr>
          <w:sz w:val="20"/>
        </w:rPr>
        <w:t>Los órganos de contratación fijarán los plazos de presentación de las ofertas y solicitudes de participación teniendo en cuenta el tiempo que razonablemente pueda ser necesario para preparar aquellas, atendida la complejidad del contrato, y respetando, en</w:t>
      </w:r>
      <w:r>
        <w:rPr>
          <w:spacing w:val="40"/>
          <w:sz w:val="20"/>
        </w:rPr>
        <w:t xml:space="preserve"> </w:t>
      </w:r>
      <w:r>
        <w:rPr>
          <w:sz w:val="20"/>
        </w:rPr>
        <w:t>todo caso, los plazos mínimos fijados en esta Ley.</w:t>
      </w:r>
    </w:p>
    <w:p w:rsidR="0092635B" w:rsidRDefault="00000000">
      <w:pPr>
        <w:pStyle w:val="Prrafodelista"/>
        <w:numPr>
          <w:ilvl w:val="0"/>
          <w:numId w:val="237"/>
        </w:numPr>
        <w:tabs>
          <w:tab w:val="left" w:pos="1692"/>
        </w:tabs>
        <w:spacing w:before="4" w:line="249" w:lineRule="auto"/>
        <w:ind w:right="1102" w:firstLine="340"/>
        <w:jc w:val="both"/>
        <w:rPr>
          <w:sz w:val="20"/>
        </w:rPr>
      </w:pPr>
      <w:r>
        <w:rPr>
          <w:sz w:val="20"/>
        </w:rPr>
        <w:t>Los órganos de contratación deberán ampliar el plazo inicial de presentación de las ofertas y solicitudes de participación, de forma que todos los posibles interesados en la licitación puedan tener acceso a toda la información necesaria para elaborar estas, cuando por</w:t>
      </w:r>
      <w:r>
        <w:rPr>
          <w:spacing w:val="40"/>
          <w:sz w:val="20"/>
        </w:rPr>
        <w:t xml:space="preserve"> </w:t>
      </w:r>
      <w:r>
        <w:rPr>
          <w:sz w:val="20"/>
        </w:rPr>
        <w:t>cualquier</w:t>
      </w:r>
      <w:r>
        <w:rPr>
          <w:spacing w:val="40"/>
          <w:sz w:val="20"/>
        </w:rPr>
        <w:t xml:space="preserve"> </w:t>
      </w:r>
      <w:r>
        <w:rPr>
          <w:sz w:val="20"/>
        </w:rPr>
        <w:t>razón</w:t>
      </w:r>
      <w:r>
        <w:rPr>
          <w:spacing w:val="40"/>
          <w:sz w:val="20"/>
        </w:rPr>
        <w:t xml:space="preserve"> </w:t>
      </w:r>
      <w:r>
        <w:rPr>
          <w:sz w:val="20"/>
        </w:rPr>
        <w:t>los</w:t>
      </w:r>
      <w:r>
        <w:rPr>
          <w:spacing w:val="40"/>
          <w:sz w:val="20"/>
        </w:rPr>
        <w:t xml:space="preserve"> </w:t>
      </w:r>
      <w:r>
        <w:rPr>
          <w:sz w:val="20"/>
        </w:rPr>
        <w:t>servicios</w:t>
      </w:r>
      <w:r>
        <w:rPr>
          <w:spacing w:val="40"/>
          <w:sz w:val="20"/>
        </w:rPr>
        <w:t xml:space="preserve"> </w:t>
      </w:r>
      <w:r>
        <w:rPr>
          <w:sz w:val="20"/>
        </w:rPr>
        <w:t>dependientes</w:t>
      </w:r>
      <w:r>
        <w:rPr>
          <w:spacing w:val="40"/>
          <w:sz w:val="20"/>
        </w:rPr>
        <w:t xml:space="preserve"> </w:t>
      </w:r>
      <w:r>
        <w:rPr>
          <w:sz w:val="20"/>
        </w:rPr>
        <w:t>del</w:t>
      </w:r>
      <w:r>
        <w:rPr>
          <w:spacing w:val="40"/>
          <w:sz w:val="20"/>
        </w:rPr>
        <w:t xml:space="preserve"> </w:t>
      </w:r>
      <w:r>
        <w:rPr>
          <w:sz w:val="20"/>
        </w:rPr>
        <w:t>órgano</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no</w:t>
      </w:r>
      <w:r>
        <w:rPr>
          <w:spacing w:val="40"/>
          <w:sz w:val="20"/>
        </w:rPr>
        <w:t xml:space="preserve"> </w:t>
      </w:r>
      <w:r>
        <w:rPr>
          <w:sz w:val="20"/>
        </w:rPr>
        <w:t>hubieran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atendido el requerimiento de información que el interesado hubiera formulado con la debida antelación, en los términos señalados en el apartado 3 del artículo 138.</w:t>
      </w:r>
    </w:p>
    <w:p w:rsidR="0092635B" w:rsidRDefault="00000000">
      <w:pPr>
        <w:pStyle w:val="Textoindependiente"/>
        <w:spacing w:before="1" w:line="249" w:lineRule="auto"/>
        <w:ind w:right="1120"/>
        <w:jc w:val="left"/>
      </w:pPr>
      <w:r>
        <w:t>Esta causa no se aplicará cuando la información adicional solicitada tenga un carácter</w:t>
      </w:r>
      <w:r>
        <w:rPr>
          <w:spacing w:val="40"/>
        </w:rPr>
        <w:t xml:space="preserve"> </w:t>
      </w:r>
      <w:r>
        <w:t>irrelevante a los efectos de poder formular una oferta o solicitud que sean válidas.</w:t>
      </w:r>
    </w:p>
    <w:p w:rsidR="0092635B" w:rsidRDefault="00000000">
      <w:pPr>
        <w:pStyle w:val="Textoindependiente"/>
        <w:spacing w:line="249" w:lineRule="auto"/>
        <w:ind w:right="1120"/>
        <w:jc w:val="left"/>
      </w:pPr>
      <w:r>
        <w:t>En</w:t>
      </w:r>
      <w:r>
        <w:rPr>
          <w:spacing w:val="40"/>
        </w:rPr>
        <w:t xml:space="preserve"> </w:t>
      </w:r>
      <w:r>
        <w:t>todo</w:t>
      </w:r>
      <w:r>
        <w:rPr>
          <w:spacing w:val="40"/>
        </w:rPr>
        <w:t xml:space="preserve"> </w:t>
      </w:r>
      <w:r>
        <w:t>caso</w:t>
      </w:r>
      <w:r>
        <w:rPr>
          <w:spacing w:val="40"/>
        </w:rPr>
        <w:t xml:space="preserve"> </w:t>
      </w:r>
      <w:r>
        <w:t>se</w:t>
      </w:r>
      <w:r>
        <w:rPr>
          <w:spacing w:val="40"/>
        </w:rPr>
        <w:t xml:space="preserve"> </w:t>
      </w:r>
      <w:r>
        <w:t>considerará</w:t>
      </w:r>
      <w:r>
        <w:rPr>
          <w:spacing w:val="40"/>
        </w:rPr>
        <w:t xml:space="preserve"> </w:t>
      </w:r>
      <w:r>
        <w:t>información</w:t>
      </w:r>
      <w:r>
        <w:rPr>
          <w:spacing w:val="40"/>
        </w:rPr>
        <w:t xml:space="preserve"> </w:t>
      </w:r>
      <w:r>
        <w:t>relevante</w:t>
      </w:r>
      <w:r>
        <w:rPr>
          <w:spacing w:val="40"/>
        </w:rPr>
        <w:t xml:space="preserve"> </w:t>
      </w:r>
      <w:r>
        <w:t>a</w:t>
      </w:r>
      <w:r>
        <w:rPr>
          <w:spacing w:val="40"/>
        </w:rPr>
        <w:t xml:space="preserve"> </w:t>
      </w:r>
      <w:r>
        <w:t>los</w:t>
      </w:r>
      <w:r>
        <w:rPr>
          <w:spacing w:val="40"/>
        </w:rPr>
        <w:t xml:space="preserve"> </w:t>
      </w:r>
      <w:r>
        <w:t>efectos</w:t>
      </w:r>
      <w:r>
        <w:rPr>
          <w:spacing w:val="40"/>
        </w:rPr>
        <w:t xml:space="preserve"> </w:t>
      </w:r>
      <w:r>
        <w:t>de</w:t>
      </w:r>
      <w:r>
        <w:rPr>
          <w:spacing w:val="40"/>
        </w:rPr>
        <w:t xml:space="preserve"> </w:t>
      </w:r>
      <w:r>
        <w:t>este</w:t>
      </w:r>
      <w:r>
        <w:rPr>
          <w:spacing w:val="40"/>
        </w:rPr>
        <w:t xml:space="preserve"> </w:t>
      </w:r>
      <w:r>
        <w:t>artículo</w:t>
      </w:r>
      <w:r>
        <w:rPr>
          <w:spacing w:val="40"/>
        </w:rPr>
        <w:t xml:space="preserve"> </w:t>
      </w:r>
      <w:r>
        <w:t xml:space="preserve">la </w:t>
      </w:r>
      <w:r>
        <w:rPr>
          <w:spacing w:val="-2"/>
        </w:rPr>
        <w:t>siguiente:</w:t>
      </w:r>
    </w:p>
    <w:p w:rsidR="0092635B" w:rsidRDefault="00000000">
      <w:pPr>
        <w:pStyle w:val="Prrafodelista"/>
        <w:numPr>
          <w:ilvl w:val="1"/>
          <w:numId w:val="237"/>
        </w:numPr>
        <w:tabs>
          <w:tab w:val="left" w:pos="1679"/>
        </w:tabs>
        <w:spacing w:before="122"/>
        <w:ind w:right="0" w:hanging="233"/>
        <w:rPr>
          <w:sz w:val="20"/>
        </w:rPr>
      </w:pPr>
      <w:r>
        <w:rPr>
          <w:sz w:val="20"/>
        </w:rPr>
        <w:t>Cualquier</w:t>
      </w:r>
      <w:r>
        <w:rPr>
          <w:spacing w:val="-7"/>
          <w:sz w:val="20"/>
        </w:rPr>
        <w:t xml:space="preserve"> </w:t>
      </w:r>
      <w:r>
        <w:rPr>
          <w:sz w:val="20"/>
        </w:rPr>
        <w:t>información</w:t>
      </w:r>
      <w:r>
        <w:rPr>
          <w:spacing w:val="-5"/>
          <w:sz w:val="20"/>
        </w:rPr>
        <w:t xml:space="preserve"> </w:t>
      </w:r>
      <w:r>
        <w:rPr>
          <w:sz w:val="20"/>
        </w:rPr>
        <w:t>adicional</w:t>
      </w:r>
      <w:r>
        <w:rPr>
          <w:spacing w:val="-4"/>
          <w:sz w:val="20"/>
        </w:rPr>
        <w:t xml:space="preserve"> </w:t>
      </w:r>
      <w:r>
        <w:rPr>
          <w:sz w:val="20"/>
        </w:rPr>
        <w:t>trasmitida</w:t>
      </w:r>
      <w:r>
        <w:rPr>
          <w:spacing w:val="-5"/>
          <w:sz w:val="20"/>
        </w:rPr>
        <w:t xml:space="preserve"> </w:t>
      </w:r>
      <w:r>
        <w:rPr>
          <w:sz w:val="20"/>
        </w:rPr>
        <w:t>a</w:t>
      </w:r>
      <w:r>
        <w:rPr>
          <w:spacing w:val="-5"/>
          <w:sz w:val="20"/>
        </w:rPr>
        <w:t xml:space="preserve"> </w:t>
      </w:r>
      <w:r>
        <w:rPr>
          <w:sz w:val="20"/>
        </w:rPr>
        <w:t>un</w:t>
      </w:r>
      <w:r>
        <w:rPr>
          <w:spacing w:val="-4"/>
          <w:sz w:val="20"/>
        </w:rPr>
        <w:t xml:space="preserve"> </w:t>
      </w:r>
      <w:r>
        <w:rPr>
          <w:spacing w:val="-2"/>
          <w:sz w:val="20"/>
        </w:rPr>
        <w:t>licitador.</w:t>
      </w:r>
    </w:p>
    <w:p w:rsidR="0092635B" w:rsidRDefault="00000000">
      <w:pPr>
        <w:pStyle w:val="Prrafodelista"/>
        <w:numPr>
          <w:ilvl w:val="1"/>
          <w:numId w:val="237"/>
        </w:numPr>
        <w:tabs>
          <w:tab w:val="left" w:pos="1684"/>
        </w:tabs>
        <w:spacing w:before="10" w:line="249" w:lineRule="auto"/>
        <w:ind w:left="1106" w:right="1105" w:firstLine="340"/>
        <w:jc w:val="both"/>
        <w:rPr>
          <w:sz w:val="20"/>
        </w:rPr>
      </w:pPr>
      <w:r>
        <w:rPr>
          <w:sz w:val="20"/>
        </w:rPr>
        <w:t xml:space="preserve">Cualquier información asociada a elementos referidos en los pliegos y documentos de </w:t>
      </w:r>
      <w:r>
        <w:rPr>
          <w:spacing w:val="-2"/>
          <w:sz w:val="20"/>
        </w:rPr>
        <w:t>contratación.</w:t>
      </w:r>
    </w:p>
    <w:p w:rsidR="0092635B" w:rsidRDefault="00000000">
      <w:pPr>
        <w:pStyle w:val="Textoindependiente"/>
        <w:spacing w:before="121" w:line="249" w:lineRule="auto"/>
        <w:ind w:right="1102"/>
      </w:pPr>
      <w:r>
        <w:t>Los órganos de contratación deberán ampliar el plazo inicial de presentación de las ofertas y solicitudes de participación, asimismo, en el caso en que se introduzcan modificaciones significativas en los pliegos de la contratación, sin perjuicio de lo señalado en los artículos 122.1 y 124.</w:t>
      </w:r>
    </w:p>
    <w:p w:rsidR="0092635B" w:rsidRDefault="00000000">
      <w:pPr>
        <w:pStyle w:val="Textoindependiente"/>
        <w:spacing w:before="4"/>
        <w:ind w:left="1446" w:firstLine="0"/>
      </w:pPr>
      <w:r>
        <w:t>En</w:t>
      </w:r>
      <w:r>
        <w:rPr>
          <w:spacing w:val="-6"/>
        </w:rPr>
        <w:t xml:space="preserve"> </w:t>
      </w:r>
      <w:r>
        <w:t>todo</w:t>
      </w:r>
      <w:r>
        <w:rPr>
          <w:spacing w:val="-4"/>
        </w:rPr>
        <w:t xml:space="preserve"> </w:t>
      </w:r>
      <w:r>
        <w:t>caso</w:t>
      </w:r>
      <w:r>
        <w:rPr>
          <w:spacing w:val="-4"/>
        </w:rPr>
        <w:t xml:space="preserve"> </w:t>
      </w:r>
      <w:r>
        <w:t>se</w:t>
      </w:r>
      <w:r>
        <w:rPr>
          <w:spacing w:val="-4"/>
        </w:rPr>
        <w:t xml:space="preserve"> </w:t>
      </w:r>
      <w:r>
        <w:t>considerará</w:t>
      </w:r>
      <w:r>
        <w:rPr>
          <w:spacing w:val="-4"/>
        </w:rPr>
        <w:t xml:space="preserve"> </w:t>
      </w:r>
      <w:r>
        <w:t>modificación</w:t>
      </w:r>
      <w:r>
        <w:rPr>
          <w:spacing w:val="-4"/>
        </w:rPr>
        <w:t xml:space="preserve"> </w:t>
      </w:r>
      <w:r>
        <w:t>significativa</w:t>
      </w:r>
      <w:r>
        <w:rPr>
          <w:spacing w:val="-3"/>
        </w:rPr>
        <w:t xml:space="preserve"> </w:t>
      </w:r>
      <w:r>
        <w:t>de</w:t>
      </w:r>
      <w:r>
        <w:rPr>
          <w:spacing w:val="-4"/>
        </w:rPr>
        <w:t xml:space="preserve"> </w:t>
      </w:r>
      <w:r>
        <w:t>los</w:t>
      </w:r>
      <w:r>
        <w:rPr>
          <w:spacing w:val="-4"/>
        </w:rPr>
        <w:t xml:space="preserve"> </w:t>
      </w:r>
      <w:r>
        <w:t>pliegos</w:t>
      </w:r>
      <w:r>
        <w:rPr>
          <w:spacing w:val="-4"/>
        </w:rPr>
        <w:t xml:space="preserve"> </w:t>
      </w:r>
      <w:r>
        <w:t>la</w:t>
      </w:r>
      <w:r>
        <w:rPr>
          <w:spacing w:val="-4"/>
        </w:rPr>
        <w:t xml:space="preserve"> </w:t>
      </w:r>
      <w:r>
        <w:t>que</w:t>
      </w:r>
      <w:r>
        <w:rPr>
          <w:spacing w:val="-4"/>
        </w:rPr>
        <w:t xml:space="preserve"> </w:t>
      </w:r>
      <w:r>
        <w:t>afecte</w:t>
      </w:r>
      <w:r>
        <w:rPr>
          <w:spacing w:val="-3"/>
        </w:rPr>
        <w:t xml:space="preserve"> </w:t>
      </w:r>
      <w:r>
        <w:rPr>
          <w:spacing w:val="-5"/>
        </w:rPr>
        <w:t>a:</w:t>
      </w:r>
    </w:p>
    <w:p w:rsidR="0092635B" w:rsidRDefault="00000000">
      <w:pPr>
        <w:pStyle w:val="Prrafodelista"/>
        <w:numPr>
          <w:ilvl w:val="0"/>
          <w:numId w:val="236"/>
        </w:numPr>
        <w:tabs>
          <w:tab w:val="left" w:pos="1679"/>
        </w:tabs>
        <w:spacing w:before="130"/>
        <w:ind w:right="0" w:hanging="233"/>
        <w:rPr>
          <w:sz w:val="20"/>
        </w:rPr>
      </w:pPr>
      <w:r>
        <w:rPr>
          <w:sz w:val="20"/>
        </w:rPr>
        <w:t>La</w:t>
      </w:r>
      <w:r>
        <w:rPr>
          <w:spacing w:val="-7"/>
          <w:sz w:val="20"/>
        </w:rPr>
        <w:t xml:space="preserve"> </w:t>
      </w:r>
      <w:r>
        <w:rPr>
          <w:sz w:val="20"/>
        </w:rPr>
        <w:t>clasificación</w:t>
      </w:r>
      <w:r>
        <w:rPr>
          <w:spacing w:val="-6"/>
          <w:sz w:val="20"/>
        </w:rPr>
        <w:t xml:space="preserve"> </w:t>
      </w:r>
      <w:r>
        <w:rPr>
          <w:spacing w:val="-2"/>
          <w:sz w:val="20"/>
        </w:rPr>
        <w:t>requerida.</w:t>
      </w:r>
    </w:p>
    <w:p w:rsidR="0092635B" w:rsidRDefault="00000000">
      <w:pPr>
        <w:pStyle w:val="Prrafodelista"/>
        <w:numPr>
          <w:ilvl w:val="0"/>
          <w:numId w:val="236"/>
        </w:numPr>
        <w:tabs>
          <w:tab w:val="left" w:pos="1679"/>
        </w:tabs>
        <w:spacing w:before="10"/>
        <w:ind w:right="0" w:hanging="233"/>
        <w:rPr>
          <w:sz w:val="20"/>
        </w:rPr>
      </w:pPr>
      <w:r>
        <w:rPr>
          <w:sz w:val="20"/>
        </w:rPr>
        <w:t>El</w:t>
      </w:r>
      <w:r>
        <w:rPr>
          <w:spacing w:val="-3"/>
          <w:sz w:val="20"/>
        </w:rPr>
        <w:t xml:space="preserve"> </w:t>
      </w:r>
      <w:r>
        <w:rPr>
          <w:sz w:val="20"/>
        </w:rPr>
        <w:t>importe</w:t>
      </w:r>
      <w:r>
        <w:rPr>
          <w:spacing w:val="-3"/>
          <w:sz w:val="20"/>
        </w:rPr>
        <w:t xml:space="preserve"> </w:t>
      </w:r>
      <w:r>
        <w:rPr>
          <w:sz w:val="20"/>
        </w:rPr>
        <w:t>y</w:t>
      </w:r>
      <w:r>
        <w:rPr>
          <w:spacing w:val="-2"/>
          <w:sz w:val="20"/>
        </w:rPr>
        <w:t xml:space="preserve"> </w:t>
      </w:r>
      <w:r>
        <w:rPr>
          <w:sz w:val="20"/>
        </w:rPr>
        <w:t>plazo</w:t>
      </w:r>
      <w:r>
        <w:rPr>
          <w:spacing w:val="-3"/>
          <w:sz w:val="20"/>
        </w:rPr>
        <w:t xml:space="preserve"> </w:t>
      </w:r>
      <w:r>
        <w:rPr>
          <w:sz w:val="20"/>
        </w:rPr>
        <w:t>del</w:t>
      </w:r>
      <w:r>
        <w:rPr>
          <w:spacing w:val="-2"/>
          <w:sz w:val="20"/>
        </w:rPr>
        <w:t xml:space="preserve"> contrato.</w:t>
      </w:r>
    </w:p>
    <w:p w:rsidR="0092635B" w:rsidRDefault="00000000">
      <w:pPr>
        <w:pStyle w:val="Prrafodelista"/>
        <w:numPr>
          <w:ilvl w:val="0"/>
          <w:numId w:val="236"/>
        </w:numPr>
        <w:tabs>
          <w:tab w:val="left" w:pos="1668"/>
        </w:tabs>
        <w:spacing w:before="10"/>
        <w:ind w:left="1668" w:right="0" w:hanging="222"/>
        <w:rPr>
          <w:sz w:val="20"/>
        </w:rPr>
      </w:pPr>
      <w:r>
        <w:rPr>
          <w:sz w:val="20"/>
        </w:rPr>
        <w:t>Las</w:t>
      </w:r>
      <w:r>
        <w:rPr>
          <w:spacing w:val="-1"/>
          <w:sz w:val="20"/>
        </w:rPr>
        <w:t xml:space="preserve"> </w:t>
      </w:r>
      <w:r>
        <w:rPr>
          <w:sz w:val="20"/>
        </w:rPr>
        <w:t>obligaciones</w:t>
      </w:r>
      <w:r>
        <w:rPr>
          <w:spacing w:val="-1"/>
          <w:sz w:val="20"/>
        </w:rPr>
        <w:t xml:space="preserve"> </w:t>
      </w:r>
      <w:r>
        <w:rPr>
          <w:sz w:val="20"/>
        </w:rPr>
        <w:t xml:space="preserve">del </w:t>
      </w:r>
      <w:r>
        <w:rPr>
          <w:spacing w:val="-2"/>
          <w:sz w:val="20"/>
        </w:rPr>
        <w:t>adjudicatario.</w:t>
      </w:r>
    </w:p>
    <w:p w:rsidR="0092635B" w:rsidRDefault="00000000">
      <w:pPr>
        <w:pStyle w:val="Prrafodelista"/>
        <w:numPr>
          <w:ilvl w:val="0"/>
          <w:numId w:val="236"/>
        </w:numPr>
        <w:tabs>
          <w:tab w:val="left" w:pos="1679"/>
        </w:tabs>
        <w:spacing w:before="10"/>
        <w:ind w:right="0" w:hanging="233"/>
        <w:rPr>
          <w:sz w:val="20"/>
        </w:rPr>
      </w:pPr>
      <w:r>
        <w:rPr>
          <w:sz w:val="20"/>
        </w:rPr>
        <w:t>Al</w:t>
      </w:r>
      <w:r>
        <w:rPr>
          <w:spacing w:val="-4"/>
          <w:sz w:val="20"/>
        </w:rPr>
        <w:t xml:space="preserve"> </w:t>
      </w:r>
      <w:r>
        <w:rPr>
          <w:sz w:val="20"/>
        </w:rPr>
        <w:t>cambio</w:t>
      </w:r>
      <w:r>
        <w:rPr>
          <w:spacing w:val="-3"/>
          <w:sz w:val="20"/>
        </w:rPr>
        <w:t xml:space="preserve"> </w:t>
      </w:r>
      <w:r>
        <w:rPr>
          <w:sz w:val="20"/>
        </w:rPr>
        <w:t>o</w:t>
      </w:r>
      <w:r>
        <w:rPr>
          <w:spacing w:val="-3"/>
          <w:sz w:val="20"/>
        </w:rPr>
        <w:t xml:space="preserve"> </w:t>
      </w:r>
      <w:r>
        <w:rPr>
          <w:sz w:val="20"/>
        </w:rPr>
        <w:t>variación</w:t>
      </w:r>
      <w:r>
        <w:rPr>
          <w:spacing w:val="-4"/>
          <w:sz w:val="20"/>
        </w:rPr>
        <w:t xml:space="preserve"> </w:t>
      </w:r>
      <w:r>
        <w:rPr>
          <w:sz w:val="20"/>
        </w:rPr>
        <w:t>del</w:t>
      </w:r>
      <w:r>
        <w:rPr>
          <w:spacing w:val="-3"/>
          <w:sz w:val="20"/>
        </w:rPr>
        <w:t xml:space="preserve"> </w:t>
      </w:r>
      <w:r>
        <w:rPr>
          <w:sz w:val="20"/>
        </w:rPr>
        <w:t>objeto</w:t>
      </w:r>
      <w:r>
        <w:rPr>
          <w:spacing w:val="-3"/>
          <w:sz w:val="20"/>
        </w:rPr>
        <w:t xml:space="preserve"> </w:t>
      </w:r>
      <w:r>
        <w:rPr>
          <w:sz w:val="20"/>
        </w:rPr>
        <w:t>del</w:t>
      </w:r>
      <w:r>
        <w:rPr>
          <w:spacing w:val="-3"/>
          <w:sz w:val="20"/>
        </w:rPr>
        <w:t xml:space="preserve"> </w:t>
      </w:r>
      <w:r>
        <w:rPr>
          <w:spacing w:val="-2"/>
          <w:sz w:val="20"/>
        </w:rPr>
        <w:t>contrato.</w:t>
      </w:r>
    </w:p>
    <w:p w:rsidR="0092635B" w:rsidRDefault="00000000">
      <w:pPr>
        <w:pStyle w:val="Textoindependiente"/>
        <w:spacing w:before="130" w:line="249" w:lineRule="auto"/>
        <w:ind w:right="1106"/>
      </w:pPr>
      <w:r>
        <w:t>La duración de la prórroga en todo caso será proporcional a la importancia de la información solicitada por el interesado.</w:t>
      </w:r>
    </w:p>
    <w:p w:rsidR="0092635B" w:rsidRDefault="00000000">
      <w:pPr>
        <w:pStyle w:val="Prrafodelista"/>
        <w:numPr>
          <w:ilvl w:val="0"/>
          <w:numId w:val="237"/>
        </w:numPr>
        <w:tabs>
          <w:tab w:val="left" w:pos="1716"/>
        </w:tabs>
        <w:spacing w:before="1" w:line="249" w:lineRule="auto"/>
        <w:ind w:right="1104" w:firstLine="340"/>
        <w:jc w:val="both"/>
        <w:rPr>
          <w:sz w:val="20"/>
        </w:rPr>
      </w:pPr>
      <w:r>
        <w:rPr>
          <w:sz w:val="20"/>
        </w:rPr>
        <w:t>Cuando las proposiciones solo puedan realizarse después de una visita sobre el terreno o previa consulta «in situ» de la documentación que se adjunte al pliego, los plazos mínimos para la presentación de las ofertas y solicitudes de participación que establece esta Ley, se ampliarán de forma que todos los que interesados afectados puedan tener conocimiento de toda la información necesaria para preparar aquellas.</w:t>
      </w:r>
    </w:p>
    <w:p w:rsidR="0092635B" w:rsidRDefault="00000000">
      <w:pPr>
        <w:pStyle w:val="Prrafodelista"/>
        <w:numPr>
          <w:ilvl w:val="0"/>
          <w:numId w:val="237"/>
        </w:numPr>
        <w:tabs>
          <w:tab w:val="left" w:pos="1710"/>
        </w:tabs>
        <w:spacing w:before="4" w:line="249" w:lineRule="auto"/>
        <w:ind w:firstLine="340"/>
        <w:jc w:val="both"/>
        <w:rPr>
          <w:sz w:val="20"/>
        </w:rPr>
      </w:pPr>
      <w:r>
        <w:rPr>
          <w:sz w:val="20"/>
        </w:rPr>
        <w:t>La presentación de proposiciones o la recepción de la documentación en formato electrónico necesaria para la presentación de las mismas en cualquier procedimiento, no podrá suponer la exigencia de cantidad alguna a los licitadores.</w:t>
      </w:r>
    </w:p>
    <w:p w:rsidR="0092635B" w:rsidRDefault="00000000">
      <w:pPr>
        <w:spacing w:before="230"/>
        <w:ind w:left="1106"/>
        <w:rPr>
          <w:rFonts w:ascii="Arial" w:hAnsi="Arial"/>
          <w:i/>
          <w:sz w:val="20"/>
        </w:rPr>
      </w:pPr>
      <w:bookmarkStart w:id="228" w:name="Artículo_137._Reducción_de_plazos_en_cas"/>
      <w:bookmarkEnd w:id="228"/>
      <w:r>
        <w:rPr>
          <w:rFonts w:ascii="Arial" w:hAnsi="Arial"/>
          <w:b/>
          <w:sz w:val="20"/>
        </w:rPr>
        <w:t>Artículo</w:t>
      </w:r>
      <w:r>
        <w:rPr>
          <w:rFonts w:ascii="Arial" w:hAnsi="Arial"/>
          <w:b/>
          <w:spacing w:val="-3"/>
          <w:sz w:val="20"/>
        </w:rPr>
        <w:t xml:space="preserve"> </w:t>
      </w:r>
      <w:r>
        <w:rPr>
          <w:rFonts w:ascii="Arial" w:hAnsi="Arial"/>
          <w:b/>
          <w:sz w:val="20"/>
        </w:rPr>
        <w:t>137.</w:t>
      </w:r>
      <w:r>
        <w:rPr>
          <w:rFonts w:ascii="Arial" w:hAnsi="Arial"/>
          <w:b/>
          <w:spacing w:val="49"/>
          <w:sz w:val="20"/>
        </w:rPr>
        <w:t xml:space="preserve"> </w:t>
      </w:r>
      <w:r>
        <w:rPr>
          <w:rFonts w:ascii="Arial" w:hAnsi="Arial"/>
          <w:i/>
          <w:sz w:val="20"/>
        </w:rPr>
        <w:t>Reducción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plazos</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caso</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tramitación</w:t>
      </w:r>
      <w:r>
        <w:rPr>
          <w:rFonts w:ascii="Arial" w:hAnsi="Arial"/>
          <w:i/>
          <w:spacing w:val="-2"/>
          <w:sz w:val="20"/>
        </w:rPr>
        <w:t xml:space="preserve"> urgente.</w:t>
      </w:r>
    </w:p>
    <w:p w:rsidR="0092635B" w:rsidRDefault="00000000">
      <w:pPr>
        <w:pStyle w:val="Textoindependiente"/>
        <w:spacing w:before="123" w:line="249" w:lineRule="auto"/>
        <w:ind w:right="1104"/>
      </w:pPr>
      <w:r>
        <w:t>En caso de que el expediente de contratación haya sido declarado de tramitación urgente, los plazos establecidos en esta Sección se reducirán en la forma prevista en la letra</w:t>
      </w:r>
    </w:p>
    <w:p w:rsidR="0092635B" w:rsidRDefault="00000000">
      <w:pPr>
        <w:pStyle w:val="Prrafodelista"/>
        <w:numPr>
          <w:ilvl w:val="0"/>
          <w:numId w:val="235"/>
        </w:numPr>
        <w:tabs>
          <w:tab w:val="left" w:pos="1339"/>
        </w:tabs>
        <w:ind w:right="0" w:hanging="233"/>
        <w:rPr>
          <w:sz w:val="20"/>
        </w:rPr>
      </w:pPr>
      <w:r>
        <w:rPr>
          <w:sz w:val="20"/>
        </w:rPr>
        <w:t>del</w:t>
      </w:r>
      <w:r>
        <w:rPr>
          <w:spacing w:val="-3"/>
          <w:sz w:val="20"/>
        </w:rPr>
        <w:t xml:space="preserve"> </w:t>
      </w:r>
      <w:r>
        <w:rPr>
          <w:sz w:val="20"/>
        </w:rPr>
        <w:t>apartado</w:t>
      </w:r>
      <w:r>
        <w:rPr>
          <w:spacing w:val="-3"/>
          <w:sz w:val="20"/>
        </w:rPr>
        <w:t xml:space="preserve"> </w:t>
      </w:r>
      <w:r>
        <w:rPr>
          <w:sz w:val="20"/>
        </w:rPr>
        <w:t>2</w:t>
      </w:r>
      <w:r>
        <w:rPr>
          <w:spacing w:val="-3"/>
          <w:sz w:val="20"/>
        </w:rPr>
        <w:t xml:space="preserve"> </w:t>
      </w:r>
      <w:r>
        <w:rPr>
          <w:sz w:val="20"/>
        </w:rPr>
        <w:t>del</w:t>
      </w:r>
      <w:r>
        <w:rPr>
          <w:spacing w:val="-3"/>
          <w:sz w:val="20"/>
        </w:rPr>
        <w:t xml:space="preserve"> </w:t>
      </w:r>
      <w:r>
        <w:rPr>
          <w:sz w:val="20"/>
        </w:rPr>
        <w:t>artículo</w:t>
      </w:r>
      <w:r>
        <w:rPr>
          <w:spacing w:val="-3"/>
          <w:sz w:val="20"/>
        </w:rPr>
        <w:t xml:space="preserve"> </w:t>
      </w:r>
      <w:r>
        <w:rPr>
          <w:sz w:val="20"/>
        </w:rPr>
        <w:t>119</w:t>
      </w:r>
      <w:r>
        <w:rPr>
          <w:spacing w:val="-3"/>
          <w:sz w:val="20"/>
        </w:rPr>
        <w:t xml:space="preserve"> </w:t>
      </w:r>
      <w:r>
        <w:rPr>
          <w:sz w:val="20"/>
        </w:rPr>
        <w:t>y</w:t>
      </w:r>
      <w:r>
        <w:rPr>
          <w:spacing w:val="-3"/>
          <w:sz w:val="20"/>
        </w:rPr>
        <w:t xml:space="preserve"> </w:t>
      </w:r>
      <w:r>
        <w:rPr>
          <w:sz w:val="20"/>
        </w:rPr>
        <w:t>en</w:t>
      </w:r>
      <w:r>
        <w:rPr>
          <w:spacing w:val="-3"/>
          <w:sz w:val="20"/>
        </w:rPr>
        <w:t xml:space="preserve"> </w:t>
      </w:r>
      <w:r>
        <w:rPr>
          <w:sz w:val="20"/>
        </w:rPr>
        <w:t>las</w:t>
      </w:r>
      <w:r>
        <w:rPr>
          <w:spacing w:val="-3"/>
          <w:sz w:val="20"/>
        </w:rPr>
        <w:t xml:space="preserve"> </w:t>
      </w:r>
      <w:r>
        <w:rPr>
          <w:sz w:val="20"/>
        </w:rPr>
        <w:t>demás</w:t>
      </w:r>
      <w:r>
        <w:rPr>
          <w:spacing w:val="-3"/>
          <w:sz w:val="20"/>
        </w:rPr>
        <w:t xml:space="preserve"> </w:t>
      </w:r>
      <w:r>
        <w:rPr>
          <w:sz w:val="20"/>
        </w:rPr>
        <w:t>disposiciones</w:t>
      </w:r>
      <w:r>
        <w:rPr>
          <w:spacing w:val="-3"/>
          <w:sz w:val="20"/>
        </w:rPr>
        <w:t xml:space="preserve"> </w:t>
      </w:r>
      <w:r>
        <w:rPr>
          <w:sz w:val="20"/>
        </w:rPr>
        <w:t>de</w:t>
      </w:r>
      <w:r>
        <w:rPr>
          <w:spacing w:val="-3"/>
          <w:sz w:val="20"/>
        </w:rPr>
        <w:t xml:space="preserve"> </w:t>
      </w:r>
      <w:r>
        <w:rPr>
          <w:sz w:val="20"/>
        </w:rPr>
        <w:t>esta</w:t>
      </w:r>
      <w:r>
        <w:rPr>
          <w:spacing w:val="-3"/>
          <w:sz w:val="20"/>
        </w:rPr>
        <w:t xml:space="preserve"> </w:t>
      </w:r>
      <w:r>
        <w:rPr>
          <w:spacing w:val="-4"/>
          <w:sz w:val="20"/>
        </w:rPr>
        <w:t>Ley.</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229" w:name="Artículo_138._Información_a_interesados."/>
      <w:bookmarkEnd w:id="229"/>
      <w:r>
        <w:rPr>
          <w:rFonts w:ascii="Arial" w:hAnsi="Arial"/>
          <w:b/>
          <w:sz w:val="20"/>
        </w:rPr>
        <w:t>Artículo</w:t>
      </w:r>
      <w:r>
        <w:rPr>
          <w:rFonts w:ascii="Arial" w:hAnsi="Arial"/>
          <w:b/>
          <w:spacing w:val="-3"/>
          <w:sz w:val="20"/>
        </w:rPr>
        <w:t xml:space="preserve"> </w:t>
      </w:r>
      <w:r>
        <w:rPr>
          <w:rFonts w:ascii="Arial" w:hAnsi="Arial"/>
          <w:b/>
          <w:sz w:val="20"/>
        </w:rPr>
        <w:t>138.</w:t>
      </w:r>
      <w:r>
        <w:rPr>
          <w:rFonts w:ascii="Arial" w:hAnsi="Arial"/>
          <w:b/>
          <w:spacing w:val="51"/>
          <w:sz w:val="20"/>
        </w:rPr>
        <w:t xml:space="preserve"> </w:t>
      </w:r>
      <w:r>
        <w:rPr>
          <w:rFonts w:ascii="Arial" w:hAnsi="Arial"/>
          <w:i/>
          <w:sz w:val="20"/>
        </w:rPr>
        <w:t>Información</w:t>
      </w:r>
      <w:r>
        <w:rPr>
          <w:rFonts w:ascii="Arial" w:hAnsi="Arial"/>
          <w:i/>
          <w:spacing w:val="-2"/>
          <w:sz w:val="20"/>
        </w:rPr>
        <w:t xml:space="preserve"> </w:t>
      </w:r>
      <w:r>
        <w:rPr>
          <w:rFonts w:ascii="Arial" w:hAnsi="Arial"/>
          <w:i/>
          <w:sz w:val="20"/>
        </w:rPr>
        <w:t>a</w:t>
      </w:r>
      <w:r>
        <w:rPr>
          <w:rFonts w:ascii="Arial" w:hAnsi="Arial"/>
          <w:i/>
          <w:spacing w:val="-2"/>
          <w:sz w:val="20"/>
        </w:rPr>
        <w:t xml:space="preserve"> interesados.</w:t>
      </w:r>
    </w:p>
    <w:p w:rsidR="0092635B" w:rsidRDefault="00000000">
      <w:pPr>
        <w:pStyle w:val="Prrafodelista"/>
        <w:numPr>
          <w:ilvl w:val="1"/>
          <w:numId w:val="235"/>
        </w:numPr>
        <w:tabs>
          <w:tab w:val="left" w:pos="1685"/>
        </w:tabs>
        <w:spacing w:before="124" w:line="249" w:lineRule="auto"/>
        <w:ind w:firstLine="340"/>
        <w:jc w:val="both"/>
        <w:rPr>
          <w:sz w:val="20"/>
        </w:rPr>
      </w:pPr>
      <w:r>
        <w:rPr>
          <w:sz w:val="20"/>
        </w:rPr>
        <w:t xml:space="preserve">Los órganos de contratación ofrecerán acceso a los pliegos y demás documentación complementaria por medios electrónicos a través del perfil de contratante, acceso que será libre, directo, completo y gratuito, y que deberá poder efectuarse desde la fecha de la publicación del anuncio de licitación o, en su caso, del envío de la invitación a los candidatos </w:t>
      </w:r>
      <w:r>
        <w:rPr>
          <w:spacing w:val="-2"/>
          <w:sz w:val="20"/>
        </w:rPr>
        <w:t>seleccionados.</w:t>
      </w:r>
    </w:p>
    <w:p w:rsidR="0092635B" w:rsidRDefault="00000000">
      <w:pPr>
        <w:pStyle w:val="Prrafodelista"/>
        <w:numPr>
          <w:ilvl w:val="1"/>
          <w:numId w:val="235"/>
        </w:numPr>
        <w:tabs>
          <w:tab w:val="left" w:pos="1723"/>
        </w:tabs>
        <w:spacing w:before="4" w:line="249" w:lineRule="auto"/>
        <w:ind w:firstLine="340"/>
        <w:jc w:val="both"/>
        <w:rPr>
          <w:sz w:val="20"/>
        </w:rPr>
      </w:pPr>
      <w:r>
        <w:rPr>
          <w:sz w:val="20"/>
        </w:rPr>
        <w:t>Excepcionalmente, en los casos que se señalan a continuación, los órganos de contratación podrán dar acceso a los pliegos y demás documentación complementaria de la licitación, valiéndose de medios no electrónicos. En ese caso el anuncio de licitación o la invitación a los candidatos seleccionados advertirán de esta circunstancia; y el plazo de presentación de las proposiciones o de las solicitudes de participación se prolongará cinco días,</w:t>
      </w:r>
      <w:r>
        <w:rPr>
          <w:spacing w:val="40"/>
          <w:sz w:val="20"/>
        </w:rPr>
        <w:t xml:space="preserve"> </w:t>
      </w:r>
      <w:r>
        <w:rPr>
          <w:sz w:val="20"/>
        </w:rPr>
        <w:t>salvo</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supuesto</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urgente</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a</w:t>
      </w:r>
      <w:r>
        <w:rPr>
          <w:spacing w:val="40"/>
          <w:sz w:val="20"/>
        </w:rPr>
        <w:t xml:space="preserve"> </w:t>
      </w:r>
      <w:r>
        <w:rPr>
          <w:sz w:val="20"/>
        </w:rPr>
        <w:t>que</w:t>
      </w:r>
      <w:r>
        <w:rPr>
          <w:spacing w:val="40"/>
          <w:sz w:val="20"/>
        </w:rPr>
        <w:t xml:space="preserve"> </w:t>
      </w:r>
      <w:r>
        <w:rPr>
          <w:sz w:val="20"/>
        </w:rPr>
        <w:t>se</w:t>
      </w:r>
      <w:r>
        <w:rPr>
          <w:spacing w:val="40"/>
          <w:sz w:val="20"/>
        </w:rPr>
        <w:t xml:space="preserve"> </w:t>
      </w:r>
      <w:r>
        <w:rPr>
          <w:sz w:val="20"/>
        </w:rPr>
        <w:t>refiere</w:t>
      </w:r>
      <w:r>
        <w:rPr>
          <w:spacing w:val="40"/>
          <w:sz w:val="20"/>
        </w:rPr>
        <w:t xml:space="preserve"> </w:t>
      </w:r>
      <w:r>
        <w:rPr>
          <w:sz w:val="20"/>
        </w:rPr>
        <w:t>el artículo 119.</w:t>
      </w:r>
    </w:p>
    <w:p w:rsidR="0092635B" w:rsidRDefault="00000000">
      <w:pPr>
        <w:pStyle w:val="Textoindependiente"/>
        <w:spacing w:before="6" w:line="249" w:lineRule="auto"/>
        <w:ind w:right="1105"/>
      </w:pPr>
      <w:r>
        <w:t>El acceso no electrónico a los pliegos y demás documentación complementaria de la licitación estará justificado cuando concurra alguno de los siguientes supuestos:</w:t>
      </w:r>
    </w:p>
    <w:p w:rsidR="0092635B" w:rsidRDefault="00000000">
      <w:pPr>
        <w:pStyle w:val="Prrafodelista"/>
        <w:numPr>
          <w:ilvl w:val="2"/>
          <w:numId w:val="235"/>
        </w:numPr>
        <w:tabs>
          <w:tab w:val="left" w:pos="1691"/>
        </w:tabs>
        <w:spacing w:before="121" w:line="249" w:lineRule="auto"/>
        <w:ind w:firstLine="340"/>
        <w:rPr>
          <w:sz w:val="20"/>
        </w:rPr>
      </w:pPr>
      <w:r>
        <w:rPr>
          <w:sz w:val="20"/>
        </w:rPr>
        <w:t>Cuando se den circunstancias técnicas que lo impidan, en los términos señalados en la Disposición adicional decimoquinta.</w:t>
      </w:r>
    </w:p>
    <w:p w:rsidR="0092635B" w:rsidRDefault="00000000">
      <w:pPr>
        <w:pStyle w:val="Prrafodelista"/>
        <w:numPr>
          <w:ilvl w:val="2"/>
          <w:numId w:val="235"/>
        </w:numPr>
        <w:tabs>
          <w:tab w:val="left" w:pos="1679"/>
        </w:tabs>
        <w:ind w:left="1679" w:right="0" w:hanging="233"/>
        <w:rPr>
          <w:sz w:val="20"/>
        </w:rPr>
      </w:pPr>
      <w:r>
        <w:rPr>
          <w:sz w:val="20"/>
        </w:rPr>
        <w:t>Por</w:t>
      </w:r>
      <w:r>
        <w:rPr>
          <w:spacing w:val="-5"/>
          <w:sz w:val="20"/>
        </w:rPr>
        <w:t xml:space="preserve"> </w:t>
      </w:r>
      <w:r>
        <w:rPr>
          <w:sz w:val="20"/>
        </w:rPr>
        <w:t>razones</w:t>
      </w:r>
      <w:r>
        <w:rPr>
          <w:spacing w:val="-2"/>
          <w:sz w:val="20"/>
        </w:rPr>
        <w:t xml:space="preserve"> </w:t>
      </w:r>
      <w:r>
        <w:rPr>
          <w:sz w:val="20"/>
        </w:rPr>
        <w:t>de</w:t>
      </w:r>
      <w:r>
        <w:rPr>
          <w:spacing w:val="-3"/>
          <w:sz w:val="20"/>
        </w:rPr>
        <w:t xml:space="preserve"> </w:t>
      </w:r>
      <w:r>
        <w:rPr>
          <w:sz w:val="20"/>
        </w:rPr>
        <w:t>confidencialidad,</w:t>
      </w:r>
      <w:r>
        <w:rPr>
          <w:spacing w:val="-2"/>
          <w:sz w:val="20"/>
        </w:rPr>
        <w:t xml:space="preserve"> </w:t>
      </w:r>
      <w:r>
        <w:rPr>
          <w:sz w:val="20"/>
        </w:rPr>
        <w:t>en</w:t>
      </w:r>
      <w:r>
        <w:rPr>
          <w:spacing w:val="-3"/>
          <w:sz w:val="20"/>
        </w:rPr>
        <w:t xml:space="preserve"> </w:t>
      </w:r>
      <w:r>
        <w:rPr>
          <w:sz w:val="20"/>
        </w:rPr>
        <w:t>aplicación</w:t>
      </w:r>
      <w:r>
        <w:rPr>
          <w:spacing w:val="-2"/>
          <w:sz w:val="20"/>
        </w:rPr>
        <w:t xml:space="preserve"> </w:t>
      </w:r>
      <w:r>
        <w:rPr>
          <w:sz w:val="20"/>
        </w:rPr>
        <w:t>de</w:t>
      </w:r>
      <w:r>
        <w:rPr>
          <w:spacing w:val="-3"/>
          <w:sz w:val="20"/>
        </w:rPr>
        <w:t xml:space="preserve"> </w:t>
      </w:r>
      <w:r>
        <w:rPr>
          <w:sz w:val="20"/>
        </w:rPr>
        <w:t>lo</w:t>
      </w:r>
      <w:r>
        <w:rPr>
          <w:spacing w:val="-2"/>
          <w:sz w:val="20"/>
        </w:rPr>
        <w:t xml:space="preserve"> </w:t>
      </w:r>
      <w:r>
        <w:rPr>
          <w:sz w:val="20"/>
        </w:rPr>
        <w:t>dispuesto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artículo</w:t>
      </w:r>
      <w:r>
        <w:rPr>
          <w:spacing w:val="-2"/>
          <w:sz w:val="20"/>
        </w:rPr>
        <w:t xml:space="preserve"> </w:t>
      </w:r>
      <w:r>
        <w:rPr>
          <w:spacing w:val="-4"/>
          <w:sz w:val="20"/>
        </w:rPr>
        <w:t>133.</w:t>
      </w:r>
    </w:p>
    <w:p w:rsidR="0092635B" w:rsidRDefault="00000000">
      <w:pPr>
        <w:pStyle w:val="Prrafodelista"/>
        <w:numPr>
          <w:ilvl w:val="2"/>
          <w:numId w:val="235"/>
        </w:numPr>
        <w:tabs>
          <w:tab w:val="left" w:pos="1705"/>
        </w:tabs>
        <w:spacing w:before="10" w:line="249" w:lineRule="auto"/>
        <w:ind w:firstLine="340"/>
        <w:rPr>
          <w:sz w:val="20"/>
        </w:rPr>
      </w:pPr>
      <w:r>
        <w:rPr>
          <w:sz w:val="20"/>
        </w:rPr>
        <w:t>En</w:t>
      </w:r>
      <w:r>
        <w:rPr>
          <w:spacing w:val="35"/>
          <w:sz w:val="20"/>
        </w:rPr>
        <w:t xml:space="preserve"> </w:t>
      </w:r>
      <w:r>
        <w:rPr>
          <w:sz w:val="20"/>
        </w:rPr>
        <w:t>el</w:t>
      </w:r>
      <w:r>
        <w:rPr>
          <w:spacing w:val="35"/>
          <w:sz w:val="20"/>
        </w:rPr>
        <w:t xml:space="preserve"> </w:t>
      </w:r>
      <w:r>
        <w:rPr>
          <w:sz w:val="20"/>
        </w:rPr>
        <w:t>caso</w:t>
      </w:r>
      <w:r>
        <w:rPr>
          <w:spacing w:val="35"/>
          <w:sz w:val="20"/>
        </w:rPr>
        <w:t xml:space="preserve"> </w:t>
      </w:r>
      <w:r>
        <w:rPr>
          <w:sz w:val="20"/>
        </w:rPr>
        <w:t>de</w:t>
      </w:r>
      <w:r>
        <w:rPr>
          <w:spacing w:val="35"/>
          <w:sz w:val="20"/>
        </w:rPr>
        <w:t xml:space="preserve"> </w:t>
      </w:r>
      <w:r>
        <w:rPr>
          <w:sz w:val="20"/>
        </w:rPr>
        <w:t>las</w:t>
      </w:r>
      <w:r>
        <w:rPr>
          <w:spacing w:val="35"/>
          <w:sz w:val="20"/>
        </w:rPr>
        <w:t xml:space="preserve"> </w:t>
      </w:r>
      <w:r>
        <w:rPr>
          <w:sz w:val="20"/>
        </w:rPr>
        <w:t>concesiones</w:t>
      </w:r>
      <w:r>
        <w:rPr>
          <w:spacing w:val="35"/>
          <w:sz w:val="20"/>
        </w:rPr>
        <w:t xml:space="preserve"> </w:t>
      </w:r>
      <w:r>
        <w:rPr>
          <w:sz w:val="20"/>
        </w:rPr>
        <w:t>de</w:t>
      </w:r>
      <w:r>
        <w:rPr>
          <w:spacing w:val="35"/>
          <w:sz w:val="20"/>
        </w:rPr>
        <w:t xml:space="preserve"> </w:t>
      </w:r>
      <w:r>
        <w:rPr>
          <w:sz w:val="20"/>
        </w:rPr>
        <w:t>obras</w:t>
      </w:r>
      <w:r>
        <w:rPr>
          <w:spacing w:val="35"/>
          <w:sz w:val="20"/>
        </w:rPr>
        <w:t xml:space="preserve"> </w:t>
      </w:r>
      <w:r>
        <w:rPr>
          <w:sz w:val="20"/>
        </w:rPr>
        <w:t>y</w:t>
      </w:r>
      <w:r>
        <w:rPr>
          <w:spacing w:val="35"/>
          <w:sz w:val="20"/>
        </w:rPr>
        <w:t xml:space="preserve"> </w:t>
      </w:r>
      <w:r>
        <w:rPr>
          <w:sz w:val="20"/>
        </w:rPr>
        <w:t>de</w:t>
      </w:r>
      <w:r>
        <w:rPr>
          <w:spacing w:val="35"/>
          <w:sz w:val="20"/>
        </w:rPr>
        <w:t xml:space="preserve"> </w:t>
      </w:r>
      <w:r>
        <w:rPr>
          <w:sz w:val="20"/>
        </w:rPr>
        <w:t>servicios,</w:t>
      </w:r>
      <w:r>
        <w:rPr>
          <w:spacing w:val="35"/>
          <w:sz w:val="20"/>
        </w:rPr>
        <w:t xml:space="preserve"> </w:t>
      </w:r>
      <w:r>
        <w:rPr>
          <w:sz w:val="20"/>
        </w:rPr>
        <w:t>por</w:t>
      </w:r>
      <w:r>
        <w:rPr>
          <w:spacing w:val="35"/>
          <w:sz w:val="20"/>
        </w:rPr>
        <w:t xml:space="preserve"> </w:t>
      </w:r>
      <w:r>
        <w:rPr>
          <w:sz w:val="20"/>
        </w:rPr>
        <w:t>motivos</w:t>
      </w:r>
      <w:r>
        <w:rPr>
          <w:spacing w:val="35"/>
          <w:sz w:val="20"/>
        </w:rPr>
        <w:t xml:space="preserve"> </w:t>
      </w:r>
      <w:r>
        <w:rPr>
          <w:sz w:val="20"/>
        </w:rPr>
        <w:t>de</w:t>
      </w:r>
      <w:r>
        <w:rPr>
          <w:spacing w:val="35"/>
          <w:sz w:val="20"/>
        </w:rPr>
        <w:t xml:space="preserve"> </w:t>
      </w:r>
      <w:r>
        <w:rPr>
          <w:sz w:val="20"/>
        </w:rPr>
        <w:t xml:space="preserve">seguridad </w:t>
      </w:r>
      <w:r>
        <w:rPr>
          <w:spacing w:val="-2"/>
          <w:sz w:val="20"/>
        </w:rPr>
        <w:t>excepcionales.</w:t>
      </w:r>
    </w:p>
    <w:p w:rsidR="0092635B" w:rsidRDefault="0092635B">
      <w:pPr>
        <w:pStyle w:val="Prrafodelista"/>
        <w:spacing w:line="249" w:lineRule="auto"/>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235"/>
        </w:numPr>
        <w:tabs>
          <w:tab w:val="left" w:pos="1775"/>
        </w:tabs>
        <w:spacing w:before="1" w:line="249" w:lineRule="auto"/>
        <w:ind w:right="1104" w:firstLine="340"/>
        <w:jc w:val="both"/>
        <w:rPr>
          <w:sz w:val="20"/>
        </w:rPr>
      </w:pPr>
      <w:r>
        <w:rPr>
          <w:sz w:val="20"/>
        </w:rPr>
        <w:t>Los órganos de contratación proporcionarán a todos los interesados en el procedimiento de licitación, a más tardar 6 días antes de que finalice el plazo fijado para la presentación de ofertas, aquella información adicional sobre los pliegos y demás documentación complementaria que estos soliciten, a condición de que la hubieren pedido al menos 12 días antes del transcurso del plazo de presentación de las proposiciones o de las solicitudes de participación, salvo que en los pliegos que rigen la licitación se estableciera otro plazo distinto. En los expedientes que hayan sido calificados de urgentes, el plazo de seis días a más tardar antes de que finalice el plazo fijado para la presentación de ofertas será de 4 días a más tardar antes de que finalice el citado plazo en los contratos de obras, suministros y servicios sujetos a regulación armonizada siempre que se adjudiquen por procedimientos abierto y restringido.</w:t>
      </w:r>
    </w:p>
    <w:p w:rsidR="0092635B" w:rsidRDefault="00000000">
      <w:pPr>
        <w:pStyle w:val="Textoindependiente"/>
        <w:spacing w:before="9" w:line="249" w:lineRule="auto"/>
        <w:ind w:right="1104"/>
      </w:pPr>
      <w:r>
        <w:t>En los casos en que lo solicitado sean aclaraciones a lo establecido en los pliegos o</w:t>
      </w:r>
      <w:r>
        <w:rPr>
          <w:spacing w:val="40"/>
        </w:rPr>
        <w:t xml:space="preserve"> </w:t>
      </w:r>
      <w:r>
        <w:t>resto de documentación y así lo establezca el pliego de cláusulas administrativas particulares, las respuestas tendrán carácter vinculante y, en este caso, deberán hacerse públicas en el correspondiente perfil de contratante en términos que garanticen la igualdad y concurrencia en el procedimiento de licitación.</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230" w:name="Artículo_139._Proposiciones_de_los_inter"/>
      <w:bookmarkEnd w:id="230"/>
      <w:r>
        <w:rPr>
          <w:rFonts w:ascii="Arial" w:hAnsi="Arial"/>
          <w:b/>
          <w:sz w:val="20"/>
        </w:rPr>
        <w:t>Artículo</w:t>
      </w:r>
      <w:r>
        <w:rPr>
          <w:rFonts w:ascii="Arial" w:hAnsi="Arial"/>
          <w:b/>
          <w:spacing w:val="-3"/>
          <w:sz w:val="20"/>
        </w:rPr>
        <w:t xml:space="preserve"> </w:t>
      </w:r>
      <w:r>
        <w:rPr>
          <w:rFonts w:ascii="Arial" w:hAnsi="Arial"/>
          <w:b/>
          <w:sz w:val="20"/>
        </w:rPr>
        <w:t>139.</w:t>
      </w:r>
      <w:r>
        <w:rPr>
          <w:rFonts w:ascii="Arial" w:hAnsi="Arial"/>
          <w:b/>
          <w:spacing w:val="54"/>
          <w:sz w:val="20"/>
        </w:rPr>
        <w:t xml:space="preserve"> </w:t>
      </w:r>
      <w:r>
        <w:rPr>
          <w:rFonts w:ascii="Arial" w:hAnsi="Arial"/>
          <w:i/>
          <w:sz w:val="20"/>
        </w:rPr>
        <w:t xml:space="preserve">Proposiciones de los </w:t>
      </w:r>
      <w:r>
        <w:rPr>
          <w:rFonts w:ascii="Arial" w:hAnsi="Arial"/>
          <w:i/>
          <w:spacing w:val="-2"/>
          <w:sz w:val="20"/>
        </w:rPr>
        <w:t>interesados.</w:t>
      </w:r>
    </w:p>
    <w:p w:rsidR="0092635B" w:rsidRDefault="00000000">
      <w:pPr>
        <w:pStyle w:val="Prrafodelista"/>
        <w:numPr>
          <w:ilvl w:val="0"/>
          <w:numId w:val="234"/>
        </w:numPr>
        <w:tabs>
          <w:tab w:val="left" w:pos="1670"/>
        </w:tabs>
        <w:spacing w:before="123" w:line="249" w:lineRule="auto"/>
        <w:ind w:right="1104" w:firstLine="340"/>
        <w:jc w:val="both"/>
        <w:rPr>
          <w:sz w:val="20"/>
        </w:rPr>
      </w:pPr>
      <w:r>
        <w:rPr>
          <w:sz w:val="20"/>
        </w:rPr>
        <w:t>Las</w:t>
      </w:r>
      <w:r>
        <w:rPr>
          <w:spacing w:val="-1"/>
          <w:sz w:val="20"/>
        </w:rPr>
        <w:t xml:space="preserve"> </w:t>
      </w:r>
      <w:r>
        <w:rPr>
          <w:sz w:val="20"/>
        </w:rPr>
        <w:t>proposiciones</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interesados</w:t>
      </w:r>
      <w:r>
        <w:rPr>
          <w:spacing w:val="-1"/>
          <w:sz w:val="20"/>
        </w:rPr>
        <w:t xml:space="preserve"> </w:t>
      </w:r>
      <w:r>
        <w:rPr>
          <w:sz w:val="20"/>
        </w:rPr>
        <w:t>deberán</w:t>
      </w:r>
      <w:r>
        <w:rPr>
          <w:spacing w:val="-1"/>
          <w:sz w:val="20"/>
        </w:rPr>
        <w:t xml:space="preserve"> </w:t>
      </w:r>
      <w:r>
        <w:rPr>
          <w:sz w:val="20"/>
        </w:rPr>
        <w:t>ajustarse</w:t>
      </w:r>
      <w:r>
        <w:rPr>
          <w:spacing w:val="-1"/>
          <w:sz w:val="20"/>
        </w:rPr>
        <w:t xml:space="preserve"> </w:t>
      </w:r>
      <w:r>
        <w:rPr>
          <w:sz w:val="20"/>
        </w:rPr>
        <w:t>a</w:t>
      </w:r>
      <w:r>
        <w:rPr>
          <w:spacing w:val="-1"/>
          <w:sz w:val="20"/>
        </w:rPr>
        <w:t xml:space="preserve"> </w:t>
      </w:r>
      <w:r>
        <w:rPr>
          <w:sz w:val="20"/>
        </w:rPr>
        <w:t>los</w:t>
      </w:r>
      <w:r>
        <w:rPr>
          <w:spacing w:val="-1"/>
          <w:sz w:val="20"/>
        </w:rPr>
        <w:t xml:space="preserve"> </w:t>
      </w:r>
      <w:r>
        <w:rPr>
          <w:sz w:val="20"/>
        </w:rPr>
        <w:t>pliegos</w:t>
      </w:r>
      <w:r>
        <w:rPr>
          <w:spacing w:val="-1"/>
          <w:sz w:val="20"/>
        </w:rPr>
        <w:t xml:space="preserve"> </w:t>
      </w:r>
      <w:r>
        <w:rPr>
          <w:sz w:val="20"/>
        </w:rPr>
        <w:t>y</w:t>
      </w:r>
      <w:r>
        <w:rPr>
          <w:spacing w:val="-1"/>
          <w:sz w:val="20"/>
        </w:rPr>
        <w:t xml:space="preserve"> </w:t>
      </w:r>
      <w:r>
        <w:rPr>
          <w:sz w:val="20"/>
        </w:rPr>
        <w:t>documentación que rigen la licitación, y su presentación supone la aceptación incondicionada por el empresario del contenido de la totalidad de sus cláusulas o condiciones, sin salvedad o reserva alguna, así como la autorización a la mesa y al órgano de contratación para</w:t>
      </w:r>
      <w:r>
        <w:rPr>
          <w:spacing w:val="40"/>
          <w:sz w:val="20"/>
        </w:rPr>
        <w:t xml:space="preserve"> </w:t>
      </w:r>
      <w:r>
        <w:rPr>
          <w:sz w:val="20"/>
        </w:rPr>
        <w:t>consultar los datos recogidos en el Registro Oficial de Licitadores y Empresas Clasificadas del Sector Público o en las listas oficiales de operadores económicos de un Estado miembro de la Unión Europea.</w:t>
      </w:r>
    </w:p>
    <w:p w:rsidR="0092635B" w:rsidRDefault="00000000">
      <w:pPr>
        <w:pStyle w:val="Prrafodelista"/>
        <w:numPr>
          <w:ilvl w:val="0"/>
          <w:numId w:val="234"/>
        </w:numPr>
        <w:tabs>
          <w:tab w:val="left" w:pos="1729"/>
        </w:tabs>
        <w:spacing w:before="6" w:line="249" w:lineRule="auto"/>
        <w:ind w:firstLine="340"/>
        <w:jc w:val="both"/>
        <w:rPr>
          <w:sz w:val="20"/>
        </w:rPr>
      </w:pPr>
      <w:r>
        <w:rPr>
          <w:sz w:val="20"/>
        </w:rPr>
        <w:t>Las proposiciones serán secretas y se arbitrarán los medios que garanticen tal carácter hasta el momento de apertura de las proposiciones, sin perjuicio de lo dispuesto en los artículos 143, 175 y 179 en cuanto a la información que debe facilitarse a los</w:t>
      </w:r>
      <w:r>
        <w:rPr>
          <w:spacing w:val="40"/>
          <w:sz w:val="20"/>
        </w:rPr>
        <w:t xml:space="preserve"> </w:t>
      </w:r>
      <w:r>
        <w:rPr>
          <w:sz w:val="20"/>
        </w:rPr>
        <w:t>participantes en una subasta electrónica, en un diálogo competitivo, o en un procedimiento de asociación para la innovación.</w:t>
      </w:r>
    </w:p>
    <w:p w:rsidR="0092635B" w:rsidRDefault="00000000">
      <w:pPr>
        <w:pStyle w:val="Prrafodelista"/>
        <w:numPr>
          <w:ilvl w:val="0"/>
          <w:numId w:val="234"/>
        </w:numPr>
        <w:tabs>
          <w:tab w:val="left" w:pos="1737"/>
        </w:tabs>
        <w:spacing w:before="4" w:line="249" w:lineRule="auto"/>
        <w:ind w:right="1104" w:firstLine="340"/>
        <w:jc w:val="both"/>
        <w:rPr>
          <w:sz w:val="20"/>
        </w:rPr>
      </w:pPr>
      <w:r>
        <w:rPr>
          <w:sz w:val="20"/>
        </w:rPr>
        <w:t>Cada licitador no podrá presentar más de una proposición, sin perjuicio de lo dispuesto en el artículo 142 sobre admisibilidad de variantes y en el artículo 143 sobre presentación de nuevos precios o valores en el seno de una subasta electrónica. Tampoco podrá suscribir ninguna propuesta en unión temporal con otros si lo ha hecho</w:t>
      </w:r>
      <w:r>
        <w:rPr>
          <w:spacing w:val="40"/>
          <w:sz w:val="20"/>
        </w:rPr>
        <w:t xml:space="preserve"> </w:t>
      </w:r>
      <w:r>
        <w:rPr>
          <w:sz w:val="20"/>
        </w:rPr>
        <w:t>individualmente o figurar en más de una unión temporal. La infracción de estas normas dará lugar a la no admisión de todas las propuestas por él suscritas.</w:t>
      </w:r>
    </w:p>
    <w:p w:rsidR="0092635B" w:rsidRDefault="00000000">
      <w:pPr>
        <w:pStyle w:val="Prrafodelista"/>
        <w:numPr>
          <w:ilvl w:val="0"/>
          <w:numId w:val="234"/>
        </w:numPr>
        <w:tabs>
          <w:tab w:val="left" w:pos="1736"/>
        </w:tabs>
        <w:spacing w:before="5" w:line="249" w:lineRule="auto"/>
        <w:ind w:right="1104" w:firstLine="340"/>
        <w:jc w:val="both"/>
        <w:rPr>
          <w:sz w:val="20"/>
        </w:rPr>
      </w:pPr>
      <w:r>
        <w:rPr>
          <w:sz w:val="20"/>
        </w:rPr>
        <w:t>En la proposición deberá indicarse, como partida independiente, el importe del Impuesto sobre el Valor Añadido que deba ser repercutido.</w:t>
      </w:r>
    </w:p>
    <w:p w:rsidR="0092635B" w:rsidRDefault="00000000">
      <w:pPr>
        <w:tabs>
          <w:tab w:val="left" w:pos="2601"/>
        </w:tabs>
        <w:spacing w:before="228" w:line="249" w:lineRule="auto"/>
        <w:ind w:left="1106" w:right="1120"/>
        <w:rPr>
          <w:rFonts w:ascii="Arial" w:hAnsi="Arial"/>
          <w:i/>
          <w:sz w:val="20"/>
        </w:rPr>
      </w:pPr>
      <w:bookmarkStart w:id="231" w:name="Artículo_140._Presentación_de_la_documen"/>
      <w:bookmarkEnd w:id="231"/>
      <w:r>
        <w:rPr>
          <w:rFonts w:ascii="Arial" w:hAnsi="Arial"/>
          <w:b/>
          <w:sz w:val="20"/>
        </w:rPr>
        <w:t>Artículo</w:t>
      </w:r>
      <w:r>
        <w:rPr>
          <w:rFonts w:ascii="Arial" w:hAnsi="Arial"/>
          <w:b/>
          <w:spacing w:val="40"/>
          <w:sz w:val="20"/>
        </w:rPr>
        <w:t xml:space="preserve"> </w:t>
      </w:r>
      <w:r>
        <w:rPr>
          <w:rFonts w:ascii="Arial" w:hAnsi="Arial"/>
          <w:b/>
          <w:sz w:val="20"/>
        </w:rPr>
        <w:t>140.</w:t>
      </w:r>
      <w:r>
        <w:rPr>
          <w:rFonts w:ascii="Arial" w:hAnsi="Arial"/>
          <w:b/>
          <w:sz w:val="20"/>
        </w:rPr>
        <w:tab/>
      </w:r>
      <w:r>
        <w:rPr>
          <w:rFonts w:ascii="Arial" w:hAnsi="Arial"/>
          <w:i/>
          <w:sz w:val="20"/>
        </w:rPr>
        <w:t>Presentación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documentación</w:t>
      </w:r>
      <w:r>
        <w:rPr>
          <w:rFonts w:ascii="Arial" w:hAnsi="Arial"/>
          <w:i/>
          <w:spacing w:val="40"/>
          <w:sz w:val="20"/>
        </w:rPr>
        <w:t xml:space="preserve"> </w:t>
      </w:r>
      <w:r>
        <w:rPr>
          <w:rFonts w:ascii="Arial" w:hAnsi="Arial"/>
          <w:i/>
          <w:sz w:val="20"/>
        </w:rPr>
        <w:t>acreditativa</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cumplimiento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los requisitos previos.</w:t>
      </w:r>
    </w:p>
    <w:p w:rsidR="0092635B" w:rsidRDefault="00000000">
      <w:pPr>
        <w:pStyle w:val="Prrafodelista"/>
        <w:numPr>
          <w:ilvl w:val="0"/>
          <w:numId w:val="233"/>
        </w:numPr>
        <w:tabs>
          <w:tab w:val="left" w:pos="1677"/>
        </w:tabs>
        <w:spacing w:before="115" w:line="249" w:lineRule="auto"/>
        <w:ind w:right="1105" w:firstLine="340"/>
        <w:jc w:val="both"/>
        <w:rPr>
          <w:sz w:val="20"/>
        </w:rPr>
      </w:pPr>
      <w:r>
        <w:rPr>
          <w:sz w:val="20"/>
        </w:rPr>
        <w:t>En relación con la presentación de la documentación acreditativa del cumplimiento de los requisitos previos, se observarán las reglas establecidas a continuación:</w:t>
      </w:r>
    </w:p>
    <w:p w:rsidR="0092635B" w:rsidRDefault="00000000">
      <w:pPr>
        <w:pStyle w:val="Prrafodelista"/>
        <w:numPr>
          <w:ilvl w:val="1"/>
          <w:numId w:val="233"/>
        </w:numPr>
        <w:tabs>
          <w:tab w:val="left" w:pos="1741"/>
        </w:tabs>
        <w:spacing w:before="122" w:line="249" w:lineRule="auto"/>
        <w:ind w:right="1104" w:firstLine="340"/>
        <w:jc w:val="both"/>
        <w:rPr>
          <w:sz w:val="20"/>
        </w:rPr>
      </w:pPr>
      <w:r>
        <w:rPr>
          <w:sz w:val="20"/>
        </w:rPr>
        <w:t>Las proposiciones en el procedimiento abierto deberán ir acompañadas de una declaración responsable que se ajustará al formulario de documento europeo único de contratación de conformidad con lo indicado en el artículo siguiente, que deberá estar</w:t>
      </w:r>
      <w:r>
        <w:rPr>
          <w:spacing w:val="40"/>
          <w:sz w:val="20"/>
        </w:rPr>
        <w:t xml:space="preserve"> </w:t>
      </w:r>
      <w:r>
        <w:rPr>
          <w:sz w:val="20"/>
        </w:rPr>
        <w:t xml:space="preserve">firmada y con la correspondiente identificación, en la que el licitador ponga de manifiesto lo </w:t>
      </w:r>
      <w:r>
        <w:rPr>
          <w:spacing w:val="-2"/>
          <w:sz w:val="20"/>
        </w:rPr>
        <w:t>siguiente:</w:t>
      </w:r>
    </w:p>
    <w:p w:rsidR="0092635B" w:rsidRDefault="00000000">
      <w:pPr>
        <w:pStyle w:val="Prrafodelista"/>
        <w:numPr>
          <w:ilvl w:val="2"/>
          <w:numId w:val="233"/>
        </w:numPr>
        <w:tabs>
          <w:tab w:val="left" w:pos="1610"/>
        </w:tabs>
        <w:spacing w:before="124" w:line="249" w:lineRule="auto"/>
        <w:ind w:right="1105" w:firstLine="340"/>
        <w:jc w:val="both"/>
        <w:rPr>
          <w:sz w:val="20"/>
        </w:rPr>
      </w:pPr>
      <w:r>
        <w:rPr>
          <w:sz w:val="20"/>
        </w:rPr>
        <w:t>º Que la sociedad está válidamente constituida y que conforme a su objeto social</w:t>
      </w:r>
      <w:r>
        <w:rPr>
          <w:spacing w:val="40"/>
          <w:sz w:val="20"/>
        </w:rPr>
        <w:t xml:space="preserve"> </w:t>
      </w:r>
      <w:r>
        <w:rPr>
          <w:sz w:val="20"/>
        </w:rPr>
        <w:t>puede presentarse a la licitación, así como que el firmante de la declaración ostenta la</w:t>
      </w:r>
      <w:r>
        <w:rPr>
          <w:spacing w:val="40"/>
          <w:sz w:val="20"/>
        </w:rPr>
        <w:t xml:space="preserve"> </w:t>
      </w:r>
      <w:r>
        <w:rPr>
          <w:sz w:val="20"/>
        </w:rPr>
        <w:t>debida representación para la presentación de la proposición y de aquella.</w:t>
      </w:r>
    </w:p>
    <w:p w:rsidR="0092635B" w:rsidRDefault="00000000">
      <w:pPr>
        <w:pStyle w:val="Prrafodelista"/>
        <w:numPr>
          <w:ilvl w:val="2"/>
          <w:numId w:val="233"/>
        </w:numPr>
        <w:tabs>
          <w:tab w:val="left" w:pos="1610"/>
        </w:tabs>
        <w:spacing w:line="249" w:lineRule="auto"/>
        <w:ind w:firstLine="340"/>
        <w:jc w:val="both"/>
        <w:rPr>
          <w:sz w:val="20"/>
        </w:rPr>
      </w:pPr>
      <w:r>
        <w:rPr>
          <w:sz w:val="20"/>
        </w:rPr>
        <w:t>º Que cuenta con la correspondiente clasificación, en su caso, o que cumple los requisitos de solvencia económica, financiera y técnica o profesional exigidos, en las condiciones que establezca el pliego de conformidad con el formulario normalizado del documento europeo único de contratación a que se refiere el artículo siguiente.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2"/>
          <w:numId w:val="233"/>
        </w:numPr>
        <w:tabs>
          <w:tab w:val="left" w:pos="1610"/>
        </w:tabs>
        <w:spacing w:before="1" w:line="249" w:lineRule="auto"/>
        <w:ind w:right="1104" w:firstLine="340"/>
        <w:jc w:val="both"/>
        <w:rPr>
          <w:sz w:val="20"/>
        </w:rPr>
      </w:pPr>
      <w:r>
        <w:rPr>
          <w:sz w:val="20"/>
        </w:rPr>
        <w:t>º Que no está incursa en prohibición de contratar por sí misma ni por extensión como consecuencia de la aplicación del artículo 71.3 de esta Ley.</w:t>
      </w:r>
    </w:p>
    <w:p w:rsidR="0092635B" w:rsidRDefault="00000000">
      <w:pPr>
        <w:pStyle w:val="Prrafodelista"/>
        <w:numPr>
          <w:ilvl w:val="2"/>
          <w:numId w:val="233"/>
        </w:numPr>
        <w:tabs>
          <w:tab w:val="left" w:pos="1610"/>
        </w:tabs>
        <w:spacing w:before="1" w:line="249" w:lineRule="auto"/>
        <w:ind w:right="1104" w:firstLine="340"/>
        <w:jc w:val="both"/>
        <w:rPr>
          <w:sz w:val="20"/>
        </w:rPr>
      </w:pPr>
      <w:r>
        <w:rPr>
          <w:sz w:val="20"/>
        </w:rPr>
        <w:t>º La designación de una dirección de correo electrónico en que efectuar las notificaciones,</w:t>
      </w:r>
      <w:r>
        <w:rPr>
          <w:spacing w:val="-3"/>
          <w:sz w:val="20"/>
        </w:rPr>
        <w:t xml:space="preserve"> </w:t>
      </w:r>
      <w:r>
        <w:rPr>
          <w:sz w:val="20"/>
        </w:rPr>
        <w:t>que</w:t>
      </w:r>
      <w:r>
        <w:rPr>
          <w:spacing w:val="-3"/>
          <w:sz w:val="20"/>
        </w:rPr>
        <w:t xml:space="preserve"> </w:t>
      </w:r>
      <w:r>
        <w:rPr>
          <w:sz w:val="20"/>
        </w:rPr>
        <w:t>deberá</w:t>
      </w:r>
      <w:r>
        <w:rPr>
          <w:spacing w:val="-3"/>
          <w:sz w:val="20"/>
        </w:rPr>
        <w:t xml:space="preserve"> </w:t>
      </w:r>
      <w:r>
        <w:rPr>
          <w:sz w:val="20"/>
        </w:rPr>
        <w:t>ser</w:t>
      </w:r>
      <w:r>
        <w:rPr>
          <w:spacing w:val="-3"/>
          <w:sz w:val="20"/>
        </w:rPr>
        <w:t xml:space="preserve"> </w:t>
      </w:r>
      <w:r>
        <w:rPr>
          <w:sz w:val="20"/>
        </w:rPr>
        <w:t>«habilitada»</w:t>
      </w:r>
      <w:r>
        <w:rPr>
          <w:spacing w:val="-3"/>
          <w:sz w:val="20"/>
        </w:rPr>
        <w:t xml:space="preserve"> </w:t>
      </w:r>
      <w:r>
        <w:rPr>
          <w:sz w:val="20"/>
        </w:rPr>
        <w:t>de</w:t>
      </w:r>
      <w:r>
        <w:rPr>
          <w:spacing w:val="-3"/>
          <w:sz w:val="20"/>
        </w:rPr>
        <w:t xml:space="preserve"> </w:t>
      </w:r>
      <w:r>
        <w:rPr>
          <w:sz w:val="20"/>
        </w:rPr>
        <w:t>conformidad</w:t>
      </w:r>
      <w:r>
        <w:rPr>
          <w:spacing w:val="-3"/>
          <w:sz w:val="20"/>
        </w:rPr>
        <w:t xml:space="preserve"> </w:t>
      </w:r>
      <w:r>
        <w:rPr>
          <w:sz w:val="20"/>
        </w:rPr>
        <w:t>con</w:t>
      </w:r>
      <w:r>
        <w:rPr>
          <w:spacing w:val="-3"/>
          <w:sz w:val="20"/>
        </w:rPr>
        <w:t xml:space="preserve"> </w:t>
      </w:r>
      <w:r>
        <w:rPr>
          <w:sz w:val="20"/>
        </w:rPr>
        <w:t>lo</w:t>
      </w:r>
      <w:r>
        <w:rPr>
          <w:spacing w:val="-3"/>
          <w:sz w:val="20"/>
        </w:rPr>
        <w:t xml:space="preserve"> </w:t>
      </w:r>
      <w:r>
        <w:rPr>
          <w:sz w:val="20"/>
        </w:rPr>
        <w:t>dispuesto</w:t>
      </w:r>
      <w:r>
        <w:rPr>
          <w:spacing w:val="-3"/>
          <w:sz w:val="20"/>
        </w:rPr>
        <w:t xml:space="preserve"> </w:t>
      </w:r>
      <w:r>
        <w:rPr>
          <w:sz w:val="20"/>
        </w:rPr>
        <w:t>en</w:t>
      </w:r>
      <w:r>
        <w:rPr>
          <w:spacing w:val="-3"/>
          <w:sz w:val="20"/>
        </w:rPr>
        <w:t xml:space="preserve"> </w:t>
      </w:r>
      <w:r>
        <w:rPr>
          <w:sz w:val="20"/>
        </w:rPr>
        <w:t>la</w:t>
      </w:r>
      <w:r>
        <w:rPr>
          <w:spacing w:val="-3"/>
          <w:sz w:val="20"/>
        </w:rPr>
        <w:t xml:space="preserve"> </w:t>
      </w:r>
      <w:r>
        <w:rPr>
          <w:sz w:val="20"/>
        </w:rPr>
        <w:t>disposición adicional decimoquinta, en los casos en que el órgano de contratación haya optado por realizar las notificaciones a través de la misma. Esta circunstancia deberá recogerse en el pliego de cláusulas administrativas particulares.</w:t>
      </w:r>
    </w:p>
    <w:p w:rsidR="0092635B" w:rsidRDefault="00000000">
      <w:pPr>
        <w:pStyle w:val="Prrafodelista"/>
        <w:numPr>
          <w:ilvl w:val="1"/>
          <w:numId w:val="233"/>
        </w:numPr>
        <w:tabs>
          <w:tab w:val="left" w:pos="1738"/>
        </w:tabs>
        <w:spacing w:before="124" w:line="249" w:lineRule="auto"/>
        <w:ind w:firstLine="340"/>
        <w:jc w:val="both"/>
        <w:rPr>
          <w:sz w:val="20"/>
        </w:rPr>
      </w:pPr>
      <w:r>
        <w:rPr>
          <w:sz w:val="20"/>
        </w:rPr>
        <w:t>En el caso de solicitudes de participación en los procedimientos restringido, de licitación con negociación, en el diálogo competitivo y en el de asociación para la innovación, la declaración responsable a que se refiere la letra a) anterior pondrá de manifiesto adicionalmente que se cumple con los requisitos objetivos que se hayan establecido de acuerdo con el artículo 162 de la presente Ley, en las condiciones que establezca el pliego de conformidad con el formulario normalizado del documento europeo único de contratación a que se refiere el artículo siguiente.</w:t>
      </w:r>
    </w:p>
    <w:p w:rsidR="0092635B" w:rsidRDefault="00000000">
      <w:pPr>
        <w:pStyle w:val="Prrafodelista"/>
        <w:numPr>
          <w:ilvl w:val="1"/>
          <w:numId w:val="233"/>
        </w:numPr>
        <w:tabs>
          <w:tab w:val="left" w:pos="1675"/>
        </w:tabs>
        <w:spacing w:before="6" w:line="249" w:lineRule="auto"/>
        <w:ind w:right="1104" w:firstLine="340"/>
        <w:jc w:val="both"/>
        <w:rPr>
          <w:sz w:val="20"/>
        </w:rPr>
      </w:pPr>
      <w:r>
        <w:rPr>
          <w:sz w:val="20"/>
        </w:rPr>
        <w:t>En los casos en que el empresario recurra a la solvencia y medios de otras empresas de conformidad con el artículo 75 de la presente Ley, cada una de ellas también deberá presentar una declaración responsable en la que figure la información pertinente para estos casos con arreglo al formulario normalizado del documento europeo único de contratación a que se refiere el artículo siguiente.</w:t>
      </w:r>
    </w:p>
    <w:p w:rsidR="0092635B" w:rsidRDefault="00000000">
      <w:pPr>
        <w:pStyle w:val="Textoindependiente"/>
        <w:spacing w:before="4" w:line="249" w:lineRule="auto"/>
        <w:ind w:right="1104"/>
      </w:pPr>
      <w:r>
        <w:t>La presentación del compromiso a que se refiere el apartado 2 del artículo 75 se</w:t>
      </w:r>
      <w:r>
        <w:rPr>
          <w:spacing w:val="40"/>
        </w:rPr>
        <w:t xml:space="preserve"> </w:t>
      </w:r>
      <w:r>
        <w:t>realizará de conformidad con lo dispuesto en el apartado tercero del presente artículo.</w:t>
      </w:r>
    </w:p>
    <w:p w:rsidR="0092635B" w:rsidRDefault="00000000">
      <w:pPr>
        <w:pStyle w:val="Prrafodelista"/>
        <w:numPr>
          <w:ilvl w:val="1"/>
          <w:numId w:val="233"/>
        </w:numPr>
        <w:tabs>
          <w:tab w:val="left" w:pos="1681"/>
        </w:tabs>
        <w:spacing w:line="249" w:lineRule="auto"/>
        <w:ind w:right="1106" w:firstLine="340"/>
        <w:jc w:val="both"/>
        <w:rPr>
          <w:sz w:val="20"/>
        </w:rPr>
      </w:pPr>
      <w:r>
        <w:rPr>
          <w:sz w:val="20"/>
        </w:rPr>
        <w:t>En todos los supuestos en que en el procedimiento se exija la constitución de garantía provisional, se aportará el documento acreditativo de haberla constituido.</w:t>
      </w:r>
    </w:p>
    <w:p w:rsidR="0092635B" w:rsidRDefault="00000000">
      <w:pPr>
        <w:pStyle w:val="Prrafodelista"/>
        <w:numPr>
          <w:ilvl w:val="1"/>
          <w:numId w:val="233"/>
        </w:numPr>
        <w:tabs>
          <w:tab w:val="left" w:pos="1684"/>
        </w:tabs>
        <w:spacing w:line="249" w:lineRule="auto"/>
        <w:ind w:right="1105" w:firstLine="340"/>
        <w:jc w:val="both"/>
        <w:rPr>
          <w:sz w:val="20"/>
        </w:rPr>
      </w:pPr>
      <w:r>
        <w:rPr>
          <w:sz w:val="20"/>
        </w:rPr>
        <w:t>En todos los supuestos en que varios empresarios concurran agrupados en una unión temporal, se aportará una declaración responsable por cada empresa participante en la que figurará la información requerida en estos casos en el formulario del documento europeo único de contratación a que se refiere el artículo siguiente.</w:t>
      </w:r>
    </w:p>
    <w:p w:rsidR="0092635B" w:rsidRDefault="00000000">
      <w:pPr>
        <w:pStyle w:val="Textoindependiente"/>
        <w:spacing w:before="3" w:line="249" w:lineRule="auto"/>
        <w:ind w:right="1104"/>
      </w:pPr>
      <w:r>
        <w:t>Adicionalmente a la declaración o declaraciones a que se refiere el párrafo anterior se aportará el compromiso de constituir la unión temporal por parte de los empresarios que</w:t>
      </w:r>
      <w:r>
        <w:rPr>
          <w:spacing w:val="40"/>
        </w:rPr>
        <w:t xml:space="preserve"> </w:t>
      </w:r>
      <w:r>
        <w:t>sean parte de la misma de conformidad con lo exigido en el apartado 3 del artículo 69 de</w:t>
      </w:r>
      <w:r>
        <w:rPr>
          <w:spacing w:val="40"/>
        </w:rPr>
        <w:t xml:space="preserve"> </w:t>
      </w:r>
      <w:r>
        <w:t>esta Ley.</w:t>
      </w:r>
    </w:p>
    <w:p w:rsidR="0092635B" w:rsidRDefault="00000000">
      <w:pPr>
        <w:pStyle w:val="Prrafodelista"/>
        <w:numPr>
          <w:ilvl w:val="1"/>
          <w:numId w:val="233"/>
        </w:numPr>
        <w:tabs>
          <w:tab w:val="left" w:pos="1686"/>
        </w:tabs>
        <w:spacing w:before="3" w:line="249" w:lineRule="auto"/>
        <w:ind w:right="1102" w:firstLine="340"/>
        <w:jc w:val="both"/>
        <w:rPr>
          <w:sz w:val="20"/>
        </w:rPr>
      </w:pPr>
      <w:r>
        <w:rPr>
          <w:sz w:val="20"/>
        </w:rPr>
        <w:t>Además de la declaración responsable a que se refiere la letra a) anterior, las empresas extranjeras, en los casos en que el contrato vaya a ejecutarse en España,</w:t>
      </w:r>
      <w:r>
        <w:rPr>
          <w:spacing w:val="80"/>
          <w:sz w:val="20"/>
        </w:rPr>
        <w:t xml:space="preserve"> </w:t>
      </w:r>
      <w:r>
        <w:rPr>
          <w:sz w:val="20"/>
        </w:rPr>
        <w:t>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 licitante.</w:t>
      </w:r>
    </w:p>
    <w:p w:rsidR="0092635B" w:rsidRDefault="00000000">
      <w:pPr>
        <w:pStyle w:val="Prrafodelista"/>
        <w:numPr>
          <w:ilvl w:val="1"/>
          <w:numId w:val="233"/>
        </w:numPr>
        <w:tabs>
          <w:tab w:val="left" w:pos="1683"/>
        </w:tabs>
        <w:spacing w:before="5" w:line="249" w:lineRule="auto"/>
        <w:ind w:right="1104" w:firstLine="340"/>
        <w:jc w:val="both"/>
        <w:rPr>
          <w:sz w:val="20"/>
        </w:rPr>
      </w:pPr>
      <w:r>
        <w:rPr>
          <w:sz w:val="20"/>
        </w:rPr>
        <w:t>Cuando el pliego prevea la división en lotes del objeto del contrato, si los requisitos de solvencia económica y financiera o técnica y profesional exigidos variaran de un lote a otro, se aportará una declaración responsable por cada lote o grupo de lotes al que se apliquen</w:t>
      </w:r>
      <w:r>
        <w:rPr>
          <w:spacing w:val="40"/>
          <w:sz w:val="20"/>
        </w:rPr>
        <w:t xml:space="preserve"> </w:t>
      </w:r>
      <w:r>
        <w:rPr>
          <w:sz w:val="20"/>
        </w:rPr>
        <w:t>los mismos requisitos de solvencia.</w:t>
      </w:r>
    </w:p>
    <w:p w:rsidR="0092635B" w:rsidRDefault="00000000">
      <w:pPr>
        <w:pStyle w:val="Prrafodelista"/>
        <w:numPr>
          <w:ilvl w:val="0"/>
          <w:numId w:val="233"/>
        </w:numPr>
        <w:tabs>
          <w:tab w:val="left" w:pos="1699"/>
        </w:tabs>
        <w:spacing w:before="123" w:line="249" w:lineRule="auto"/>
        <w:ind w:right="1104" w:firstLine="340"/>
        <w:jc w:val="both"/>
        <w:rPr>
          <w:sz w:val="20"/>
        </w:rPr>
      </w:pPr>
      <w:r>
        <w:rPr>
          <w:sz w:val="20"/>
        </w:rPr>
        <w:t>Cuando de conformidad con la presente Ley, el pliego de cláusulas administrativas particulares o el documento descriptivo exijan la acreditación de otras circunstancias</w:t>
      </w:r>
      <w:r>
        <w:rPr>
          <w:spacing w:val="80"/>
          <w:sz w:val="20"/>
        </w:rPr>
        <w:t xml:space="preserve"> </w:t>
      </w:r>
      <w:r>
        <w:rPr>
          <w:sz w:val="20"/>
        </w:rPr>
        <w:t>distintas de las que comprende el formulario del documento europeo único de contratación a que se refiere el artículo siguiente, los mismos deberán indicar la forma de su acreditación.</w:t>
      </w:r>
    </w:p>
    <w:p w:rsidR="0092635B" w:rsidRDefault="00000000">
      <w:pPr>
        <w:pStyle w:val="Prrafodelista"/>
        <w:numPr>
          <w:ilvl w:val="0"/>
          <w:numId w:val="233"/>
        </w:numPr>
        <w:tabs>
          <w:tab w:val="left" w:pos="1689"/>
        </w:tabs>
        <w:spacing w:before="4" w:line="249" w:lineRule="auto"/>
        <w:ind w:right="1104" w:firstLine="340"/>
        <w:jc w:val="both"/>
        <w:rPr>
          <w:sz w:val="20"/>
        </w:rPr>
      </w:pPr>
      <w:r>
        <w:rPr>
          <w:sz w:val="20"/>
        </w:rPr>
        <w:t xml:space="preserve">El órgano o la mesa de contratación podrán pedir a los candidatos o licitadores que presenten la totalidad o una parte de los documentos justificativos, cuando consideren que existen dudas razonables sobre la vigencia o fiabilidad de la declaración, cuando resulte necesario para el buen desarrollo del procedimiento y, en todo caso, antes de adjudicar el </w:t>
      </w:r>
      <w:r>
        <w:rPr>
          <w:spacing w:val="-2"/>
          <w:sz w:val="20"/>
        </w:rPr>
        <w:t>contrato.</w:t>
      </w:r>
    </w:p>
    <w:p w:rsidR="0092635B" w:rsidRDefault="00000000">
      <w:pPr>
        <w:pStyle w:val="Textoindependiente"/>
        <w:spacing w:before="4" w:line="249" w:lineRule="auto"/>
        <w:ind w:right="1104"/>
      </w:pPr>
      <w:r>
        <w:t>No obstante lo anterior, cuando el empresario esté inscrito en el Registro Oficial de Licitadores y Empresas Clasificadas del Sector Público o figure en una base de datos nacional de un Estado miembro de la Unión Europea, como un expediente virtual de la empresa, un sistema de almacenamiento electrónico de documentos o un sistema de precalificación, y estos sean accesibles de modo gratuito para los citados órganos, no estará obligado a presentar los documentos justificativos u otra prueba documental de los datos inscritos en los referidos lugares.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33"/>
        </w:numPr>
        <w:tabs>
          <w:tab w:val="left" w:pos="1682"/>
        </w:tabs>
        <w:spacing w:before="1" w:line="249" w:lineRule="auto"/>
        <w:ind w:firstLine="340"/>
        <w:jc w:val="both"/>
        <w:rPr>
          <w:sz w:val="20"/>
        </w:rPr>
      </w:pPr>
      <w:r>
        <w:rPr>
          <w:sz w:val="20"/>
        </w:rPr>
        <w:t>Las circunstancias relativas a la capacidad, solvencia y ausencia de prohibiciones de contratar</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refieren</w:t>
      </w:r>
      <w:r>
        <w:rPr>
          <w:spacing w:val="-2"/>
          <w:sz w:val="20"/>
        </w:rPr>
        <w:t xml:space="preserve"> </w:t>
      </w:r>
      <w:r>
        <w:rPr>
          <w:sz w:val="20"/>
        </w:rPr>
        <w:t>los</w:t>
      </w:r>
      <w:r>
        <w:rPr>
          <w:spacing w:val="-2"/>
          <w:sz w:val="20"/>
        </w:rPr>
        <w:t xml:space="preserve"> </w:t>
      </w:r>
      <w:r>
        <w:rPr>
          <w:sz w:val="20"/>
        </w:rPr>
        <w:t>apartados</w:t>
      </w:r>
      <w:r>
        <w:rPr>
          <w:spacing w:val="-2"/>
          <w:sz w:val="20"/>
        </w:rPr>
        <w:t xml:space="preserve"> </w:t>
      </w:r>
      <w:r>
        <w:rPr>
          <w:sz w:val="20"/>
        </w:rPr>
        <w:t>anteriores,</w:t>
      </w:r>
      <w:r>
        <w:rPr>
          <w:spacing w:val="-2"/>
          <w:sz w:val="20"/>
        </w:rPr>
        <w:t xml:space="preserve"> </w:t>
      </w:r>
      <w:r>
        <w:rPr>
          <w:sz w:val="20"/>
        </w:rPr>
        <w:t>deberán</w:t>
      </w:r>
      <w:r>
        <w:rPr>
          <w:spacing w:val="-2"/>
          <w:sz w:val="20"/>
        </w:rPr>
        <w:t xml:space="preserve"> </w:t>
      </w:r>
      <w:r>
        <w:rPr>
          <w:sz w:val="20"/>
        </w:rPr>
        <w:t>concurrir</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fecha</w:t>
      </w:r>
      <w:r>
        <w:rPr>
          <w:spacing w:val="-2"/>
          <w:sz w:val="20"/>
        </w:rPr>
        <w:t xml:space="preserve"> </w:t>
      </w:r>
      <w:r>
        <w:rPr>
          <w:sz w:val="20"/>
        </w:rPr>
        <w:t>final</w:t>
      </w:r>
      <w:r>
        <w:rPr>
          <w:spacing w:val="-2"/>
          <w:sz w:val="20"/>
        </w:rPr>
        <w:t xml:space="preserve"> </w:t>
      </w:r>
      <w:r>
        <w:rPr>
          <w:sz w:val="20"/>
        </w:rPr>
        <w:t>de presentación de ofertas y subsistir en el momento de perfección del contrato.</w:t>
      </w:r>
    </w:p>
    <w:p w:rsidR="0092635B" w:rsidRDefault="00000000">
      <w:pPr>
        <w:spacing w:before="229"/>
        <w:ind w:left="1106"/>
        <w:rPr>
          <w:rFonts w:ascii="Arial" w:hAnsi="Arial"/>
          <w:i/>
          <w:sz w:val="20"/>
        </w:rPr>
      </w:pPr>
      <w:bookmarkStart w:id="232" w:name="Artículo_141._Declaración_responsable_y_"/>
      <w:bookmarkEnd w:id="232"/>
      <w:r>
        <w:rPr>
          <w:rFonts w:ascii="Arial" w:hAnsi="Arial"/>
          <w:b/>
          <w:sz w:val="20"/>
        </w:rPr>
        <w:t>Artículo</w:t>
      </w:r>
      <w:r>
        <w:rPr>
          <w:rFonts w:ascii="Arial" w:hAnsi="Arial"/>
          <w:b/>
          <w:spacing w:val="-4"/>
          <w:sz w:val="20"/>
        </w:rPr>
        <w:t xml:space="preserve"> </w:t>
      </w:r>
      <w:r>
        <w:rPr>
          <w:rFonts w:ascii="Arial" w:hAnsi="Arial"/>
          <w:b/>
          <w:sz w:val="20"/>
        </w:rPr>
        <w:t>141.</w:t>
      </w:r>
      <w:r>
        <w:rPr>
          <w:rFonts w:ascii="Arial" w:hAnsi="Arial"/>
          <w:b/>
          <w:spacing w:val="48"/>
          <w:sz w:val="20"/>
        </w:rPr>
        <w:t xml:space="preserve"> </w:t>
      </w:r>
      <w:r>
        <w:rPr>
          <w:rFonts w:ascii="Arial" w:hAnsi="Arial"/>
          <w:i/>
          <w:sz w:val="20"/>
        </w:rPr>
        <w:t>Declaración</w:t>
      </w:r>
      <w:r>
        <w:rPr>
          <w:rFonts w:ascii="Arial" w:hAnsi="Arial"/>
          <w:i/>
          <w:spacing w:val="-4"/>
          <w:sz w:val="20"/>
        </w:rPr>
        <w:t xml:space="preserve"> </w:t>
      </w:r>
      <w:r>
        <w:rPr>
          <w:rFonts w:ascii="Arial" w:hAnsi="Arial"/>
          <w:i/>
          <w:sz w:val="20"/>
        </w:rPr>
        <w:t>responsable</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otra</w:t>
      </w:r>
      <w:r>
        <w:rPr>
          <w:rFonts w:ascii="Arial" w:hAnsi="Arial"/>
          <w:i/>
          <w:spacing w:val="-3"/>
          <w:sz w:val="20"/>
        </w:rPr>
        <w:t xml:space="preserve"> </w:t>
      </w:r>
      <w:r>
        <w:rPr>
          <w:rFonts w:ascii="Arial" w:hAnsi="Arial"/>
          <w:i/>
          <w:spacing w:val="-2"/>
          <w:sz w:val="20"/>
        </w:rPr>
        <w:t>documentación.</w:t>
      </w:r>
    </w:p>
    <w:p w:rsidR="0092635B" w:rsidRDefault="00000000">
      <w:pPr>
        <w:pStyle w:val="Prrafodelista"/>
        <w:numPr>
          <w:ilvl w:val="0"/>
          <w:numId w:val="232"/>
        </w:numPr>
        <w:tabs>
          <w:tab w:val="left" w:pos="1744"/>
        </w:tabs>
        <w:spacing w:before="123" w:line="249" w:lineRule="auto"/>
        <w:ind w:firstLine="340"/>
        <w:jc w:val="both"/>
        <w:rPr>
          <w:sz w:val="20"/>
        </w:rPr>
      </w:pPr>
      <w:r>
        <w:rPr>
          <w:sz w:val="20"/>
        </w:rPr>
        <w:t>Los órganos de contratación incluirán en el pliego, junto con la exigencia de declaración responsable, el modelo al que deberá ajustarse la misma. El modelo que recoja el pliego seguirá el formulario de documento europeo único de contratación aprobado en el seno de la Unión Europea, sin perjuicio de lo establecido en la letra c) del apartado 4 del artículo 159.</w:t>
      </w:r>
    </w:p>
    <w:p w:rsidR="0092635B" w:rsidRDefault="00000000">
      <w:pPr>
        <w:pStyle w:val="Prrafodelista"/>
        <w:numPr>
          <w:ilvl w:val="0"/>
          <w:numId w:val="232"/>
        </w:numPr>
        <w:tabs>
          <w:tab w:val="left" w:pos="1707"/>
        </w:tabs>
        <w:spacing w:before="4" w:line="249" w:lineRule="auto"/>
        <w:ind w:right="1104" w:firstLine="340"/>
        <w:jc w:val="both"/>
        <w:rPr>
          <w:sz w:val="20"/>
        </w:rPr>
      </w:pPr>
      <w:r>
        <w:rPr>
          <w:sz w:val="20"/>
        </w:rPr>
        <w:t xml:space="preserve">En los casos en que se establezca la intervención de mesa de contratación, esta calificará la declaración responsable y la documentación a la que se refiere el artículo </w:t>
      </w:r>
      <w:r>
        <w:rPr>
          <w:spacing w:val="-2"/>
          <w:sz w:val="20"/>
        </w:rPr>
        <w:t>anterior.</w:t>
      </w:r>
    </w:p>
    <w:p w:rsidR="0092635B" w:rsidRDefault="00000000">
      <w:pPr>
        <w:pStyle w:val="Textoindependiente"/>
        <w:spacing w:before="3" w:line="249" w:lineRule="auto"/>
        <w:ind w:right="1104"/>
      </w:pPr>
      <w:r>
        <w:t>Cuando esta aprecie defectos subsanables, dará un plazo de tres días al empresario</w:t>
      </w:r>
      <w:r>
        <w:rPr>
          <w:spacing w:val="40"/>
        </w:rPr>
        <w:t xml:space="preserve"> </w:t>
      </w:r>
      <w:r>
        <w:t>para que los corrija.</w:t>
      </w:r>
    </w:p>
    <w:p w:rsidR="0092635B" w:rsidRDefault="00000000">
      <w:pPr>
        <w:spacing w:before="228"/>
        <w:ind w:left="1106"/>
        <w:rPr>
          <w:rFonts w:ascii="Arial" w:hAnsi="Arial"/>
          <w:i/>
          <w:sz w:val="20"/>
        </w:rPr>
      </w:pPr>
      <w:bookmarkStart w:id="233" w:name="Artículo_142._Admisibilidad_de_variantes"/>
      <w:bookmarkEnd w:id="233"/>
      <w:r>
        <w:rPr>
          <w:rFonts w:ascii="Arial" w:hAnsi="Arial"/>
          <w:b/>
          <w:sz w:val="20"/>
        </w:rPr>
        <w:t>Artículo</w:t>
      </w:r>
      <w:r>
        <w:rPr>
          <w:rFonts w:ascii="Arial" w:hAnsi="Arial"/>
          <w:b/>
          <w:spacing w:val="-3"/>
          <w:sz w:val="20"/>
        </w:rPr>
        <w:t xml:space="preserve"> </w:t>
      </w:r>
      <w:r>
        <w:rPr>
          <w:rFonts w:ascii="Arial" w:hAnsi="Arial"/>
          <w:b/>
          <w:sz w:val="20"/>
        </w:rPr>
        <w:t>142.</w:t>
      </w:r>
      <w:r>
        <w:rPr>
          <w:rFonts w:ascii="Arial" w:hAnsi="Arial"/>
          <w:b/>
          <w:spacing w:val="49"/>
          <w:sz w:val="20"/>
        </w:rPr>
        <w:t xml:space="preserve"> </w:t>
      </w:r>
      <w:r>
        <w:rPr>
          <w:rFonts w:ascii="Arial" w:hAnsi="Arial"/>
          <w:i/>
          <w:sz w:val="20"/>
        </w:rPr>
        <w:t>Admisibilidad</w:t>
      </w:r>
      <w:r>
        <w:rPr>
          <w:rFonts w:ascii="Arial" w:hAnsi="Arial"/>
          <w:i/>
          <w:spacing w:val="-3"/>
          <w:sz w:val="20"/>
        </w:rPr>
        <w:t xml:space="preserve"> </w:t>
      </w:r>
      <w:r>
        <w:rPr>
          <w:rFonts w:ascii="Arial" w:hAnsi="Arial"/>
          <w:i/>
          <w:sz w:val="20"/>
        </w:rPr>
        <w:t>de</w:t>
      </w:r>
      <w:r>
        <w:rPr>
          <w:rFonts w:ascii="Arial" w:hAnsi="Arial"/>
          <w:i/>
          <w:spacing w:val="-2"/>
          <w:sz w:val="20"/>
        </w:rPr>
        <w:t xml:space="preserve"> variantes.</w:t>
      </w:r>
    </w:p>
    <w:p w:rsidR="0092635B" w:rsidRDefault="00000000">
      <w:pPr>
        <w:pStyle w:val="Prrafodelista"/>
        <w:numPr>
          <w:ilvl w:val="0"/>
          <w:numId w:val="231"/>
        </w:numPr>
        <w:tabs>
          <w:tab w:val="left" w:pos="1674"/>
        </w:tabs>
        <w:spacing w:before="124" w:line="249" w:lineRule="auto"/>
        <w:ind w:firstLine="340"/>
        <w:jc w:val="both"/>
        <w:rPr>
          <w:sz w:val="20"/>
        </w:rPr>
      </w:pPr>
      <w:r>
        <w:rPr>
          <w:sz w:val="20"/>
        </w:rPr>
        <w:t>Cuando en la adjudicación hayan de tenerse en cuenta criterios distintos del precio, el órgano de contratación podrá tomar en consideración las variantes que ofrezcan los licitadores, siempre que las variantes se prevean en los pliegos. Se considerará que se cumple este requisito cuando se expresen los requisitos mínimos, modalidades, y características de las mismas, así como su necesaria vinculación con el objeto del contrato.</w:t>
      </w:r>
    </w:p>
    <w:p w:rsidR="0092635B" w:rsidRDefault="00000000">
      <w:pPr>
        <w:pStyle w:val="Prrafodelista"/>
        <w:numPr>
          <w:ilvl w:val="0"/>
          <w:numId w:val="231"/>
        </w:numPr>
        <w:tabs>
          <w:tab w:val="left" w:pos="1691"/>
        </w:tabs>
        <w:spacing w:before="4" w:line="249" w:lineRule="auto"/>
        <w:ind w:right="1104" w:firstLine="340"/>
        <w:jc w:val="both"/>
        <w:rPr>
          <w:sz w:val="20"/>
        </w:rPr>
      </w:pPr>
      <w:r>
        <w:rPr>
          <w:sz w:val="20"/>
        </w:rPr>
        <w:t>La posibilidad de que los licitadores ofrezcan variantes se indicará en el anuncio de licitación del contrato precisando sobre qué elementos y en qué condiciones queda autorizada su presentación.</w:t>
      </w:r>
    </w:p>
    <w:p w:rsidR="0092635B" w:rsidRDefault="00000000">
      <w:pPr>
        <w:pStyle w:val="Textoindependiente"/>
        <w:spacing w:line="249" w:lineRule="auto"/>
        <w:ind w:right="1103"/>
      </w:pPr>
      <w:r>
        <w:t>Las precisiones de las variantes que se puedan admitir podrán hacer referencia a determinadas funcionalidades que puedan tener los bienes, obras o servicios objeto del contrato, o a la satisfacción adecuada de determinadas necesidades.</w:t>
      </w:r>
    </w:p>
    <w:p w:rsidR="0092635B" w:rsidRDefault="00000000">
      <w:pPr>
        <w:pStyle w:val="Prrafodelista"/>
        <w:numPr>
          <w:ilvl w:val="0"/>
          <w:numId w:val="231"/>
        </w:numPr>
        <w:tabs>
          <w:tab w:val="left" w:pos="1687"/>
        </w:tabs>
        <w:spacing w:before="3" w:line="249" w:lineRule="auto"/>
        <w:ind w:firstLine="340"/>
        <w:jc w:val="both"/>
        <w:rPr>
          <w:sz w:val="20"/>
        </w:rPr>
      </w:pPr>
      <w:r>
        <w:rPr>
          <w:sz w:val="20"/>
        </w:rPr>
        <w:t>En los procedimientos de adjudicación de contratos de suministro o de servicios, los órganos de contratación que hayan autorizado la presentación de variantes no podrán rechazar</w:t>
      </w:r>
      <w:r>
        <w:rPr>
          <w:spacing w:val="-1"/>
          <w:sz w:val="20"/>
        </w:rPr>
        <w:t xml:space="preserve"> </w:t>
      </w:r>
      <w:r>
        <w:rPr>
          <w:sz w:val="20"/>
        </w:rPr>
        <w:t>una</w:t>
      </w:r>
      <w:r>
        <w:rPr>
          <w:spacing w:val="-1"/>
          <w:sz w:val="20"/>
        </w:rPr>
        <w:t xml:space="preserve"> </w:t>
      </w:r>
      <w:r>
        <w:rPr>
          <w:sz w:val="20"/>
        </w:rPr>
        <w:t>de</w:t>
      </w:r>
      <w:r>
        <w:rPr>
          <w:spacing w:val="-1"/>
          <w:sz w:val="20"/>
        </w:rPr>
        <w:t xml:space="preserve"> </w:t>
      </w:r>
      <w:r>
        <w:rPr>
          <w:sz w:val="20"/>
        </w:rPr>
        <w:t>ellas</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único</w:t>
      </w:r>
      <w:r>
        <w:rPr>
          <w:spacing w:val="-1"/>
          <w:sz w:val="20"/>
        </w:rPr>
        <w:t xml:space="preserve"> </w:t>
      </w:r>
      <w:r>
        <w:rPr>
          <w:sz w:val="20"/>
        </w:rPr>
        <w:t>motivo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de</w:t>
      </w:r>
      <w:r>
        <w:rPr>
          <w:spacing w:val="-1"/>
          <w:sz w:val="20"/>
        </w:rPr>
        <w:t xml:space="preserve"> </w:t>
      </w:r>
      <w:r>
        <w:rPr>
          <w:sz w:val="20"/>
        </w:rPr>
        <w:t>ser</w:t>
      </w:r>
      <w:r>
        <w:rPr>
          <w:spacing w:val="-1"/>
          <w:sz w:val="20"/>
        </w:rPr>
        <w:t xml:space="preserve"> </w:t>
      </w:r>
      <w:r>
        <w:rPr>
          <w:sz w:val="20"/>
        </w:rPr>
        <w:t>elegida,</w:t>
      </w:r>
      <w:r>
        <w:rPr>
          <w:spacing w:val="-1"/>
          <w:sz w:val="20"/>
        </w:rPr>
        <w:t xml:space="preserve"> </w:t>
      </w:r>
      <w:r>
        <w:rPr>
          <w:sz w:val="20"/>
        </w:rPr>
        <w:t>daría</w:t>
      </w:r>
      <w:r>
        <w:rPr>
          <w:spacing w:val="-1"/>
          <w:sz w:val="20"/>
        </w:rPr>
        <w:t xml:space="preserve"> </w:t>
      </w:r>
      <w:r>
        <w:rPr>
          <w:sz w:val="20"/>
        </w:rPr>
        <w:t>lugar</w:t>
      </w:r>
      <w:r>
        <w:rPr>
          <w:spacing w:val="-1"/>
          <w:sz w:val="20"/>
        </w:rPr>
        <w:t xml:space="preserve"> </w:t>
      </w:r>
      <w:r>
        <w:rPr>
          <w:sz w:val="20"/>
        </w:rPr>
        <w:t>a</w:t>
      </w:r>
      <w:r>
        <w:rPr>
          <w:spacing w:val="-1"/>
          <w:sz w:val="20"/>
        </w:rPr>
        <w:t xml:space="preserve"> </w:t>
      </w:r>
      <w:r>
        <w:rPr>
          <w:sz w:val="20"/>
        </w:rPr>
        <w:t>un</w:t>
      </w:r>
      <w:r>
        <w:rPr>
          <w:spacing w:val="-1"/>
          <w:sz w:val="20"/>
        </w:rPr>
        <w:t xml:space="preserve"> </w:t>
      </w:r>
      <w:r>
        <w:rPr>
          <w:sz w:val="20"/>
        </w:rPr>
        <w:t>contrato</w:t>
      </w:r>
      <w:r>
        <w:rPr>
          <w:spacing w:val="-1"/>
          <w:sz w:val="20"/>
        </w:rPr>
        <w:t xml:space="preserve"> </w:t>
      </w:r>
      <w:r>
        <w:rPr>
          <w:sz w:val="20"/>
        </w:rPr>
        <w:t>de servicios en vez de a un contrato de suministro o a un contrato de suministro en vez de a un contrato de servicios.</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234" w:name="Artículo_143._Subasta_electrónica."/>
      <w:bookmarkEnd w:id="234"/>
      <w:r>
        <w:rPr>
          <w:rFonts w:ascii="Arial" w:hAnsi="Arial"/>
          <w:b/>
          <w:sz w:val="20"/>
        </w:rPr>
        <w:t>Artículo</w:t>
      </w:r>
      <w:r>
        <w:rPr>
          <w:rFonts w:ascii="Arial" w:hAnsi="Arial"/>
          <w:b/>
          <w:spacing w:val="-2"/>
          <w:sz w:val="20"/>
        </w:rPr>
        <w:t xml:space="preserve"> </w:t>
      </w:r>
      <w:r>
        <w:rPr>
          <w:rFonts w:ascii="Arial" w:hAnsi="Arial"/>
          <w:b/>
          <w:sz w:val="20"/>
        </w:rPr>
        <w:t>143.</w:t>
      </w:r>
      <w:r>
        <w:rPr>
          <w:rFonts w:ascii="Arial" w:hAnsi="Arial"/>
          <w:b/>
          <w:spacing w:val="51"/>
          <w:sz w:val="20"/>
        </w:rPr>
        <w:t xml:space="preserve"> </w:t>
      </w:r>
      <w:r>
        <w:rPr>
          <w:rFonts w:ascii="Arial" w:hAnsi="Arial"/>
          <w:i/>
          <w:sz w:val="20"/>
        </w:rPr>
        <w:t>Subasta</w:t>
      </w:r>
      <w:r>
        <w:rPr>
          <w:rFonts w:ascii="Arial" w:hAnsi="Arial"/>
          <w:i/>
          <w:spacing w:val="-1"/>
          <w:sz w:val="20"/>
        </w:rPr>
        <w:t xml:space="preserve"> </w:t>
      </w:r>
      <w:r>
        <w:rPr>
          <w:rFonts w:ascii="Arial" w:hAnsi="Arial"/>
          <w:i/>
          <w:spacing w:val="-2"/>
          <w:sz w:val="20"/>
        </w:rPr>
        <w:t>electrónica.</w:t>
      </w:r>
    </w:p>
    <w:p w:rsidR="0092635B" w:rsidRDefault="00000000">
      <w:pPr>
        <w:pStyle w:val="Prrafodelista"/>
        <w:numPr>
          <w:ilvl w:val="0"/>
          <w:numId w:val="230"/>
        </w:numPr>
        <w:tabs>
          <w:tab w:val="left" w:pos="1696"/>
        </w:tabs>
        <w:spacing w:before="123" w:line="249" w:lineRule="auto"/>
        <w:ind w:firstLine="340"/>
        <w:jc w:val="both"/>
        <w:rPr>
          <w:sz w:val="20"/>
        </w:rPr>
      </w:pPr>
      <w:r>
        <w:rPr>
          <w:sz w:val="20"/>
        </w:rPr>
        <w:t>A efectos de la adjudicación del contrato podrá celebrarse una subasta electrónica, articulada como un proceso electrónico repetitivo, que tiene lugar tras una primera</w:t>
      </w:r>
      <w:r>
        <w:rPr>
          <w:spacing w:val="40"/>
          <w:sz w:val="20"/>
        </w:rPr>
        <w:t xml:space="preserve"> </w:t>
      </w:r>
      <w:r>
        <w:rPr>
          <w:sz w:val="20"/>
        </w:rPr>
        <w:t>evaluación completa de las ofertas, para la presentación de mejoras en los precios o de nuevos valores relativos a determinados elementos de las ofertas que las mejoren en su conjunto, basado en un dispositivo electrónico que permita su clasificación a través de métodos de evaluación automatizados, debiendo velarse por que el mismo permita un acceso no discriminatorio y disponible de forma general, así como el registro inalterable de todas las participaciones en el proceso de subasta.</w:t>
      </w:r>
    </w:p>
    <w:p w:rsidR="0092635B" w:rsidRDefault="00000000">
      <w:pPr>
        <w:pStyle w:val="Prrafodelista"/>
        <w:numPr>
          <w:ilvl w:val="0"/>
          <w:numId w:val="230"/>
        </w:numPr>
        <w:tabs>
          <w:tab w:val="left" w:pos="1735"/>
        </w:tabs>
        <w:spacing w:before="7" w:line="249" w:lineRule="auto"/>
        <w:ind w:firstLine="340"/>
        <w:jc w:val="both"/>
        <w:rPr>
          <w:sz w:val="20"/>
        </w:rPr>
      </w:pPr>
      <w:r>
        <w:rPr>
          <w:sz w:val="20"/>
        </w:rPr>
        <w:t>La subasta electrónica podrá emplearse en los procedimientos abiertos, en los restringidos, y en las licitaciones con negociación, siempre que las especificaciones del contrato que deba adjudicarse puedan establecerse de manera precisa en los pliegos que rigen la licitación y que las prestaciones que constituyen su objeto no tengan carácter intelectual, como los servicios de ingeniería, consultoría y arquitectura. No podrá recurrirse a las subastas electrónicas de forma abusiva o de modo que se obstaculice, restrinja o falsee la competencia o que se vea modificado el objeto del contrato.</w:t>
      </w:r>
    </w:p>
    <w:p w:rsidR="0092635B" w:rsidRDefault="00000000">
      <w:pPr>
        <w:pStyle w:val="Prrafodelista"/>
        <w:numPr>
          <w:ilvl w:val="0"/>
          <w:numId w:val="230"/>
        </w:numPr>
        <w:tabs>
          <w:tab w:val="left" w:pos="1668"/>
        </w:tabs>
        <w:spacing w:before="5"/>
        <w:ind w:left="1668" w:right="0" w:hanging="222"/>
        <w:jc w:val="both"/>
        <w:rPr>
          <w:sz w:val="20"/>
        </w:rPr>
      </w:pPr>
      <w:r>
        <w:rPr>
          <w:sz w:val="20"/>
        </w:rPr>
        <w:t>La</w:t>
      </w:r>
      <w:r>
        <w:rPr>
          <w:spacing w:val="-3"/>
          <w:sz w:val="20"/>
        </w:rPr>
        <w:t xml:space="preserve"> </w:t>
      </w:r>
      <w:r>
        <w:rPr>
          <w:sz w:val="20"/>
        </w:rPr>
        <w:t>subasta</w:t>
      </w:r>
      <w:r>
        <w:rPr>
          <w:spacing w:val="-3"/>
          <w:sz w:val="20"/>
        </w:rPr>
        <w:t xml:space="preserve"> </w:t>
      </w:r>
      <w:r>
        <w:rPr>
          <w:sz w:val="20"/>
        </w:rPr>
        <w:t>electrónica</w:t>
      </w:r>
      <w:r>
        <w:rPr>
          <w:spacing w:val="-3"/>
          <w:sz w:val="20"/>
        </w:rPr>
        <w:t xml:space="preserve"> </w:t>
      </w:r>
      <w:r>
        <w:rPr>
          <w:sz w:val="20"/>
        </w:rPr>
        <w:t>se</w:t>
      </w:r>
      <w:r>
        <w:rPr>
          <w:spacing w:val="-2"/>
          <w:sz w:val="20"/>
        </w:rPr>
        <w:t xml:space="preserve"> </w:t>
      </w:r>
      <w:r>
        <w:rPr>
          <w:sz w:val="20"/>
        </w:rPr>
        <w:t>basará</w:t>
      </w:r>
      <w:r>
        <w:rPr>
          <w:spacing w:val="-3"/>
          <w:sz w:val="20"/>
        </w:rPr>
        <w:t xml:space="preserve"> </w:t>
      </w:r>
      <w:r>
        <w:rPr>
          <w:sz w:val="20"/>
        </w:rPr>
        <w:t>en</w:t>
      </w:r>
      <w:r>
        <w:rPr>
          <w:spacing w:val="-3"/>
          <w:sz w:val="20"/>
        </w:rPr>
        <w:t xml:space="preserve"> </w:t>
      </w:r>
      <w:r>
        <w:rPr>
          <w:sz w:val="20"/>
        </w:rPr>
        <w:t>uno</w:t>
      </w:r>
      <w:r>
        <w:rPr>
          <w:spacing w:val="-2"/>
          <w:sz w:val="20"/>
        </w:rPr>
        <w:t xml:space="preserve"> </w:t>
      </w:r>
      <w:r>
        <w:rPr>
          <w:sz w:val="20"/>
        </w:rPr>
        <w:t>de</w:t>
      </w:r>
      <w:r>
        <w:rPr>
          <w:spacing w:val="-3"/>
          <w:sz w:val="20"/>
        </w:rPr>
        <w:t xml:space="preserve"> </w:t>
      </w:r>
      <w:r>
        <w:rPr>
          <w:sz w:val="20"/>
        </w:rPr>
        <w:t>los</w:t>
      </w:r>
      <w:r>
        <w:rPr>
          <w:spacing w:val="-3"/>
          <w:sz w:val="20"/>
        </w:rPr>
        <w:t xml:space="preserve"> </w:t>
      </w:r>
      <w:r>
        <w:rPr>
          <w:sz w:val="20"/>
        </w:rPr>
        <w:t>siguientes</w:t>
      </w:r>
      <w:r>
        <w:rPr>
          <w:spacing w:val="-2"/>
          <w:sz w:val="20"/>
        </w:rPr>
        <w:t xml:space="preserve"> criterios:</w:t>
      </w:r>
    </w:p>
    <w:p w:rsidR="0092635B" w:rsidRDefault="00000000">
      <w:pPr>
        <w:pStyle w:val="Prrafodelista"/>
        <w:numPr>
          <w:ilvl w:val="1"/>
          <w:numId w:val="230"/>
        </w:numPr>
        <w:tabs>
          <w:tab w:val="left" w:pos="1817"/>
        </w:tabs>
        <w:spacing w:before="130" w:line="249" w:lineRule="auto"/>
        <w:ind w:right="1105" w:firstLine="340"/>
        <w:jc w:val="both"/>
        <w:rPr>
          <w:sz w:val="20"/>
        </w:rPr>
      </w:pPr>
      <w:r>
        <w:rPr>
          <w:sz w:val="20"/>
        </w:rPr>
        <w:t>únicamente en los precios, cuando el contrato se adjudique atendiendo exclusivamente al precio;</w:t>
      </w:r>
    </w:p>
    <w:p w:rsidR="0092635B" w:rsidRDefault="00000000">
      <w:pPr>
        <w:pStyle w:val="Prrafodelista"/>
        <w:numPr>
          <w:ilvl w:val="1"/>
          <w:numId w:val="230"/>
        </w:numPr>
        <w:tabs>
          <w:tab w:val="left" w:pos="1689"/>
        </w:tabs>
        <w:spacing w:line="249" w:lineRule="auto"/>
        <w:ind w:firstLine="340"/>
        <w:jc w:val="both"/>
        <w:rPr>
          <w:sz w:val="20"/>
        </w:rPr>
      </w:pPr>
      <w:r>
        <w:rPr>
          <w:sz w:val="20"/>
        </w:rPr>
        <w:t>o bien en los precios y en nuevos valores de los elementos objetivos de la oferta que sean cuantificables y susceptibles de ser expresados en cifras o en porcentajes, cuando el contrato se adjudique basándose en varios criterios de adjudicación.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230"/>
        </w:numPr>
        <w:tabs>
          <w:tab w:val="left" w:pos="1687"/>
        </w:tabs>
        <w:spacing w:before="1" w:line="249" w:lineRule="auto"/>
        <w:ind w:firstLine="340"/>
        <w:jc w:val="both"/>
        <w:rPr>
          <w:sz w:val="20"/>
        </w:rPr>
      </w:pPr>
      <w:r>
        <w:rPr>
          <w:sz w:val="20"/>
        </w:rPr>
        <w:t>Los órganos de contratación que decidan recurrir a una subasta electrónica deberán indicarlo en el anuncio de licitación e incluir en el pliego de condiciones, como mínimo, la siguiente información:</w:t>
      </w:r>
    </w:p>
    <w:p w:rsidR="0092635B" w:rsidRDefault="00000000">
      <w:pPr>
        <w:pStyle w:val="Prrafodelista"/>
        <w:numPr>
          <w:ilvl w:val="1"/>
          <w:numId w:val="230"/>
        </w:numPr>
        <w:tabs>
          <w:tab w:val="left" w:pos="1679"/>
        </w:tabs>
        <w:spacing w:before="122"/>
        <w:ind w:left="1679" w:right="0" w:hanging="233"/>
        <w:rPr>
          <w:sz w:val="20"/>
        </w:rPr>
      </w:pPr>
      <w:r>
        <w:rPr>
          <w:sz w:val="20"/>
        </w:rPr>
        <w:t>Los</w:t>
      </w:r>
      <w:r>
        <w:rPr>
          <w:spacing w:val="-4"/>
          <w:sz w:val="20"/>
        </w:rPr>
        <w:t xml:space="preserve"> </w:t>
      </w:r>
      <w:r>
        <w:rPr>
          <w:sz w:val="20"/>
        </w:rPr>
        <w:t>elementos</w:t>
      </w:r>
      <w:r>
        <w:rPr>
          <w:spacing w:val="-1"/>
          <w:sz w:val="20"/>
        </w:rPr>
        <w:t xml:space="preserve"> </w:t>
      </w:r>
      <w:r>
        <w:rPr>
          <w:sz w:val="20"/>
        </w:rPr>
        <w:t>objetivos</w:t>
      </w:r>
      <w:r>
        <w:rPr>
          <w:spacing w:val="-2"/>
          <w:sz w:val="20"/>
        </w:rPr>
        <w:t xml:space="preserve"> </w:t>
      </w:r>
      <w:r>
        <w:rPr>
          <w:sz w:val="20"/>
        </w:rPr>
        <w:t>a</w:t>
      </w:r>
      <w:r>
        <w:rPr>
          <w:spacing w:val="-1"/>
          <w:sz w:val="20"/>
        </w:rPr>
        <w:t xml:space="preserve"> </w:t>
      </w:r>
      <w:r>
        <w:rPr>
          <w:sz w:val="20"/>
        </w:rPr>
        <w:t>cuyos</w:t>
      </w:r>
      <w:r>
        <w:rPr>
          <w:spacing w:val="-1"/>
          <w:sz w:val="20"/>
        </w:rPr>
        <w:t xml:space="preserve"> </w:t>
      </w:r>
      <w:r>
        <w:rPr>
          <w:sz w:val="20"/>
        </w:rPr>
        <w:t>valores</w:t>
      </w:r>
      <w:r>
        <w:rPr>
          <w:spacing w:val="-2"/>
          <w:sz w:val="20"/>
        </w:rPr>
        <w:t xml:space="preserve"> </w:t>
      </w:r>
      <w:r>
        <w:rPr>
          <w:sz w:val="20"/>
        </w:rPr>
        <w:t>se</w:t>
      </w:r>
      <w:r>
        <w:rPr>
          <w:spacing w:val="-1"/>
          <w:sz w:val="20"/>
        </w:rPr>
        <w:t xml:space="preserve"> </w:t>
      </w:r>
      <w:r>
        <w:rPr>
          <w:sz w:val="20"/>
        </w:rPr>
        <w:t>refiera</w:t>
      </w:r>
      <w:r>
        <w:rPr>
          <w:spacing w:val="-2"/>
          <w:sz w:val="20"/>
        </w:rPr>
        <w:t xml:space="preserve"> </w:t>
      </w:r>
      <w:r>
        <w:rPr>
          <w:sz w:val="20"/>
        </w:rPr>
        <w:t>la</w:t>
      </w:r>
      <w:r>
        <w:rPr>
          <w:spacing w:val="-1"/>
          <w:sz w:val="20"/>
        </w:rPr>
        <w:t xml:space="preserve"> </w:t>
      </w:r>
      <w:r>
        <w:rPr>
          <w:sz w:val="20"/>
        </w:rPr>
        <w:t>subasta</w:t>
      </w:r>
      <w:r>
        <w:rPr>
          <w:spacing w:val="-1"/>
          <w:sz w:val="20"/>
        </w:rPr>
        <w:t xml:space="preserve"> </w:t>
      </w:r>
      <w:r>
        <w:rPr>
          <w:spacing w:val="-2"/>
          <w:sz w:val="20"/>
        </w:rPr>
        <w:t>electrónica.</w:t>
      </w:r>
    </w:p>
    <w:p w:rsidR="0092635B" w:rsidRDefault="00000000">
      <w:pPr>
        <w:pStyle w:val="Prrafodelista"/>
        <w:numPr>
          <w:ilvl w:val="1"/>
          <w:numId w:val="230"/>
        </w:numPr>
        <w:tabs>
          <w:tab w:val="left" w:pos="1680"/>
        </w:tabs>
        <w:spacing w:before="10" w:line="249" w:lineRule="auto"/>
        <w:ind w:firstLine="340"/>
        <w:rPr>
          <w:sz w:val="20"/>
        </w:rPr>
      </w:pPr>
      <w:r>
        <w:rPr>
          <w:sz w:val="20"/>
        </w:rPr>
        <w:t>En</w:t>
      </w:r>
      <w:r>
        <w:rPr>
          <w:spacing w:val="-1"/>
          <w:sz w:val="20"/>
        </w:rPr>
        <w:t xml:space="preserve"> </w:t>
      </w:r>
      <w:r>
        <w:rPr>
          <w:sz w:val="20"/>
        </w:rPr>
        <w:t>su</w:t>
      </w:r>
      <w:r>
        <w:rPr>
          <w:spacing w:val="-1"/>
          <w:sz w:val="20"/>
        </w:rPr>
        <w:t xml:space="preserve"> </w:t>
      </w:r>
      <w:r>
        <w:rPr>
          <w:sz w:val="20"/>
        </w:rPr>
        <w:t>caso,</w:t>
      </w:r>
      <w:r>
        <w:rPr>
          <w:spacing w:val="-1"/>
          <w:sz w:val="20"/>
        </w:rPr>
        <w:t xml:space="preserve"> </w:t>
      </w:r>
      <w:r>
        <w:rPr>
          <w:sz w:val="20"/>
        </w:rPr>
        <w:t>los</w:t>
      </w:r>
      <w:r>
        <w:rPr>
          <w:spacing w:val="-1"/>
          <w:sz w:val="20"/>
        </w:rPr>
        <w:t xml:space="preserve"> </w:t>
      </w:r>
      <w:r>
        <w:rPr>
          <w:sz w:val="20"/>
        </w:rPr>
        <w:t>límites</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valores</w:t>
      </w:r>
      <w:r>
        <w:rPr>
          <w:spacing w:val="-1"/>
          <w:sz w:val="20"/>
        </w:rPr>
        <w:t xml:space="preserve"> </w:t>
      </w:r>
      <w:r>
        <w:rPr>
          <w:sz w:val="20"/>
        </w:rPr>
        <w:t>que</w:t>
      </w:r>
      <w:r>
        <w:rPr>
          <w:spacing w:val="-1"/>
          <w:sz w:val="20"/>
        </w:rPr>
        <w:t xml:space="preserve"> </w:t>
      </w:r>
      <w:r>
        <w:rPr>
          <w:sz w:val="20"/>
        </w:rPr>
        <w:t>podrán</w:t>
      </w:r>
      <w:r>
        <w:rPr>
          <w:spacing w:val="-1"/>
          <w:sz w:val="20"/>
        </w:rPr>
        <w:t xml:space="preserve"> </w:t>
      </w:r>
      <w:r>
        <w:rPr>
          <w:sz w:val="20"/>
        </w:rPr>
        <w:t>presentarse,</w:t>
      </w:r>
      <w:r>
        <w:rPr>
          <w:spacing w:val="-1"/>
          <w:sz w:val="20"/>
        </w:rPr>
        <w:t xml:space="preserve"> </w:t>
      </w:r>
      <w:r>
        <w:rPr>
          <w:sz w:val="20"/>
        </w:rPr>
        <w:t>tal</w:t>
      </w:r>
      <w:r>
        <w:rPr>
          <w:spacing w:val="-1"/>
          <w:sz w:val="20"/>
        </w:rPr>
        <w:t xml:space="preserve"> </w:t>
      </w:r>
      <w:r>
        <w:rPr>
          <w:sz w:val="20"/>
        </w:rPr>
        <w:t>como</w:t>
      </w:r>
      <w:r>
        <w:rPr>
          <w:spacing w:val="-1"/>
          <w:sz w:val="20"/>
        </w:rPr>
        <w:t xml:space="preserve"> </w:t>
      </w:r>
      <w:r>
        <w:rPr>
          <w:sz w:val="20"/>
        </w:rPr>
        <w:t>resulten</w:t>
      </w:r>
      <w:r>
        <w:rPr>
          <w:spacing w:val="-1"/>
          <w:sz w:val="20"/>
        </w:rPr>
        <w:t xml:space="preserve"> </w:t>
      </w:r>
      <w:r>
        <w:rPr>
          <w:sz w:val="20"/>
        </w:rPr>
        <w:t>de</w:t>
      </w:r>
      <w:r>
        <w:rPr>
          <w:spacing w:val="-1"/>
          <w:sz w:val="20"/>
        </w:rPr>
        <w:t xml:space="preserve"> </w:t>
      </w:r>
      <w:r>
        <w:rPr>
          <w:sz w:val="20"/>
        </w:rPr>
        <w:t>las especificaciones relativas al objeto del contrato.</w:t>
      </w:r>
    </w:p>
    <w:p w:rsidR="0092635B" w:rsidRDefault="00000000">
      <w:pPr>
        <w:pStyle w:val="Prrafodelista"/>
        <w:numPr>
          <w:ilvl w:val="1"/>
          <w:numId w:val="230"/>
        </w:numPr>
        <w:tabs>
          <w:tab w:val="left" w:pos="1714"/>
        </w:tabs>
        <w:spacing w:line="249" w:lineRule="auto"/>
        <w:ind w:right="1104" w:firstLine="340"/>
        <w:rPr>
          <w:sz w:val="20"/>
        </w:rPr>
      </w:pPr>
      <w:r>
        <w:rPr>
          <w:sz w:val="20"/>
        </w:rPr>
        <w:t>La</w:t>
      </w:r>
      <w:r>
        <w:rPr>
          <w:spacing w:val="40"/>
          <w:sz w:val="20"/>
        </w:rPr>
        <w:t xml:space="preserve"> </w:t>
      </w:r>
      <w:r>
        <w:rPr>
          <w:sz w:val="20"/>
        </w:rPr>
        <w:t>información</w:t>
      </w:r>
      <w:r>
        <w:rPr>
          <w:spacing w:val="40"/>
          <w:sz w:val="20"/>
        </w:rPr>
        <w:t xml:space="preserve"> </w:t>
      </w:r>
      <w:r>
        <w:rPr>
          <w:sz w:val="20"/>
        </w:rPr>
        <w:t>que</w:t>
      </w:r>
      <w:r>
        <w:rPr>
          <w:spacing w:val="40"/>
          <w:sz w:val="20"/>
        </w:rPr>
        <w:t xml:space="preserve"> </w:t>
      </w:r>
      <w:r>
        <w:rPr>
          <w:sz w:val="20"/>
        </w:rPr>
        <w:t>se</w:t>
      </w:r>
      <w:r>
        <w:rPr>
          <w:spacing w:val="40"/>
          <w:sz w:val="20"/>
        </w:rPr>
        <w:t xml:space="preserve"> </w:t>
      </w:r>
      <w:r>
        <w:rPr>
          <w:sz w:val="20"/>
        </w:rPr>
        <w:t>pondrá</w:t>
      </w:r>
      <w:r>
        <w:rPr>
          <w:spacing w:val="40"/>
          <w:sz w:val="20"/>
        </w:rPr>
        <w:t xml:space="preserve"> </w:t>
      </w:r>
      <w:r>
        <w:rPr>
          <w:sz w:val="20"/>
        </w:rPr>
        <w:t>a</w:t>
      </w:r>
      <w:r>
        <w:rPr>
          <w:spacing w:val="40"/>
          <w:sz w:val="20"/>
        </w:rPr>
        <w:t xml:space="preserve"> </w:t>
      </w:r>
      <w:r>
        <w:rPr>
          <w:sz w:val="20"/>
        </w:rPr>
        <w:t>disposición</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licitadores</w:t>
      </w:r>
      <w:r>
        <w:rPr>
          <w:spacing w:val="40"/>
          <w:sz w:val="20"/>
        </w:rPr>
        <w:t xml:space="preserve"> </w:t>
      </w:r>
      <w:r>
        <w:rPr>
          <w:sz w:val="20"/>
        </w:rPr>
        <w:t>durante</w:t>
      </w:r>
      <w:r>
        <w:rPr>
          <w:spacing w:val="40"/>
          <w:sz w:val="20"/>
        </w:rPr>
        <w:t xml:space="preserve"> </w:t>
      </w:r>
      <w:r>
        <w:rPr>
          <w:sz w:val="20"/>
        </w:rPr>
        <w:t>la</w:t>
      </w:r>
      <w:r>
        <w:rPr>
          <w:spacing w:val="40"/>
          <w:sz w:val="20"/>
        </w:rPr>
        <w:t xml:space="preserve"> </w:t>
      </w:r>
      <w:r>
        <w:rPr>
          <w:sz w:val="20"/>
        </w:rPr>
        <w:t>subasta electrónica y, cuando proceda, el momento en que se facilitará.</w:t>
      </w:r>
    </w:p>
    <w:p w:rsidR="0092635B" w:rsidRDefault="00000000">
      <w:pPr>
        <w:pStyle w:val="Prrafodelista"/>
        <w:numPr>
          <w:ilvl w:val="1"/>
          <w:numId w:val="230"/>
        </w:numPr>
        <w:tabs>
          <w:tab w:val="left" w:pos="1679"/>
        </w:tabs>
        <w:spacing w:before="1"/>
        <w:ind w:left="1679" w:right="0" w:hanging="233"/>
        <w:rPr>
          <w:sz w:val="20"/>
        </w:rPr>
      </w:pPr>
      <w:r>
        <w:rPr>
          <w:sz w:val="20"/>
        </w:rPr>
        <w:t>La</w:t>
      </w:r>
      <w:r>
        <w:rPr>
          <w:spacing w:val="-3"/>
          <w:sz w:val="20"/>
        </w:rPr>
        <w:t xml:space="preserve"> </w:t>
      </w:r>
      <w:r>
        <w:rPr>
          <w:sz w:val="20"/>
        </w:rPr>
        <w:t>forma</w:t>
      </w:r>
      <w:r>
        <w:rPr>
          <w:spacing w:val="-3"/>
          <w:sz w:val="20"/>
        </w:rPr>
        <w:t xml:space="preserve"> </w:t>
      </w:r>
      <w:r>
        <w:rPr>
          <w:sz w:val="20"/>
        </w:rPr>
        <w:t>en</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desarrollará</w:t>
      </w:r>
      <w:r>
        <w:rPr>
          <w:spacing w:val="-3"/>
          <w:sz w:val="20"/>
        </w:rPr>
        <w:t xml:space="preserve"> </w:t>
      </w:r>
      <w:r>
        <w:rPr>
          <w:sz w:val="20"/>
        </w:rPr>
        <w:t>la</w:t>
      </w:r>
      <w:r>
        <w:rPr>
          <w:spacing w:val="-3"/>
          <w:sz w:val="20"/>
        </w:rPr>
        <w:t xml:space="preserve"> </w:t>
      </w:r>
      <w:r>
        <w:rPr>
          <w:spacing w:val="-2"/>
          <w:sz w:val="20"/>
        </w:rPr>
        <w:t>subasta.</w:t>
      </w:r>
    </w:p>
    <w:p w:rsidR="0092635B" w:rsidRDefault="00000000">
      <w:pPr>
        <w:pStyle w:val="Prrafodelista"/>
        <w:numPr>
          <w:ilvl w:val="1"/>
          <w:numId w:val="230"/>
        </w:numPr>
        <w:tabs>
          <w:tab w:val="left" w:pos="1730"/>
        </w:tabs>
        <w:spacing w:before="10" w:line="249" w:lineRule="auto"/>
        <w:ind w:right="1105" w:firstLine="340"/>
        <w:rPr>
          <w:sz w:val="20"/>
        </w:rPr>
      </w:pPr>
      <w:r>
        <w:rPr>
          <w:sz w:val="20"/>
        </w:rPr>
        <w:t>Las</w:t>
      </w:r>
      <w:r>
        <w:rPr>
          <w:spacing w:val="40"/>
          <w:sz w:val="20"/>
        </w:rPr>
        <w:t xml:space="preserve"> </w:t>
      </w:r>
      <w:r>
        <w:rPr>
          <w:sz w:val="20"/>
        </w:rPr>
        <w:t>condiciones</w:t>
      </w:r>
      <w:r>
        <w:rPr>
          <w:spacing w:val="40"/>
          <w:sz w:val="20"/>
        </w:rPr>
        <w:t xml:space="preserve"> </w:t>
      </w:r>
      <w:r>
        <w:rPr>
          <w:sz w:val="20"/>
        </w:rPr>
        <w:t>en</w:t>
      </w:r>
      <w:r>
        <w:rPr>
          <w:spacing w:val="40"/>
          <w:sz w:val="20"/>
        </w:rPr>
        <w:t xml:space="preserve"> </w:t>
      </w:r>
      <w:r>
        <w:rPr>
          <w:sz w:val="20"/>
        </w:rPr>
        <w:t>que</w:t>
      </w:r>
      <w:r>
        <w:rPr>
          <w:spacing w:val="40"/>
          <w:sz w:val="20"/>
        </w:rPr>
        <w:t xml:space="preserve"> </w:t>
      </w:r>
      <w:r>
        <w:rPr>
          <w:sz w:val="20"/>
        </w:rPr>
        <w:t>los</w:t>
      </w:r>
      <w:r>
        <w:rPr>
          <w:spacing w:val="40"/>
          <w:sz w:val="20"/>
        </w:rPr>
        <w:t xml:space="preserve"> </w:t>
      </w:r>
      <w:r>
        <w:rPr>
          <w:sz w:val="20"/>
        </w:rPr>
        <w:t>licitadores</w:t>
      </w:r>
      <w:r>
        <w:rPr>
          <w:spacing w:val="40"/>
          <w:sz w:val="20"/>
        </w:rPr>
        <w:t xml:space="preserve"> </w:t>
      </w:r>
      <w:r>
        <w:rPr>
          <w:sz w:val="20"/>
        </w:rPr>
        <w:t>podrán</w:t>
      </w:r>
      <w:r>
        <w:rPr>
          <w:spacing w:val="40"/>
          <w:sz w:val="20"/>
        </w:rPr>
        <w:t xml:space="preserve"> </w:t>
      </w:r>
      <w:r>
        <w:rPr>
          <w:sz w:val="20"/>
        </w:rPr>
        <w:t>pujar</w:t>
      </w:r>
      <w:r>
        <w:rPr>
          <w:spacing w:val="40"/>
          <w:sz w:val="20"/>
        </w:rPr>
        <w:t xml:space="preserve"> </w:t>
      </w:r>
      <w:r>
        <w:rPr>
          <w:sz w:val="20"/>
        </w:rPr>
        <w:t>y,</w:t>
      </w:r>
      <w:r>
        <w:rPr>
          <w:spacing w:val="40"/>
          <w:sz w:val="20"/>
        </w:rPr>
        <w:t xml:space="preserve"> </w:t>
      </w:r>
      <w:r>
        <w:rPr>
          <w:sz w:val="20"/>
        </w:rPr>
        <w:t>en</w:t>
      </w:r>
      <w:r>
        <w:rPr>
          <w:spacing w:val="40"/>
          <w:sz w:val="20"/>
        </w:rPr>
        <w:t xml:space="preserve"> </w:t>
      </w:r>
      <w:r>
        <w:rPr>
          <w:sz w:val="20"/>
        </w:rPr>
        <w:t>particular,</w:t>
      </w:r>
      <w:r>
        <w:rPr>
          <w:spacing w:val="40"/>
          <w:sz w:val="20"/>
        </w:rPr>
        <w:t xml:space="preserve"> </w:t>
      </w:r>
      <w:r>
        <w:rPr>
          <w:sz w:val="20"/>
        </w:rPr>
        <w:t>las</w:t>
      </w:r>
      <w:r>
        <w:rPr>
          <w:spacing w:val="40"/>
          <w:sz w:val="20"/>
        </w:rPr>
        <w:t xml:space="preserve"> </w:t>
      </w:r>
      <w:r>
        <w:rPr>
          <w:sz w:val="20"/>
        </w:rPr>
        <w:t>mejoras mínimas que se exigirán, en su caso, para cada puja.</w:t>
      </w:r>
    </w:p>
    <w:p w:rsidR="0092635B" w:rsidRDefault="00000000">
      <w:pPr>
        <w:pStyle w:val="Prrafodelista"/>
        <w:numPr>
          <w:ilvl w:val="1"/>
          <w:numId w:val="230"/>
        </w:numPr>
        <w:tabs>
          <w:tab w:val="left" w:pos="1657"/>
        </w:tabs>
        <w:spacing w:line="249" w:lineRule="auto"/>
        <w:ind w:right="1104" w:firstLine="340"/>
        <w:rPr>
          <w:sz w:val="20"/>
        </w:rPr>
      </w:pPr>
      <w:r>
        <w:rPr>
          <w:sz w:val="20"/>
        </w:rPr>
        <w:t>El</w:t>
      </w:r>
      <w:r>
        <w:rPr>
          <w:spacing w:val="31"/>
          <w:sz w:val="20"/>
        </w:rPr>
        <w:t xml:space="preserve"> </w:t>
      </w:r>
      <w:r>
        <w:rPr>
          <w:sz w:val="20"/>
        </w:rPr>
        <w:t>dispositivo</w:t>
      </w:r>
      <w:r>
        <w:rPr>
          <w:spacing w:val="31"/>
          <w:sz w:val="20"/>
        </w:rPr>
        <w:t xml:space="preserve"> </w:t>
      </w:r>
      <w:r>
        <w:rPr>
          <w:sz w:val="20"/>
        </w:rPr>
        <w:t>electrónico</w:t>
      </w:r>
      <w:r>
        <w:rPr>
          <w:spacing w:val="31"/>
          <w:sz w:val="20"/>
        </w:rPr>
        <w:t xml:space="preserve"> </w:t>
      </w:r>
      <w:r>
        <w:rPr>
          <w:sz w:val="20"/>
        </w:rPr>
        <w:t>utilizado</w:t>
      </w:r>
      <w:r>
        <w:rPr>
          <w:spacing w:val="31"/>
          <w:sz w:val="20"/>
        </w:rPr>
        <w:t xml:space="preserve"> </w:t>
      </w:r>
      <w:r>
        <w:rPr>
          <w:sz w:val="20"/>
        </w:rPr>
        <w:t>y</w:t>
      </w:r>
      <w:r>
        <w:rPr>
          <w:spacing w:val="31"/>
          <w:sz w:val="20"/>
        </w:rPr>
        <w:t xml:space="preserve"> </w:t>
      </w:r>
      <w:r>
        <w:rPr>
          <w:sz w:val="20"/>
        </w:rPr>
        <w:t>las</w:t>
      </w:r>
      <w:r>
        <w:rPr>
          <w:spacing w:val="31"/>
          <w:sz w:val="20"/>
        </w:rPr>
        <w:t xml:space="preserve"> </w:t>
      </w:r>
      <w:r>
        <w:rPr>
          <w:sz w:val="20"/>
        </w:rPr>
        <w:t>modalidades</w:t>
      </w:r>
      <w:r>
        <w:rPr>
          <w:spacing w:val="31"/>
          <w:sz w:val="20"/>
        </w:rPr>
        <w:t xml:space="preserve"> </w:t>
      </w:r>
      <w:r>
        <w:rPr>
          <w:sz w:val="20"/>
        </w:rPr>
        <w:t>y</w:t>
      </w:r>
      <w:r>
        <w:rPr>
          <w:spacing w:val="31"/>
          <w:sz w:val="20"/>
        </w:rPr>
        <w:t xml:space="preserve"> </w:t>
      </w:r>
      <w:r>
        <w:rPr>
          <w:sz w:val="20"/>
        </w:rPr>
        <w:t>especificaciones</w:t>
      </w:r>
      <w:r>
        <w:rPr>
          <w:spacing w:val="31"/>
          <w:sz w:val="20"/>
        </w:rPr>
        <w:t xml:space="preserve"> </w:t>
      </w:r>
      <w:r>
        <w:rPr>
          <w:sz w:val="20"/>
        </w:rPr>
        <w:t>técnicas</w:t>
      </w:r>
      <w:r>
        <w:rPr>
          <w:spacing w:val="31"/>
          <w:sz w:val="20"/>
        </w:rPr>
        <w:t xml:space="preserve"> </w:t>
      </w:r>
      <w:r>
        <w:rPr>
          <w:sz w:val="20"/>
        </w:rPr>
        <w:t xml:space="preserve">de </w:t>
      </w:r>
      <w:r>
        <w:rPr>
          <w:spacing w:val="-2"/>
          <w:sz w:val="20"/>
        </w:rPr>
        <w:t>conexión.</w:t>
      </w:r>
    </w:p>
    <w:p w:rsidR="0092635B" w:rsidRDefault="00000000">
      <w:pPr>
        <w:pStyle w:val="Prrafodelista"/>
        <w:numPr>
          <w:ilvl w:val="0"/>
          <w:numId w:val="230"/>
        </w:numPr>
        <w:tabs>
          <w:tab w:val="left" w:pos="1689"/>
        </w:tabs>
        <w:spacing w:before="122" w:line="249" w:lineRule="auto"/>
        <w:ind w:firstLine="340"/>
        <w:jc w:val="both"/>
        <w:rPr>
          <w:sz w:val="20"/>
        </w:rPr>
      </w:pPr>
      <w:r>
        <w:rPr>
          <w:sz w:val="20"/>
        </w:rPr>
        <w:t>Antes de proceder a la subasta electrónica, el órgano de contratación efectuará una primera evaluación completa de las ofertas de conformidad con los criterios de adjudicación y, a continuación, invitará simultáneamente, por medios electrónicos, a todos los licitadores que hayan presentado ofertas admisibles a que participen en la subasta electrónica.</w:t>
      </w:r>
    </w:p>
    <w:p w:rsidR="0092635B" w:rsidRDefault="00000000">
      <w:pPr>
        <w:pStyle w:val="Textoindependiente"/>
        <w:spacing w:before="3" w:line="249" w:lineRule="auto"/>
        <w:ind w:right="1103"/>
      </w:pPr>
      <w:r>
        <w:t>Una</w:t>
      </w:r>
      <w:r>
        <w:rPr>
          <w:spacing w:val="-1"/>
        </w:rPr>
        <w:t xml:space="preserve"> </w:t>
      </w:r>
      <w:r>
        <w:t>oferta</w:t>
      </w:r>
      <w:r>
        <w:rPr>
          <w:spacing w:val="-1"/>
        </w:rPr>
        <w:t xml:space="preserve"> </w:t>
      </w:r>
      <w:r>
        <w:t>se</w:t>
      </w:r>
      <w:r>
        <w:rPr>
          <w:spacing w:val="-1"/>
        </w:rPr>
        <w:t xml:space="preserve"> </w:t>
      </w:r>
      <w:r>
        <w:t>considerará</w:t>
      </w:r>
      <w:r>
        <w:rPr>
          <w:spacing w:val="-1"/>
        </w:rPr>
        <w:t xml:space="preserve"> </w:t>
      </w:r>
      <w:r>
        <w:t>admisible</w:t>
      </w:r>
      <w:r>
        <w:rPr>
          <w:spacing w:val="-1"/>
        </w:rPr>
        <w:t xml:space="preserve"> </w:t>
      </w:r>
      <w:r>
        <w:t>cuando</w:t>
      </w:r>
      <w:r>
        <w:rPr>
          <w:spacing w:val="-1"/>
        </w:rPr>
        <w:t xml:space="preserve"> </w:t>
      </w:r>
      <w:r>
        <w:t>haya</w:t>
      </w:r>
      <w:r>
        <w:rPr>
          <w:spacing w:val="-1"/>
        </w:rPr>
        <w:t xml:space="preserve"> </w:t>
      </w:r>
      <w:r>
        <w:t>sido</w:t>
      </w:r>
      <w:r>
        <w:rPr>
          <w:spacing w:val="-1"/>
        </w:rPr>
        <w:t xml:space="preserve"> </w:t>
      </w:r>
      <w:r>
        <w:t>presentada</w:t>
      </w:r>
      <w:r>
        <w:rPr>
          <w:spacing w:val="-1"/>
        </w:rPr>
        <w:t xml:space="preserve"> </w:t>
      </w:r>
      <w:r>
        <w:t>por</w:t>
      </w:r>
      <w:r>
        <w:rPr>
          <w:spacing w:val="-1"/>
        </w:rPr>
        <w:t xml:space="preserve"> </w:t>
      </w:r>
      <w:r>
        <w:t>un</w:t>
      </w:r>
      <w:r>
        <w:rPr>
          <w:spacing w:val="-1"/>
        </w:rPr>
        <w:t xml:space="preserve"> </w:t>
      </w:r>
      <w:r>
        <w:t>licitador</w:t>
      </w:r>
      <w:r>
        <w:rPr>
          <w:spacing w:val="-1"/>
        </w:rPr>
        <w:t xml:space="preserve"> </w:t>
      </w:r>
      <w:r>
        <w:t>que</w:t>
      </w:r>
      <w:r>
        <w:rPr>
          <w:spacing w:val="-1"/>
        </w:rPr>
        <w:t xml:space="preserve"> </w:t>
      </w:r>
      <w:r>
        <w:t>no haya sido excluido y que cumpla los criterios de selección, y cuya oferta sea conforme con las especificaciones técnicas sin que sea irregular o inaceptable, o inadecuada, en los términos de los artículos 167 y 168 de la presente Ley.</w:t>
      </w:r>
    </w:p>
    <w:p w:rsidR="0092635B" w:rsidRDefault="00000000">
      <w:pPr>
        <w:pStyle w:val="Prrafodelista"/>
        <w:numPr>
          <w:ilvl w:val="0"/>
          <w:numId w:val="230"/>
        </w:numPr>
        <w:tabs>
          <w:tab w:val="left" w:pos="1717"/>
        </w:tabs>
        <w:spacing w:before="3" w:line="249" w:lineRule="auto"/>
        <w:ind w:right="1105" w:firstLine="340"/>
        <w:jc w:val="both"/>
        <w:rPr>
          <w:sz w:val="20"/>
        </w:rPr>
      </w:pPr>
      <w:r>
        <w:rPr>
          <w:sz w:val="20"/>
        </w:rPr>
        <w:t xml:space="preserve">La invitación incluirá toda la información pertinente para la conexión individual al dispositivo electrónico utilizado y precisará la fecha y la hora de comienzo de la subasta </w:t>
      </w:r>
      <w:r>
        <w:rPr>
          <w:spacing w:val="-2"/>
          <w:sz w:val="20"/>
        </w:rPr>
        <w:t>electrónica.</w:t>
      </w:r>
    </w:p>
    <w:p w:rsidR="0092635B" w:rsidRDefault="00000000">
      <w:pPr>
        <w:pStyle w:val="Textoindependiente"/>
        <w:spacing w:before="3" w:line="249" w:lineRule="auto"/>
        <w:ind w:right="1104"/>
      </w:pPr>
      <w:r>
        <w:t>Igualmente</w:t>
      </w:r>
      <w:r>
        <w:rPr>
          <w:spacing w:val="-1"/>
        </w:rPr>
        <w:t xml:space="preserve"> </w:t>
      </w:r>
      <w:r>
        <w:t>se</w:t>
      </w:r>
      <w:r>
        <w:rPr>
          <w:spacing w:val="-1"/>
        </w:rPr>
        <w:t xml:space="preserve"> </w:t>
      </w:r>
      <w:r>
        <w:t>indicará</w:t>
      </w:r>
      <w:r>
        <w:rPr>
          <w:spacing w:val="-1"/>
        </w:rPr>
        <w:t xml:space="preserve"> </w:t>
      </w:r>
      <w:r>
        <w:t>en</w:t>
      </w:r>
      <w:r>
        <w:rPr>
          <w:spacing w:val="-1"/>
        </w:rPr>
        <w:t xml:space="preserve"> </w:t>
      </w:r>
      <w:r>
        <w:t>la</w:t>
      </w:r>
      <w:r>
        <w:rPr>
          <w:spacing w:val="-1"/>
        </w:rPr>
        <w:t xml:space="preserve"> </w:t>
      </w:r>
      <w:r>
        <w:t>invitación</w:t>
      </w:r>
      <w:r>
        <w:rPr>
          <w:spacing w:val="-1"/>
        </w:rPr>
        <w:t xml:space="preserve"> </w:t>
      </w:r>
      <w:r>
        <w:t>el</w:t>
      </w:r>
      <w:r>
        <w:rPr>
          <w:spacing w:val="-1"/>
        </w:rPr>
        <w:t xml:space="preserve"> </w:t>
      </w:r>
      <w:r>
        <w:t>resultado</w:t>
      </w:r>
      <w:r>
        <w:rPr>
          <w:spacing w:val="-1"/>
        </w:rPr>
        <w:t xml:space="preserve"> </w:t>
      </w:r>
      <w:r>
        <w:t>de</w:t>
      </w:r>
      <w:r>
        <w:rPr>
          <w:spacing w:val="-1"/>
        </w:rPr>
        <w:t xml:space="preserve"> </w:t>
      </w:r>
      <w:r>
        <w:t>la</w:t>
      </w:r>
      <w:r>
        <w:rPr>
          <w:spacing w:val="-1"/>
        </w:rPr>
        <w:t xml:space="preserve"> </w:t>
      </w:r>
      <w:r>
        <w:t>evaluación</w:t>
      </w:r>
      <w:r>
        <w:rPr>
          <w:spacing w:val="-1"/>
        </w:rPr>
        <w:t xml:space="preserve"> </w:t>
      </w:r>
      <w:r>
        <w:t>completa</w:t>
      </w:r>
      <w:r>
        <w:rPr>
          <w:spacing w:val="-1"/>
        </w:rPr>
        <w:t xml:space="preserve"> </w:t>
      </w:r>
      <w:r>
        <w:t>de</w:t>
      </w:r>
      <w:r>
        <w:rPr>
          <w:spacing w:val="-1"/>
        </w:rPr>
        <w:t xml:space="preserve"> </w:t>
      </w:r>
      <w:r>
        <w:t>la</w:t>
      </w:r>
      <w:r>
        <w:rPr>
          <w:spacing w:val="-1"/>
        </w:rPr>
        <w:t xml:space="preserve"> </w:t>
      </w:r>
      <w:r>
        <w:t>oferta del licitador de que se trate y la fórmula matemática que se utilizará para la reclasificación automática de las ofertas en función de los nuevos precios, revisados a la baja, o de los nuevos valores, que mejoren la oferta, que se presenten.</w:t>
      </w:r>
    </w:p>
    <w:p w:rsidR="0092635B" w:rsidRDefault="00000000">
      <w:pPr>
        <w:pStyle w:val="Textoindependiente"/>
        <w:spacing w:before="3" w:line="249" w:lineRule="auto"/>
        <w:ind w:right="1103"/>
      </w:pPr>
      <w:r>
        <w:t>Excepto en el supuesto de que la oferta más ventajosa económicamente se determine sobre la base del precio exclusivamente, esta fórmula incorporará la ponderación de todos los criterios fijados para determinar la oferta económicamente más ventajosa, tal como se haya indicado en el anuncio de licitación o en la invitación inicialmente enviada a los candidatos seleccionados y en el pliego, para lo cual, las eventuales bandas de valores deberán expresarse previamente con un valor determinado.</w:t>
      </w:r>
    </w:p>
    <w:p w:rsidR="0092635B" w:rsidRDefault="00000000">
      <w:pPr>
        <w:pStyle w:val="Textoindependiente"/>
        <w:spacing w:before="5" w:line="249" w:lineRule="auto"/>
        <w:ind w:right="1106"/>
      </w:pPr>
      <w:r>
        <w:t>En caso de que se autorice la presentación de variantes, se proporcionará una fórmula para cada una de ellas.</w:t>
      </w:r>
    </w:p>
    <w:p w:rsidR="0092635B" w:rsidRDefault="00000000">
      <w:pPr>
        <w:pStyle w:val="Prrafodelista"/>
        <w:numPr>
          <w:ilvl w:val="0"/>
          <w:numId w:val="230"/>
        </w:numPr>
        <w:tabs>
          <w:tab w:val="left" w:pos="1695"/>
        </w:tabs>
        <w:spacing w:line="249" w:lineRule="auto"/>
        <w:ind w:right="1106" w:firstLine="340"/>
        <w:jc w:val="both"/>
        <w:rPr>
          <w:sz w:val="20"/>
        </w:rPr>
      </w:pPr>
      <w:r>
        <w:rPr>
          <w:sz w:val="20"/>
        </w:rPr>
        <w:t>Entre la fecha de envío de las invitaciones y el comienzo de la subasta electrónica habrán de transcurrir, al menos, dos días hábiles.</w:t>
      </w:r>
    </w:p>
    <w:p w:rsidR="0092635B" w:rsidRDefault="00000000">
      <w:pPr>
        <w:pStyle w:val="Prrafodelista"/>
        <w:numPr>
          <w:ilvl w:val="0"/>
          <w:numId w:val="230"/>
        </w:numPr>
        <w:tabs>
          <w:tab w:val="left" w:pos="1668"/>
        </w:tabs>
        <w:spacing w:before="1"/>
        <w:ind w:left="1668" w:right="0" w:hanging="222"/>
        <w:jc w:val="both"/>
        <w:rPr>
          <w:sz w:val="20"/>
        </w:rPr>
      </w:pPr>
      <w:r>
        <w:rPr>
          <w:sz w:val="20"/>
        </w:rPr>
        <w:t>La</w:t>
      </w:r>
      <w:r>
        <w:rPr>
          <w:spacing w:val="-7"/>
          <w:sz w:val="20"/>
        </w:rPr>
        <w:t xml:space="preserve"> </w:t>
      </w:r>
      <w:r>
        <w:rPr>
          <w:sz w:val="20"/>
        </w:rPr>
        <w:t>subasta</w:t>
      </w:r>
      <w:r>
        <w:rPr>
          <w:spacing w:val="-4"/>
          <w:sz w:val="20"/>
        </w:rPr>
        <w:t xml:space="preserve"> </w:t>
      </w:r>
      <w:r>
        <w:rPr>
          <w:sz w:val="20"/>
        </w:rPr>
        <w:t>electrónica</w:t>
      </w:r>
      <w:r>
        <w:rPr>
          <w:spacing w:val="-4"/>
          <w:sz w:val="20"/>
        </w:rPr>
        <w:t xml:space="preserve"> </w:t>
      </w:r>
      <w:r>
        <w:rPr>
          <w:sz w:val="20"/>
        </w:rPr>
        <w:t>podrá</w:t>
      </w:r>
      <w:r>
        <w:rPr>
          <w:spacing w:val="-4"/>
          <w:sz w:val="20"/>
        </w:rPr>
        <w:t xml:space="preserve"> </w:t>
      </w:r>
      <w:r>
        <w:rPr>
          <w:sz w:val="20"/>
        </w:rPr>
        <w:t>desarrollarse</w:t>
      </w:r>
      <w:r>
        <w:rPr>
          <w:spacing w:val="-5"/>
          <w:sz w:val="20"/>
        </w:rPr>
        <w:t xml:space="preserve"> </w:t>
      </w:r>
      <w:r>
        <w:rPr>
          <w:sz w:val="20"/>
        </w:rPr>
        <w:t>en</w:t>
      </w:r>
      <w:r>
        <w:rPr>
          <w:spacing w:val="-4"/>
          <w:sz w:val="20"/>
        </w:rPr>
        <w:t xml:space="preserve"> </w:t>
      </w:r>
      <w:r>
        <w:rPr>
          <w:sz w:val="20"/>
        </w:rPr>
        <w:t>varias</w:t>
      </w:r>
      <w:r>
        <w:rPr>
          <w:spacing w:val="-4"/>
          <w:sz w:val="20"/>
        </w:rPr>
        <w:t xml:space="preserve"> </w:t>
      </w:r>
      <w:r>
        <w:rPr>
          <w:sz w:val="20"/>
        </w:rPr>
        <w:t>fases</w:t>
      </w:r>
      <w:r>
        <w:rPr>
          <w:spacing w:val="-4"/>
          <w:sz w:val="20"/>
        </w:rPr>
        <w:t xml:space="preserve"> </w:t>
      </w:r>
      <w:r>
        <w:rPr>
          <w:spacing w:val="-2"/>
          <w:sz w:val="20"/>
        </w:rPr>
        <w:t>sucesivas.</w:t>
      </w:r>
    </w:p>
    <w:p w:rsidR="0092635B" w:rsidRDefault="00000000">
      <w:pPr>
        <w:pStyle w:val="Textoindependiente"/>
        <w:spacing w:before="10" w:line="249" w:lineRule="auto"/>
        <w:ind w:right="1105"/>
      </w:pPr>
      <w:r>
        <w:t>A lo largo de cada fase de la subasta, y de forma continua e instantánea, se comunicará a los licitadores, como mínimo, la información que les permita conocer su respectiva clasificación en cada momento.</w:t>
      </w:r>
    </w:p>
    <w:p w:rsidR="0092635B" w:rsidRDefault="00000000">
      <w:pPr>
        <w:pStyle w:val="Textoindependiente"/>
        <w:spacing w:before="3" w:line="249" w:lineRule="auto"/>
        <w:ind w:right="1102"/>
      </w:pPr>
      <w:r>
        <w:t>Adicionalmente, se podrán facilitar otros datos relativos a los precios o valores presentados</w:t>
      </w:r>
      <w:r>
        <w:rPr>
          <w:spacing w:val="-2"/>
        </w:rPr>
        <w:t xml:space="preserve"> </w:t>
      </w:r>
      <w:r>
        <w:t>por</w:t>
      </w:r>
      <w:r>
        <w:rPr>
          <w:spacing w:val="-2"/>
        </w:rPr>
        <w:t xml:space="preserve"> </w:t>
      </w:r>
      <w:r>
        <w:t>los</w:t>
      </w:r>
      <w:r>
        <w:rPr>
          <w:spacing w:val="-2"/>
        </w:rPr>
        <w:t xml:space="preserve"> </w:t>
      </w:r>
      <w:r>
        <w:t>restantes</w:t>
      </w:r>
      <w:r>
        <w:rPr>
          <w:spacing w:val="-2"/>
        </w:rPr>
        <w:t xml:space="preserve"> </w:t>
      </w:r>
      <w:r>
        <w:t>licitadores,</w:t>
      </w:r>
      <w:r>
        <w:rPr>
          <w:spacing w:val="-2"/>
        </w:rPr>
        <w:t xml:space="preserve"> </w:t>
      </w:r>
      <w:r>
        <w:t>siempre</w:t>
      </w:r>
      <w:r>
        <w:rPr>
          <w:spacing w:val="-2"/>
        </w:rPr>
        <w:t xml:space="preserve"> </w:t>
      </w:r>
      <w:r>
        <w:t>que</w:t>
      </w:r>
      <w:r>
        <w:rPr>
          <w:spacing w:val="-2"/>
        </w:rPr>
        <w:t xml:space="preserve"> </w:t>
      </w:r>
      <w:r>
        <w:t>ello</w:t>
      </w:r>
      <w:r>
        <w:rPr>
          <w:spacing w:val="-2"/>
        </w:rPr>
        <w:t xml:space="preserve"> </w:t>
      </w:r>
      <w:r>
        <w:t>esté</w:t>
      </w:r>
      <w:r>
        <w:rPr>
          <w:spacing w:val="-2"/>
        </w:rPr>
        <w:t xml:space="preserve"> </w:t>
      </w:r>
      <w:r>
        <w:t>contemplado</w:t>
      </w:r>
      <w:r>
        <w:rPr>
          <w:spacing w:val="-2"/>
        </w:rPr>
        <w:t xml:space="preserve"> </w:t>
      </w:r>
      <w:r>
        <w:t>en</w:t>
      </w:r>
      <w:r>
        <w:rPr>
          <w:spacing w:val="-2"/>
        </w:rPr>
        <w:t xml:space="preserve"> </w:t>
      </w:r>
      <w:r>
        <w:t>el</w:t>
      </w:r>
      <w:r>
        <w:rPr>
          <w:spacing w:val="-2"/>
        </w:rPr>
        <w:t xml:space="preserve"> </w:t>
      </w:r>
      <w:r>
        <w:t>pliego</w:t>
      </w:r>
      <w:r>
        <w:rPr>
          <w:spacing w:val="-2"/>
        </w:rPr>
        <w:t xml:space="preserve"> </w:t>
      </w:r>
      <w:r>
        <w:t>que rige la licitación, y anunciarse el número de los que están participando en la correspondiente fase de la subasta, sin que en ningún caso pueda divulgarse su identidad.</w:t>
      </w:r>
    </w:p>
    <w:p w:rsidR="0092635B" w:rsidRDefault="00000000">
      <w:pPr>
        <w:pStyle w:val="Prrafodelista"/>
        <w:numPr>
          <w:ilvl w:val="0"/>
          <w:numId w:val="230"/>
        </w:numPr>
        <w:tabs>
          <w:tab w:val="left" w:pos="1668"/>
        </w:tabs>
        <w:spacing w:before="3"/>
        <w:ind w:left="1668" w:right="0" w:hanging="222"/>
        <w:jc w:val="both"/>
        <w:rPr>
          <w:sz w:val="20"/>
        </w:rPr>
      </w:pPr>
      <w:r>
        <w:rPr>
          <w:sz w:val="20"/>
        </w:rPr>
        <w:t>El</w:t>
      </w:r>
      <w:r>
        <w:rPr>
          <w:spacing w:val="-2"/>
          <w:sz w:val="20"/>
        </w:rPr>
        <w:t xml:space="preserve"> </w:t>
      </w:r>
      <w:r>
        <w:rPr>
          <w:sz w:val="20"/>
        </w:rPr>
        <w:t>cierre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subasta</w:t>
      </w:r>
      <w:r>
        <w:rPr>
          <w:spacing w:val="-2"/>
          <w:sz w:val="20"/>
        </w:rPr>
        <w:t xml:space="preserve"> </w:t>
      </w:r>
      <w:r>
        <w:rPr>
          <w:sz w:val="20"/>
        </w:rPr>
        <w:t>se</w:t>
      </w:r>
      <w:r>
        <w:rPr>
          <w:spacing w:val="-2"/>
          <w:sz w:val="20"/>
        </w:rPr>
        <w:t xml:space="preserve"> </w:t>
      </w:r>
      <w:r>
        <w:rPr>
          <w:sz w:val="20"/>
        </w:rPr>
        <w:t>fijará</w:t>
      </w:r>
      <w:r>
        <w:rPr>
          <w:spacing w:val="-2"/>
          <w:sz w:val="20"/>
        </w:rPr>
        <w:t xml:space="preserve"> </w:t>
      </w:r>
      <w:r>
        <w:rPr>
          <w:sz w:val="20"/>
        </w:rPr>
        <w:t>por</w:t>
      </w:r>
      <w:r>
        <w:rPr>
          <w:spacing w:val="-2"/>
          <w:sz w:val="20"/>
        </w:rPr>
        <w:t xml:space="preserve"> </w:t>
      </w:r>
      <w:r>
        <w:rPr>
          <w:sz w:val="20"/>
        </w:rPr>
        <w:t>referencia</w:t>
      </w:r>
      <w:r>
        <w:rPr>
          <w:spacing w:val="-2"/>
          <w:sz w:val="20"/>
        </w:rPr>
        <w:t xml:space="preserve"> </w:t>
      </w:r>
      <w:r>
        <w:rPr>
          <w:sz w:val="20"/>
        </w:rPr>
        <w:t>a</w:t>
      </w:r>
      <w:r>
        <w:rPr>
          <w:spacing w:val="-2"/>
          <w:sz w:val="20"/>
        </w:rPr>
        <w:t xml:space="preserve"> </w:t>
      </w:r>
      <w:r>
        <w:rPr>
          <w:sz w:val="20"/>
        </w:rPr>
        <w:t>uno</w:t>
      </w:r>
      <w:r>
        <w:rPr>
          <w:spacing w:val="-2"/>
          <w:sz w:val="20"/>
        </w:rPr>
        <w:t xml:space="preserve"> </w:t>
      </w:r>
      <w:r>
        <w:rPr>
          <w:sz w:val="20"/>
        </w:rPr>
        <w:t>o</w:t>
      </w:r>
      <w:r>
        <w:rPr>
          <w:spacing w:val="-2"/>
          <w:sz w:val="20"/>
        </w:rPr>
        <w:t xml:space="preserve"> </w:t>
      </w:r>
      <w:r>
        <w:rPr>
          <w:sz w:val="20"/>
        </w:rPr>
        <w:t>varios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siguientes</w:t>
      </w:r>
      <w:r>
        <w:rPr>
          <w:spacing w:val="-2"/>
          <w:sz w:val="20"/>
        </w:rPr>
        <w:t xml:space="preserve"> criterios:</w:t>
      </w:r>
    </w:p>
    <w:p w:rsidR="0092635B" w:rsidRDefault="00000000">
      <w:pPr>
        <w:pStyle w:val="Prrafodelista"/>
        <w:numPr>
          <w:ilvl w:val="1"/>
          <w:numId w:val="230"/>
        </w:numPr>
        <w:tabs>
          <w:tab w:val="left" w:pos="1695"/>
        </w:tabs>
        <w:spacing w:before="130" w:line="249" w:lineRule="auto"/>
        <w:ind w:right="1104" w:firstLine="340"/>
        <w:jc w:val="both"/>
        <w:rPr>
          <w:sz w:val="20"/>
        </w:rPr>
      </w:pPr>
      <w:r>
        <w:rPr>
          <w:sz w:val="20"/>
        </w:rPr>
        <w:t>Mediante el señalamiento de una fecha y hora concretas, que deberán ser indicadas en la invitación a participar en la subasta.</w:t>
      </w:r>
    </w:p>
    <w:p w:rsidR="0092635B" w:rsidRDefault="00000000">
      <w:pPr>
        <w:pStyle w:val="Prrafodelista"/>
        <w:numPr>
          <w:ilvl w:val="1"/>
          <w:numId w:val="230"/>
        </w:numPr>
        <w:tabs>
          <w:tab w:val="left" w:pos="1713"/>
        </w:tabs>
        <w:spacing w:line="249" w:lineRule="auto"/>
        <w:ind w:right="1105" w:firstLine="340"/>
        <w:jc w:val="both"/>
        <w:rPr>
          <w:sz w:val="20"/>
        </w:rPr>
      </w:pPr>
      <w:r>
        <w:rPr>
          <w:sz w:val="20"/>
        </w:rPr>
        <w:t>Atendiendo a la falta de presentación de nuevos precios o de nuevos valores que cumplan los requisitos establecidos en relación con la formulación de mejoras mínimas.</w:t>
      </w:r>
    </w:p>
    <w:p w:rsidR="0092635B" w:rsidRDefault="00000000">
      <w:pPr>
        <w:pStyle w:val="Textoindependiente"/>
        <w:spacing w:before="1" w:line="249" w:lineRule="auto"/>
        <w:ind w:right="1103"/>
      </w:pPr>
      <w:r>
        <w:t xml:space="preserve">De utilizarse esta referencia, en la invitación a participar en la subasta se especificará el plazo que deberá transcurrir a partir de la recepción de la última puja antes de declarar su </w:t>
      </w:r>
      <w:r>
        <w:rPr>
          <w:spacing w:val="-2"/>
        </w:rPr>
        <w:t>cierre.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30"/>
        </w:numPr>
        <w:tabs>
          <w:tab w:val="left" w:pos="1703"/>
        </w:tabs>
        <w:spacing w:before="1" w:line="249" w:lineRule="auto"/>
        <w:ind w:right="1104" w:firstLine="340"/>
        <w:jc w:val="both"/>
        <w:rPr>
          <w:sz w:val="20"/>
        </w:rPr>
      </w:pPr>
      <w:r>
        <w:rPr>
          <w:sz w:val="20"/>
        </w:rPr>
        <w:t>Por finalización del número de fases establecido en la invitación a participar en la subasta. Cuando el cierre de la subasta deba producirse aplicando este criterio, la invitación a participar en la misma indicará el calendario a observar en cada una de sus fases.</w:t>
      </w:r>
    </w:p>
    <w:p w:rsidR="0092635B" w:rsidRDefault="00000000">
      <w:pPr>
        <w:pStyle w:val="Prrafodelista"/>
        <w:numPr>
          <w:ilvl w:val="0"/>
          <w:numId w:val="230"/>
        </w:numPr>
        <w:tabs>
          <w:tab w:val="left" w:pos="1800"/>
        </w:tabs>
        <w:spacing w:before="122" w:line="249" w:lineRule="auto"/>
        <w:ind w:right="1105" w:firstLine="340"/>
        <w:jc w:val="both"/>
        <w:rPr>
          <w:sz w:val="20"/>
        </w:rPr>
      </w:pPr>
      <w:r>
        <w:rPr>
          <w:sz w:val="20"/>
        </w:rPr>
        <w:t>Una vez concluida la subasta electrónica, el contrato se adjudicará de conformidad con lo establecido en el artículo 150, en función de sus resultados.</w:t>
      </w:r>
    </w:p>
    <w:p w:rsidR="0092635B" w:rsidRDefault="00000000">
      <w:pPr>
        <w:pStyle w:val="Prrafodelista"/>
        <w:numPr>
          <w:ilvl w:val="0"/>
          <w:numId w:val="230"/>
        </w:numPr>
        <w:tabs>
          <w:tab w:val="left" w:pos="1812"/>
        </w:tabs>
        <w:spacing w:line="249" w:lineRule="auto"/>
        <w:ind w:right="1104" w:firstLine="340"/>
        <w:jc w:val="both"/>
        <w:rPr>
          <w:sz w:val="20"/>
        </w:rPr>
      </w:pPr>
      <w:r>
        <w:rPr>
          <w:sz w:val="20"/>
        </w:rPr>
        <w:t>No se adjudicarán mediante subasta electrónica los contratos cuyo objeto tenga relación con la calidad alimentaria.</w:t>
      </w:r>
    </w:p>
    <w:p w:rsidR="0092635B" w:rsidRDefault="00000000">
      <w:pPr>
        <w:spacing w:before="228"/>
        <w:ind w:left="1106"/>
        <w:rPr>
          <w:rFonts w:ascii="Arial" w:hAnsi="Arial"/>
          <w:i/>
          <w:sz w:val="20"/>
        </w:rPr>
      </w:pPr>
      <w:bookmarkStart w:id="235" w:name="Artículo_144._Sucesión_en_el_procedimien"/>
      <w:bookmarkEnd w:id="235"/>
      <w:r>
        <w:rPr>
          <w:rFonts w:ascii="Arial" w:hAnsi="Arial"/>
          <w:b/>
          <w:sz w:val="20"/>
        </w:rPr>
        <w:t>Artículo</w:t>
      </w:r>
      <w:r>
        <w:rPr>
          <w:rFonts w:ascii="Arial" w:hAnsi="Arial"/>
          <w:b/>
          <w:spacing w:val="-2"/>
          <w:sz w:val="20"/>
        </w:rPr>
        <w:t xml:space="preserve"> </w:t>
      </w:r>
      <w:r>
        <w:rPr>
          <w:rFonts w:ascii="Arial" w:hAnsi="Arial"/>
          <w:b/>
          <w:sz w:val="20"/>
        </w:rPr>
        <w:t>144.</w:t>
      </w:r>
      <w:r>
        <w:rPr>
          <w:rFonts w:ascii="Arial" w:hAnsi="Arial"/>
          <w:b/>
          <w:spacing w:val="51"/>
          <w:sz w:val="20"/>
        </w:rPr>
        <w:t xml:space="preserve"> </w:t>
      </w:r>
      <w:r>
        <w:rPr>
          <w:rFonts w:ascii="Arial" w:hAnsi="Arial"/>
          <w:i/>
          <w:sz w:val="20"/>
        </w:rPr>
        <w:t>Sucesión</w:t>
      </w:r>
      <w:r>
        <w:rPr>
          <w:rFonts w:ascii="Arial" w:hAnsi="Arial"/>
          <w:i/>
          <w:spacing w:val="-1"/>
          <w:sz w:val="20"/>
        </w:rPr>
        <w:t xml:space="preserve"> </w:t>
      </w:r>
      <w:r>
        <w:rPr>
          <w:rFonts w:ascii="Arial" w:hAnsi="Arial"/>
          <w:i/>
          <w:sz w:val="20"/>
        </w:rPr>
        <w:t>en</w:t>
      </w:r>
      <w:r>
        <w:rPr>
          <w:rFonts w:ascii="Arial" w:hAnsi="Arial"/>
          <w:i/>
          <w:spacing w:val="-2"/>
          <w:sz w:val="20"/>
        </w:rPr>
        <w:t xml:space="preserve"> </w:t>
      </w:r>
      <w:r>
        <w:rPr>
          <w:rFonts w:ascii="Arial" w:hAnsi="Arial"/>
          <w:i/>
          <w:sz w:val="20"/>
        </w:rPr>
        <w:t>el</w:t>
      </w:r>
      <w:r>
        <w:rPr>
          <w:rFonts w:ascii="Arial" w:hAnsi="Arial"/>
          <w:i/>
          <w:spacing w:val="-1"/>
          <w:sz w:val="20"/>
        </w:rPr>
        <w:t xml:space="preserve"> </w:t>
      </w:r>
      <w:r>
        <w:rPr>
          <w:rFonts w:ascii="Arial" w:hAnsi="Arial"/>
          <w:i/>
          <w:spacing w:val="-2"/>
          <w:sz w:val="20"/>
        </w:rPr>
        <w:t>procedimiento.</w:t>
      </w:r>
    </w:p>
    <w:p w:rsidR="0092635B" w:rsidRDefault="00000000">
      <w:pPr>
        <w:pStyle w:val="Textoindependiente"/>
        <w:spacing w:before="124" w:line="249" w:lineRule="auto"/>
        <w:ind w:right="1104"/>
      </w:pPr>
      <w:r>
        <w:t>Si durante la tramitación de un procedimiento y antes de la formalización del contrato se produjese una operación de fusión, escisión, transmisión del patrimonio empresarial o de</w:t>
      </w:r>
      <w:r>
        <w:rPr>
          <w:spacing w:val="80"/>
        </w:rPr>
        <w:t xml:space="preserve"> </w:t>
      </w:r>
      <w:r>
        <w:t>una rama de la actividad, le sucederá a la empresa licitadora o candidata en su posición en</w:t>
      </w:r>
      <w:r>
        <w:rPr>
          <w:spacing w:val="40"/>
        </w:rPr>
        <w:t xml:space="preserve"> </w:t>
      </w:r>
      <w:r>
        <w:t xml:space="preserve">el procedimiento la sociedad absorbente, la resultante de la fusión, la beneficiaria de la escisión o la adquirente del patrimonio empresarial o de la correspondiente rama de actividad, siempre que reúna las condiciones de capacidad y ausencia de prohibición de contratar y acredite su solvencia y clasificación en las condiciones exigidas en el pliego de cláusulas administrativas particulares para poder participar en el procedimiento de </w:t>
      </w:r>
      <w:r>
        <w:rPr>
          <w:spacing w:val="-2"/>
        </w:rPr>
        <w:t>adjudicación.</w:t>
      </w:r>
    </w:p>
    <w:p w:rsidR="0092635B" w:rsidRDefault="0092635B">
      <w:pPr>
        <w:pStyle w:val="Textoindependiente"/>
        <w:spacing w:before="4"/>
        <w:ind w:left="0" w:firstLine="0"/>
        <w:jc w:val="left"/>
      </w:pPr>
    </w:p>
    <w:p w:rsidR="0092635B" w:rsidRDefault="00000000">
      <w:pPr>
        <w:ind w:left="1106"/>
        <w:rPr>
          <w:rFonts w:ascii="Arial" w:hAnsi="Arial"/>
          <w:i/>
          <w:sz w:val="20"/>
        </w:rPr>
      </w:pPr>
      <w:bookmarkStart w:id="236" w:name="Artículo_145._Requisitos_y_clases_de_cri"/>
      <w:bookmarkEnd w:id="236"/>
      <w:r>
        <w:rPr>
          <w:rFonts w:ascii="Arial" w:hAnsi="Arial"/>
          <w:b/>
          <w:sz w:val="20"/>
        </w:rPr>
        <w:t>Artículo</w:t>
      </w:r>
      <w:r>
        <w:rPr>
          <w:rFonts w:ascii="Arial" w:hAnsi="Arial"/>
          <w:b/>
          <w:spacing w:val="-2"/>
          <w:sz w:val="20"/>
        </w:rPr>
        <w:t xml:space="preserve"> </w:t>
      </w:r>
      <w:r>
        <w:rPr>
          <w:rFonts w:ascii="Arial" w:hAnsi="Arial"/>
          <w:b/>
          <w:sz w:val="20"/>
        </w:rPr>
        <w:t>145.</w:t>
      </w:r>
      <w:r>
        <w:rPr>
          <w:rFonts w:ascii="Arial" w:hAnsi="Arial"/>
          <w:b/>
          <w:spacing w:val="51"/>
          <w:sz w:val="20"/>
        </w:rPr>
        <w:t xml:space="preserve"> </w:t>
      </w:r>
      <w:r>
        <w:rPr>
          <w:rFonts w:ascii="Arial" w:hAnsi="Arial"/>
          <w:i/>
          <w:sz w:val="20"/>
        </w:rPr>
        <w:t>Requisitos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clases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criterios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adjudicación</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pacing w:val="-2"/>
          <w:sz w:val="20"/>
        </w:rPr>
        <w:t>contrato.</w:t>
      </w:r>
    </w:p>
    <w:p w:rsidR="0092635B" w:rsidRDefault="00000000">
      <w:pPr>
        <w:pStyle w:val="Prrafodelista"/>
        <w:numPr>
          <w:ilvl w:val="0"/>
          <w:numId w:val="229"/>
        </w:numPr>
        <w:tabs>
          <w:tab w:val="left" w:pos="1686"/>
        </w:tabs>
        <w:spacing w:before="123" w:line="249" w:lineRule="auto"/>
        <w:ind w:right="1104" w:firstLine="340"/>
        <w:jc w:val="both"/>
        <w:rPr>
          <w:sz w:val="20"/>
        </w:rPr>
      </w:pPr>
      <w:r>
        <w:rPr>
          <w:sz w:val="20"/>
        </w:rPr>
        <w:t>La adjudicación de los contratos se realizará utilizando una pluralidad de criterios de adjudicación en base a la mejor relación calidad-precio.</w:t>
      </w:r>
    </w:p>
    <w:p w:rsidR="0092635B" w:rsidRDefault="00000000">
      <w:pPr>
        <w:pStyle w:val="Textoindependiente"/>
        <w:spacing w:line="249" w:lineRule="auto"/>
        <w:ind w:right="1104"/>
      </w:pPr>
      <w:r>
        <w:t>Previa justificación en el expediente, los contratos se podrán adjudicar con arreglo a criterios</w:t>
      </w:r>
      <w:r>
        <w:rPr>
          <w:spacing w:val="-3"/>
        </w:rPr>
        <w:t xml:space="preserve"> </w:t>
      </w:r>
      <w:r>
        <w:t>basados</w:t>
      </w:r>
      <w:r>
        <w:rPr>
          <w:spacing w:val="-3"/>
        </w:rPr>
        <w:t xml:space="preserve"> </w:t>
      </w:r>
      <w:r>
        <w:t>en</w:t>
      </w:r>
      <w:r>
        <w:rPr>
          <w:spacing w:val="-3"/>
        </w:rPr>
        <w:t xml:space="preserve"> </w:t>
      </w:r>
      <w:r>
        <w:t>un</w:t>
      </w:r>
      <w:r>
        <w:rPr>
          <w:spacing w:val="-3"/>
        </w:rPr>
        <w:t xml:space="preserve"> </w:t>
      </w:r>
      <w:r>
        <w:t>planteamiento</w:t>
      </w:r>
      <w:r>
        <w:rPr>
          <w:spacing w:val="-3"/>
        </w:rPr>
        <w:t xml:space="preserve"> </w:t>
      </w:r>
      <w:r>
        <w:t>que</w:t>
      </w:r>
      <w:r>
        <w:rPr>
          <w:spacing w:val="-3"/>
        </w:rPr>
        <w:t xml:space="preserve"> </w:t>
      </w:r>
      <w:r>
        <w:t>atienda</w:t>
      </w:r>
      <w:r>
        <w:rPr>
          <w:spacing w:val="-3"/>
        </w:rPr>
        <w:t xml:space="preserve"> </w:t>
      </w:r>
      <w:r>
        <w:t>a</w:t>
      </w:r>
      <w:r>
        <w:rPr>
          <w:spacing w:val="-3"/>
        </w:rPr>
        <w:t xml:space="preserve"> </w:t>
      </w:r>
      <w:r>
        <w:t>la</w:t>
      </w:r>
      <w:r>
        <w:rPr>
          <w:spacing w:val="-3"/>
        </w:rPr>
        <w:t xml:space="preserve"> </w:t>
      </w:r>
      <w:r>
        <w:t>mejor</w:t>
      </w:r>
      <w:r>
        <w:rPr>
          <w:spacing w:val="-3"/>
        </w:rPr>
        <w:t xml:space="preserve"> </w:t>
      </w:r>
      <w:r>
        <w:t>relación</w:t>
      </w:r>
      <w:r>
        <w:rPr>
          <w:spacing w:val="-3"/>
        </w:rPr>
        <w:t xml:space="preserve"> </w:t>
      </w:r>
      <w:r>
        <w:t>coste-eficacia,</w:t>
      </w:r>
      <w:r>
        <w:rPr>
          <w:spacing w:val="-3"/>
        </w:rPr>
        <w:t xml:space="preserve"> </w:t>
      </w:r>
      <w:r>
        <w:t>sobre</w:t>
      </w:r>
      <w:r>
        <w:rPr>
          <w:spacing w:val="-3"/>
        </w:rPr>
        <w:t xml:space="preserve"> </w:t>
      </w:r>
      <w:r>
        <w:t>la base</w:t>
      </w:r>
      <w:r>
        <w:rPr>
          <w:spacing w:val="40"/>
        </w:rPr>
        <w:t xml:space="preserve"> </w:t>
      </w:r>
      <w:r>
        <w:t>del</w:t>
      </w:r>
      <w:r>
        <w:rPr>
          <w:spacing w:val="40"/>
        </w:rPr>
        <w:t xml:space="preserve"> </w:t>
      </w:r>
      <w:r>
        <w:t>precio</w:t>
      </w:r>
      <w:r>
        <w:rPr>
          <w:spacing w:val="40"/>
        </w:rPr>
        <w:t xml:space="preserve"> </w:t>
      </w:r>
      <w:r>
        <w:t>o</w:t>
      </w:r>
      <w:r>
        <w:rPr>
          <w:spacing w:val="40"/>
        </w:rPr>
        <w:t xml:space="preserve"> </w:t>
      </w:r>
      <w:r>
        <w:t>coste,</w:t>
      </w:r>
      <w:r>
        <w:rPr>
          <w:spacing w:val="40"/>
        </w:rPr>
        <w:t xml:space="preserve"> </w:t>
      </w:r>
      <w:r>
        <w:t>como</w:t>
      </w:r>
      <w:r>
        <w:rPr>
          <w:spacing w:val="40"/>
        </w:rPr>
        <w:t xml:space="preserve"> </w:t>
      </w:r>
      <w:r>
        <w:t>el</w:t>
      </w:r>
      <w:r>
        <w:rPr>
          <w:spacing w:val="40"/>
        </w:rPr>
        <w:t xml:space="preserve"> </w:t>
      </w:r>
      <w:r>
        <w:t>cálculo</w:t>
      </w:r>
      <w:r>
        <w:rPr>
          <w:spacing w:val="40"/>
        </w:rPr>
        <w:t xml:space="preserve"> </w:t>
      </w:r>
      <w:r>
        <w:t>del</w:t>
      </w:r>
      <w:r>
        <w:rPr>
          <w:spacing w:val="40"/>
        </w:rPr>
        <w:t xml:space="preserve"> </w:t>
      </w:r>
      <w:r>
        <w:t>coste</w:t>
      </w:r>
      <w:r>
        <w:rPr>
          <w:spacing w:val="40"/>
        </w:rPr>
        <w:t xml:space="preserve"> </w:t>
      </w:r>
      <w:r>
        <w:t>del</w:t>
      </w:r>
      <w:r>
        <w:rPr>
          <w:spacing w:val="40"/>
        </w:rPr>
        <w:t xml:space="preserve"> </w:t>
      </w:r>
      <w:r>
        <w:t>ciclo</w:t>
      </w:r>
      <w:r>
        <w:rPr>
          <w:spacing w:val="40"/>
        </w:rPr>
        <w:t xml:space="preserve"> </w:t>
      </w:r>
      <w:r>
        <w:t>de</w:t>
      </w:r>
      <w:r>
        <w:rPr>
          <w:spacing w:val="40"/>
        </w:rPr>
        <w:t xml:space="preserve"> </w:t>
      </w:r>
      <w:r>
        <w:t>vida</w:t>
      </w:r>
      <w:r>
        <w:rPr>
          <w:spacing w:val="40"/>
        </w:rPr>
        <w:t xml:space="preserve"> </w:t>
      </w:r>
      <w:r>
        <w:t>con</w:t>
      </w:r>
      <w:r>
        <w:rPr>
          <w:spacing w:val="40"/>
        </w:rPr>
        <w:t xml:space="preserve"> </w:t>
      </w:r>
      <w:r>
        <w:t>arreglo</w:t>
      </w:r>
      <w:r>
        <w:rPr>
          <w:spacing w:val="40"/>
        </w:rPr>
        <w:t xml:space="preserve"> </w:t>
      </w:r>
      <w:r>
        <w:t>al artículo 148.</w:t>
      </w:r>
    </w:p>
    <w:p w:rsidR="0092635B" w:rsidRDefault="00000000">
      <w:pPr>
        <w:pStyle w:val="Prrafodelista"/>
        <w:numPr>
          <w:ilvl w:val="0"/>
          <w:numId w:val="229"/>
        </w:numPr>
        <w:tabs>
          <w:tab w:val="left" w:pos="1711"/>
        </w:tabs>
        <w:spacing w:before="3" w:line="249" w:lineRule="auto"/>
        <w:ind w:right="1105" w:firstLine="340"/>
        <w:jc w:val="both"/>
        <w:rPr>
          <w:sz w:val="20"/>
        </w:rPr>
      </w:pPr>
      <w:r>
        <w:rPr>
          <w:sz w:val="20"/>
        </w:rPr>
        <w:t xml:space="preserve">La mejor relación calidad-precio se evaluará con arreglo a criterios económicos y </w:t>
      </w:r>
      <w:r>
        <w:rPr>
          <w:spacing w:val="-2"/>
          <w:sz w:val="20"/>
        </w:rPr>
        <w:t>cualitativos.</w:t>
      </w:r>
    </w:p>
    <w:p w:rsidR="0092635B" w:rsidRDefault="00000000">
      <w:pPr>
        <w:pStyle w:val="Textoindependiente"/>
        <w:spacing w:line="249" w:lineRule="auto"/>
        <w:ind w:right="1103"/>
      </w:pPr>
      <w:r>
        <w:t>Los criterios cualitativos que establezca el órgano de contratación para evaluar la mejor relación calidad-precio podrán incluir aspectos medioambientales o sociales, vinculados al objeto del contrato en la forma establecida en el apartado 6 de este artículo, que podrán ser, entre otros, los siguientes:</w:t>
      </w:r>
    </w:p>
    <w:p w:rsidR="0092635B" w:rsidRDefault="00000000">
      <w:pPr>
        <w:pStyle w:val="Prrafodelista"/>
        <w:numPr>
          <w:ilvl w:val="0"/>
          <w:numId w:val="228"/>
        </w:numPr>
        <w:tabs>
          <w:tab w:val="left" w:pos="1610"/>
        </w:tabs>
        <w:spacing w:before="123" w:line="249" w:lineRule="auto"/>
        <w:ind w:right="1104" w:firstLine="340"/>
        <w:jc w:val="both"/>
        <w:rPr>
          <w:sz w:val="20"/>
        </w:rPr>
      </w:pPr>
      <w:r>
        <w:rPr>
          <w:sz w:val="20"/>
        </w:rPr>
        <w:t xml:space="preserve">º La calidad, incluido el valor técnico, las características estéticas y funcionales, la accesibilidad, el diseño universal o diseño para todas las personas usuarias, las características sociales, medioambientales e innovadoras, y la comercialización y sus </w:t>
      </w:r>
      <w:r>
        <w:rPr>
          <w:spacing w:val="-2"/>
          <w:sz w:val="20"/>
        </w:rPr>
        <w:t>condiciones;</w:t>
      </w:r>
    </w:p>
    <w:p w:rsidR="0092635B" w:rsidRDefault="00000000">
      <w:pPr>
        <w:pStyle w:val="Textoindependiente"/>
        <w:spacing w:before="3" w:line="249" w:lineRule="auto"/>
        <w:ind w:right="1103"/>
      </w:pPr>
      <w:r>
        <w:t>Las características medioambientales podrán referirse, entre otras, a la reducción del nivel de emisión de gases de efecto invernadero; al empleo de medidas de ahorro y</w:t>
      </w:r>
      <w:r>
        <w:rPr>
          <w:spacing w:val="40"/>
        </w:rPr>
        <w:t xml:space="preserve"> </w:t>
      </w:r>
      <w:r>
        <w:t>eficiencia energética y a la utilización de energía procedentes de fuentes renovables durante la ejecución del contrato; y al mantenimiento o mejora de los recursos naturales que puedan verse afectados por la ejecución del contrato.</w:t>
      </w:r>
    </w:p>
    <w:p w:rsidR="0092635B" w:rsidRDefault="00000000">
      <w:pPr>
        <w:pStyle w:val="Textoindependiente"/>
        <w:spacing w:before="4" w:line="249" w:lineRule="auto"/>
        <w:ind w:right="1102"/>
      </w:pPr>
      <w:r>
        <w:t>Las características sociales del contrato se referirán, entre otras, a las siguientes finalidades: al fomento de la integración social de personas con discapacidad, personas desfavorecidas o miembros de grupos vulnerables entre las personas asignadas a la ejecución del contrato y, en general, la inserción sociolaboral de personas con discapacidad o en situación o riesgo de exclusión social; la subcontratación con Centros Especiales de Empleo o Empresas de Inserción; los planes de igualdad de género que se apliquen en la ejecución del contrato y, en general, la igualdad entre mujeres y hombres; el fomento de la contratación femenina; la conciliación de la vida laboral, personal y familiar; la mejora de las condiciones laborales y salariales; la estabilidad en el empleo; la contratación de un mayor número de personas para la ejecución del contrato; la formación y la protección de la salud y la seguridad en el trabajo; la aplicación de criterios éticos y de responsabilidad social a la prestación contractual; o los criterios referidos al suministro o a la utilización de productos basados en un comercio equitativo durante la ejecución del contrato.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28"/>
        </w:numPr>
        <w:tabs>
          <w:tab w:val="left" w:pos="1610"/>
        </w:tabs>
        <w:spacing w:before="1" w:line="249" w:lineRule="auto"/>
        <w:ind w:right="1106" w:firstLine="340"/>
        <w:jc w:val="both"/>
        <w:rPr>
          <w:sz w:val="20"/>
        </w:rPr>
      </w:pPr>
      <w:r>
        <w:rPr>
          <w:sz w:val="20"/>
        </w:rPr>
        <w:t>º</w:t>
      </w:r>
      <w:r>
        <w:rPr>
          <w:spacing w:val="-1"/>
          <w:sz w:val="20"/>
        </w:rPr>
        <w:t xml:space="preserve"> </w:t>
      </w:r>
      <w:r>
        <w:rPr>
          <w:sz w:val="20"/>
        </w:rPr>
        <w:t>La organización, cualificación y experiencia del personal adscrito al contrato que vaya a</w:t>
      </w:r>
      <w:r>
        <w:rPr>
          <w:spacing w:val="-1"/>
          <w:sz w:val="20"/>
        </w:rPr>
        <w:t xml:space="preserve"> </w:t>
      </w:r>
      <w:r>
        <w:rPr>
          <w:sz w:val="20"/>
        </w:rPr>
        <w:t>ejecutar</w:t>
      </w:r>
      <w:r>
        <w:rPr>
          <w:spacing w:val="-1"/>
          <w:sz w:val="20"/>
        </w:rPr>
        <w:t xml:space="preserve"> </w:t>
      </w:r>
      <w:r>
        <w:rPr>
          <w:sz w:val="20"/>
        </w:rPr>
        <w:t>el</w:t>
      </w:r>
      <w:r>
        <w:rPr>
          <w:spacing w:val="-1"/>
          <w:sz w:val="20"/>
        </w:rPr>
        <w:t xml:space="preserve"> </w:t>
      </w:r>
      <w:r>
        <w:rPr>
          <w:sz w:val="20"/>
        </w:rPr>
        <w:t>mismo,</w:t>
      </w:r>
      <w:r>
        <w:rPr>
          <w:spacing w:val="-1"/>
          <w:sz w:val="20"/>
        </w:rPr>
        <w:t xml:space="preserve"> </w:t>
      </w:r>
      <w:r>
        <w:rPr>
          <w:sz w:val="20"/>
        </w:rPr>
        <w:t>siempre</w:t>
      </w:r>
      <w:r>
        <w:rPr>
          <w:spacing w:val="-1"/>
          <w:sz w:val="20"/>
        </w:rPr>
        <w:t xml:space="preserve"> </w:t>
      </w:r>
      <w:r>
        <w:rPr>
          <w:sz w:val="20"/>
        </w:rPr>
        <w:t>y</w:t>
      </w:r>
      <w:r>
        <w:rPr>
          <w:spacing w:val="-1"/>
          <w:sz w:val="20"/>
        </w:rPr>
        <w:t xml:space="preserve"> </w:t>
      </w:r>
      <w:r>
        <w:rPr>
          <w:sz w:val="20"/>
        </w:rPr>
        <w:t>cuando</w:t>
      </w:r>
      <w:r>
        <w:rPr>
          <w:spacing w:val="-1"/>
          <w:sz w:val="20"/>
        </w:rPr>
        <w:t xml:space="preserve"> </w:t>
      </w:r>
      <w:r>
        <w:rPr>
          <w:sz w:val="20"/>
        </w:rPr>
        <w:t>la</w:t>
      </w:r>
      <w:r>
        <w:rPr>
          <w:spacing w:val="-1"/>
          <w:sz w:val="20"/>
        </w:rPr>
        <w:t xml:space="preserve"> </w:t>
      </w:r>
      <w:r>
        <w:rPr>
          <w:sz w:val="20"/>
        </w:rPr>
        <w:t>calidad</w:t>
      </w:r>
      <w:r>
        <w:rPr>
          <w:spacing w:val="-1"/>
          <w:sz w:val="20"/>
        </w:rPr>
        <w:t xml:space="preserve"> </w:t>
      </w:r>
      <w:r>
        <w:rPr>
          <w:sz w:val="20"/>
        </w:rPr>
        <w:t>de</w:t>
      </w:r>
      <w:r>
        <w:rPr>
          <w:spacing w:val="-1"/>
          <w:sz w:val="20"/>
        </w:rPr>
        <w:t xml:space="preserve"> </w:t>
      </w:r>
      <w:r>
        <w:rPr>
          <w:sz w:val="20"/>
        </w:rPr>
        <w:t>dicho</w:t>
      </w:r>
      <w:r>
        <w:rPr>
          <w:spacing w:val="-1"/>
          <w:sz w:val="20"/>
        </w:rPr>
        <w:t xml:space="preserve"> </w:t>
      </w:r>
      <w:r>
        <w:rPr>
          <w:sz w:val="20"/>
        </w:rPr>
        <w:t>personal</w:t>
      </w:r>
      <w:r>
        <w:rPr>
          <w:spacing w:val="-1"/>
          <w:sz w:val="20"/>
        </w:rPr>
        <w:t xml:space="preserve"> </w:t>
      </w:r>
      <w:r>
        <w:rPr>
          <w:sz w:val="20"/>
        </w:rPr>
        <w:t>pueda</w:t>
      </w:r>
      <w:r>
        <w:rPr>
          <w:spacing w:val="-1"/>
          <w:sz w:val="20"/>
        </w:rPr>
        <w:t xml:space="preserve"> </w:t>
      </w:r>
      <w:r>
        <w:rPr>
          <w:sz w:val="20"/>
        </w:rPr>
        <w:t>afectar</w:t>
      </w:r>
      <w:r>
        <w:rPr>
          <w:spacing w:val="-1"/>
          <w:sz w:val="20"/>
        </w:rPr>
        <w:t xml:space="preserve"> </w:t>
      </w:r>
      <w:r>
        <w:rPr>
          <w:sz w:val="20"/>
        </w:rPr>
        <w:t>de</w:t>
      </w:r>
      <w:r>
        <w:rPr>
          <w:spacing w:val="-1"/>
          <w:sz w:val="20"/>
        </w:rPr>
        <w:t xml:space="preserve"> </w:t>
      </w:r>
      <w:r>
        <w:rPr>
          <w:sz w:val="20"/>
        </w:rPr>
        <w:t>manera significativa a su mejor ejecución.</w:t>
      </w:r>
    </w:p>
    <w:p w:rsidR="0092635B" w:rsidRDefault="00000000">
      <w:pPr>
        <w:pStyle w:val="Prrafodelista"/>
        <w:numPr>
          <w:ilvl w:val="0"/>
          <w:numId w:val="228"/>
        </w:numPr>
        <w:tabs>
          <w:tab w:val="left" w:pos="1610"/>
        </w:tabs>
        <w:spacing w:line="249" w:lineRule="auto"/>
        <w:ind w:right="1104" w:firstLine="340"/>
        <w:jc w:val="both"/>
        <w:rPr>
          <w:sz w:val="20"/>
        </w:rPr>
      </w:pPr>
      <w:r>
        <w:rPr>
          <w:sz w:val="20"/>
        </w:rPr>
        <w:t>º El servicio posventa y la asistencia técnica y condiciones de entrega tales como la fecha en que esta última debe producirse, el proceso de entrega, el plazo de entrega o ejecución y los compromisos relativos a recambios y seguridad del suministro.</w:t>
      </w:r>
    </w:p>
    <w:p w:rsidR="0092635B" w:rsidRDefault="00000000">
      <w:pPr>
        <w:pStyle w:val="Textoindependiente"/>
        <w:spacing w:before="123" w:line="249" w:lineRule="auto"/>
        <w:ind w:right="1105"/>
      </w:pPr>
      <w:r>
        <w:t>Los criterios cualitativos deberán ir acompañados de un criterio relacionado con los costes el cual, a elección del órgano de contratación, podrá ser el precio o un planteamiento basado en la rentabilidad, como el coste del ciclo de vida calculado de conformidad con lo dispuesto en el artículo 148.</w:t>
      </w:r>
    </w:p>
    <w:p w:rsidR="0092635B" w:rsidRDefault="00000000">
      <w:pPr>
        <w:pStyle w:val="Prrafodelista"/>
        <w:numPr>
          <w:ilvl w:val="0"/>
          <w:numId w:val="227"/>
        </w:numPr>
        <w:tabs>
          <w:tab w:val="left" w:pos="1695"/>
        </w:tabs>
        <w:spacing w:before="3" w:line="249" w:lineRule="auto"/>
        <w:ind w:right="1105" w:firstLine="340"/>
        <w:jc w:val="both"/>
        <w:rPr>
          <w:sz w:val="20"/>
        </w:rPr>
      </w:pPr>
      <w:r>
        <w:rPr>
          <w:sz w:val="20"/>
        </w:rPr>
        <w:t>La aplicación de más de un criterio de adjudicación procederá, en todo caso, en la adjudicación de los siguientes contratos:</w:t>
      </w:r>
    </w:p>
    <w:p w:rsidR="0092635B" w:rsidRDefault="00000000">
      <w:pPr>
        <w:pStyle w:val="Prrafodelista"/>
        <w:numPr>
          <w:ilvl w:val="1"/>
          <w:numId w:val="227"/>
        </w:numPr>
        <w:tabs>
          <w:tab w:val="left" w:pos="1776"/>
        </w:tabs>
        <w:spacing w:before="121" w:line="249" w:lineRule="auto"/>
        <w:ind w:firstLine="340"/>
        <w:jc w:val="both"/>
        <w:rPr>
          <w:sz w:val="20"/>
        </w:rPr>
      </w:pPr>
      <w:r>
        <w:rPr>
          <w:sz w:val="20"/>
        </w:rPr>
        <w:t>Aquellos cuyos proyectos o presupuestos no hayan podido ser establecidos previamente y deban ser presentados por los candidatos o licitadores.</w:t>
      </w:r>
    </w:p>
    <w:p w:rsidR="0092635B" w:rsidRDefault="00000000">
      <w:pPr>
        <w:pStyle w:val="Prrafodelista"/>
        <w:numPr>
          <w:ilvl w:val="1"/>
          <w:numId w:val="227"/>
        </w:numPr>
        <w:tabs>
          <w:tab w:val="left" w:pos="1719"/>
        </w:tabs>
        <w:spacing w:line="249" w:lineRule="auto"/>
        <w:ind w:firstLine="340"/>
        <w:jc w:val="both"/>
        <w:rPr>
          <w:sz w:val="20"/>
        </w:rPr>
      </w:pPr>
      <w:r>
        <w:rPr>
          <w:sz w:val="20"/>
        </w:rPr>
        <w:t xml:space="preserve">Cuando el órgano de contratación considere que la definición de la prestación es susceptible de ser mejorada por otras soluciones técnicas o por reducciones en su plazo de </w:t>
      </w:r>
      <w:r>
        <w:rPr>
          <w:spacing w:val="-2"/>
          <w:sz w:val="20"/>
        </w:rPr>
        <w:t>ejecución.</w:t>
      </w:r>
    </w:p>
    <w:p w:rsidR="0092635B" w:rsidRDefault="00000000">
      <w:pPr>
        <w:pStyle w:val="Prrafodelista"/>
        <w:numPr>
          <w:ilvl w:val="1"/>
          <w:numId w:val="227"/>
        </w:numPr>
        <w:tabs>
          <w:tab w:val="left" w:pos="1723"/>
        </w:tabs>
        <w:spacing w:before="3" w:line="249" w:lineRule="auto"/>
        <w:ind w:right="1105" w:firstLine="340"/>
        <w:jc w:val="both"/>
        <w:rPr>
          <w:sz w:val="20"/>
        </w:rPr>
      </w:pPr>
      <w:r>
        <w:rPr>
          <w:sz w:val="20"/>
        </w:rPr>
        <w:t>Aquellos para cuya ejecución facilite el órgano, organismo o entidad contratante materiales o medios auxiliares cuya buena utilización exija garantías especiales por parte de los contratistas.</w:t>
      </w:r>
    </w:p>
    <w:p w:rsidR="0092635B" w:rsidRDefault="00000000">
      <w:pPr>
        <w:pStyle w:val="Prrafodelista"/>
        <w:numPr>
          <w:ilvl w:val="1"/>
          <w:numId w:val="227"/>
        </w:numPr>
        <w:tabs>
          <w:tab w:val="left" w:pos="1728"/>
        </w:tabs>
        <w:spacing w:line="249" w:lineRule="auto"/>
        <w:ind w:right="1105" w:firstLine="340"/>
        <w:jc w:val="both"/>
        <w:rPr>
          <w:sz w:val="20"/>
        </w:rPr>
      </w:pPr>
      <w:r>
        <w:rPr>
          <w:sz w:val="20"/>
        </w:rPr>
        <w:t>Aquellos que requieran el empleo de tecnología especialmente avanzada o cuya ejecución sea particularmente compleja.</w:t>
      </w:r>
    </w:p>
    <w:p w:rsidR="0092635B" w:rsidRDefault="00000000">
      <w:pPr>
        <w:pStyle w:val="Prrafodelista"/>
        <w:numPr>
          <w:ilvl w:val="1"/>
          <w:numId w:val="227"/>
        </w:numPr>
        <w:tabs>
          <w:tab w:val="left" w:pos="1679"/>
        </w:tabs>
        <w:ind w:left="1679" w:right="0" w:hanging="233"/>
        <w:jc w:val="both"/>
        <w:rPr>
          <w:sz w:val="20"/>
        </w:rPr>
      </w:pPr>
      <w:r>
        <w:rPr>
          <w:sz w:val="20"/>
        </w:rPr>
        <w:t>Contratos</w:t>
      </w:r>
      <w:r>
        <w:rPr>
          <w:spacing w:val="-3"/>
          <w:sz w:val="20"/>
        </w:rPr>
        <w:t xml:space="preserve"> </w:t>
      </w:r>
      <w:r>
        <w:rPr>
          <w:sz w:val="20"/>
        </w:rPr>
        <w:t>de</w:t>
      </w:r>
      <w:r>
        <w:rPr>
          <w:spacing w:val="-2"/>
          <w:sz w:val="20"/>
        </w:rPr>
        <w:t xml:space="preserve"> </w:t>
      </w:r>
      <w:r>
        <w:rPr>
          <w:sz w:val="20"/>
        </w:rPr>
        <w:t>concesión</w:t>
      </w:r>
      <w:r>
        <w:rPr>
          <w:spacing w:val="-2"/>
          <w:sz w:val="20"/>
        </w:rPr>
        <w:t xml:space="preserve"> </w:t>
      </w:r>
      <w:r>
        <w:rPr>
          <w:sz w:val="20"/>
        </w:rPr>
        <w:t>de</w:t>
      </w:r>
      <w:r>
        <w:rPr>
          <w:spacing w:val="-2"/>
          <w:sz w:val="20"/>
        </w:rPr>
        <w:t xml:space="preserve"> </w:t>
      </w:r>
      <w:r>
        <w:rPr>
          <w:sz w:val="20"/>
        </w:rPr>
        <w:t>obras</w:t>
      </w:r>
      <w:r>
        <w:rPr>
          <w:spacing w:val="-3"/>
          <w:sz w:val="20"/>
        </w:rPr>
        <w:t xml:space="preserve"> </w:t>
      </w:r>
      <w:r>
        <w:rPr>
          <w:sz w:val="20"/>
        </w:rPr>
        <w:t>y</w:t>
      </w:r>
      <w:r>
        <w:rPr>
          <w:spacing w:val="-2"/>
          <w:sz w:val="20"/>
        </w:rPr>
        <w:t xml:space="preserve"> </w:t>
      </w:r>
      <w:r>
        <w:rPr>
          <w:sz w:val="20"/>
        </w:rPr>
        <w:t>de</w:t>
      </w:r>
      <w:r>
        <w:rPr>
          <w:spacing w:val="-2"/>
          <w:sz w:val="20"/>
        </w:rPr>
        <w:t xml:space="preserve"> </w:t>
      </w:r>
      <w:r>
        <w:rPr>
          <w:sz w:val="20"/>
        </w:rPr>
        <w:t>concesión</w:t>
      </w:r>
      <w:r>
        <w:rPr>
          <w:spacing w:val="-2"/>
          <w:sz w:val="20"/>
        </w:rPr>
        <w:t xml:space="preserve"> </w:t>
      </w:r>
      <w:r>
        <w:rPr>
          <w:sz w:val="20"/>
        </w:rPr>
        <w:t>de</w:t>
      </w:r>
      <w:r>
        <w:rPr>
          <w:spacing w:val="-2"/>
          <w:sz w:val="20"/>
        </w:rPr>
        <w:t xml:space="preserve"> servicios.</w:t>
      </w:r>
    </w:p>
    <w:p w:rsidR="0092635B" w:rsidRDefault="00000000">
      <w:pPr>
        <w:pStyle w:val="Prrafodelista"/>
        <w:numPr>
          <w:ilvl w:val="1"/>
          <w:numId w:val="227"/>
        </w:numPr>
        <w:tabs>
          <w:tab w:val="left" w:pos="1675"/>
        </w:tabs>
        <w:spacing w:before="10" w:line="249" w:lineRule="auto"/>
        <w:ind w:firstLine="340"/>
        <w:jc w:val="both"/>
        <w:rPr>
          <w:sz w:val="20"/>
        </w:rPr>
      </w:pPr>
      <w:r>
        <w:rPr>
          <w:sz w:val="20"/>
        </w:rPr>
        <w:t>Contratos de suministros, salvo que los productos a adquirir estén perfectamente definidos y no sea posible variar los plazos de entrega ni introducir modificaciones de ninguna clase en el contrato, siendo por consiguiente el precio el único factor determinante de la adjudicación.</w:t>
      </w:r>
    </w:p>
    <w:p w:rsidR="0092635B" w:rsidRDefault="00000000">
      <w:pPr>
        <w:pStyle w:val="Prrafodelista"/>
        <w:numPr>
          <w:ilvl w:val="1"/>
          <w:numId w:val="227"/>
        </w:numPr>
        <w:tabs>
          <w:tab w:val="left" w:pos="1730"/>
        </w:tabs>
        <w:spacing w:before="3" w:line="249" w:lineRule="auto"/>
        <w:ind w:right="1104" w:firstLine="340"/>
        <w:jc w:val="both"/>
        <w:rPr>
          <w:sz w:val="20"/>
        </w:rPr>
      </w:pPr>
      <w:r>
        <w:rPr>
          <w:sz w:val="20"/>
        </w:rPr>
        <w:t>Contratos de servicios, salvo que las prestaciones estén perfectamente definidas técnicamente y no sea posible variar los plazos de entrega ni introducir modificaciones de ninguna clase en el contrato, siendo por consiguiente el precio el único factor determinante de la adjudicación.</w:t>
      </w:r>
    </w:p>
    <w:p w:rsidR="0092635B" w:rsidRDefault="00000000">
      <w:pPr>
        <w:pStyle w:val="Textoindependiente"/>
        <w:spacing w:before="3" w:line="249" w:lineRule="auto"/>
        <w:ind w:right="1104"/>
      </w:pPr>
      <w:r>
        <w:t>En los contratos de servicios que tengan por objeto prestaciones de carácter intelectual, como los servicios de ingeniería y arquitectura, y en los contratos de prestación de servicios sociales si fomentan la integración social de personas desfavorecidas o miembros de grupos vulnerables entre las personas asignadas a la ejecución del contrato, promueven el empleo de personas con dificultades particulares de inserción en el mercado laboral o cuando se trate de los contratos de servicios sociales, sanitarios o educativos a que se refiere la Disposición adicional cuadragésima octava, o de servicios intensivos en mano de obra, el precio no podrá ser el único factor determinante de la adjudicación. Igualmente, en el caso</w:t>
      </w:r>
      <w:r>
        <w:rPr>
          <w:spacing w:val="40"/>
        </w:rPr>
        <w:t xml:space="preserve"> </w:t>
      </w:r>
      <w:r>
        <w:t xml:space="preserve">de los contratos de servicios de seguridad privada deberá aplicarse más de un criterio de </w:t>
      </w:r>
      <w:r>
        <w:rPr>
          <w:spacing w:val="-2"/>
        </w:rPr>
        <w:t>adjudicación.</w:t>
      </w:r>
    </w:p>
    <w:p w:rsidR="0092635B" w:rsidRDefault="00000000">
      <w:pPr>
        <w:pStyle w:val="Prrafodelista"/>
        <w:numPr>
          <w:ilvl w:val="1"/>
          <w:numId w:val="227"/>
        </w:numPr>
        <w:tabs>
          <w:tab w:val="left" w:pos="1694"/>
        </w:tabs>
        <w:spacing w:before="8" w:line="249" w:lineRule="auto"/>
        <w:ind w:firstLine="340"/>
        <w:jc w:val="both"/>
        <w:rPr>
          <w:sz w:val="20"/>
        </w:rPr>
      </w:pPr>
      <w:r>
        <w:rPr>
          <w:sz w:val="20"/>
        </w:rPr>
        <w:t>Contratos cuya ejecución pueda tener un impacto significativo en el medio ambiente, en cuya adjudicación se valorarán condiciones ambientales mensurables, tales como el menor impacto ambiental, el ahorro y el uso eficiente del agua y la energía y de los materiales, el coste ambiental del ciclo de vida, los procedimientos y métodos de producción ecológicos, la generación y gestión de residuos o el uso de materiales reciclados o reutilizados o de materiales ecológicos.</w:t>
      </w:r>
    </w:p>
    <w:p w:rsidR="0092635B" w:rsidRDefault="00000000">
      <w:pPr>
        <w:pStyle w:val="Prrafodelista"/>
        <w:numPr>
          <w:ilvl w:val="0"/>
          <w:numId w:val="227"/>
        </w:numPr>
        <w:tabs>
          <w:tab w:val="left" w:pos="1680"/>
        </w:tabs>
        <w:spacing w:before="125" w:line="249" w:lineRule="auto"/>
        <w:ind w:right="1102" w:firstLine="340"/>
        <w:jc w:val="both"/>
        <w:rPr>
          <w:sz w:val="20"/>
        </w:rPr>
      </w:pPr>
      <w:r>
        <w:rPr>
          <w:sz w:val="20"/>
        </w:rPr>
        <w:t>Los órganos de contratación velarán por que se establezcan criterios de adjudicación que permitan obtener obras, suministros y servicios de gran calidad que respondan lo mejor posible a sus necesidades; y, en especial, en los procedimientos de contratos de servicios que</w:t>
      </w:r>
      <w:r>
        <w:rPr>
          <w:spacing w:val="-2"/>
          <w:sz w:val="20"/>
        </w:rPr>
        <w:t xml:space="preserve"> </w:t>
      </w:r>
      <w:r>
        <w:rPr>
          <w:sz w:val="20"/>
        </w:rPr>
        <w:t>tengan</w:t>
      </w:r>
      <w:r>
        <w:rPr>
          <w:spacing w:val="-2"/>
          <w:sz w:val="20"/>
        </w:rPr>
        <w:t xml:space="preserve"> </w:t>
      </w:r>
      <w:r>
        <w:rPr>
          <w:sz w:val="20"/>
        </w:rPr>
        <w:t>por</w:t>
      </w:r>
      <w:r>
        <w:rPr>
          <w:spacing w:val="-2"/>
          <w:sz w:val="20"/>
        </w:rPr>
        <w:t xml:space="preserve"> </w:t>
      </w:r>
      <w:r>
        <w:rPr>
          <w:sz w:val="20"/>
        </w:rPr>
        <w:t>objeto</w:t>
      </w:r>
      <w:r>
        <w:rPr>
          <w:spacing w:val="-2"/>
          <w:sz w:val="20"/>
        </w:rPr>
        <w:t xml:space="preserve"> </w:t>
      </w:r>
      <w:r>
        <w:rPr>
          <w:sz w:val="20"/>
        </w:rPr>
        <w:t>prestaciones</w:t>
      </w:r>
      <w:r>
        <w:rPr>
          <w:spacing w:val="-2"/>
          <w:sz w:val="20"/>
        </w:rPr>
        <w:t xml:space="preserve"> </w:t>
      </w:r>
      <w:r>
        <w:rPr>
          <w:sz w:val="20"/>
        </w:rPr>
        <w:t>de</w:t>
      </w:r>
      <w:r>
        <w:rPr>
          <w:spacing w:val="-2"/>
          <w:sz w:val="20"/>
        </w:rPr>
        <w:t xml:space="preserve"> </w:t>
      </w:r>
      <w:r>
        <w:rPr>
          <w:sz w:val="20"/>
        </w:rPr>
        <w:t>carácter</w:t>
      </w:r>
      <w:r>
        <w:rPr>
          <w:spacing w:val="-2"/>
          <w:sz w:val="20"/>
        </w:rPr>
        <w:t xml:space="preserve"> </w:t>
      </w:r>
      <w:r>
        <w:rPr>
          <w:sz w:val="20"/>
        </w:rPr>
        <w:t>intelectual,</w:t>
      </w:r>
      <w:r>
        <w:rPr>
          <w:spacing w:val="-2"/>
          <w:sz w:val="20"/>
        </w:rPr>
        <w:t xml:space="preserve"> </w:t>
      </w:r>
      <w:r>
        <w:rPr>
          <w:sz w:val="20"/>
        </w:rPr>
        <w:t>como</w:t>
      </w:r>
      <w:r>
        <w:rPr>
          <w:spacing w:val="-2"/>
          <w:sz w:val="20"/>
        </w:rPr>
        <w:t xml:space="preserve"> </w:t>
      </w:r>
      <w:r>
        <w:rPr>
          <w:sz w:val="20"/>
        </w:rPr>
        <w:t>los</w:t>
      </w:r>
      <w:r>
        <w:rPr>
          <w:spacing w:val="-2"/>
          <w:sz w:val="20"/>
        </w:rPr>
        <w:t xml:space="preserve"> </w:t>
      </w:r>
      <w:r>
        <w:rPr>
          <w:sz w:val="20"/>
        </w:rPr>
        <w:t>servicios</w:t>
      </w:r>
      <w:r>
        <w:rPr>
          <w:spacing w:val="-2"/>
          <w:sz w:val="20"/>
        </w:rPr>
        <w:t xml:space="preserve"> </w:t>
      </w:r>
      <w:r>
        <w:rPr>
          <w:sz w:val="20"/>
        </w:rPr>
        <w:t>de</w:t>
      </w:r>
      <w:r>
        <w:rPr>
          <w:spacing w:val="-2"/>
          <w:sz w:val="20"/>
        </w:rPr>
        <w:t xml:space="preserve"> </w:t>
      </w:r>
      <w:r>
        <w:rPr>
          <w:sz w:val="20"/>
        </w:rPr>
        <w:t>ingeniería</w:t>
      </w:r>
      <w:r>
        <w:rPr>
          <w:spacing w:val="-2"/>
          <w:sz w:val="20"/>
        </w:rPr>
        <w:t xml:space="preserve"> </w:t>
      </w:r>
      <w:r>
        <w:rPr>
          <w:sz w:val="20"/>
        </w:rPr>
        <w:t xml:space="preserve">y </w:t>
      </w:r>
      <w:r>
        <w:rPr>
          <w:spacing w:val="-2"/>
          <w:sz w:val="20"/>
        </w:rPr>
        <w:t>arquitectura.</w:t>
      </w:r>
    </w:p>
    <w:p w:rsidR="0092635B" w:rsidRDefault="00000000">
      <w:pPr>
        <w:pStyle w:val="Textoindependiente"/>
        <w:spacing w:before="4" w:line="249" w:lineRule="auto"/>
        <w:ind w:right="1104"/>
      </w:pPr>
      <w:r>
        <w:t>En los contratos de servicios del Anexo IV, así como en los contratos que tengan por objeto prestaciones de carácter intelectual, los criterios relacionados con la calidad deberán representar, al menos, el 51 por ciento de la puntuación asignable en la valoración de las ofertas, sin perjuicio de lo dispuesto en el apartado 2.a) del artículo 146.</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27"/>
        </w:numPr>
        <w:tabs>
          <w:tab w:val="left" w:pos="1722"/>
        </w:tabs>
        <w:spacing w:before="1" w:line="249" w:lineRule="auto"/>
        <w:ind w:right="1104" w:firstLine="340"/>
        <w:jc w:val="both"/>
        <w:rPr>
          <w:sz w:val="20"/>
        </w:rPr>
      </w:pPr>
      <w:r>
        <w:rPr>
          <w:sz w:val="20"/>
        </w:rPr>
        <w:t>Los criterios a que se refiere el apartado 1 que han de servir de base para la adjudicación del contrato se establecerán en los pliegos de cláusulas administrativas particulares o en el documento descriptivo, y deberá figurar en el anuncio que sirva de convocatoria de la licitación, debiendo cumplir los siguientes requisitos:</w:t>
      </w:r>
    </w:p>
    <w:p w:rsidR="0092635B" w:rsidRDefault="00000000">
      <w:pPr>
        <w:pStyle w:val="Prrafodelista"/>
        <w:numPr>
          <w:ilvl w:val="1"/>
          <w:numId w:val="227"/>
        </w:numPr>
        <w:tabs>
          <w:tab w:val="left" w:pos="1690"/>
        </w:tabs>
        <w:spacing w:before="123" w:line="249" w:lineRule="auto"/>
        <w:ind w:right="1104" w:firstLine="340"/>
        <w:jc w:val="both"/>
        <w:rPr>
          <w:sz w:val="20"/>
        </w:rPr>
      </w:pPr>
      <w:r>
        <w:rPr>
          <w:sz w:val="20"/>
        </w:rPr>
        <w:t>En todo caso estarán vinculados al objeto del contrato, en el sentido expresado en el apartado siguiente de este artículo.</w:t>
      </w:r>
    </w:p>
    <w:p w:rsidR="0092635B" w:rsidRDefault="00000000">
      <w:pPr>
        <w:pStyle w:val="Prrafodelista"/>
        <w:numPr>
          <w:ilvl w:val="1"/>
          <w:numId w:val="227"/>
        </w:numPr>
        <w:tabs>
          <w:tab w:val="left" w:pos="1712"/>
        </w:tabs>
        <w:spacing w:line="249" w:lineRule="auto"/>
        <w:ind w:right="1102" w:firstLine="340"/>
        <w:jc w:val="both"/>
        <w:rPr>
          <w:sz w:val="20"/>
        </w:rPr>
      </w:pPr>
      <w:r>
        <w:rPr>
          <w:sz w:val="20"/>
        </w:rPr>
        <w:t>Deberán ser formulados de manera objetiva, con pleno respeto a los principios de igualdad, no discriminación, transparencia y proporcionalidad, y no conferirán al órgano de contratación una libertad de decisión ilimitada.</w:t>
      </w:r>
    </w:p>
    <w:p w:rsidR="0092635B" w:rsidRDefault="00000000">
      <w:pPr>
        <w:pStyle w:val="Prrafodelista"/>
        <w:numPr>
          <w:ilvl w:val="1"/>
          <w:numId w:val="227"/>
        </w:numPr>
        <w:tabs>
          <w:tab w:val="left" w:pos="1669"/>
        </w:tabs>
        <w:spacing w:line="249" w:lineRule="auto"/>
        <w:ind w:firstLine="340"/>
        <w:jc w:val="both"/>
        <w:rPr>
          <w:sz w:val="20"/>
        </w:rPr>
      </w:pPr>
      <w:r>
        <w:rPr>
          <w:sz w:val="20"/>
        </w:rPr>
        <w:t>Deberán</w:t>
      </w:r>
      <w:r>
        <w:rPr>
          <w:spacing w:val="-2"/>
          <w:sz w:val="20"/>
        </w:rPr>
        <w:t xml:space="preserve"> </w:t>
      </w:r>
      <w:r>
        <w:rPr>
          <w:sz w:val="20"/>
        </w:rPr>
        <w:t>garantizar</w:t>
      </w:r>
      <w:r>
        <w:rPr>
          <w:spacing w:val="-2"/>
          <w:sz w:val="20"/>
        </w:rPr>
        <w:t xml:space="preserve"> </w:t>
      </w:r>
      <w:r>
        <w:rPr>
          <w:sz w:val="20"/>
        </w:rPr>
        <w:t>la</w:t>
      </w:r>
      <w:r>
        <w:rPr>
          <w:spacing w:val="-2"/>
          <w:sz w:val="20"/>
        </w:rPr>
        <w:t xml:space="preserve"> </w:t>
      </w:r>
      <w:r>
        <w:rPr>
          <w:sz w:val="20"/>
        </w:rPr>
        <w:t>posibilidad</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las</w:t>
      </w:r>
      <w:r>
        <w:rPr>
          <w:spacing w:val="-2"/>
          <w:sz w:val="20"/>
        </w:rPr>
        <w:t xml:space="preserve"> </w:t>
      </w:r>
      <w:r>
        <w:rPr>
          <w:sz w:val="20"/>
        </w:rPr>
        <w:t>ofertas</w:t>
      </w:r>
      <w:r>
        <w:rPr>
          <w:spacing w:val="-2"/>
          <w:sz w:val="20"/>
        </w:rPr>
        <w:t xml:space="preserve"> </w:t>
      </w:r>
      <w:r>
        <w:rPr>
          <w:sz w:val="20"/>
        </w:rPr>
        <w:t>sean</w:t>
      </w:r>
      <w:r>
        <w:rPr>
          <w:spacing w:val="-2"/>
          <w:sz w:val="20"/>
        </w:rPr>
        <w:t xml:space="preserve"> </w:t>
      </w:r>
      <w:r>
        <w:rPr>
          <w:sz w:val="20"/>
        </w:rPr>
        <w:t>evaluadas</w:t>
      </w:r>
      <w:r>
        <w:rPr>
          <w:spacing w:val="-2"/>
          <w:sz w:val="20"/>
        </w:rPr>
        <w:t xml:space="preserve"> </w:t>
      </w:r>
      <w:r>
        <w:rPr>
          <w:sz w:val="20"/>
        </w:rPr>
        <w:t>en</w:t>
      </w:r>
      <w:r>
        <w:rPr>
          <w:spacing w:val="-2"/>
          <w:sz w:val="20"/>
        </w:rPr>
        <w:t xml:space="preserve"> </w:t>
      </w:r>
      <w:r>
        <w:rPr>
          <w:sz w:val="20"/>
        </w:rPr>
        <w:t>condiciones</w:t>
      </w:r>
      <w:r>
        <w:rPr>
          <w:spacing w:val="-2"/>
          <w:sz w:val="20"/>
        </w:rPr>
        <w:t xml:space="preserve"> </w:t>
      </w:r>
      <w:r>
        <w:rPr>
          <w:sz w:val="20"/>
        </w:rPr>
        <w:t>de competencia efectiva e irán acompañados de especificaciones que permitan comprobar de manera efectiva la información facilitada por los licitadores con el fin de evaluar la medida en que las ofertas cumplen los criterios de adjudicación. En caso de duda, deberá comprobarse de manera efectiva la exactitud de la información y las pruebas facilitadas por los licitadores.</w:t>
      </w:r>
    </w:p>
    <w:p w:rsidR="0092635B" w:rsidRDefault="00000000">
      <w:pPr>
        <w:pStyle w:val="Prrafodelista"/>
        <w:numPr>
          <w:ilvl w:val="0"/>
          <w:numId w:val="227"/>
        </w:numPr>
        <w:tabs>
          <w:tab w:val="left" w:pos="1695"/>
        </w:tabs>
        <w:spacing w:before="124" w:line="249" w:lineRule="auto"/>
        <w:ind w:firstLine="340"/>
        <w:jc w:val="both"/>
        <w:rPr>
          <w:sz w:val="20"/>
        </w:rPr>
      </w:pPr>
      <w:r>
        <w:rPr>
          <w:sz w:val="20"/>
        </w:rPr>
        <w:t>Se considerará que un criterio de adjudicación está vinculado al objeto del contrato cuando</w:t>
      </w:r>
      <w:r>
        <w:rPr>
          <w:spacing w:val="-2"/>
          <w:sz w:val="20"/>
        </w:rPr>
        <w:t xml:space="preserve"> </w:t>
      </w:r>
      <w:r>
        <w:rPr>
          <w:sz w:val="20"/>
        </w:rPr>
        <w:t>se</w:t>
      </w:r>
      <w:r>
        <w:rPr>
          <w:spacing w:val="-2"/>
          <w:sz w:val="20"/>
        </w:rPr>
        <w:t xml:space="preserve"> </w:t>
      </w:r>
      <w:r>
        <w:rPr>
          <w:sz w:val="20"/>
        </w:rPr>
        <w:t>refiera</w:t>
      </w:r>
      <w:r>
        <w:rPr>
          <w:spacing w:val="-2"/>
          <w:sz w:val="20"/>
        </w:rPr>
        <w:t xml:space="preserve"> </w:t>
      </w:r>
      <w:r>
        <w:rPr>
          <w:sz w:val="20"/>
        </w:rPr>
        <w:t>o</w:t>
      </w:r>
      <w:r>
        <w:rPr>
          <w:spacing w:val="-2"/>
          <w:sz w:val="20"/>
        </w:rPr>
        <w:t xml:space="preserve"> </w:t>
      </w:r>
      <w:r>
        <w:rPr>
          <w:sz w:val="20"/>
        </w:rPr>
        <w:t>integre</w:t>
      </w:r>
      <w:r>
        <w:rPr>
          <w:spacing w:val="-2"/>
          <w:sz w:val="20"/>
        </w:rPr>
        <w:t xml:space="preserve"> </w:t>
      </w:r>
      <w:r>
        <w:rPr>
          <w:sz w:val="20"/>
        </w:rPr>
        <w:t>las</w:t>
      </w:r>
      <w:r>
        <w:rPr>
          <w:spacing w:val="-2"/>
          <w:sz w:val="20"/>
        </w:rPr>
        <w:t xml:space="preserve"> </w:t>
      </w:r>
      <w:r>
        <w:rPr>
          <w:sz w:val="20"/>
        </w:rPr>
        <w:t>prestaciones</w:t>
      </w:r>
      <w:r>
        <w:rPr>
          <w:spacing w:val="-2"/>
          <w:sz w:val="20"/>
        </w:rPr>
        <w:t xml:space="preserve"> </w:t>
      </w:r>
      <w:r>
        <w:rPr>
          <w:sz w:val="20"/>
        </w:rPr>
        <w:t>que</w:t>
      </w:r>
      <w:r>
        <w:rPr>
          <w:spacing w:val="-2"/>
          <w:sz w:val="20"/>
        </w:rPr>
        <w:t xml:space="preserve"> </w:t>
      </w:r>
      <w:r>
        <w:rPr>
          <w:sz w:val="20"/>
        </w:rPr>
        <w:t>deban</w:t>
      </w:r>
      <w:r>
        <w:rPr>
          <w:spacing w:val="-2"/>
          <w:sz w:val="20"/>
        </w:rPr>
        <w:t xml:space="preserve"> </w:t>
      </w:r>
      <w:r>
        <w:rPr>
          <w:sz w:val="20"/>
        </w:rPr>
        <w:t>realizarse</w:t>
      </w:r>
      <w:r>
        <w:rPr>
          <w:spacing w:val="-2"/>
          <w:sz w:val="20"/>
        </w:rPr>
        <w:t xml:space="preserve"> </w:t>
      </w:r>
      <w:r>
        <w:rPr>
          <w:sz w:val="20"/>
        </w:rPr>
        <w:t>en</w:t>
      </w:r>
      <w:r>
        <w:rPr>
          <w:spacing w:val="-2"/>
          <w:sz w:val="20"/>
        </w:rPr>
        <w:t xml:space="preserve"> </w:t>
      </w:r>
      <w:r>
        <w:rPr>
          <w:sz w:val="20"/>
        </w:rPr>
        <w:t>virtud</w:t>
      </w:r>
      <w:r>
        <w:rPr>
          <w:spacing w:val="-2"/>
          <w:sz w:val="20"/>
        </w:rPr>
        <w:t xml:space="preserve"> </w:t>
      </w:r>
      <w:r>
        <w:rPr>
          <w:sz w:val="20"/>
        </w:rPr>
        <w:t>de</w:t>
      </w:r>
      <w:r>
        <w:rPr>
          <w:spacing w:val="-2"/>
          <w:sz w:val="20"/>
        </w:rPr>
        <w:t xml:space="preserve"> </w:t>
      </w:r>
      <w:r>
        <w:rPr>
          <w:sz w:val="20"/>
        </w:rPr>
        <w:t>dicho</w:t>
      </w:r>
      <w:r>
        <w:rPr>
          <w:spacing w:val="-2"/>
          <w:sz w:val="20"/>
        </w:rPr>
        <w:t xml:space="preserve"> </w:t>
      </w:r>
      <w:r>
        <w:rPr>
          <w:sz w:val="20"/>
        </w:rPr>
        <w:t>contrato, en cualquiera de sus aspectos y en cualquier etapa de su ciclo de vida, incluidos los factores que intervienen en los siguientes procesos:</w:t>
      </w:r>
    </w:p>
    <w:p w:rsidR="0092635B" w:rsidRDefault="00000000">
      <w:pPr>
        <w:pStyle w:val="Prrafodelista"/>
        <w:numPr>
          <w:ilvl w:val="1"/>
          <w:numId w:val="227"/>
        </w:numPr>
        <w:tabs>
          <w:tab w:val="left" w:pos="1685"/>
        </w:tabs>
        <w:spacing w:before="123" w:line="249" w:lineRule="auto"/>
        <w:ind w:right="1104" w:firstLine="340"/>
        <w:jc w:val="both"/>
        <w:rPr>
          <w:sz w:val="20"/>
        </w:rPr>
      </w:pPr>
      <w:r>
        <w:rPr>
          <w:sz w:val="20"/>
        </w:rPr>
        <w:t>en el proceso específico de producción, prestación o comercialización de, en su caso, las obras, los suministros o los servicios, con especial referencia a formas de producción, prestación o comercialización medioambiental y socialmente sostenibles y justas;</w:t>
      </w:r>
    </w:p>
    <w:p w:rsidR="0092635B" w:rsidRDefault="00000000">
      <w:pPr>
        <w:pStyle w:val="Prrafodelista"/>
        <w:numPr>
          <w:ilvl w:val="1"/>
          <w:numId w:val="227"/>
        </w:numPr>
        <w:tabs>
          <w:tab w:val="left" w:pos="1701"/>
        </w:tabs>
        <w:spacing w:before="3" w:line="249" w:lineRule="auto"/>
        <w:ind w:right="1105" w:firstLine="340"/>
        <w:jc w:val="both"/>
        <w:rPr>
          <w:sz w:val="20"/>
        </w:rPr>
      </w:pPr>
      <w:r>
        <w:rPr>
          <w:sz w:val="20"/>
        </w:rPr>
        <w:t>o en el proceso específico de otra etapa de su ciclo de vida, incluso cuando dichos factores no formen parte de su sustancia material.</w:t>
      </w:r>
    </w:p>
    <w:p w:rsidR="0092635B" w:rsidRDefault="00000000">
      <w:pPr>
        <w:pStyle w:val="Prrafodelista"/>
        <w:numPr>
          <w:ilvl w:val="0"/>
          <w:numId w:val="227"/>
        </w:numPr>
        <w:tabs>
          <w:tab w:val="left" w:pos="1696"/>
        </w:tabs>
        <w:spacing w:before="122" w:line="249" w:lineRule="auto"/>
        <w:ind w:right="1101" w:firstLine="340"/>
        <w:jc w:val="both"/>
        <w:rPr>
          <w:sz w:val="20"/>
        </w:rPr>
      </w:pPr>
      <w:r>
        <w:rPr>
          <w:sz w:val="20"/>
        </w:rPr>
        <w:t>En el caso de que se establezcan las mejoras como criterio de adjudicación, estas deberán estar suficientemente especificadas. Se considerará que se cumple esta exigencia cuando</w:t>
      </w:r>
      <w:r>
        <w:rPr>
          <w:spacing w:val="-1"/>
          <w:sz w:val="20"/>
        </w:rPr>
        <w:t xml:space="preserve"> </w:t>
      </w:r>
      <w:r>
        <w:rPr>
          <w:sz w:val="20"/>
        </w:rPr>
        <w:t>se</w:t>
      </w:r>
      <w:r>
        <w:rPr>
          <w:spacing w:val="-1"/>
          <w:sz w:val="20"/>
        </w:rPr>
        <w:t xml:space="preserve"> </w:t>
      </w:r>
      <w:r>
        <w:rPr>
          <w:sz w:val="20"/>
        </w:rPr>
        <w:t>fijen,</w:t>
      </w:r>
      <w:r>
        <w:rPr>
          <w:spacing w:val="-1"/>
          <w:sz w:val="20"/>
        </w:rPr>
        <w:t xml:space="preserve"> </w:t>
      </w:r>
      <w:r>
        <w:rPr>
          <w:sz w:val="20"/>
        </w:rPr>
        <w:t>de</w:t>
      </w:r>
      <w:r>
        <w:rPr>
          <w:spacing w:val="-1"/>
          <w:sz w:val="20"/>
        </w:rPr>
        <w:t xml:space="preserve"> </w:t>
      </w:r>
      <w:r>
        <w:rPr>
          <w:sz w:val="20"/>
        </w:rPr>
        <w:t>manera</w:t>
      </w:r>
      <w:r>
        <w:rPr>
          <w:spacing w:val="-1"/>
          <w:sz w:val="20"/>
        </w:rPr>
        <w:t xml:space="preserve"> </w:t>
      </w:r>
      <w:r>
        <w:rPr>
          <w:sz w:val="20"/>
        </w:rPr>
        <w:t>ponderada,</w:t>
      </w:r>
      <w:r>
        <w:rPr>
          <w:spacing w:val="-1"/>
          <w:sz w:val="20"/>
        </w:rPr>
        <w:t xml:space="preserve"> </w:t>
      </w:r>
      <w:r>
        <w:rPr>
          <w:sz w:val="20"/>
        </w:rPr>
        <w:t>con</w:t>
      </w:r>
      <w:r>
        <w:rPr>
          <w:spacing w:val="-1"/>
          <w:sz w:val="20"/>
        </w:rPr>
        <w:t xml:space="preserve"> </w:t>
      </w:r>
      <w:r>
        <w:rPr>
          <w:sz w:val="20"/>
        </w:rPr>
        <w:t>concreción:</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límites,</w:t>
      </w:r>
      <w:r>
        <w:rPr>
          <w:spacing w:val="-1"/>
          <w:sz w:val="20"/>
        </w:rPr>
        <w:t xml:space="preserve"> </w:t>
      </w:r>
      <w:r>
        <w:rPr>
          <w:sz w:val="20"/>
        </w:rPr>
        <w:t>modalidades</w:t>
      </w:r>
      <w:r>
        <w:rPr>
          <w:spacing w:val="-1"/>
          <w:sz w:val="20"/>
        </w:rPr>
        <w:t xml:space="preserve"> </w:t>
      </w:r>
      <w:r>
        <w:rPr>
          <w:sz w:val="20"/>
        </w:rPr>
        <w:t>y características de las mismas, así como su necesaria vinculación con el objeto del contrato.</w:t>
      </w:r>
    </w:p>
    <w:p w:rsidR="0092635B" w:rsidRDefault="00000000">
      <w:pPr>
        <w:pStyle w:val="Textoindependiente"/>
        <w:spacing w:before="3" w:line="249" w:lineRule="auto"/>
        <w:ind w:right="1104"/>
      </w:pPr>
      <w:r>
        <w:t>En todo caso, en los supuestos en que su valoración se efectúe de conformidad con lo establecido en el apartado segundo, letra a) del artículo siguiente, no podrá asignársele una valoración superior al 2,5 por ciento.</w:t>
      </w:r>
    </w:p>
    <w:p w:rsidR="0092635B" w:rsidRDefault="00000000">
      <w:pPr>
        <w:pStyle w:val="Textoindependiente"/>
        <w:spacing w:line="249" w:lineRule="auto"/>
        <w:ind w:right="1103"/>
      </w:pPr>
      <w:r>
        <w:t>Se entiende por mejoras, a estos efectos, las prestaciones adicionales a las que figuraban definidas en el proyecto y en el pliego de prescripciones técnicas, sin que aquellas puedan alterar la naturaleza de dichas prestaciones, ni del objeto del contrato.</w:t>
      </w:r>
    </w:p>
    <w:p w:rsidR="0092635B" w:rsidRDefault="00000000">
      <w:pPr>
        <w:pStyle w:val="Textoindependiente"/>
        <w:spacing w:before="3" w:line="249" w:lineRule="auto"/>
        <w:ind w:right="1106"/>
      </w:pPr>
      <w:r>
        <w:t>Las mejoras propuestas por el adjudicatario pasarán a formar parte del contrato y no podrán ser objeto de modificación.</w:t>
      </w:r>
    </w:p>
    <w:p w:rsidR="0092635B" w:rsidRDefault="00000000">
      <w:pPr>
        <w:spacing w:before="228"/>
        <w:ind w:left="1106"/>
        <w:rPr>
          <w:rFonts w:ascii="Arial" w:hAnsi="Arial"/>
          <w:i/>
          <w:sz w:val="20"/>
        </w:rPr>
      </w:pPr>
      <w:bookmarkStart w:id="237" w:name="Artículo_146._Aplicación_de_los_criterio"/>
      <w:bookmarkEnd w:id="237"/>
      <w:r>
        <w:rPr>
          <w:rFonts w:ascii="Arial" w:hAnsi="Arial"/>
          <w:b/>
          <w:sz w:val="20"/>
        </w:rPr>
        <w:t>Artículo</w:t>
      </w:r>
      <w:r>
        <w:rPr>
          <w:rFonts w:ascii="Arial" w:hAnsi="Arial"/>
          <w:b/>
          <w:spacing w:val="-4"/>
          <w:sz w:val="20"/>
        </w:rPr>
        <w:t xml:space="preserve"> </w:t>
      </w:r>
      <w:r>
        <w:rPr>
          <w:rFonts w:ascii="Arial" w:hAnsi="Arial"/>
          <w:b/>
          <w:sz w:val="20"/>
        </w:rPr>
        <w:t>146.</w:t>
      </w:r>
      <w:r>
        <w:rPr>
          <w:rFonts w:ascii="Arial" w:hAnsi="Arial"/>
          <w:b/>
          <w:spacing w:val="51"/>
          <w:sz w:val="20"/>
        </w:rPr>
        <w:t xml:space="preserve"> </w:t>
      </w:r>
      <w:r>
        <w:rPr>
          <w:rFonts w:ascii="Arial" w:hAnsi="Arial"/>
          <w:i/>
          <w:sz w:val="20"/>
        </w:rPr>
        <w:t>Aplicación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2"/>
          <w:sz w:val="20"/>
        </w:rPr>
        <w:t xml:space="preserve"> </w:t>
      </w:r>
      <w:r>
        <w:rPr>
          <w:rFonts w:ascii="Arial" w:hAnsi="Arial"/>
          <w:i/>
          <w:sz w:val="20"/>
        </w:rPr>
        <w:t>criterios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adjudicación.</w:t>
      </w:r>
    </w:p>
    <w:p w:rsidR="0092635B" w:rsidRDefault="00000000">
      <w:pPr>
        <w:pStyle w:val="Prrafodelista"/>
        <w:numPr>
          <w:ilvl w:val="0"/>
          <w:numId w:val="226"/>
        </w:numPr>
        <w:tabs>
          <w:tab w:val="left" w:pos="1690"/>
        </w:tabs>
        <w:spacing w:before="124" w:line="249" w:lineRule="auto"/>
        <w:ind w:right="1104" w:firstLine="340"/>
        <w:jc w:val="both"/>
        <w:rPr>
          <w:sz w:val="20"/>
        </w:rPr>
      </w:pPr>
      <w:r>
        <w:rPr>
          <w:sz w:val="20"/>
        </w:rPr>
        <w:t>Sin perjuicio de lo dispuesto en los apartados primero y tercero del artículo anterior, cuando solo se utilice un criterio de adjudicación, este deberá estar relacionado con los costes, pudiendo ser el precio o un criterio basado en la rentabilidad, como el coste del ciclo de vida calculado de acuerdo con lo indicado en el artículo 148.</w:t>
      </w:r>
    </w:p>
    <w:p w:rsidR="0092635B" w:rsidRDefault="00000000">
      <w:pPr>
        <w:pStyle w:val="Prrafodelista"/>
        <w:numPr>
          <w:ilvl w:val="0"/>
          <w:numId w:val="226"/>
        </w:numPr>
        <w:tabs>
          <w:tab w:val="left" w:pos="1693"/>
        </w:tabs>
        <w:spacing w:before="3" w:line="249" w:lineRule="auto"/>
        <w:ind w:right="1104" w:firstLine="340"/>
        <w:jc w:val="both"/>
        <w:rPr>
          <w:sz w:val="20"/>
        </w:rPr>
      </w:pPr>
      <w:r>
        <w:rPr>
          <w:sz w:val="20"/>
        </w:rPr>
        <w:t>Cuando se utilicen una pluralidad de criterios de adjudicación, en su determinación, siempre y cuando sea posible, se dará preponderancia a aquellos que hagan referencia a características del objeto del contrato que puedan valorarse mediante cifras o porcentajes obtenidos a través de la mera aplicación de las fórmulas establecidas en los pliegos.</w:t>
      </w:r>
    </w:p>
    <w:p w:rsidR="0092635B" w:rsidRDefault="00000000">
      <w:pPr>
        <w:pStyle w:val="Textoindependiente"/>
        <w:spacing w:before="3"/>
        <w:ind w:left="1446" w:firstLine="0"/>
      </w:pPr>
      <w:r>
        <w:t>La</w:t>
      </w:r>
      <w:r>
        <w:rPr>
          <w:spacing w:val="-5"/>
        </w:rPr>
        <w:t xml:space="preserve"> </w:t>
      </w:r>
      <w:r>
        <w:t>aplicación</w:t>
      </w:r>
      <w:r>
        <w:rPr>
          <w:spacing w:val="-3"/>
        </w:rPr>
        <w:t xml:space="preserve"> </w:t>
      </w:r>
      <w:r>
        <w:t>de</w:t>
      </w:r>
      <w:r>
        <w:rPr>
          <w:spacing w:val="-2"/>
        </w:rPr>
        <w:t xml:space="preserve"> </w:t>
      </w:r>
      <w:r>
        <w:t>los</w:t>
      </w:r>
      <w:r>
        <w:rPr>
          <w:spacing w:val="-3"/>
        </w:rPr>
        <w:t xml:space="preserve"> </w:t>
      </w:r>
      <w:r>
        <w:t>criterios</w:t>
      </w:r>
      <w:r>
        <w:rPr>
          <w:spacing w:val="-3"/>
        </w:rPr>
        <w:t xml:space="preserve"> </w:t>
      </w:r>
      <w:r>
        <w:t>de</w:t>
      </w:r>
      <w:r>
        <w:rPr>
          <w:spacing w:val="-2"/>
        </w:rPr>
        <w:t xml:space="preserve"> </w:t>
      </w:r>
      <w:r>
        <w:t>adjudicación</w:t>
      </w:r>
      <w:r>
        <w:rPr>
          <w:spacing w:val="-3"/>
        </w:rPr>
        <w:t xml:space="preserve"> </w:t>
      </w:r>
      <w:r>
        <w:t>se</w:t>
      </w:r>
      <w:r>
        <w:rPr>
          <w:spacing w:val="-3"/>
        </w:rPr>
        <w:t xml:space="preserve"> </w:t>
      </w:r>
      <w:r>
        <w:t>efectuará</w:t>
      </w:r>
      <w:r>
        <w:rPr>
          <w:spacing w:val="-2"/>
        </w:rPr>
        <w:t xml:space="preserve"> </w:t>
      </w:r>
      <w:r>
        <w:t>por</w:t>
      </w:r>
      <w:r>
        <w:rPr>
          <w:spacing w:val="-3"/>
        </w:rPr>
        <w:t xml:space="preserve"> </w:t>
      </w:r>
      <w:r>
        <w:t>los</w:t>
      </w:r>
      <w:r>
        <w:rPr>
          <w:spacing w:val="-3"/>
        </w:rPr>
        <w:t xml:space="preserve"> </w:t>
      </w:r>
      <w:r>
        <w:t>siguientes</w:t>
      </w:r>
      <w:r>
        <w:rPr>
          <w:spacing w:val="-2"/>
        </w:rPr>
        <w:t xml:space="preserve"> órganos:</w:t>
      </w:r>
    </w:p>
    <w:p w:rsidR="0092635B" w:rsidRDefault="00000000">
      <w:pPr>
        <w:pStyle w:val="Prrafodelista"/>
        <w:numPr>
          <w:ilvl w:val="1"/>
          <w:numId w:val="226"/>
        </w:numPr>
        <w:tabs>
          <w:tab w:val="left" w:pos="1739"/>
        </w:tabs>
        <w:spacing w:before="130" w:line="249" w:lineRule="auto"/>
        <w:ind w:right="1102" w:firstLine="340"/>
        <w:jc w:val="both"/>
        <w:rPr>
          <w:sz w:val="20"/>
        </w:rPr>
      </w:pPr>
      <w:r>
        <w:rPr>
          <w:sz w:val="20"/>
        </w:rPr>
        <w:t>En los procedimientos de adjudicación, abierto o restringido, celebrados por los órganos de las Administraciones Públicas, la valoración de los criterios cuya cuantificación dependa de un juicio de valor corresponderá, en los casos en que proceda por tener</w:t>
      </w:r>
      <w:r>
        <w:rPr>
          <w:spacing w:val="40"/>
          <w:sz w:val="20"/>
        </w:rPr>
        <w:t xml:space="preserve"> </w:t>
      </w:r>
      <w:r>
        <w:rPr>
          <w:sz w:val="20"/>
        </w:rPr>
        <w:t>atribuida una ponderación mayor que la correspondiente a los criterios evaluables de forma automática, a un comité formado por expertos con cualificación apropiada, que cuente con</w:t>
      </w:r>
      <w:r>
        <w:rPr>
          <w:spacing w:val="40"/>
          <w:sz w:val="20"/>
        </w:rPr>
        <w:t xml:space="preserve"> </w:t>
      </w:r>
      <w:r>
        <w:rPr>
          <w:sz w:val="20"/>
        </w:rPr>
        <w:t>un mínimo de tres miembros, que podrán pertenecer a los servicios dependientes del órgano de contratación, pero en ningún caso podrán estar adscritos al órgano proponente del contrato, al que corresponderá realizar la evaluación de las ofertas; o encomendar esta a un organismo técnico especializado, debidamente identificado en los pliegos.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26"/>
        </w:numPr>
        <w:tabs>
          <w:tab w:val="left" w:pos="1691"/>
        </w:tabs>
        <w:spacing w:before="1" w:line="249" w:lineRule="auto"/>
        <w:ind w:firstLine="340"/>
        <w:jc w:val="both"/>
        <w:rPr>
          <w:sz w:val="20"/>
        </w:rPr>
      </w:pPr>
      <w:r>
        <w:rPr>
          <w:sz w:val="20"/>
        </w:rPr>
        <w:t>En los restantes supuestos, la valoración de los criterios cuya cuantificación dependa de un juicio de valor, así como, en todo caso, la de los criterios evaluables mediante la utilización de fórmulas, se efectuará por la mesa de contratación, si interviene, o por los servicios dependientes del órgano de contratación en caso contrario, a cuyo efecto se</w:t>
      </w:r>
      <w:r>
        <w:rPr>
          <w:spacing w:val="40"/>
          <w:sz w:val="20"/>
        </w:rPr>
        <w:t xml:space="preserve"> </w:t>
      </w:r>
      <w:r>
        <w:rPr>
          <w:sz w:val="20"/>
        </w:rPr>
        <w:t>podrán solicitar los informes técnicos que considere precisos de conformidad con lo previsto en el artículo 150.1 y 157.5 de la presente Ley.</w:t>
      </w:r>
    </w:p>
    <w:p w:rsidR="0092635B" w:rsidRDefault="00000000">
      <w:pPr>
        <w:pStyle w:val="Textoindependiente"/>
        <w:spacing w:before="125"/>
        <w:ind w:left="1446" w:firstLine="0"/>
      </w:pPr>
      <w:r>
        <w:t>La</w:t>
      </w:r>
      <w:r>
        <w:rPr>
          <w:spacing w:val="-2"/>
        </w:rPr>
        <w:t xml:space="preserve"> </w:t>
      </w:r>
      <w:r>
        <w:t>elección</w:t>
      </w:r>
      <w:r>
        <w:rPr>
          <w:spacing w:val="-2"/>
        </w:rPr>
        <w:t xml:space="preserve"> </w:t>
      </w:r>
      <w:r>
        <w:t>de</w:t>
      </w:r>
      <w:r>
        <w:rPr>
          <w:spacing w:val="-2"/>
        </w:rPr>
        <w:t xml:space="preserve"> </w:t>
      </w:r>
      <w:r>
        <w:t>las</w:t>
      </w:r>
      <w:r>
        <w:rPr>
          <w:spacing w:val="-2"/>
        </w:rPr>
        <w:t xml:space="preserve"> </w:t>
      </w:r>
      <w:r>
        <w:t>fórmulas</w:t>
      </w:r>
      <w:r>
        <w:rPr>
          <w:spacing w:val="-2"/>
        </w:rPr>
        <w:t xml:space="preserve"> </w:t>
      </w:r>
      <w:r>
        <w:t>se</w:t>
      </w:r>
      <w:r>
        <w:rPr>
          <w:spacing w:val="-1"/>
        </w:rPr>
        <w:t xml:space="preserve"> </w:t>
      </w:r>
      <w:r>
        <w:t>tendrán</w:t>
      </w:r>
      <w:r>
        <w:rPr>
          <w:spacing w:val="-2"/>
        </w:rPr>
        <w:t xml:space="preserve"> </w:t>
      </w:r>
      <w:r>
        <w:t>que</w:t>
      </w:r>
      <w:r>
        <w:rPr>
          <w:spacing w:val="-2"/>
        </w:rPr>
        <w:t xml:space="preserve"> </w:t>
      </w:r>
      <w:r>
        <w:t>justificar</w:t>
      </w:r>
      <w:r>
        <w:rPr>
          <w:spacing w:val="-2"/>
        </w:rPr>
        <w:t xml:space="preserve"> </w:t>
      </w:r>
      <w:r>
        <w:t>en</w:t>
      </w:r>
      <w:r>
        <w:rPr>
          <w:spacing w:val="-2"/>
        </w:rPr>
        <w:t xml:space="preserve"> </w:t>
      </w:r>
      <w:r>
        <w:t>el</w:t>
      </w:r>
      <w:r>
        <w:rPr>
          <w:spacing w:val="-1"/>
        </w:rPr>
        <w:t xml:space="preserve"> </w:t>
      </w:r>
      <w:r>
        <w:rPr>
          <w:spacing w:val="-2"/>
        </w:rPr>
        <w:t>expediente.</w:t>
      </w:r>
    </w:p>
    <w:p w:rsidR="0092635B" w:rsidRDefault="00000000">
      <w:pPr>
        <w:pStyle w:val="Textoindependiente"/>
        <w:spacing w:before="10" w:line="249" w:lineRule="auto"/>
        <w:ind w:right="1103"/>
      </w:pPr>
      <w:r>
        <w:t>En todo caso, la evaluación de las ofertas conforme a los criterios cuantificables</w:t>
      </w:r>
      <w:r>
        <w:rPr>
          <w:spacing w:val="40"/>
        </w:rPr>
        <w:t xml:space="preserve"> </w:t>
      </w:r>
      <w:r>
        <w:t>mediante la mera aplicación de fórmulas se realizará tras efectuar previamente la de</w:t>
      </w:r>
      <w:r>
        <w:rPr>
          <w:spacing w:val="40"/>
        </w:rPr>
        <w:t xml:space="preserve"> </w:t>
      </w:r>
      <w:r>
        <w:t>aquellos otros criterios en que no concurra esta circunstancia, dejándose constancia documental de ello.</w:t>
      </w:r>
    </w:p>
    <w:p w:rsidR="0092635B" w:rsidRDefault="00000000">
      <w:pPr>
        <w:pStyle w:val="Textoindependiente"/>
        <w:spacing w:before="3" w:line="249" w:lineRule="auto"/>
        <w:ind w:right="1105"/>
      </w:pPr>
      <w:r>
        <w:t>La citada evaluación previa se hará pública en el acto en el que se proceda a la apertura del sobre que contenga los elementos de la oferta que se valoraran mediante la mera aplicación de fórmulas.</w:t>
      </w:r>
    </w:p>
    <w:p w:rsidR="0092635B" w:rsidRDefault="00000000">
      <w:pPr>
        <w:pStyle w:val="Textoindependiente"/>
        <w:spacing w:line="249" w:lineRule="auto"/>
        <w:ind w:right="1104"/>
      </w:pPr>
      <w:r>
        <w:t xml:space="preserve">Cuando en los contratos de concesión de obras o de concesión de servicios se prevea la posibilidad de que se efectúen aportaciones públicas a la construcción o explotación así como cualquier tipo de garantías, avales u otro tipo de ayudas a la empresa, en todo caso figurará como un criterio de adjudicación evaluable de forma automática la cuantía de la reducción que oferten los licitadores sobre las aportaciones previstas en el expediente de </w:t>
      </w:r>
      <w:r>
        <w:rPr>
          <w:spacing w:val="-2"/>
        </w:rPr>
        <w:t>contratación.</w:t>
      </w:r>
    </w:p>
    <w:p w:rsidR="0092635B" w:rsidRDefault="00000000">
      <w:pPr>
        <w:pStyle w:val="Prrafodelista"/>
        <w:numPr>
          <w:ilvl w:val="0"/>
          <w:numId w:val="226"/>
        </w:numPr>
        <w:tabs>
          <w:tab w:val="left" w:pos="1687"/>
        </w:tabs>
        <w:spacing w:before="5" w:line="249" w:lineRule="auto"/>
        <w:ind w:right="1104" w:firstLine="340"/>
        <w:jc w:val="both"/>
        <w:rPr>
          <w:sz w:val="20"/>
        </w:rPr>
      </w:pPr>
      <w:r>
        <w:rPr>
          <w:sz w:val="20"/>
        </w:rPr>
        <w:t>Salvo cuando se tome en consideración el precio exclusivamente, deberá precisarse en el pliego de cláusulas administrativas particulares o en el documento descriptivo la ponderación relativa atribuida a cada uno de los criterios de valoración, que podrá</w:t>
      </w:r>
      <w:r>
        <w:rPr>
          <w:spacing w:val="40"/>
          <w:sz w:val="20"/>
        </w:rPr>
        <w:t xml:space="preserve"> </w:t>
      </w:r>
      <w:r>
        <w:rPr>
          <w:sz w:val="20"/>
        </w:rPr>
        <w:t>expresarse fijando una banda de valores con una amplitud máxima adecuada.</w:t>
      </w:r>
    </w:p>
    <w:p w:rsidR="0092635B" w:rsidRDefault="00000000">
      <w:pPr>
        <w:pStyle w:val="Textoindependiente"/>
        <w:spacing w:before="4" w:line="249" w:lineRule="auto"/>
        <w:ind w:right="1104"/>
      </w:pPr>
      <w:r>
        <w:t>En el caso de que el procedimiento de adjudicación se articule en varias fases, se indicará igualmente en cuales de ellas se irán aplicando los distintos criterios, estableciendo un umbral mínimo del 50 por ciento de la puntuación en el conjunto de los criterios cualitativos para continuar en el proceso selectivo.</w:t>
      </w:r>
    </w:p>
    <w:p w:rsidR="0092635B" w:rsidRDefault="00000000">
      <w:pPr>
        <w:pStyle w:val="Textoindependiente"/>
        <w:spacing w:before="3" w:line="249" w:lineRule="auto"/>
        <w:ind w:right="1104"/>
      </w:pPr>
      <w:r>
        <w:t>Cuando, por razones objetivas debidamente justificadas, no sea posible ponderar los criterios elegidos, estos se enumerarán por orden decreciente de importancia.</w:t>
      </w:r>
    </w:p>
    <w:p w:rsidR="0092635B" w:rsidRDefault="00000000">
      <w:pPr>
        <w:spacing w:before="228"/>
        <w:ind w:left="1106"/>
        <w:rPr>
          <w:rFonts w:ascii="Arial" w:hAnsi="Arial"/>
          <w:i/>
          <w:sz w:val="20"/>
        </w:rPr>
      </w:pPr>
      <w:bookmarkStart w:id="238" w:name="Artículo_147._Criterios_de_desempate."/>
      <w:bookmarkEnd w:id="238"/>
      <w:r>
        <w:rPr>
          <w:rFonts w:ascii="Arial" w:hAnsi="Arial"/>
          <w:b/>
          <w:sz w:val="20"/>
        </w:rPr>
        <w:t>Artículo</w:t>
      </w:r>
      <w:r>
        <w:rPr>
          <w:rFonts w:ascii="Arial" w:hAnsi="Arial"/>
          <w:b/>
          <w:spacing w:val="-1"/>
          <w:sz w:val="20"/>
        </w:rPr>
        <w:t xml:space="preserve"> </w:t>
      </w:r>
      <w:r>
        <w:rPr>
          <w:rFonts w:ascii="Arial" w:hAnsi="Arial"/>
          <w:b/>
          <w:sz w:val="20"/>
        </w:rPr>
        <w:t>147.</w:t>
      </w:r>
      <w:r>
        <w:rPr>
          <w:rFonts w:ascii="Arial" w:hAnsi="Arial"/>
          <w:b/>
          <w:spacing w:val="54"/>
          <w:sz w:val="20"/>
        </w:rPr>
        <w:t xml:space="preserve"> </w:t>
      </w:r>
      <w:r>
        <w:rPr>
          <w:rFonts w:ascii="Arial" w:hAnsi="Arial"/>
          <w:i/>
          <w:sz w:val="20"/>
        </w:rPr>
        <w:t xml:space="preserve">Criterios de </w:t>
      </w:r>
      <w:r>
        <w:rPr>
          <w:rFonts w:ascii="Arial" w:hAnsi="Arial"/>
          <w:i/>
          <w:spacing w:val="-2"/>
          <w:sz w:val="20"/>
        </w:rPr>
        <w:t>desempate.</w:t>
      </w:r>
    </w:p>
    <w:p w:rsidR="0092635B" w:rsidRDefault="00000000">
      <w:pPr>
        <w:pStyle w:val="Prrafodelista"/>
        <w:numPr>
          <w:ilvl w:val="0"/>
          <w:numId w:val="225"/>
        </w:numPr>
        <w:tabs>
          <w:tab w:val="left" w:pos="1766"/>
        </w:tabs>
        <w:spacing w:before="124" w:line="249" w:lineRule="auto"/>
        <w:ind w:firstLine="340"/>
        <w:jc w:val="both"/>
        <w:rPr>
          <w:sz w:val="20"/>
        </w:rPr>
      </w:pPr>
      <w:r>
        <w:rPr>
          <w:sz w:val="20"/>
        </w:rPr>
        <w:t>Los órganos de contratación podrán establecer en los pliegos de cláusulas administrativas particulares criterios de adjudicación específicos para el desempate en los casos en que, tras la aplicación de los criterios de adjudicación, se produzca un empate</w:t>
      </w:r>
      <w:r>
        <w:rPr>
          <w:spacing w:val="40"/>
          <w:sz w:val="20"/>
        </w:rPr>
        <w:t xml:space="preserve"> </w:t>
      </w:r>
      <w:r>
        <w:rPr>
          <w:sz w:val="20"/>
        </w:rPr>
        <w:t>entre dos o más ofertas.</w:t>
      </w:r>
    </w:p>
    <w:p w:rsidR="0092635B" w:rsidRDefault="00000000">
      <w:pPr>
        <w:pStyle w:val="Textoindependiente"/>
        <w:spacing w:before="3" w:line="249" w:lineRule="auto"/>
        <w:ind w:right="1104"/>
      </w:pPr>
      <w:r>
        <w:t>Dichos criterios de adjudicación específicos para el desempate deberán estar vinculados al objeto del contrato y se referirán a:</w:t>
      </w:r>
    </w:p>
    <w:p w:rsidR="0092635B" w:rsidRDefault="00000000">
      <w:pPr>
        <w:pStyle w:val="Prrafodelista"/>
        <w:numPr>
          <w:ilvl w:val="1"/>
          <w:numId w:val="225"/>
        </w:numPr>
        <w:tabs>
          <w:tab w:val="left" w:pos="1706"/>
        </w:tabs>
        <w:spacing w:before="122" w:line="249" w:lineRule="auto"/>
        <w:ind w:right="1104" w:firstLine="340"/>
        <w:jc w:val="both"/>
        <w:rPr>
          <w:sz w:val="20"/>
        </w:rPr>
      </w:pPr>
      <w:r>
        <w:rPr>
          <w:sz w:val="20"/>
        </w:rPr>
        <w:t>Proposiciones presentadas por aquellas empresas que, al vencimiento del plazo de presentación de ofertas, tengan en su plantilla un porcentaje de trabajadores con discapacidad superior al que les imponga la normativa.</w:t>
      </w:r>
    </w:p>
    <w:p w:rsidR="0092635B" w:rsidRDefault="00000000">
      <w:pPr>
        <w:pStyle w:val="Textoindependiente"/>
        <w:spacing w:line="249" w:lineRule="auto"/>
        <w:ind w:right="1104"/>
      </w:pPr>
      <w:r>
        <w:t>En este supuesto, si varias empresas licitadoras de las que hubieren empatado en</w:t>
      </w:r>
      <w:r>
        <w:rPr>
          <w:spacing w:val="40"/>
        </w:rPr>
        <w:t xml:space="preserve"> </w:t>
      </w:r>
      <w:r>
        <w:t>cuanto a la proposición más ventajosa acreditan tener relación laboral con personas con discapacidad en un porcentaje superior al que les imponga la normativa, tendrá preferencia en la adjudicación del contrato el licitador que disponga del mayor porcentaje de</w:t>
      </w:r>
      <w:r>
        <w:rPr>
          <w:spacing w:val="80"/>
        </w:rPr>
        <w:t xml:space="preserve"> </w:t>
      </w:r>
      <w:r>
        <w:t>trabajadores fijos con discapacidad en su plantilla.</w:t>
      </w:r>
    </w:p>
    <w:p w:rsidR="0092635B" w:rsidRDefault="00000000">
      <w:pPr>
        <w:pStyle w:val="Prrafodelista"/>
        <w:numPr>
          <w:ilvl w:val="1"/>
          <w:numId w:val="225"/>
        </w:numPr>
        <w:tabs>
          <w:tab w:val="left" w:pos="1727"/>
        </w:tabs>
        <w:spacing w:before="4" w:line="249" w:lineRule="auto"/>
        <w:ind w:right="1104" w:firstLine="340"/>
        <w:jc w:val="both"/>
        <w:rPr>
          <w:sz w:val="20"/>
        </w:rPr>
      </w:pPr>
      <w:r>
        <w:rPr>
          <w:sz w:val="20"/>
        </w:rPr>
        <w:t>Proposiciones de empresas de inserción reguladas en la Ley 44/2007, de 13 de diciembre,</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regulación</w:t>
      </w:r>
      <w:r>
        <w:rPr>
          <w:spacing w:val="-2"/>
          <w:sz w:val="20"/>
        </w:rPr>
        <w:t xml:space="preserve"> </w:t>
      </w:r>
      <w:r>
        <w:rPr>
          <w:sz w:val="20"/>
        </w:rPr>
        <w:t>del</w:t>
      </w:r>
      <w:r>
        <w:rPr>
          <w:spacing w:val="-2"/>
          <w:sz w:val="20"/>
        </w:rPr>
        <w:t xml:space="preserve"> </w:t>
      </w:r>
      <w:r>
        <w:rPr>
          <w:sz w:val="20"/>
        </w:rPr>
        <w:t>régimen</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empresas</w:t>
      </w:r>
      <w:r>
        <w:rPr>
          <w:spacing w:val="-2"/>
          <w:sz w:val="20"/>
        </w:rPr>
        <w:t xml:space="preserve"> </w:t>
      </w:r>
      <w:r>
        <w:rPr>
          <w:sz w:val="20"/>
        </w:rPr>
        <w:t>de</w:t>
      </w:r>
      <w:r>
        <w:rPr>
          <w:spacing w:val="-2"/>
          <w:sz w:val="20"/>
        </w:rPr>
        <w:t xml:space="preserve"> </w:t>
      </w:r>
      <w:r>
        <w:rPr>
          <w:sz w:val="20"/>
        </w:rPr>
        <w:t>inserción,</w:t>
      </w:r>
      <w:r>
        <w:rPr>
          <w:spacing w:val="-2"/>
          <w:sz w:val="20"/>
        </w:rPr>
        <w:t xml:space="preserve"> </w:t>
      </w:r>
      <w:r>
        <w:rPr>
          <w:sz w:val="20"/>
        </w:rPr>
        <w:t>que</w:t>
      </w:r>
      <w:r>
        <w:rPr>
          <w:spacing w:val="-2"/>
          <w:sz w:val="20"/>
        </w:rPr>
        <w:t xml:space="preserve"> </w:t>
      </w:r>
      <w:r>
        <w:rPr>
          <w:sz w:val="20"/>
        </w:rPr>
        <w:t>cumplan</w:t>
      </w:r>
      <w:r>
        <w:rPr>
          <w:spacing w:val="-2"/>
          <w:sz w:val="20"/>
        </w:rPr>
        <w:t xml:space="preserve"> </w:t>
      </w:r>
      <w:r>
        <w:rPr>
          <w:sz w:val="20"/>
        </w:rPr>
        <w:t>con</w:t>
      </w:r>
      <w:r>
        <w:rPr>
          <w:spacing w:val="-2"/>
          <w:sz w:val="20"/>
        </w:rPr>
        <w:t xml:space="preserve"> </w:t>
      </w:r>
      <w:r>
        <w:rPr>
          <w:sz w:val="20"/>
        </w:rPr>
        <w:t>los requisitos establecidos en dicha normativa para tener esta consideración.</w:t>
      </w:r>
    </w:p>
    <w:p w:rsidR="0092635B" w:rsidRDefault="00000000">
      <w:pPr>
        <w:pStyle w:val="Prrafodelista"/>
        <w:numPr>
          <w:ilvl w:val="1"/>
          <w:numId w:val="225"/>
        </w:numPr>
        <w:tabs>
          <w:tab w:val="left" w:pos="1719"/>
        </w:tabs>
        <w:spacing w:before="3" w:line="249" w:lineRule="auto"/>
        <w:ind w:firstLine="340"/>
        <w:jc w:val="both"/>
        <w:rPr>
          <w:sz w:val="20"/>
        </w:rPr>
      </w:pPr>
      <w:r>
        <w:rPr>
          <w:sz w:val="20"/>
        </w:rPr>
        <w:t>En la adjudicación de los contratos relativos a prestaciones de carácter social o asistencial, las proposiciones presentadas por entidades sin ánimo de lucro, con personalidad jurídica, siempre que su finalidad o actividad tenga relación directa con el</w:t>
      </w:r>
      <w:r>
        <w:rPr>
          <w:spacing w:val="40"/>
          <w:sz w:val="20"/>
        </w:rPr>
        <w:t xml:space="preserve"> </w:t>
      </w:r>
      <w:r>
        <w:rPr>
          <w:sz w:val="20"/>
        </w:rPr>
        <w:t>objeto del contrato, según resulte de sus respectivos estatutos o reglas fundacionales y figuren inscritas en el correspondiente registro oficial.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25"/>
        </w:numPr>
        <w:tabs>
          <w:tab w:val="left" w:pos="1698"/>
        </w:tabs>
        <w:spacing w:before="1" w:line="249" w:lineRule="auto"/>
        <w:ind w:firstLine="340"/>
        <w:jc w:val="both"/>
        <w:rPr>
          <w:sz w:val="20"/>
        </w:rPr>
      </w:pPr>
      <w:r>
        <w:rPr>
          <w:sz w:val="20"/>
        </w:rPr>
        <w:t>Las ofertas de entidades reconocidas como Organizaciones de Comercio Justo para</w:t>
      </w:r>
      <w:r>
        <w:rPr>
          <w:spacing w:val="40"/>
          <w:sz w:val="20"/>
        </w:rPr>
        <w:t xml:space="preserve"> </w:t>
      </w:r>
      <w:r>
        <w:rPr>
          <w:sz w:val="20"/>
        </w:rPr>
        <w:t>la adjudicación de los contratos que tengan como objeto productos en los que exista alternativa de Comercio Justo.</w:t>
      </w:r>
    </w:p>
    <w:p w:rsidR="0092635B" w:rsidRDefault="00000000">
      <w:pPr>
        <w:pStyle w:val="Prrafodelista"/>
        <w:numPr>
          <w:ilvl w:val="1"/>
          <w:numId w:val="225"/>
        </w:numPr>
        <w:tabs>
          <w:tab w:val="left" w:pos="1750"/>
        </w:tabs>
        <w:spacing w:line="249" w:lineRule="auto"/>
        <w:ind w:right="1105" w:firstLine="340"/>
        <w:jc w:val="both"/>
        <w:rPr>
          <w:sz w:val="20"/>
        </w:rPr>
      </w:pPr>
      <w:r>
        <w:rPr>
          <w:sz w:val="20"/>
        </w:rPr>
        <w:t>Proposiciones presentadas por las empresas que, al vencimiento del plazo de presentación de ofertas, incluyan medidas de carácter social y laboral que favorezcan la igualdad de oportunidades entre mujeres y hombres.</w:t>
      </w:r>
    </w:p>
    <w:p w:rsidR="0092635B" w:rsidRDefault="00000000">
      <w:pPr>
        <w:pStyle w:val="Textoindependiente"/>
        <w:spacing w:before="123" w:line="249" w:lineRule="auto"/>
        <w:ind w:right="1105"/>
      </w:pPr>
      <w:r>
        <w:t>La documentación acreditativa de los criterios de desempate a que se refiere el presente apartado será aportada por los licitadores en el momento en que se produzca el empate, y</w:t>
      </w:r>
      <w:r>
        <w:rPr>
          <w:spacing w:val="40"/>
        </w:rPr>
        <w:t xml:space="preserve"> </w:t>
      </w:r>
      <w:r>
        <w:t>no con carácter previo.</w:t>
      </w:r>
    </w:p>
    <w:p w:rsidR="0092635B" w:rsidRDefault="00000000">
      <w:pPr>
        <w:pStyle w:val="Prrafodelista"/>
        <w:numPr>
          <w:ilvl w:val="0"/>
          <w:numId w:val="225"/>
        </w:numPr>
        <w:tabs>
          <w:tab w:val="left" w:pos="1693"/>
        </w:tabs>
        <w:spacing w:line="249" w:lineRule="auto"/>
        <w:ind w:right="1104" w:firstLine="340"/>
        <w:jc w:val="both"/>
        <w:rPr>
          <w:sz w:val="20"/>
        </w:rPr>
      </w:pPr>
      <w:r>
        <w:rPr>
          <w:sz w:val="20"/>
        </w:rPr>
        <w:t>En defecto de la previsión en los pliegos a la que se refiere el apartado anterior, el empate entre varias ofertas tras la aplicación de los criterios de adjudicación del contrato se resolverá mediante la aplicación por orden de los siguientes criterios sociales, referidos al momento de finalizar el plazo de presentación de ofertas:</w:t>
      </w:r>
    </w:p>
    <w:p w:rsidR="0092635B" w:rsidRDefault="00000000">
      <w:pPr>
        <w:pStyle w:val="Prrafodelista"/>
        <w:numPr>
          <w:ilvl w:val="1"/>
          <w:numId w:val="225"/>
        </w:numPr>
        <w:tabs>
          <w:tab w:val="left" w:pos="1686"/>
        </w:tabs>
        <w:spacing w:before="123" w:line="249" w:lineRule="auto"/>
        <w:ind w:firstLine="340"/>
        <w:jc w:val="both"/>
        <w:rPr>
          <w:sz w:val="20"/>
        </w:rPr>
      </w:pPr>
      <w:r>
        <w:rPr>
          <w:sz w:val="20"/>
        </w:rPr>
        <w:t>Mayor porcentaje de trabajadores con discapacidad o en situación de exclusión social en</w:t>
      </w:r>
      <w:r>
        <w:rPr>
          <w:spacing w:val="-1"/>
          <w:sz w:val="20"/>
        </w:rPr>
        <w:t xml:space="preserve"> </w:t>
      </w:r>
      <w:r>
        <w:rPr>
          <w:sz w:val="20"/>
        </w:rPr>
        <w:t>la</w:t>
      </w:r>
      <w:r>
        <w:rPr>
          <w:spacing w:val="-1"/>
          <w:sz w:val="20"/>
        </w:rPr>
        <w:t xml:space="preserve"> </w:t>
      </w:r>
      <w:r>
        <w:rPr>
          <w:sz w:val="20"/>
        </w:rPr>
        <w:t>plantilla</w:t>
      </w:r>
      <w:r>
        <w:rPr>
          <w:spacing w:val="-1"/>
          <w:sz w:val="20"/>
        </w:rPr>
        <w:t xml:space="preserve"> </w:t>
      </w:r>
      <w:r>
        <w:rPr>
          <w:sz w:val="20"/>
        </w:rPr>
        <w:t>de</w:t>
      </w:r>
      <w:r>
        <w:rPr>
          <w:spacing w:val="-1"/>
          <w:sz w:val="20"/>
        </w:rPr>
        <w:t xml:space="preserve"> </w:t>
      </w:r>
      <w:r>
        <w:rPr>
          <w:sz w:val="20"/>
        </w:rPr>
        <w:t>cada</w:t>
      </w:r>
      <w:r>
        <w:rPr>
          <w:spacing w:val="-1"/>
          <w:sz w:val="20"/>
        </w:rPr>
        <w:t xml:space="preserve"> </w:t>
      </w:r>
      <w:r>
        <w:rPr>
          <w:sz w:val="20"/>
        </w:rPr>
        <w:t>una</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empresas,</w:t>
      </w:r>
      <w:r>
        <w:rPr>
          <w:spacing w:val="-1"/>
          <w:sz w:val="20"/>
        </w:rPr>
        <w:t xml:space="preserve"> </w:t>
      </w:r>
      <w:r>
        <w:rPr>
          <w:sz w:val="20"/>
        </w:rPr>
        <w:t>primando</w:t>
      </w:r>
      <w:r>
        <w:rPr>
          <w:spacing w:val="-1"/>
          <w:sz w:val="20"/>
        </w:rPr>
        <w:t xml:space="preserve"> </w:t>
      </w: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igualdad,</w:t>
      </w:r>
      <w:r>
        <w:rPr>
          <w:spacing w:val="-1"/>
          <w:sz w:val="20"/>
        </w:rPr>
        <w:t xml:space="preserve"> </w:t>
      </w:r>
      <w:r>
        <w:rPr>
          <w:sz w:val="20"/>
        </w:rPr>
        <w:t>el</w:t>
      </w:r>
      <w:r>
        <w:rPr>
          <w:spacing w:val="-1"/>
          <w:sz w:val="20"/>
        </w:rPr>
        <w:t xml:space="preserve"> </w:t>
      </w:r>
      <w:r>
        <w:rPr>
          <w:sz w:val="20"/>
        </w:rPr>
        <w:t>mayor</w:t>
      </w:r>
      <w:r>
        <w:rPr>
          <w:spacing w:val="-1"/>
          <w:sz w:val="20"/>
        </w:rPr>
        <w:t xml:space="preserve"> </w:t>
      </w:r>
      <w:r>
        <w:rPr>
          <w:sz w:val="20"/>
        </w:rPr>
        <w:t>número de trabajadores fijos con discapacidad en plantilla, o el mayor número de personas trabajadoras en inclusión en la plantilla.</w:t>
      </w:r>
    </w:p>
    <w:p w:rsidR="0092635B" w:rsidRDefault="00000000">
      <w:pPr>
        <w:pStyle w:val="Prrafodelista"/>
        <w:numPr>
          <w:ilvl w:val="1"/>
          <w:numId w:val="225"/>
        </w:numPr>
        <w:tabs>
          <w:tab w:val="left" w:pos="1753"/>
        </w:tabs>
        <w:spacing w:before="4" w:line="249" w:lineRule="auto"/>
        <w:ind w:right="1104" w:firstLine="340"/>
        <w:jc w:val="both"/>
        <w:rPr>
          <w:sz w:val="20"/>
        </w:rPr>
      </w:pPr>
      <w:r>
        <w:rPr>
          <w:sz w:val="20"/>
        </w:rPr>
        <w:t xml:space="preserve">Menor porcentaje de contratos temporales en la plantilla de cada una de las </w:t>
      </w:r>
      <w:r>
        <w:rPr>
          <w:spacing w:val="-2"/>
          <w:sz w:val="20"/>
        </w:rPr>
        <w:t>empresas.</w:t>
      </w:r>
    </w:p>
    <w:p w:rsidR="0092635B" w:rsidRDefault="00000000">
      <w:pPr>
        <w:pStyle w:val="Prrafodelista"/>
        <w:numPr>
          <w:ilvl w:val="1"/>
          <w:numId w:val="225"/>
        </w:numPr>
        <w:tabs>
          <w:tab w:val="left" w:pos="1668"/>
        </w:tabs>
        <w:spacing w:before="1"/>
        <w:ind w:left="1668" w:right="0" w:hanging="222"/>
        <w:jc w:val="both"/>
        <w:rPr>
          <w:sz w:val="20"/>
        </w:rPr>
      </w:pPr>
      <w:r>
        <w:rPr>
          <w:sz w:val="20"/>
        </w:rPr>
        <w:t>Mayor</w:t>
      </w:r>
      <w:r>
        <w:rPr>
          <w:spacing w:val="-3"/>
          <w:sz w:val="20"/>
        </w:rPr>
        <w:t xml:space="preserve"> </w:t>
      </w:r>
      <w:r>
        <w:rPr>
          <w:sz w:val="20"/>
        </w:rPr>
        <w:t>porcentaje</w:t>
      </w:r>
      <w:r>
        <w:rPr>
          <w:spacing w:val="-2"/>
          <w:sz w:val="20"/>
        </w:rPr>
        <w:t xml:space="preserve"> </w:t>
      </w:r>
      <w:r>
        <w:rPr>
          <w:sz w:val="20"/>
        </w:rPr>
        <w:t>de</w:t>
      </w:r>
      <w:r>
        <w:rPr>
          <w:spacing w:val="-2"/>
          <w:sz w:val="20"/>
        </w:rPr>
        <w:t xml:space="preserve"> </w:t>
      </w:r>
      <w:r>
        <w:rPr>
          <w:sz w:val="20"/>
        </w:rPr>
        <w:t>mujeres</w:t>
      </w:r>
      <w:r>
        <w:rPr>
          <w:spacing w:val="-2"/>
          <w:sz w:val="20"/>
        </w:rPr>
        <w:t xml:space="preserve"> </w:t>
      </w:r>
      <w:r>
        <w:rPr>
          <w:sz w:val="20"/>
        </w:rPr>
        <w:t>empleadas</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plantilla</w:t>
      </w:r>
      <w:r>
        <w:rPr>
          <w:spacing w:val="-2"/>
          <w:sz w:val="20"/>
        </w:rPr>
        <w:t xml:space="preserve"> </w:t>
      </w:r>
      <w:r>
        <w:rPr>
          <w:sz w:val="20"/>
        </w:rPr>
        <w:t>de</w:t>
      </w:r>
      <w:r>
        <w:rPr>
          <w:spacing w:val="-2"/>
          <w:sz w:val="20"/>
        </w:rPr>
        <w:t xml:space="preserve"> </w:t>
      </w:r>
      <w:r>
        <w:rPr>
          <w:sz w:val="20"/>
        </w:rPr>
        <w:t>cada</w:t>
      </w:r>
      <w:r>
        <w:rPr>
          <w:spacing w:val="-2"/>
          <w:sz w:val="20"/>
        </w:rPr>
        <w:t xml:space="preserve"> </w:t>
      </w:r>
      <w:r>
        <w:rPr>
          <w:sz w:val="20"/>
        </w:rPr>
        <w:t>una</w:t>
      </w:r>
      <w:r>
        <w:rPr>
          <w:spacing w:val="-2"/>
          <w:sz w:val="20"/>
        </w:rPr>
        <w:t xml:space="preserve"> </w:t>
      </w:r>
      <w:r>
        <w:rPr>
          <w:sz w:val="20"/>
        </w:rPr>
        <w:t>de</w:t>
      </w:r>
      <w:r>
        <w:rPr>
          <w:spacing w:val="-2"/>
          <w:sz w:val="20"/>
        </w:rPr>
        <w:t xml:space="preserve"> </w:t>
      </w:r>
      <w:r>
        <w:rPr>
          <w:sz w:val="20"/>
        </w:rPr>
        <w:t>las</w:t>
      </w:r>
      <w:r>
        <w:rPr>
          <w:spacing w:val="-2"/>
          <w:sz w:val="20"/>
        </w:rPr>
        <w:t xml:space="preserve"> empresas.</w:t>
      </w:r>
    </w:p>
    <w:p w:rsidR="0092635B" w:rsidRDefault="00000000">
      <w:pPr>
        <w:pStyle w:val="Prrafodelista"/>
        <w:numPr>
          <w:ilvl w:val="1"/>
          <w:numId w:val="225"/>
        </w:numPr>
        <w:tabs>
          <w:tab w:val="left" w:pos="1711"/>
        </w:tabs>
        <w:spacing w:before="10" w:line="249" w:lineRule="auto"/>
        <w:ind w:firstLine="340"/>
        <w:jc w:val="both"/>
        <w:rPr>
          <w:sz w:val="20"/>
        </w:rPr>
      </w:pPr>
      <w:r>
        <w:rPr>
          <w:sz w:val="20"/>
        </w:rPr>
        <w:t>El sorteo, en caso de que la aplicación de los anteriores criterios no hubiera dado</w:t>
      </w:r>
      <w:r>
        <w:rPr>
          <w:spacing w:val="40"/>
          <w:sz w:val="20"/>
        </w:rPr>
        <w:t xml:space="preserve"> </w:t>
      </w:r>
      <w:r>
        <w:rPr>
          <w:sz w:val="20"/>
        </w:rPr>
        <w:t>lugar a desempate.</w:t>
      </w:r>
    </w:p>
    <w:p w:rsidR="0092635B" w:rsidRDefault="00000000">
      <w:pPr>
        <w:spacing w:before="229"/>
        <w:ind w:left="1106"/>
        <w:rPr>
          <w:rFonts w:ascii="Arial" w:hAnsi="Arial"/>
          <w:i/>
          <w:sz w:val="20"/>
        </w:rPr>
      </w:pPr>
      <w:bookmarkStart w:id="239" w:name="Artículo_148._Definición_y_cálculo_del_c"/>
      <w:bookmarkEnd w:id="239"/>
      <w:r>
        <w:rPr>
          <w:rFonts w:ascii="Arial" w:hAnsi="Arial"/>
          <w:b/>
          <w:sz w:val="20"/>
        </w:rPr>
        <w:t>Artículo</w:t>
      </w:r>
      <w:r>
        <w:rPr>
          <w:rFonts w:ascii="Arial" w:hAnsi="Arial"/>
          <w:b/>
          <w:spacing w:val="-5"/>
          <w:sz w:val="20"/>
        </w:rPr>
        <w:t xml:space="preserve"> </w:t>
      </w:r>
      <w:r>
        <w:rPr>
          <w:rFonts w:ascii="Arial" w:hAnsi="Arial"/>
          <w:b/>
          <w:sz w:val="20"/>
        </w:rPr>
        <w:t>148.</w:t>
      </w:r>
      <w:r>
        <w:rPr>
          <w:rFonts w:ascii="Arial" w:hAnsi="Arial"/>
          <w:b/>
          <w:spacing w:val="49"/>
          <w:sz w:val="20"/>
        </w:rPr>
        <w:t xml:space="preserve"> </w:t>
      </w:r>
      <w:r>
        <w:rPr>
          <w:rFonts w:ascii="Arial" w:hAnsi="Arial"/>
          <w:i/>
          <w:sz w:val="20"/>
        </w:rPr>
        <w:t>Definición</w:t>
      </w:r>
      <w:r>
        <w:rPr>
          <w:rFonts w:ascii="Arial" w:hAnsi="Arial"/>
          <w:i/>
          <w:spacing w:val="-2"/>
          <w:sz w:val="20"/>
        </w:rPr>
        <w:t xml:space="preserve"> </w:t>
      </w:r>
      <w:r>
        <w:rPr>
          <w:rFonts w:ascii="Arial" w:hAnsi="Arial"/>
          <w:i/>
          <w:sz w:val="20"/>
        </w:rPr>
        <w:t>y</w:t>
      </w:r>
      <w:r>
        <w:rPr>
          <w:rFonts w:ascii="Arial" w:hAnsi="Arial"/>
          <w:i/>
          <w:spacing w:val="-3"/>
          <w:sz w:val="20"/>
        </w:rPr>
        <w:t xml:space="preserve"> </w:t>
      </w:r>
      <w:r>
        <w:rPr>
          <w:rFonts w:ascii="Arial" w:hAnsi="Arial"/>
          <w:i/>
          <w:sz w:val="20"/>
        </w:rPr>
        <w:t>cálculo</w:t>
      </w:r>
      <w:r>
        <w:rPr>
          <w:rFonts w:ascii="Arial" w:hAnsi="Arial"/>
          <w:i/>
          <w:spacing w:val="-2"/>
          <w:sz w:val="20"/>
        </w:rPr>
        <w:t xml:space="preserve"> </w:t>
      </w:r>
      <w:r>
        <w:rPr>
          <w:rFonts w:ascii="Arial" w:hAnsi="Arial"/>
          <w:i/>
          <w:sz w:val="20"/>
        </w:rPr>
        <w:t>del</w:t>
      </w:r>
      <w:r>
        <w:rPr>
          <w:rFonts w:ascii="Arial" w:hAnsi="Arial"/>
          <w:i/>
          <w:spacing w:val="-3"/>
          <w:sz w:val="20"/>
        </w:rPr>
        <w:t xml:space="preserve"> </w:t>
      </w:r>
      <w:r>
        <w:rPr>
          <w:rFonts w:ascii="Arial" w:hAnsi="Arial"/>
          <w:i/>
          <w:sz w:val="20"/>
        </w:rPr>
        <w:t>ciclo</w:t>
      </w:r>
      <w:r>
        <w:rPr>
          <w:rFonts w:ascii="Arial" w:hAnsi="Arial"/>
          <w:i/>
          <w:spacing w:val="-2"/>
          <w:sz w:val="20"/>
        </w:rPr>
        <w:t xml:space="preserve"> </w:t>
      </w:r>
      <w:r>
        <w:rPr>
          <w:rFonts w:ascii="Arial" w:hAnsi="Arial"/>
          <w:i/>
          <w:sz w:val="20"/>
        </w:rPr>
        <w:t>de</w:t>
      </w:r>
      <w:r>
        <w:rPr>
          <w:rFonts w:ascii="Arial" w:hAnsi="Arial"/>
          <w:i/>
          <w:spacing w:val="-2"/>
          <w:sz w:val="20"/>
        </w:rPr>
        <w:t xml:space="preserve"> vida.</w:t>
      </w:r>
    </w:p>
    <w:p w:rsidR="0092635B" w:rsidRDefault="00000000">
      <w:pPr>
        <w:pStyle w:val="Prrafodelista"/>
        <w:numPr>
          <w:ilvl w:val="0"/>
          <w:numId w:val="224"/>
        </w:numPr>
        <w:tabs>
          <w:tab w:val="left" w:pos="1683"/>
        </w:tabs>
        <w:spacing w:before="123" w:line="249" w:lineRule="auto"/>
        <w:ind w:right="1102" w:firstLine="340"/>
        <w:jc w:val="both"/>
        <w:rPr>
          <w:sz w:val="20"/>
        </w:rPr>
      </w:pPr>
      <w:r>
        <w:rPr>
          <w:sz w:val="20"/>
        </w:rPr>
        <w:t>A los efectos de esta Ley se entenderán comprendidos dentro del «ciclo de vida» de un producto, obra o servicio todas las fases consecutivas o interrelacionadas que se</w:t>
      </w:r>
      <w:r>
        <w:rPr>
          <w:spacing w:val="80"/>
          <w:sz w:val="20"/>
        </w:rPr>
        <w:t xml:space="preserve"> </w:t>
      </w:r>
      <w:r>
        <w:rPr>
          <w:sz w:val="20"/>
        </w:rPr>
        <w:t>sucedan durante su existencia y, en todo caso: la investigación y el desarrollo que deba llevarse a cabo, la fabricación o producción, la comercialización y las condiciones en que</w:t>
      </w:r>
      <w:r>
        <w:rPr>
          <w:spacing w:val="40"/>
          <w:sz w:val="20"/>
        </w:rPr>
        <w:t xml:space="preserve"> </w:t>
      </w:r>
      <w:r>
        <w:rPr>
          <w:sz w:val="20"/>
        </w:rPr>
        <w:t>esta tenga lugar, el transporte, la utilización y el mantenimiento, la adquisición de las materias primas necesarias y la generación de recursos; todo ello hasta que se produzca la eliminación, el desmantelamiento o el final de la utilización.</w:t>
      </w:r>
    </w:p>
    <w:p w:rsidR="0092635B" w:rsidRDefault="00000000">
      <w:pPr>
        <w:pStyle w:val="Prrafodelista"/>
        <w:numPr>
          <w:ilvl w:val="0"/>
          <w:numId w:val="224"/>
        </w:numPr>
        <w:tabs>
          <w:tab w:val="left" w:pos="1674"/>
        </w:tabs>
        <w:spacing w:before="6" w:line="249" w:lineRule="auto"/>
        <w:ind w:firstLine="340"/>
        <w:jc w:val="both"/>
        <w:rPr>
          <w:sz w:val="20"/>
        </w:rPr>
      </w:pPr>
      <w:r>
        <w:rPr>
          <w:sz w:val="20"/>
        </w:rPr>
        <w:t>El cálculo de coste del ciclo de vida incluirá, según el caso, la totalidad o una parte de los costes siguientes en que se hubiere incurrido a lo largo del ciclo de vida de un producto, un servicio o una obra:</w:t>
      </w:r>
    </w:p>
    <w:p w:rsidR="0092635B" w:rsidRDefault="00000000">
      <w:pPr>
        <w:pStyle w:val="Prrafodelista"/>
        <w:numPr>
          <w:ilvl w:val="1"/>
          <w:numId w:val="224"/>
        </w:numPr>
        <w:tabs>
          <w:tab w:val="left" w:pos="1679"/>
        </w:tabs>
        <w:spacing w:before="122"/>
        <w:ind w:right="0" w:hanging="233"/>
        <w:jc w:val="both"/>
        <w:rPr>
          <w:sz w:val="20"/>
        </w:rPr>
      </w:pPr>
      <w:r>
        <w:rPr>
          <w:sz w:val="20"/>
        </w:rPr>
        <w:t>Los</w:t>
      </w:r>
      <w:r>
        <w:rPr>
          <w:spacing w:val="-2"/>
          <w:sz w:val="20"/>
        </w:rPr>
        <w:t xml:space="preserve"> </w:t>
      </w:r>
      <w:r>
        <w:rPr>
          <w:sz w:val="20"/>
        </w:rPr>
        <w:t>costes</w:t>
      </w:r>
      <w:r>
        <w:rPr>
          <w:spacing w:val="-1"/>
          <w:sz w:val="20"/>
        </w:rPr>
        <w:t xml:space="preserve"> </w:t>
      </w:r>
      <w:r>
        <w:rPr>
          <w:sz w:val="20"/>
        </w:rPr>
        <w:t>sufragados</w:t>
      </w:r>
      <w:r>
        <w:rPr>
          <w:spacing w:val="-2"/>
          <w:sz w:val="20"/>
        </w:rPr>
        <w:t xml:space="preserve"> </w:t>
      </w:r>
      <w:r>
        <w:rPr>
          <w:sz w:val="20"/>
        </w:rPr>
        <w:t>por</w:t>
      </w:r>
      <w:r>
        <w:rPr>
          <w:spacing w:val="-1"/>
          <w:sz w:val="20"/>
        </w:rPr>
        <w:t xml:space="preserve"> </w:t>
      </w:r>
      <w:r>
        <w:rPr>
          <w:sz w:val="20"/>
        </w:rPr>
        <w:t>el</w:t>
      </w:r>
      <w:r>
        <w:rPr>
          <w:spacing w:val="-1"/>
          <w:sz w:val="20"/>
        </w:rPr>
        <w:t xml:space="preserve"> </w:t>
      </w:r>
      <w:r>
        <w:rPr>
          <w:sz w:val="20"/>
        </w:rPr>
        <w:t>órgano</w:t>
      </w:r>
      <w:r>
        <w:rPr>
          <w:spacing w:val="-2"/>
          <w:sz w:val="20"/>
        </w:rPr>
        <w:t xml:space="preserve"> </w:t>
      </w:r>
      <w:r>
        <w:rPr>
          <w:sz w:val="20"/>
        </w:rPr>
        <w:t>de</w:t>
      </w:r>
      <w:r>
        <w:rPr>
          <w:spacing w:val="-1"/>
          <w:sz w:val="20"/>
        </w:rPr>
        <w:t xml:space="preserve"> </w:t>
      </w:r>
      <w:r>
        <w:rPr>
          <w:sz w:val="20"/>
        </w:rPr>
        <w:t>contratación</w:t>
      </w:r>
      <w:r>
        <w:rPr>
          <w:spacing w:val="-2"/>
          <w:sz w:val="20"/>
        </w:rPr>
        <w:t xml:space="preserve"> </w:t>
      </w:r>
      <w:r>
        <w:rPr>
          <w:sz w:val="20"/>
        </w:rPr>
        <w:t>o</w:t>
      </w:r>
      <w:r>
        <w:rPr>
          <w:spacing w:val="-1"/>
          <w:sz w:val="20"/>
        </w:rPr>
        <w:t xml:space="preserve"> </w:t>
      </w:r>
      <w:r>
        <w:rPr>
          <w:sz w:val="20"/>
        </w:rPr>
        <w:t>por</w:t>
      </w:r>
      <w:r>
        <w:rPr>
          <w:spacing w:val="-1"/>
          <w:sz w:val="20"/>
        </w:rPr>
        <w:t xml:space="preserve"> </w:t>
      </w:r>
      <w:r>
        <w:rPr>
          <w:sz w:val="20"/>
        </w:rPr>
        <w:t>otros</w:t>
      </w:r>
      <w:r>
        <w:rPr>
          <w:spacing w:val="-2"/>
          <w:sz w:val="20"/>
        </w:rPr>
        <w:t xml:space="preserve"> </w:t>
      </w:r>
      <w:r>
        <w:rPr>
          <w:sz w:val="20"/>
        </w:rPr>
        <w:t>usuarios,</w:t>
      </w:r>
      <w:r>
        <w:rPr>
          <w:spacing w:val="-1"/>
          <w:sz w:val="20"/>
        </w:rPr>
        <w:t xml:space="preserve"> </w:t>
      </w:r>
      <w:r>
        <w:rPr>
          <w:sz w:val="20"/>
        </w:rPr>
        <w:t>tales</w:t>
      </w:r>
      <w:r>
        <w:rPr>
          <w:spacing w:val="-1"/>
          <w:sz w:val="20"/>
        </w:rPr>
        <w:t xml:space="preserve"> </w:t>
      </w:r>
      <w:r>
        <w:rPr>
          <w:spacing w:val="-2"/>
          <w:sz w:val="20"/>
        </w:rPr>
        <w:t>como:</w:t>
      </w:r>
    </w:p>
    <w:p w:rsidR="0092635B" w:rsidRDefault="00000000">
      <w:pPr>
        <w:pStyle w:val="Prrafodelista"/>
        <w:numPr>
          <w:ilvl w:val="2"/>
          <w:numId w:val="224"/>
        </w:numPr>
        <w:tabs>
          <w:tab w:val="left" w:pos="1610"/>
        </w:tabs>
        <w:spacing w:before="130"/>
        <w:ind w:left="1610" w:right="0" w:hanging="164"/>
        <w:rPr>
          <w:sz w:val="20"/>
        </w:rPr>
      </w:pPr>
      <w:r>
        <w:rPr>
          <w:sz w:val="20"/>
        </w:rPr>
        <w:t>º</w:t>
      </w:r>
      <w:r>
        <w:rPr>
          <w:spacing w:val="-2"/>
          <w:sz w:val="20"/>
        </w:rPr>
        <w:t xml:space="preserve"> </w:t>
      </w:r>
      <w:r>
        <w:rPr>
          <w:sz w:val="20"/>
        </w:rPr>
        <w:t xml:space="preserve">Los costes relativos a la </w:t>
      </w:r>
      <w:r>
        <w:rPr>
          <w:spacing w:val="-2"/>
          <w:sz w:val="20"/>
        </w:rPr>
        <w:t>adquisición.</w:t>
      </w:r>
    </w:p>
    <w:p w:rsidR="0092635B" w:rsidRDefault="00000000">
      <w:pPr>
        <w:pStyle w:val="Prrafodelista"/>
        <w:numPr>
          <w:ilvl w:val="2"/>
          <w:numId w:val="224"/>
        </w:numPr>
        <w:tabs>
          <w:tab w:val="left" w:pos="1610"/>
        </w:tabs>
        <w:spacing w:before="10"/>
        <w:ind w:left="1610" w:right="0" w:hanging="164"/>
        <w:rPr>
          <w:sz w:val="20"/>
        </w:rPr>
      </w:pPr>
      <w:r>
        <w:rPr>
          <w:sz w:val="20"/>
        </w:rPr>
        <w:t>º</w:t>
      </w:r>
      <w:r>
        <w:rPr>
          <w:spacing w:val="-3"/>
          <w:sz w:val="20"/>
        </w:rPr>
        <w:t xml:space="preserve"> </w:t>
      </w:r>
      <w:r>
        <w:rPr>
          <w:sz w:val="20"/>
        </w:rPr>
        <w:t>Los</w:t>
      </w:r>
      <w:r>
        <w:rPr>
          <w:spacing w:val="-1"/>
          <w:sz w:val="20"/>
        </w:rPr>
        <w:t xml:space="preserve"> </w:t>
      </w:r>
      <w:r>
        <w:rPr>
          <w:sz w:val="20"/>
        </w:rPr>
        <w:t>costes</w:t>
      </w:r>
      <w:r>
        <w:rPr>
          <w:spacing w:val="-2"/>
          <w:sz w:val="20"/>
        </w:rPr>
        <w:t xml:space="preserve"> </w:t>
      </w:r>
      <w:r>
        <w:rPr>
          <w:sz w:val="20"/>
        </w:rPr>
        <w:t>de</w:t>
      </w:r>
      <w:r>
        <w:rPr>
          <w:spacing w:val="-1"/>
          <w:sz w:val="20"/>
        </w:rPr>
        <w:t xml:space="preserve"> </w:t>
      </w:r>
      <w:r>
        <w:rPr>
          <w:sz w:val="20"/>
        </w:rPr>
        <w:t>utilización,</w:t>
      </w:r>
      <w:r>
        <w:rPr>
          <w:spacing w:val="-2"/>
          <w:sz w:val="20"/>
        </w:rPr>
        <w:t xml:space="preserve"> </w:t>
      </w:r>
      <w:r>
        <w:rPr>
          <w:sz w:val="20"/>
        </w:rPr>
        <w:t>como</w:t>
      </w:r>
      <w:r>
        <w:rPr>
          <w:spacing w:val="-1"/>
          <w:sz w:val="20"/>
        </w:rPr>
        <w:t xml:space="preserve"> </w:t>
      </w:r>
      <w:r>
        <w:rPr>
          <w:sz w:val="20"/>
        </w:rPr>
        <w:t>el</w:t>
      </w:r>
      <w:r>
        <w:rPr>
          <w:spacing w:val="-2"/>
          <w:sz w:val="20"/>
        </w:rPr>
        <w:t xml:space="preserve"> </w:t>
      </w:r>
      <w:r>
        <w:rPr>
          <w:sz w:val="20"/>
        </w:rPr>
        <w:t>consumo</w:t>
      </w:r>
      <w:r>
        <w:rPr>
          <w:spacing w:val="-1"/>
          <w:sz w:val="20"/>
        </w:rPr>
        <w:t xml:space="preserve"> </w:t>
      </w:r>
      <w:r>
        <w:rPr>
          <w:sz w:val="20"/>
        </w:rPr>
        <w:t>de</w:t>
      </w:r>
      <w:r>
        <w:rPr>
          <w:spacing w:val="-2"/>
          <w:sz w:val="20"/>
        </w:rPr>
        <w:t xml:space="preserve"> </w:t>
      </w:r>
      <w:r>
        <w:rPr>
          <w:sz w:val="20"/>
        </w:rPr>
        <w:t>energía</w:t>
      </w:r>
      <w:r>
        <w:rPr>
          <w:spacing w:val="-1"/>
          <w:sz w:val="20"/>
        </w:rPr>
        <w:t xml:space="preserve"> </w:t>
      </w:r>
      <w:r>
        <w:rPr>
          <w:sz w:val="20"/>
        </w:rPr>
        <w:t>y</w:t>
      </w:r>
      <w:r>
        <w:rPr>
          <w:spacing w:val="-2"/>
          <w:sz w:val="20"/>
        </w:rPr>
        <w:t xml:space="preserve"> </w:t>
      </w:r>
      <w:r>
        <w:rPr>
          <w:sz w:val="20"/>
        </w:rPr>
        <w:t>otros</w:t>
      </w:r>
      <w:r>
        <w:rPr>
          <w:spacing w:val="-1"/>
          <w:sz w:val="20"/>
        </w:rPr>
        <w:t xml:space="preserve"> </w:t>
      </w:r>
      <w:r>
        <w:rPr>
          <w:spacing w:val="-2"/>
          <w:sz w:val="20"/>
        </w:rPr>
        <w:t>recursos.</w:t>
      </w:r>
    </w:p>
    <w:p w:rsidR="0092635B" w:rsidRDefault="00000000">
      <w:pPr>
        <w:pStyle w:val="Prrafodelista"/>
        <w:numPr>
          <w:ilvl w:val="2"/>
          <w:numId w:val="224"/>
        </w:numPr>
        <w:tabs>
          <w:tab w:val="left" w:pos="1610"/>
        </w:tabs>
        <w:spacing w:before="10"/>
        <w:ind w:left="1610" w:right="0" w:hanging="164"/>
        <w:rPr>
          <w:sz w:val="20"/>
        </w:rPr>
      </w:pPr>
      <w:r>
        <w:rPr>
          <w:sz w:val="20"/>
        </w:rPr>
        <w:t>º</w:t>
      </w:r>
      <w:r>
        <w:rPr>
          <w:spacing w:val="-2"/>
          <w:sz w:val="20"/>
        </w:rPr>
        <w:t xml:space="preserve"> </w:t>
      </w:r>
      <w:r>
        <w:rPr>
          <w:sz w:val="20"/>
        </w:rPr>
        <w:t xml:space="preserve">Los costes de </w:t>
      </w:r>
      <w:r>
        <w:rPr>
          <w:spacing w:val="-2"/>
          <w:sz w:val="20"/>
        </w:rPr>
        <w:t>mantenimiento.</w:t>
      </w:r>
    </w:p>
    <w:p w:rsidR="0092635B" w:rsidRDefault="00000000">
      <w:pPr>
        <w:pStyle w:val="Prrafodelista"/>
        <w:numPr>
          <w:ilvl w:val="2"/>
          <w:numId w:val="224"/>
        </w:numPr>
        <w:tabs>
          <w:tab w:val="left" w:pos="1610"/>
        </w:tabs>
        <w:spacing w:before="10"/>
        <w:ind w:left="1610" w:right="0" w:hanging="164"/>
        <w:rPr>
          <w:sz w:val="20"/>
        </w:rPr>
      </w:pPr>
      <w:r>
        <w:rPr>
          <w:sz w:val="20"/>
        </w:rPr>
        <w:t>º</w:t>
      </w:r>
      <w:r>
        <w:rPr>
          <w:spacing w:val="-3"/>
          <w:sz w:val="20"/>
        </w:rPr>
        <w:t xml:space="preserve"> </w:t>
      </w:r>
      <w:r>
        <w:rPr>
          <w:sz w:val="20"/>
        </w:rPr>
        <w:t>Los</w:t>
      </w:r>
      <w:r>
        <w:rPr>
          <w:spacing w:val="-1"/>
          <w:sz w:val="20"/>
        </w:rPr>
        <w:t xml:space="preserve"> </w:t>
      </w:r>
      <w:r>
        <w:rPr>
          <w:sz w:val="20"/>
        </w:rPr>
        <w:t>costes</w:t>
      </w:r>
      <w:r>
        <w:rPr>
          <w:spacing w:val="-1"/>
          <w:sz w:val="20"/>
        </w:rPr>
        <w:t xml:space="preserve"> </w:t>
      </w:r>
      <w:r>
        <w:rPr>
          <w:sz w:val="20"/>
        </w:rPr>
        <w:t>de</w:t>
      </w:r>
      <w:r>
        <w:rPr>
          <w:spacing w:val="-2"/>
          <w:sz w:val="20"/>
        </w:rPr>
        <w:t xml:space="preserve"> </w:t>
      </w:r>
      <w:r>
        <w:rPr>
          <w:sz w:val="20"/>
        </w:rPr>
        <w:t>final</w:t>
      </w:r>
      <w:r>
        <w:rPr>
          <w:spacing w:val="-1"/>
          <w:sz w:val="20"/>
        </w:rPr>
        <w:t xml:space="preserve"> </w:t>
      </w:r>
      <w:r>
        <w:rPr>
          <w:sz w:val="20"/>
        </w:rPr>
        <w:t>de</w:t>
      </w:r>
      <w:r>
        <w:rPr>
          <w:spacing w:val="-1"/>
          <w:sz w:val="20"/>
        </w:rPr>
        <w:t xml:space="preserve"> </w:t>
      </w:r>
      <w:r>
        <w:rPr>
          <w:sz w:val="20"/>
        </w:rPr>
        <w:t>vida,</w:t>
      </w:r>
      <w:r>
        <w:rPr>
          <w:spacing w:val="-2"/>
          <w:sz w:val="20"/>
        </w:rPr>
        <w:t xml:space="preserve"> </w:t>
      </w:r>
      <w:r>
        <w:rPr>
          <w:sz w:val="20"/>
        </w:rPr>
        <w:t>como</w:t>
      </w:r>
      <w:r>
        <w:rPr>
          <w:spacing w:val="-1"/>
          <w:sz w:val="20"/>
        </w:rPr>
        <w:t xml:space="preserve"> </w:t>
      </w:r>
      <w:r>
        <w:rPr>
          <w:sz w:val="20"/>
        </w:rPr>
        <w:t>los</w:t>
      </w:r>
      <w:r>
        <w:rPr>
          <w:spacing w:val="-1"/>
          <w:sz w:val="20"/>
        </w:rPr>
        <w:t xml:space="preserve"> </w:t>
      </w:r>
      <w:r>
        <w:rPr>
          <w:sz w:val="20"/>
        </w:rPr>
        <w:t>costes</w:t>
      </w:r>
      <w:r>
        <w:rPr>
          <w:spacing w:val="-2"/>
          <w:sz w:val="20"/>
        </w:rPr>
        <w:t xml:space="preserve"> </w:t>
      </w:r>
      <w:r>
        <w:rPr>
          <w:sz w:val="20"/>
        </w:rPr>
        <w:t>de</w:t>
      </w:r>
      <w:r>
        <w:rPr>
          <w:spacing w:val="-1"/>
          <w:sz w:val="20"/>
        </w:rPr>
        <w:t xml:space="preserve"> </w:t>
      </w:r>
      <w:r>
        <w:rPr>
          <w:sz w:val="20"/>
        </w:rPr>
        <w:t>recogida</w:t>
      </w:r>
      <w:r>
        <w:rPr>
          <w:spacing w:val="-1"/>
          <w:sz w:val="20"/>
        </w:rPr>
        <w:t xml:space="preserve"> </w:t>
      </w:r>
      <w:r>
        <w:rPr>
          <w:sz w:val="20"/>
        </w:rPr>
        <w:t>y</w:t>
      </w:r>
      <w:r>
        <w:rPr>
          <w:spacing w:val="-1"/>
          <w:sz w:val="20"/>
        </w:rPr>
        <w:t xml:space="preserve"> </w:t>
      </w:r>
      <w:r>
        <w:rPr>
          <w:spacing w:val="-2"/>
          <w:sz w:val="20"/>
        </w:rPr>
        <w:t>reciclado.</w:t>
      </w:r>
    </w:p>
    <w:p w:rsidR="0092635B" w:rsidRDefault="00000000">
      <w:pPr>
        <w:pStyle w:val="Prrafodelista"/>
        <w:numPr>
          <w:ilvl w:val="1"/>
          <w:numId w:val="224"/>
        </w:numPr>
        <w:tabs>
          <w:tab w:val="left" w:pos="1737"/>
        </w:tabs>
        <w:spacing w:before="130" w:line="249" w:lineRule="auto"/>
        <w:ind w:left="1106" w:firstLine="340"/>
        <w:jc w:val="both"/>
        <w:rPr>
          <w:sz w:val="20"/>
        </w:rPr>
      </w:pPr>
      <w:r>
        <w:rPr>
          <w:sz w:val="20"/>
        </w:rPr>
        <w:t>los costes imputados a externalidades medioambientales vinculadas al producto, servicio u obra durante su ciclo de vida, a condición de que su valor monetario pueda determinarse y verificarse; estos costes podrán incluir el coste de las emisiones de gases de efecto invernadero y de otras emisiones contaminantes, así como otros costes de mitigación del cambio climático.</w:t>
      </w:r>
    </w:p>
    <w:p w:rsidR="0092635B" w:rsidRDefault="00000000">
      <w:pPr>
        <w:pStyle w:val="Textoindependiente"/>
        <w:spacing w:before="124" w:line="249" w:lineRule="auto"/>
        <w:ind w:right="1103"/>
      </w:pPr>
      <w:r>
        <w:t xml:space="preserve">En los casos en que una norma de la Unión Europea haga obligatorio un método común para calcular los costes del ciclo de vida, se aplicará el mismo a la evaluación de los citados </w:t>
      </w:r>
      <w:r>
        <w:rPr>
          <w:spacing w:val="-2"/>
        </w:rPr>
        <w:t>costes.</w:t>
      </w:r>
    </w:p>
    <w:p w:rsidR="0092635B" w:rsidRDefault="00000000">
      <w:pPr>
        <w:pStyle w:val="Prrafodelista"/>
        <w:numPr>
          <w:ilvl w:val="0"/>
          <w:numId w:val="224"/>
        </w:numPr>
        <w:tabs>
          <w:tab w:val="left" w:pos="1697"/>
        </w:tabs>
        <w:spacing w:before="3" w:line="249" w:lineRule="auto"/>
        <w:ind w:firstLine="340"/>
        <w:jc w:val="both"/>
        <w:rPr>
          <w:sz w:val="20"/>
        </w:rPr>
      </w:pPr>
      <w:r>
        <w:rPr>
          <w:sz w:val="20"/>
        </w:rPr>
        <w:t>Cuando los órganos de contratación evalúen los costes mediante un planteamiento basado en el cálculo del coste del ciclo de vida, indicarán en los pliegos los datos que deben facilitar los licitadores, así como el método que aquellos utilizarán para determinar los costes de ciclo de vida sobre la base de dichos datos.</w:t>
      </w:r>
    </w:p>
    <w:p w:rsidR="0092635B" w:rsidRDefault="00000000">
      <w:pPr>
        <w:pStyle w:val="Textoindependiente"/>
        <w:spacing w:before="3" w:line="249" w:lineRule="auto"/>
        <w:ind w:right="1104"/>
      </w:pPr>
      <w:r>
        <w:t>El método utilizado para la evaluación de los costes imputados a externalidades medioambientales cumplirá todas las condiciones siguientes: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224"/>
        </w:numPr>
        <w:tabs>
          <w:tab w:val="left" w:pos="1681"/>
        </w:tabs>
        <w:spacing w:before="1" w:line="249" w:lineRule="auto"/>
        <w:ind w:left="1106" w:right="1104" w:firstLine="340"/>
        <w:jc w:val="both"/>
        <w:rPr>
          <w:sz w:val="20"/>
        </w:rPr>
      </w:pPr>
      <w:r>
        <w:rPr>
          <w:sz w:val="20"/>
        </w:rPr>
        <w:t>estar</w:t>
      </w:r>
      <w:r>
        <w:rPr>
          <w:spacing w:val="-3"/>
          <w:sz w:val="20"/>
        </w:rPr>
        <w:t xml:space="preserve"> </w:t>
      </w:r>
      <w:r>
        <w:rPr>
          <w:sz w:val="20"/>
        </w:rPr>
        <w:t>basado</w:t>
      </w:r>
      <w:r>
        <w:rPr>
          <w:spacing w:val="-3"/>
          <w:sz w:val="20"/>
        </w:rPr>
        <w:t xml:space="preserve"> </w:t>
      </w:r>
      <w:r>
        <w:rPr>
          <w:sz w:val="20"/>
        </w:rPr>
        <w:t>en</w:t>
      </w:r>
      <w:r>
        <w:rPr>
          <w:spacing w:val="-3"/>
          <w:sz w:val="20"/>
        </w:rPr>
        <w:t xml:space="preserve"> </w:t>
      </w:r>
      <w:r>
        <w:rPr>
          <w:sz w:val="20"/>
        </w:rPr>
        <w:t>criterios</w:t>
      </w:r>
      <w:r>
        <w:rPr>
          <w:spacing w:val="-3"/>
          <w:sz w:val="20"/>
        </w:rPr>
        <w:t xml:space="preserve"> </w:t>
      </w:r>
      <w:r>
        <w:rPr>
          <w:sz w:val="20"/>
        </w:rPr>
        <w:t>verificables</w:t>
      </w:r>
      <w:r>
        <w:rPr>
          <w:spacing w:val="-3"/>
          <w:sz w:val="20"/>
        </w:rPr>
        <w:t xml:space="preserve"> </w:t>
      </w:r>
      <w:r>
        <w:rPr>
          <w:sz w:val="20"/>
        </w:rPr>
        <w:t>objetivamente</w:t>
      </w:r>
      <w:r>
        <w:rPr>
          <w:spacing w:val="-3"/>
          <w:sz w:val="20"/>
        </w:rPr>
        <w:t xml:space="preserve"> </w:t>
      </w:r>
      <w:r>
        <w:rPr>
          <w:sz w:val="20"/>
        </w:rPr>
        <w:t>y</w:t>
      </w:r>
      <w:r>
        <w:rPr>
          <w:spacing w:val="-3"/>
          <w:sz w:val="20"/>
        </w:rPr>
        <w:t xml:space="preserve"> </w:t>
      </w:r>
      <w:r>
        <w:rPr>
          <w:sz w:val="20"/>
        </w:rPr>
        <w:t>no</w:t>
      </w:r>
      <w:r>
        <w:rPr>
          <w:spacing w:val="-3"/>
          <w:sz w:val="20"/>
        </w:rPr>
        <w:t xml:space="preserve"> </w:t>
      </w:r>
      <w:r>
        <w:rPr>
          <w:sz w:val="20"/>
        </w:rPr>
        <w:t>discriminatorios;</w:t>
      </w:r>
      <w:r>
        <w:rPr>
          <w:spacing w:val="-3"/>
          <w:sz w:val="20"/>
        </w:rPr>
        <w:t xml:space="preserve"> </w:t>
      </w:r>
      <w:r>
        <w:rPr>
          <w:sz w:val="20"/>
        </w:rPr>
        <w:t>en</w:t>
      </w:r>
      <w:r>
        <w:rPr>
          <w:spacing w:val="-3"/>
          <w:sz w:val="20"/>
        </w:rPr>
        <w:t xml:space="preserve"> </w:t>
      </w:r>
      <w:r>
        <w:rPr>
          <w:sz w:val="20"/>
        </w:rPr>
        <w:t>particular, si no se ha establecido para una aplicación repetida o continuada, no favorecerá o perjudicará indebidamente a empresas determinadas;</w:t>
      </w:r>
    </w:p>
    <w:p w:rsidR="0092635B" w:rsidRDefault="00000000">
      <w:pPr>
        <w:pStyle w:val="Prrafodelista"/>
        <w:numPr>
          <w:ilvl w:val="1"/>
          <w:numId w:val="224"/>
        </w:numPr>
        <w:tabs>
          <w:tab w:val="left" w:pos="1679"/>
        </w:tabs>
        <w:ind w:right="0" w:hanging="233"/>
        <w:jc w:val="both"/>
        <w:rPr>
          <w:sz w:val="20"/>
        </w:rPr>
      </w:pPr>
      <w:r>
        <w:rPr>
          <w:sz w:val="20"/>
        </w:rPr>
        <w:t>ser</w:t>
      </w:r>
      <w:r>
        <w:rPr>
          <w:spacing w:val="-2"/>
          <w:sz w:val="20"/>
        </w:rPr>
        <w:t xml:space="preserve"> </w:t>
      </w:r>
      <w:r>
        <w:rPr>
          <w:sz w:val="20"/>
        </w:rPr>
        <w:t>accesible</w:t>
      </w:r>
      <w:r>
        <w:rPr>
          <w:spacing w:val="-2"/>
          <w:sz w:val="20"/>
        </w:rPr>
        <w:t xml:space="preserve"> </w:t>
      </w:r>
      <w:r>
        <w:rPr>
          <w:sz w:val="20"/>
        </w:rPr>
        <w:t>para</w:t>
      </w:r>
      <w:r>
        <w:rPr>
          <w:spacing w:val="-2"/>
          <w:sz w:val="20"/>
        </w:rPr>
        <w:t xml:space="preserve"> </w:t>
      </w:r>
      <w:r>
        <w:rPr>
          <w:sz w:val="20"/>
        </w:rPr>
        <w:t>todas</w:t>
      </w:r>
      <w:r>
        <w:rPr>
          <w:spacing w:val="-2"/>
          <w:sz w:val="20"/>
        </w:rPr>
        <w:t xml:space="preserve"> </w:t>
      </w:r>
      <w:r>
        <w:rPr>
          <w:sz w:val="20"/>
        </w:rPr>
        <w:t>las</w:t>
      </w:r>
      <w:r>
        <w:rPr>
          <w:spacing w:val="-2"/>
          <w:sz w:val="20"/>
        </w:rPr>
        <w:t xml:space="preserve"> </w:t>
      </w:r>
      <w:r>
        <w:rPr>
          <w:sz w:val="20"/>
        </w:rPr>
        <w:t>partes</w:t>
      </w:r>
      <w:r>
        <w:rPr>
          <w:spacing w:val="-1"/>
          <w:sz w:val="20"/>
        </w:rPr>
        <w:t xml:space="preserve"> </w:t>
      </w:r>
      <w:r>
        <w:rPr>
          <w:spacing w:val="-2"/>
          <w:sz w:val="20"/>
        </w:rPr>
        <w:t>interesadas;</w:t>
      </w:r>
    </w:p>
    <w:p w:rsidR="0092635B" w:rsidRDefault="00000000">
      <w:pPr>
        <w:pStyle w:val="Prrafodelista"/>
        <w:numPr>
          <w:ilvl w:val="1"/>
          <w:numId w:val="224"/>
        </w:numPr>
        <w:tabs>
          <w:tab w:val="left" w:pos="1670"/>
        </w:tabs>
        <w:spacing w:before="10" w:line="249" w:lineRule="auto"/>
        <w:ind w:left="1106" w:right="1105" w:firstLine="340"/>
        <w:jc w:val="both"/>
        <w:rPr>
          <w:sz w:val="20"/>
        </w:rPr>
      </w:pPr>
      <w:r>
        <w:rPr>
          <w:sz w:val="20"/>
        </w:rPr>
        <w:t>la</w:t>
      </w:r>
      <w:r>
        <w:rPr>
          <w:spacing w:val="-1"/>
          <w:sz w:val="20"/>
        </w:rPr>
        <w:t xml:space="preserve"> </w:t>
      </w:r>
      <w:r>
        <w:rPr>
          <w:sz w:val="20"/>
        </w:rPr>
        <w:t>información</w:t>
      </w:r>
      <w:r>
        <w:rPr>
          <w:spacing w:val="-1"/>
          <w:sz w:val="20"/>
        </w:rPr>
        <w:t xml:space="preserve"> </w:t>
      </w:r>
      <w:r>
        <w:rPr>
          <w:sz w:val="20"/>
        </w:rPr>
        <w:t>necesaria</w:t>
      </w:r>
      <w:r>
        <w:rPr>
          <w:spacing w:val="-1"/>
          <w:sz w:val="20"/>
        </w:rPr>
        <w:t xml:space="preserve"> </w:t>
      </w:r>
      <w:r>
        <w:rPr>
          <w:sz w:val="20"/>
        </w:rPr>
        <w:t>debe</w:t>
      </w:r>
      <w:r>
        <w:rPr>
          <w:spacing w:val="-1"/>
          <w:sz w:val="20"/>
        </w:rPr>
        <w:t xml:space="preserve"> </w:t>
      </w:r>
      <w:r>
        <w:rPr>
          <w:sz w:val="20"/>
        </w:rPr>
        <w:t>poder</w:t>
      </w:r>
      <w:r>
        <w:rPr>
          <w:spacing w:val="-1"/>
          <w:sz w:val="20"/>
        </w:rPr>
        <w:t xml:space="preserve"> </w:t>
      </w:r>
      <w:r>
        <w:rPr>
          <w:sz w:val="20"/>
        </w:rPr>
        <w:t>ser</w:t>
      </w:r>
      <w:r>
        <w:rPr>
          <w:spacing w:val="-1"/>
          <w:sz w:val="20"/>
        </w:rPr>
        <w:t xml:space="preserve"> </w:t>
      </w:r>
      <w:r>
        <w:rPr>
          <w:sz w:val="20"/>
        </w:rPr>
        <w:t>facilitada</w:t>
      </w:r>
      <w:r>
        <w:rPr>
          <w:spacing w:val="-1"/>
          <w:sz w:val="20"/>
        </w:rPr>
        <w:t xml:space="preserve"> </w:t>
      </w:r>
      <w:r>
        <w:rPr>
          <w:sz w:val="20"/>
        </w:rPr>
        <w:t>con</w:t>
      </w:r>
      <w:r>
        <w:rPr>
          <w:spacing w:val="-1"/>
          <w:sz w:val="20"/>
        </w:rPr>
        <w:t xml:space="preserve"> </w:t>
      </w:r>
      <w:r>
        <w:rPr>
          <w:sz w:val="20"/>
        </w:rPr>
        <w:t>un</w:t>
      </w:r>
      <w:r>
        <w:rPr>
          <w:spacing w:val="-1"/>
          <w:sz w:val="20"/>
        </w:rPr>
        <w:t xml:space="preserve"> </w:t>
      </w:r>
      <w:r>
        <w:rPr>
          <w:sz w:val="20"/>
        </w:rPr>
        <w:t>esfuerzo</w:t>
      </w:r>
      <w:r>
        <w:rPr>
          <w:spacing w:val="-1"/>
          <w:sz w:val="20"/>
        </w:rPr>
        <w:t xml:space="preserve"> </w:t>
      </w:r>
      <w:r>
        <w:rPr>
          <w:sz w:val="20"/>
        </w:rPr>
        <w:t>razonable</w:t>
      </w:r>
      <w:r>
        <w:rPr>
          <w:spacing w:val="-1"/>
          <w:sz w:val="20"/>
        </w:rPr>
        <w:t xml:space="preserve"> </w:t>
      </w:r>
      <w:r>
        <w:rPr>
          <w:sz w:val="20"/>
        </w:rPr>
        <w:t>por</w:t>
      </w:r>
      <w:r>
        <w:rPr>
          <w:spacing w:val="-1"/>
          <w:sz w:val="20"/>
        </w:rPr>
        <w:t xml:space="preserve"> </w:t>
      </w:r>
      <w:r>
        <w:rPr>
          <w:sz w:val="20"/>
        </w:rPr>
        <w:t>parte de las empresas, incluidas aquellas procedentes de Estados signatarios del Acuerdo sobre Contratación</w:t>
      </w:r>
      <w:r>
        <w:rPr>
          <w:spacing w:val="-2"/>
          <w:sz w:val="20"/>
        </w:rPr>
        <w:t xml:space="preserve"> </w:t>
      </w:r>
      <w:r>
        <w:rPr>
          <w:sz w:val="20"/>
        </w:rPr>
        <w:t>Pública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Organización</w:t>
      </w:r>
      <w:r>
        <w:rPr>
          <w:spacing w:val="-2"/>
          <w:sz w:val="20"/>
        </w:rPr>
        <w:t xml:space="preserve"> </w:t>
      </w:r>
      <w:r>
        <w:rPr>
          <w:sz w:val="20"/>
        </w:rPr>
        <w:t>Mundial</w:t>
      </w:r>
      <w:r>
        <w:rPr>
          <w:spacing w:val="-2"/>
          <w:sz w:val="20"/>
        </w:rPr>
        <w:t xml:space="preserve"> </w:t>
      </w:r>
      <w:r>
        <w:rPr>
          <w:sz w:val="20"/>
        </w:rPr>
        <w:t>de</w:t>
      </w:r>
      <w:r>
        <w:rPr>
          <w:spacing w:val="-2"/>
          <w:sz w:val="20"/>
        </w:rPr>
        <w:t xml:space="preserve"> </w:t>
      </w:r>
      <w:r>
        <w:rPr>
          <w:sz w:val="20"/>
        </w:rPr>
        <w:t>Comercio</w:t>
      </w:r>
      <w:r>
        <w:rPr>
          <w:spacing w:val="-2"/>
          <w:sz w:val="20"/>
        </w:rPr>
        <w:t xml:space="preserve"> </w:t>
      </w:r>
      <w:r>
        <w:rPr>
          <w:sz w:val="20"/>
        </w:rPr>
        <w:t>o</w:t>
      </w:r>
      <w:r>
        <w:rPr>
          <w:spacing w:val="-2"/>
          <w:sz w:val="20"/>
        </w:rPr>
        <w:t xml:space="preserve"> </w:t>
      </w:r>
      <w:r>
        <w:rPr>
          <w:sz w:val="20"/>
        </w:rPr>
        <w:t>de</w:t>
      </w:r>
      <w:r>
        <w:rPr>
          <w:spacing w:val="-2"/>
          <w:sz w:val="20"/>
        </w:rPr>
        <w:t xml:space="preserve"> </w:t>
      </w:r>
      <w:r>
        <w:rPr>
          <w:sz w:val="20"/>
        </w:rPr>
        <w:t>otros</w:t>
      </w:r>
      <w:r>
        <w:rPr>
          <w:spacing w:val="-2"/>
          <w:sz w:val="20"/>
        </w:rPr>
        <w:t xml:space="preserve"> </w:t>
      </w:r>
      <w:r>
        <w:rPr>
          <w:sz w:val="20"/>
        </w:rPr>
        <w:t>Estados</w:t>
      </w:r>
      <w:r>
        <w:rPr>
          <w:spacing w:val="-2"/>
          <w:sz w:val="20"/>
        </w:rPr>
        <w:t xml:space="preserve"> </w:t>
      </w:r>
      <w:r>
        <w:rPr>
          <w:sz w:val="20"/>
        </w:rPr>
        <w:t>signatarios de algún otro Acuerdo Internacional que vincule a España o a la Unión Europea.</w:t>
      </w:r>
    </w:p>
    <w:p w:rsidR="0092635B" w:rsidRDefault="00000000">
      <w:pPr>
        <w:pStyle w:val="Prrafodelista"/>
        <w:numPr>
          <w:ilvl w:val="0"/>
          <w:numId w:val="224"/>
        </w:numPr>
        <w:tabs>
          <w:tab w:val="left" w:pos="1703"/>
        </w:tabs>
        <w:spacing w:before="123" w:line="249" w:lineRule="auto"/>
        <w:ind w:right="1105" w:firstLine="340"/>
        <w:jc w:val="both"/>
        <w:rPr>
          <w:sz w:val="20"/>
        </w:rPr>
      </w:pPr>
      <w:r>
        <w:rPr>
          <w:sz w:val="20"/>
        </w:rPr>
        <w:t>Los órganos de contratación calcularán los costes a que se refieren los apartados primero y segundo del artículo 145 atendiendo, preferentemente, al coste del ciclo de vida.</w:t>
      </w:r>
    </w:p>
    <w:p w:rsidR="0092635B" w:rsidRDefault="00000000">
      <w:pPr>
        <w:spacing w:before="229"/>
        <w:ind w:left="1106"/>
        <w:rPr>
          <w:rFonts w:ascii="Arial" w:hAnsi="Arial"/>
          <w:i/>
          <w:sz w:val="20"/>
        </w:rPr>
      </w:pPr>
      <w:bookmarkStart w:id="240" w:name="Artículo_149._Ofertas_anormalmente_bajas"/>
      <w:bookmarkEnd w:id="240"/>
      <w:r>
        <w:rPr>
          <w:rFonts w:ascii="Arial" w:hAnsi="Arial"/>
          <w:b/>
          <w:sz w:val="20"/>
        </w:rPr>
        <w:t>Artículo</w:t>
      </w:r>
      <w:r>
        <w:rPr>
          <w:rFonts w:ascii="Arial" w:hAnsi="Arial"/>
          <w:b/>
          <w:spacing w:val="-3"/>
          <w:sz w:val="20"/>
        </w:rPr>
        <w:t xml:space="preserve"> </w:t>
      </w:r>
      <w:r>
        <w:rPr>
          <w:rFonts w:ascii="Arial" w:hAnsi="Arial"/>
          <w:b/>
          <w:sz w:val="20"/>
        </w:rPr>
        <w:t>149.</w:t>
      </w:r>
      <w:r>
        <w:rPr>
          <w:rFonts w:ascii="Arial" w:hAnsi="Arial"/>
          <w:b/>
          <w:spacing w:val="50"/>
          <w:sz w:val="20"/>
        </w:rPr>
        <w:t xml:space="preserve"> </w:t>
      </w:r>
      <w:r>
        <w:rPr>
          <w:rFonts w:ascii="Arial" w:hAnsi="Arial"/>
          <w:i/>
          <w:sz w:val="20"/>
        </w:rPr>
        <w:t>Ofertas</w:t>
      </w:r>
      <w:r>
        <w:rPr>
          <w:rFonts w:ascii="Arial" w:hAnsi="Arial"/>
          <w:i/>
          <w:spacing w:val="-2"/>
          <w:sz w:val="20"/>
        </w:rPr>
        <w:t xml:space="preserve"> </w:t>
      </w:r>
      <w:r>
        <w:rPr>
          <w:rFonts w:ascii="Arial" w:hAnsi="Arial"/>
          <w:i/>
          <w:sz w:val="20"/>
        </w:rPr>
        <w:t>anormalmente</w:t>
      </w:r>
      <w:r>
        <w:rPr>
          <w:rFonts w:ascii="Arial" w:hAnsi="Arial"/>
          <w:i/>
          <w:spacing w:val="-2"/>
          <w:sz w:val="20"/>
        </w:rPr>
        <w:t xml:space="preserve"> bajas.</w:t>
      </w:r>
    </w:p>
    <w:p w:rsidR="0092635B" w:rsidRDefault="00000000">
      <w:pPr>
        <w:pStyle w:val="Prrafodelista"/>
        <w:numPr>
          <w:ilvl w:val="0"/>
          <w:numId w:val="223"/>
        </w:numPr>
        <w:tabs>
          <w:tab w:val="left" w:pos="1670"/>
        </w:tabs>
        <w:spacing w:before="123" w:line="249" w:lineRule="auto"/>
        <w:ind w:right="1104" w:firstLine="340"/>
        <w:jc w:val="both"/>
        <w:rPr>
          <w:sz w:val="20"/>
        </w:rPr>
      </w:pPr>
      <w:r>
        <w:rPr>
          <w:sz w:val="20"/>
        </w:rPr>
        <w:t>En</w:t>
      </w:r>
      <w:r>
        <w:rPr>
          <w:spacing w:val="-1"/>
          <w:sz w:val="20"/>
        </w:rPr>
        <w:t xml:space="preserve"> </w:t>
      </w:r>
      <w:r>
        <w:rPr>
          <w:sz w:val="20"/>
        </w:rPr>
        <w:t>los</w:t>
      </w:r>
      <w:r>
        <w:rPr>
          <w:spacing w:val="-1"/>
          <w:sz w:val="20"/>
        </w:rPr>
        <w:t xml:space="preserve"> </w:t>
      </w:r>
      <w:r>
        <w:rPr>
          <w:sz w:val="20"/>
        </w:rPr>
        <w:t>casos</w:t>
      </w:r>
      <w:r>
        <w:rPr>
          <w:spacing w:val="-1"/>
          <w:sz w:val="20"/>
        </w:rPr>
        <w:t xml:space="preserve"> </w:t>
      </w:r>
      <w:r>
        <w:rPr>
          <w:sz w:val="20"/>
        </w:rPr>
        <w:t>en</w:t>
      </w:r>
      <w:r>
        <w:rPr>
          <w:spacing w:val="-1"/>
          <w:sz w:val="20"/>
        </w:rPr>
        <w:t xml:space="preserve"> </w:t>
      </w:r>
      <w:r>
        <w:rPr>
          <w:sz w:val="20"/>
        </w:rPr>
        <w:t>que</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presuma</w:t>
      </w:r>
      <w:r>
        <w:rPr>
          <w:spacing w:val="-1"/>
          <w:sz w:val="20"/>
        </w:rPr>
        <w:t xml:space="preserve"> </w:t>
      </w:r>
      <w:r>
        <w:rPr>
          <w:sz w:val="20"/>
        </w:rPr>
        <w:t>que</w:t>
      </w:r>
      <w:r>
        <w:rPr>
          <w:spacing w:val="-1"/>
          <w:sz w:val="20"/>
        </w:rPr>
        <w:t xml:space="preserve"> </w:t>
      </w:r>
      <w:r>
        <w:rPr>
          <w:sz w:val="20"/>
        </w:rPr>
        <w:t>una</w:t>
      </w:r>
      <w:r>
        <w:rPr>
          <w:spacing w:val="-1"/>
          <w:sz w:val="20"/>
        </w:rPr>
        <w:t xml:space="preserve"> </w:t>
      </w:r>
      <w:r>
        <w:rPr>
          <w:sz w:val="20"/>
        </w:rPr>
        <w:t>oferta</w:t>
      </w:r>
      <w:r>
        <w:rPr>
          <w:spacing w:val="-1"/>
          <w:sz w:val="20"/>
        </w:rPr>
        <w:t xml:space="preserve"> </w:t>
      </w:r>
      <w:r>
        <w:rPr>
          <w:sz w:val="20"/>
        </w:rPr>
        <w:t>resulta</w:t>
      </w:r>
      <w:r>
        <w:rPr>
          <w:spacing w:val="-1"/>
          <w:sz w:val="20"/>
        </w:rPr>
        <w:t xml:space="preserve"> </w:t>
      </w:r>
      <w:r>
        <w:rPr>
          <w:sz w:val="20"/>
        </w:rPr>
        <w:t xml:space="preserve">inviable por haber sido formulada en términos que la hacen anormalmente baja, solo podrá excluirla del procedimiento de licitación previa tramitación del procedimiento que establece este </w:t>
      </w:r>
      <w:r>
        <w:rPr>
          <w:spacing w:val="-2"/>
          <w:sz w:val="20"/>
        </w:rPr>
        <w:t>artículo.</w:t>
      </w:r>
    </w:p>
    <w:p w:rsidR="0092635B" w:rsidRDefault="00000000">
      <w:pPr>
        <w:pStyle w:val="Prrafodelista"/>
        <w:numPr>
          <w:ilvl w:val="0"/>
          <w:numId w:val="223"/>
        </w:numPr>
        <w:tabs>
          <w:tab w:val="left" w:pos="1674"/>
        </w:tabs>
        <w:spacing w:before="4" w:line="249" w:lineRule="auto"/>
        <w:ind w:firstLine="340"/>
        <w:jc w:val="both"/>
        <w:rPr>
          <w:sz w:val="20"/>
        </w:rPr>
      </w:pPr>
      <w:r>
        <w:rPr>
          <w:sz w:val="20"/>
        </w:rPr>
        <w:t>La mesa de contratación, o en su defecto, el órgano de contratación deberá identificar las ofertas que se encuentran incursas en presunción de anormalidad, debiendo contemplarse en los pliegos, a estos efectos, los parámetros objetivos que deberán permitir identificar los casos en que una oferta se considere anormal.</w:t>
      </w:r>
    </w:p>
    <w:p w:rsidR="0092635B" w:rsidRDefault="00000000">
      <w:pPr>
        <w:pStyle w:val="Textoindependiente"/>
        <w:spacing w:before="3" w:line="249" w:lineRule="auto"/>
        <w:ind w:right="1104"/>
      </w:pPr>
      <w:r>
        <w:t>La mesa de contratación, o en su defecto, el órgano de contratación realizará la función descrita en el párrafo anterior con sujeción a los siguientes criterios:</w:t>
      </w:r>
    </w:p>
    <w:p w:rsidR="0092635B" w:rsidRDefault="00000000">
      <w:pPr>
        <w:pStyle w:val="Prrafodelista"/>
        <w:numPr>
          <w:ilvl w:val="1"/>
          <w:numId w:val="223"/>
        </w:numPr>
        <w:tabs>
          <w:tab w:val="left" w:pos="1736"/>
        </w:tabs>
        <w:spacing w:before="121" w:line="249" w:lineRule="auto"/>
        <w:ind w:right="1105" w:firstLine="340"/>
        <w:jc w:val="both"/>
        <w:rPr>
          <w:sz w:val="20"/>
        </w:rPr>
      </w:pPr>
      <w:r>
        <w:rPr>
          <w:sz w:val="20"/>
        </w:rPr>
        <w:t>Salvo que en los pliegos se estableciera otra cosa, cuando el único criterio de adjudicación sea el del precio, en defecto de previsión en aquellos se aplicarán los parámetros objetivos que se establezcan reglamentariamente y que, en todo caso, determinarán el umbral de anormalidad por referencia al conjunto de ofertas válidas que se hayan presentado, sin perjuicio de lo establecido en el apartado siguiente.</w:t>
      </w:r>
    </w:p>
    <w:p w:rsidR="0092635B" w:rsidRDefault="00000000">
      <w:pPr>
        <w:pStyle w:val="Prrafodelista"/>
        <w:numPr>
          <w:ilvl w:val="1"/>
          <w:numId w:val="223"/>
        </w:numPr>
        <w:tabs>
          <w:tab w:val="left" w:pos="1751"/>
        </w:tabs>
        <w:spacing w:before="5" w:line="249" w:lineRule="auto"/>
        <w:ind w:firstLine="340"/>
        <w:jc w:val="both"/>
        <w:rPr>
          <w:sz w:val="20"/>
        </w:rPr>
      </w:pPr>
      <w:r>
        <w:rPr>
          <w:sz w:val="20"/>
        </w:rPr>
        <w:t>Cuando se utilicen una pluralidad de criterios de adjudicación, se estará a lo establecido en los pliegos que rigen el contrato, en los cuales se han de establecer los parámetros objetivos que deberán permitir identificar los casos en que una oferta se considere anormal, referidos a la oferta considerada en su conjunto.</w:t>
      </w:r>
    </w:p>
    <w:p w:rsidR="0092635B" w:rsidRDefault="00000000">
      <w:pPr>
        <w:pStyle w:val="Prrafodelista"/>
        <w:numPr>
          <w:ilvl w:val="0"/>
          <w:numId w:val="223"/>
        </w:numPr>
        <w:tabs>
          <w:tab w:val="left" w:pos="1692"/>
        </w:tabs>
        <w:spacing w:before="123" w:line="249" w:lineRule="auto"/>
        <w:ind w:firstLine="340"/>
        <w:jc w:val="both"/>
        <w:rPr>
          <w:sz w:val="20"/>
        </w:rPr>
      </w:pPr>
      <w:r>
        <w:rPr>
          <w:sz w:val="20"/>
        </w:rPr>
        <w:t>Cuando hubieren presentado ofertas empresas que pertenezcan a un mismo grupo,</w:t>
      </w:r>
      <w:r>
        <w:rPr>
          <w:spacing w:val="40"/>
          <w:sz w:val="20"/>
        </w:rPr>
        <w:t xml:space="preserve"> </w:t>
      </w:r>
      <w:r>
        <w:rPr>
          <w:sz w:val="20"/>
        </w:rPr>
        <w:t>en</w:t>
      </w:r>
      <w:r>
        <w:rPr>
          <w:spacing w:val="-2"/>
          <w:sz w:val="20"/>
        </w:rPr>
        <w:t xml:space="preserve"> </w:t>
      </w:r>
      <w:r>
        <w:rPr>
          <w:sz w:val="20"/>
        </w:rPr>
        <w:t>el</w:t>
      </w:r>
      <w:r>
        <w:rPr>
          <w:spacing w:val="-2"/>
          <w:sz w:val="20"/>
        </w:rPr>
        <w:t xml:space="preserve"> </w:t>
      </w:r>
      <w:r>
        <w:rPr>
          <w:sz w:val="20"/>
        </w:rPr>
        <w:t>sentido</w:t>
      </w:r>
      <w:r>
        <w:rPr>
          <w:spacing w:val="-2"/>
          <w:sz w:val="20"/>
        </w:rPr>
        <w:t xml:space="preserve"> </w:t>
      </w:r>
      <w:r>
        <w:rPr>
          <w:sz w:val="20"/>
        </w:rPr>
        <w:t>del</w:t>
      </w:r>
      <w:r>
        <w:rPr>
          <w:spacing w:val="-2"/>
          <w:sz w:val="20"/>
        </w:rPr>
        <w:t xml:space="preserve"> </w:t>
      </w:r>
      <w:r>
        <w:rPr>
          <w:sz w:val="20"/>
        </w:rPr>
        <w:t>artículo</w:t>
      </w:r>
      <w:r>
        <w:rPr>
          <w:spacing w:val="-2"/>
          <w:sz w:val="20"/>
        </w:rPr>
        <w:t xml:space="preserve"> </w:t>
      </w:r>
      <w:r>
        <w:rPr>
          <w:sz w:val="20"/>
        </w:rPr>
        <w:t>42.1</w:t>
      </w:r>
      <w:r>
        <w:rPr>
          <w:spacing w:val="-2"/>
          <w:sz w:val="20"/>
        </w:rPr>
        <w:t xml:space="preserve"> </w:t>
      </w:r>
      <w:r>
        <w:rPr>
          <w:sz w:val="20"/>
        </w:rPr>
        <w:t>del</w:t>
      </w:r>
      <w:r>
        <w:rPr>
          <w:spacing w:val="-2"/>
          <w:sz w:val="20"/>
        </w:rPr>
        <w:t xml:space="preserve"> </w:t>
      </w:r>
      <w:r>
        <w:rPr>
          <w:sz w:val="20"/>
        </w:rPr>
        <w:t>Código</w:t>
      </w:r>
      <w:r>
        <w:rPr>
          <w:spacing w:val="-2"/>
          <w:sz w:val="20"/>
        </w:rPr>
        <w:t xml:space="preserve"> </w:t>
      </w:r>
      <w:r>
        <w:rPr>
          <w:sz w:val="20"/>
        </w:rPr>
        <w:t>de</w:t>
      </w:r>
      <w:r>
        <w:rPr>
          <w:spacing w:val="-2"/>
          <w:sz w:val="20"/>
        </w:rPr>
        <w:t xml:space="preserve"> </w:t>
      </w:r>
      <w:r>
        <w:rPr>
          <w:sz w:val="20"/>
        </w:rPr>
        <w:t>Comercio,</w:t>
      </w:r>
      <w:r>
        <w:rPr>
          <w:spacing w:val="-2"/>
          <w:sz w:val="20"/>
        </w:rPr>
        <w:t xml:space="preserve"> </w:t>
      </w:r>
      <w:r>
        <w:rPr>
          <w:sz w:val="20"/>
        </w:rPr>
        <w:t>se</w:t>
      </w:r>
      <w:r>
        <w:rPr>
          <w:spacing w:val="-2"/>
          <w:sz w:val="20"/>
        </w:rPr>
        <w:t xml:space="preserve"> </w:t>
      </w:r>
      <w:r>
        <w:rPr>
          <w:sz w:val="20"/>
        </w:rPr>
        <w:t>tomará</w:t>
      </w:r>
      <w:r>
        <w:rPr>
          <w:spacing w:val="-2"/>
          <w:sz w:val="20"/>
        </w:rPr>
        <w:t xml:space="preserve"> </w:t>
      </w:r>
      <w:r>
        <w:rPr>
          <w:sz w:val="20"/>
        </w:rPr>
        <w:t>únicamente,</w:t>
      </w:r>
      <w:r>
        <w:rPr>
          <w:spacing w:val="-2"/>
          <w:sz w:val="20"/>
        </w:rPr>
        <w:t xml:space="preserve"> </w:t>
      </w:r>
      <w:r>
        <w:rPr>
          <w:sz w:val="20"/>
        </w:rPr>
        <w:t>para</w:t>
      </w:r>
      <w:r>
        <w:rPr>
          <w:spacing w:val="-2"/>
          <w:sz w:val="20"/>
        </w:rPr>
        <w:t xml:space="preserve"> </w:t>
      </w:r>
      <w:r>
        <w:rPr>
          <w:sz w:val="20"/>
        </w:rPr>
        <w:t>aplicar</w:t>
      </w:r>
      <w:r>
        <w:rPr>
          <w:spacing w:val="-2"/>
          <w:sz w:val="20"/>
        </w:rPr>
        <w:t xml:space="preserve"> </w:t>
      </w:r>
      <w:r>
        <w:rPr>
          <w:sz w:val="20"/>
        </w:rPr>
        <w:t>el régimen de identificación de las ofertas incursas en presunción de anormalidad, aquella que fuere más baja, y ello con independencia de que presenten su oferta en solitario o conjuntamente con otra empresa o empresas ajenas al grupo y con las cuales concurran en unión temporal.</w:t>
      </w:r>
    </w:p>
    <w:p w:rsidR="0092635B" w:rsidRDefault="00000000">
      <w:pPr>
        <w:pStyle w:val="Prrafodelista"/>
        <w:numPr>
          <w:ilvl w:val="0"/>
          <w:numId w:val="223"/>
        </w:numPr>
        <w:tabs>
          <w:tab w:val="left" w:pos="1691"/>
        </w:tabs>
        <w:spacing w:before="5" w:line="249" w:lineRule="auto"/>
        <w:ind w:firstLine="340"/>
        <w:jc w:val="both"/>
        <w:rPr>
          <w:sz w:val="20"/>
        </w:rPr>
      </w:pPr>
      <w:r>
        <w:rPr>
          <w:sz w:val="20"/>
        </w:rPr>
        <w:t>Cuando la mesa de contratación, o en su defecto el órgano de contratación hubiere identificado una o varias ofertas incursas en presunción de anormalidad, deberá requerir al licitador o licitadores que las hubieren presentado dándoles plazo suficiente para que justifiquen</w:t>
      </w:r>
      <w:r>
        <w:rPr>
          <w:spacing w:val="-1"/>
          <w:sz w:val="20"/>
        </w:rPr>
        <w:t xml:space="preserve"> </w:t>
      </w:r>
      <w:r>
        <w:rPr>
          <w:sz w:val="20"/>
        </w:rPr>
        <w:t>y</w:t>
      </w:r>
      <w:r>
        <w:rPr>
          <w:spacing w:val="-1"/>
          <w:sz w:val="20"/>
        </w:rPr>
        <w:t xml:space="preserve"> </w:t>
      </w:r>
      <w:r>
        <w:rPr>
          <w:sz w:val="20"/>
        </w:rPr>
        <w:t>desglosen</w:t>
      </w:r>
      <w:r>
        <w:rPr>
          <w:spacing w:val="-1"/>
          <w:sz w:val="20"/>
        </w:rPr>
        <w:t xml:space="preserve"> </w:t>
      </w:r>
      <w:r>
        <w:rPr>
          <w:sz w:val="20"/>
        </w:rPr>
        <w:t>razonada</w:t>
      </w:r>
      <w:r>
        <w:rPr>
          <w:spacing w:val="-1"/>
          <w:sz w:val="20"/>
        </w:rPr>
        <w:t xml:space="preserve"> </w:t>
      </w:r>
      <w:r>
        <w:rPr>
          <w:sz w:val="20"/>
        </w:rPr>
        <w:t>y</w:t>
      </w:r>
      <w:r>
        <w:rPr>
          <w:spacing w:val="-1"/>
          <w:sz w:val="20"/>
        </w:rPr>
        <w:t xml:space="preserve"> </w:t>
      </w:r>
      <w:r>
        <w:rPr>
          <w:sz w:val="20"/>
        </w:rPr>
        <w:t>detalladamente</w:t>
      </w:r>
      <w:r>
        <w:rPr>
          <w:spacing w:val="-1"/>
          <w:sz w:val="20"/>
        </w:rPr>
        <w:t xml:space="preserve"> </w:t>
      </w:r>
      <w:r>
        <w:rPr>
          <w:sz w:val="20"/>
        </w:rPr>
        <w:t>el</w:t>
      </w:r>
      <w:r>
        <w:rPr>
          <w:spacing w:val="-1"/>
          <w:sz w:val="20"/>
        </w:rPr>
        <w:t xml:space="preserve"> </w:t>
      </w:r>
      <w:r>
        <w:rPr>
          <w:sz w:val="20"/>
        </w:rPr>
        <w:t>bajo</w:t>
      </w:r>
      <w:r>
        <w:rPr>
          <w:spacing w:val="-1"/>
          <w:sz w:val="20"/>
        </w:rPr>
        <w:t xml:space="preserve"> </w:t>
      </w:r>
      <w:r>
        <w:rPr>
          <w:sz w:val="20"/>
        </w:rPr>
        <w:t>nivel</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precios,</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costes,</w:t>
      </w:r>
      <w:r>
        <w:rPr>
          <w:spacing w:val="-1"/>
          <w:sz w:val="20"/>
        </w:rPr>
        <w:t xml:space="preserve"> </w:t>
      </w:r>
      <w:r>
        <w:rPr>
          <w:sz w:val="20"/>
        </w:rPr>
        <w:t>o cualquier otro parámetro en base al cual se haya definido la anormalidad de la oferta, mediante la presentación de aquella información y documentos que resulten pertinentes a estos efectos.</w:t>
      </w:r>
    </w:p>
    <w:p w:rsidR="0092635B" w:rsidRDefault="00000000">
      <w:pPr>
        <w:pStyle w:val="Textoindependiente"/>
        <w:spacing w:before="5" w:line="249" w:lineRule="auto"/>
        <w:ind w:right="1104"/>
      </w:pPr>
      <w:r>
        <w:t>La petición de información que la mesa de contratación o, en su defecto, el órgano de contratación dirija al licitador deberá formularse con claridad de manera que estos estén en condiciones de justificar plena y oportunamente la viabilidad de la oferta.</w:t>
      </w:r>
    </w:p>
    <w:p w:rsidR="0092635B" w:rsidRDefault="00000000">
      <w:pPr>
        <w:pStyle w:val="Textoindependiente"/>
        <w:spacing w:before="3" w:line="249" w:lineRule="auto"/>
        <w:ind w:right="1104"/>
      </w:pPr>
      <w:r>
        <w:t>Concretamente,</w:t>
      </w:r>
      <w:r>
        <w:rPr>
          <w:spacing w:val="-1"/>
        </w:rPr>
        <w:t xml:space="preserve"> </w:t>
      </w:r>
      <w:r>
        <w:t>la</w:t>
      </w:r>
      <w:r>
        <w:rPr>
          <w:spacing w:val="-1"/>
        </w:rPr>
        <w:t xml:space="preserve"> </w:t>
      </w:r>
      <w:r>
        <w:t>mesa</w:t>
      </w:r>
      <w:r>
        <w:rPr>
          <w:spacing w:val="-1"/>
        </w:rPr>
        <w:t xml:space="preserve"> </w:t>
      </w:r>
      <w:r>
        <w:t>de</w:t>
      </w:r>
      <w:r>
        <w:rPr>
          <w:spacing w:val="-1"/>
        </w:rPr>
        <w:t xml:space="preserve"> </w:t>
      </w:r>
      <w:r>
        <w:t>contratación</w:t>
      </w:r>
      <w:r>
        <w:rPr>
          <w:spacing w:val="-1"/>
        </w:rPr>
        <w:t xml:space="preserve"> </w:t>
      </w:r>
      <w:r>
        <w:t>o</w:t>
      </w:r>
      <w:r>
        <w:rPr>
          <w:spacing w:val="-1"/>
        </w:rPr>
        <w:t xml:space="preserve"> </w:t>
      </w:r>
      <w:r>
        <w:t>en</w:t>
      </w:r>
      <w:r>
        <w:rPr>
          <w:spacing w:val="-1"/>
        </w:rPr>
        <w:t xml:space="preserve"> </w:t>
      </w:r>
      <w:r>
        <w:t>su</w:t>
      </w:r>
      <w:r>
        <w:rPr>
          <w:spacing w:val="-1"/>
        </w:rPr>
        <w:t xml:space="preserve"> </w:t>
      </w:r>
      <w:r>
        <w:t>defecto</w:t>
      </w:r>
      <w:r>
        <w:rPr>
          <w:spacing w:val="-1"/>
        </w:rPr>
        <w:t xml:space="preserve"> </w:t>
      </w:r>
      <w:r>
        <w:t>el</w:t>
      </w:r>
      <w:r>
        <w:rPr>
          <w:spacing w:val="-1"/>
        </w:rPr>
        <w:t xml:space="preserve"> </w:t>
      </w:r>
      <w:r>
        <w:t>órgano</w:t>
      </w:r>
      <w:r>
        <w:rPr>
          <w:spacing w:val="-1"/>
        </w:rPr>
        <w:t xml:space="preserve"> </w:t>
      </w:r>
      <w:r>
        <w:t>de</w:t>
      </w:r>
      <w:r>
        <w:rPr>
          <w:spacing w:val="-1"/>
        </w:rPr>
        <w:t xml:space="preserve"> </w:t>
      </w:r>
      <w:r>
        <w:t>contratación</w:t>
      </w:r>
      <w:r>
        <w:rPr>
          <w:spacing w:val="-1"/>
        </w:rPr>
        <w:t xml:space="preserve"> </w:t>
      </w:r>
      <w:r>
        <w:t>podrá pedir justificación a estos licitadores sobre aquellas condiciones de la oferta que sean susceptibles</w:t>
      </w:r>
      <w:r>
        <w:rPr>
          <w:spacing w:val="-2"/>
        </w:rPr>
        <w:t xml:space="preserve"> </w:t>
      </w:r>
      <w:r>
        <w:t>de</w:t>
      </w:r>
      <w:r>
        <w:rPr>
          <w:spacing w:val="-2"/>
        </w:rPr>
        <w:t xml:space="preserve"> </w:t>
      </w:r>
      <w:r>
        <w:t>determinar</w:t>
      </w:r>
      <w:r>
        <w:rPr>
          <w:spacing w:val="-2"/>
        </w:rPr>
        <w:t xml:space="preserve"> </w:t>
      </w:r>
      <w:r>
        <w:t>el</w:t>
      </w:r>
      <w:r>
        <w:rPr>
          <w:spacing w:val="-2"/>
        </w:rPr>
        <w:t xml:space="preserve"> </w:t>
      </w:r>
      <w:r>
        <w:t>bajo</w:t>
      </w:r>
      <w:r>
        <w:rPr>
          <w:spacing w:val="-2"/>
        </w:rPr>
        <w:t xml:space="preserve"> </w:t>
      </w:r>
      <w:r>
        <w:t>nivel</w:t>
      </w:r>
      <w:r>
        <w:rPr>
          <w:spacing w:val="-2"/>
        </w:rPr>
        <w:t xml:space="preserve"> </w:t>
      </w:r>
      <w:r>
        <w:t>del</w:t>
      </w:r>
      <w:r>
        <w:rPr>
          <w:spacing w:val="-2"/>
        </w:rPr>
        <w:t xml:space="preserve"> </w:t>
      </w:r>
      <w:r>
        <w:t>precio</w:t>
      </w:r>
      <w:r>
        <w:rPr>
          <w:spacing w:val="-2"/>
        </w:rPr>
        <w:t xml:space="preserve"> </w:t>
      </w:r>
      <w:r>
        <w:t>o</w:t>
      </w:r>
      <w:r>
        <w:rPr>
          <w:spacing w:val="-2"/>
        </w:rPr>
        <w:t xml:space="preserve"> </w:t>
      </w:r>
      <w:r>
        <w:t>costes</w:t>
      </w:r>
      <w:r>
        <w:rPr>
          <w:spacing w:val="-2"/>
        </w:rPr>
        <w:t xml:space="preserve"> </w:t>
      </w:r>
      <w:r>
        <w:t>de</w:t>
      </w:r>
      <w:r>
        <w:rPr>
          <w:spacing w:val="-2"/>
        </w:rPr>
        <w:t xml:space="preserve"> </w:t>
      </w:r>
      <w:r>
        <w:t>la</w:t>
      </w:r>
      <w:r>
        <w:rPr>
          <w:spacing w:val="-2"/>
        </w:rPr>
        <w:t xml:space="preserve"> </w:t>
      </w:r>
      <w:r>
        <w:t>misma</w:t>
      </w:r>
      <w:r>
        <w:rPr>
          <w:spacing w:val="-2"/>
        </w:rPr>
        <w:t xml:space="preserve"> </w:t>
      </w:r>
      <w:r>
        <w:t>y,</w:t>
      </w:r>
      <w:r>
        <w:rPr>
          <w:spacing w:val="-2"/>
        </w:rPr>
        <w:t xml:space="preserve"> </w:t>
      </w:r>
      <w:r>
        <w:t>en</w:t>
      </w:r>
      <w:r>
        <w:rPr>
          <w:spacing w:val="-2"/>
        </w:rPr>
        <w:t xml:space="preserve"> </w:t>
      </w:r>
      <w:r>
        <w:t>particular,</w:t>
      </w:r>
      <w:r>
        <w:rPr>
          <w:spacing w:val="-2"/>
        </w:rPr>
        <w:t xml:space="preserve"> </w:t>
      </w:r>
      <w:r>
        <w:t>en</w:t>
      </w:r>
      <w:r>
        <w:rPr>
          <w:spacing w:val="-2"/>
        </w:rPr>
        <w:t xml:space="preserve"> </w:t>
      </w:r>
      <w:r>
        <w:t>lo que se refiere a los siguientes valores:</w:t>
      </w:r>
    </w:p>
    <w:p w:rsidR="0092635B" w:rsidRDefault="00000000">
      <w:pPr>
        <w:pStyle w:val="Prrafodelista"/>
        <w:numPr>
          <w:ilvl w:val="1"/>
          <w:numId w:val="223"/>
        </w:numPr>
        <w:tabs>
          <w:tab w:val="left" w:pos="1712"/>
        </w:tabs>
        <w:spacing w:before="123" w:line="249" w:lineRule="auto"/>
        <w:ind w:right="1104" w:firstLine="340"/>
        <w:jc w:val="both"/>
        <w:rPr>
          <w:sz w:val="20"/>
        </w:rPr>
      </w:pPr>
      <w:r>
        <w:rPr>
          <w:sz w:val="20"/>
        </w:rPr>
        <w:t>El ahorro que permita el procedimiento de fabricación, los servicios prestados o el método de construcción.</w:t>
      </w:r>
    </w:p>
    <w:p w:rsidR="0092635B" w:rsidRDefault="00000000">
      <w:pPr>
        <w:pStyle w:val="Prrafodelista"/>
        <w:numPr>
          <w:ilvl w:val="1"/>
          <w:numId w:val="223"/>
        </w:numPr>
        <w:tabs>
          <w:tab w:val="left" w:pos="1688"/>
        </w:tabs>
        <w:spacing w:line="249" w:lineRule="auto"/>
        <w:ind w:right="1105" w:firstLine="340"/>
        <w:jc w:val="both"/>
        <w:rPr>
          <w:sz w:val="20"/>
        </w:rPr>
      </w:pPr>
      <w:r>
        <w:rPr>
          <w:sz w:val="20"/>
        </w:rPr>
        <w:t>Las soluciones técnicas adoptadas y las condiciones excepcionalmente favorables de que disponga para suministrar los productos, prestar los servicios o ejecutar las obras,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23"/>
        </w:numPr>
        <w:tabs>
          <w:tab w:val="left" w:pos="1736"/>
        </w:tabs>
        <w:spacing w:before="1" w:line="249" w:lineRule="auto"/>
        <w:ind w:right="1105" w:firstLine="340"/>
        <w:jc w:val="both"/>
        <w:rPr>
          <w:sz w:val="20"/>
        </w:rPr>
      </w:pPr>
      <w:r>
        <w:rPr>
          <w:sz w:val="20"/>
        </w:rPr>
        <w:t>La innovación y originalidad de las soluciones propuestas, para suministrar los productos, prestar los servicios o ejecutar las obras.</w:t>
      </w:r>
    </w:p>
    <w:p w:rsidR="0092635B" w:rsidRDefault="00000000">
      <w:pPr>
        <w:pStyle w:val="Prrafodelista"/>
        <w:numPr>
          <w:ilvl w:val="1"/>
          <w:numId w:val="223"/>
        </w:numPr>
        <w:tabs>
          <w:tab w:val="left" w:pos="1694"/>
        </w:tabs>
        <w:spacing w:before="1" w:line="249" w:lineRule="auto"/>
        <w:ind w:right="1102" w:firstLine="340"/>
        <w:jc w:val="both"/>
        <w:rPr>
          <w:sz w:val="20"/>
        </w:rPr>
      </w:pPr>
      <w:r>
        <w:rPr>
          <w:sz w:val="20"/>
        </w:rPr>
        <w:t>El respeto de obligaciones que resulten aplicables en materia medioambiental, social</w:t>
      </w:r>
      <w:r>
        <w:rPr>
          <w:spacing w:val="40"/>
          <w:sz w:val="20"/>
        </w:rPr>
        <w:t xml:space="preserve"> </w:t>
      </w:r>
      <w:r>
        <w:rPr>
          <w:sz w:val="20"/>
        </w:rPr>
        <w:t>o laboral, y de subcontratación, no siendo justificables precios por debajo de mercado o que incumplan lo establecido en el artículo 201.</w:t>
      </w:r>
    </w:p>
    <w:p w:rsidR="0092635B" w:rsidRDefault="00000000">
      <w:pPr>
        <w:pStyle w:val="Prrafodelista"/>
        <w:numPr>
          <w:ilvl w:val="1"/>
          <w:numId w:val="223"/>
        </w:numPr>
        <w:tabs>
          <w:tab w:val="left" w:pos="1679"/>
        </w:tabs>
        <w:spacing w:before="3"/>
        <w:ind w:left="1679" w:right="0" w:hanging="233"/>
        <w:jc w:val="both"/>
        <w:rPr>
          <w:sz w:val="20"/>
        </w:rPr>
      </w:pPr>
      <w:r>
        <w:rPr>
          <w:sz w:val="20"/>
        </w:rPr>
        <w:t>O</w:t>
      </w:r>
      <w:r>
        <w:rPr>
          <w:spacing w:val="-3"/>
          <w:sz w:val="20"/>
        </w:rPr>
        <w:t xml:space="preserve"> </w:t>
      </w:r>
      <w:r>
        <w:rPr>
          <w:sz w:val="20"/>
        </w:rPr>
        <w:t>la</w:t>
      </w:r>
      <w:r>
        <w:rPr>
          <w:spacing w:val="-3"/>
          <w:sz w:val="20"/>
        </w:rPr>
        <w:t xml:space="preserve"> </w:t>
      </w:r>
      <w:r>
        <w:rPr>
          <w:sz w:val="20"/>
        </w:rPr>
        <w:t>posible</w:t>
      </w:r>
      <w:r>
        <w:rPr>
          <w:spacing w:val="-3"/>
          <w:sz w:val="20"/>
        </w:rPr>
        <w:t xml:space="preserve"> </w:t>
      </w:r>
      <w:r>
        <w:rPr>
          <w:sz w:val="20"/>
        </w:rPr>
        <w:t>obtención</w:t>
      </w:r>
      <w:r>
        <w:rPr>
          <w:spacing w:val="-3"/>
          <w:sz w:val="20"/>
        </w:rPr>
        <w:t xml:space="preserve"> </w:t>
      </w:r>
      <w:r>
        <w:rPr>
          <w:sz w:val="20"/>
        </w:rPr>
        <w:t>de</w:t>
      </w:r>
      <w:r>
        <w:rPr>
          <w:spacing w:val="-3"/>
          <w:sz w:val="20"/>
        </w:rPr>
        <w:t xml:space="preserve"> </w:t>
      </w:r>
      <w:r>
        <w:rPr>
          <w:sz w:val="20"/>
        </w:rPr>
        <w:t>una</w:t>
      </w:r>
      <w:r>
        <w:rPr>
          <w:spacing w:val="-3"/>
          <w:sz w:val="20"/>
        </w:rPr>
        <w:t xml:space="preserve"> </w:t>
      </w:r>
      <w:r>
        <w:rPr>
          <w:sz w:val="20"/>
        </w:rPr>
        <w:t>ayuda</w:t>
      </w:r>
      <w:r>
        <w:rPr>
          <w:spacing w:val="-3"/>
          <w:sz w:val="20"/>
        </w:rPr>
        <w:t xml:space="preserve"> </w:t>
      </w:r>
      <w:r>
        <w:rPr>
          <w:sz w:val="20"/>
        </w:rPr>
        <w:t>de</w:t>
      </w:r>
      <w:r>
        <w:rPr>
          <w:spacing w:val="-2"/>
          <w:sz w:val="20"/>
        </w:rPr>
        <w:t xml:space="preserve"> Estado.</w:t>
      </w:r>
    </w:p>
    <w:p w:rsidR="0092635B" w:rsidRDefault="00000000">
      <w:pPr>
        <w:pStyle w:val="Textoindependiente"/>
        <w:spacing w:before="130" w:line="249" w:lineRule="auto"/>
        <w:ind w:right="1106"/>
      </w:pPr>
      <w:r>
        <w:t xml:space="preserve">En el procedimiento deberá solicitarse el asesoramiento técnico del servicio </w:t>
      </w:r>
      <w:r>
        <w:rPr>
          <w:spacing w:val="-2"/>
        </w:rPr>
        <w:t>correspondiente.</w:t>
      </w:r>
    </w:p>
    <w:p w:rsidR="0092635B" w:rsidRDefault="00000000">
      <w:pPr>
        <w:pStyle w:val="Textoindependiente"/>
        <w:spacing w:before="1" w:line="249" w:lineRule="auto"/>
        <w:ind w:right="1104"/>
      </w:pPr>
      <w:r>
        <w:t>En</w:t>
      </w:r>
      <w:r>
        <w:rPr>
          <w:spacing w:val="-1"/>
        </w:rPr>
        <w:t xml:space="preserve"> </w:t>
      </w:r>
      <w:r>
        <w:t>todo</w:t>
      </w:r>
      <w:r>
        <w:rPr>
          <w:spacing w:val="-1"/>
        </w:rPr>
        <w:t xml:space="preserve"> </w:t>
      </w:r>
      <w:r>
        <w:t>caso,</w:t>
      </w:r>
      <w:r>
        <w:rPr>
          <w:spacing w:val="-1"/>
        </w:rPr>
        <w:t xml:space="preserve"> </w:t>
      </w:r>
      <w:r>
        <w:t>los</w:t>
      </w:r>
      <w:r>
        <w:rPr>
          <w:spacing w:val="-1"/>
        </w:rPr>
        <w:t xml:space="preserve"> </w:t>
      </w:r>
      <w:r>
        <w:t>órganos</w:t>
      </w:r>
      <w:r>
        <w:rPr>
          <w:spacing w:val="-1"/>
        </w:rPr>
        <w:t xml:space="preserve"> </w:t>
      </w:r>
      <w:r>
        <w:t>de</w:t>
      </w:r>
      <w:r>
        <w:rPr>
          <w:spacing w:val="-1"/>
        </w:rPr>
        <w:t xml:space="preserve"> </w:t>
      </w:r>
      <w:r>
        <w:t>contratación</w:t>
      </w:r>
      <w:r>
        <w:rPr>
          <w:spacing w:val="-1"/>
        </w:rPr>
        <w:t xml:space="preserve"> </w:t>
      </w:r>
      <w:r>
        <w:t>rechazarán</w:t>
      </w:r>
      <w:r>
        <w:rPr>
          <w:spacing w:val="-1"/>
        </w:rPr>
        <w:t xml:space="preserve"> </w:t>
      </w:r>
      <w:r>
        <w:t>las</w:t>
      </w:r>
      <w:r>
        <w:rPr>
          <w:spacing w:val="-1"/>
        </w:rPr>
        <w:t xml:space="preserve"> </w:t>
      </w:r>
      <w:r>
        <w:t>ofertas</w:t>
      </w:r>
      <w:r>
        <w:rPr>
          <w:spacing w:val="-1"/>
        </w:rPr>
        <w:t xml:space="preserve"> </w:t>
      </w:r>
      <w:r>
        <w:t>si</w:t>
      </w:r>
      <w:r>
        <w:rPr>
          <w:spacing w:val="-1"/>
        </w:rPr>
        <w:t xml:space="preserve"> </w:t>
      </w:r>
      <w:r>
        <w:t>comprueban</w:t>
      </w:r>
      <w:r>
        <w:rPr>
          <w:spacing w:val="-1"/>
        </w:rPr>
        <w:t xml:space="preserve"> </w:t>
      </w:r>
      <w:r>
        <w:t>que</w:t>
      </w:r>
      <w:r>
        <w:rPr>
          <w:spacing w:val="-1"/>
        </w:rPr>
        <w:t xml:space="preserve"> </w:t>
      </w:r>
      <w:r>
        <w:t>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w:t>
      </w:r>
    </w:p>
    <w:p w:rsidR="0092635B" w:rsidRDefault="00000000">
      <w:pPr>
        <w:pStyle w:val="Textoindependiente"/>
        <w:spacing w:before="5" w:line="249" w:lineRule="auto"/>
        <w:ind w:right="1103"/>
      </w:pPr>
      <w:r>
        <w:t xml:space="preserve">Se entenderá en todo caso que la justificación no explica satisfactoriamente el bajo nivel de los precios o costes propuestos por el licitador cuando esta sea incompleta o se fundamente en hipótesis o prácticas inadecuadas desde el punto de vista técnico, jurídico o </w:t>
      </w:r>
      <w:r>
        <w:rPr>
          <w:spacing w:val="-2"/>
        </w:rPr>
        <w:t>económico.</w:t>
      </w:r>
    </w:p>
    <w:p w:rsidR="0092635B" w:rsidRDefault="00000000">
      <w:pPr>
        <w:pStyle w:val="Prrafodelista"/>
        <w:numPr>
          <w:ilvl w:val="0"/>
          <w:numId w:val="223"/>
        </w:numPr>
        <w:tabs>
          <w:tab w:val="left" w:pos="1693"/>
        </w:tabs>
        <w:spacing w:before="3" w:line="249" w:lineRule="auto"/>
        <w:ind w:firstLine="340"/>
        <w:jc w:val="both"/>
        <w:rPr>
          <w:sz w:val="20"/>
        </w:rPr>
      </w:pPr>
      <w:r>
        <w:rPr>
          <w:sz w:val="20"/>
        </w:rPr>
        <w:t>En los casos en que se compruebe que una oferta es anormalmente baja debido a</w:t>
      </w:r>
      <w:r>
        <w:rPr>
          <w:spacing w:val="40"/>
          <w:sz w:val="20"/>
        </w:rPr>
        <w:t xml:space="preserve"> </w:t>
      </w:r>
      <w:r>
        <w:rPr>
          <w:sz w:val="20"/>
        </w:rPr>
        <w:t>que el licitador ha obtenido una ayuda de Estado, solo podrá rechazarse la proposición por esta única causa si aquel no puede acreditar que tal ayuda se ha concedido sin contravenir las</w:t>
      </w:r>
      <w:r>
        <w:rPr>
          <w:spacing w:val="-1"/>
          <w:sz w:val="20"/>
        </w:rPr>
        <w:t xml:space="preserve"> </w:t>
      </w:r>
      <w:r>
        <w:rPr>
          <w:sz w:val="20"/>
        </w:rPr>
        <w:t>disposiciones</w:t>
      </w:r>
      <w:r>
        <w:rPr>
          <w:spacing w:val="-1"/>
          <w:sz w:val="20"/>
        </w:rPr>
        <w:t xml:space="preserve"> </w:t>
      </w:r>
      <w:r>
        <w:rPr>
          <w:sz w:val="20"/>
        </w:rPr>
        <w:t>comunitarias</w:t>
      </w:r>
      <w:r>
        <w:rPr>
          <w:spacing w:val="-1"/>
          <w:sz w:val="20"/>
        </w:rPr>
        <w:t xml:space="preserve"> </w:t>
      </w:r>
      <w:r>
        <w:rPr>
          <w:sz w:val="20"/>
        </w:rPr>
        <w:t>en</w:t>
      </w:r>
      <w:r>
        <w:rPr>
          <w:spacing w:val="-1"/>
          <w:sz w:val="20"/>
        </w:rPr>
        <w:t xml:space="preserve"> </w:t>
      </w:r>
      <w:r>
        <w:rPr>
          <w:sz w:val="20"/>
        </w:rPr>
        <w:t>materia</w:t>
      </w:r>
      <w:r>
        <w:rPr>
          <w:spacing w:val="-1"/>
          <w:sz w:val="20"/>
        </w:rPr>
        <w:t xml:space="preserve"> </w:t>
      </w:r>
      <w:r>
        <w:rPr>
          <w:sz w:val="20"/>
        </w:rPr>
        <w:t>de</w:t>
      </w:r>
      <w:r>
        <w:rPr>
          <w:spacing w:val="-1"/>
          <w:sz w:val="20"/>
        </w:rPr>
        <w:t xml:space="preserve"> </w:t>
      </w:r>
      <w:r>
        <w:rPr>
          <w:sz w:val="20"/>
        </w:rPr>
        <w:t>ayudas</w:t>
      </w:r>
      <w:r>
        <w:rPr>
          <w:spacing w:val="-1"/>
          <w:sz w:val="20"/>
        </w:rPr>
        <w:t xml:space="preserve"> </w:t>
      </w:r>
      <w:r>
        <w:rPr>
          <w:sz w:val="20"/>
        </w:rPr>
        <w:t>públicas.</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que rechace una oferta por esta razón deberá informar de ello a la Comisión Europea, cuando el procedimiento de adjudicación se refiera a un contrato sujeto a regulación armonizada.</w:t>
      </w:r>
    </w:p>
    <w:p w:rsidR="0092635B" w:rsidRDefault="00000000">
      <w:pPr>
        <w:pStyle w:val="Prrafodelista"/>
        <w:numPr>
          <w:ilvl w:val="0"/>
          <w:numId w:val="223"/>
        </w:numPr>
        <w:tabs>
          <w:tab w:val="left" w:pos="1681"/>
        </w:tabs>
        <w:spacing w:before="5" w:line="249" w:lineRule="auto"/>
        <w:ind w:right="1104" w:firstLine="340"/>
        <w:jc w:val="both"/>
        <w:rPr>
          <w:sz w:val="20"/>
        </w:rPr>
      </w:pPr>
      <w:r>
        <w:rPr>
          <w:sz w:val="20"/>
        </w:rPr>
        <w:t>La mesa de contratación, o en su defecto, el órgano de contratación evaluará toda la información y documentación proporcionada por el licitador en plazo y, en el caso de que se trate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mesa</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elevará</w:t>
      </w:r>
      <w:r>
        <w:rPr>
          <w:spacing w:val="-2"/>
          <w:sz w:val="20"/>
        </w:rPr>
        <w:t xml:space="preserve"> </w:t>
      </w:r>
      <w:r>
        <w:rPr>
          <w:sz w:val="20"/>
        </w:rPr>
        <w:t>de</w:t>
      </w:r>
      <w:r>
        <w:rPr>
          <w:spacing w:val="-2"/>
          <w:sz w:val="20"/>
        </w:rPr>
        <w:t xml:space="preserve"> </w:t>
      </w:r>
      <w:r>
        <w:rPr>
          <w:sz w:val="20"/>
        </w:rPr>
        <w:t>forma</w:t>
      </w:r>
      <w:r>
        <w:rPr>
          <w:spacing w:val="-2"/>
          <w:sz w:val="20"/>
        </w:rPr>
        <w:t xml:space="preserve"> </w:t>
      </w:r>
      <w:r>
        <w:rPr>
          <w:sz w:val="20"/>
        </w:rPr>
        <w:t>motivada</w:t>
      </w:r>
      <w:r>
        <w:rPr>
          <w:spacing w:val="-2"/>
          <w:sz w:val="20"/>
        </w:rPr>
        <w:t xml:space="preserve"> </w:t>
      </w:r>
      <w:r>
        <w:rPr>
          <w:sz w:val="20"/>
        </w:rPr>
        <w:t>la</w:t>
      </w:r>
      <w:r>
        <w:rPr>
          <w:spacing w:val="-2"/>
          <w:sz w:val="20"/>
        </w:rPr>
        <w:t xml:space="preserve"> </w:t>
      </w:r>
      <w:r>
        <w:rPr>
          <w:sz w:val="20"/>
        </w:rPr>
        <w:t>correspondiente</w:t>
      </w:r>
      <w:r>
        <w:rPr>
          <w:spacing w:val="-2"/>
          <w:sz w:val="20"/>
        </w:rPr>
        <w:t xml:space="preserve"> </w:t>
      </w:r>
      <w:r>
        <w:rPr>
          <w:sz w:val="20"/>
        </w:rPr>
        <w:t>propuesta</w:t>
      </w:r>
      <w:r>
        <w:rPr>
          <w:spacing w:val="-2"/>
          <w:sz w:val="20"/>
        </w:rPr>
        <w:t xml:space="preserve"> </w:t>
      </w:r>
      <w:r>
        <w:rPr>
          <w:sz w:val="20"/>
        </w:rPr>
        <w:t>de aceptación o rechazo al órgano de contratación. En ningún caso se acordará la aceptación de una oferta sin que la propuesta de la mesa de contratación en este sentido esté debidamente motivada.</w:t>
      </w:r>
    </w:p>
    <w:p w:rsidR="0092635B" w:rsidRDefault="00000000">
      <w:pPr>
        <w:pStyle w:val="Textoindependiente"/>
        <w:spacing w:before="5" w:line="249" w:lineRule="auto"/>
        <w:ind w:right="1103"/>
      </w:pPr>
      <w:r>
        <w:t>Si el órgano de contratación, considerando la justificación efectuada por el licitador y los informes mencionados en el apartado cuatro, estimase que la información recabada no explica satisfactoriamente el bajo nivel de los precios o costes propuestos por el licitador y que, por lo tanto, la oferta no puede ser cumplida como consecuencia de la inclusión de valores anormales, la excluirá de la clasificación y acordará la adjudicación a favor de la mejor</w:t>
      </w:r>
      <w:r>
        <w:rPr>
          <w:spacing w:val="-1"/>
        </w:rPr>
        <w:t xml:space="preserve"> </w:t>
      </w:r>
      <w:r>
        <w:t>oferta,</w:t>
      </w:r>
      <w:r>
        <w:rPr>
          <w:spacing w:val="-1"/>
        </w:rPr>
        <w:t xml:space="preserve"> </w:t>
      </w:r>
      <w:r>
        <w:t>de</w:t>
      </w:r>
      <w:r>
        <w:rPr>
          <w:spacing w:val="-1"/>
        </w:rPr>
        <w:t xml:space="preserve"> </w:t>
      </w:r>
      <w:r>
        <w:t>acuerdo</w:t>
      </w:r>
      <w:r>
        <w:rPr>
          <w:spacing w:val="-1"/>
        </w:rPr>
        <w:t xml:space="preserve"> </w:t>
      </w:r>
      <w:r>
        <w:t>con</w:t>
      </w:r>
      <w:r>
        <w:rPr>
          <w:spacing w:val="-1"/>
        </w:rPr>
        <w:t xml:space="preserve"> </w:t>
      </w:r>
      <w:r>
        <w:t>el</w:t>
      </w:r>
      <w:r>
        <w:rPr>
          <w:spacing w:val="-1"/>
        </w:rPr>
        <w:t xml:space="preserve"> </w:t>
      </w:r>
      <w:r>
        <w:t>orden</w:t>
      </w:r>
      <w:r>
        <w:rPr>
          <w:spacing w:val="-1"/>
        </w:rPr>
        <w:t xml:space="preserve"> </w:t>
      </w:r>
      <w:r>
        <w:t>en</w:t>
      </w:r>
      <w:r>
        <w:rPr>
          <w:spacing w:val="-1"/>
        </w:rPr>
        <w:t xml:space="preserve"> </w:t>
      </w:r>
      <w:r>
        <w:t>que</w:t>
      </w:r>
      <w:r>
        <w:rPr>
          <w:spacing w:val="-1"/>
        </w:rPr>
        <w:t xml:space="preserve"> </w:t>
      </w:r>
      <w:r>
        <w:t>hayan</w:t>
      </w:r>
      <w:r>
        <w:rPr>
          <w:spacing w:val="-1"/>
        </w:rPr>
        <w:t xml:space="preserve"> </w:t>
      </w:r>
      <w:r>
        <w:t>sido</w:t>
      </w:r>
      <w:r>
        <w:rPr>
          <w:spacing w:val="-1"/>
        </w:rPr>
        <w:t xml:space="preserve"> </w:t>
      </w:r>
      <w:r>
        <w:t>clasificadas</w:t>
      </w:r>
      <w:r>
        <w:rPr>
          <w:spacing w:val="-1"/>
        </w:rPr>
        <w:t xml:space="preserve"> </w:t>
      </w:r>
      <w:r>
        <w:t>conforme</w:t>
      </w:r>
      <w:r>
        <w:rPr>
          <w:spacing w:val="-1"/>
        </w:rPr>
        <w:t xml:space="preserve"> </w:t>
      </w:r>
      <w:r>
        <w:t>a</w:t>
      </w:r>
      <w:r>
        <w:rPr>
          <w:spacing w:val="-1"/>
        </w:rPr>
        <w:t xml:space="preserve"> </w:t>
      </w:r>
      <w:r>
        <w:t>lo</w:t>
      </w:r>
      <w:r>
        <w:rPr>
          <w:spacing w:val="-1"/>
        </w:rPr>
        <w:t xml:space="preserve"> </w:t>
      </w:r>
      <w:r>
        <w:t>señalado en el apartado 1 del artículo 150. En general se rechazarán las ofertas incursas en presunción de anormalidad si están basadas en hipótesis o prácticas inadecuadas desde</w:t>
      </w:r>
      <w:r>
        <w:rPr>
          <w:spacing w:val="40"/>
        </w:rPr>
        <w:t xml:space="preserve"> </w:t>
      </w:r>
      <w:r>
        <w:t>una perspectiva técnica, económica o jurídica.</w:t>
      </w:r>
    </w:p>
    <w:p w:rsidR="0092635B" w:rsidRDefault="00000000">
      <w:pPr>
        <w:pStyle w:val="Prrafodelista"/>
        <w:numPr>
          <w:ilvl w:val="0"/>
          <w:numId w:val="223"/>
        </w:numPr>
        <w:tabs>
          <w:tab w:val="left" w:pos="1716"/>
        </w:tabs>
        <w:spacing w:before="7" w:line="249" w:lineRule="auto"/>
        <w:ind w:right="1104" w:firstLine="340"/>
        <w:jc w:val="both"/>
        <w:rPr>
          <w:sz w:val="20"/>
        </w:rPr>
      </w:pPr>
      <w:r>
        <w:rPr>
          <w:sz w:val="20"/>
        </w:rPr>
        <w:t>Cuando una empresa que hubiese estado incursa en presunción de anormalidad hubiera resultado adjudicataria del contrato, el órgano de contratación establecerá mecanismos adecuados para realizar un seguimiento pormenorizado de la ejecución del mismo, con el objetivo de garantizar la correcta ejecución del contrato sin que se produzca una merma en la calidad de los servicios, las obras o los suministros contratados.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241" w:name="Artículo_150._Clasificación_de_las_ofert"/>
      <w:bookmarkEnd w:id="241"/>
      <w:r>
        <w:rPr>
          <w:rFonts w:ascii="Arial" w:hAnsi="Arial"/>
          <w:b/>
          <w:sz w:val="20"/>
        </w:rPr>
        <w:t>Artículo</w:t>
      </w:r>
      <w:r>
        <w:rPr>
          <w:rFonts w:ascii="Arial" w:hAnsi="Arial"/>
          <w:b/>
          <w:spacing w:val="-3"/>
          <w:sz w:val="20"/>
        </w:rPr>
        <w:t xml:space="preserve"> </w:t>
      </w:r>
      <w:r>
        <w:rPr>
          <w:rFonts w:ascii="Arial" w:hAnsi="Arial"/>
          <w:b/>
          <w:sz w:val="20"/>
        </w:rPr>
        <w:t>150.</w:t>
      </w:r>
      <w:r>
        <w:rPr>
          <w:rFonts w:ascii="Arial" w:hAnsi="Arial"/>
          <w:b/>
          <w:spacing w:val="49"/>
          <w:sz w:val="20"/>
        </w:rPr>
        <w:t xml:space="preserve"> </w:t>
      </w:r>
      <w:r>
        <w:rPr>
          <w:rFonts w:ascii="Arial" w:hAnsi="Arial"/>
          <w:i/>
          <w:sz w:val="20"/>
        </w:rPr>
        <w:t>Clasificación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3"/>
          <w:sz w:val="20"/>
        </w:rPr>
        <w:t xml:space="preserve"> </w:t>
      </w:r>
      <w:r>
        <w:rPr>
          <w:rFonts w:ascii="Arial" w:hAnsi="Arial"/>
          <w:i/>
          <w:sz w:val="20"/>
        </w:rPr>
        <w:t>ofertas</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adjudicación</w:t>
      </w:r>
      <w:r>
        <w:rPr>
          <w:rFonts w:ascii="Arial" w:hAnsi="Arial"/>
          <w:i/>
          <w:spacing w:val="-3"/>
          <w:sz w:val="20"/>
        </w:rPr>
        <w:t xml:space="preserve"> </w:t>
      </w:r>
      <w:r>
        <w:rPr>
          <w:rFonts w:ascii="Arial" w:hAnsi="Arial"/>
          <w:i/>
          <w:sz w:val="20"/>
        </w:rPr>
        <w:t>del</w:t>
      </w:r>
      <w:r>
        <w:rPr>
          <w:rFonts w:ascii="Arial" w:hAnsi="Arial"/>
          <w:i/>
          <w:spacing w:val="-2"/>
          <w:sz w:val="20"/>
        </w:rPr>
        <w:t xml:space="preserve"> contrato.</w:t>
      </w:r>
    </w:p>
    <w:p w:rsidR="0092635B" w:rsidRDefault="00000000">
      <w:pPr>
        <w:pStyle w:val="Prrafodelista"/>
        <w:numPr>
          <w:ilvl w:val="0"/>
          <w:numId w:val="222"/>
        </w:numPr>
        <w:tabs>
          <w:tab w:val="left" w:pos="1691"/>
        </w:tabs>
        <w:spacing w:before="123" w:line="249" w:lineRule="auto"/>
        <w:ind w:firstLine="340"/>
        <w:jc w:val="both"/>
        <w:rPr>
          <w:sz w:val="20"/>
        </w:rPr>
      </w:pPr>
      <w:r>
        <w:rPr>
          <w:sz w:val="20"/>
        </w:rPr>
        <w:t>La mesa de contratación o, en su defecto, el órgano de contratación clasificará, por orden decreciente, las proposiciones presentadas para posteriormente elevar la correspondiente propuesta al órgano de contratación, en el caso de que la clasificación se realice por la mesa de contratación.</w:t>
      </w:r>
    </w:p>
    <w:p w:rsidR="0092635B" w:rsidRDefault="00000000">
      <w:pPr>
        <w:pStyle w:val="Textoindependiente"/>
        <w:spacing w:before="4" w:line="249" w:lineRule="auto"/>
        <w:ind w:right="1103"/>
      </w:pPr>
      <w:r>
        <w:t>Para realizar la citada clasificación, se atenderá a los criterios de adjudicación señalados en el pliego, pudiéndose solicitar para ello cuantos informes técnicos se estime pertinentes. Cuando el único criterio a considerar sea el precio, se entenderá que la mejor oferta es la</w:t>
      </w:r>
      <w:r>
        <w:rPr>
          <w:spacing w:val="40"/>
        </w:rPr>
        <w:t xml:space="preserve"> </w:t>
      </w:r>
      <w:r>
        <w:t>que incorpora el precio más bajo.</w:t>
      </w:r>
    </w:p>
    <w:p w:rsidR="0092635B" w:rsidRDefault="00000000">
      <w:pPr>
        <w:pStyle w:val="Textoindependiente"/>
        <w:spacing w:before="3" w:line="249" w:lineRule="auto"/>
        <w:ind w:right="1104"/>
      </w:pPr>
      <w:r>
        <w:t>En los contratos sujetos a regulación armonizada que celebren cualquiera de las entidades sujetas a la presente ley, si se apreciasen indicios fundados de conductas colusorias en el procedimiento de contratación en tramitación, en el sentido definido en el artículo</w:t>
      </w:r>
      <w:r>
        <w:rPr>
          <w:spacing w:val="29"/>
        </w:rPr>
        <w:t xml:space="preserve"> </w:t>
      </w:r>
      <w:r>
        <w:t>1</w:t>
      </w:r>
      <w:r>
        <w:rPr>
          <w:spacing w:val="29"/>
        </w:rPr>
        <w:t xml:space="preserve"> </w:t>
      </w:r>
      <w:r>
        <w:t>de</w:t>
      </w:r>
      <w:r>
        <w:rPr>
          <w:spacing w:val="30"/>
        </w:rPr>
        <w:t xml:space="preserve"> </w:t>
      </w:r>
      <w:r>
        <w:t>la</w:t>
      </w:r>
      <w:r>
        <w:rPr>
          <w:spacing w:val="29"/>
        </w:rPr>
        <w:t xml:space="preserve"> </w:t>
      </w:r>
      <w:r>
        <w:t>Ley</w:t>
      </w:r>
      <w:r>
        <w:rPr>
          <w:spacing w:val="30"/>
        </w:rPr>
        <w:t xml:space="preserve"> </w:t>
      </w:r>
      <w:r>
        <w:t>15/2007,</w:t>
      </w:r>
      <w:r>
        <w:rPr>
          <w:spacing w:val="29"/>
        </w:rPr>
        <w:t xml:space="preserve"> </w:t>
      </w:r>
      <w:r>
        <w:t>de</w:t>
      </w:r>
      <w:r>
        <w:rPr>
          <w:spacing w:val="30"/>
        </w:rPr>
        <w:t xml:space="preserve"> </w:t>
      </w:r>
      <w:r>
        <w:t>3</w:t>
      </w:r>
      <w:r>
        <w:rPr>
          <w:spacing w:val="29"/>
        </w:rPr>
        <w:t xml:space="preserve"> </w:t>
      </w:r>
      <w:r>
        <w:t>de</w:t>
      </w:r>
      <w:r>
        <w:rPr>
          <w:spacing w:val="30"/>
        </w:rPr>
        <w:t xml:space="preserve"> </w:t>
      </w:r>
      <w:r>
        <w:t>julio,</w:t>
      </w:r>
      <w:r>
        <w:rPr>
          <w:spacing w:val="29"/>
        </w:rPr>
        <w:t xml:space="preserve"> </w:t>
      </w:r>
      <w:r>
        <w:t>de</w:t>
      </w:r>
      <w:r>
        <w:rPr>
          <w:spacing w:val="30"/>
        </w:rPr>
        <w:t xml:space="preserve"> </w:t>
      </w:r>
      <w:r>
        <w:t>Defensa</w:t>
      </w:r>
      <w:r>
        <w:rPr>
          <w:spacing w:val="29"/>
        </w:rPr>
        <w:t xml:space="preserve"> </w:t>
      </w:r>
      <w:r>
        <w:t>de</w:t>
      </w:r>
      <w:r>
        <w:rPr>
          <w:spacing w:val="30"/>
        </w:rPr>
        <w:t xml:space="preserve"> </w:t>
      </w:r>
      <w:r>
        <w:t>la</w:t>
      </w:r>
      <w:r>
        <w:rPr>
          <w:spacing w:val="29"/>
        </w:rPr>
        <w:t xml:space="preserve"> </w:t>
      </w:r>
      <w:r>
        <w:t>Competencia,</w:t>
      </w:r>
      <w:r>
        <w:rPr>
          <w:spacing w:val="30"/>
        </w:rPr>
        <w:t xml:space="preserve"> </w:t>
      </w:r>
      <w:r>
        <w:t>el</w:t>
      </w:r>
      <w:r>
        <w:rPr>
          <w:spacing w:val="29"/>
        </w:rPr>
        <w:t xml:space="preserve"> </w:t>
      </w:r>
      <w:r>
        <w:t>órgano</w:t>
      </w:r>
      <w:r>
        <w:rPr>
          <w:spacing w:val="30"/>
        </w:rPr>
        <w:t xml:space="preserve"> </w:t>
      </w:r>
      <w:r>
        <w:rPr>
          <w:spacing w:val="-5"/>
        </w:rPr>
        <w:t>de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firstLine="0"/>
      </w:pPr>
      <w:r>
        <w:t>contratación, de oficio o a instancia de la mesa de contratación, los trasladará con carácter previo a la adjudicación del contrato a la Comisión Nacional de los Mercados y la Competencia o, en su caso, a la autoridad de competencia autonómica correspondiente con el fin de que, en el plazo de 20 días hábiles, emita un informe sobre el carácter fundado o no de tales indicios.</w:t>
      </w:r>
    </w:p>
    <w:p w:rsidR="0092635B" w:rsidRDefault="00000000">
      <w:pPr>
        <w:pStyle w:val="Textoindependiente"/>
        <w:spacing w:before="4" w:line="249" w:lineRule="auto"/>
        <w:ind w:right="1103"/>
      </w:pPr>
      <w:r>
        <w:t>El traslado a que alude el párrafo anterior deberá incluir una explicación detallada sobre los indicios detectados y sobre las razones para considerar su carácter presuntamente colusorio e irá acompañado del expediente de contratación, incluida la totalidad de las</w:t>
      </w:r>
      <w:r>
        <w:rPr>
          <w:spacing w:val="40"/>
        </w:rPr>
        <w:t xml:space="preserve"> </w:t>
      </w:r>
      <w:r>
        <w:t xml:space="preserve">ofertas presentadas por todos los licitadores, sin perjuicio del deber de confidencialidad previsto en el art. 133 LCSP. La autoridad de defensa de la competencia podrá solicitar documentación adicional al órgano de contratación siempre que guarde relación con los indicios mencionados en la remisión. En este supuesto, deberá ponerse la documentación requerida a disposición de la autoridad de competencia en un plazo máximo de 3 días </w:t>
      </w:r>
      <w:r>
        <w:rPr>
          <w:spacing w:val="-2"/>
        </w:rPr>
        <w:t>hábiles.</w:t>
      </w:r>
    </w:p>
    <w:p w:rsidR="0092635B" w:rsidRDefault="00000000">
      <w:pPr>
        <w:pStyle w:val="Textoindependiente"/>
        <w:spacing w:before="7" w:line="249" w:lineRule="auto"/>
        <w:ind w:right="1104"/>
      </w:pPr>
      <w:r>
        <w:t>La remisión de esta documentación a la autoridad de defensa de la competencia correspondiente supondrá la inmediata suspensión de la licitación, la cual no será notificada a los licitadores ni tampoco será objeto de publicación. El órgano de contratación deberá mantener en todo momento la debida confidencialidad de estas actuaciones.</w:t>
      </w:r>
    </w:p>
    <w:p w:rsidR="0092635B" w:rsidRDefault="00000000">
      <w:pPr>
        <w:pStyle w:val="Textoindependiente"/>
        <w:spacing w:before="3" w:line="249" w:lineRule="auto"/>
        <w:ind w:right="1103"/>
      </w:pPr>
      <w:r>
        <w:t>Una vez recibido el informe de la autoridad de competencia, si el mismo no concluye que existen tales indicios fundados de conductas colusorias, el órgano de contratación dictará resolución alzando la suspensión, que tampoco será objeto de notificación ni publicación, y continuará con la tramitación del procedimiento de contratación sin la exclusión de ningún licitador por este motivo.</w:t>
      </w:r>
    </w:p>
    <w:p w:rsidR="0092635B" w:rsidRDefault="00000000">
      <w:pPr>
        <w:pStyle w:val="Textoindependiente"/>
        <w:spacing w:before="5" w:line="249" w:lineRule="auto"/>
        <w:ind w:right="1102"/>
      </w:pPr>
      <w:r>
        <w:t>En caso de que el informe concluyese que existen indicios fundados de conducta colusoria, el órgano de contratación notificará y publicará la suspensión y remitirá a los licitadores afectados la documentación necesaria para que en un plazo de diez días hábiles aleguen cuanto tengan por conveniente en defensa de sus derechos. El órgano de contratación cuidará de que los licitadores afectados reciban toda la documentación necesaria para el ejercicio de su derecho, pero sin revelar aspectos de las ofertas del resto de licitadores, si ya se hubiesen presentado, y con respeto al deber de confidencialidad previsto en el artículo 133 de esta ley. Una vez evacuado este trámite, el órgano de contratación podrá recabar de la Comisión Nacional de los Mercados y la Competencia o, en su caso, de la autoridad de competencia autonómica correspondiente los informes que juzgue necesarios para resolver, que deberán ser emitidos en el plazo improrrogable de 3 días hábiles. A la vista de los informes obrantes en el procedimiento, de las alegaciones y pruebas de los licitadores afectados y de las medidas que en su caso estos acrediten haber adoptado para evitar futuras infracciones, el órgano de contratación resolverá de forma motivada lo que proceda en el plazo de 10 días hábiles.</w:t>
      </w:r>
    </w:p>
    <w:p w:rsidR="0092635B" w:rsidRDefault="00000000">
      <w:pPr>
        <w:pStyle w:val="Textoindependiente"/>
        <w:spacing w:before="12" w:line="249" w:lineRule="auto"/>
        <w:ind w:right="1103"/>
      </w:pPr>
      <w:r>
        <w:t>Si el órgano de contratación resuelve que existen indicios fundados de conductas colusorias excluirá del procedimiento de contratación a los licitadores responsables de dicha conducta y lo notificará a todos los licitadores, alzando la suspensión y continuando el procedimiento</w:t>
      </w:r>
      <w:r>
        <w:rPr>
          <w:spacing w:val="-2"/>
        </w:rPr>
        <w:t xml:space="preserve"> </w:t>
      </w:r>
      <w:r>
        <w:t>de</w:t>
      </w:r>
      <w:r>
        <w:rPr>
          <w:spacing w:val="-2"/>
        </w:rPr>
        <w:t xml:space="preserve"> </w:t>
      </w:r>
      <w:r>
        <w:t>contratación</w:t>
      </w:r>
      <w:r>
        <w:rPr>
          <w:spacing w:val="-2"/>
        </w:rPr>
        <w:t xml:space="preserve"> </w:t>
      </w:r>
      <w:r>
        <w:t>con</w:t>
      </w:r>
      <w:r>
        <w:rPr>
          <w:spacing w:val="-2"/>
        </w:rPr>
        <w:t xml:space="preserve"> </w:t>
      </w:r>
      <w:r>
        <w:t>los</w:t>
      </w:r>
      <w:r>
        <w:rPr>
          <w:spacing w:val="-2"/>
        </w:rPr>
        <w:t xml:space="preserve"> </w:t>
      </w:r>
      <w:r>
        <w:t>licitadores</w:t>
      </w:r>
      <w:r>
        <w:rPr>
          <w:spacing w:val="-2"/>
        </w:rPr>
        <w:t xml:space="preserve"> </w:t>
      </w:r>
      <w:r>
        <w:t>restantes,</w:t>
      </w:r>
      <w:r>
        <w:rPr>
          <w:spacing w:val="-2"/>
        </w:rPr>
        <w:t xml:space="preserve"> </w:t>
      </w:r>
      <w:r>
        <w:t>si</w:t>
      </w:r>
      <w:r>
        <w:rPr>
          <w:spacing w:val="-2"/>
        </w:rPr>
        <w:t xml:space="preserve"> </w:t>
      </w:r>
      <w:r>
        <w:t>los</w:t>
      </w:r>
      <w:r>
        <w:rPr>
          <w:spacing w:val="-2"/>
        </w:rPr>
        <w:t xml:space="preserve"> </w:t>
      </w:r>
      <w:r>
        <w:t>hubiere.</w:t>
      </w:r>
      <w:r>
        <w:rPr>
          <w:spacing w:val="-2"/>
        </w:rPr>
        <w:t xml:space="preserve"> </w:t>
      </w:r>
      <w:r>
        <w:t>Si</w:t>
      </w:r>
      <w:r>
        <w:rPr>
          <w:spacing w:val="-2"/>
        </w:rPr>
        <w:t xml:space="preserve"> </w:t>
      </w:r>
      <w:r>
        <w:t>resuelve</w:t>
      </w:r>
      <w:r>
        <w:rPr>
          <w:spacing w:val="-2"/>
        </w:rPr>
        <w:t xml:space="preserve"> </w:t>
      </w:r>
      <w:r>
        <w:t>que</w:t>
      </w:r>
      <w:r>
        <w:rPr>
          <w:spacing w:val="-2"/>
        </w:rPr>
        <w:t xml:space="preserve"> </w:t>
      </w:r>
      <w:r>
        <w:t xml:space="preserve">no existen indicios fundados de conducta colusoria, alzará la suspensión y continuará la tramitación del procedimiento de contratación sin la exclusión de ningún licitador por este </w:t>
      </w:r>
      <w:r>
        <w:rPr>
          <w:spacing w:val="-2"/>
        </w:rPr>
        <w:t>motivo.</w:t>
      </w:r>
    </w:p>
    <w:p w:rsidR="0092635B" w:rsidRDefault="00000000">
      <w:pPr>
        <w:pStyle w:val="Textoindependiente"/>
        <w:spacing w:before="6" w:line="249" w:lineRule="auto"/>
        <w:ind w:right="1104"/>
      </w:pPr>
      <w:r>
        <w:t xml:space="preserve">En caso de no recibir el informe de la autoridad de competencia en el plazo de 20 días hábiles, el órgano de contratación podrá acordar continuar con la tramitación del procedimiento o iniciar el procedimiento contradictorio establecido en este apartado. En este último caso, si el órgano de contratación recibiera el informe de la autoridad de competencia antes de haber dictado su resolución, no procederá acordar la exclusión de ningún licitador cuando dicho informe no concluya que existen indicios fundados de conducta colusoria. Igualmente, si el órgano de contratación recibiera el informe en el mencionado sentido una vez dictada la resolución que acuerde la exclusión de algún licitador, podrá revocar dicha resolución si así lo considera procedente siempre que aún no se hubiera adjudicado el </w:t>
      </w:r>
      <w:r>
        <w:rPr>
          <w:spacing w:val="-2"/>
        </w:rPr>
        <w:t>contrato.</w:t>
      </w:r>
    </w:p>
    <w:p w:rsidR="0092635B" w:rsidRDefault="00000000">
      <w:pPr>
        <w:pStyle w:val="Textoindependiente"/>
        <w:spacing w:before="8" w:line="249" w:lineRule="auto"/>
        <w:ind w:right="1103"/>
      </w:pPr>
      <w:r>
        <w:t>El órgano de contratación comunicará la resolución de adjudicación del contrato a la Comisión Nacional de los Mercados y la Competencia o, en su caso, a la autoridad de competencia autonómica correspondiente, por medios electrónicos el mismo día en que se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6" w:firstLine="0"/>
      </w:pPr>
      <w:r>
        <w:t>acuerde. Esta comunicación hará decaer cualquier solicitud de informe que no hubiera sido atendida hasta esa fecha, no pudiendo las autoridades de competencia emitir el informe a partir de ese momento.</w:t>
      </w:r>
    </w:p>
    <w:p w:rsidR="0092635B" w:rsidRDefault="00000000">
      <w:pPr>
        <w:pStyle w:val="Prrafodelista"/>
        <w:numPr>
          <w:ilvl w:val="0"/>
          <w:numId w:val="222"/>
        </w:numPr>
        <w:tabs>
          <w:tab w:val="left" w:pos="1671"/>
        </w:tabs>
        <w:spacing w:line="249" w:lineRule="auto"/>
        <w:ind w:firstLine="340"/>
        <w:jc w:val="both"/>
        <w:rPr>
          <w:sz w:val="20"/>
        </w:rPr>
      </w:pPr>
      <w:r>
        <w:rPr>
          <w:sz w:val="20"/>
        </w:rPr>
        <w:t>Una vez aceptada la propuesta de la mesa por el órgano de contratación, los servicios correspondientes requerirán al licitador que haya presentado la mejor oferta, de conformidad con lo dispuesto en el artículo 145 para que, dentro del plazo de diez días hábiles, a contar desde el siguiente a aquel en que hubiera recibido el requerimiento, presente la documentación justificativa de las circunstancias a las que se refieren las letras a) a c) del apartado 1 del artículo 140 si no se hubiera aportado con anterioridad, tanto del licitador como de aquellas otras empresas a cuyas capacidades se recurra, sin perjuicio de lo establecido en el segundo párrafo del apartado 3 del citado artículo; de disponer efectivamente de los medios que se hubiese comprometido a dedicar o adscribir a la ejecución del contrato conforme al artículo 76.2; y de haber constituido la garantía definitiva que sea procedente. Los correspondientes certificados podrán ser expedidos por medios electrónicos, informáticos o telemáticos, salvo que se establezca otra cosa en los pliegos.</w:t>
      </w:r>
    </w:p>
    <w:p w:rsidR="0092635B" w:rsidRDefault="00000000">
      <w:pPr>
        <w:pStyle w:val="Textoindependiente"/>
        <w:spacing w:before="10" w:line="249" w:lineRule="auto"/>
        <w:ind w:right="1103"/>
      </w:pPr>
      <w:r>
        <w:t>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w:t>
      </w:r>
    </w:p>
    <w:p w:rsidR="0092635B" w:rsidRDefault="00000000">
      <w:pPr>
        <w:pStyle w:val="Textoindependiente"/>
        <w:spacing w:before="4" w:line="249" w:lineRule="auto"/>
        <w:ind w:right="1104"/>
      </w:pPr>
      <w:r>
        <w:t xml:space="preserve">En el supuesto señalado en el párrafo anterior, se procederá a recabar la misma documentación al licitador siguiente, por el orden en que hayan quedado clasificadas las </w:t>
      </w:r>
      <w:r>
        <w:rPr>
          <w:spacing w:val="-2"/>
        </w:rPr>
        <w:t>ofertas.</w:t>
      </w:r>
    </w:p>
    <w:p w:rsidR="0092635B" w:rsidRDefault="00000000">
      <w:pPr>
        <w:pStyle w:val="Prrafodelista"/>
        <w:numPr>
          <w:ilvl w:val="0"/>
          <w:numId w:val="222"/>
        </w:numPr>
        <w:tabs>
          <w:tab w:val="left" w:pos="1714"/>
        </w:tabs>
        <w:spacing w:before="3" w:line="249" w:lineRule="auto"/>
        <w:ind w:right="1102" w:firstLine="340"/>
        <w:jc w:val="both"/>
        <w:rPr>
          <w:sz w:val="20"/>
        </w:rPr>
      </w:pPr>
      <w:r>
        <w:rPr>
          <w:sz w:val="20"/>
        </w:rPr>
        <w:t>El órgano de contratación adjudicará el contrato dentro de los cinco días hábiles siguientes a la recepción de la documentación. En los procedimientos negociados, de</w:t>
      </w:r>
      <w:r>
        <w:rPr>
          <w:spacing w:val="40"/>
          <w:sz w:val="20"/>
        </w:rPr>
        <w:t xml:space="preserve"> </w:t>
      </w:r>
      <w:r>
        <w:rPr>
          <w:sz w:val="20"/>
        </w:rPr>
        <w:t>diálogo competitivo y de asociación para la innovación, la adjudicación concretará y fijará los términos definitivos del contrato.</w:t>
      </w:r>
    </w:p>
    <w:p w:rsidR="0092635B" w:rsidRDefault="00000000">
      <w:pPr>
        <w:pStyle w:val="Textoindependiente"/>
        <w:spacing w:before="3" w:line="249" w:lineRule="auto"/>
        <w:ind w:right="1106"/>
      </w:pPr>
      <w:r>
        <w:t>No podrá declararse desierta una licitación cuando exista alguna oferta o proposición</w:t>
      </w:r>
      <w:r>
        <w:rPr>
          <w:spacing w:val="80"/>
        </w:rPr>
        <w:t xml:space="preserve"> </w:t>
      </w:r>
      <w:r>
        <w:t>que sea admisible de acuerdo con los criterios que figuren en el pliego.</w:t>
      </w:r>
    </w:p>
    <w:p w:rsidR="0092635B" w:rsidRDefault="00000000">
      <w:pPr>
        <w:pStyle w:val="Prrafodelista"/>
        <w:numPr>
          <w:ilvl w:val="0"/>
          <w:numId w:val="222"/>
        </w:numPr>
        <w:tabs>
          <w:tab w:val="left" w:pos="1715"/>
        </w:tabs>
        <w:spacing w:before="1" w:line="249" w:lineRule="auto"/>
        <w:ind w:right="1105" w:firstLine="340"/>
        <w:jc w:val="both"/>
        <w:rPr>
          <w:sz w:val="20"/>
        </w:rPr>
      </w:pPr>
      <w:r>
        <w:rPr>
          <w:sz w:val="20"/>
        </w:rPr>
        <w:t>Si como consecuencia del contenido de la resolución de un recurso especial del artículo 44 fuera preciso que el órgano de contratación acordase la adjudicación del contrato a otro licitador, se concederá a este un plazo de diez días hábiles para que cumplimente los trámites que resulten oportunos.</w:t>
      </w:r>
    </w:p>
    <w:p w:rsidR="0092635B" w:rsidRDefault="0092635B">
      <w:pPr>
        <w:pStyle w:val="Textoindependiente"/>
        <w:spacing w:before="0"/>
        <w:ind w:left="0" w:firstLine="0"/>
        <w:jc w:val="left"/>
      </w:pPr>
    </w:p>
    <w:p w:rsidR="0092635B" w:rsidRDefault="00000000">
      <w:pPr>
        <w:spacing w:before="1"/>
        <w:ind w:left="1106"/>
        <w:jc w:val="both"/>
        <w:rPr>
          <w:rFonts w:ascii="Arial" w:hAnsi="Arial"/>
          <w:i/>
          <w:sz w:val="20"/>
        </w:rPr>
      </w:pPr>
      <w:bookmarkStart w:id="242" w:name="Artículo_151._Resolución_y_notificación_"/>
      <w:bookmarkEnd w:id="242"/>
      <w:r>
        <w:rPr>
          <w:rFonts w:ascii="Arial" w:hAnsi="Arial"/>
          <w:b/>
          <w:sz w:val="20"/>
        </w:rPr>
        <w:t>Artículo</w:t>
      </w:r>
      <w:r>
        <w:rPr>
          <w:rFonts w:ascii="Arial" w:hAnsi="Arial"/>
          <w:b/>
          <w:spacing w:val="-3"/>
          <w:sz w:val="20"/>
        </w:rPr>
        <w:t xml:space="preserve"> </w:t>
      </w:r>
      <w:r>
        <w:rPr>
          <w:rFonts w:ascii="Arial" w:hAnsi="Arial"/>
          <w:b/>
          <w:sz w:val="20"/>
        </w:rPr>
        <w:t>151.</w:t>
      </w:r>
      <w:r>
        <w:rPr>
          <w:rFonts w:ascii="Arial" w:hAnsi="Arial"/>
          <w:b/>
          <w:spacing w:val="48"/>
          <w:sz w:val="20"/>
        </w:rPr>
        <w:t xml:space="preserve"> </w:t>
      </w:r>
      <w:r>
        <w:rPr>
          <w:rFonts w:ascii="Arial" w:hAnsi="Arial"/>
          <w:i/>
          <w:sz w:val="20"/>
        </w:rPr>
        <w:t>Resolución</w:t>
      </w:r>
      <w:r>
        <w:rPr>
          <w:rFonts w:ascii="Arial" w:hAnsi="Arial"/>
          <w:i/>
          <w:spacing w:val="-2"/>
          <w:sz w:val="20"/>
        </w:rPr>
        <w:t xml:space="preserve"> </w:t>
      </w:r>
      <w:r>
        <w:rPr>
          <w:rFonts w:ascii="Arial" w:hAnsi="Arial"/>
          <w:i/>
          <w:sz w:val="20"/>
        </w:rPr>
        <w:t>y</w:t>
      </w:r>
      <w:r>
        <w:rPr>
          <w:rFonts w:ascii="Arial" w:hAnsi="Arial"/>
          <w:i/>
          <w:spacing w:val="-3"/>
          <w:sz w:val="20"/>
        </w:rPr>
        <w:t xml:space="preserve"> </w:t>
      </w:r>
      <w:r>
        <w:rPr>
          <w:rFonts w:ascii="Arial" w:hAnsi="Arial"/>
          <w:i/>
          <w:sz w:val="20"/>
        </w:rPr>
        <w:t>notificación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adjudicación.</w:t>
      </w:r>
    </w:p>
    <w:p w:rsidR="0092635B" w:rsidRDefault="00000000">
      <w:pPr>
        <w:pStyle w:val="Prrafodelista"/>
        <w:numPr>
          <w:ilvl w:val="0"/>
          <w:numId w:val="221"/>
        </w:numPr>
        <w:tabs>
          <w:tab w:val="left" w:pos="1686"/>
        </w:tabs>
        <w:spacing w:before="123" w:line="249" w:lineRule="auto"/>
        <w:ind w:right="1105" w:firstLine="340"/>
        <w:jc w:val="both"/>
        <w:rPr>
          <w:sz w:val="20"/>
        </w:rPr>
      </w:pPr>
      <w:r>
        <w:rPr>
          <w:sz w:val="20"/>
        </w:rPr>
        <w:t>La resolución de adjudicación deberá ser motivada y se notificará a los candidatos y licitadores, debiendo ser publicada en el perfil de contratante en el plazo de 15 días.</w:t>
      </w:r>
    </w:p>
    <w:p w:rsidR="0092635B" w:rsidRDefault="00000000">
      <w:pPr>
        <w:pStyle w:val="Prrafodelista"/>
        <w:numPr>
          <w:ilvl w:val="0"/>
          <w:numId w:val="221"/>
        </w:numPr>
        <w:tabs>
          <w:tab w:val="left" w:pos="1695"/>
        </w:tabs>
        <w:spacing w:line="249" w:lineRule="auto"/>
        <w:ind w:right="1104" w:firstLine="340"/>
        <w:jc w:val="both"/>
        <w:rPr>
          <w:sz w:val="20"/>
        </w:rPr>
      </w:pPr>
      <w:r>
        <w:rPr>
          <w:sz w:val="20"/>
        </w:rPr>
        <w:t>Sin perjuicio de lo establecido en el apartado 1 del artículo 155, la notificación y la publicidad a que se refiere el apartado anterior deberán contener la información necesaria que permita a los interesados en el procedimiento de adjudicación interponer recurso suficientemente fundado contra la decisión de adjudicación, y entre ella en todo caso deberá figurar la siguiente:</w:t>
      </w:r>
    </w:p>
    <w:p w:rsidR="0092635B" w:rsidRDefault="00000000">
      <w:pPr>
        <w:pStyle w:val="Prrafodelista"/>
        <w:numPr>
          <w:ilvl w:val="1"/>
          <w:numId w:val="221"/>
        </w:numPr>
        <w:tabs>
          <w:tab w:val="left" w:pos="1707"/>
        </w:tabs>
        <w:spacing w:before="124" w:line="249" w:lineRule="auto"/>
        <w:ind w:right="1105" w:firstLine="340"/>
        <w:jc w:val="both"/>
        <w:rPr>
          <w:sz w:val="20"/>
        </w:rPr>
      </w:pPr>
      <w:r>
        <w:rPr>
          <w:sz w:val="20"/>
        </w:rPr>
        <w:t>En relación con los candidatos descartados, la exposición resumida de las razones</w:t>
      </w:r>
      <w:r>
        <w:rPr>
          <w:spacing w:val="40"/>
          <w:sz w:val="20"/>
        </w:rPr>
        <w:t xml:space="preserve"> </w:t>
      </w:r>
      <w:r>
        <w:rPr>
          <w:sz w:val="20"/>
        </w:rPr>
        <w:t>por las que se haya desestimado su candidatura.</w:t>
      </w:r>
    </w:p>
    <w:p w:rsidR="0092635B" w:rsidRDefault="00000000">
      <w:pPr>
        <w:pStyle w:val="Prrafodelista"/>
        <w:numPr>
          <w:ilvl w:val="1"/>
          <w:numId w:val="221"/>
        </w:numPr>
        <w:tabs>
          <w:tab w:val="left" w:pos="1746"/>
        </w:tabs>
        <w:spacing w:before="1" w:line="249" w:lineRule="auto"/>
        <w:ind w:right="1102" w:firstLine="340"/>
        <w:jc w:val="both"/>
        <w:rPr>
          <w:sz w:val="20"/>
        </w:rPr>
      </w:pPr>
      <w:r>
        <w:rPr>
          <w:sz w:val="20"/>
        </w:rPr>
        <w:t>Con respecto a los licitadores excluidos del procedimiento de adjudicación, los motivos por los que no se haya admitido su oferta, incluidos, en los casos contemplados en</w:t>
      </w:r>
      <w:r>
        <w:rPr>
          <w:spacing w:val="40"/>
          <w:sz w:val="20"/>
        </w:rPr>
        <w:t xml:space="preserve"> </w:t>
      </w:r>
      <w:r>
        <w:rPr>
          <w:sz w:val="20"/>
        </w:rPr>
        <w:t>el artículo 126, apartados 7 y 8, los motivos de la decisión de no equivalencia o de la</w:t>
      </w:r>
      <w:r>
        <w:rPr>
          <w:spacing w:val="40"/>
          <w:sz w:val="20"/>
        </w:rPr>
        <w:t xml:space="preserve"> </w:t>
      </w:r>
      <w:r>
        <w:rPr>
          <w:sz w:val="20"/>
        </w:rPr>
        <w:t>decisión de que las obras, los suministros o los servicios no se ajustan a los requisitos de rendimiento o a las exigencias funcionales; y un desglose de las valoraciones asignadas a</w:t>
      </w:r>
      <w:r>
        <w:rPr>
          <w:spacing w:val="40"/>
          <w:sz w:val="20"/>
        </w:rPr>
        <w:t xml:space="preserve"> </w:t>
      </w:r>
      <w:r>
        <w:rPr>
          <w:sz w:val="20"/>
        </w:rPr>
        <w:t>los distintos licitadores, incluyendo al adjudicatario.</w:t>
      </w:r>
    </w:p>
    <w:p w:rsidR="0092635B" w:rsidRDefault="00000000">
      <w:pPr>
        <w:pStyle w:val="Prrafodelista"/>
        <w:numPr>
          <w:ilvl w:val="1"/>
          <w:numId w:val="221"/>
        </w:numPr>
        <w:tabs>
          <w:tab w:val="left" w:pos="1735"/>
        </w:tabs>
        <w:spacing w:before="5" w:line="249" w:lineRule="auto"/>
        <w:ind w:right="1102" w:firstLine="340"/>
        <w:jc w:val="both"/>
        <w:rPr>
          <w:sz w:val="20"/>
        </w:rPr>
      </w:pPr>
      <w:r>
        <w:rPr>
          <w:sz w:val="20"/>
        </w:rPr>
        <w:t xml:space="preserve">En todo caso, el nombre del adjudicatario, las características y ventajas de la proposición del adjudicatario determinantes de que haya sido seleccionada la oferta de este con preferencia respecto de las que hayan presentado los restantes licitadores cuyas ofertas hayan sido admitidas; y, en su caso, el desarrollo de las negociaciones o el diálogo con los </w:t>
      </w:r>
      <w:r>
        <w:rPr>
          <w:spacing w:val="-2"/>
          <w:sz w:val="20"/>
        </w:rPr>
        <w:t>licitadores.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6"/>
      </w:pPr>
      <w:r>
        <w:t>En la notificación se indicará el plazo en que debe procederse a la formalización del contrato conforme al apartado 3 del artículo 153 de la presente Ley.</w:t>
      </w:r>
    </w:p>
    <w:p w:rsidR="0092635B" w:rsidRDefault="00000000">
      <w:pPr>
        <w:pStyle w:val="Prrafodelista"/>
        <w:numPr>
          <w:ilvl w:val="0"/>
          <w:numId w:val="221"/>
        </w:numPr>
        <w:tabs>
          <w:tab w:val="left" w:pos="1675"/>
        </w:tabs>
        <w:spacing w:before="1" w:line="249" w:lineRule="auto"/>
        <w:ind w:right="1104" w:firstLine="340"/>
        <w:jc w:val="both"/>
        <w:rPr>
          <w:sz w:val="20"/>
        </w:rPr>
      </w:pPr>
      <w:r>
        <w:rPr>
          <w:sz w:val="20"/>
        </w:rPr>
        <w:t>La notificación se realizará por medios electrónicos de conformidad con lo establecido en la disposición adicional decimoquinta.</w:t>
      </w:r>
    </w:p>
    <w:p w:rsidR="0092635B" w:rsidRDefault="00000000">
      <w:pPr>
        <w:spacing w:before="229" w:line="249" w:lineRule="auto"/>
        <w:ind w:left="1106" w:right="1104"/>
        <w:jc w:val="both"/>
        <w:rPr>
          <w:rFonts w:ascii="Arial" w:hAnsi="Arial"/>
          <w:i/>
          <w:sz w:val="20"/>
        </w:rPr>
      </w:pPr>
      <w:bookmarkStart w:id="243" w:name="Artículo_152._Decisión_de_no_adjudicar_o"/>
      <w:bookmarkEnd w:id="243"/>
      <w:r>
        <w:rPr>
          <w:rFonts w:ascii="Arial" w:hAnsi="Arial"/>
          <w:b/>
          <w:sz w:val="20"/>
        </w:rPr>
        <w:t>Artículo 152.</w:t>
      </w:r>
      <w:r>
        <w:rPr>
          <w:rFonts w:ascii="Arial" w:hAnsi="Arial"/>
          <w:b/>
          <w:spacing w:val="40"/>
          <w:sz w:val="20"/>
        </w:rPr>
        <w:t xml:space="preserve"> </w:t>
      </w:r>
      <w:r>
        <w:rPr>
          <w:rFonts w:ascii="Arial" w:hAnsi="Arial"/>
          <w:i/>
          <w:sz w:val="20"/>
        </w:rPr>
        <w:t>Decisión de no adjudicar o celebrar el contrato y desistimiento del procedimiento de adjudicación por la Administración.</w:t>
      </w:r>
    </w:p>
    <w:p w:rsidR="0092635B" w:rsidRDefault="00000000">
      <w:pPr>
        <w:pStyle w:val="Prrafodelista"/>
        <w:numPr>
          <w:ilvl w:val="0"/>
          <w:numId w:val="220"/>
        </w:numPr>
        <w:tabs>
          <w:tab w:val="left" w:pos="1670"/>
        </w:tabs>
        <w:spacing w:before="115" w:line="249" w:lineRule="auto"/>
        <w:ind w:right="1105" w:firstLine="340"/>
        <w:jc w:val="both"/>
        <w:rPr>
          <w:sz w:val="20"/>
        </w:rPr>
      </w:pP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en</w:t>
      </w:r>
      <w:r>
        <w:rPr>
          <w:spacing w:val="-1"/>
          <w:sz w:val="20"/>
        </w:rPr>
        <w:t xml:space="preserve"> </w:t>
      </w:r>
      <w:r>
        <w:rPr>
          <w:sz w:val="20"/>
        </w:rPr>
        <w:t>que</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desista</w:t>
      </w:r>
      <w:r>
        <w:rPr>
          <w:spacing w:val="-1"/>
          <w:sz w:val="20"/>
        </w:rPr>
        <w:t xml:space="preserve"> </w:t>
      </w:r>
      <w:r>
        <w:rPr>
          <w:sz w:val="20"/>
        </w:rPr>
        <w:t>del</w:t>
      </w:r>
      <w:r>
        <w:rPr>
          <w:spacing w:val="-1"/>
          <w:sz w:val="20"/>
        </w:rPr>
        <w:t xml:space="preserve"> </w:t>
      </w:r>
      <w:r>
        <w:rPr>
          <w:sz w:val="20"/>
        </w:rPr>
        <w:t>procedimiento</w:t>
      </w:r>
      <w:r>
        <w:rPr>
          <w:spacing w:val="-1"/>
          <w:sz w:val="20"/>
        </w:rPr>
        <w:t xml:space="preserve"> </w:t>
      </w:r>
      <w:r>
        <w:rPr>
          <w:sz w:val="20"/>
        </w:rPr>
        <w:t>de</w:t>
      </w:r>
      <w:r>
        <w:rPr>
          <w:spacing w:val="-1"/>
          <w:sz w:val="20"/>
        </w:rPr>
        <w:t xml:space="preserve"> </w:t>
      </w:r>
      <w:r>
        <w:rPr>
          <w:sz w:val="20"/>
        </w:rPr>
        <w:t>adjudicación o decida no adjudicar o celebrar un contrato para el que se haya efectuado la correspondiente</w:t>
      </w:r>
      <w:r>
        <w:rPr>
          <w:spacing w:val="-2"/>
          <w:sz w:val="20"/>
        </w:rPr>
        <w:t xml:space="preserve"> </w:t>
      </w:r>
      <w:r>
        <w:rPr>
          <w:sz w:val="20"/>
        </w:rPr>
        <w:t>convocatoria,</w:t>
      </w:r>
      <w:r>
        <w:rPr>
          <w:spacing w:val="-2"/>
          <w:sz w:val="20"/>
        </w:rPr>
        <w:t xml:space="preserve"> </w:t>
      </w:r>
      <w:r>
        <w:rPr>
          <w:sz w:val="20"/>
        </w:rPr>
        <w:t>lo</w:t>
      </w:r>
      <w:r>
        <w:rPr>
          <w:spacing w:val="-2"/>
          <w:sz w:val="20"/>
        </w:rPr>
        <w:t xml:space="preserve"> </w:t>
      </w:r>
      <w:r>
        <w:rPr>
          <w:sz w:val="20"/>
        </w:rPr>
        <w:t>notificará</w:t>
      </w:r>
      <w:r>
        <w:rPr>
          <w:spacing w:val="-2"/>
          <w:sz w:val="20"/>
        </w:rPr>
        <w:t xml:space="preserve"> </w:t>
      </w:r>
      <w:r>
        <w:rPr>
          <w:sz w:val="20"/>
        </w:rPr>
        <w:t>a</w:t>
      </w:r>
      <w:r>
        <w:rPr>
          <w:spacing w:val="-2"/>
          <w:sz w:val="20"/>
        </w:rPr>
        <w:t xml:space="preserve"> </w:t>
      </w:r>
      <w:r>
        <w:rPr>
          <w:sz w:val="20"/>
        </w:rPr>
        <w:t>los</w:t>
      </w:r>
      <w:r>
        <w:rPr>
          <w:spacing w:val="-2"/>
          <w:sz w:val="20"/>
        </w:rPr>
        <w:t xml:space="preserve"> </w:t>
      </w:r>
      <w:r>
        <w:rPr>
          <w:sz w:val="20"/>
        </w:rPr>
        <w:t>candidatos</w:t>
      </w:r>
      <w:r>
        <w:rPr>
          <w:spacing w:val="-2"/>
          <w:sz w:val="20"/>
        </w:rPr>
        <w:t xml:space="preserve"> </w:t>
      </w:r>
      <w:r>
        <w:rPr>
          <w:sz w:val="20"/>
        </w:rPr>
        <w:t>o</w:t>
      </w:r>
      <w:r>
        <w:rPr>
          <w:spacing w:val="-2"/>
          <w:sz w:val="20"/>
        </w:rPr>
        <w:t xml:space="preserve"> </w:t>
      </w:r>
      <w:r>
        <w:rPr>
          <w:sz w:val="20"/>
        </w:rPr>
        <w:t>licitadores,</w:t>
      </w:r>
      <w:r>
        <w:rPr>
          <w:spacing w:val="-2"/>
          <w:sz w:val="20"/>
        </w:rPr>
        <w:t xml:space="preserve"> </w:t>
      </w:r>
      <w:r>
        <w:rPr>
          <w:sz w:val="20"/>
        </w:rPr>
        <w:t>informando</w:t>
      </w:r>
      <w:r>
        <w:rPr>
          <w:spacing w:val="-2"/>
          <w:sz w:val="20"/>
        </w:rPr>
        <w:t xml:space="preserve"> </w:t>
      </w:r>
      <w:r>
        <w:rPr>
          <w:sz w:val="20"/>
        </w:rPr>
        <w:t>también a</w:t>
      </w:r>
      <w:r>
        <w:rPr>
          <w:spacing w:val="40"/>
          <w:sz w:val="20"/>
        </w:rPr>
        <w:t xml:space="preserve"> </w:t>
      </w:r>
      <w:r>
        <w:rPr>
          <w:sz w:val="20"/>
        </w:rPr>
        <w:t>la</w:t>
      </w:r>
      <w:r>
        <w:rPr>
          <w:spacing w:val="40"/>
          <w:sz w:val="20"/>
        </w:rPr>
        <w:t xml:space="preserve"> </w:t>
      </w:r>
      <w:r>
        <w:rPr>
          <w:sz w:val="20"/>
        </w:rPr>
        <w:t>Comisión</w:t>
      </w:r>
      <w:r>
        <w:rPr>
          <w:spacing w:val="40"/>
          <w:sz w:val="20"/>
        </w:rPr>
        <w:t xml:space="preserve"> </w:t>
      </w:r>
      <w:r>
        <w:rPr>
          <w:sz w:val="20"/>
        </w:rPr>
        <w:t>Europea</w:t>
      </w:r>
      <w:r>
        <w:rPr>
          <w:spacing w:val="40"/>
          <w:sz w:val="20"/>
        </w:rPr>
        <w:t xml:space="preserve"> </w:t>
      </w:r>
      <w:r>
        <w:rPr>
          <w:sz w:val="20"/>
        </w:rPr>
        <w:t>de</w:t>
      </w:r>
      <w:r>
        <w:rPr>
          <w:spacing w:val="40"/>
          <w:sz w:val="20"/>
        </w:rPr>
        <w:t xml:space="preserve"> </w:t>
      </w:r>
      <w:r>
        <w:rPr>
          <w:sz w:val="20"/>
        </w:rPr>
        <w:t>esta</w:t>
      </w:r>
      <w:r>
        <w:rPr>
          <w:spacing w:val="40"/>
          <w:sz w:val="20"/>
        </w:rPr>
        <w:t xml:space="preserve"> </w:t>
      </w:r>
      <w:r>
        <w:rPr>
          <w:sz w:val="20"/>
        </w:rPr>
        <w:t>decisión</w:t>
      </w:r>
      <w:r>
        <w:rPr>
          <w:spacing w:val="40"/>
          <w:sz w:val="20"/>
        </w:rPr>
        <w:t xml:space="preserve"> </w:t>
      </w:r>
      <w:r>
        <w:rPr>
          <w:sz w:val="20"/>
        </w:rPr>
        <w:t>cuando</w:t>
      </w:r>
      <w:r>
        <w:rPr>
          <w:spacing w:val="40"/>
          <w:sz w:val="20"/>
        </w:rPr>
        <w:t xml:space="preserve"> </w:t>
      </w:r>
      <w:r>
        <w:rPr>
          <w:sz w:val="20"/>
        </w:rPr>
        <w:t>el</w:t>
      </w:r>
      <w:r>
        <w:rPr>
          <w:spacing w:val="40"/>
          <w:sz w:val="20"/>
        </w:rPr>
        <w:t xml:space="preserve"> </w:t>
      </w:r>
      <w:r>
        <w:rPr>
          <w:sz w:val="20"/>
        </w:rPr>
        <w:t>contrato</w:t>
      </w:r>
      <w:r>
        <w:rPr>
          <w:spacing w:val="40"/>
          <w:sz w:val="20"/>
        </w:rPr>
        <w:t xml:space="preserve"> </w:t>
      </w:r>
      <w:r>
        <w:rPr>
          <w:sz w:val="20"/>
        </w:rPr>
        <w:t>haya</w:t>
      </w:r>
      <w:r>
        <w:rPr>
          <w:spacing w:val="40"/>
          <w:sz w:val="20"/>
        </w:rPr>
        <w:t xml:space="preserve"> </w:t>
      </w:r>
      <w:r>
        <w:rPr>
          <w:sz w:val="20"/>
        </w:rPr>
        <w:t>sido</w:t>
      </w:r>
      <w:r>
        <w:rPr>
          <w:spacing w:val="40"/>
          <w:sz w:val="20"/>
        </w:rPr>
        <w:t xml:space="preserve"> </w:t>
      </w:r>
      <w:r>
        <w:rPr>
          <w:sz w:val="20"/>
        </w:rPr>
        <w:t>anunciado</w:t>
      </w:r>
      <w:r>
        <w:rPr>
          <w:spacing w:val="40"/>
          <w:sz w:val="20"/>
        </w:rPr>
        <w:t xml:space="preserve"> </w:t>
      </w:r>
      <w:r>
        <w:rPr>
          <w:sz w:val="20"/>
        </w:rPr>
        <w:t>en</w:t>
      </w:r>
      <w:r>
        <w:rPr>
          <w:spacing w:val="40"/>
          <w:sz w:val="20"/>
        </w:rPr>
        <w:t xml:space="preserve"> </w:t>
      </w:r>
      <w:r>
        <w:rPr>
          <w:sz w:val="20"/>
        </w:rPr>
        <w:t>el</w:t>
      </w:r>
    </w:p>
    <w:p w:rsidR="0092635B" w:rsidRDefault="00000000">
      <w:pPr>
        <w:pStyle w:val="Textoindependiente"/>
        <w:spacing w:before="3"/>
        <w:ind w:firstLine="0"/>
      </w:pPr>
      <w:r>
        <w:t>«Diario</w:t>
      </w:r>
      <w:r>
        <w:rPr>
          <w:spacing w:val="-4"/>
        </w:rPr>
        <w:t xml:space="preserve"> </w:t>
      </w:r>
      <w:r>
        <w:t>Oficial</w:t>
      </w:r>
      <w:r>
        <w:rPr>
          <w:spacing w:val="-4"/>
        </w:rPr>
        <w:t xml:space="preserve"> </w:t>
      </w:r>
      <w:r>
        <w:t>de</w:t>
      </w:r>
      <w:r>
        <w:rPr>
          <w:spacing w:val="-3"/>
        </w:rPr>
        <w:t xml:space="preserve"> </w:t>
      </w:r>
      <w:r>
        <w:t>la</w:t>
      </w:r>
      <w:r>
        <w:rPr>
          <w:spacing w:val="-4"/>
        </w:rPr>
        <w:t xml:space="preserve"> </w:t>
      </w:r>
      <w:r>
        <w:t>Unión</w:t>
      </w:r>
      <w:r>
        <w:rPr>
          <w:spacing w:val="-3"/>
        </w:rPr>
        <w:t xml:space="preserve"> </w:t>
      </w:r>
      <w:r>
        <w:rPr>
          <w:spacing w:val="-2"/>
        </w:rPr>
        <w:t>Europea».</w:t>
      </w:r>
    </w:p>
    <w:p w:rsidR="0092635B" w:rsidRDefault="00000000">
      <w:pPr>
        <w:pStyle w:val="Prrafodelista"/>
        <w:numPr>
          <w:ilvl w:val="0"/>
          <w:numId w:val="220"/>
        </w:numPr>
        <w:tabs>
          <w:tab w:val="left" w:pos="1675"/>
        </w:tabs>
        <w:spacing w:before="10" w:line="249" w:lineRule="auto"/>
        <w:ind w:right="1104" w:firstLine="340"/>
        <w:jc w:val="both"/>
        <w:rPr>
          <w:sz w:val="20"/>
        </w:rPr>
      </w:pPr>
      <w:r>
        <w:rPr>
          <w:sz w:val="20"/>
        </w:rPr>
        <w:t xml:space="preserve">La decisión de no adjudicar o celebrar el contrato o el desistimiento del procedimiento podrán acordarse por el órgano de contratación antes de la formalización. En estos casos se compensará a los candidatos aptos para participar en la licitación o licitadores por los gastos en que hubiesen incurrido en la forma prevista en el anuncio o en el pliego o, en su defecto, de acuerdo con los criterios de valoración empleados para el cálculo de la responsabilidad patrimonial de la Administración, a través de los trámites del procedimiento administrativo </w:t>
      </w:r>
      <w:r>
        <w:rPr>
          <w:spacing w:val="-2"/>
          <w:sz w:val="20"/>
        </w:rPr>
        <w:t>común.</w:t>
      </w:r>
    </w:p>
    <w:p w:rsidR="0092635B" w:rsidRDefault="00000000">
      <w:pPr>
        <w:pStyle w:val="Prrafodelista"/>
        <w:numPr>
          <w:ilvl w:val="0"/>
          <w:numId w:val="220"/>
        </w:numPr>
        <w:tabs>
          <w:tab w:val="left" w:pos="1671"/>
        </w:tabs>
        <w:spacing w:before="6" w:line="249" w:lineRule="auto"/>
        <w:ind w:right="1106" w:firstLine="340"/>
        <w:jc w:val="both"/>
        <w:rPr>
          <w:sz w:val="20"/>
        </w:rPr>
      </w:pPr>
      <w:r>
        <w:rPr>
          <w:sz w:val="20"/>
        </w:rPr>
        <w:t>Solo podrá adoptarse la decisión de no adjudicar o celebrar el contrato por razones de interés público debidamente justificadas en el expediente. En este caso, no podrá promoverse una nueva licitación de su objeto en tanto subsistan las razones alegadas para fundamentar la decisión.</w:t>
      </w:r>
    </w:p>
    <w:p w:rsidR="0092635B" w:rsidRDefault="00000000">
      <w:pPr>
        <w:pStyle w:val="Prrafodelista"/>
        <w:numPr>
          <w:ilvl w:val="0"/>
          <w:numId w:val="220"/>
        </w:numPr>
        <w:tabs>
          <w:tab w:val="left" w:pos="1746"/>
        </w:tabs>
        <w:spacing w:before="3" w:line="249" w:lineRule="auto"/>
        <w:ind w:right="1104" w:firstLine="340"/>
        <w:jc w:val="both"/>
        <w:rPr>
          <w:sz w:val="20"/>
        </w:rPr>
      </w:pPr>
      <w:r>
        <w:rPr>
          <w:sz w:val="20"/>
        </w:rPr>
        <w:t>El desistimiento del procedimiento deberá estar fundado en una infracción no subsanable de las normas de preparación del contrato o de las reguladoras del procedimiento de adjudicación, debiendo justificarse en el expediente la concurrencia de la causa. El desistimiento no impedirá la iniciación inmediata de un procedimiento de licitación.</w:t>
      </w:r>
    </w:p>
    <w:p w:rsidR="0092635B" w:rsidRDefault="00000000">
      <w:pPr>
        <w:pStyle w:val="Prrafodelista"/>
        <w:numPr>
          <w:ilvl w:val="0"/>
          <w:numId w:val="220"/>
        </w:numPr>
        <w:tabs>
          <w:tab w:val="left" w:pos="1676"/>
        </w:tabs>
        <w:spacing w:before="3" w:line="249" w:lineRule="auto"/>
        <w:ind w:firstLine="340"/>
        <w:jc w:val="both"/>
        <w:rPr>
          <w:sz w:val="20"/>
        </w:rPr>
      </w:pPr>
      <w:r>
        <w:rPr>
          <w:sz w:val="20"/>
        </w:rPr>
        <w:t>En el supuesto de acuerdos marco, el desistimiento y la decisión de no adjudicarlos o celebrarlos corresponde al órgano de contratación que inició el procedimiento para su celebración. En el caso de contratos basados en un acuerdo marco y en el de contratos específicos en el marco de un sistema dinámico de adquisición, el desistimiento y la decisión de no adjudicarlos o celebrarlo se realizará por el órgano de contratación de oficio, o a propuesta del organismo destinatario de la prestación.</w:t>
      </w:r>
    </w:p>
    <w:p w:rsidR="0092635B" w:rsidRDefault="0092635B">
      <w:pPr>
        <w:pStyle w:val="Textoindependiente"/>
        <w:ind w:left="0" w:firstLine="0"/>
        <w:jc w:val="left"/>
      </w:pPr>
    </w:p>
    <w:p w:rsidR="0092635B" w:rsidRDefault="00000000">
      <w:pPr>
        <w:ind w:left="1106"/>
        <w:jc w:val="both"/>
        <w:rPr>
          <w:rFonts w:ascii="Arial" w:hAnsi="Arial"/>
          <w:i/>
          <w:sz w:val="20"/>
        </w:rPr>
      </w:pPr>
      <w:bookmarkStart w:id="244" w:name="Artículo_153._Formalización_de_los_contr"/>
      <w:bookmarkEnd w:id="244"/>
      <w:r>
        <w:rPr>
          <w:rFonts w:ascii="Arial" w:hAnsi="Arial"/>
          <w:b/>
          <w:sz w:val="20"/>
        </w:rPr>
        <w:t>Artículo</w:t>
      </w:r>
      <w:r>
        <w:rPr>
          <w:rFonts w:ascii="Arial" w:hAnsi="Arial"/>
          <w:b/>
          <w:spacing w:val="-3"/>
          <w:sz w:val="20"/>
        </w:rPr>
        <w:t xml:space="preserve"> </w:t>
      </w:r>
      <w:r>
        <w:rPr>
          <w:rFonts w:ascii="Arial" w:hAnsi="Arial"/>
          <w:b/>
          <w:sz w:val="20"/>
        </w:rPr>
        <w:t>153.</w:t>
      </w:r>
      <w:r>
        <w:rPr>
          <w:rFonts w:ascii="Arial" w:hAnsi="Arial"/>
          <w:b/>
          <w:spacing w:val="50"/>
          <w:sz w:val="20"/>
        </w:rPr>
        <w:t xml:space="preserve"> </w:t>
      </w:r>
      <w:r>
        <w:rPr>
          <w:rFonts w:ascii="Arial" w:hAnsi="Arial"/>
          <w:i/>
          <w:sz w:val="20"/>
        </w:rPr>
        <w:t>Formalización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contratos.</w:t>
      </w:r>
    </w:p>
    <w:p w:rsidR="0092635B" w:rsidRDefault="00000000">
      <w:pPr>
        <w:pStyle w:val="Prrafodelista"/>
        <w:numPr>
          <w:ilvl w:val="0"/>
          <w:numId w:val="219"/>
        </w:numPr>
        <w:tabs>
          <w:tab w:val="left" w:pos="1706"/>
        </w:tabs>
        <w:spacing w:before="123" w:line="249" w:lineRule="auto"/>
        <w:ind w:firstLine="340"/>
        <w:jc w:val="both"/>
        <w:rPr>
          <w:sz w:val="20"/>
        </w:rPr>
      </w:pPr>
      <w:r>
        <w:rPr>
          <w:sz w:val="20"/>
        </w:rPr>
        <w:t xml:space="preserve">Los contratos que celebren las Administraciones Públicas deberán formalizarse en documento administrativo que se ajuste con exactitud a las condiciones de la licitación, constituyendo dicho documento título suficiente para acceder a cualquier registro público. No obstante, el contratista podrá solicitar que el contrato se eleve a escritura pública, corriendo de su cargo los correspondientes gastos. En ningún caso se podrán incluir en el documento en que se formalice el contrato cláusulas que impliquen alteración de los términos de la </w:t>
      </w:r>
      <w:r>
        <w:rPr>
          <w:spacing w:val="-2"/>
          <w:sz w:val="20"/>
        </w:rPr>
        <w:t>adjudicación.</w:t>
      </w:r>
    </w:p>
    <w:p w:rsidR="0092635B" w:rsidRDefault="00000000">
      <w:pPr>
        <w:pStyle w:val="Textoindependiente"/>
        <w:spacing w:before="6" w:line="249" w:lineRule="auto"/>
        <w:ind w:right="1105"/>
      </w:pPr>
      <w:r>
        <w:t>En los contratos basados en un acuerdo marco o en los contratos específicos dentro de un sistema dinámico de adquisición, no resultará necesaria la formalización del contrato.</w:t>
      </w:r>
    </w:p>
    <w:p w:rsidR="0092635B" w:rsidRDefault="00000000">
      <w:pPr>
        <w:pStyle w:val="Prrafodelista"/>
        <w:numPr>
          <w:ilvl w:val="0"/>
          <w:numId w:val="219"/>
        </w:numPr>
        <w:tabs>
          <w:tab w:val="left" w:pos="1705"/>
        </w:tabs>
        <w:spacing w:line="249" w:lineRule="auto"/>
        <w:ind w:right="1104" w:firstLine="340"/>
        <w:jc w:val="both"/>
        <w:rPr>
          <w:sz w:val="20"/>
        </w:rPr>
      </w:pPr>
      <w:r>
        <w:rPr>
          <w:sz w:val="20"/>
        </w:rPr>
        <w:t>En el caso de los contratos menores definidos en el artículo 118 se acreditará su existencia con los documentos a los que se refiere dicho artículo.</w:t>
      </w:r>
    </w:p>
    <w:p w:rsidR="0092635B" w:rsidRDefault="00000000">
      <w:pPr>
        <w:pStyle w:val="Prrafodelista"/>
        <w:numPr>
          <w:ilvl w:val="0"/>
          <w:numId w:val="219"/>
        </w:numPr>
        <w:tabs>
          <w:tab w:val="left" w:pos="1677"/>
        </w:tabs>
        <w:spacing w:before="1" w:line="249" w:lineRule="auto"/>
        <w:ind w:firstLine="340"/>
        <w:jc w:val="both"/>
        <w:rPr>
          <w:sz w:val="20"/>
        </w:rPr>
      </w:pPr>
      <w:r>
        <w:rPr>
          <w:sz w:val="20"/>
        </w:rPr>
        <w:t>Si el contrato es susceptible de recurso especial en materia de contratación conforme al artículo 44, la formalización no podrá efectuarse antes de que transcurran quince días hábiles desde que se remita la notificación de la adjudicación a los licitadores y candidatos. Las Comunidades Autónomas podrán incrementar este plazo, sin que exceda de un mes.</w:t>
      </w:r>
    </w:p>
    <w:p w:rsidR="0092635B" w:rsidRDefault="00000000">
      <w:pPr>
        <w:pStyle w:val="Textoindependiente"/>
        <w:spacing w:before="4" w:line="249" w:lineRule="auto"/>
        <w:ind w:right="1105"/>
      </w:pPr>
      <w:r>
        <w:t>Los servicios dependientes del órgano de contratación requerirán al adjudicatario para que formalice el contrato en plazo no superior a cinco días a contar desde el siguiente a aquel en que hubiera recibido el requerimiento, una vez transcurrido el plazo previsto en el párrafo anterior sin que se hubiera interpuesto recurso que lleve aparejada la suspensión de la formalización del contrato. De igual forma procederá cuando el órgano competente para la resolución del recurso hubiera levantado la suspensión.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En los restantes casos, la formalización del contrato deberá efectuarse no más tarde de los quince días hábiles siguientes a aquel en que se realice la notificación de la adjudicación a los licitadores y candidatos en la forma prevista en el artículo 151.</w:t>
      </w:r>
    </w:p>
    <w:p w:rsidR="0092635B" w:rsidRDefault="00000000">
      <w:pPr>
        <w:pStyle w:val="Prrafodelista"/>
        <w:numPr>
          <w:ilvl w:val="0"/>
          <w:numId w:val="219"/>
        </w:numPr>
        <w:tabs>
          <w:tab w:val="left" w:pos="1682"/>
        </w:tabs>
        <w:spacing w:line="249" w:lineRule="auto"/>
        <w:ind w:firstLine="340"/>
        <w:jc w:val="both"/>
        <w:rPr>
          <w:sz w:val="20"/>
        </w:rPr>
      </w:pPr>
      <w:r>
        <w:rPr>
          <w:sz w:val="20"/>
        </w:rPr>
        <w:t>Cuando por causas imputables al adjudicatario no se hubiese formalizado el contrato dentro del plazo indicado se le exigirá el importe del 3 por ciento del presupuesto base de licitación, IVA excluido, en concepto de penalidad, que se hará efectivo en primer lugar</w:t>
      </w:r>
      <w:r>
        <w:rPr>
          <w:spacing w:val="40"/>
          <w:sz w:val="20"/>
        </w:rPr>
        <w:t xml:space="preserve"> </w:t>
      </w:r>
      <w:r>
        <w:rPr>
          <w:sz w:val="20"/>
        </w:rPr>
        <w:t>contra la garantía definitiva, si se hubiera constituido, sin perjuicio de lo establecido en la</w:t>
      </w:r>
      <w:r>
        <w:rPr>
          <w:spacing w:val="40"/>
          <w:sz w:val="20"/>
        </w:rPr>
        <w:t xml:space="preserve"> </w:t>
      </w:r>
      <w:r>
        <w:rPr>
          <w:sz w:val="20"/>
        </w:rPr>
        <w:t>letra b) del apartado 2 del artículo 71.</w:t>
      </w:r>
    </w:p>
    <w:p w:rsidR="0092635B" w:rsidRDefault="00000000">
      <w:pPr>
        <w:pStyle w:val="Textoindependiente"/>
        <w:spacing w:before="4" w:line="249" w:lineRule="auto"/>
        <w:ind w:right="1105"/>
      </w:pPr>
      <w:r>
        <w:t>En este caso, el contrato se adjudicará al siguiente licitador por el orden en que hubieran quedado clasificadas las ofertas, previa presentación de la documentación establecida en el apartado 2 del artículo 150 de la presente Ley, resultando de aplicación los plazos establecidos en el apartado anterior.</w:t>
      </w:r>
    </w:p>
    <w:p w:rsidR="0092635B" w:rsidRDefault="00000000">
      <w:pPr>
        <w:pStyle w:val="Prrafodelista"/>
        <w:numPr>
          <w:ilvl w:val="0"/>
          <w:numId w:val="219"/>
        </w:numPr>
        <w:tabs>
          <w:tab w:val="left" w:pos="1730"/>
        </w:tabs>
        <w:spacing w:before="3" w:line="249" w:lineRule="auto"/>
        <w:ind w:right="1104" w:firstLine="340"/>
        <w:jc w:val="both"/>
        <w:rPr>
          <w:sz w:val="20"/>
        </w:rPr>
      </w:pPr>
      <w:r>
        <w:rPr>
          <w:sz w:val="20"/>
        </w:rPr>
        <w:t>Si las causas de la no formalización fueren imputables a la Administración, se indemnizará al contratista de los daños y perjuicios que la demora le pudiera ocasionar.</w:t>
      </w:r>
    </w:p>
    <w:p w:rsidR="0092635B" w:rsidRDefault="00000000">
      <w:pPr>
        <w:pStyle w:val="Prrafodelista"/>
        <w:numPr>
          <w:ilvl w:val="0"/>
          <w:numId w:val="219"/>
        </w:numPr>
        <w:tabs>
          <w:tab w:val="left" w:pos="1729"/>
        </w:tabs>
        <w:spacing w:line="249" w:lineRule="auto"/>
        <w:ind w:firstLine="340"/>
        <w:jc w:val="both"/>
        <w:rPr>
          <w:sz w:val="20"/>
        </w:rPr>
      </w:pPr>
      <w:r>
        <w:rPr>
          <w:sz w:val="20"/>
        </w:rPr>
        <w:t>Sin perjuicio de lo establecido en los artículos 36.1 y 131.3 para los contratos menores, y en el artículo 36.3 para los contratos basados en un acuerdo marco y los contratos específicos en el marco de un sistema dinámico de adquisición, y salvo que la tramitación</w:t>
      </w:r>
      <w:r>
        <w:rPr>
          <w:spacing w:val="-2"/>
          <w:sz w:val="20"/>
        </w:rPr>
        <w:t xml:space="preserve"> </w:t>
      </w:r>
      <w:r>
        <w:rPr>
          <w:sz w:val="20"/>
        </w:rPr>
        <w:t>del</w:t>
      </w:r>
      <w:r>
        <w:rPr>
          <w:spacing w:val="-2"/>
          <w:sz w:val="20"/>
        </w:rPr>
        <w:t xml:space="preserve"> </w:t>
      </w:r>
      <w:r>
        <w:rPr>
          <w:sz w:val="20"/>
        </w:rPr>
        <w:t>expediente</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sea</w:t>
      </w:r>
      <w:r>
        <w:rPr>
          <w:spacing w:val="-2"/>
          <w:sz w:val="20"/>
        </w:rPr>
        <w:t xml:space="preserve"> </w:t>
      </w:r>
      <w:r>
        <w:rPr>
          <w:sz w:val="20"/>
        </w:rPr>
        <w:t>por</w:t>
      </w:r>
      <w:r>
        <w:rPr>
          <w:spacing w:val="-2"/>
          <w:sz w:val="20"/>
        </w:rPr>
        <w:t xml:space="preserve"> </w:t>
      </w:r>
      <w:r>
        <w:rPr>
          <w:sz w:val="20"/>
        </w:rPr>
        <w:t>emergencia</w:t>
      </w:r>
      <w:r>
        <w:rPr>
          <w:spacing w:val="-2"/>
          <w:sz w:val="20"/>
        </w:rPr>
        <w:t xml:space="preserve"> </w:t>
      </w:r>
      <w:r>
        <w:rPr>
          <w:sz w:val="20"/>
        </w:rPr>
        <w:t>de</w:t>
      </w:r>
      <w:r>
        <w:rPr>
          <w:spacing w:val="-2"/>
          <w:sz w:val="20"/>
        </w:rPr>
        <w:t xml:space="preserve"> </w:t>
      </w:r>
      <w:r>
        <w:rPr>
          <w:sz w:val="20"/>
        </w:rPr>
        <w:t>acuerdo</w:t>
      </w:r>
      <w:r>
        <w:rPr>
          <w:spacing w:val="-2"/>
          <w:sz w:val="20"/>
        </w:rPr>
        <w:t xml:space="preserve"> </w:t>
      </w:r>
      <w:r>
        <w:rPr>
          <w:sz w:val="20"/>
        </w:rPr>
        <w:t>con</w:t>
      </w:r>
      <w:r>
        <w:rPr>
          <w:spacing w:val="-2"/>
          <w:sz w:val="20"/>
        </w:rPr>
        <w:t xml:space="preserve"> </w:t>
      </w:r>
      <w:r>
        <w:rPr>
          <w:sz w:val="20"/>
        </w:rPr>
        <w:t>lo</w:t>
      </w:r>
      <w:r>
        <w:rPr>
          <w:spacing w:val="-2"/>
          <w:sz w:val="20"/>
        </w:rPr>
        <w:t xml:space="preserve"> </w:t>
      </w:r>
      <w:r>
        <w:rPr>
          <w:sz w:val="20"/>
        </w:rPr>
        <w:t>previsto</w:t>
      </w:r>
      <w:r>
        <w:rPr>
          <w:spacing w:val="-2"/>
          <w:sz w:val="20"/>
        </w:rPr>
        <w:t xml:space="preserve"> </w:t>
      </w:r>
      <w:r>
        <w:rPr>
          <w:sz w:val="20"/>
        </w:rPr>
        <w:t xml:space="preserve">en el artículo 120, no podrá procederse a la ejecución del contrato con carácter previo a su </w:t>
      </w:r>
      <w:r>
        <w:rPr>
          <w:spacing w:val="-2"/>
          <w:sz w:val="20"/>
        </w:rPr>
        <w:t>formalización.</w:t>
      </w:r>
    </w:p>
    <w:p w:rsidR="0092635B" w:rsidRDefault="0092635B">
      <w:pPr>
        <w:pStyle w:val="Textoindependiente"/>
        <w:ind w:left="0" w:firstLine="0"/>
        <w:jc w:val="left"/>
      </w:pPr>
    </w:p>
    <w:p w:rsidR="0092635B" w:rsidRDefault="00000000">
      <w:pPr>
        <w:ind w:left="1106"/>
        <w:jc w:val="both"/>
        <w:rPr>
          <w:rFonts w:ascii="Arial" w:hAnsi="Arial"/>
          <w:i/>
          <w:sz w:val="20"/>
        </w:rPr>
      </w:pPr>
      <w:bookmarkStart w:id="245" w:name="Artículo_154._Anuncio_de_formalización_d"/>
      <w:bookmarkEnd w:id="245"/>
      <w:r>
        <w:rPr>
          <w:rFonts w:ascii="Arial" w:hAnsi="Arial"/>
          <w:b/>
          <w:sz w:val="20"/>
        </w:rPr>
        <w:t>Artículo</w:t>
      </w:r>
      <w:r>
        <w:rPr>
          <w:rFonts w:ascii="Arial" w:hAnsi="Arial"/>
          <w:b/>
          <w:spacing w:val="-3"/>
          <w:sz w:val="20"/>
        </w:rPr>
        <w:t xml:space="preserve"> </w:t>
      </w:r>
      <w:r>
        <w:rPr>
          <w:rFonts w:ascii="Arial" w:hAnsi="Arial"/>
          <w:b/>
          <w:sz w:val="20"/>
        </w:rPr>
        <w:t>154.</w:t>
      </w:r>
      <w:r>
        <w:rPr>
          <w:rFonts w:ascii="Arial" w:hAnsi="Arial"/>
          <w:b/>
          <w:spacing w:val="49"/>
          <w:sz w:val="20"/>
        </w:rPr>
        <w:t xml:space="preserve"> </w:t>
      </w:r>
      <w:r>
        <w:rPr>
          <w:rFonts w:ascii="Arial" w:hAnsi="Arial"/>
          <w:i/>
          <w:sz w:val="20"/>
        </w:rPr>
        <w:t>Anuncio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formalización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2"/>
          <w:sz w:val="20"/>
        </w:rPr>
        <w:t xml:space="preserve"> contratos.</w:t>
      </w:r>
    </w:p>
    <w:p w:rsidR="0092635B" w:rsidRDefault="00000000">
      <w:pPr>
        <w:pStyle w:val="Prrafodelista"/>
        <w:numPr>
          <w:ilvl w:val="0"/>
          <w:numId w:val="218"/>
        </w:numPr>
        <w:tabs>
          <w:tab w:val="left" w:pos="1714"/>
        </w:tabs>
        <w:spacing w:before="123" w:line="249" w:lineRule="auto"/>
        <w:ind w:right="1104" w:firstLine="340"/>
        <w:jc w:val="both"/>
        <w:rPr>
          <w:sz w:val="20"/>
        </w:rPr>
      </w:pPr>
      <w:r>
        <w:rPr>
          <w:sz w:val="20"/>
        </w:rPr>
        <w:t>La formalización de los contratos deberá publicarse, junto con el correspondiente contrato, en un plazo no superior a quince días tras el perfeccionamiento del contrato en el perfil de contratante del órgano de contratación. Cuando el contrato esté sujeto a regulación armonizada, el anuncio de formalización deberá publicarse, además, en el «Diario Oficial de la Unión Europea».</w:t>
      </w:r>
    </w:p>
    <w:p w:rsidR="0092635B" w:rsidRDefault="00000000">
      <w:pPr>
        <w:pStyle w:val="Prrafodelista"/>
        <w:numPr>
          <w:ilvl w:val="0"/>
          <w:numId w:val="218"/>
        </w:numPr>
        <w:tabs>
          <w:tab w:val="left" w:pos="1719"/>
        </w:tabs>
        <w:spacing w:before="4" w:line="249" w:lineRule="auto"/>
        <w:ind w:firstLine="340"/>
        <w:jc w:val="both"/>
        <w:rPr>
          <w:sz w:val="20"/>
        </w:rPr>
      </w:pPr>
      <w:r>
        <w:rPr>
          <w:sz w:val="20"/>
        </w:rPr>
        <w:t>En los contratos celebrados por la Administración General del Estado, o por las entidades vinculadas a la misma que gocen de la naturaleza de Administraciones Públicas el anuncio de formalización se publicará además, en el plazo señalado en el apartado anterior, en el «Boletín Oficial del Estado».</w:t>
      </w:r>
    </w:p>
    <w:p w:rsidR="0092635B" w:rsidRDefault="00000000">
      <w:pPr>
        <w:pStyle w:val="Prrafodelista"/>
        <w:numPr>
          <w:ilvl w:val="0"/>
          <w:numId w:val="218"/>
        </w:numPr>
        <w:tabs>
          <w:tab w:val="left" w:pos="1703"/>
        </w:tabs>
        <w:spacing w:before="4"/>
        <w:ind w:left="1703" w:right="0" w:hanging="257"/>
        <w:jc w:val="both"/>
        <w:rPr>
          <w:sz w:val="20"/>
        </w:rPr>
      </w:pPr>
      <w:r>
        <w:rPr>
          <w:sz w:val="20"/>
        </w:rPr>
        <w:t>El</w:t>
      </w:r>
      <w:r>
        <w:rPr>
          <w:spacing w:val="29"/>
          <w:sz w:val="20"/>
        </w:rPr>
        <w:t xml:space="preserve"> </w:t>
      </w:r>
      <w:r>
        <w:rPr>
          <w:sz w:val="20"/>
        </w:rPr>
        <w:t>órgano</w:t>
      </w:r>
      <w:r>
        <w:rPr>
          <w:spacing w:val="32"/>
          <w:sz w:val="20"/>
        </w:rPr>
        <w:t xml:space="preserve"> </w:t>
      </w:r>
      <w:r>
        <w:rPr>
          <w:sz w:val="20"/>
        </w:rPr>
        <w:t>de</w:t>
      </w:r>
      <w:r>
        <w:rPr>
          <w:spacing w:val="31"/>
          <w:sz w:val="20"/>
        </w:rPr>
        <w:t xml:space="preserve"> </w:t>
      </w:r>
      <w:r>
        <w:rPr>
          <w:sz w:val="20"/>
        </w:rPr>
        <w:t>contratación,</w:t>
      </w:r>
      <w:r>
        <w:rPr>
          <w:spacing w:val="32"/>
          <w:sz w:val="20"/>
        </w:rPr>
        <w:t xml:space="preserve"> </w:t>
      </w:r>
      <w:r>
        <w:rPr>
          <w:sz w:val="20"/>
        </w:rPr>
        <w:t>cuando</w:t>
      </w:r>
      <w:r>
        <w:rPr>
          <w:spacing w:val="31"/>
          <w:sz w:val="20"/>
        </w:rPr>
        <w:t xml:space="preserve"> </w:t>
      </w:r>
      <w:r>
        <w:rPr>
          <w:sz w:val="20"/>
        </w:rPr>
        <w:t>proceda,</w:t>
      </w:r>
      <w:r>
        <w:rPr>
          <w:spacing w:val="32"/>
          <w:sz w:val="20"/>
        </w:rPr>
        <w:t xml:space="preserve"> </w:t>
      </w:r>
      <w:r>
        <w:rPr>
          <w:sz w:val="20"/>
        </w:rPr>
        <w:t>enviará</w:t>
      </w:r>
      <w:r>
        <w:rPr>
          <w:spacing w:val="31"/>
          <w:sz w:val="20"/>
        </w:rPr>
        <w:t xml:space="preserve"> </w:t>
      </w:r>
      <w:r>
        <w:rPr>
          <w:sz w:val="20"/>
        </w:rPr>
        <w:t>el</w:t>
      </w:r>
      <w:r>
        <w:rPr>
          <w:spacing w:val="32"/>
          <w:sz w:val="20"/>
        </w:rPr>
        <w:t xml:space="preserve"> </w:t>
      </w:r>
      <w:r>
        <w:rPr>
          <w:sz w:val="20"/>
        </w:rPr>
        <w:t>anuncio</w:t>
      </w:r>
      <w:r>
        <w:rPr>
          <w:spacing w:val="31"/>
          <w:sz w:val="20"/>
        </w:rPr>
        <w:t xml:space="preserve"> </w:t>
      </w:r>
      <w:r>
        <w:rPr>
          <w:sz w:val="20"/>
        </w:rPr>
        <w:t>de</w:t>
      </w:r>
      <w:r>
        <w:rPr>
          <w:spacing w:val="32"/>
          <w:sz w:val="20"/>
        </w:rPr>
        <w:t xml:space="preserve"> </w:t>
      </w:r>
      <w:r>
        <w:rPr>
          <w:sz w:val="20"/>
        </w:rPr>
        <w:t>formalización</w:t>
      </w:r>
      <w:r>
        <w:rPr>
          <w:spacing w:val="32"/>
          <w:sz w:val="20"/>
        </w:rPr>
        <w:t xml:space="preserve"> </w:t>
      </w:r>
      <w:r>
        <w:rPr>
          <w:spacing w:val="-5"/>
          <w:sz w:val="20"/>
        </w:rPr>
        <w:t>al</w:t>
      </w:r>
    </w:p>
    <w:p w:rsidR="0092635B" w:rsidRDefault="00000000">
      <w:pPr>
        <w:pStyle w:val="Textoindependiente"/>
        <w:spacing w:before="10" w:line="249" w:lineRule="auto"/>
        <w:ind w:right="1106" w:firstLine="0"/>
      </w:pPr>
      <w:r>
        <w:t xml:space="preserve">«Diario Oficial de la Unión Europea» a más tardar 10 días después de la formalización del </w:t>
      </w:r>
      <w:r>
        <w:rPr>
          <w:spacing w:val="-2"/>
        </w:rPr>
        <w:t>contrato.</w:t>
      </w:r>
    </w:p>
    <w:p w:rsidR="0092635B" w:rsidRDefault="00000000">
      <w:pPr>
        <w:pStyle w:val="Textoindependiente"/>
        <w:spacing w:before="1" w:line="249" w:lineRule="auto"/>
        <w:ind w:right="1103"/>
      </w:pPr>
      <w:r>
        <w:t>Los anuncios de formalización no se publicarán en los lugares indicados en los</w:t>
      </w:r>
      <w:r>
        <w:rPr>
          <w:spacing w:val="40"/>
        </w:rPr>
        <w:t xml:space="preserve"> </w:t>
      </w:r>
      <w:r>
        <w:t>apartados primero y segundo del presente artículo antes de su publicación en el «Diario Oficial</w:t>
      </w:r>
      <w:r>
        <w:rPr>
          <w:spacing w:val="-1"/>
        </w:rPr>
        <w:t xml:space="preserve"> </w:t>
      </w:r>
      <w:r>
        <w:t>de</w:t>
      </w:r>
      <w:r>
        <w:rPr>
          <w:spacing w:val="-1"/>
        </w:rPr>
        <w:t xml:space="preserve"> </w:t>
      </w:r>
      <w:r>
        <w:t>la</w:t>
      </w:r>
      <w:r>
        <w:rPr>
          <w:spacing w:val="-1"/>
        </w:rPr>
        <w:t xml:space="preserve"> </w:t>
      </w:r>
      <w:r>
        <w:t>Unión</w:t>
      </w:r>
      <w:r>
        <w:rPr>
          <w:spacing w:val="-1"/>
        </w:rPr>
        <w:t xml:space="preserve"> </w:t>
      </w:r>
      <w:r>
        <w:t>Europea»,</w:t>
      </w:r>
      <w:r>
        <w:rPr>
          <w:spacing w:val="-1"/>
        </w:rPr>
        <w:t xml:space="preserve"> </w:t>
      </w:r>
      <w:r>
        <w:t>en</w:t>
      </w:r>
      <w:r>
        <w:rPr>
          <w:spacing w:val="-1"/>
        </w:rPr>
        <w:t xml:space="preserve"> </w:t>
      </w:r>
      <w:r>
        <w:t>el</w:t>
      </w:r>
      <w:r>
        <w:rPr>
          <w:spacing w:val="-1"/>
        </w:rPr>
        <w:t xml:space="preserve"> </w:t>
      </w:r>
      <w:r>
        <w:t>caso</w:t>
      </w:r>
      <w:r>
        <w:rPr>
          <w:spacing w:val="-1"/>
        </w:rPr>
        <w:t xml:space="preserve"> </w:t>
      </w:r>
      <w:r>
        <w:t>en</w:t>
      </w:r>
      <w:r>
        <w:rPr>
          <w:spacing w:val="-1"/>
        </w:rPr>
        <w:t xml:space="preserve"> </w:t>
      </w:r>
      <w:r>
        <w:t>que</w:t>
      </w:r>
      <w:r>
        <w:rPr>
          <w:spacing w:val="-1"/>
        </w:rPr>
        <w:t xml:space="preserve"> </w:t>
      </w:r>
      <w:r>
        <w:t>deban</w:t>
      </w:r>
      <w:r>
        <w:rPr>
          <w:spacing w:val="-1"/>
        </w:rPr>
        <w:t xml:space="preserve"> </w:t>
      </w:r>
      <w:r>
        <w:t>ser</w:t>
      </w:r>
      <w:r>
        <w:rPr>
          <w:spacing w:val="-1"/>
        </w:rPr>
        <w:t xml:space="preserve"> </w:t>
      </w:r>
      <w:r>
        <w:t>publicados</w:t>
      </w:r>
      <w:r>
        <w:rPr>
          <w:spacing w:val="-1"/>
        </w:rPr>
        <w:t xml:space="preserve"> </w:t>
      </w:r>
      <w:r>
        <w:t>en</w:t>
      </w:r>
      <w:r>
        <w:rPr>
          <w:spacing w:val="-1"/>
        </w:rPr>
        <w:t xml:space="preserve"> </w:t>
      </w:r>
      <w:r>
        <w:t>dicho</w:t>
      </w:r>
      <w:r>
        <w:rPr>
          <w:spacing w:val="-1"/>
        </w:rPr>
        <w:t xml:space="preserve"> </w:t>
      </w:r>
      <w:r>
        <w:t>Diario</w:t>
      </w:r>
      <w:r>
        <w:rPr>
          <w:spacing w:val="-1"/>
        </w:rPr>
        <w:t xml:space="preserve"> </w:t>
      </w:r>
      <w:r>
        <w:t>Oficial, debiendo indicar la fecha de aquel envío, de la que los servicios dependientes del órgano de contratación dejarán prueba suficiente en el expediente, y no podrán contener indicaciones distintas a las incluidas en dicho anuncio. No obstante, en todo caso podrán publicarse si el órgano de contratación no ha recibido notificación de su publicación a las 48 horas de la confirmación de la recepción del anuncio enviado.</w:t>
      </w:r>
    </w:p>
    <w:p w:rsidR="0092635B" w:rsidRDefault="00000000">
      <w:pPr>
        <w:pStyle w:val="Prrafodelista"/>
        <w:numPr>
          <w:ilvl w:val="0"/>
          <w:numId w:val="218"/>
        </w:numPr>
        <w:tabs>
          <w:tab w:val="left" w:pos="1700"/>
        </w:tabs>
        <w:spacing w:before="7" w:line="249" w:lineRule="auto"/>
        <w:ind w:right="1104" w:firstLine="340"/>
        <w:jc w:val="both"/>
        <w:rPr>
          <w:sz w:val="20"/>
        </w:rPr>
      </w:pPr>
      <w:r>
        <w:rPr>
          <w:sz w:val="20"/>
        </w:rPr>
        <w:t>La adjudicación de los contratos basados en un acuerdo marco o de los contratos específicos en el marco de un sistema dinámico de adquisición, ya perfeccionados en virtud de lo establecido en el artículo 36.3, se publicará trimestralmente por el órgano de contratación dentro de los 30 días siguientes al fin de cada trimestre, en la forma prevista en el presente artículo.</w:t>
      </w:r>
    </w:p>
    <w:p w:rsidR="0092635B" w:rsidRDefault="00000000">
      <w:pPr>
        <w:pStyle w:val="Prrafodelista"/>
        <w:numPr>
          <w:ilvl w:val="0"/>
          <w:numId w:val="218"/>
        </w:numPr>
        <w:tabs>
          <w:tab w:val="left" w:pos="1671"/>
        </w:tabs>
        <w:spacing w:before="4" w:line="249" w:lineRule="auto"/>
        <w:ind w:right="1104" w:firstLine="340"/>
        <w:jc w:val="both"/>
        <w:rPr>
          <w:sz w:val="20"/>
        </w:rPr>
      </w:pPr>
      <w:r>
        <w:rPr>
          <w:sz w:val="20"/>
        </w:rPr>
        <w:t>Los contratos menores serán objeto de publicación en las condiciones establecidas en el apartado 4 del artículo 63.</w:t>
      </w:r>
    </w:p>
    <w:p w:rsidR="0092635B" w:rsidRDefault="00000000">
      <w:pPr>
        <w:pStyle w:val="Prrafodelista"/>
        <w:numPr>
          <w:ilvl w:val="0"/>
          <w:numId w:val="218"/>
        </w:numPr>
        <w:tabs>
          <w:tab w:val="left" w:pos="1684"/>
        </w:tabs>
        <w:spacing w:line="249" w:lineRule="auto"/>
        <w:ind w:right="1105" w:firstLine="340"/>
        <w:jc w:val="both"/>
        <w:rPr>
          <w:sz w:val="20"/>
        </w:rPr>
      </w:pPr>
      <w:r>
        <w:rPr>
          <w:sz w:val="20"/>
        </w:rPr>
        <w:t>Los anuncios de formalización de contratos contendrán la información recogida en el anexo III.</w:t>
      </w:r>
    </w:p>
    <w:p w:rsidR="0092635B" w:rsidRDefault="00000000">
      <w:pPr>
        <w:pStyle w:val="Prrafodelista"/>
        <w:numPr>
          <w:ilvl w:val="0"/>
          <w:numId w:val="218"/>
        </w:numPr>
        <w:tabs>
          <w:tab w:val="left" w:pos="1727"/>
        </w:tabs>
        <w:spacing w:before="1" w:line="249" w:lineRule="auto"/>
        <w:ind w:firstLine="340"/>
        <w:jc w:val="both"/>
        <w:rPr>
          <w:sz w:val="20"/>
        </w:rPr>
      </w:pPr>
      <w:r>
        <w:rPr>
          <w:sz w:val="20"/>
        </w:rPr>
        <w:t>Podrán no publicarse determinados datos relativos a la celebración del contrato cuando</w:t>
      </w:r>
      <w:r>
        <w:rPr>
          <w:spacing w:val="-3"/>
          <w:sz w:val="20"/>
        </w:rPr>
        <w:t xml:space="preserve"> </w:t>
      </w:r>
      <w:r>
        <w:rPr>
          <w:sz w:val="20"/>
        </w:rPr>
        <w:t>se</w:t>
      </w:r>
      <w:r>
        <w:rPr>
          <w:spacing w:val="-3"/>
          <w:sz w:val="20"/>
        </w:rPr>
        <w:t xml:space="preserve"> </w:t>
      </w:r>
      <w:r>
        <w:rPr>
          <w:sz w:val="20"/>
        </w:rPr>
        <w:t>considere,</w:t>
      </w:r>
      <w:r>
        <w:rPr>
          <w:spacing w:val="-3"/>
          <w:sz w:val="20"/>
        </w:rPr>
        <w:t xml:space="preserve"> </w:t>
      </w:r>
      <w:r>
        <w:rPr>
          <w:sz w:val="20"/>
        </w:rPr>
        <w:t>justificándose</w:t>
      </w:r>
      <w:r>
        <w:rPr>
          <w:spacing w:val="-3"/>
          <w:sz w:val="20"/>
        </w:rPr>
        <w:t xml:space="preserve"> </w:t>
      </w:r>
      <w:r>
        <w:rPr>
          <w:sz w:val="20"/>
        </w:rPr>
        <w:t>debidamente</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expediente,</w:t>
      </w:r>
      <w:r>
        <w:rPr>
          <w:spacing w:val="-3"/>
          <w:sz w:val="20"/>
        </w:rPr>
        <w:t xml:space="preserve"> </w:t>
      </w:r>
      <w:r>
        <w:rPr>
          <w:sz w:val="20"/>
        </w:rPr>
        <w:t>que</w:t>
      </w:r>
      <w:r>
        <w:rPr>
          <w:spacing w:val="-3"/>
          <w:sz w:val="20"/>
        </w:rPr>
        <w:t xml:space="preserve"> </w:t>
      </w:r>
      <w:r>
        <w:rPr>
          <w:sz w:val="20"/>
        </w:rPr>
        <w:t>la</w:t>
      </w:r>
      <w:r>
        <w:rPr>
          <w:spacing w:val="-3"/>
          <w:sz w:val="20"/>
        </w:rPr>
        <w:t xml:space="preserve"> </w:t>
      </w:r>
      <w:r>
        <w:rPr>
          <w:sz w:val="20"/>
        </w:rPr>
        <w:t>divulgación</w:t>
      </w:r>
      <w:r>
        <w:rPr>
          <w:spacing w:val="-3"/>
          <w:sz w:val="20"/>
        </w:rPr>
        <w:t xml:space="preserve"> </w:t>
      </w:r>
      <w:r>
        <w:rPr>
          <w:sz w:val="20"/>
        </w:rPr>
        <w:t>de</w:t>
      </w:r>
      <w:r>
        <w:rPr>
          <w:spacing w:val="-3"/>
          <w:sz w:val="20"/>
        </w:rPr>
        <w:t xml:space="preserve"> </w:t>
      </w:r>
      <w:r>
        <w:rPr>
          <w:sz w:val="20"/>
        </w:rPr>
        <w:t>esa información puede obstaculizar la aplicación de una norma, resultar contraria al interés público o perjudicar intereses comerciales legítimos de empresas públicas o privadas o la competencia leal entre ellas, o cuando se trate de contratos declarados secretos o reservados</w:t>
      </w:r>
      <w:r>
        <w:rPr>
          <w:spacing w:val="40"/>
          <w:sz w:val="20"/>
        </w:rPr>
        <w:t xml:space="preserve"> </w:t>
      </w:r>
      <w:r>
        <w:rPr>
          <w:sz w:val="20"/>
        </w:rPr>
        <w:t>o</w:t>
      </w:r>
      <w:r>
        <w:rPr>
          <w:spacing w:val="40"/>
          <w:sz w:val="20"/>
        </w:rPr>
        <w:t xml:space="preserve"> </w:t>
      </w:r>
      <w:r>
        <w:rPr>
          <w:sz w:val="20"/>
        </w:rPr>
        <w:t>cuya</w:t>
      </w:r>
      <w:r>
        <w:rPr>
          <w:spacing w:val="40"/>
          <w:sz w:val="20"/>
        </w:rPr>
        <w:t xml:space="preserve"> </w:t>
      </w:r>
      <w:r>
        <w:rPr>
          <w:sz w:val="20"/>
        </w:rPr>
        <w:t>ejecución</w:t>
      </w:r>
      <w:r>
        <w:rPr>
          <w:spacing w:val="40"/>
          <w:sz w:val="20"/>
        </w:rPr>
        <w:t xml:space="preserve"> </w:t>
      </w:r>
      <w:r>
        <w:rPr>
          <w:sz w:val="20"/>
        </w:rPr>
        <w:t>deba</w:t>
      </w:r>
      <w:r>
        <w:rPr>
          <w:spacing w:val="40"/>
          <w:sz w:val="20"/>
        </w:rPr>
        <w:t xml:space="preserve"> </w:t>
      </w:r>
      <w:r>
        <w:rPr>
          <w:sz w:val="20"/>
        </w:rPr>
        <w:t>ir</w:t>
      </w:r>
      <w:r>
        <w:rPr>
          <w:spacing w:val="40"/>
          <w:sz w:val="20"/>
        </w:rPr>
        <w:t xml:space="preserve"> </w:t>
      </w:r>
      <w:r>
        <w:rPr>
          <w:sz w:val="20"/>
        </w:rPr>
        <w:t>acompañada</w:t>
      </w:r>
      <w:r>
        <w:rPr>
          <w:spacing w:val="40"/>
          <w:sz w:val="20"/>
        </w:rPr>
        <w:t xml:space="preserve"> </w:t>
      </w:r>
      <w:r>
        <w:rPr>
          <w:sz w:val="20"/>
        </w:rPr>
        <w:t>de</w:t>
      </w:r>
      <w:r>
        <w:rPr>
          <w:spacing w:val="40"/>
          <w:sz w:val="20"/>
        </w:rPr>
        <w:t xml:space="preserve"> </w:t>
      </w:r>
      <w:r>
        <w:rPr>
          <w:sz w:val="20"/>
        </w:rPr>
        <w:t>medidas</w:t>
      </w:r>
      <w:r>
        <w:rPr>
          <w:spacing w:val="40"/>
          <w:sz w:val="20"/>
        </w:rPr>
        <w:t xml:space="preserve"> </w:t>
      </w:r>
      <w:r>
        <w:rPr>
          <w:sz w:val="20"/>
        </w:rPr>
        <w:t>de</w:t>
      </w:r>
      <w:r>
        <w:rPr>
          <w:spacing w:val="40"/>
          <w:sz w:val="20"/>
        </w:rPr>
        <w:t xml:space="preserve"> </w:t>
      </w:r>
      <w:r>
        <w:rPr>
          <w:sz w:val="20"/>
        </w:rPr>
        <w:t>seguridad</w:t>
      </w:r>
      <w:r>
        <w:rPr>
          <w:spacing w:val="40"/>
          <w:sz w:val="20"/>
        </w:rPr>
        <w:t xml:space="preserve"> </w:t>
      </w:r>
      <w:r>
        <w:rPr>
          <w:sz w:val="20"/>
        </w:rPr>
        <w:t>especiales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conforme a la legislación vigente, o cuando lo exija la protección de los intereses esenciales de</w:t>
      </w:r>
      <w:r>
        <w:rPr>
          <w:spacing w:val="-1"/>
        </w:rPr>
        <w:t xml:space="preserve"> </w:t>
      </w:r>
      <w:r>
        <w:t>la</w:t>
      </w:r>
      <w:r>
        <w:rPr>
          <w:spacing w:val="-1"/>
        </w:rPr>
        <w:t xml:space="preserve"> </w:t>
      </w:r>
      <w:r>
        <w:t>seguridad</w:t>
      </w:r>
      <w:r>
        <w:rPr>
          <w:spacing w:val="-1"/>
        </w:rPr>
        <w:t xml:space="preserve"> </w:t>
      </w:r>
      <w:r>
        <w:t>del</w:t>
      </w:r>
      <w:r>
        <w:rPr>
          <w:spacing w:val="-1"/>
        </w:rPr>
        <w:t xml:space="preserve"> </w:t>
      </w:r>
      <w:r>
        <w:t>Estado</w:t>
      </w:r>
      <w:r>
        <w:rPr>
          <w:spacing w:val="-1"/>
        </w:rPr>
        <w:t xml:space="preserve"> </w:t>
      </w:r>
      <w:r>
        <w:t>y</w:t>
      </w:r>
      <w:r>
        <w:rPr>
          <w:spacing w:val="-1"/>
        </w:rPr>
        <w:t xml:space="preserve"> </w:t>
      </w:r>
      <w:r>
        <w:t>así</w:t>
      </w:r>
      <w:r>
        <w:rPr>
          <w:spacing w:val="-1"/>
        </w:rPr>
        <w:t xml:space="preserve"> </w:t>
      </w:r>
      <w:r>
        <w:t>se</w:t>
      </w:r>
      <w:r>
        <w:rPr>
          <w:spacing w:val="-1"/>
        </w:rPr>
        <w:t xml:space="preserve"> </w:t>
      </w:r>
      <w:r>
        <w:t>haya</w:t>
      </w:r>
      <w:r>
        <w:rPr>
          <w:spacing w:val="-1"/>
        </w:rPr>
        <w:t xml:space="preserve"> </w:t>
      </w:r>
      <w:r>
        <w:t>declarado</w:t>
      </w:r>
      <w:r>
        <w:rPr>
          <w:spacing w:val="-1"/>
        </w:rPr>
        <w:t xml:space="preserve"> </w:t>
      </w:r>
      <w:r>
        <w:t>de</w:t>
      </w:r>
      <w:r>
        <w:rPr>
          <w:spacing w:val="-1"/>
        </w:rPr>
        <w:t xml:space="preserve"> </w:t>
      </w:r>
      <w:r>
        <w:t>conformidad</w:t>
      </w:r>
      <w:r>
        <w:rPr>
          <w:spacing w:val="-1"/>
        </w:rPr>
        <w:t xml:space="preserve"> </w:t>
      </w:r>
      <w:r>
        <w:t>con</w:t>
      </w:r>
      <w:r>
        <w:rPr>
          <w:spacing w:val="-1"/>
        </w:rPr>
        <w:t xml:space="preserve"> </w:t>
      </w:r>
      <w:r>
        <w:t>lo</w:t>
      </w:r>
      <w:r>
        <w:rPr>
          <w:spacing w:val="-1"/>
        </w:rPr>
        <w:t xml:space="preserve"> </w:t>
      </w:r>
      <w:r>
        <w:t>previsto</w:t>
      </w:r>
      <w:r>
        <w:rPr>
          <w:spacing w:val="-1"/>
        </w:rPr>
        <w:t xml:space="preserve"> </w:t>
      </w:r>
      <w:r>
        <w:t>en</w:t>
      </w:r>
      <w:r>
        <w:rPr>
          <w:spacing w:val="-1"/>
        </w:rPr>
        <w:t xml:space="preserve"> </w:t>
      </w:r>
      <w:r>
        <w:t>la</w:t>
      </w:r>
      <w:r>
        <w:rPr>
          <w:spacing w:val="-1"/>
        </w:rPr>
        <w:t xml:space="preserve"> </w:t>
      </w:r>
      <w:r>
        <w:t>letra</w:t>
      </w:r>
    </w:p>
    <w:p w:rsidR="0092635B" w:rsidRDefault="00000000">
      <w:pPr>
        <w:pStyle w:val="Prrafodelista"/>
        <w:numPr>
          <w:ilvl w:val="0"/>
          <w:numId w:val="217"/>
        </w:numPr>
        <w:tabs>
          <w:tab w:val="left" w:pos="1328"/>
        </w:tabs>
        <w:spacing w:before="1"/>
        <w:ind w:right="0" w:hanging="222"/>
        <w:jc w:val="both"/>
        <w:rPr>
          <w:sz w:val="20"/>
        </w:rPr>
      </w:pPr>
      <w:r>
        <w:rPr>
          <w:sz w:val="20"/>
        </w:rPr>
        <w:t>del</w:t>
      </w:r>
      <w:r>
        <w:rPr>
          <w:spacing w:val="-4"/>
          <w:sz w:val="20"/>
        </w:rPr>
        <w:t xml:space="preserve"> </w:t>
      </w:r>
      <w:r>
        <w:rPr>
          <w:sz w:val="20"/>
        </w:rPr>
        <w:t>apartado</w:t>
      </w:r>
      <w:r>
        <w:rPr>
          <w:spacing w:val="-4"/>
          <w:sz w:val="20"/>
        </w:rPr>
        <w:t xml:space="preserve"> </w:t>
      </w:r>
      <w:r>
        <w:rPr>
          <w:sz w:val="20"/>
        </w:rPr>
        <w:t>2</w:t>
      </w:r>
      <w:r>
        <w:rPr>
          <w:spacing w:val="-3"/>
          <w:sz w:val="20"/>
        </w:rPr>
        <w:t xml:space="preserve"> </w:t>
      </w:r>
      <w:r>
        <w:rPr>
          <w:sz w:val="20"/>
        </w:rPr>
        <w:t>del</w:t>
      </w:r>
      <w:r>
        <w:rPr>
          <w:spacing w:val="-4"/>
          <w:sz w:val="20"/>
        </w:rPr>
        <w:t xml:space="preserve"> </w:t>
      </w:r>
      <w:r>
        <w:rPr>
          <w:sz w:val="20"/>
        </w:rPr>
        <w:t>artículo</w:t>
      </w:r>
      <w:r>
        <w:rPr>
          <w:spacing w:val="-3"/>
          <w:sz w:val="20"/>
        </w:rPr>
        <w:t xml:space="preserve"> </w:t>
      </w:r>
      <w:r>
        <w:rPr>
          <w:spacing w:val="-5"/>
          <w:sz w:val="20"/>
        </w:rPr>
        <w:t>19.</w:t>
      </w:r>
    </w:p>
    <w:p w:rsidR="0092635B" w:rsidRDefault="00000000">
      <w:pPr>
        <w:pStyle w:val="Textoindependiente"/>
        <w:spacing w:before="10" w:line="249" w:lineRule="auto"/>
        <w:ind w:right="1103"/>
      </w:pPr>
      <w:r>
        <w:t>En todo caso, previa la decisión de no publicar unos determinados datos relativos a la celebración del contrato, los órganos de contratación deberán solicitar la emisión de informe por el Consejo de Transparencia y Buen Gobierno a que se refiere la Ley 19/2013, de 9 de diciembre, de transparencia, acceso a la información pública y buen gobierno, en el que se aprecie si el derecho de acceso a la información pública prevalece o no frente a los bienes que se pretenden salvaguardar con su no publicación, que será evacuado en un plazo máximo de diez días.</w:t>
      </w:r>
    </w:p>
    <w:p w:rsidR="0092635B" w:rsidRDefault="00000000">
      <w:pPr>
        <w:pStyle w:val="Textoindependiente"/>
        <w:spacing w:before="6" w:line="249" w:lineRule="auto"/>
        <w:ind w:right="1105"/>
      </w:pPr>
      <w:r>
        <w:t>No obstante lo anterior, no se requerirá dicho informe por el Consejo de Transparencia y Buen Gobierno en caso de que con anterioridad se hubiese efectuado por el órgano de contratación consulta sobre una materia idéntica o análoga, sin perjuicio de la justificación debida de su exclusión en el expediente en los términos establecidos en este apartado.</w:t>
      </w:r>
    </w:p>
    <w:p w:rsidR="0092635B" w:rsidRDefault="00000000">
      <w:pPr>
        <w:pStyle w:val="Textoindependiente"/>
        <w:spacing w:before="17"/>
        <w:ind w:left="0" w:firstLine="0"/>
        <w:jc w:val="left"/>
      </w:pPr>
      <w:r>
        <w:rPr>
          <w:noProof/>
        </w:rPr>
        <mc:AlternateContent>
          <mc:Choice Requires="wps">
            <w:drawing>
              <wp:anchor distT="0" distB="0" distL="0" distR="0" simplePos="0" relativeHeight="487593472" behindDoc="1" locked="0" layoutInCell="1" allowOverlap="1">
                <wp:simplePos x="0" y="0"/>
                <wp:positionH relativeFrom="page">
                  <wp:posOffset>1156762</wp:posOffset>
                </wp:positionH>
                <wp:positionV relativeFrom="paragraph">
                  <wp:posOffset>177411</wp:posOffset>
                </wp:positionV>
                <wp:extent cx="5247005" cy="6496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Téngase en cuenta que se declara que los párrafos segundo y tercero del apartado 7 no</w:t>
                            </w:r>
                            <w:r>
                              <w:rPr>
                                <w:color w:val="000000"/>
                                <w:spacing w:val="40"/>
                                <w:sz w:val="18"/>
                              </w:rPr>
                              <w:t xml:space="preserve"> </w:t>
                            </w:r>
                            <w:r>
                              <w:rPr>
                                <w:color w:val="000000"/>
                                <w:sz w:val="18"/>
                              </w:rPr>
                              <w:t xml:space="preserve">son conformes con el orden constitucional de competencias, en los términos del fundamento jurídico 7 B) e), por la Sentencia del TC 68/2021, de 18 de marzo. </w:t>
                            </w:r>
                            <w:hyperlink r:id="rId33">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19" o:spid="_x0000_s1034" type="#_x0000_t202" style="position:absolute;margin-left:91.1pt;margin-top:13.95pt;width:413.15pt;height:51.1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Téngase en cuenta que se declara que los párrafos segundo y tercero del apartado 7 no</w:t>
                      </w:r>
                      <w:r>
                        <w:rPr>
                          <w:color w:val="000000"/>
                          <w:spacing w:val="40"/>
                          <w:sz w:val="18"/>
                        </w:rPr>
                        <w:t xml:space="preserve"> </w:t>
                      </w:r>
                      <w:r>
                        <w:rPr>
                          <w:color w:val="000000"/>
                          <w:sz w:val="18"/>
                        </w:rPr>
                        <w:t xml:space="preserve">son conformes con el orden constitucional de competencias, en los términos del fundamento jurídico 7 B) e), por la Sentencia del TC 68/2021, de 18 de marzo. </w:t>
                      </w:r>
                      <w:hyperlink r:id="rId34">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0"/>
        <w:ind w:left="0" w:firstLine="0"/>
        <w:jc w:val="left"/>
      </w:pPr>
    </w:p>
    <w:p w:rsidR="0092635B" w:rsidRDefault="0092635B">
      <w:pPr>
        <w:pStyle w:val="Textoindependiente"/>
        <w:spacing w:before="136"/>
        <w:ind w:left="0" w:firstLine="0"/>
        <w:jc w:val="left"/>
      </w:pPr>
    </w:p>
    <w:p w:rsidR="0092635B" w:rsidRDefault="00000000">
      <w:pPr>
        <w:ind w:left="1106"/>
        <w:rPr>
          <w:rFonts w:ascii="Arial" w:hAnsi="Arial"/>
          <w:i/>
          <w:sz w:val="20"/>
        </w:rPr>
      </w:pPr>
      <w:bookmarkStart w:id="246" w:name="Artículo_155._Comunicación_a_los_candida"/>
      <w:bookmarkEnd w:id="246"/>
      <w:r>
        <w:rPr>
          <w:rFonts w:ascii="Arial" w:hAnsi="Arial"/>
          <w:b/>
          <w:sz w:val="20"/>
        </w:rPr>
        <w:t>Artículo</w:t>
      </w:r>
      <w:r>
        <w:rPr>
          <w:rFonts w:ascii="Arial" w:hAnsi="Arial"/>
          <w:b/>
          <w:spacing w:val="-2"/>
          <w:sz w:val="20"/>
        </w:rPr>
        <w:t xml:space="preserve"> </w:t>
      </w:r>
      <w:r>
        <w:rPr>
          <w:rFonts w:ascii="Arial" w:hAnsi="Arial"/>
          <w:b/>
          <w:sz w:val="20"/>
        </w:rPr>
        <w:t>155.</w:t>
      </w:r>
      <w:r>
        <w:rPr>
          <w:rFonts w:ascii="Arial" w:hAnsi="Arial"/>
          <w:b/>
          <w:spacing w:val="52"/>
          <w:sz w:val="20"/>
        </w:rPr>
        <w:t xml:space="preserve"> </w:t>
      </w:r>
      <w:r>
        <w:rPr>
          <w:rFonts w:ascii="Arial" w:hAnsi="Arial"/>
          <w:i/>
          <w:sz w:val="20"/>
        </w:rPr>
        <w:t>Comunicación</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candidatos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licitadores.</w:t>
      </w:r>
    </w:p>
    <w:p w:rsidR="0092635B" w:rsidRDefault="00000000">
      <w:pPr>
        <w:pStyle w:val="Prrafodelista"/>
        <w:numPr>
          <w:ilvl w:val="1"/>
          <w:numId w:val="217"/>
        </w:numPr>
        <w:tabs>
          <w:tab w:val="left" w:pos="1685"/>
        </w:tabs>
        <w:spacing w:before="123" w:line="249" w:lineRule="auto"/>
        <w:ind w:firstLine="340"/>
        <w:jc w:val="both"/>
        <w:rPr>
          <w:sz w:val="20"/>
        </w:rPr>
      </w:pPr>
      <w:r>
        <w:rPr>
          <w:sz w:val="20"/>
        </w:rPr>
        <w:t>Los órganos de contratación informarán a cada candidato y licitador en el plazo más breve posible de las decisiones tomadas en relación con la celebración de un acuerdo</w:t>
      </w:r>
      <w:r>
        <w:rPr>
          <w:spacing w:val="40"/>
          <w:sz w:val="20"/>
        </w:rPr>
        <w:t xml:space="preserve"> </w:t>
      </w:r>
      <w:r>
        <w:rPr>
          <w:sz w:val="20"/>
        </w:rPr>
        <w:t>marco, con la adjudicación del contrato o con la admisión a un sistema dinámico de adquisición, incluidos los motivos por los que hayan decidido no celebrar un acuerdo marco, no adjudicar un contrato para el que se haya efectuado una convocatoria de licitación o volver a iniciar el procedimiento, o no aplicar un sistema dinámico de adquisición.</w:t>
      </w:r>
    </w:p>
    <w:p w:rsidR="0092635B" w:rsidRDefault="00000000">
      <w:pPr>
        <w:pStyle w:val="Prrafodelista"/>
        <w:numPr>
          <w:ilvl w:val="1"/>
          <w:numId w:val="217"/>
        </w:numPr>
        <w:tabs>
          <w:tab w:val="left" w:pos="1719"/>
        </w:tabs>
        <w:spacing w:before="5" w:line="249" w:lineRule="auto"/>
        <w:ind w:right="1101" w:firstLine="340"/>
        <w:jc w:val="both"/>
        <w:rPr>
          <w:sz w:val="20"/>
        </w:rPr>
      </w:pPr>
      <w:r>
        <w:rPr>
          <w:sz w:val="20"/>
        </w:rPr>
        <w:t>A petición del candidato o licitador de que se trate, los órganos de contratación comunicarán, lo antes posible, y, en cualquier caso, en un plazo de quince días a partir de la recepción de una solicitud por escrito:</w:t>
      </w:r>
    </w:p>
    <w:p w:rsidR="0092635B" w:rsidRDefault="00000000">
      <w:pPr>
        <w:pStyle w:val="Prrafodelista"/>
        <w:numPr>
          <w:ilvl w:val="2"/>
          <w:numId w:val="217"/>
        </w:numPr>
        <w:tabs>
          <w:tab w:val="left" w:pos="1691"/>
        </w:tabs>
        <w:spacing w:before="123" w:line="249" w:lineRule="auto"/>
        <w:ind w:right="1104" w:firstLine="340"/>
        <w:jc w:val="both"/>
        <w:rPr>
          <w:sz w:val="20"/>
        </w:rPr>
      </w:pPr>
      <w:r>
        <w:rPr>
          <w:sz w:val="20"/>
        </w:rPr>
        <w:t xml:space="preserve">A todos los candidatos descartados, los motivos por los que se haya desestimado su </w:t>
      </w:r>
      <w:r>
        <w:rPr>
          <w:spacing w:val="-2"/>
          <w:sz w:val="20"/>
        </w:rPr>
        <w:t>candidatura.</w:t>
      </w:r>
    </w:p>
    <w:p w:rsidR="0092635B" w:rsidRDefault="00000000">
      <w:pPr>
        <w:pStyle w:val="Prrafodelista"/>
        <w:numPr>
          <w:ilvl w:val="2"/>
          <w:numId w:val="217"/>
        </w:numPr>
        <w:tabs>
          <w:tab w:val="left" w:pos="1696"/>
        </w:tabs>
        <w:spacing w:before="1" w:line="249" w:lineRule="auto"/>
        <w:ind w:right="1102" w:firstLine="340"/>
        <w:jc w:val="both"/>
        <w:rPr>
          <w:sz w:val="20"/>
        </w:rPr>
      </w:pPr>
      <w:r>
        <w:rPr>
          <w:sz w:val="20"/>
        </w:rPr>
        <w:t>A todos los licitadores descartados, los motivos por los que se haya desestimado su oferta, incluidos, en los casos contemplados en el artículo 126, apartados 7 y 8, los motivos de su decisión de no equivalencia o de su decisión de que las obras, los suministros o los servicios no se ajustan a los requisitos de rendimiento o a las exigencias funcionales.</w:t>
      </w:r>
    </w:p>
    <w:p w:rsidR="0092635B" w:rsidRDefault="00000000">
      <w:pPr>
        <w:pStyle w:val="Prrafodelista"/>
        <w:numPr>
          <w:ilvl w:val="2"/>
          <w:numId w:val="217"/>
        </w:numPr>
        <w:tabs>
          <w:tab w:val="left" w:pos="1728"/>
        </w:tabs>
        <w:spacing w:before="3" w:line="249" w:lineRule="auto"/>
        <w:ind w:firstLine="340"/>
        <w:jc w:val="both"/>
        <w:rPr>
          <w:sz w:val="20"/>
        </w:rPr>
      </w:pPr>
      <w:r>
        <w:rPr>
          <w:sz w:val="20"/>
        </w:rPr>
        <w:t>A todo licitador que haya presentado una oferta admisible, las características y ventajas relativas de la oferta seleccionada, así como el nombre del adjudicatario o las</w:t>
      </w:r>
      <w:r>
        <w:rPr>
          <w:spacing w:val="40"/>
          <w:sz w:val="20"/>
        </w:rPr>
        <w:t xml:space="preserve"> </w:t>
      </w:r>
      <w:r>
        <w:rPr>
          <w:sz w:val="20"/>
        </w:rPr>
        <w:t>partes en el acuerdo marco.</w:t>
      </w:r>
    </w:p>
    <w:p w:rsidR="0092635B" w:rsidRDefault="00000000">
      <w:pPr>
        <w:pStyle w:val="Prrafodelista"/>
        <w:numPr>
          <w:ilvl w:val="2"/>
          <w:numId w:val="217"/>
        </w:numPr>
        <w:tabs>
          <w:tab w:val="left" w:pos="1739"/>
        </w:tabs>
        <w:spacing w:before="3" w:line="249" w:lineRule="auto"/>
        <w:ind w:right="1105" w:firstLine="340"/>
        <w:jc w:val="both"/>
        <w:rPr>
          <w:sz w:val="20"/>
        </w:rPr>
      </w:pPr>
      <w:r>
        <w:rPr>
          <w:sz w:val="20"/>
        </w:rPr>
        <w:t>A todo licitador que haya presentado una oferta admisible, el desarrollo de las negociaciones y el diálogo con los licitadores.</w:t>
      </w:r>
    </w:p>
    <w:p w:rsidR="0092635B" w:rsidRDefault="00000000">
      <w:pPr>
        <w:pStyle w:val="Prrafodelista"/>
        <w:numPr>
          <w:ilvl w:val="1"/>
          <w:numId w:val="217"/>
        </w:numPr>
        <w:tabs>
          <w:tab w:val="left" w:pos="1764"/>
        </w:tabs>
        <w:spacing w:before="122" w:line="249" w:lineRule="auto"/>
        <w:ind w:right="1104" w:firstLine="340"/>
        <w:jc w:val="both"/>
        <w:rPr>
          <w:sz w:val="20"/>
        </w:rPr>
      </w:pPr>
      <w:r>
        <w:rPr>
          <w:sz w:val="20"/>
        </w:rPr>
        <w:t>Los poderes adjudicadores podrán decidir no comunicar determinados datos, mencionados en los apartados 1 y 2, relativos a la adjudicación del contrato, la celebración de acuerdos marco o la admisión a un sistema dinámico de adquisición, cuando su divulgación pudiera obstaculizar la aplicación de la ley, ser contraria al interés público, perjudicar los intereses comerciales legítimos de una determinada empresa, pública o privada, o perjudicar la competencia leal entre empresarios.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247" w:name="Subsección_2.ª_Procedimiento_abierto"/>
      <w:bookmarkStart w:id="248" w:name="_bookmark47"/>
      <w:bookmarkEnd w:id="247"/>
      <w:bookmarkEnd w:id="248"/>
      <w:r>
        <w:t>Subsección</w:t>
      </w:r>
      <w:r>
        <w:rPr>
          <w:spacing w:val="-8"/>
        </w:rPr>
        <w:t xml:space="preserve"> </w:t>
      </w:r>
      <w:r>
        <w:t>2.ª</w:t>
      </w:r>
      <w:r>
        <w:rPr>
          <w:spacing w:val="-8"/>
        </w:rPr>
        <w:t xml:space="preserve"> </w:t>
      </w:r>
      <w:r>
        <w:t>Procedimiento</w:t>
      </w:r>
      <w:r>
        <w:rPr>
          <w:spacing w:val="-7"/>
        </w:rPr>
        <w:t xml:space="preserve"> </w:t>
      </w:r>
      <w:r>
        <w:rPr>
          <w:spacing w:val="-2"/>
        </w:rPr>
        <w:t>abierto</w:t>
      </w:r>
    </w:p>
    <w:p w:rsidR="0092635B" w:rsidRDefault="0092635B">
      <w:pPr>
        <w:pStyle w:val="Textoindependiente"/>
        <w:spacing w:before="6"/>
        <w:ind w:left="0" w:firstLine="0"/>
        <w:jc w:val="left"/>
      </w:pPr>
    </w:p>
    <w:p w:rsidR="0092635B" w:rsidRDefault="00000000">
      <w:pPr>
        <w:tabs>
          <w:tab w:val="left" w:pos="2613"/>
        </w:tabs>
        <w:spacing w:line="249" w:lineRule="auto"/>
        <w:ind w:left="1106" w:right="1120" w:hanging="1"/>
        <w:rPr>
          <w:rFonts w:ascii="Arial" w:hAnsi="Arial"/>
          <w:i/>
          <w:sz w:val="20"/>
        </w:rPr>
      </w:pPr>
      <w:bookmarkStart w:id="249" w:name="Artículo_156._Delimitación,_plazos_para_"/>
      <w:bookmarkEnd w:id="249"/>
      <w:r>
        <w:rPr>
          <w:rFonts w:ascii="Arial" w:hAnsi="Arial"/>
          <w:b/>
          <w:sz w:val="20"/>
        </w:rPr>
        <w:t>Artículo</w:t>
      </w:r>
      <w:r>
        <w:rPr>
          <w:rFonts w:ascii="Arial" w:hAnsi="Arial"/>
          <w:b/>
          <w:spacing w:val="40"/>
          <w:sz w:val="20"/>
        </w:rPr>
        <w:t xml:space="preserve"> </w:t>
      </w:r>
      <w:r>
        <w:rPr>
          <w:rFonts w:ascii="Arial" w:hAnsi="Arial"/>
          <w:b/>
          <w:sz w:val="20"/>
        </w:rPr>
        <w:t>156.</w:t>
      </w:r>
      <w:r>
        <w:rPr>
          <w:rFonts w:ascii="Arial" w:hAnsi="Arial"/>
          <w:b/>
          <w:sz w:val="20"/>
        </w:rPr>
        <w:tab/>
      </w:r>
      <w:r>
        <w:rPr>
          <w:rFonts w:ascii="Arial" w:hAnsi="Arial"/>
          <w:i/>
          <w:sz w:val="20"/>
        </w:rPr>
        <w:t>Delimitación,</w:t>
      </w:r>
      <w:r>
        <w:rPr>
          <w:rFonts w:ascii="Arial" w:hAnsi="Arial"/>
          <w:i/>
          <w:spacing w:val="40"/>
          <w:sz w:val="20"/>
        </w:rPr>
        <w:t xml:space="preserve"> </w:t>
      </w:r>
      <w:r>
        <w:rPr>
          <w:rFonts w:ascii="Arial" w:hAnsi="Arial"/>
          <w:i/>
          <w:sz w:val="20"/>
        </w:rPr>
        <w:t>plazos</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presentación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proposiciones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plazo</w:t>
      </w:r>
      <w:r>
        <w:rPr>
          <w:rFonts w:ascii="Arial" w:hAnsi="Arial"/>
          <w:i/>
          <w:spacing w:val="40"/>
          <w:sz w:val="20"/>
        </w:rPr>
        <w:t xml:space="preserve"> </w:t>
      </w:r>
      <w:r>
        <w:rPr>
          <w:rFonts w:ascii="Arial" w:hAnsi="Arial"/>
          <w:i/>
          <w:sz w:val="20"/>
        </w:rPr>
        <w:t>de publicación del anuncio de licitación.</w:t>
      </w:r>
    </w:p>
    <w:p w:rsidR="0092635B" w:rsidRDefault="00000000">
      <w:pPr>
        <w:pStyle w:val="Prrafodelista"/>
        <w:numPr>
          <w:ilvl w:val="0"/>
          <w:numId w:val="216"/>
        </w:numPr>
        <w:tabs>
          <w:tab w:val="left" w:pos="1761"/>
        </w:tabs>
        <w:spacing w:before="115" w:line="249" w:lineRule="auto"/>
        <w:ind w:right="1104" w:firstLine="340"/>
        <w:jc w:val="both"/>
        <w:rPr>
          <w:sz w:val="20"/>
        </w:rPr>
      </w:pPr>
      <w:r>
        <w:rPr>
          <w:sz w:val="20"/>
        </w:rPr>
        <w:t xml:space="preserve">En el procedimiento abierto todo empresario interesado podrá presentar una proposición, quedando excluida toda negociación de los términos del contrato con los </w:t>
      </w:r>
      <w:r>
        <w:rPr>
          <w:spacing w:val="-2"/>
          <w:sz w:val="20"/>
        </w:rPr>
        <w:t>licitadores.</w:t>
      </w:r>
    </w:p>
    <w:p w:rsidR="0092635B" w:rsidRDefault="00000000">
      <w:pPr>
        <w:pStyle w:val="Prrafodelista"/>
        <w:numPr>
          <w:ilvl w:val="0"/>
          <w:numId w:val="216"/>
        </w:numPr>
        <w:tabs>
          <w:tab w:val="left" w:pos="1753"/>
        </w:tabs>
        <w:spacing w:before="3" w:line="249" w:lineRule="auto"/>
        <w:ind w:right="1102" w:firstLine="340"/>
        <w:jc w:val="both"/>
        <w:rPr>
          <w:sz w:val="20"/>
        </w:rPr>
      </w:pPr>
      <w:r>
        <w:rPr>
          <w:sz w:val="20"/>
        </w:rPr>
        <w:t>En procedimientos abiertos de adjudicación de contratos sujetos a regulación armonizada, el plazo de presentación de proposiciones no será inferior a treinta y cinco días, para los contratos de obras, suministros y servicios, y a treinta días para las concesiones de obras y servicios, contados desde la fecha de envío del anuncio de licitación a la Oficina de Publicaciones de la Unión Europea.</w:t>
      </w:r>
    </w:p>
    <w:p w:rsidR="0092635B" w:rsidRDefault="00000000">
      <w:pPr>
        <w:pStyle w:val="Prrafodelista"/>
        <w:numPr>
          <w:ilvl w:val="0"/>
          <w:numId w:val="216"/>
        </w:numPr>
        <w:tabs>
          <w:tab w:val="left" w:pos="1707"/>
        </w:tabs>
        <w:spacing w:before="4" w:line="249" w:lineRule="auto"/>
        <w:ind w:right="1105" w:firstLine="340"/>
        <w:jc w:val="both"/>
        <w:rPr>
          <w:sz w:val="20"/>
        </w:rPr>
      </w:pPr>
      <w:r>
        <w:rPr>
          <w:sz w:val="20"/>
        </w:rPr>
        <w:t>En los contratos de obras, suministros y servicios, el plazo general previsto en el apartado anterior podrá reducirse en los siguientes casos:</w:t>
      </w:r>
    </w:p>
    <w:p w:rsidR="0092635B" w:rsidRDefault="00000000">
      <w:pPr>
        <w:pStyle w:val="Prrafodelista"/>
        <w:numPr>
          <w:ilvl w:val="1"/>
          <w:numId w:val="216"/>
        </w:numPr>
        <w:tabs>
          <w:tab w:val="left" w:pos="1711"/>
        </w:tabs>
        <w:spacing w:before="122" w:line="249" w:lineRule="auto"/>
        <w:ind w:right="1104" w:firstLine="340"/>
        <w:jc w:val="both"/>
        <w:rPr>
          <w:sz w:val="20"/>
        </w:rPr>
      </w:pPr>
      <w:r>
        <w:rPr>
          <w:sz w:val="20"/>
        </w:rPr>
        <w:t>Si el órgano de contratación hubiese enviado un anuncio de información previa, el plazo general de presentación de proposiciones podrá reducirse a quince días. Esta reducción del plazo solo será admisible cuando el anuncio voluntario de información previa se</w:t>
      </w:r>
      <w:r>
        <w:rPr>
          <w:spacing w:val="-2"/>
          <w:sz w:val="20"/>
        </w:rPr>
        <w:t xml:space="preserve"> </w:t>
      </w:r>
      <w:r>
        <w:rPr>
          <w:sz w:val="20"/>
        </w:rPr>
        <w:t>hubiese</w:t>
      </w:r>
      <w:r>
        <w:rPr>
          <w:spacing w:val="-2"/>
          <w:sz w:val="20"/>
        </w:rPr>
        <w:t xml:space="preserve"> </w:t>
      </w:r>
      <w:r>
        <w:rPr>
          <w:sz w:val="20"/>
        </w:rPr>
        <w:t>enviado</w:t>
      </w:r>
      <w:r>
        <w:rPr>
          <w:spacing w:val="-2"/>
          <w:sz w:val="20"/>
        </w:rPr>
        <w:t xml:space="preserve"> </w:t>
      </w:r>
      <w:r>
        <w:rPr>
          <w:sz w:val="20"/>
        </w:rPr>
        <w:t>para</w:t>
      </w:r>
      <w:r>
        <w:rPr>
          <w:spacing w:val="-2"/>
          <w:sz w:val="20"/>
        </w:rPr>
        <w:t xml:space="preserve"> </w:t>
      </w:r>
      <w:r>
        <w:rPr>
          <w:sz w:val="20"/>
        </w:rPr>
        <w:t>su</w:t>
      </w:r>
      <w:r>
        <w:rPr>
          <w:spacing w:val="-2"/>
          <w:sz w:val="20"/>
        </w:rPr>
        <w:t xml:space="preserve"> </w:t>
      </w:r>
      <w:r>
        <w:rPr>
          <w:sz w:val="20"/>
        </w:rPr>
        <w:t>publicación</w:t>
      </w:r>
      <w:r>
        <w:rPr>
          <w:spacing w:val="-2"/>
          <w:sz w:val="20"/>
        </w:rPr>
        <w:t xml:space="preserve"> </w:t>
      </w:r>
      <w:r>
        <w:rPr>
          <w:sz w:val="20"/>
        </w:rPr>
        <w:t>con</w:t>
      </w:r>
      <w:r>
        <w:rPr>
          <w:spacing w:val="-2"/>
          <w:sz w:val="20"/>
        </w:rPr>
        <w:t xml:space="preserve"> </w:t>
      </w:r>
      <w:r>
        <w:rPr>
          <w:sz w:val="20"/>
        </w:rPr>
        <w:t>una</w:t>
      </w:r>
      <w:r>
        <w:rPr>
          <w:spacing w:val="-2"/>
          <w:sz w:val="20"/>
        </w:rPr>
        <w:t xml:space="preserve"> </w:t>
      </w:r>
      <w:r>
        <w:rPr>
          <w:sz w:val="20"/>
        </w:rPr>
        <w:t>antelación</w:t>
      </w:r>
      <w:r>
        <w:rPr>
          <w:spacing w:val="-2"/>
          <w:sz w:val="20"/>
        </w:rPr>
        <w:t xml:space="preserve"> </w:t>
      </w:r>
      <w:r>
        <w:rPr>
          <w:sz w:val="20"/>
        </w:rPr>
        <w:t>máxima</w:t>
      </w:r>
      <w:r>
        <w:rPr>
          <w:spacing w:val="-2"/>
          <w:sz w:val="20"/>
        </w:rPr>
        <w:t xml:space="preserve"> </w:t>
      </w:r>
      <w:r>
        <w:rPr>
          <w:sz w:val="20"/>
        </w:rPr>
        <w:t>de</w:t>
      </w:r>
      <w:r>
        <w:rPr>
          <w:spacing w:val="-2"/>
          <w:sz w:val="20"/>
        </w:rPr>
        <w:t xml:space="preserve"> </w:t>
      </w:r>
      <w:r>
        <w:rPr>
          <w:sz w:val="20"/>
        </w:rPr>
        <w:t>doce</w:t>
      </w:r>
      <w:r>
        <w:rPr>
          <w:spacing w:val="-2"/>
          <w:sz w:val="20"/>
        </w:rPr>
        <w:t xml:space="preserve"> </w:t>
      </w:r>
      <w:r>
        <w:rPr>
          <w:sz w:val="20"/>
        </w:rPr>
        <w:t>meses</w:t>
      </w:r>
      <w:r>
        <w:rPr>
          <w:spacing w:val="-2"/>
          <w:sz w:val="20"/>
        </w:rPr>
        <w:t xml:space="preserve"> </w:t>
      </w:r>
      <w:r>
        <w:rPr>
          <w:sz w:val="20"/>
        </w:rPr>
        <w:t>y</w:t>
      </w:r>
      <w:r>
        <w:rPr>
          <w:spacing w:val="-2"/>
          <w:sz w:val="20"/>
        </w:rPr>
        <w:t xml:space="preserve"> </w:t>
      </w:r>
      <w:r>
        <w:rPr>
          <w:sz w:val="20"/>
        </w:rPr>
        <w:t>mínima de treinta y cinco días antes de la fecha de envío del anuncio de licitación, siempre que en él se hubiese incluido, de estar disponible, toda la información exigida para este.</w:t>
      </w:r>
    </w:p>
    <w:p w:rsidR="0092635B" w:rsidRDefault="00000000">
      <w:pPr>
        <w:pStyle w:val="Prrafodelista"/>
        <w:numPr>
          <w:ilvl w:val="1"/>
          <w:numId w:val="216"/>
        </w:numPr>
        <w:tabs>
          <w:tab w:val="left" w:pos="1726"/>
        </w:tabs>
        <w:spacing w:before="5" w:line="249" w:lineRule="auto"/>
        <w:ind w:firstLine="340"/>
        <w:jc w:val="both"/>
        <w:rPr>
          <w:sz w:val="20"/>
        </w:rPr>
      </w:pPr>
      <w:r>
        <w:rPr>
          <w:sz w:val="20"/>
        </w:rPr>
        <w:t>Cuando el plazo general de presentación de proposiciones sea impracticable por tratarse de una situación de urgencia, en los términos descritos en el artículo 119, el órgano de contratación podrá fijar otro plazo que no será inferior a quince días contados desde la fecha del envío del anuncio de licitación.</w:t>
      </w:r>
    </w:p>
    <w:p w:rsidR="0092635B" w:rsidRDefault="00000000">
      <w:pPr>
        <w:pStyle w:val="Prrafodelista"/>
        <w:numPr>
          <w:ilvl w:val="1"/>
          <w:numId w:val="216"/>
        </w:numPr>
        <w:tabs>
          <w:tab w:val="left" w:pos="1749"/>
        </w:tabs>
        <w:spacing w:before="3" w:line="249" w:lineRule="auto"/>
        <w:ind w:firstLine="340"/>
        <w:jc w:val="both"/>
        <w:rPr>
          <w:sz w:val="20"/>
        </w:rPr>
      </w:pPr>
      <w:r>
        <w:rPr>
          <w:sz w:val="20"/>
        </w:rPr>
        <w:t>Si el órgano de contratación aceptara la presentación de ofertas por medios electrónicos,</w:t>
      </w:r>
      <w:r>
        <w:rPr>
          <w:spacing w:val="40"/>
          <w:sz w:val="20"/>
        </w:rPr>
        <w:t xml:space="preserve"> </w:t>
      </w:r>
      <w:r>
        <w:rPr>
          <w:sz w:val="20"/>
        </w:rPr>
        <w:t>podrá</w:t>
      </w:r>
      <w:r>
        <w:rPr>
          <w:spacing w:val="40"/>
          <w:sz w:val="20"/>
        </w:rPr>
        <w:t xml:space="preserve"> </w:t>
      </w:r>
      <w:r>
        <w:rPr>
          <w:sz w:val="20"/>
        </w:rPr>
        <w:t>reducirse</w:t>
      </w:r>
      <w:r>
        <w:rPr>
          <w:spacing w:val="40"/>
          <w:sz w:val="20"/>
        </w:rPr>
        <w:t xml:space="preserve"> </w:t>
      </w:r>
      <w:r>
        <w:rPr>
          <w:sz w:val="20"/>
        </w:rPr>
        <w:t>el</w:t>
      </w:r>
      <w:r>
        <w:rPr>
          <w:spacing w:val="40"/>
          <w:sz w:val="20"/>
        </w:rPr>
        <w:t xml:space="preserve"> </w:t>
      </w:r>
      <w:r>
        <w:rPr>
          <w:sz w:val="20"/>
        </w:rPr>
        <w:t>plazo</w:t>
      </w:r>
      <w:r>
        <w:rPr>
          <w:spacing w:val="40"/>
          <w:sz w:val="20"/>
        </w:rPr>
        <w:t xml:space="preserve"> </w:t>
      </w:r>
      <w:r>
        <w:rPr>
          <w:sz w:val="20"/>
        </w:rPr>
        <w:t>general</w:t>
      </w:r>
      <w:r>
        <w:rPr>
          <w:spacing w:val="40"/>
          <w:sz w:val="20"/>
        </w:rPr>
        <w:t xml:space="preserve"> </w:t>
      </w:r>
      <w:r>
        <w:rPr>
          <w:sz w:val="20"/>
        </w:rPr>
        <w:t>de</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proposiciones</w:t>
      </w:r>
      <w:r>
        <w:rPr>
          <w:spacing w:val="40"/>
          <w:sz w:val="20"/>
        </w:rPr>
        <w:t xml:space="preserve"> </w:t>
      </w:r>
      <w:r>
        <w:rPr>
          <w:sz w:val="20"/>
        </w:rPr>
        <w:t>en</w:t>
      </w:r>
      <w:r>
        <w:rPr>
          <w:spacing w:val="80"/>
          <w:sz w:val="20"/>
        </w:rPr>
        <w:t xml:space="preserve"> </w:t>
      </w:r>
      <w:r>
        <w:rPr>
          <w:sz w:val="20"/>
        </w:rPr>
        <w:t>cinco días.</w:t>
      </w:r>
    </w:p>
    <w:p w:rsidR="0092635B" w:rsidRDefault="00000000">
      <w:pPr>
        <w:pStyle w:val="Prrafodelista"/>
        <w:numPr>
          <w:ilvl w:val="0"/>
          <w:numId w:val="216"/>
        </w:numPr>
        <w:tabs>
          <w:tab w:val="left" w:pos="1700"/>
        </w:tabs>
        <w:spacing w:before="122" w:line="249" w:lineRule="auto"/>
        <w:ind w:firstLine="340"/>
        <w:jc w:val="both"/>
        <w:rPr>
          <w:sz w:val="20"/>
        </w:rPr>
      </w:pPr>
      <w:r>
        <w:rPr>
          <w:sz w:val="20"/>
        </w:rPr>
        <w:t>En las concesiones de obras y de servicios solo se podrá reducir el plazo general cuando se dé la circunstancia establecida en la letra c) del apartado anterior.</w:t>
      </w:r>
    </w:p>
    <w:p w:rsidR="0092635B" w:rsidRDefault="00000000">
      <w:pPr>
        <w:pStyle w:val="Prrafodelista"/>
        <w:numPr>
          <w:ilvl w:val="0"/>
          <w:numId w:val="216"/>
        </w:numPr>
        <w:tabs>
          <w:tab w:val="left" w:pos="1722"/>
        </w:tabs>
        <w:spacing w:line="249" w:lineRule="auto"/>
        <w:ind w:firstLine="340"/>
        <w:jc w:val="both"/>
        <w:rPr>
          <w:sz w:val="20"/>
        </w:rPr>
      </w:pPr>
      <w:r>
        <w:rPr>
          <w:sz w:val="20"/>
        </w:rPr>
        <w:t>Sin perjuicio de lo establecido en el apartado 3 del artículo 135 respecto de la obligación de publicar previamente en el «Diario Oficial de la Unión Europea», en los procedimientos abiertos la publicación del anuncio de licitación en el perfil de contratante deberá hacerse, en todo caso, con una antelación mínima equivalente al plazo fijado para la presentación de las proposiciones en el apartado siguiente.</w:t>
      </w:r>
    </w:p>
    <w:p w:rsidR="0092635B" w:rsidRDefault="00000000">
      <w:pPr>
        <w:pStyle w:val="Prrafodelista"/>
        <w:numPr>
          <w:ilvl w:val="0"/>
          <w:numId w:val="216"/>
        </w:numPr>
        <w:tabs>
          <w:tab w:val="left" w:pos="1687"/>
        </w:tabs>
        <w:spacing w:before="4" w:line="249" w:lineRule="auto"/>
        <w:ind w:right="1102" w:firstLine="340"/>
        <w:jc w:val="both"/>
        <w:rPr>
          <w:sz w:val="20"/>
        </w:rPr>
      </w:pPr>
      <w:r>
        <w:rPr>
          <w:sz w:val="20"/>
        </w:rPr>
        <w:t>En los contratos de las Administraciones Públicas que no estén sujetos a regulación armonizada, el plazo de presentación de proposiciones no será inferior a quince días, contados desde el día siguiente al de la publicación del anuncio de licitación del contrato en el perfil de contratante. En los contratos de obras y de concesión de obras y concesión de servicios, el plazo será, como mínimo, de veintiséis días.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250" w:name="Artículo_157._Examen_de_las_proposicione"/>
      <w:bookmarkEnd w:id="250"/>
      <w:r>
        <w:rPr>
          <w:rFonts w:ascii="Arial" w:hAnsi="Arial"/>
          <w:b/>
          <w:sz w:val="20"/>
        </w:rPr>
        <w:t>Artículo</w:t>
      </w:r>
      <w:r>
        <w:rPr>
          <w:rFonts w:ascii="Arial" w:hAnsi="Arial"/>
          <w:b/>
          <w:spacing w:val="-2"/>
          <w:sz w:val="20"/>
        </w:rPr>
        <w:t xml:space="preserve"> </w:t>
      </w:r>
      <w:r>
        <w:rPr>
          <w:rFonts w:ascii="Arial" w:hAnsi="Arial"/>
          <w:b/>
          <w:sz w:val="20"/>
        </w:rPr>
        <w:t>157.</w:t>
      </w:r>
      <w:r>
        <w:rPr>
          <w:rFonts w:ascii="Arial" w:hAnsi="Arial"/>
          <w:b/>
          <w:spacing w:val="51"/>
          <w:sz w:val="20"/>
        </w:rPr>
        <w:t xml:space="preserve"> </w:t>
      </w:r>
      <w:r>
        <w:rPr>
          <w:rFonts w:ascii="Arial" w:hAnsi="Arial"/>
          <w:i/>
          <w:sz w:val="20"/>
        </w:rPr>
        <w:t>Examen</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1"/>
          <w:sz w:val="20"/>
        </w:rPr>
        <w:t xml:space="preserve"> </w:t>
      </w:r>
      <w:r>
        <w:rPr>
          <w:rFonts w:ascii="Arial" w:hAnsi="Arial"/>
          <w:i/>
          <w:sz w:val="20"/>
        </w:rPr>
        <w:t>proposiciones</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propuesta</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adjudicación.</w:t>
      </w:r>
    </w:p>
    <w:p w:rsidR="0092635B" w:rsidRDefault="00000000">
      <w:pPr>
        <w:pStyle w:val="Prrafodelista"/>
        <w:numPr>
          <w:ilvl w:val="0"/>
          <w:numId w:val="215"/>
        </w:numPr>
        <w:tabs>
          <w:tab w:val="left" w:pos="1685"/>
        </w:tabs>
        <w:spacing w:before="123" w:line="249" w:lineRule="auto"/>
        <w:ind w:right="1105" w:firstLine="340"/>
        <w:jc w:val="both"/>
        <w:rPr>
          <w:sz w:val="20"/>
        </w:rPr>
      </w:pPr>
      <w:r>
        <w:rPr>
          <w:sz w:val="20"/>
        </w:rPr>
        <w:t>La Mesa de contratación calificará la documentación a que se refiere el artículo 140, que deberá presentarse por los licitadores en sobre o archivo electrónico distinto al que contenga la proposición.</w:t>
      </w:r>
    </w:p>
    <w:p w:rsidR="0092635B" w:rsidRDefault="00000000">
      <w:pPr>
        <w:pStyle w:val="Textoindependiente"/>
        <w:spacing w:before="3" w:line="249" w:lineRule="auto"/>
        <w:ind w:right="1105"/>
      </w:pPr>
      <w:r>
        <w:t>Posteriormente, el mismo órgano procederá a la apertura y examen de las</w:t>
      </w:r>
      <w:r>
        <w:rPr>
          <w:spacing w:val="80"/>
        </w:rPr>
        <w:t xml:space="preserve"> </w:t>
      </w:r>
      <w:r>
        <w:t>proposiciones, formulando la correspondiente propuesta de adjudicación al órgano de contratación,</w:t>
      </w:r>
      <w:r>
        <w:rPr>
          <w:spacing w:val="-3"/>
        </w:rPr>
        <w:t xml:space="preserve"> </w:t>
      </w:r>
      <w:r>
        <w:t>una</w:t>
      </w:r>
      <w:r>
        <w:rPr>
          <w:spacing w:val="-3"/>
        </w:rPr>
        <w:t xml:space="preserve"> </w:t>
      </w:r>
      <w:r>
        <w:t>vez</w:t>
      </w:r>
      <w:r>
        <w:rPr>
          <w:spacing w:val="-3"/>
        </w:rPr>
        <w:t xml:space="preserve"> </w:t>
      </w:r>
      <w:r>
        <w:t>ponderados</w:t>
      </w:r>
      <w:r>
        <w:rPr>
          <w:spacing w:val="-3"/>
        </w:rPr>
        <w:t xml:space="preserve"> </w:t>
      </w:r>
      <w:r>
        <w:t>los</w:t>
      </w:r>
      <w:r>
        <w:rPr>
          <w:spacing w:val="-3"/>
        </w:rPr>
        <w:t xml:space="preserve"> </w:t>
      </w:r>
      <w:r>
        <w:t>criterios</w:t>
      </w:r>
      <w:r>
        <w:rPr>
          <w:spacing w:val="-3"/>
        </w:rPr>
        <w:t xml:space="preserve"> </w:t>
      </w:r>
      <w:r>
        <w:t>que</w:t>
      </w:r>
      <w:r>
        <w:rPr>
          <w:spacing w:val="-3"/>
        </w:rPr>
        <w:t xml:space="preserve"> </w:t>
      </w:r>
      <w:r>
        <w:t>deban</w:t>
      </w:r>
      <w:r>
        <w:rPr>
          <w:spacing w:val="-3"/>
        </w:rPr>
        <w:t xml:space="preserve"> </w:t>
      </w:r>
      <w:r>
        <w:t>aplicarse</w:t>
      </w:r>
      <w:r>
        <w:rPr>
          <w:spacing w:val="-3"/>
        </w:rPr>
        <w:t xml:space="preserve"> </w:t>
      </w:r>
      <w:r>
        <w:t>para</w:t>
      </w:r>
      <w:r>
        <w:rPr>
          <w:spacing w:val="-3"/>
        </w:rPr>
        <w:t xml:space="preserve"> </w:t>
      </w:r>
      <w:r>
        <w:t>efectuar</w:t>
      </w:r>
      <w:r>
        <w:rPr>
          <w:spacing w:val="-3"/>
        </w:rPr>
        <w:t xml:space="preserve"> </w:t>
      </w:r>
      <w:r>
        <w:t>la</w:t>
      </w:r>
      <w:r>
        <w:rPr>
          <w:spacing w:val="-3"/>
        </w:rPr>
        <w:t xml:space="preserve"> </w:t>
      </w:r>
      <w:r>
        <w:t>selección del adjudicatario.</w:t>
      </w:r>
    </w:p>
    <w:p w:rsidR="0092635B" w:rsidRDefault="00000000">
      <w:pPr>
        <w:pStyle w:val="Prrafodelista"/>
        <w:numPr>
          <w:ilvl w:val="0"/>
          <w:numId w:val="215"/>
        </w:numPr>
        <w:tabs>
          <w:tab w:val="left" w:pos="1669"/>
        </w:tabs>
        <w:spacing w:before="3" w:line="249" w:lineRule="auto"/>
        <w:ind w:firstLine="340"/>
        <w:jc w:val="both"/>
        <w:rPr>
          <w:sz w:val="20"/>
        </w:rPr>
      </w:pPr>
      <w:r>
        <w:rPr>
          <w:sz w:val="20"/>
        </w:rPr>
        <w:t>Cuando,</w:t>
      </w:r>
      <w:r>
        <w:rPr>
          <w:spacing w:val="-1"/>
          <w:sz w:val="20"/>
        </w:rPr>
        <w:t xml:space="preserve"> </w:t>
      </w:r>
      <w:r>
        <w:rPr>
          <w:sz w:val="20"/>
        </w:rPr>
        <w:t>de</w:t>
      </w:r>
      <w:r>
        <w:rPr>
          <w:spacing w:val="-1"/>
          <w:sz w:val="20"/>
        </w:rPr>
        <w:t xml:space="preserve"> </w:t>
      </w:r>
      <w:r>
        <w:rPr>
          <w:sz w:val="20"/>
        </w:rPr>
        <w:t>conformidad</w:t>
      </w:r>
      <w:r>
        <w:rPr>
          <w:spacing w:val="-1"/>
          <w:sz w:val="20"/>
        </w:rPr>
        <w:t xml:space="preserve"> </w:t>
      </w:r>
      <w:r>
        <w:rPr>
          <w:sz w:val="20"/>
        </w:rPr>
        <w:t>con</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145</w:t>
      </w:r>
      <w:r>
        <w:rPr>
          <w:spacing w:val="-1"/>
          <w:sz w:val="20"/>
        </w:rPr>
        <w:t xml:space="preserve"> </w:t>
      </w:r>
      <w:r>
        <w:rPr>
          <w:sz w:val="20"/>
        </w:rPr>
        <w:t>se</w:t>
      </w:r>
      <w:r>
        <w:rPr>
          <w:spacing w:val="-1"/>
          <w:sz w:val="20"/>
        </w:rPr>
        <w:t xml:space="preserve"> </w:t>
      </w:r>
      <w:r>
        <w:rPr>
          <w:sz w:val="20"/>
        </w:rPr>
        <w:t>utilicen</w:t>
      </w:r>
      <w:r>
        <w:rPr>
          <w:spacing w:val="-1"/>
          <w:sz w:val="20"/>
        </w:rPr>
        <w:t xml:space="preserve"> </w:t>
      </w:r>
      <w:r>
        <w:rPr>
          <w:sz w:val="20"/>
        </w:rPr>
        <w:t>una</w:t>
      </w:r>
      <w:r>
        <w:rPr>
          <w:spacing w:val="-1"/>
          <w:sz w:val="20"/>
        </w:rPr>
        <w:t xml:space="preserve"> </w:t>
      </w:r>
      <w:r>
        <w:rPr>
          <w:sz w:val="20"/>
        </w:rPr>
        <w:t xml:space="preserve">pluralidad de criterios de adjudicación, los licitadores deberán presentar la proposición en dos sobres o archivos electrónicos: uno con la documentación que deba ser valorada conforme a los criterios cuya ponderación depende de un juicio de valor, y el otro con la documentación que deba ser valorada conforme a criterios cuantificables mediante la mera aplicación de </w:t>
      </w:r>
      <w:r>
        <w:rPr>
          <w:spacing w:val="-2"/>
          <w:sz w:val="20"/>
        </w:rPr>
        <w:t>fórmulas.</w:t>
      </w:r>
    </w:p>
    <w:p w:rsidR="0092635B" w:rsidRDefault="00000000">
      <w:pPr>
        <w:pStyle w:val="Prrafodelista"/>
        <w:numPr>
          <w:ilvl w:val="0"/>
          <w:numId w:val="215"/>
        </w:numPr>
        <w:tabs>
          <w:tab w:val="left" w:pos="1683"/>
        </w:tabs>
        <w:spacing w:before="5" w:line="249" w:lineRule="auto"/>
        <w:ind w:right="1105" w:firstLine="340"/>
        <w:jc w:val="both"/>
        <w:rPr>
          <w:sz w:val="20"/>
        </w:rPr>
      </w:pPr>
      <w:r>
        <w:rPr>
          <w:sz w:val="20"/>
        </w:rPr>
        <w:t>En todo caso la apertura de las proposiciones deberá efectuarse en el plazo máximo de veinte días contado desde la fecha de finalización del plazo para presentar las mismas.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Si la proposición se contuviera en más de un sobre o archivo electrónico, de tal forma</w:t>
      </w:r>
      <w:r>
        <w:rPr>
          <w:spacing w:val="40"/>
        </w:rPr>
        <w:t xml:space="preserve"> </w:t>
      </w:r>
      <w:r>
        <w:t>que estos deban abrirse en varios actos independientes, el plazo anterior se entenderá cumplido cuando se haya abierto, dentro del mismo, el primero de los sobres o archivos electrónicos que componen la proposición.</w:t>
      </w:r>
    </w:p>
    <w:p w:rsidR="0092635B" w:rsidRDefault="00000000">
      <w:pPr>
        <w:pStyle w:val="Prrafodelista"/>
        <w:numPr>
          <w:ilvl w:val="0"/>
          <w:numId w:val="215"/>
        </w:numPr>
        <w:tabs>
          <w:tab w:val="left" w:pos="1690"/>
        </w:tabs>
        <w:spacing w:before="3" w:line="249" w:lineRule="auto"/>
        <w:ind w:right="1104" w:firstLine="340"/>
        <w:jc w:val="both"/>
        <w:rPr>
          <w:sz w:val="20"/>
        </w:rPr>
      </w:pPr>
      <w:r>
        <w:rPr>
          <w:sz w:val="20"/>
        </w:rPr>
        <w:t>En todo caso, la apertura de la oferta económica se realizará en acto público, salvo cuando se prevea que en la licitación puedan emplearse medios electrónicos.</w:t>
      </w:r>
    </w:p>
    <w:p w:rsidR="0092635B" w:rsidRDefault="00000000">
      <w:pPr>
        <w:pStyle w:val="Prrafodelista"/>
        <w:numPr>
          <w:ilvl w:val="0"/>
          <w:numId w:val="215"/>
        </w:numPr>
        <w:tabs>
          <w:tab w:val="left" w:pos="1684"/>
        </w:tabs>
        <w:spacing w:line="249" w:lineRule="auto"/>
        <w:ind w:firstLine="340"/>
        <w:jc w:val="both"/>
        <w:rPr>
          <w:sz w:val="20"/>
        </w:rPr>
      </w:pPr>
      <w:r>
        <w:rPr>
          <w:sz w:val="20"/>
        </w:rPr>
        <w:t>Cuando para la valoración de las proposiciones hayan de tenerse en cuenta criterios distintos al del precio, el órgano competente para ello podrá solicitar, antes de formular su propuesta, cuantos informes técnicos considere precisos. Igualmente, podrán solicitarse estos informes cuando sea necesario verificar que las ofertas cumplen con las especificaciones técnicas del pliego.</w:t>
      </w:r>
    </w:p>
    <w:p w:rsidR="0092635B" w:rsidRDefault="00000000">
      <w:pPr>
        <w:pStyle w:val="Textoindependiente"/>
        <w:spacing w:before="4" w:line="249" w:lineRule="auto"/>
        <w:ind w:right="1104"/>
      </w:pPr>
      <w:r>
        <w:t>También se podrán requerir informes a las organizaciones sociales de usuarios destinatarios</w:t>
      </w:r>
      <w:r>
        <w:rPr>
          <w:spacing w:val="-3"/>
        </w:rPr>
        <w:t xml:space="preserve"> </w:t>
      </w:r>
      <w:r>
        <w:t>de</w:t>
      </w:r>
      <w:r>
        <w:rPr>
          <w:spacing w:val="-3"/>
        </w:rPr>
        <w:t xml:space="preserve"> </w:t>
      </w:r>
      <w:r>
        <w:t>la</w:t>
      </w:r>
      <w:r>
        <w:rPr>
          <w:spacing w:val="-3"/>
        </w:rPr>
        <w:t xml:space="preserve"> </w:t>
      </w:r>
      <w:r>
        <w:t>prestación,</w:t>
      </w:r>
      <w:r>
        <w:rPr>
          <w:spacing w:val="-3"/>
        </w:rPr>
        <w:t xml:space="preserve"> </w:t>
      </w:r>
      <w:r>
        <w:t>a</w:t>
      </w:r>
      <w:r>
        <w:rPr>
          <w:spacing w:val="-3"/>
        </w:rPr>
        <w:t xml:space="preserve"> </w:t>
      </w:r>
      <w:r>
        <w:t>las</w:t>
      </w:r>
      <w:r>
        <w:rPr>
          <w:spacing w:val="-3"/>
        </w:rPr>
        <w:t xml:space="preserve"> </w:t>
      </w:r>
      <w:r>
        <w:t>organizaciones</w:t>
      </w:r>
      <w:r>
        <w:rPr>
          <w:spacing w:val="-3"/>
        </w:rPr>
        <w:t xml:space="preserve"> </w:t>
      </w:r>
      <w:r>
        <w:t>representativas</w:t>
      </w:r>
      <w:r>
        <w:rPr>
          <w:spacing w:val="-3"/>
        </w:rPr>
        <w:t xml:space="preserve"> </w:t>
      </w:r>
      <w:r>
        <w:t>del</w:t>
      </w:r>
      <w:r>
        <w:rPr>
          <w:spacing w:val="-3"/>
        </w:rPr>
        <w:t xml:space="preserve"> </w:t>
      </w:r>
      <w:r>
        <w:t>ámbito</w:t>
      </w:r>
      <w:r>
        <w:rPr>
          <w:spacing w:val="-3"/>
        </w:rPr>
        <w:t xml:space="preserve"> </w:t>
      </w:r>
      <w:r>
        <w:t>de</w:t>
      </w:r>
      <w:r>
        <w:rPr>
          <w:spacing w:val="-3"/>
        </w:rPr>
        <w:t xml:space="preserve"> </w:t>
      </w:r>
      <w:r>
        <w:t>actividad</w:t>
      </w:r>
      <w:r>
        <w:rPr>
          <w:spacing w:val="-3"/>
        </w:rPr>
        <w:t xml:space="preserve"> </w:t>
      </w:r>
      <w:r>
        <w:t>al que corresponda el objeto del contrato, a las organizaciones sindicales, a las organizaciones que defiendan la igualdad de género y a otras organizaciones para la verificación de las consideraciones sociales y ambientales.</w:t>
      </w:r>
    </w:p>
    <w:p w:rsidR="0092635B" w:rsidRDefault="00000000">
      <w:pPr>
        <w:pStyle w:val="Prrafodelista"/>
        <w:numPr>
          <w:ilvl w:val="0"/>
          <w:numId w:val="215"/>
        </w:numPr>
        <w:tabs>
          <w:tab w:val="left" w:pos="1679"/>
        </w:tabs>
        <w:spacing w:before="4" w:line="249" w:lineRule="auto"/>
        <w:ind w:right="1105" w:firstLine="340"/>
        <w:jc w:val="both"/>
        <w:rPr>
          <w:sz w:val="20"/>
        </w:rPr>
      </w:pPr>
      <w:r>
        <w:rPr>
          <w:sz w:val="20"/>
        </w:rPr>
        <w:t>La propuesta de adjudicación no crea derecho alguno en favor del licitador propuesto frente a la Administración. No obstante, cuando el órgano de contratación no adjudique el contrato de acuerdo con la propuesta formulada deberá motivar su decisión.</w:t>
      </w:r>
    </w:p>
    <w:p w:rsidR="0092635B" w:rsidRDefault="00000000">
      <w:pPr>
        <w:spacing w:before="229"/>
        <w:ind w:left="1106"/>
        <w:rPr>
          <w:rFonts w:ascii="Arial" w:hAnsi="Arial"/>
          <w:i/>
          <w:sz w:val="20"/>
        </w:rPr>
      </w:pPr>
      <w:bookmarkStart w:id="251" w:name="Artículo_158._Adjudicación."/>
      <w:bookmarkEnd w:id="251"/>
      <w:r>
        <w:rPr>
          <w:rFonts w:ascii="Arial" w:hAnsi="Arial"/>
          <w:b/>
          <w:sz w:val="20"/>
        </w:rPr>
        <w:t>Artículo</w:t>
      </w:r>
      <w:r>
        <w:rPr>
          <w:rFonts w:ascii="Arial" w:hAnsi="Arial"/>
          <w:b/>
          <w:spacing w:val="-2"/>
          <w:sz w:val="20"/>
        </w:rPr>
        <w:t xml:space="preserve"> </w:t>
      </w:r>
      <w:r>
        <w:rPr>
          <w:rFonts w:ascii="Arial" w:hAnsi="Arial"/>
          <w:b/>
          <w:sz w:val="20"/>
        </w:rPr>
        <w:t>158.</w:t>
      </w:r>
      <w:r>
        <w:rPr>
          <w:rFonts w:ascii="Arial" w:hAnsi="Arial"/>
          <w:b/>
          <w:spacing w:val="54"/>
          <w:sz w:val="20"/>
        </w:rPr>
        <w:t xml:space="preserve"> </w:t>
      </w:r>
      <w:r>
        <w:rPr>
          <w:rFonts w:ascii="Arial" w:hAnsi="Arial"/>
          <w:i/>
          <w:spacing w:val="-2"/>
          <w:sz w:val="20"/>
        </w:rPr>
        <w:t>Adjudicación.</w:t>
      </w:r>
    </w:p>
    <w:p w:rsidR="0092635B" w:rsidRDefault="00000000">
      <w:pPr>
        <w:pStyle w:val="Prrafodelista"/>
        <w:numPr>
          <w:ilvl w:val="0"/>
          <w:numId w:val="214"/>
        </w:numPr>
        <w:tabs>
          <w:tab w:val="left" w:pos="1669"/>
        </w:tabs>
        <w:spacing w:before="123" w:line="249" w:lineRule="auto"/>
        <w:ind w:right="1104" w:firstLine="340"/>
        <w:jc w:val="both"/>
        <w:rPr>
          <w:sz w:val="20"/>
        </w:rPr>
      </w:pPr>
      <w:r>
        <w:rPr>
          <w:sz w:val="20"/>
        </w:rPr>
        <w:t>Cuando</w:t>
      </w:r>
      <w:r>
        <w:rPr>
          <w:spacing w:val="-1"/>
          <w:sz w:val="20"/>
        </w:rPr>
        <w:t xml:space="preserve"> </w:t>
      </w:r>
      <w:r>
        <w:rPr>
          <w:sz w:val="20"/>
        </w:rPr>
        <w:t>el</w:t>
      </w:r>
      <w:r>
        <w:rPr>
          <w:spacing w:val="-1"/>
          <w:sz w:val="20"/>
        </w:rPr>
        <w:t xml:space="preserve"> </w:t>
      </w:r>
      <w:r>
        <w:rPr>
          <w:sz w:val="20"/>
        </w:rPr>
        <w:t>único</w:t>
      </w:r>
      <w:r>
        <w:rPr>
          <w:spacing w:val="-1"/>
          <w:sz w:val="20"/>
        </w:rPr>
        <w:t xml:space="preserve"> </w:t>
      </w:r>
      <w:r>
        <w:rPr>
          <w:sz w:val="20"/>
        </w:rPr>
        <w:t>criterio</w:t>
      </w:r>
      <w:r>
        <w:rPr>
          <w:spacing w:val="-1"/>
          <w:sz w:val="20"/>
        </w:rPr>
        <w:t xml:space="preserve"> </w:t>
      </w:r>
      <w:r>
        <w:rPr>
          <w:sz w:val="20"/>
        </w:rPr>
        <w:t>para</w:t>
      </w:r>
      <w:r>
        <w:rPr>
          <w:spacing w:val="-1"/>
          <w:sz w:val="20"/>
        </w:rPr>
        <w:t xml:space="preserve"> </w:t>
      </w:r>
      <w:r>
        <w:rPr>
          <w:sz w:val="20"/>
        </w:rPr>
        <w:t>seleccionar</w:t>
      </w:r>
      <w:r>
        <w:rPr>
          <w:spacing w:val="-1"/>
          <w:sz w:val="20"/>
        </w:rPr>
        <w:t xml:space="preserve"> </w:t>
      </w:r>
      <w:r>
        <w:rPr>
          <w:sz w:val="20"/>
        </w:rPr>
        <w:t>al</w:t>
      </w:r>
      <w:r>
        <w:rPr>
          <w:spacing w:val="-1"/>
          <w:sz w:val="20"/>
        </w:rPr>
        <w:t xml:space="preserve"> </w:t>
      </w:r>
      <w:r>
        <w:rPr>
          <w:sz w:val="20"/>
        </w:rPr>
        <w:t>adjudicatario</w:t>
      </w:r>
      <w:r>
        <w:rPr>
          <w:spacing w:val="-1"/>
          <w:sz w:val="20"/>
        </w:rPr>
        <w:t xml:space="preserve"> </w:t>
      </w:r>
      <w:r>
        <w:rPr>
          <w:sz w:val="20"/>
        </w:rPr>
        <w:t>del</w:t>
      </w:r>
      <w:r>
        <w:rPr>
          <w:spacing w:val="-1"/>
          <w:sz w:val="20"/>
        </w:rPr>
        <w:t xml:space="preserve"> </w:t>
      </w:r>
      <w:r>
        <w:rPr>
          <w:sz w:val="20"/>
        </w:rPr>
        <w:t>contrato</w:t>
      </w:r>
      <w:r>
        <w:rPr>
          <w:spacing w:val="-1"/>
          <w:sz w:val="20"/>
        </w:rPr>
        <w:t xml:space="preserve"> </w:t>
      </w:r>
      <w:r>
        <w:rPr>
          <w:sz w:val="20"/>
        </w:rPr>
        <w:t>sea</w:t>
      </w:r>
      <w:r>
        <w:rPr>
          <w:spacing w:val="-1"/>
          <w:sz w:val="20"/>
        </w:rPr>
        <w:t xml:space="preserve"> </w:t>
      </w:r>
      <w:r>
        <w:rPr>
          <w:sz w:val="20"/>
        </w:rPr>
        <w:t>el</w:t>
      </w:r>
      <w:r>
        <w:rPr>
          <w:spacing w:val="-1"/>
          <w:sz w:val="20"/>
        </w:rPr>
        <w:t xml:space="preserve"> </w:t>
      </w:r>
      <w:r>
        <w:rPr>
          <w:sz w:val="20"/>
        </w:rPr>
        <w:t>del</w:t>
      </w:r>
      <w:r>
        <w:rPr>
          <w:spacing w:val="-1"/>
          <w:sz w:val="20"/>
        </w:rPr>
        <w:t xml:space="preserve"> </w:t>
      </w:r>
      <w:r>
        <w:rPr>
          <w:sz w:val="20"/>
        </w:rPr>
        <w:t>precio, la adjudicación deberá recaer en el plazo máximo de quince días a contar desde el siguiente al de apertura de las proposiciones.</w:t>
      </w:r>
    </w:p>
    <w:p w:rsidR="0092635B" w:rsidRDefault="00000000">
      <w:pPr>
        <w:pStyle w:val="Prrafodelista"/>
        <w:numPr>
          <w:ilvl w:val="0"/>
          <w:numId w:val="214"/>
        </w:numPr>
        <w:tabs>
          <w:tab w:val="left" w:pos="1685"/>
        </w:tabs>
        <w:spacing w:before="3" w:line="249" w:lineRule="auto"/>
        <w:ind w:right="1104" w:firstLine="340"/>
        <w:jc w:val="both"/>
        <w:rPr>
          <w:sz w:val="20"/>
        </w:rPr>
      </w:pPr>
      <w:r>
        <w:rPr>
          <w:sz w:val="20"/>
        </w:rPr>
        <w:t>Cuando para la adjudicación del contrato deban tenerse en cuenta una pluralidad de criterios, o utilizándose un único criterio sea este el del menor coste del ciclo de vida, el</w:t>
      </w:r>
      <w:r>
        <w:rPr>
          <w:spacing w:val="80"/>
          <w:sz w:val="20"/>
        </w:rPr>
        <w:t xml:space="preserve"> </w:t>
      </w:r>
      <w:r>
        <w:rPr>
          <w:sz w:val="20"/>
        </w:rPr>
        <w:t>plazo</w:t>
      </w:r>
      <w:r>
        <w:rPr>
          <w:spacing w:val="-2"/>
          <w:sz w:val="20"/>
        </w:rPr>
        <w:t xml:space="preserve"> </w:t>
      </w:r>
      <w:r>
        <w:rPr>
          <w:sz w:val="20"/>
        </w:rPr>
        <w:t>máximo</w:t>
      </w:r>
      <w:r>
        <w:rPr>
          <w:spacing w:val="-2"/>
          <w:sz w:val="20"/>
        </w:rPr>
        <w:t xml:space="preserve"> </w:t>
      </w:r>
      <w:r>
        <w:rPr>
          <w:sz w:val="20"/>
        </w:rPr>
        <w:t>para</w:t>
      </w:r>
      <w:r>
        <w:rPr>
          <w:spacing w:val="-2"/>
          <w:sz w:val="20"/>
        </w:rPr>
        <w:t xml:space="preserve"> </w:t>
      </w:r>
      <w:r>
        <w:rPr>
          <w:sz w:val="20"/>
        </w:rPr>
        <w:t>efectuar</w:t>
      </w:r>
      <w:r>
        <w:rPr>
          <w:spacing w:val="-2"/>
          <w:sz w:val="20"/>
        </w:rPr>
        <w:t xml:space="preserve"> </w:t>
      </w:r>
      <w:r>
        <w:rPr>
          <w:sz w:val="20"/>
        </w:rPr>
        <w:t>la</w:t>
      </w:r>
      <w:r>
        <w:rPr>
          <w:spacing w:val="-2"/>
          <w:sz w:val="20"/>
        </w:rPr>
        <w:t xml:space="preserve"> </w:t>
      </w:r>
      <w:r>
        <w:rPr>
          <w:sz w:val="20"/>
        </w:rPr>
        <w:t>adjudicación</w:t>
      </w:r>
      <w:r>
        <w:rPr>
          <w:spacing w:val="-2"/>
          <w:sz w:val="20"/>
        </w:rPr>
        <w:t xml:space="preserve"> </w:t>
      </w:r>
      <w:r>
        <w:rPr>
          <w:sz w:val="20"/>
        </w:rPr>
        <w:t>será</w:t>
      </w:r>
      <w:r>
        <w:rPr>
          <w:spacing w:val="-2"/>
          <w:sz w:val="20"/>
        </w:rPr>
        <w:t xml:space="preserve"> </w:t>
      </w:r>
      <w:r>
        <w:rPr>
          <w:sz w:val="20"/>
        </w:rPr>
        <w:t>de</w:t>
      </w:r>
      <w:r>
        <w:rPr>
          <w:spacing w:val="-2"/>
          <w:sz w:val="20"/>
        </w:rPr>
        <w:t xml:space="preserve"> </w:t>
      </w:r>
      <w:r>
        <w:rPr>
          <w:sz w:val="20"/>
        </w:rPr>
        <w:t>dos</w:t>
      </w:r>
      <w:r>
        <w:rPr>
          <w:spacing w:val="-2"/>
          <w:sz w:val="20"/>
        </w:rPr>
        <w:t xml:space="preserve"> </w:t>
      </w:r>
      <w:r>
        <w:rPr>
          <w:sz w:val="20"/>
        </w:rPr>
        <w:t>meses</w:t>
      </w:r>
      <w:r>
        <w:rPr>
          <w:spacing w:val="-2"/>
          <w:sz w:val="20"/>
        </w:rPr>
        <w:t xml:space="preserve"> </w:t>
      </w:r>
      <w:r>
        <w:rPr>
          <w:sz w:val="20"/>
        </w:rPr>
        <w:t>a</w:t>
      </w:r>
      <w:r>
        <w:rPr>
          <w:spacing w:val="-2"/>
          <w:sz w:val="20"/>
        </w:rPr>
        <w:t xml:space="preserve"> </w:t>
      </w:r>
      <w:r>
        <w:rPr>
          <w:sz w:val="20"/>
        </w:rPr>
        <w:t>contar</w:t>
      </w:r>
      <w:r>
        <w:rPr>
          <w:spacing w:val="-2"/>
          <w:sz w:val="20"/>
        </w:rPr>
        <w:t xml:space="preserve"> </w:t>
      </w:r>
      <w:r>
        <w:rPr>
          <w:sz w:val="20"/>
        </w:rPr>
        <w:t>desde</w:t>
      </w:r>
      <w:r>
        <w:rPr>
          <w:spacing w:val="-2"/>
          <w:sz w:val="20"/>
        </w:rPr>
        <w:t xml:space="preserve"> </w:t>
      </w:r>
      <w:r>
        <w:rPr>
          <w:sz w:val="20"/>
        </w:rPr>
        <w:t>la</w:t>
      </w:r>
      <w:r>
        <w:rPr>
          <w:spacing w:val="-2"/>
          <w:sz w:val="20"/>
        </w:rPr>
        <w:t xml:space="preserve"> </w:t>
      </w:r>
      <w:r>
        <w:rPr>
          <w:sz w:val="20"/>
        </w:rPr>
        <w:t>apertura</w:t>
      </w:r>
      <w:r>
        <w:rPr>
          <w:spacing w:val="-2"/>
          <w:sz w:val="20"/>
        </w:rPr>
        <w:t xml:space="preserve"> </w:t>
      </w:r>
      <w:r>
        <w:rPr>
          <w:sz w:val="20"/>
        </w:rPr>
        <w:t>de las proposiciones, salvo que se hubiese establecido otro en el pliego de cláusulas administrativas particulares.</w:t>
      </w:r>
    </w:p>
    <w:p w:rsidR="0092635B" w:rsidRDefault="00000000">
      <w:pPr>
        <w:pStyle w:val="Textoindependiente"/>
        <w:spacing w:before="4" w:line="249" w:lineRule="auto"/>
        <w:ind w:right="1104"/>
      </w:pPr>
      <w:r>
        <w:t>Si la proposición se contuviera en más de un sobre o archivo electrónico, de tal forma</w:t>
      </w:r>
      <w:r>
        <w:rPr>
          <w:spacing w:val="40"/>
        </w:rPr>
        <w:t xml:space="preserve"> </w:t>
      </w:r>
      <w:r>
        <w:t>que estos deban abrirse en varios actos independientes, el plazo anterior se computará desde el primer acto de apertura del sobre o archivo electrónico que contenga una parte de</w:t>
      </w:r>
      <w:r>
        <w:rPr>
          <w:spacing w:val="40"/>
        </w:rPr>
        <w:t xml:space="preserve"> </w:t>
      </w:r>
      <w:r>
        <w:t>la proposición.</w:t>
      </w:r>
    </w:p>
    <w:p w:rsidR="0092635B" w:rsidRDefault="00000000">
      <w:pPr>
        <w:pStyle w:val="Prrafodelista"/>
        <w:numPr>
          <w:ilvl w:val="0"/>
          <w:numId w:val="214"/>
        </w:numPr>
        <w:tabs>
          <w:tab w:val="left" w:pos="1678"/>
        </w:tabs>
        <w:spacing w:before="3" w:line="249" w:lineRule="auto"/>
        <w:ind w:firstLine="340"/>
        <w:jc w:val="both"/>
        <w:rPr>
          <w:sz w:val="20"/>
        </w:rPr>
      </w:pPr>
      <w:r>
        <w:rPr>
          <w:sz w:val="20"/>
        </w:rPr>
        <w:t>Los plazos indicados en los apartados anteriores se ampliarán en quince días hábiles cuando sea necesario seguir los trámites a que se refiere el apartado 4 del artículo 149 de la presente Ley.</w:t>
      </w:r>
    </w:p>
    <w:p w:rsidR="0092635B" w:rsidRDefault="00000000">
      <w:pPr>
        <w:pStyle w:val="Prrafodelista"/>
        <w:numPr>
          <w:ilvl w:val="0"/>
          <w:numId w:val="214"/>
        </w:numPr>
        <w:tabs>
          <w:tab w:val="left" w:pos="1723"/>
        </w:tabs>
        <w:spacing w:before="3" w:line="249" w:lineRule="auto"/>
        <w:ind w:firstLine="340"/>
        <w:jc w:val="both"/>
        <w:rPr>
          <w:sz w:val="20"/>
        </w:rPr>
      </w:pPr>
      <w:r>
        <w:rPr>
          <w:sz w:val="20"/>
        </w:rPr>
        <w:t>De no producirse la adjudicación dentro de los plazos señalados, los licitadores tendrán derecho a retirar su proposición, y a la devolución de la garantía provisional, de existir esta.</w:t>
      </w:r>
    </w:p>
    <w:p w:rsidR="0092635B" w:rsidRDefault="00000000">
      <w:pPr>
        <w:spacing w:before="229"/>
        <w:ind w:left="1106"/>
        <w:rPr>
          <w:rFonts w:ascii="Arial" w:hAnsi="Arial"/>
          <w:i/>
          <w:sz w:val="20"/>
        </w:rPr>
      </w:pPr>
      <w:bookmarkStart w:id="252" w:name="Artículo_159._Procedimiento_abierto_simp"/>
      <w:bookmarkEnd w:id="252"/>
      <w:r>
        <w:rPr>
          <w:rFonts w:ascii="Arial" w:hAnsi="Arial"/>
          <w:b/>
          <w:sz w:val="20"/>
        </w:rPr>
        <w:t>Artículo</w:t>
      </w:r>
      <w:r>
        <w:rPr>
          <w:rFonts w:ascii="Arial" w:hAnsi="Arial"/>
          <w:b/>
          <w:spacing w:val="-4"/>
          <w:sz w:val="20"/>
        </w:rPr>
        <w:t xml:space="preserve"> </w:t>
      </w:r>
      <w:r>
        <w:rPr>
          <w:rFonts w:ascii="Arial" w:hAnsi="Arial"/>
          <w:b/>
          <w:sz w:val="20"/>
        </w:rPr>
        <w:t>159.</w:t>
      </w:r>
      <w:r>
        <w:rPr>
          <w:rFonts w:ascii="Arial" w:hAnsi="Arial"/>
          <w:b/>
          <w:spacing w:val="47"/>
          <w:sz w:val="20"/>
        </w:rPr>
        <w:t xml:space="preserve"> </w:t>
      </w:r>
      <w:r>
        <w:rPr>
          <w:rFonts w:ascii="Arial" w:hAnsi="Arial"/>
          <w:i/>
          <w:sz w:val="20"/>
        </w:rPr>
        <w:t>Procedimiento</w:t>
      </w:r>
      <w:r>
        <w:rPr>
          <w:rFonts w:ascii="Arial" w:hAnsi="Arial"/>
          <w:i/>
          <w:spacing w:val="-4"/>
          <w:sz w:val="20"/>
        </w:rPr>
        <w:t xml:space="preserve"> </w:t>
      </w:r>
      <w:r>
        <w:rPr>
          <w:rFonts w:ascii="Arial" w:hAnsi="Arial"/>
          <w:i/>
          <w:sz w:val="20"/>
        </w:rPr>
        <w:t>abierto</w:t>
      </w:r>
      <w:r>
        <w:rPr>
          <w:rFonts w:ascii="Arial" w:hAnsi="Arial"/>
          <w:i/>
          <w:spacing w:val="-3"/>
          <w:sz w:val="20"/>
        </w:rPr>
        <w:t xml:space="preserve"> </w:t>
      </w:r>
      <w:r>
        <w:rPr>
          <w:rFonts w:ascii="Arial" w:hAnsi="Arial"/>
          <w:i/>
          <w:spacing w:val="-2"/>
          <w:sz w:val="20"/>
        </w:rPr>
        <w:t>simplificado.</w:t>
      </w:r>
    </w:p>
    <w:p w:rsidR="0092635B" w:rsidRDefault="00000000">
      <w:pPr>
        <w:pStyle w:val="Prrafodelista"/>
        <w:numPr>
          <w:ilvl w:val="0"/>
          <w:numId w:val="213"/>
        </w:numPr>
        <w:tabs>
          <w:tab w:val="left" w:pos="1676"/>
        </w:tabs>
        <w:spacing w:before="123" w:line="249" w:lineRule="auto"/>
        <w:ind w:right="1105" w:firstLine="340"/>
        <w:jc w:val="both"/>
        <w:rPr>
          <w:sz w:val="20"/>
        </w:rPr>
      </w:pPr>
      <w:r>
        <w:rPr>
          <w:sz w:val="20"/>
        </w:rPr>
        <w:t>Los órganos de contratación podrán acordar la utilización de un procedimiento abierto simplificado en los contratos de obras, suministro y servicios cuando se cumplan las dos condiciones siguientes:</w:t>
      </w:r>
    </w:p>
    <w:p w:rsidR="0092635B" w:rsidRDefault="00000000">
      <w:pPr>
        <w:pStyle w:val="Prrafodelista"/>
        <w:numPr>
          <w:ilvl w:val="1"/>
          <w:numId w:val="213"/>
        </w:numPr>
        <w:tabs>
          <w:tab w:val="left" w:pos="1729"/>
        </w:tabs>
        <w:spacing w:before="123" w:line="249" w:lineRule="auto"/>
        <w:ind w:firstLine="340"/>
        <w:jc w:val="both"/>
        <w:rPr>
          <w:sz w:val="20"/>
        </w:rPr>
      </w:pPr>
      <w:r>
        <w:rPr>
          <w:sz w:val="20"/>
        </w:rPr>
        <w:t>Que su valor estimado sea igual o inferior a 2.000.000 de euros en el caso de contratos de obras, y en el caso de contratos de suministro y de servicios, que su valor estimado</w:t>
      </w:r>
      <w:r>
        <w:rPr>
          <w:spacing w:val="-2"/>
          <w:sz w:val="20"/>
        </w:rPr>
        <w:t xml:space="preserve"> </w:t>
      </w:r>
      <w:r>
        <w:rPr>
          <w:sz w:val="20"/>
        </w:rPr>
        <w:t>sea</w:t>
      </w:r>
      <w:r>
        <w:rPr>
          <w:spacing w:val="-2"/>
          <w:sz w:val="20"/>
        </w:rPr>
        <w:t xml:space="preserve"> </w:t>
      </w:r>
      <w:r>
        <w:rPr>
          <w:sz w:val="20"/>
        </w:rPr>
        <w:t>inferior</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cantidades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artículos</w:t>
      </w:r>
      <w:r>
        <w:rPr>
          <w:spacing w:val="-2"/>
          <w:sz w:val="20"/>
        </w:rPr>
        <w:t xml:space="preserve"> </w:t>
      </w:r>
      <w:r>
        <w:rPr>
          <w:sz w:val="20"/>
        </w:rPr>
        <w:t>21.1,</w:t>
      </w:r>
      <w:r>
        <w:rPr>
          <w:spacing w:val="-2"/>
          <w:sz w:val="20"/>
        </w:rPr>
        <w:t xml:space="preserve"> </w:t>
      </w:r>
      <w:r>
        <w:rPr>
          <w:sz w:val="20"/>
        </w:rPr>
        <w:t>letra</w:t>
      </w:r>
      <w:r>
        <w:rPr>
          <w:spacing w:val="-2"/>
          <w:sz w:val="20"/>
        </w:rPr>
        <w:t xml:space="preserve"> </w:t>
      </w:r>
      <w:r>
        <w:rPr>
          <w:sz w:val="20"/>
        </w:rPr>
        <w:t>a),</w:t>
      </w:r>
      <w:r>
        <w:rPr>
          <w:spacing w:val="-2"/>
          <w:sz w:val="20"/>
        </w:rPr>
        <w:t xml:space="preserve"> </w:t>
      </w:r>
      <w:r>
        <w:rPr>
          <w:sz w:val="20"/>
        </w:rPr>
        <w:t>y</w:t>
      </w:r>
      <w:r>
        <w:rPr>
          <w:spacing w:val="-2"/>
          <w:sz w:val="20"/>
        </w:rPr>
        <w:t xml:space="preserve"> </w:t>
      </w:r>
      <w:r>
        <w:rPr>
          <w:sz w:val="20"/>
        </w:rPr>
        <w:t>22.1,</w:t>
      </w:r>
      <w:r>
        <w:rPr>
          <w:spacing w:val="-2"/>
          <w:sz w:val="20"/>
        </w:rPr>
        <w:t xml:space="preserve"> </w:t>
      </w:r>
      <w:r>
        <w:rPr>
          <w:sz w:val="20"/>
        </w:rPr>
        <w:t>letra a), de esta Ley, respectivamente, o a sus correspondientes actualizaciones.</w:t>
      </w:r>
    </w:p>
    <w:p w:rsidR="0092635B" w:rsidRDefault="00000000">
      <w:pPr>
        <w:pStyle w:val="Prrafodelista"/>
        <w:numPr>
          <w:ilvl w:val="1"/>
          <w:numId w:val="213"/>
        </w:numPr>
        <w:tabs>
          <w:tab w:val="left" w:pos="1742"/>
        </w:tabs>
        <w:spacing w:before="3" w:line="249" w:lineRule="auto"/>
        <w:ind w:right="1104" w:firstLine="340"/>
        <w:jc w:val="both"/>
        <w:rPr>
          <w:sz w:val="20"/>
        </w:rPr>
      </w:pPr>
      <w:r>
        <w:rPr>
          <w:sz w:val="20"/>
        </w:rPr>
        <w:t>Que entre los criterios de adjudicación previstos en el pliego no haya ninguno evaluable mediante juicio de valor o, de haberlos, su ponderación no supere el veinticinco</w:t>
      </w:r>
      <w:r>
        <w:rPr>
          <w:spacing w:val="40"/>
          <w:sz w:val="20"/>
        </w:rPr>
        <w:t xml:space="preserve"> </w:t>
      </w:r>
      <w:r>
        <w:rPr>
          <w:sz w:val="20"/>
        </w:rPr>
        <w:t>por ciento del total, salvo en el caso de que el contrato tenga por objeto prestaciones de carácter intelectual, como los servicios de ingeniería y arquitectura, en que su ponderación no podrá superar el cuarenta y cinco por ciento del total.</w:t>
      </w:r>
    </w:p>
    <w:p w:rsidR="0092635B" w:rsidRDefault="00000000">
      <w:pPr>
        <w:pStyle w:val="Prrafodelista"/>
        <w:numPr>
          <w:ilvl w:val="0"/>
          <w:numId w:val="213"/>
        </w:numPr>
        <w:tabs>
          <w:tab w:val="left" w:pos="1669"/>
        </w:tabs>
        <w:spacing w:before="124" w:line="249" w:lineRule="auto"/>
        <w:ind w:right="1104" w:firstLine="340"/>
        <w:jc w:val="both"/>
        <w:rPr>
          <w:sz w:val="20"/>
        </w:rPr>
      </w:pPr>
      <w:r>
        <w:rPr>
          <w:sz w:val="20"/>
        </w:rPr>
        <w:t>El</w:t>
      </w:r>
      <w:r>
        <w:rPr>
          <w:spacing w:val="-1"/>
          <w:sz w:val="20"/>
        </w:rPr>
        <w:t xml:space="preserve"> </w:t>
      </w:r>
      <w:r>
        <w:rPr>
          <w:sz w:val="20"/>
        </w:rPr>
        <w:t>anuncio</w:t>
      </w:r>
      <w:r>
        <w:rPr>
          <w:spacing w:val="-1"/>
          <w:sz w:val="20"/>
        </w:rPr>
        <w:t xml:space="preserve"> </w:t>
      </w:r>
      <w:r>
        <w:rPr>
          <w:sz w:val="20"/>
        </w:rPr>
        <w:t>de</w:t>
      </w:r>
      <w:r>
        <w:rPr>
          <w:spacing w:val="-1"/>
          <w:sz w:val="20"/>
        </w:rPr>
        <w:t xml:space="preserve"> </w:t>
      </w:r>
      <w:r>
        <w:rPr>
          <w:sz w:val="20"/>
        </w:rPr>
        <w:t>licitación</w:t>
      </w:r>
      <w:r>
        <w:rPr>
          <w:spacing w:val="-1"/>
          <w:sz w:val="20"/>
        </w:rPr>
        <w:t xml:space="preserve"> </w:t>
      </w:r>
      <w:r>
        <w:rPr>
          <w:sz w:val="20"/>
        </w:rPr>
        <w:t>del</w:t>
      </w:r>
      <w:r>
        <w:rPr>
          <w:spacing w:val="-1"/>
          <w:sz w:val="20"/>
        </w:rPr>
        <w:t xml:space="preserve"> </w:t>
      </w:r>
      <w:r>
        <w:rPr>
          <w:sz w:val="20"/>
        </w:rPr>
        <w:t>contrato</w:t>
      </w:r>
      <w:r>
        <w:rPr>
          <w:spacing w:val="-1"/>
          <w:sz w:val="20"/>
        </w:rPr>
        <w:t xml:space="preserve"> </w:t>
      </w:r>
      <w:r>
        <w:rPr>
          <w:sz w:val="20"/>
        </w:rPr>
        <w:t>únicamente</w:t>
      </w:r>
      <w:r>
        <w:rPr>
          <w:spacing w:val="-1"/>
          <w:sz w:val="20"/>
        </w:rPr>
        <w:t xml:space="preserve"> </w:t>
      </w:r>
      <w:r>
        <w:rPr>
          <w:sz w:val="20"/>
        </w:rPr>
        <w:t>precisará</w:t>
      </w:r>
      <w:r>
        <w:rPr>
          <w:spacing w:val="-1"/>
          <w:sz w:val="20"/>
        </w:rPr>
        <w:t xml:space="preserve"> </w:t>
      </w:r>
      <w:r>
        <w:rPr>
          <w:sz w:val="20"/>
        </w:rPr>
        <w:t>de</w:t>
      </w:r>
      <w:r>
        <w:rPr>
          <w:spacing w:val="-1"/>
          <w:sz w:val="20"/>
        </w:rPr>
        <w:t xml:space="preserve"> </w:t>
      </w:r>
      <w:r>
        <w:rPr>
          <w:sz w:val="20"/>
        </w:rPr>
        <w:t>publicación</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perfil</w:t>
      </w:r>
      <w:r>
        <w:rPr>
          <w:spacing w:val="-1"/>
          <w:sz w:val="20"/>
        </w:rPr>
        <w:t xml:space="preserve"> </w:t>
      </w:r>
      <w:r>
        <w:rPr>
          <w:sz w:val="20"/>
        </w:rPr>
        <w:t>de contratante</w:t>
      </w:r>
      <w:r>
        <w:rPr>
          <w:spacing w:val="76"/>
          <w:w w:val="150"/>
          <w:sz w:val="20"/>
        </w:rPr>
        <w:t xml:space="preserve"> </w:t>
      </w:r>
      <w:r>
        <w:rPr>
          <w:sz w:val="20"/>
        </w:rPr>
        <w:t>del</w:t>
      </w:r>
      <w:r>
        <w:rPr>
          <w:spacing w:val="76"/>
          <w:w w:val="150"/>
          <w:sz w:val="20"/>
        </w:rPr>
        <w:t xml:space="preserve"> </w:t>
      </w:r>
      <w:r>
        <w:rPr>
          <w:sz w:val="20"/>
        </w:rPr>
        <w:t>órgano</w:t>
      </w:r>
      <w:r>
        <w:rPr>
          <w:spacing w:val="76"/>
          <w:w w:val="150"/>
          <w:sz w:val="20"/>
        </w:rPr>
        <w:t xml:space="preserve"> </w:t>
      </w:r>
      <w:r>
        <w:rPr>
          <w:sz w:val="20"/>
        </w:rPr>
        <w:t>de</w:t>
      </w:r>
      <w:r>
        <w:rPr>
          <w:spacing w:val="76"/>
          <w:w w:val="150"/>
          <w:sz w:val="20"/>
        </w:rPr>
        <w:t xml:space="preserve"> </w:t>
      </w:r>
      <w:r>
        <w:rPr>
          <w:sz w:val="20"/>
        </w:rPr>
        <w:t>contratación.</w:t>
      </w:r>
      <w:r>
        <w:rPr>
          <w:spacing w:val="76"/>
          <w:w w:val="150"/>
          <w:sz w:val="20"/>
        </w:rPr>
        <w:t xml:space="preserve"> </w:t>
      </w:r>
      <w:r>
        <w:rPr>
          <w:sz w:val="20"/>
        </w:rPr>
        <w:t>Toda</w:t>
      </w:r>
      <w:r>
        <w:rPr>
          <w:spacing w:val="76"/>
          <w:w w:val="150"/>
          <w:sz w:val="20"/>
        </w:rPr>
        <w:t xml:space="preserve"> </w:t>
      </w:r>
      <w:r>
        <w:rPr>
          <w:sz w:val="20"/>
        </w:rPr>
        <w:t>la</w:t>
      </w:r>
      <w:r>
        <w:rPr>
          <w:spacing w:val="76"/>
          <w:w w:val="150"/>
          <w:sz w:val="20"/>
        </w:rPr>
        <w:t xml:space="preserve"> </w:t>
      </w:r>
      <w:r>
        <w:rPr>
          <w:sz w:val="20"/>
        </w:rPr>
        <w:t>documentación</w:t>
      </w:r>
      <w:r>
        <w:rPr>
          <w:spacing w:val="76"/>
          <w:w w:val="150"/>
          <w:sz w:val="20"/>
        </w:rPr>
        <w:t xml:space="preserve"> </w:t>
      </w:r>
      <w:r>
        <w:rPr>
          <w:sz w:val="20"/>
        </w:rPr>
        <w:t>necesaria</w:t>
      </w:r>
      <w:r>
        <w:rPr>
          <w:spacing w:val="76"/>
          <w:w w:val="150"/>
          <w:sz w:val="20"/>
        </w:rPr>
        <w:t xml:space="preserve"> </w:t>
      </w:r>
      <w:r>
        <w:rPr>
          <w:sz w:val="20"/>
        </w:rPr>
        <w:t>para</w:t>
      </w:r>
      <w:r>
        <w:rPr>
          <w:spacing w:val="76"/>
          <w:w w:val="150"/>
          <w:sz w:val="20"/>
        </w:rPr>
        <w:t xml:space="preserve"> </w:t>
      </w:r>
      <w:r>
        <w:rPr>
          <w:sz w:val="20"/>
        </w:rPr>
        <w:t>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6" w:hanging="1"/>
      </w:pPr>
      <w:r>
        <w:t>presentación de la oferta tiene que estar disponible por medios electrónicos desde el día de la publicación del anuncio en dicho perfil de contratante.</w:t>
      </w:r>
    </w:p>
    <w:p w:rsidR="0092635B" w:rsidRDefault="00000000">
      <w:pPr>
        <w:pStyle w:val="Prrafodelista"/>
        <w:numPr>
          <w:ilvl w:val="0"/>
          <w:numId w:val="213"/>
        </w:numPr>
        <w:tabs>
          <w:tab w:val="left" w:pos="1688"/>
        </w:tabs>
        <w:spacing w:before="1" w:line="249" w:lineRule="auto"/>
        <w:ind w:right="1105" w:firstLine="340"/>
        <w:jc w:val="both"/>
        <w:rPr>
          <w:sz w:val="20"/>
        </w:rPr>
      </w:pPr>
      <w:r>
        <w:rPr>
          <w:sz w:val="20"/>
        </w:rPr>
        <w:t>El plazo para la presentación de proposiciones no podrá ser inferior a quince días a contar desde el siguiente a la publicación en el perfil de contratante del anuncio de licitación. En los contratos de obras el plazo será como mínimo de veinte días.</w:t>
      </w:r>
    </w:p>
    <w:p w:rsidR="0092635B" w:rsidRDefault="00000000">
      <w:pPr>
        <w:pStyle w:val="Prrafodelista"/>
        <w:numPr>
          <w:ilvl w:val="0"/>
          <w:numId w:val="213"/>
        </w:numPr>
        <w:tabs>
          <w:tab w:val="left" w:pos="1668"/>
        </w:tabs>
        <w:spacing w:before="3"/>
        <w:ind w:left="1668" w:right="0" w:hanging="222"/>
        <w:jc w:val="both"/>
        <w:rPr>
          <w:sz w:val="20"/>
        </w:rPr>
      </w:pPr>
      <w:r>
        <w:rPr>
          <w:sz w:val="20"/>
        </w:rPr>
        <w:t>La</w:t>
      </w:r>
      <w:r>
        <w:rPr>
          <w:spacing w:val="-4"/>
          <w:sz w:val="20"/>
        </w:rPr>
        <w:t xml:space="preserve"> </w:t>
      </w:r>
      <w:r>
        <w:rPr>
          <w:sz w:val="20"/>
        </w:rPr>
        <w:t>tramitación</w:t>
      </w:r>
      <w:r>
        <w:rPr>
          <w:spacing w:val="-4"/>
          <w:sz w:val="20"/>
        </w:rPr>
        <w:t xml:space="preserve"> </w:t>
      </w:r>
      <w:r>
        <w:rPr>
          <w:sz w:val="20"/>
        </w:rPr>
        <w:t>del</w:t>
      </w:r>
      <w:r>
        <w:rPr>
          <w:spacing w:val="-3"/>
          <w:sz w:val="20"/>
        </w:rPr>
        <w:t xml:space="preserve"> </w:t>
      </w:r>
      <w:r>
        <w:rPr>
          <w:sz w:val="20"/>
        </w:rPr>
        <w:t>procedimiento</w:t>
      </w:r>
      <w:r>
        <w:rPr>
          <w:spacing w:val="-4"/>
          <w:sz w:val="20"/>
        </w:rPr>
        <w:t xml:space="preserve"> </w:t>
      </w:r>
      <w:r>
        <w:rPr>
          <w:sz w:val="20"/>
        </w:rPr>
        <w:t>se</w:t>
      </w:r>
      <w:r>
        <w:rPr>
          <w:spacing w:val="-4"/>
          <w:sz w:val="20"/>
        </w:rPr>
        <w:t xml:space="preserve"> </w:t>
      </w:r>
      <w:r>
        <w:rPr>
          <w:sz w:val="20"/>
        </w:rPr>
        <w:t>ajustará</w:t>
      </w:r>
      <w:r>
        <w:rPr>
          <w:spacing w:val="-3"/>
          <w:sz w:val="20"/>
        </w:rPr>
        <w:t xml:space="preserve"> </w:t>
      </w:r>
      <w:r>
        <w:rPr>
          <w:sz w:val="20"/>
        </w:rPr>
        <w:t>a</w:t>
      </w:r>
      <w:r>
        <w:rPr>
          <w:spacing w:val="-4"/>
          <w:sz w:val="20"/>
        </w:rPr>
        <w:t xml:space="preserve"> </w:t>
      </w:r>
      <w:r>
        <w:rPr>
          <w:sz w:val="20"/>
        </w:rPr>
        <w:t>las</w:t>
      </w:r>
      <w:r>
        <w:rPr>
          <w:spacing w:val="-4"/>
          <w:sz w:val="20"/>
        </w:rPr>
        <w:t xml:space="preserve"> </w:t>
      </w:r>
      <w:r>
        <w:rPr>
          <w:sz w:val="20"/>
        </w:rPr>
        <w:t>siguientes</w:t>
      </w:r>
      <w:r>
        <w:rPr>
          <w:spacing w:val="-3"/>
          <w:sz w:val="20"/>
        </w:rPr>
        <w:t xml:space="preserve"> </w:t>
      </w:r>
      <w:r>
        <w:rPr>
          <w:spacing w:val="-2"/>
          <w:sz w:val="20"/>
        </w:rPr>
        <w:t>especialidades:</w:t>
      </w:r>
    </w:p>
    <w:p w:rsidR="0092635B" w:rsidRDefault="00000000">
      <w:pPr>
        <w:pStyle w:val="Prrafodelista"/>
        <w:numPr>
          <w:ilvl w:val="1"/>
          <w:numId w:val="213"/>
        </w:numPr>
        <w:tabs>
          <w:tab w:val="left" w:pos="1728"/>
        </w:tabs>
        <w:spacing w:before="130" w:line="249" w:lineRule="auto"/>
        <w:ind w:firstLine="340"/>
        <w:jc w:val="both"/>
        <w:rPr>
          <w:sz w:val="20"/>
        </w:rPr>
      </w:pPr>
      <w:r>
        <w:rPr>
          <w:sz w:val="20"/>
        </w:rPr>
        <w:t>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 A estos efectos, también se considerará admisible la proposición</w:t>
      </w:r>
      <w:r>
        <w:rPr>
          <w:spacing w:val="80"/>
          <w:sz w:val="20"/>
        </w:rPr>
        <w:t xml:space="preserve"> </w:t>
      </w:r>
      <w:r>
        <w:rPr>
          <w:sz w:val="20"/>
        </w:rPr>
        <w:t>del licitador que acredite haber presentado la solicitud de inscripción en el correspondiente Registro junto con la documentación preceptiva para ello, siempre que tal solicitud sea de fecha anterior a la fecha final de presentación de las ofertas. La acreditación de esta circunstancia tendrá lugar mediante la aportación del acuse de recibo de la solicitud emitido por el correspondiente Registro y de una declaración responsable de haber aportado la documentación preceptiva y de no haber recibido requerimiento de subsanación.</w:t>
      </w:r>
    </w:p>
    <w:p w:rsidR="0092635B" w:rsidRDefault="00000000">
      <w:pPr>
        <w:pStyle w:val="Prrafodelista"/>
        <w:numPr>
          <w:ilvl w:val="1"/>
          <w:numId w:val="213"/>
        </w:numPr>
        <w:tabs>
          <w:tab w:val="left" w:pos="1679"/>
        </w:tabs>
        <w:spacing w:before="10"/>
        <w:ind w:left="1679" w:right="0" w:hanging="233"/>
        <w:jc w:val="both"/>
        <w:rPr>
          <w:sz w:val="20"/>
        </w:rPr>
      </w:pPr>
      <w:r>
        <w:rPr>
          <w:sz w:val="20"/>
        </w:rPr>
        <w:t>No</w:t>
      </w:r>
      <w:r>
        <w:rPr>
          <w:spacing w:val="-6"/>
          <w:sz w:val="20"/>
        </w:rPr>
        <w:t xml:space="preserve"> </w:t>
      </w:r>
      <w:r>
        <w:rPr>
          <w:sz w:val="20"/>
        </w:rPr>
        <w:t>procederá</w:t>
      </w:r>
      <w:r>
        <w:rPr>
          <w:spacing w:val="-4"/>
          <w:sz w:val="20"/>
        </w:rPr>
        <w:t xml:space="preserve"> </w:t>
      </w:r>
      <w:r>
        <w:rPr>
          <w:sz w:val="20"/>
        </w:rPr>
        <w:t>la</w:t>
      </w:r>
      <w:r>
        <w:rPr>
          <w:spacing w:val="-4"/>
          <w:sz w:val="20"/>
        </w:rPr>
        <w:t xml:space="preserve"> </w:t>
      </w:r>
      <w:r>
        <w:rPr>
          <w:sz w:val="20"/>
        </w:rPr>
        <w:t>constitución</w:t>
      </w:r>
      <w:r>
        <w:rPr>
          <w:spacing w:val="-4"/>
          <w:sz w:val="20"/>
        </w:rPr>
        <w:t xml:space="preserve"> </w:t>
      </w:r>
      <w:r>
        <w:rPr>
          <w:sz w:val="20"/>
        </w:rPr>
        <w:t>de</w:t>
      </w:r>
      <w:r>
        <w:rPr>
          <w:spacing w:val="-4"/>
          <w:sz w:val="20"/>
        </w:rPr>
        <w:t xml:space="preserve"> </w:t>
      </w:r>
      <w:r>
        <w:rPr>
          <w:sz w:val="20"/>
        </w:rPr>
        <w:t>garantía</w:t>
      </w:r>
      <w:r>
        <w:rPr>
          <w:spacing w:val="-4"/>
          <w:sz w:val="20"/>
        </w:rPr>
        <w:t xml:space="preserve"> </w:t>
      </w:r>
      <w:r>
        <w:rPr>
          <w:sz w:val="20"/>
        </w:rPr>
        <w:t>provisional</w:t>
      </w:r>
      <w:r>
        <w:rPr>
          <w:spacing w:val="-4"/>
          <w:sz w:val="20"/>
        </w:rPr>
        <w:t xml:space="preserve"> </w:t>
      </w:r>
      <w:r>
        <w:rPr>
          <w:sz w:val="20"/>
        </w:rPr>
        <w:t>por</w:t>
      </w:r>
      <w:r>
        <w:rPr>
          <w:spacing w:val="-4"/>
          <w:sz w:val="20"/>
        </w:rPr>
        <w:t xml:space="preserve"> </w:t>
      </w:r>
      <w:r>
        <w:rPr>
          <w:sz w:val="20"/>
        </w:rPr>
        <w:t>parte</w:t>
      </w:r>
      <w:r>
        <w:rPr>
          <w:spacing w:val="-4"/>
          <w:sz w:val="20"/>
        </w:rPr>
        <w:t xml:space="preserve"> </w:t>
      </w:r>
      <w:r>
        <w:rPr>
          <w:sz w:val="20"/>
        </w:rPr>
        <w:t>de</w:t>
      </w:r>
      <w:r>
        <w:rPr>
          <w:spacing w:val="-4"/>
          <w:sz w:val="20"/>
        </w:rPr>
        <w:t xml:space="preserve"> </w:t>
      </w:r>
      <w:r>
        <w:rPr>
          <w:sz w:val="20"/>
        </w:rPr>
        <w:t>los</w:t>
      </w:r>
      <w:r>
        <w:rPr>
          <w:spacing w:val="-4"/>
          <w:sz w:val="20"/>
        </w:rPr>
        <w:t xml:space="preserve"> </w:t>
      </w:r>
      <w:r>
        <w:rPr>
          <w:spacing w:val="-2"/>
          <w:sz w:val="20"/>
        </w:rPr>
        <w:t>licitadores.</w:t>
      </w:r>
    </w:p>
    <w:p w:rsidR="0092635B" w:rsidRDefault="00000000">
      <w:pPr>
        <w:pStyle w:val="Prrafodelista"/>
        <w:numPr>
          <w:ilvl w:val="1"/>
          <w:numId w:val="213"/>
        </w:numPr>
        <w:tabs>
          <w:tab w:val="left" w:pos="1670"/>
        </w:tabs>
        <w:spacing w:before="10" w:line="249" w:lineRule="auto"/>
        <w:ind w:right="1104" w:firstLine="340"/>
        <w:jc w:val="both"/>
        <w:rPr>
          <w:sz w:val="20"/>
        </w:rPr>
      </w:pPr>
      <w:r>
        <w:rPr>
          <w:sz w:val="20"/>
        </w:rPr>
        <w:t>Las</w:t>
      </w:r>
      <w:r>
        <w:rPr>
          <w:spacing w:val="-2"/>
          <w:sz w:val="20"/>
        </w:rPr>
        <w:t xml:space="preserve"> </w:t>
      </w:r>
      <w:r>
        <w:rPr>
          <w:sz w:val="20"/>
        </w:rPr>
        <w:t>proposiciones</w:t>
      </w:r>
      <w:r>
        <w:rPr>
          <w:spacing w:val="-2"/>
          <w:sz w:val="20"/>
        </w:rPr>
        <w:t xml:space="preserve"> </w:t>
      </w:r>
      <w:r>
        <w:rPr>
          <w:sz w:val="20"/>
        </w:rPr>
        <w:t>deberán</w:t>
      </w:r>
      <w:r>
        <w:rPr>
          <w:spacing w:val="-2"/>
          <w:sz w:val="20"/>
        </w:rPr>
        <w:t xml:space="preserve"> </w:t>
      </w:r>
      <w:r>
        <w:rPr>
          <w:sz w:val="20"/>
        </w:rPr>
        <w:t>presentarse</w:t>
      </w:r>
      <w:r>
        <w:rPr>
          <w:spacing w:val="-2"/>
          <w:sz w:val="20"/>
        </w:rPr>
        <w:t xml:space="preserve"> </w:t>
      </w:r>
      <w:r>
        <w:rPr>
          <w:sz w:val="20"/>
        </w:rPr>
        <w:t>necesaria</w:t>
      </w:r>
      <w:r>
        <w:rPr>
          <w:spacing w:val="-2"/>
          <w:sz w:val="20"/>
        </w:rPr>
        <w:t xml:space="preserve"> </w:t>
      </w:r>
      <w:r>
        <w:rPr>
          <w:sz w:val="20"/>
        </w:rPr>
        <w:t>y</w:t>
      </w:r>
      <w:r>
        <w:rPr>
          <w:spacing w:val="-2"/>
          <w:sz w:val="20"/>
        </w:rPr>
        <w:t xml:space="preserve"> </w:t>
      </w:r>
      <w:r>
        <w:rPr>
          <w:sz w:val="20"/>
        </w:rPr>
        <w:t>únicamente</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registro</w:t>
      </w:r>
      <w:r>
        <w:rPr>
          <w:spacing w:val="-2"/>
          <w:sz w:val="20"/>
        </w:rPr>
        <w:t xml:space="preserve"> </w:t>
      </w:r>
      <w:r>
        <w:rPr>
          <w:sz w:val="20"/>
        </w:rPr>
        <w:t>indicado en el anuncio de licitación.</w:t>
      </w:r>
    </w:p>
    <w:p w:rsidR="0092635B" w:rsidRDefault="00000000">
      <w:pPr>
        <w:pStyle w:val="Textoindependiente"/>
        <w:spacing w:before="1" w:line="249" w:lineRule="auto"/>
        <w:ind w:right="1103"/>
      </w:pPr>
      <w:r>
        <w:t>La presentación de la oferta exigirá la declaración responsable del firmante respecto a ostentar la representación de la sociedad que presenta la oferta; a contar con la adecuada solvencia económica, financiera y técnica o, en su caso, la clasificación correspondiente; a contar con las autorizaciones necesarias para ejercer la actividad; a no estar incurso en prohibición de contratar alguna; y se pronunciará sobre la existencia del compromiso a que se refiere el artículo 75.2. A tales efectos, el modelo de oferta que figure como anexo al pliego recogerá esa declaración responsable.</w:t>
      </w:r>
    </w:p>
    <w:p w:rsidR="0092635B" w:rsidRDefault="00000000">
      <w:pPr>
        <w:pStyle w:val="Textoindependiente"/>
        <w:spacing w:before="6" w:line="249" w:lineRule="auto"/>
        <w:ind w:right="1103"/>
      </w:pPr>
      <w:r>
        <w:t>Adicionalmente, en el caso de que la empresa fuera extranjera, la declaración responsable incluirá el sometimiento al fuero español.</w:t>
      </w:r>
    </w:p>
    <w:p w:rsidR="0092635B" w:rsidRDefault="00000000">
      <w:pPr>
        <w:pStyle w:val="Textoindependiente"/>
        <w:spacing w:line="249" w:lineRule="auto"/>
        <w:ind w:right="1104"/>
      </w:pPr>
      <w:r>
        <w:t>En el supuesto de que la oferta se presentara por una unión temporal de empresarios, deberá acompañar a aquella el compromiso de constitución de la unión.</w:t>
      </w:r>
    </w:p>
    <w:p w:rsidR="0092635B" w:rsidRDefault="00000000">
      <w:pPr>
        <w:pStyle w:val="Prrafodelista"/>
        <w:numPr>
          <w:ilvl w:val="1"/>
          <w:numId w:val="213"/>
        </w:numPr>
        <w:tabs>
          <w:tab w:val="left" w:pos="1696"/>
        </w:tabs>
        <w:spacing w:before="1" w:line="249" w:lineRule="auto"/>
        <w:ind w:firstLine="340"/>
        <w:jc w:val="both"/>
        <w:rPr>
          <w:sz w:val="20"/>
        </w:rPr>
      </w:pPr>
      <w:r>
        <w:rPr>
          <w:sz w:val="20"/>
        </w:rPr>
        <w:t>La oferta se presentará en un único sobre o archivo electrónico en los supuestos en que en el procedimiento no se contemplen criterios de adjudicación cuya cuantificación dependa de un juicio de valor. En caso contrario, la oferta se presentará en dos sobres o archivos electrónicos.</w:t>
      </w:r>
    </w:p>
    <w:p w:rsidR="0092635B" w:rsidRDefault="00000000">
      <w:pPr>
        <w:pStyle w:val="Textoindependiente"/>
        <w:spacing w:before="4" w:line="249" w:lineRule="auto"/>
        <w:ind w:right="1103"/>
      </w:pPr>
      <w:r>
        <w:t>La apertura de los sobres o archivos electrónicos conteniendo la proposición se hará por el orden que proceda de conformidad con lo establecido en el artículo 145 en función del método aplicable para valorar los criterios de adjudicación establecidos en los pliegos. La apertura se hará por la mesa de contratación a la que se refiere el apartado 6 del artículo</w:t>
      </w:r>
      <w:r>
        <w:rPr>
          <w:spacing w:val="40"/>
        </w:rPr>
        <w:t xml:space="preserve"> </w:t>
      </w:r>
      <w:r>
        <w:t>326 de la presente Ley.</w:t>
      </w:r>
    </w:p>
    <w:p w:rsidR="0092635B" w:rsidRDefault="00000000">
      <w:pPr>
        <w:pStyle w:val="Prrafodelista"/>
        <w:numPr>
          <w:ilvl w:val="1"/>
          <w:numId w:val="213"/>
        </w:numPr>
        <w:tabs>
          <w:tab w:val="left" w:pos="1690"/>
        </w:tabs>
        <w:spacing w:before="4" w:line="249" w:lineRule="auto"/>
        <w:ind w:right="1104" w:firstLine="340"/>
        <w:jc w:val="both"/>
        <w:rPr>
          <w:sz w:val="20"/>
        </w:rPr>
      </w:pPr>
      <w:r>
        <w:rPr>
          <w:sz w:val="20"/>
        </w:rPr>
        <w:t>En los supuestos en que en el procedimiento se contemplen criterios de adjudicación cuya cuantificación dependa de un juicio de valor, la valoración de las proposiciones se hará por los servicios técnicos del órgano de contratación en un plazo no superior a siete días, debiendo ser suscritas por el técnico o técnicos que realicen la valoración.</w:t>
      </w:r>
    </w:p>
    <w:p w:rsidR="0092635B" w:rsidRDefault="00000000">
      <w:pPr>
        <w:pStyle w:val="Prrafodelista"/>
        <w:numPr>
          <w:ilvl w:val="1"/>
          <w:numId w:val="213"/>
        </w:numPr>
        <w:tabs>
          <w:tab w:val="left" w:pos="1635"/>
        </w:tabs>
        <w:spacing w:before="3" w:line="249" w:lineRule="auto"/>
        <w:ind w:right="1105" w:firstLine="340"/>
        <w:jc w:val="both"/>
        <w:rPr>
          <w:sz w:val="20"/>
        </w:rPr>
      </w:pPr>
      <w:r>
        <w:rPr>
          <w:sz w:val="20"/>
        </w:rPr>
        <w:t>En todo caso, la valoración a la que se refiere la letra anterior deberá estar efectuada con anterioridad a la apertura del sobre o archivo electrónico que contenga la oferta evaluable a través de criterios cuantificables mediante la mera aplicación de fórmulas.</w:t>
      </w:r>
    </w:p>
    <w:p w:rsidR="0092635B" w:rsidRDefault="00000000">
      <w:pPr>
        <w:pStyle w:val="Textoindependiente"/>
        <w:ind w:left="1446" w:firstLine="0"/>
      </w:pPr>
      <w:r>
        <w:t>Tras</w:t>
      </w:r>
      <w:r>
        <w:rPr>
          <w:spacing w:val="4"/>
        </w:rPr>
        <w:t xml:space="preserve"> </w:t>
      </w:r>
      <w:r>
        <w:t>la</w:t>
      </w:r>
      <w:r>
        <w:rPr>
          <w:spacing w:val="4"/>
        </w:rPr>
        <w:t xml:space="preserve"> </w:t>
      </w:r>
      <w:r>
        <w:t>apertura</w:t>
      </w:r>
      <w:r>
        <w:rPr>
          <w:spacing w:val="5"/>
        </w:rPr>
        <w:t xml:space="preserve"> </w:t>
      </w:r>
      <w:r>
        <w:t>del</w:t>
      </w:r>
      <w:r>
        <w:rPr>
          <w:spacing w:val="4"/>
        </w:rPr>
        <w:t xml:space="preserve"> </w:t>
      </w:r>
      <w:r>
        <w:t>sobre</w:t>
      </w:r>
      <w:r>
        <w:rPr>
          <w:spacing w:val="5"/>
        </w:rPr>
        <w:t xml:space="preserve"> </w:t>
      </w:r>
      <w:r>
        <w:t>o</w:t>
      </w:r>
      <w:r>
        <w:rPr>
          <w:spacing w:val="4"/>
        </w:rPr>
        <w:t xml:space="preserve"> </w:t>
      </w:r>
      <w:r>
        <w:t>archivo</w:t>
      </w:r>
      <w:r>
        <w:rPr>
          <w:spacing w:val="5"/>
        </w:rPr>
        <w:t xml:space="preserve"> </w:t>
      </w:r>
      <w:r>
        <w:t>electrónico</w:t>
      </w:r>
      <w:r>
        <w:rPr>
          <w:spacing w:val="4"/>
        </w:rPr>
        <w:t xml:space="preserve"> </w:t>
      </w:r>
      <w:r>
        <w:t>y</w:t>
      </w:r>
      <w:r>
        <w:rPr>
          <w:spacing w:val="5"/>
        </w:rPr>
        <w:t xml:space="preserve"> </w:t>
      </w:r>
      <w:r>
        <w:t>en</w:t>
      </w:r>
      <w:r>
        <w:rPr>
          <w:spacing w:val="4"/>
        </w:rPr>
        <w:t xml:space="preserve"> </w:t>
      </w:r>
      <w:r>
        <w:t>la</w:t>
      </w:r>
      <w:r>
        <w:rPr>
          <w:spacing w:val="5"/>
        </w:rPr>
        <w:t xml:space="preserve"> </w:t>
      </w:r>
      <w:r>
        <w:t>misma</w:t>
      </w:r>
      <w:r>
        <w:rPr>
          <w:spacing w:val="4"/>
        </w:rPr>
        <w:t xml:space="preserve"> </w:t>
      </w:r>
      <w:r>
        <w:t>sesión</w:t>
      </w:r>
      <w:r>
        <w:rPr>
          <w:spacing w:val="5"/>
        </w:rPr>
        <w:t xml:space="preserve"> </w:t>
      </w:r>
      <w:r>
        <w:t>la</w:t>
      </w:r>
      <w:r>
        <w:rPr>
          <w:spacing w:val="4"/>
        </w:rPr>
        <w:t xml:space="preserve"> </w:t>
      </w:r>
      <w:r>
        <w:t>mesa</w:t>
      </w:r>
      <w:r>
        <w:rPr>
          <w:spacing w:val="5"/>
        </w:rPr>
        <w:t xml:space="preserve"> </w:t>
      </w:r>
      <w:r>
        <w:rPr>
          <w:spacing w:val="-2"/>
        </w:rPr>
        <w:t>procederá</w:t>
      </w:r>
    </w:p>
    <w:p w:rsidR="0092635B" w:rsidRDefault="00000000">
      <w:pPr>
        <w:pStyle w:val="Textoindependiente"/>
        <w:spacing w:before="10"/>
        <w:ind w:firstLine="0"/>
        <w:jc w:val="left"/>
      </w:pPr>
      <w:r>
        <w:rPr>
          <w:spacing w:val="-5"/>
        </w:rPr>
        <w:t>a:</w:t>
      </w:r>
    </w:p>
    <w:p w:rsidR="0092635B" w:rsidRDefault="00000000">
      <w:pPr>
        <w:pStyle w:val="Prrafodelista"/>
        <w:numPr>
          <w:ilvl w:val="0"/>
          <w:numId w:val="212"/>
        </w:numPr>
        <w:tabs>
          <w:tab w:val="left" w:pos="505"/>
        </w:tabs>
        <w:spacing w:before="130"/>
        <w:ind w:left="505" w:right="0" w:hanging="164"/>
        <w:jc w:val="center"/>
        <w:rPr>
          <w:sz w:val="20"/>
        </w:rPr>
      </w:pPr>
      <w:r>
        <w:rPr>
          <w:sz w:val="20"/>
        </w:rPr>
        <w:t>º</w:t>
      </w:r>
      <w:r>
        <w:rPr>
          <w:spacing w:val="19"/>
          <w:sz w:val="20"/>
        </w:rPr>
        <w:t xml:space="preserve"> </w:t>
      </w:r>
      <w:r>
        <w:rPr>
          <w:sz w:val="20"/>
        </w:rPr>
        <w:t>Previa</w:t>
      </w:r>
      <w:r>
        <w:rPr>
          <w:spacing w:val="20"/>
          <w:sz w:val="20"/>
        </w:rPr>
        <w:t xml:space="preserve"> </w:t>
      </w:r>
      <w:r>
        <w:rPr>
          <w:sz w:val="20"/>
        </w:rPr>
        <w:t>exclusión,</w:t>
      </w:r>
      <w:r>
        <w:rPr>
          <w:spacing w:val="20"/>
          <w:sz w:val="20"/>
        </w:rPr>
        <w:t xml:space="preserve"> </w:t>
      </w:r>
      <w:r>
        <w:rPr>
          <w:sz w:val="20"/>
        </w:rPr>
        <w:t>en</w:t>
      </w:r>
      <w:r>
        <w:rPr>
          <w:spacing w:val="20"/>
          <w:sz w:val="20"/>
        </w:rPr>
        <w:t xml:space="preserve"> </w:t>
      </w:r>
      <w:r>
        <w:rPr>
          <w:sz w:val="20"/>
        </w:rPr>
        <w:t>su</w:t>
      </w:r>
      <w:r>
        <w:rPr>
          <w:spacing w:val="19"/>
          <w:sz w:val="20"/>
        </w:rPr>
        <w:t xml:space="preserve"> </w:t>
      </w:r>
      <w:r>
        <w:rPr>
          <w:sz w:val="20"/>
        </w:rPr>
        <w:t>caso,</w:t>
      </w:r>
      <w:r>
        <w:rPr>
          <w:spacing w:val="20"/>
          <w:sz w:val="20"/>
        </w:rPr>
        <w:t xml:space="preserve"> </w:t>
      </w:r>
      <w:r>
        <w:rPr>
          <w:sz w:val="20"/>
        </w:rPr>
        <w:t>de</w:t>
      </w:r>
      <w:r>
        <w:rPr>
          <w:spacing w:val="20"/>
          <w:sz w:val="20"/>
        </w:rPr>
        <w:t xml:space="preserve"> </w:t>
      </w:r>
      <w:r>
        <w:rPr>
          <w:sz w:val="20"/>
        </w:rPr>
        <w:t>las</w:t>
      </w:r>
      <w:r>
        <w:rPr>
          <w:spacing w:val="20"/>
          <w:sz w:val="20"/>
        </w:rPr>
        <w:t xml:space="preserve"> </w:t>
      </w:r>
      <w:r>
        <w:rPr>
          <w:sz w:val="20"/>
        </w:rPr>
        <w:t>ofertas</w:t>
      </w:r>
      <w:r>
        <w:rPr>
          <w:spacing w:val="20"/>
          <w:sz w:val="20"/>
        </w:rPr>
        <w:t xml:space="preserve"> </w:t>
      </w:r>
      <w:r>
        <w:rPr>
          <w:sz w:val="20"/>
        </w:rPr>
        <w:t>que</w:t>
      </w:r>
      <w:r>
        <w:rPr>
          <w:spacing w:val="19"/>
          <w:sz w:val="20"/>
        </w:rPr>
        <w:t xml:space="preserve"> </w:t>
      </w:r>
      <w:r>
        <w:rPr>
          <w:sz w:val="20"/>
        </w:rPr>
        <w:t>no</w:t>
      </w:r>
      <w:r>
        <w:rPr>
          <w:spacing w:val="20"/>
          <w:sz w:val="20"/>
        </w:rPr>
        <w:t xml:space="preserve"> </w:t>
      </w:r>
      <w:r>
        <w:rPr>
          <w:sz w:val="20"/>
        </w:rPr>
        <w:t>cumplan</w:t>
      </w:r>
      <w:r>
        <w:rPr>
          <w:spacing w:val="20"/>
          <w:sz w:val="20"/>
        </w:rPr>
        <w:t xml:space="preserve"> </w:t>
      </w:r>
      <w:r>
        <w:rPr>
          <w:sz w:val="20"/>
        </w:rPr>
        <w:t>los</w:t>
      </w:r>
      <w:r>
        <w:rPr>
          <w:spacing w:val="20"/>
          <w:sz w:val="20"/>
        </w:rPr>
        <w:t xml:space="preserve"> </w:t>
      </w:r>
      <w:r>
        <w:rPr>
          <w:sz w:val="20"/>
        </w:rPr>
        <w:t>requerimientos</w:t>
      </w:r>
      <w:r>
        <w:rPr>
          <w:spacing w:val="20"/>
          <w:sz w:val="20"/>
        </w:rPr>
        <w:t xml:space="preserve"> </w:t>
      </w:r>
      <w:r>
        <w:rPr>
          <w:spacing w:val="-5"/>
          <w:sz w:val="20"/>
        </w:rPr>
        <w:t>del</w:t>
      </w:r>
    </w:p>
    <w:p w:rsidR="0092635B" w:rsidRDefault="00000000">
      <w:pPr>
        <w:pStyle w:val="Textoindependiente"/>
        <w:spacing w:before="10"/>
        <w:ind w:firstLine="0"/>
      </w:pPr>
      <w:r>
        <w:t xml:space="preserve">pliego, evaluar y clasificar las </w:t>
      </w:r>
      <w:r>
        <w:rPr>
          <w:spacing w:val="-2"/>
        </w:rPr>
        <w:t>ofertas.</w:t>
      </w:r>
    </w:p>
    <w:p w:rsidR="0092635B" w:rsidRDefault="00000000">
      <w:pPr>
        <w:pStyle w:val="Prrafodelista"/>
        <w:numPr>
          <w:ilvl w:val="0"/>
          <w:numId w:val="212"/>
        </w:numPr>
        <w:tabs>
          <w:tab w:val="left" w:pos="1610"/>
        </w:tabs>
        <w:spacing w:before="10"/>
        <w:ind w:left="1610" w:right="0" w:hanging="164"/>
        <w:jc w:val="both"/>
        <w:rPr>
          <w:sz w:val="20"/>
        </w:rPr>
      </w:pPr>
      <w:r>
        <w:rPr>
          <w:sz w:val="20"/>
        </w:rPr>
        <w:t>º</w:t>
      </w:r>
      <w:r>
        <w:rPr>
          <w:spacing w:val="-4"/>
          <w:sz w:val="20"/>
        </w:rPr>
        <w:t xml:space="preserve"> </w:t>
      </w:r>
      <w:r>
        <w:rPr>
          <w:sz w:val="20"/>
        </w:rPr>
        <w:t>Realizar</w:t>
      </w:r>
      <w:r>
        <w:rPr>
          <w:spacing w:val="-3"/>
          <w:sz w:val="20"/>
        </w:rPr>
        <w:t xml:space="preserve"> </w:t>
      </w:r>
      <w:r>
        <w:rPr>
          <w:sz w:val="20"/>
        </w:rPr>
        <w:t>la</w:t>
      </w:r>
      <w:r>
        <w:rPr>
          <w:spacing w:val="-3"/>
          <w:sz w:val="20"/>
        </w:rPr>
        <w:t xml:space="preserve"> </w:t>
      </w:r>
      <w:r>
        <w:rPr>
          <w:sz w:val="20"/>
        </w:rPr>
        <w:t>propuesta</w:t>
      </w:r>
      <w:r>
        <w:rPr>
          <w:spacing w:val="-2"/>
          <w:sz w:val="20"/>
        </w:rPr>
        <w:t xml:space="preserve"> </w:t>
      </w:r>
      <w:r>
        <w:rPr>
          <w:sz w:val="20"/>
        </w:rPr>
        <w:t>de</w:t>
      </w:r>
      <w:r>
        <w:rPr>
          <w:spacing w:val="-3"/>
          <w:sz w:val="20"/>
        </w:rPr>
        <w:t xml:space="preserve"> </w:t>
      </w:r>
      <w:r>
        <w:rPr>
          <w:sz w:val="20"/>
        </w:rPr>
        <w:t>adjudicación</w:t>
      </w:r>
      <w:r>
        <w:rPr>
          <w:spacing w:val="-3"/>
          <w:sz w:val="20"/>
        </w:rPr>
        <w:t xml:space="preserve"> </w:t>
      </w:r>
      <w:r>
        <w:rPr>
          <w:sz w:val="20"/>
        </w:rPr>
        <w:t>a</w:t>
      </w:r>
      <w:r>
        <w:rPr>
          <w:spacing w:val="-3"/>
          <w:sz w:val="20"/>
        </w:rPr>
        <w:t xml:space="preserve"> </w:t>
      </w:r>
      <w:r>
        <w:rPr>
          <w:sz w:val="20"/>
        </w:rPr>
        <w:t>favor</w:t>
      </w:r>
      <w:r>
        <w:rPr>
          <w:spacing w:val="-2"/>
          <w:sz w:val="20"/>
        </w:rPr>
        <w:t xml:space="preserve"> </w:t>
      </w:r>
      <w:r>
        <w:rPr>
          <w:sz w:val="20"/>
        </w:rPr>
        <w:t>del</w:t>
      </w:r>
      <w:r>
        <w:rPr>
          <w:spacing w:val="-3"/>
          <w:sz w:val="20"/>
        </w:rPr>
        <w:t xml:space="preserve"> </w:t>
      </w:r>
      <w:r>
        <w:rPr>
          <w:sz w:val="20"/>
        </w:rPr>
        <w:t>candidato</w:t>
      </w:r>
      <w:r>
        <w:rPr>
          <w:spacing w:val="-3"/>
          <w:sz w:val="20"/>
        </w:rPr>
        <w:t xml:space="preserve"> </w:t>
      </w:r>
      <w:r>
        <w:rPr>
          <w:sz w:val="20"/>
        </w:rPr>
        <w:t>con</w:t>
      </w:r>
      <w:r>
        <w:rPr>
          <w:spacing w:val="-3"/>
          <w:sz w:val="20"/>
        </w:rPr>
        <w:t xml:space="preserve"> </w:t>
      </w:r>
      <w:r>
        <w:rPr>
          <w:sz w:val="20"/>
        </w:rPr>
        <w:t>mejor</w:t>
      </w:r>
      <w:r>
        <w:rPr>
          <w:spacing w:val="-2"/>
          <w:sz w:val="20"/>
        </w:rPr>
        <w:t xml:space="preserve"> puntuación.</w:t>
      </w:r>
    </w:p>
    <w:p w:rsidR="0092635B" w:rsidRDefault="00000000">
      <w:pPr>
        <w:pStyle w:val="Prrafodelista"/>
        <w:numPr>
          <w:ilvl w:val="0"/>
          <w:numId w:val="212"/>
        </w:numPr>
        <w:tabs>
          <w:tab w:val="left" w:pos="1610"/>
        </w:tabs>
        <w:spacing w:before="11" w:line="249" w:lineRule="auto"/>
        <w:ind w:left="1106" w:right="1105" w:firstLine="340"/>
        <w:jc w:val="both"/>
        <w:rPr>
          <w:sz w:val="20"/>
        </w:rPr>
      </w:pPr>
      <w:r>
        <w:rPr>
          <w:sz w:val="20"/>
        </w:rPr>
        <w:t>º Comprobar en el Registro Oficial de Licitadores y Empresas Clasificadas que la empresa está debidamente constituida, el firmante de la proposición tiene poder bastante para formular la oferta, ostenta la solvencia económica, financiera y técnica o, en su caso 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clasificación correspondiente y no está incursa en ninguna prohibición para contratar. Si el licitador hubiera hecho uso de la facultad de acreditar la presentación de la solicitud de inscripción en el correspondiente Registro a que alude el inciso final de la letra a) del apartado 4 de este artículo, la mesa requerirá al licitador para que justifique documentalmente todos los extremos referentes a su aptitud para contratar enunciados en este número.</w:t>
      </w:r>
    </w:p>
    <w:p w:rsidR="0092635B" w:rsidRDefault="00000000">
      <w:pPr>
        <w:pStyle w:val="Prrafodelista"/>
        <w:numPr>
          <w:ilvl w:val="0"/>
          <w:numId w:val="212"/>
        </w:numPr>
        <w:tabs>
          <w:tab w:val="left" w:pos="1610"/>
        </w:tabs>
        <w:spacing w:before="5" w:line="249" w:lineRule="auto"/>
        <w:ind w:left="1106" w:right="1104" w:firstLine="340"/>
        <w:jc w:val="both"/>
        <w:rPr>
          <w:sz w:val="20"/>
        </w:rPr>
      </w:pPr>
      <w:r>
        <w:rPr>
          <w:sz w:val="20"/>
        </w:rPr>
        <w:t>º Requerir a la empresa que ha obtenido la mejor puntuación mediante comunicación electrónica para que constituya la garantía definitiva, así como para que aporte el compromiso al que se refiere el artículo 75.2 y la documentación justificativa de que dispone efectivamente de los medios que se hubiese comprometido a dedicar o adscribir a la ejecución del contrato conforme al artículo 76.2; y todo ello en el plazo de siete días hábiles</w:t>
      </w:r>
      <w:r>
        <w:rPr>
          <w:spacing w:val="40"/>
          <w:sz w:val="20"/>
        </w:rPr>
        <w:t xml:space="preserve"> </w:t>
      </w:r>
      <w:r>
        <w:rPr>
          <w:sz w:val="20"/>
        </w:rPr>
        <w:t>a contar desde el envío de la comunicación.</w:t>
      </w:r>
    </w:p>
    <w:p w:rsidR="0092635B" w:rsidRDefault="00000000">
      <w:pPr>
        <w:pStyle w:val="Textoindependiente"/>
        <w:spacing w:before="124" w:line="249" w:lineRule="auto"/>
        <w:ind w:right="1103"/>
      </w:pPr>
      <w:r>
        <w:t>En el caso de que la oferta del licitador que haya obtenido la mejor puntuación se presuma que es anormalmente baja por darse los supuestos previstos en el artículo 149, la mesa, realizadas las actuaciones recogidas en los puntos 1.º y 2.º anteriores, seguirá el procedimiento previsto en el citado artículo, si bien el plazo máximo para que justifique su oferta el licitador no podrá superar los cinco días hábiles desde el envío de la correspondiente comunicación.</w:t>
      </w:r>
    </w:p>
    <w:p w:rsidR="0092635B" w:rsidRDefault="00000000">
      <w:pPr>
        <w:pStyle w:val="Textoindependiente"/>
        <w:spacing w:before="5" w:line="249" w:lineRule="auto"/>
        <w:ind w:right="1102"/>
      </w:pPr>
      <w:r>
        <w:t>Presentada la garantía definitiva y, en los casos en que resulte preceptiva, previa fiscalización</w:t>
      </w:r>
      <w:r>
        <w:rPr>
          <w:spacing w:val="-1"/>
        </w:rPr>
        <w:t xml:space="preserve"> </w:t>
      </w:r>
      <w:r>
        <w:t>del</w:t>
      </w:r>
      <w:r>
        <w:rPr>
          <w:spacing w:val="-1"/>
        </w:rPr>
        <w:t xml:space="preserve"> </w:t>
      </w:r>
      <w:r>
        <w:t>compromiso</w:t>
      </w:r>
      <w:r>
        <w:rPr>
          <w:spacing w:val="-1"/>
        </w:rPr>
        <w:t xml:space="preserve"> </w:t>
      </w:r>
      <w:r>
        <w:t>del</w:t>
      </w:r>
      <w:r>
        <w:rPr>
          <w:spacing w:val="-1"/>
        </w:rPr>
        <w:t xml:space="preserve"> </w:t>
      </w:r>
      <w:r>
        <w:t>gasto</w:t>
      </w:r>
      <w:r>
        <w:rPr>
          <w:spacing w:val="-1"/>
        </w:rPr>
        <w:t xml:space="preserve"> </w:t>
      </w:r>
      <w:r>
        <w:t>por</w:t>
      </w:r>
      <w:r>
        <w:rPr>
          <w:spacing w:val="-1"/>
        </w:rPr>
        <w:t xml:space="preserve"> </w:t>
      </w:r>
      <w:r>
        <w:t>la</w:t>
      </w:r>
      <w:r>
        <w:rPr>
          <w:spacing w:val="-1"/>
        </w:rPr>
        <w:t xml:space="preserve"> </w:t>
      </w:r>
      <w:r>
        <w:t>Intervención</w:t>
      </w:r>
      <w:r>
        <w:rPr>
          <w:spacing w:val="-1"/>
        </w:rPr>
        <w:t xml:space="preserve"> </w:t>
      </w:r>
      <w:r>
        <w:t>en</w:t>
      </w:r>
      <w:r>
        <w:rPr>
          <w:spacing w:val="-1"/>
        </w:rPr>
        <w:t xml:space="preserve"> </w:t>
      </w:r>
      <w:r>
        <w:t>los</w:t>
      </w:r>
      <w:r>
        <w:rPr>
          <w:spacing w:val="-1"/>
        </w:rPr>
        <w:t xml:space="preserve"> </w:t>
      </w:r>
      <w:r>
        <w:t>términos</w:t>
      </w:r>
      <w:r>
        <w:rPr>
          <w:spacing w:val="-1"/>
        </w:rPr>
        <w:t xml:space="preserve"> </w:t>
      </w:r>
      <w:r>
        <w:t>previstos</w:t>
      </w:r>
      <w:r>
        <w:rPr>
          <w:spacing w:val="-1"/>
        </w:rPr>
        <w:t xml:space="preserve"> </w:t>
      </w:r>
      <w:r>
        <w:t>en</w:t>
      </w:r>
      <w:r>
        <w:rPr>
          <w:spacing w:val="-1"/>
        </w:rPr>
        <w:t xml:space="preserve"> </w:t>
      </w:r>
      <w:r>
        <w:t>la</w:t>
      </w:r>
      <w:r>
        <w:rPr>
          <w:spacing w:val="-1"/>
        </w:rPr>
        <w:t xml:space="preserve"> </w:t>
      </w:r>
      <w:r>
        <w:t>Ley 47/2003, de 26 de noviembre, General Presupuestaria, en un plazo no superior a cinco días se procederá a adjudicar el contrato a favor del licitador propuesto como adjudicatario, procediéndose, una vez adjudicado el mismo, a su formalización.</w:t>
      </w:r>
    </w:p>
    <w:p w:rsidR="0092635B" w:rsidRDefault="00000000">
      <w:pPr>
        <w:pStyle w:val="Textoindependiente"/>
        <w:spacing w:before="5" w:line="249" w:lineRule="auto"/>
        <w:ind w:right="1105"/>
      </w:pPr>
      <w:r>
        <w:t>En caso de que en el plazo otorgado al efecto el candidato propuesto como adjudicatario no presente la garantía definitiva, se efectuará propuesta de adjudicación a favor del siguiente candidato en puntuación, otorgándole el correspondiente plazo para constituir la citada garantía definitiva.</w:t>
      </w:r>
    </w:p>
    <w:p w:rsidR="0092635B" w:rsidRDefault="00000000">
      <w:pPr>
        <w:pStyle w:val="Textoindependiente"/>
        <w:spacing w:before="3" w:line="249" w:lineRule="auto"/>
        <w:ind w:right="1104"/>
      </w:pPr>
      <w:r>
        <w:t>En el supuesto de que el empresario tenga que presentar cualquier otra documentación que no esté inscrita en el Registro de Licitadores, la misma se tendrá que aportar en el plazo de siete días hábiles establecido para presentar la garantía definitiva.</w:t>
      </w:r>
    </w:p>
    <w:p w:rsidR="0092635B" w:rsidRDefault="00000000">
      <w:pPr>
        <w:pStyle w:val="Prrafodelista"/>
        <w:numPr>
          <w:ilvl w:val="1"/>
          <w:numId w:val="213"/>
        </w:numPr>
        <w:tabs>
          <w:tab w:val="left" w:pos="1682"/>
        </w:tabs>
        <w:spacing w:line="249" w:lineRule="auto"/>
        <w:ind w:right="1104" w:firstLine="340"/>
        <w:jc w:val="both"/>
        <w:rPr>
          <w:sz w:val="20"/>
        </w:rPr>
      </w:pPr>
      <w:r>
        <w:rPr>
          <w:sz w:val="20"/>
        </w:rPr>
        <w:t>En los casos en que a la licitación se presenten empresarios extranjeros de un Estado miembro de la Unión Europea o signatario del Espacio Económico Europeo, la acreditación de su capacidad, solvencia y ausencia de prohibiciones se podrá realizar bien mediante consulta en la correspondiente lista oficial de operadores económicos autorizados de un Estado miembro, bien mediante la aportación de la documentación acreditativa de los</w:t>
      </w:r>
      <w:r>
        <w:rPr>
          <w:spacing w:val="80"/>
          <w:sz w:val="20"/>
        </w:rPr>
        <w:t xml:space="preserve"> </w:t>
      </w:r>
      <w:r>
        <w:rPr>
          <w:sz w:val="20"/>
        </w:rPr>
        <w:t>citados extremos, que deberá presentar, en este último caso, en el plazo concedido para la presentación de la garantía definitiva.</w:t>
      </w:r>
    </w:p>
    <w:p w:rsidR="0092635B" w:rsidRDefault="00000000">
      <w:pPr>
        <w:pStyle w:val="Prrafodelista"/>
        <w:numPr>
          <w:ilvl w:val="1"/>
          <w:numId w:val="213"/>
        </w:numPr>
        <w:tabs>
          <w:tab w:val="left" w:pos="1703"/>
        </w:tabs>
        <w:spacing w:before="6" w:line="249" w:lineRule="auto"/>
        <w:ind w:right="1104" w:firstLine="340"/>
        <w:jc w:val="both"/>
        <w:rPr>
          <w:sz w:val="20"/>
        </w:rPr>
      </w:pPr>
      <w:r>
        <w:rPr>
          <w:sz w:val="20"/>
        </w:rPr>
        <w:t>En lo no previsto en este artículo se observarán las normas generales aplicables al procedimiento abierto.</w:t>
      </w:r>
    </w:p>
    <w:p w:rsidR="0092635B" w:rsidRDefault="00000000">
      <w:pPr>
        <w:pStyle w:val="Prrafodelista"/>
        <w:numPr>
          <w:ilvl w:val="0"/>
          <w:numId w:val="212"/>
        </w:numPr>
        <w:tabs>
          <w:tab w:val="left" w:pos="1685"/>
        </w:tabs>
        <w:spacing w:before="122" w:line="249" w:lineRule="auto"/>
        <w:ind w:left="1106" w:right="1104" w:firstLine="340"/>
        <w:jc w:val="both"/>
        <w:rPr>
          <w:sz w:val="20"/>
        </w:rPr>
      </w:pPr>
      <w:r>
        <w:rPr>
          <w:sz w:val="20"/>
        </w:rPr>
        <w:t>En los casos de declaración de urgencia del expediente de contratación en el que el procedimiento</w:t>
      </w:r>
      <w:r>
        <w:rPr>
          <w:spacing w:val="-3"/>
          <w:sz w:val="20"/>
        </w:rPr>
        <w:t xml:space="preserve"> </w:t>
      </w:r>
      <w:r>
        <w:rPr>
          <w:sz w:val="20"/>
        </w:rPr>
        <w:t>de</w:t>
      </w:r>
      <w:r>
        <w:rPr>
          <w:spacing w:val="-3"/>
          <w:sz w:val="20"/>
        </w:rPr>
        <w:t xml:space="preserve"> </w:t>
      </w:r>
      <w:r>
        <w:rPr>
          <w:sz w:val="20"/>
        </w:rPr>
        <w:t>adjudicación</w:t>
      </w:r>
      <w:r>
        <w:rPr>
          <w:spacing w:val="-3"/>
          <w:sz w:val="20"/>
        </w:rPr>
        <w:t xml:space="preserve"> </w:t>
      </w:r>
      <w:r>
        <w:rPr>
          <w:sz w:val="20"/>
        </w:rPr>
        <w:t>utilizado</w:t>
      </w:r>
      <w:r>
        <w:rPr>
          <w:spacing w:val="-3"/>
          <w:sz w:val="20"/>
        </w:rPr>
        <w:t xml:space="preserve"> </w:t>
      </w:r>
      <w:r>
        <w:rPr>
          <w:sz w:val="20"/>
        </w:rPr>
        <w:t>sea</w:t>
      </w:r>
      <w:r>
        <w:rPr>
          <w:spacing w:val="-3"/>
          <w:sz w:val="20"/>
        </w:rPr>
        <w:t xml:space="preserve"> </w:t>
      </w:r>
      <w:r>
        <w:rPr>
          <w:sz w:val="20"/>
        </w:rPr>
        <w:t>el</w:t>
      </w:r>
      <w:r>
        <w:rPr>
          <w:spacing w:val="-3"/>
          <w:sz w:val="20"/>
        </w:rPr>
        <w:t xml:space="preserve"> </w:t>
      </w:r>
      <w:r>
        <w:rPr>
          <w:sz w:val="20"/>
        </w:rPr>
        <w:t>procedimiento</w:t>
      </w:r>
      <w:r>
        <w:rPr>
          <w:spacing w:val="-3"/>
          <w:sz w:val="20"/>
        </w:rPr>
        <w:t xml:space="preserve"> </w:t>
      </w:r>
      <w:r>
        <w:rPr>
          <w:sz w:val="20"/>
        </w:rPr>
        <w:t>abierto</w:t>
      </w:r>
      <w:r>
        <w:rPr>
          <w:spacing w:val="-3"/>
          <w:sz w:val="20"/>
        </w:rPr>
        <w:t xml:space="preserve"> </w:t>
      </w:r>
      <w:r>
        <w:rPr>
          <w:sz w:val="20"/>
        </w:rPr>
        <w:t>simplificado</w:t>
      </w:r>
      <w:r>
        <w:rPr>
          <w:spacing w:val="-3"/>
          <w:sz w:val="20"/>
        </w:rPr>
        <w:t xml:space="preserve"> </w:t>
      </w:r>
      <w:r>
        <w:rPr>
          <w:sz w:val="20"/>
        </w:rPr>
        <w:t>regulado</w:t>
      </w:r>
      <w:r>
        <w:rPr>
          <w:spacing w:val="-3"/>
          <w:sz w:val="20"/>
        </w:rPr>
        <w:t xml:space="preserve"> </w:t>
      </w:r>
      <w:r>
        <w:rPr>
          <w:sz w:val="20"/>
        </w:rPr>
        <w:t>en el presente artículo, no se producirá la reducción de plazos a la que se refiere la letra b) del apartado 2 del artículo 119.</w:t>
      </w:r>
    </w:p>
    <w:p w:rsidR="0092635B" w:rsidRDefault="00000000">
      <w:pPr>
        <w:pStyle w:val="Prrafodelista"/>
        <w:numPr>
          <w:ilvl w:val="0"/>
          <w:numId w:val="212"/>
        </w:numPr>
        <w:tabs>
          <w:tab w:val="left" w:pos="1695"/>
        </w:tabs>
        <w:spacing w:before="3" w:line="249" w:lineRule="auto"/>
        <w:ind w:left="1106" w:right="1104" w:firstLine="340"/>
        <w:jc w:val="both"/>
        <w:rPr>
          <w:sz w:val="20"/>
        </w:rPr>
      </w:pPr>
      <w:r>
        <w:rPr>
          <w:sz w:val="20"/>
        </w:rPr>
        <w:t>En contratos de obras de valor estimado inferior a 80.000 euros, y en contratos de suministros y de servicios de valor estimado inferior a 60.000 euros, excepto los que tengan por objeto prestaciones de carácter intelectual a los que no será de aplicación este apartado, el procedimiento abierto simplificado podrá seguir la siguiente tramitación:</w:t>
      </w:r>
    </w:p>
    <w:p w:rsidR="0092635B" w:rsidRDefault="00000000">
      <w:pPr>
        <w:pStyle w:val="Prrafodelista"/>
        <w:numPr>
          <w:ilvl w:val="1"/>
          <w:numId w:val="212"/>
        </w:numPr>
        <w:tabs>
          <w:tab w:val="left" w:pos="1727"/>
        </w:tabs>
        <w:spacing w:before="123" w:line="249" w:lineRule="auto"/>
        <w:ind w:right="1104" w:firstLine="340"/>
        <w:jc w:val="both"/>
        <w:rPr>
          <w:sz w:val="20"/>
        </w:rPr>
      </w:pPr>
      <w:r>
        <w:rPr>
          <w:sz w:val="20"/>
        </w:rPr>
        <w:t>El plazo para la presentación de proposiciones no podrá ser inferior a diez días hábiles, a contar desde el siguiente a la publicación del anuncio de licitación en el perfil de contratante. No obstante lo anterior, cuando se trate de compras corrientes de bienes disponibles en el mercado el plazo será de 5 días hábiles.</w:t>
      </w:r>
    </w:p>
    <w:p w:rsidR="0092635B" w:rsidRDefault="00000000">
      <w:pPr>
        <w:pStyle w:val="Prrafodelista"/>
        <w:numPr>
          <w:ilvl w:val="1"/>
          <w:numId w:val="212"/>
        </w:numPr>
        <w:tabs>
          <w:tab w:val="left" w:pos="1683"/>
        </w:tabs>
        <w:spacing w:before="3" w:line="249" w:lineRule="auto"/>
        <w:ind w:right="1105" w:firstLine="340"/>
        <w:jc w:val="both"/>
        <w:rPr>
          <w:sz w:val="20"/>
        </w:rPr>
      </w:pPr>
      <w:r>
        <w:rPr>
          <w:sz w:val="20"/>
        </w:rPr>
        <w:t>Se eximirá a los licitadores de la acreditación de la solvencia económica y financiera y técnica o profesional.</w:t>
      </w:r>
    </w:p>
    <w:p w:rsidR="0092635B" w:rsidRDefault="00000000">
      <w:pPr>
        <w:pStyle w:val="Prrafodelista"/>
        <w:numPr>
          <w:ilvl w:val="1"/>
          <w:numId w:val="212"/>
        </w:numPr>
        <w:tabs>
          <w:tab w:val="left" w:pos="1679"/>
        </w:tabs>
        <w:spacing w:line="249" w:lineRule="auto"/>
        <w:ind w:right="1104" w:firstLine="340"/>
        <w:jc w:val="both"/>
        <w:rPr>
          <w:sz w:val="20"/>
        </w:rPr>
      </w:pPr>
      <w:r>
        <w:rPr>
          <w:sz w:val="20"/>
        </w:rPr>
        <w:t>La oferta se entregará en un único sobre o archivo electrónico y se evaluará, en todo caso, con arreglo a criterios de adjudicación cuantificables mediante la mera aplicación de fórmulas establecidas en los pliegos.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12"/>
        </w:numPr>
        <w:tabs>
          <w:tab w:val="left" w:pos="1687"/>
        </w:tabs>
        <w:spacing w:before="1" w:line="249" w:lineRule="auto"/>
        <w:ind w:right="1104" w:firstLine="340"/>
        <w:jc w:val="both"/>
        <w:rPr>
          <w:sz w:val="20"/>
        </w:rPr>
      </w:pPr>
      <w:r>
        <w:rPr>
          <w:sz w:val="20"/>
        </w:rPr>
        <w:t xml:space="preserve">La valoración de las ofertas se podrá efectuar automáticamente mediante dispositivos informáticos, o con la colaboración de una unidad técnica que auxilie al órgano de </w:t>
      </w:r>
      <w:r>
        <w:rPr>
          <w:spacing w:val="-2"/>
          <w:sz w:val="20"/>
        </w:rPr>
        <w:t>contratación.</w:t>
      </w:r>
    </w:p>
    <w:p w:rsidR="0092635B" w:rsidRDefault="00000000">
      <w:pPr>
        <w:pStyle w:val="Textoindependiente"/>
        <w:spacing w:line="249" w:lineRule="auto"/>
        <w:ind w:right="1103"/>
      </w:pPr>
      <w:r>
        <w:t>Se garantizará, mediante un dispositivo electrónico, que la apertura de las proposiciones no se realiza hasta que haya finalizado el plazo para su presentación, por lo que no se celebrará acto público de apertura de las mismas.</w:t>
      </w:r>
    </w:p>
    <w:p w:rsidR="0092635B" w:rsidRDefault="00000000">
      <w:pPr>
        <w:pStyle w:val="Prrafodelista"/>
        <w:numPr>
          <w:ilvl w:val="1"/>
          <w:numId w:val="212"/>
        </w:numPr>
        <w:tabs>
          <w:tab w:val="left" w:pos="1709"/>
        </w:tabs>
        <w:spacing w:before="3" w:line="249" w:lineRule="auto"/>
        <w:ind w:right="1104" w:firstLine="340"/>
        <w:jc w:val="both"/>
        <w:rPr>
          <w:sz w:val="20"/>
        </w:rPr>
      </w:pPr>
      <w:r>
        <w:rPr>
          <w:sz w:val="20"/>
        </w:rPr>
        <w:t>Las ofertas presentadas y la documentación relativa a la valoración de las mismas serán accesibles de forma abierta por medios informáticos sin restricción alguna desde el momento en que se notifique la adjudicación del contrato.</w:t>
      </w:r>
    </w:p>
    <w:p w:rsidR="0092635B" w:rsidRDefault="00000000">
      <w:pPr>
        <w:pStyle w:val="Prrafodelista"/>
        <w:numPr>
          <w:ilvl w:val="1"/>
          <w:numId w:val="212"/>
        </w:numPr>
        <w:tabs>
          <w:tab w:val="left" w:pos="1623"/>
        </w:tabs>
        <w:ind w:left="1623" w:right="0" w:hanging="177"/>
        <w:jc w:val="both"/>
        <w:rPr>
          <w:sz w:val="20"/>
        </w:rPr>
      </w:pPr>
      <w:r>
        <w:rPr>
          <w:sz w:val="20"/>
        </w:rPr>
        <w:t>No</w:t>
      </w:r>
      <w:r>
        <w:rPr>
          <w:spacing w:val="-7"/>
          <w:sz w:val="20"/>
        </w:rPr>
        <w:t xml:space="preserve"> </w:t>
      </w:r>
      <w:r>
        <w:rPr>
          <w:sz w:val="20"/>
        </w:rPr>
        <w:t>se</w:t>
      </w:r>
      <w:r>
        <w:rPr>
          <w:spacing w:val="-4"/>
          <w:sz w:val="20"/>
        </w:rPr>
        <w:t xml:space="preserve"> </w:t>
      </w:r>
      <w:r>
        <w:rPr>
          <w:sz w:val="20"/>
        </w:rPr>
        <w:t>requerirá</w:t>
      </w:r>
      <w:r>
        <w:rPr>
          <w:spacing w:val="-4"/>
          <w:sz w:val="20"/>
        </w:rPr>
        <w:t xml:space="preserve"> </w:t>
      </w:r>
      <w:r>
        <w:rPr>
          <w:sz w:val="20"/>
        </w:rPr>
        <w:t>la</w:t>
      </w:r>
      <w:r>
        <w:rPr>
          <w:spacing w:val="-5"/>
          <w:sz w:val="20"/>
        </w:rPr>
        <w:t xml:space="preserve"> </w:t>
      </w:r>
      <w:r>
        <w:rPr>
          <w:sz w:val="20"/>
        </w:rPr>
        <w:t>constitución</w:t>
      </w:r>
      <w:r>
        <w:rPr>
          <w:spacing w:val="-4"/>
          <w:sz w:val="20"/>
        </w:rPr>
        <w:t xml:space="preserve"> </w:t>
      </w:r>
      <w:r>
        <w:rPr>
          <w:sz w:val="20"/>
        </w:rPr>
        <w:t>de</w:t>
      </w:r>
      <w:r>
        <w:rPr>
          <w:spacing w:val="-4"/>
          <w:sz w:val="20"/>
        </w:rPr>
        <w:t xml:space="preserve"> </w:t>
      </w:r>
      <w:r>
        <w:rPr>
          <w:sz w:val="20"/>
        </w:rPr>
        <w:t>garantía</w:t>
      </w:r>
      <w:r>
        <w:rPr>
          <w:spacing w:val="-4"/>
          <w:sz w:val="20"/>
        </w:rPr>
        <w:t xml:space="preserve"> </w:t>
      </w:r>
      <w:r>
        <w:rPr>
          <w:spacing w:val="-2"/>
          <w:sz w:val="20"/>
        </w:rPr>
        <w:t>definitiva.</w:t>
      </w:r>
    </w:p>
    <w:p w:rsidR="0092635B" w:rsidRDefault="00000000">
      <w:pPr>
        <w:pStyle w:val="Prrafodelista"/>
        <w:numPr>
          <w:ilvl w:val="1"/>
          <w:numId w:val="212"/>
        </w:numPr>
        <w:tabs>
          <w:tab w:val="left" w:pos="1690"/>
        </w:tabs>
        <w:spacing w:before="10" w:line="249" w:lineRule="auto"/>
        <w:ind w:right="1106" w:firstLine="340"/>
        <w:jc w:val="both"/>
        <w:rPr>
          <w:sz w:val="20"/>
        </w:rPr>
      </w:pPr>
      <w:r>
        <w:rPr>
          <w:sz w:val="20"/>
        </w:rPr>
        <w:t>La formalización del contrato podrá efectuarse mediante la firma de aceptación por el contratista de la resolución de adjudicación.</w:t>
      </w:r>
    </w:p>
    <w:p w:rsidR="0092635B" w:rsidRDefault="00000000">
      <w:pPr>
        <w:pStyle w:val="Textoindependiente"/>
        <w:spacing w:line="249" w:lineRule="auto"/>
        <w:ind w:right="1105"/>
      </w:pPr>
      <w:r>
        <w:t>En todo lo no previsto en este apartado se aplicará la regulación general del procedimiento abierto simplificado prevista en este artículo.</w:t>
      </w:r>
    </w:p>
    <w:p w:rsidR="0092635B" w:rsidRDefault="0092635B">
      <w:pPr>
        <w:pStyle w:val="Textoindependiente"/>
        <w:spacing w:before="55"/>
        <w:ind w:left="0" w:firstLine="0"/>
        <w:jc w:val="left"/>
      </w:pPr>
    </w:p>
    <w:p w:rsidR="0092635B" w:rsidRDefault="00000000">
      <w:pPr>
        <w:pStyle w:val="Textoindependiente"/>
        <w:spacing w:before="0"/>
        <w:ind w:left="0" w:firstLine="0"/>
        <w:jc w:val="center"/>
      </w:pPr>
      <w:bookmarkStart w:id="253" w:name="Subsección_3.ª_Procedimiento_restringido"/>
      <w:bookmarkStart w:id="254" w:name="_bookmark48"/>
      <w:bookmarkEnd w:id="253"/>
      <w:bookmarkEnd w:id="254"/>
      <w:r>
        <w:t>Subsección</w:t>
      </w:r>
      <w:r>
        <w:rPr>
          <w:spacing w:val="-8"/>
        </w:rPr>
        <w:t xml:space="preserve"> </w:t>
      </w:r>
      <w:r>
        <w:t>3.ª</w:t>
      </w:r>
      <w:r>
        <w:rPr>
          <w:spacing w:val="-8"/>
        </w:rPr>
        <w:t xml:space="preserve"> </w:t>
      </w:r>
      <w:r>
        <w:t>Procedimiento</w:t>
      </w:r>
      <w:r>
        <w:rPr>
          <w:spacing w:val="-7"/>
        </w:rPr>
        <w:t xml:space="preserve"> </w:t>
      </w:r>
      <w:r>
        <w:rPr>
          <w:spacing w:val="-2"/>
        </w:rPr>
        <w:t>restringido</w:t>
      </w:r>
    </w:p>
    <w:p w:rsidR="0092635B" w:rsidRDefault="0092635B">
      <w:pPr>
        <w:pStyle w:val="Textoindependiente"/>
        <w:spacing w:before="6"/>
        <w:ind w:left="0" w:firstLine="0"/>
        <w:jc w:val="left"/>
      </w:pPr>
    </w:p>
    <w:p w:rsidR="0092635B" w:rsidRDefault="00000000">
      <w:pPr>
        <w:spacing w:before="1"/>
        <w:ind w:left="1106"/>
        <w:rPr>
          <w:rFonts w:ascii="Arial" w:hAnsi="Arial"/>
          <w:i/>
          <w:sz w:val="20"/>
        </w:rPr>
      </w:pPr>
      <w:bookmarkStart w:id="255" w:name="Artículo_160._Caracterización."/>
      <w:bookmarkEnd w:id="255"/>
      <w:r>
        <w:rPr>
          <w:rFonts w:ascii="Arial" w:hAnsi="Arial"/>
          <w:b/>
          <w:sz w:val="20"/>
        </w:rPr>
        <w:t>Artículo 160.</w:t>
      </w:r>
      <w:r>
        <w:rPr>
          <w:rFonts w:ascii="Arial" w:hAnsi="Arial"/>
          <w:b/>
          <w:spacing w:val="54"/>
          <w:sz w:val="20"/>
        </w:rPr>
        <w:t xml:space="preserve"> </w:t>
      </w:r>
      <w:r>
        <w:rPr>
          <w:rFonts w:ascii="Arial" w:hAnsi="Arial"/>
          <w:i/>
          <w:spacing w:val="-2"/>
          <w:sz w:val="20"/>
        </w:rPr>
        <w:t>Caracterización.</w:t>
      </w:r>
    </w:p>
    <w:p w:rsidR="0092635B" w:rsidRDefault="00000000">
      <w:pPr>
        <w:pStyle w:val="Prrafodelista"/>
        <w:numPr>
          <w:ilvl w:val="0"/>
          <w:numId w:val="211"/>
        </w:numPr>
        <w:tabs>
          <w:tab w:val="left" w:pos="1708"/>
        </w:tabs>
        <w:spacing w:before="123" w:line="249" w:lineRule="auto"/>
        <w:ind w:right="1105" w:firstLine="340"/>
        <w:jc w:val="both"/>
        <w:rPr>
          <w:sz w:val="20"/>
        </w:rPr>
      </w:pPr>
      <w:r>
        <w:rPr>
          <w:sz w:val="20"/>
        </w:rPr>
        <w:t>En el procedimiento restringido cualquier empresa interesada podrá presentar una solicitud de participación en respuesta a una convocatoria de licitación.</w:t>
      </w:r>
    </w:p>
    <w:p w:rsidR="0092635B" w:rsidRDefault="00000000">
      <w:pPr>
        <w:pStyle w:val="Prrafodelista"/>
        <w:numPr>
          <w:ilvl w:val="0"/>
          <w:numId w:val="211"/>
        </w:numPr>
        <w:tabs>
          <w:tab w:val="left" w:pos="1700"/>
        </w:tabs>
        <w:spacing w:line="249" w:lineRule="auto"/>
        <w:ind w:right="1105" w:firstLine="340"/>
        <w:jc w:val="both"/>
        <w:rPr>
          <w:sz w:val="20"/>
        </w:rPr>
      </w:pPr>
      <w:r>
        <w:rPr>
          <w:sz w:val="20"/>
        </w:rPr>
        <w:t>Solo podrán presentar proposiciones aquellos empresarios que, a su solicitud y en atención a su solvencia, sean seleccionados por el órgano de contratación.</w:t>
      </w:r>
    </w:p>
    <w:p w:rsidR="0092635B" w:rsidRDefault="00000000">
      <w:pPr>
        <w:pStyle w:val="Textoindependiente"/>
        <w:spacing w:before="1" w:line="249" w:lineRule="auto"/>
        <w:ind w:right="1104"/>
      </w:pPr>
      <w:r>
        <w:t>Los pliegos de cláusulas administrativas particulares podrán contemplar primas o compensaciones por los gastos en que incurran los licitadores al presentar su oferta en contratos de servicios en los casos en los que su presentación implique la realización de determinados desarrollos.</w:t>
      </w:r>
    </w:p>
    <w:p w:rsidR="0092635B" w:rsidRDefault="00000000">
      <w:pPr>
        <w:pStyle w:val="Prrafodelista"/>
        <w:numPr>
          <w:ilvl w:val="0"/>
          <w:numId w:val="211"/>
        </w:numPr>
        <w:tabs>
          <w:tab w:val="left" w:pos="1680"/>
        </w:tabs>
        <w:spacing w:before="4" w:line="249" w:lineRule="auto"/>
        <w:ind w:right="1106" w:firstLine="340"/>
        <w:jc w:val="both"/>
        <w:rPr>
          <w:sz w:val="20"/>
        </w:rPr>
      </w:pPr>
      <w:r>
        <w:rPr>
          <w:sz w:val="20"/>
        </w:rPr>
        <w:t>En este procedimiento estará prohibida toda negociación de los términos del contrato con los solicitantes o candidatos.</w:t>
      </w:r>
    </w:p>
    <w:p w:rsidR="0092635B" w:rsidRDefault="00000000">
      <w:pPr>
        <w:pStyle w:val="Prrafodelista"/>
        <w:numPr>
          <w:ilvl w:val="0"/>
          <w:numId w:val="211"/>
        </w:numPr>
        <w:tabs>
          <w:tab w:val="left" w:pos="1758"/>
        </w:tabs>
        <w:spacing w:before="1" w:line="249" w:lineRule="auto"/>
        <w:ind w:right="1102" w:firstLine="340"/>
        <w:jc w:val="both"/>
        <w:rPr>
          <w:sz w:val="20"/>
        </w:rPr>
      </w:pPr>
      <w:r>
        <w:rPr>
          <w:sz w:val="20"/>
        </w:rPr>
        <w:t>Este procedimiento es especialmente adecuado cuando se trata de servicios intelectuales de especial complejidad, como es el caso de algunos servicios de consultoría, de arquitectura o de ingeniería.</w:t>
      </w:r>
    </w:p>
    <w:p w:rsidR="0092635B" w:rsidRDefault="00000000">
      <w:pPr>
        <w:spacing w:before="229"/>
        <w:ind w:left="1106"/>
        <w:rPr>
          <w:rFonts w:ascii="Arial" w:hAnsi="Arial"/>
          <w:i/>
          <w:sz w:val="20"/>
        </w:rPr>
      </w:pPr>
      <w:bookmarkStart w:id="256" w:name="Artículo_161._Solicitudes_de_participaci"/>
      <w:bookmarkEnd w:id="256"/>
      <w:r>
        <w:rPr>
          <w:rFonts w:ascii="Arial" w:hAnsi="Arial"/>
          <w:b/>
          <w:sz w:val="20"/>
        </w:rPr>
        <w:t>Artículo</w:t>
      </w:r>
      <w:r>
        <w:rPr>
          <w:rFonts w:ascii="Arial" w:hAnsi="Arial"/>
          <w:b/>
          <w:spacing w:val="-1"/>
          <w:sz w:val="20"/>
        </w:rPr>
        <w:t xml:space="preserve"> </w:t>
      </w:r>
      <w:r>
        <w:rPr>
          <w:rFonts w:ascii="Arial" w:hAnsi="Arial"/>
          <w:b/>
          <w:sz w:val="20"/>
        </w:rPr>
        <w:t>161.</w:t>
      </w:r>
      <w:r>
        <w:rPr>
          <w:rFonts w:ascii="Arial" w:hAnsi="Arial"/>
          <w:b/>
          <w:spacing w:val="54"/>
          <w:sz w:val="20"/>
        </w:rPr>
        <w:t xml:space="preserve"> </w:t>
      </w:r>
      <w:r>
        <w:rPr>
          <w:rFonts w:ascii="Arial" w:hAnsi="Arial"/>
          <w:i/>
          <w:sz w:val="20"/>
        </w:rPr>
        <w:t xml:space="preserve">Solicitudes de </w:t>
      </w:r>
      <w:r>
        <w:rPr>
          <w:rFonts w:ascii="Arial" w:hAnsi="Arial"/>
          <w:i/>
          <w:spacing w:val="-2"/>
          <w:sz w:val="20"/>
        </w:rPr>
        <w:t>participación.</w:t>
      </w:r>
    </w:p>
    <w:p w:rsidR="0092635B" w:rsidRDefault="00000000">
      <w:pPr>
        <w:pStyle w:val="Prrafodelista"/>
        <w:numPr>
          <w:ilvl w:val="0"/>
          <w:numId w:val="210"/>
        </w:numPr>
        <w:tabs>
          <w:tab w:val="left" w:pos="1682"/>
        </w:tabs>
        <w:spacing w:before="124" w:line="249" w:lineRule="auto"/>
        <w:ind w:firstLine="340"/>
        <w:jc w:val="both"/>
        <w:rPr>
          <w:sz w:val="20"/>
        </w:rPr>
      </w:pPr>
      <w:r>
        <w:rPr>
          <w:sz w:val="20"/>
        </w:rPr>
        <w:t>En los procedimientos de adjudicación de contratos sujetos a regulación armonizada, el plazo de presentación de las solicitudes de participación deberá ser el suficiente para el adecuado examen de los pliegos y de las circunstancias y condiciones relevantes para la ejecución del contrato, todo ello en atención al alcance y complejidad del contrato. En cualquier caso, no podrá ser inferior a treinta días, contados a partir de la fecha del envío del anuncio de licitación a la Oficina de Publicaciones de la Unión Europea.</w:t>
      </w:r>
    </w:p>
    <w:p w:rsidR="0092635B" w:rsidRDefault="00000000">
      <w:pPr>
        <w:pStyle w:val="Textoindependiente"/>
        <w:spacing w:before="5" w:line="249" w:lineRule="auto"/>
        <w:ind w:right="1104"/>
      </w:pPr>
      <w:r>
        <w:t>Cuando el plazo general de presentación de solicitudes sea impracticable por tratarse de una situación de urgencia, en los términos descritos en el artículo 119, el órgano de contratación para los contratos de obras, suministros y servicios podrá fijar otro plazo que no será inferior a quince días contados desde la fecha del envío del anuncio de licitación.</w:t>
      </w:r>
    </w:p>
    <w:p w:rsidR="0092635B" w:rsidRDefault="00000000">
      <w:pPr>
        <w:pStyle w:val="Prrafodelista"/>
        <w:numPr>
          <w:ilvl w:val="0"/>
          <w:numId w:val="210"/>
        </w:numPr>
        <w:tabs>
          <w:tab w:val="left" w:pos="1722"/>
        </w:tabs>
        <w:spacing w:before="3" w:line="249" w:lineRule="auto"/>
        <w:ind w:right="1105" w:firstLine="340"/>
        <w:jc w:val="both"/>
        <w:rPr>
          <w:sz w:val="20"/>
        </w:rPr>
      </w:pPr>
      <w:r>
        <w:rPr>
          <w:sz w:val="20"/>
        </w:rPr>
        <w:t>Sin perjuicio de lo establecido en el apartado 3 del artículo 135 respecto de la obligación de publicar en primer lugar en el «Diario Oficial de la Unión Europea», en los procedimientos restringidos la publicación del anuncio de licitación en el perfil de contratante deberá hacerse con una antelación mínima equivalente al plazo fijado para la presentación de las solicitudes de participación en el apartado siguiente.</w:t>
      </w:r>
    </w:p>
    <w:p w:rsidR="0092635B" w:rsidRDefault="00000000">
      <w:pPr>
        <w:pStyle w:val="Prrafodelista"/>
        <w:numPr>
          <w:ilvl w:val="0"/>
          <w:numId w:val="210"/>
        </w:numPr>
        <w:tabs>
          <w:tab w:val="left" w:pos="1737"/>
        </w:tabs>
        <w:spacing w:before="4" w:line="249" w:lineRule="auto"/>
        <w:ind w:right="1104" w:firstLine="340"/>
        <w:jc w:val="both"/>
        <w:rPr>
          <w:sz w:val="20"/>
        </w:rPr>
      </w:pPr>
      <w:r>
        <w:rPr>
          <w:sz w:val="20"/>
        </w:rPr>
        <w:t>Si se trata de contratos no sujetos a regulación armonizada, el plazo para la presentación de solicitudes de participación será, como mínimo, de quince días, contados desde la publicación del anuncio de licitación.</w:t>
      </w:r>
    </w:p>
    <w:p w:rsidR="0092635B" w:rsidRDefault="00000000">
      <w:pPr>
        <w:pStyle w:val="Prrafodelista"/>
        <w:numPr>
          <w:ilvl w:val="0"/>
          <w:numId w:val="210"/>
        </w:numPr>
        <w:tabs>
          <w:tab w:val="left" w:pos="1686"/>
        </w:tabs>
        <w:spacing w:before="3" w:line="249" w:lineRule="auto"/>
        <w:ind w:right="1105" w:firstLine="340"/>
        <w:jc w:val="both"/>
        <w:rPr>
          <w:sz w:val="20"/>
        </w:rPr>
      </w:pPr>
      <w:r>
        <w:rPr>
          <w:sz w:val="20"/>
        </w:rPr>
        <w:t>Las solicitudes de participación deberán ir acompañadas de la documentación a que se refiere el artículo 140, con excepción del documento acreditativo de la constitución de la garantía provisional.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257" w:name="Artículo_162._Selección_de_candidatos."/>
      <w:bookmarkEnd w:id="257"/>
      <w:r>
        <w:rPr>
          <w:rFonts w:ascii="Arial" w:hAnsi="Arial"/>
          <w:b/>
          <w:sz w:val="20"/>
        </w:rPr>
        <w:t>Artículo</w:t>
      </w:r>
      <w:r>
        <w:rPr>
          <w:rFonts w:ascii="Arial" w:hAnsi="Arial"/>
          <w:b/>
          <w:spacing w:val="-4"/>
          <w:sz w:val="20"/>
        </w:rPr>
        <w:t xml:space="preserve"> </w:t>
      </w:r>
      <w:r>
        <w:rPr>
          <w:rFonts w:ascii="Arial" w:hAnsi="Arial"/>
          <w:b/>
          <w:sz w:val="20"/>
        </w:rPr>
        <w:t>162.</w:t>
      </w:r>
      <w:r>
        <w:rPr>
          <w:rFonts w:ascii="Arial" w:hAnsi="Arial"/>
          <w:b/>
          <w:spacing w:val="50"/>
          <w:sz w:val="20"/>
        </w:rPr>
        <w:t xml:space="preserve"> </w:t>
      </w:r>
      <w:r>
        <w:rPr>
          <w:rFonts w:ascii="Arial" w:hAnsi="Arial"/>
          <w:i/>
          <w:sz w:val="20"/>
        </w:rPr>
        <w:t>Selección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candidatos.</w:t>
      </w:r>
    </w:p>
    <w:p w:rsidR="0092635B" w:rsidRDefault="00000000">
      <w:pPr>
        <w:pStyle w:val="Prrafodelista"/>
        <w:numPr>
          <w:ilvl w:val="0"/>
          <w:numId w:val="209"/>
        </w:numPr>
        <w:tabs>
          <w:tab w:val="left" w:pos="1690"/>
        </w:tabs>
        <w:spacing w:before="123" w:line="249" w:lineRule="auto"/>
        <w:ind w:right="1102" w:firstLine="340"/>
        <w:jc w:val="both"/>
        <w:rPr>
          <w:sz w:val="20"/>
        </w:rPr>
      </w:pPr>
      <w:r>
        <w:rPr>
          <w:sz w:val="20"/>
        </w:rPr>
        <w:t xml:space="preserve">Con carácter previo al anuncio de licitación, el órgano de contratación deberá haber establecido los criterios objetivos de solvencia, de entre los señalados en los artículos 87 a 91, con arreglo a los cuales serán elegidos los candidatos que serán invitados a presentar </w:t>
      </w:r>
      <w:r>
        <w:rPr>
          <w:spacing w:val="-2"/>
          <w:sz w:val="20"/>
        </w:rPr>
        <w:t>proposiciones.</w:t>
      </w:r>
    </w:p>
    <w:p w:rsidR="0092635B" w:rsidRDefault="00000000">
      <w:pPr>
        <w:pStyle w:val="Prrafodelista"/>
        <w:numPr>
          <w:ilvl w:val="0"/>
          <w:numId w:val="209"/>
        </w:numPr>
        <w:tabs>
          <w:tab w:val="left" w:pos="1717"/>
        </w:tabs>
        <w:spacing w:before="3" w:line="249" w:lineRule="auto"/>
        <w:ind w:firstLine="340"/>
        <w:jc w:val="both"/>
        <w:rPr>
          <w:sz w:val="20"/>
        </w:rPr>
      </w:pPr>
      <w:r>
        <w:rPr>
          <w:sz w:val="20"/>
        </w:rPr>
        <w:t>El órgano de contratación señalará el número mínimo de empresarios a los que invitará a participar en el procedimiento, que no podrá ser inferior a cinco. Cuando el número de candidatos que cumplan los criterios de selección sea inferior a ese número mínimo, el órgano de contratación podrá continuar el procedimiento con los que reúnan las condiciones exigidas, sin que pueda invitarse a empresarios que no hayan solicitado participar en el mismo, o a candidatos que no posean esas condiciones.</w:t>
      </w:r>
    </w:p>
    <w:p w:rsidR="0092635B" w:rsidRDefault="00000000">
      <w:pPr>
        <w:pStyle w:val="Textoindependiente"/>
        <w:spacing w:before="5" w:line="249" w:lineRule="auto"/>
        <w:ind w:right="1106"/>
      </w:pPr>
      <w:r>
        <w:t>Si así lo estima procedente, el órgano de contratación podrá igualmente fijar el número máximo de candidatos a los que se invitará a presentar oferta.</w:t>
      </w:r>
    </w:p>
    <w:p w:rsidR="0092635B" w:rsidRDefault="00000000">
      <w:pPr>
        <w:pStyle w:val="Textoindependiente"/>
        <w:spacing w:line="249" w:lineRule="auto"/>
        <w:ind w:right="1105"/>
      </w:pPr>
      <w:r>
        <w:t>En cualquier caso, el número de candidatos invitados debe ser suficiente para garantizar una competencia efectiva.</w:t>
      </w:r>
    </w:p>
    <w:p w:rsidR="0092635B" w:rsidRDefault="00000000">
      <w:pPr>
        <w:pStyle w:val="Prrafodelista"/>
        <w:numPr>
          <w:ilvl w:val="0"/>
          <w:numId w:val="209"/>
        </w:numPr>
        <w:tabs>
          <w:tab w:val="left" w:pos="1709"/>
        </w:tabs>
        <w:spacing w:line="249" w:lineRule="auto"/>
        <w:ind w:right="1104" w:firstLine="340"/>
        <w:jc w:val="both"/>
        <w:rPr>
          <w:sz w:val="20"/>
        </w:rPr>
      </w:pPr>
      <w:r>
        <w:rPr>
          <w:sz w:val="20"/>
        </w:rPr>
        <w:t xml:space="preserve">Los criterios o normas objetivos y no discriminatorios con arreglo a los cuales se seleccionará a los candidatos, así como el número mínimo y, en su caso, el número máximo de aquellos a los que se invitará a presentar proposiciones se indicarán en el anuncio de </w:t>
      </w:r>
      <w:r>
        <w:rPr>
          <w:spacing w:val="-2"/>
          <w:sz w:val="20"/>
        </w:rPr>
        <w:t>licitación.</w:t>
      </w:r>
    </w:p>
    <w:p w:rsidR="0092635B" w:rsidRDefault="00000000">
      <w:pPr>
        <w:pStyle w:val="Prrafodelista"/>
        <w:numPr>
          <w:ilvl w:val="0"/>
          <w:numId w:val="209"/>
        </w:numPr>
        <w:tabs>
          <w:tab w:val="left" w:pos="1699"/>
        </w:tabs>
        <w:spacing w:before="3" w:line="249" w:lineRule="auto"/>
        <w:ind w:firstLine="340"/>
        <w:jc w:val="both"/>
        <w:rPr>
          <w:sz w:val="20"/>
        </w:rPr>
      </w:pPr>
      <w:r>
        <w:rPr>
          <w:sz w:val="20"/>
        </w:rPr>
        <w:t>El órgano de contratación, una vez comprobada la personalidad y solvencia de los solicitantes, seleccionará a los que deban pasar a la siguiente fase, a los que invitará, simultáneamente y por escrito, a presentar sus proposiciones en el plazo que proceda conforme a lo señalado en el artículo 164.</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258" w:name="Artículo_163._Contenido_de_las_invitacio"/>
      <w:bookmarkEnd w:id="258"/>
      <w:r>
        <w:rPr>
          <w:rFonts w:ascii="Arial" w:hAnsi="Arial"/>
          <w:b/>
          <w:sz w:val="20"/>
        </w:rPr>
        <w:t>Artículo</w:t>
      </w:r>
      <w:r>
        <w:rPr>
          <w:rFonts w:ascii="Arial" w:hAnsi="Arial"/>
          <w:b/>
          <w:spacing w:val="-2"/>
          <w:sz w:val="20"/>
        </w:rPr>
        <w:t xml:space="preserve"> </w:t>
      </w:r>
      <w:r>
        <w:rPr>
          <w:rFonts w:ascii="Arial" w:hAnsi="Arial"/>
          <w:b/>
          <w:sz w:val="20"/>
        </w:rPr>
        <w:t>163.</w:t>
      </w:r>
      <w:r>
        <w:rPr>
          <w:rFonts w:ascii="Arial" w:hAnsi="Arial"/>
          <w:b/>
          <w:spacing w:val="50"/>
          <w:sz w:val="20"/>
        </w:rPr>
        <w:t xml:space="preserve"> </w:t>
      </w:r>
      <w:r>
        <w:rPr>
          <w:rFonts w:ascii="Arial" w:hAnsi="Arial"/>
          <w:i/>
          <w:sz w:val="20"/>
        </w:rPr>
        <w:t>Contenido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w:t>
      </w:r>
      <w:r>
        <w:rPr>
          <w:rFonts w:ascii="Arial" w:hAnsi="Arial"/>
          <w:i/>
          <w:sz w:val="20"/>
        </w:rPr>
        <w:t>invitaciones</w:t>
      </w:r>
      <w:r>
        <w:rPr>
          <w:rFonts w:ascii="Arial" w:hAnsi="Arial"/>
          <w:i/>
          <w:spacing w:val="-2"/>
          <w:sz w:val="20"/>
        </w:rPr>
        <w:t xml:space="preserve"> </w:t>
      </w:r>
      <w:r>
        <w:rPr>
          <w:rFonts w:ascii="Arial" w:hAnsi="Arial"/>
          <w:i/>
          <w:sz w:val="20"/>
        </w:rPr>
        <w:t>e</w:t>
      </w:r>
      <w:r>
        <w:rPr>
          <w:rFonts w:ascii="Arial" w:hAnsi="Arial"/>
          <w:i/>
          <w:spacing w:val="-1"/>
          <w:sz w:val="20"/>
        </w:rPr>
        <w:t xml:space="preserve"> </w:t>
      </w:r>
      <w:r>
        <w:rPr>
          <w:rFonts w:ascii="Arial" w:hAnsi="Arial"/>
          <w:i/>
          <w:sz w:val="20"/>
        </w:rPr>
        <w:t>información</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candidatos.</w:t>
      </w:r>
    </w:p>
    <w:p w:rsidR="0092635B" w:rsidRDefault="00000000">
      <w:pPr>
        <w:pStyle w:val="Prrafodelista"/>
        <w:numPr>
          <w:ilvl w:val="0"/>
          <w:numId w:val="208"/>
        </w:numPr>
        <w:tabs>
          <w:tab w:val="left" w:pos="1736"/>
        </w:tabs>
        <w:spacing w:before="123" w:line="249" w:lineRule="auto"/>
        <w:ind w:right="1102" w:firstLine="340"/>
        <w:jc w:val="both"/>
        <w:rPr>
          <w:sz w:val="20"/>
        </w:rPr>
      </w:pPr>
      <w:r>
        <w:rPr>
          <w:sz w:val="20"/>
        </w:rPr>
        <w:t>Las invitaciones contendrán una referencia al anuncio de licitación publicado e indicarán la fecha límite para la recepción de ofertas; la dirección a la que deban enviarse y</w:t>
      </w:r>
      <w:r>
        <w:rPr>
          <w:spacing w:val="40"/>
          <w:sz w:val="20"/>
        </w:rPr>
        <w:t xml:space="preserve"> </w:t>
      </w:r>
      <w:r>
        <w:rPr>
          <w:sz w:val="20"/>
        </w:rPr>
        <w:t>la lengua o lenguas en que deban estar redactadas; los documentos que, en su caso, se deban adjuntar complementariamente; los criterios de adjudicación del contrato que se tendrán en cuenta y su ponderación relativa o, en su caso, el orden decreciente de importancia atribuido a los mismos, si no figurasen en el anuncio de licitación; y el lugar, día</w:t>
      </w:r>
      <w:r>
        <w:rPr>
          <w:spacing w:val="40"/>
          <w:sz w:val="20"/>
        </w:rPr>
        <w:t xml:space="preserve"> </w:t>
      </w:r>
      <w:r>
        <w:rPr>
          <w:sz w:val="20"/>
        </w:rPr>
        <w:t>y hora de la apertura de proposiciones.</w:t>
      </w:r>
    </w:p>
    <w:p w:rsidR="0092635B" w:rsidRDefault="00000000">
      <w:pPr>
        <w:pStyle w:val="Prrafodelista"/>
        <w:numPr>
          <w:ilvl w:val="0"/>
          <w:numId w:val="208"/>
        </w:numPr>
        <w:tabs>
          <w:tab w:val="left" w:pos="1689"/>
        </w:tabs>
        <w:spacing w:before="6" w:line="249" w:lineRule="auto"/>
        <w:ind w:right="1104" w:firstLine="340"/>
        <w:jc w:val="both"/>
        <w:rPr>
          <w:sz w:val="20"/>
        </w:rPr>
      </w:pPr>
      <w:r>
        <w:rPr>
          <w:sz w:val="20"/>
        </w:rPr>
        <w:t>La invitación a los candidatos contendrá las indicaciones pertinentes para permitir el acceso por medios electrónicos a los pliegos y demás documentación complementaria.</w:t>
      </w:r>
    </w:p>
    <w:p w:rsidR="0092635B" w:rsidRDefault="00000000">
      <w:pPr>
        <w:pStyle w:val="Textoindependiente"/>
        <w:spacing w:line="249" w:lineRule="auto"/>
        <w:ind w:right="1103"/>
      </w:pPr>
      <w:r>
        <w:t>Cuando, con arreglo a lo dispuesto en el apartado 2 del artículo 138, estuviera permitido dar acceso por medios no electrónicos a los pliegos y demás documentación complementaria, la invitación indicará esta circunstancia y la forma en que la documentación será puesta a disposición de los candidatos. En este caso, si además la citada documentación obrase en poder de una entidad u órgano distinto del que tramita el procedimiento, la invitación precisará también la forma en que puede solicitarse dicha documentación</w:t>
      </w:r>
      <w:r>
        <w:rPr>
          <w:spacing w:val="-2"/>
        </w:rPr>
        <w:t xml:space="preserve"> </w:t>
      </w:r>
      <w:r>
        <w:t>y,</w:t>
      </w:r>
      <w:r>
        <w:rPr>
          <w:spacing w:val="-2"/>
        </w:rPr>
        <w:t xml:space="preserve"> </w:t>
      </w:r>
      <w:r>
        <w:t>en</w:t>
      </w:r>
      <w:r>
        <w:rPr>
          <w:spacing w:val="-2"/>
        </w:rPr>
        <w:t xml:space="preserve"> </w:t>
      </w:r>
      <w:r>
        <w:t>su</w:t>
      </w:r>
      <w:r>
        <w:rPr>
          <w:spacing w:val="-2"/>
        </w:rPr>
        <w:t xml:space="preserve"> </w:t>
      </w:r>
      <w:r>
        <w:t>caso,</w:t>
      </w:r>
      <w:r>
        <w:rPr>
          <w:spacing w:val="-2"/>
        </w:rPr>
        <w:t xml:space="preserve"> </w:t>
      </w:r>
      <w:r>
        <w:t>la</w:t>
      </w:r>
      <w:r>
        <w:rPr>
          <w:spacing w:val="-2"/>
        </w:rPr>
        <w:t xml:space="preserve"> </w:t>
      </w:r>
      <w:r>
        <w:t>fecha</w:t>
      </w:r>
      <w:r>
        <w:rPr>
          <w:spacing w:val="-2"/>
        </w:rPr>
        <w:t xml:space="preserve"> </w:t>
      </w:r>
      <w:r>
        <w:t>límite</w:t>
      </w:r>
      <w:r>
        <w:rPr>
          <w:spacing w:val="-2"/>
        </w:rPr>
        <w:t xml:space="preserve"> </w:t>
      </w:r>
      <w:r>
        <w:t>para</w:t>
      </w:r>
      <w:r>
        <w:rPr>
          <w:spacing w:val="-2"/>
        </w:rPr>
        <w:t xml:space="preserve"> </w:t>
      </w:r>
      <w:r>
        <w:t>ello,</w:t>
      </w:r>
      <w:r>
        <w:rPr>
          <w:spacing w:val="-2"/>
        </w:rPr>
        <w:t xml:space="preserve"> </w:t>
      </w:r>
      <w:r>
        <w:t>así</w:t>
      </w:r>
      <w:r>
        <w:rPr>
          <w:spacing w:val="-2"/>
        </w:rPr>
        <w:t xml:space="preserve"> </w:t>
      </w:r>
      <w:r>
        <w:t>como</w:t>
      </w:r>
      <w:r>
        <w:rPr>
          <w:spacing w:val="-2"/>
        </w:rPr>
        <w:t xml:space="preserve"> </w:t>
      </w:r>
      <w:r>
        <w:t>el</w:t>
      </w:r>
      <w:r>
        <w:rPr>
          <w:spacing w:val="-2"/>
        </w:rPr>
        <w:t xml:space="preserve"> </w:t>
      </w:r>
      <w:r>
        <w:t>importe</w:t>
      </w:r>
      <w:r>
        <w:rPr>
          <w:spacing w:val="-2"/>
        </w:rPr>
        <w:t xml:space="preserve"> </w:t>
      </w:r>
      <w:r>
        <w:t>y</w:t>
      </w:r>
      <w:r>
        <w:rPr>
          <w:spacing w:val="-2"/>
        </w:rPr>
        <w:t xml:space="preserve"> </w:t>
      </w:r>
      <w:r>
        <w:t>las</w:t>
      </w:r>
      <w:r>
        <w:rPr>
          <w:spacing w:val="-2"/>
        </w:rPr>
        <w:t xml:space="preserve"> </w:t>
      </w:r>
      <w:r>
        <w:t>modalidades de pago de la cantidad que, en su caso, haya de abonarse; los servicios competentes remitirán dicha documentación sin demora a los interesados tras la recepción de su solicitud.</w:t>
      </w:r>
    </w:p>
    <w:p w:rsidR="0092635B" w:rsidRDefault="0092635B">
      <w:pPr>
        <w:pStyle w:val="Textoindependiente"/>
        <w:spacing w:before="4"/>
        <w:ind w:left="0" w:firstLine="0"/>
        <w:jc w:val="left"/>
      </w:pPr>
    </w:p>
    <w:p w:rsidR="0092635B" w:rsidRDefault="00000000">
      <w:pPr>
        <w:ind w:left="1106"/>
        <w:rPr>
          <w:rFonts w:ascii="Arial" w:hAnsi="Arial"/>
          <w:i/>
          <w:sz w:val="20"/>
        </w:rPr>
      </w:pPr>
      <w:bookmarkStart w:id="259" w:name="Artículo_164._Proposiciones."/>
      <w:bookmarkEnd w:id="259"/>
      <w:r>
        <w:rPr>
          <w:rFonts w:ascii="Arial" w:hAnsi="Arial"/>
          <w:b/>
          <w:sz w:val="20"/>
        </w:rPr>
        <w:t>Artículo</w:t>
      </w:r>
      <w:r>
        <w:rPr>
          <w:rFonts w:ascii="Arial" w:hAnsi="Arial"/>
          <w:b/>
          <w:spacing w:val="-2"/>
          <w:sz w:val="20"/>
        </w:rPr>
        <w:t xml:space="preserve"> </w:t>
      </w:r>
      <w:r>
        <w:rPr>
          <w:rFonts w:ascii="Arial" w:hAnsi="Arial"/>
          <w:b/>
          <w:sz w:val="20"/>
        </w:rPr>
        <w:t>164.</w:t>
      </w:r>
      <w:r>
        <w:rPr>
          <w:rFonts w:ascii="Arial" w:hAnsi="Arial"/>
          <w:b/>
          <w:spacing w:val="54"/>
          <w:sz w:val="20"/>
        </w:rPr>
        <w:t xml:space="preserve"> </w:t>
      </w:r>
      <w:r>
        <w:rPr>
          <w:rFonts w:ascii="Arial" w:hAnsi="Arial"/>
          <w:i/>
          <w:spacing w:val="-2"/>
          <w:sz w:val="20"/>
        </w:rPr>
        <w:t>Proposiciones.</w:t>
      </w:r>
    </w:p>
    <w:p w:rsidR="0092635B" w:rsidRDefault="00000000">
      <w:pPr>
        <w:pStyle w:val="Prrafodelista"/>
        <w:numPr>
          <w:ilvl w:val="0"/>
          <w:numId w:val="207"/>
        </w:numPr>
        <w:tabs>
          <w:tab w:val="left" w:pos="1681"/>
        </w:tabs>
        <w:spacing w:before="123" w:line="249" w:lineRule="auto"/>
        <w:ind w:right="1105" w:firstLine="340"/>
        <w:jc w:val="both"/>
        <w:rPr>
          <w:sz w:val="20"/>
        </w:rPr>
      </w:pPr>
      <w:r>
        <w:rPr>
          <w:sz w:val="20"/>
        </w:rPr>
        <w:t>El plazo general de presentación de proposiciones en los procedimientos restringidos relativos a contratos sujetos a regulación armonizada será el suficiente para la adecuada elaboración de las proposiciones en función del alcance y complejidad del contrato. En cualquier caso no será inferior a treinta días, contados a partir de la fecha de envío de la invitación escrita.</w:t>
      </w:r>
    </w:p>
    <w:p w:rsidR="0092635B" w:rsidRDefault="00000000">
      <w:pPr>
        <w:pStyle w:val="Textoindependiente"/>
        <w:spacing w:before="4"/>
        <w:ind w:left="1446" w:firstLine="0"/>
      </w:pPr>
      <w:r>
        <w:t>El</w:t>
      </w:r>
      <w:r>
        <w:rPr>
          <w:spacing w:val="-5"/>
        </w:rPr>
        <w:t xml:space="preserve"> </w:t>
      </w:r>
      <w:r>
        <w:t>plazo</w:t>
      </w:r>
      <w:r>
        <w:rPr>
          <w:spacing w:val="-3"/>
        </w:rPr>
        <w:t xml:space="preserve"> </w:t>
      </w:r>
      <w:r>
        <w:t>general</w:t>
      </w:r>
      <w:r>
        <w:rPr>
          <w:spacing w:val="-3"/>
        </w:rPr>
        <w:t xml:space="preserve"> </w:t>
      </w:r>
      <w:r>
        <w:t>previsto</w:t>
      </w:r>
      <w:r>
        <w:rPr>
          <w:spacing w:val="-3"/>
        </w:rPr>
        <w:t xml:space="preserve"> </w:t>
      </w:r>
      <w:r>
        <w:t>en</w:t>
      </w:r>
      <w:r>
        <w:rPr>
          <w:spacing w:val="-3"/>
        </w:rPr>
        <w:t xml:space="preserve"> </w:t>
      </w:r>
      <w:r>
        <w:t>el</w:t>
      </w:r>
      <w:r>
        <w:rPr>
          <w:spacing w:val="-3"/>
        </w:rPr>
        <w:t xml:space="preserve"> </w:t>
      </w:r>
      <w:r>
        <w:t>párrafo</w:t>
      </w:r>
      <w:r>
        <w:rPr>
          <w:spacing w:val="-3"/>
        </w:rPr>
        <w:t xml:space="preserve"> </w:t>
      </w:r>
      <w:r>
        <w:t>anterior</w:t>
      </w:r>
      <w:r>
        <w:rPr>
          <w:spacing w:val="-3"/>
        </w:rPr>
        <w:t xml:space="preserve"> </w:t>
      </w:r>
      <w:r>
        <w:t>podrá</w:t>
      </w:r>
      <w:r>
        <w:rPr>
          <w:spacing w:val="-3"/>
        </w:rPr>
        <w:t xml:space="preserve"> </w:t>
      </w:r>
      <w:r>
        <w:t>reducirse</w:t>
      </w:r>
      <w:r>
        <w:rPr>
          <w:spacing w:val="-3"/>
        </w:rPr>
        <w:t xml:space="preserve"> </w:t>
      </w:r>
      <w:r>
        <w:t>en</w:t>
      </w:r>
      <w:r>
        <w:rPr>
          <w:spacing w:val="-3"/>
        </w:rPr>
        <w:t xml:space="preserve"> </w:t>
      </w:r>
      <w:r>
        <w:t>los</w:t>
      </w:r>
      <w:r>
        <w:rPr>
          <w:spacing w:val="-3"/>
        </w:rPr>
        <w:t xml:space="preserve"> </w:t>
      </w:r>
      <w:r>
        <w:t>siguientes</w:t>
      </w:r>
      <w:r>
        <w:rPr>
          <w:spacing w:val="-3"/>
        </w:rPr>
        <w:t xml:space="preserve"> </w:t>
      </w:r>
      <w:r>
        <w:rPr>
          <w:spacing w:val="-2"/>
        </w:rPr>
        <w:t>casos:</w:t>
      </w:r>
    </w:p>
    <w:p w:rsidR="0092635B" w:rsidRDefault="00000000">
      <w:pPr>
        <w:pStyle w:val="Prrafodelista"/>
        <w:numPr>
          <w:ilvl w:val="1"/>
          <w:numId w:val="207"/>
        </w:numPr>
        <w:tabs>
          <w:tab w:val="left" w:pos="1733"/>
        </w:tabs>
        <w:spacing w:before="130" w:line="249" w:lineRule="auto"/>
        <w:ind w:right="1105" w:firstLine="340"/>
        <w:jc w:val="both"/>
        <w:rPr>
          <w:sz w:val="20"/>
        </w:rPr>
      </w:pPr>
      <w:r>
        <w:rPr>
          <w:sz w:val="20"/>
        </w:rPr>
        <w:t>Si se hubiese enviado el anuncio de información previa, el plazo general podrá reducirse a diez días. Esta reducción del plazo solo será admisible cuando el anuncio de información previa se hubiese enviado cumpliéndose los requisitos que establece la letra a) del apartado 3 del artículo 156.</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07"/>
        </w:numPr>
        <w:tabs>
          <w:tab w:val="left" w:pos="1726"/>
        </w:tabs>
        <w:spacing w:before="1" w:line="249" w:lineRule="auto"/>
        <w:ind w:firstLine="340"/>
        <w:jc w:val="both"/>
        <w:rPr>
          <w:sz w:val="20"/>
        </w:rPr>
      </w:pPr>
      <w:r>
        <w:rPr>
          <w:sz w:val="20"/>
        </w:rPr>
        <w:t>Cuando el plazo general de presentación de proposiciones sea impracticable por tratarse de una situación de urgencia, en los términos descritos en el artículo 119, el órgano de</w:t>
      </w:r>
      <w:r>
        <w:rPr>
          <w:spacing w:val="-2"/>
          <w:sz w:val="20"/>
        </w:rPr>
        <w:t xml:space="preserve"> </w:t>
      </w:r>
      <w:r>
        <w:rPr>
          <w:sz w:val="20"/>
        </w:rPr>
        <w:t>contratación</w:t>
      </w:r>
      <w:r>
        <w:rPr>
          <w:spacing w:val="-2"/>
          <w:sz w:val="20"/>
        </w:rPr>
        <w:t xml:space="preserve"> </w:t>
      </w:r>
      <w:r>
        <w:rPr>
          <w:sz w:val="20"/>
        </w:rPr>
        <w:t>podrá</w:t>
      </w:r>
      <w:r>
        <w:rPr>
          <w:spacing w:val="-2"/>
          <w:sz w:val="20"/>
        </w:rPr>
        <w:t xml:space="preserve"> </w:t>
      </w:r>
      <w:r>
        <w:rPr>
          <w:sz w:val="20"/>
        </w:rPr>
        <w:t>fijar</w:t>
      </w:r>
      <w:r>
        <w:rPr>
          <w:spacing w:val="-2"/>
          <w:sz w:val="20"/>
        </w:rPr>
        <w:t xml:space="preserve"> </w:t>
      </w:r>
      <w:r>
        <w:rPr>
          <w:sz w:val="20"/>
        </w:rPr>
        <w:t>otro</w:t>
      </w:r>
      <w:r>
        <w:rPr>
          <w:spacing w:val="-2"/>
          <w:sz w:val="20"/>
        </w:rPr>
        <w:t xml:space="preserve"> </w:t>
      </w:r>
      <w:r>
        <w:rPr>
          <w:sz w:val="20"/>
        </w:rPr>
        <w:t>plazo</w:t>
      </w:r>
      <w:r>
        <w:rPr>
          <w:spacing w:val="-2"/>
          <w:sz w:val="20"/>
        </w:rPr>
        <w:t xml:space="preserve"> </w:t>
      </w:r>
      <w:r>
        <w:rPr>
          <w:sz w:val="20"/>
        </w:rPr>
        <w:t>que</w:t>
      </w:r>
      <w:r>
        <w:rPr>
          <w:spacing w:val="-2"/>
          <w:sz w:val="20"/>
        </w:rPr>
        <w:t xml:space="preserve"> </w:t>
      </w:r>
      <w:r>
        <w:rPr>
          <w:sz w:val="20"/>
        </w:rPr>
        <w:t>no</w:t>
      </w:r>
      <w:r>
        <w:rPr>
          <w:spacing w:val="-2"/>
          <w:sz w:val="20"/>
        </w:rPr>
        <w:t xml:space="preserve"> </w:t>
      </w:r>
      <w:r>
        <w:rPr>
          <w:sz w:val="20"/>
        </w:rPr>
        <w:t>será</w:t>
      </w:r>
      <w:r>
        <w:rPr>
          <w:spacing w:val="-2"/>
          <w:sz w:val="20"/>
        </w:rPr>
        <w:t xml:space="preserve"> </w:t>
      </w:r>
      <w:r>
        <w:rPr>
          <w:sz w:val="20"/>
        </w:rPr>
        <w:t>inferior</w:t>
      </w:r>
      <w:r>
        <w:rPr>
          <w:spacing w:val="-2"/>
          <w:sz w:val="20"/>
        </w:rPr>
        <w:t xml:space="preserve"> </w:t>
      </w:r>
      <w:r>
        <w:rPr>
          <w:sz w:val="20"/>
        </w:rPr>
        <w:t>a</w:t>
      </w:r>
      <w:r>
        <w:rPr>
          <w:spacing w:val="-2"/>
          <w:sz w:val="20"/>
        </w:rPr>
        <w:t xml:space="preserve"> </w:t>
      </w:r>
      <w:r>
        <w:rPr>
          <w:sz w:val="20"/>
        </w:rPr>
        <w:t>diez</w:t>
      </w:r>
      <w:r>
        <w:rPr>
          <w:spacing w:val="-2"/>
          <w:sz w:val="20"/>
        </w:rPr>
        <w:t xml:space="preserve"> </w:t>
      </w:r>
      <w:r>
        <w:rPr>
          <w:sz w:val="20"/>
        </w:rPr>
        <w:t>días</w:t>
      </w:r>
      <w:r>
        <w:rPr>
          <w:spacing w:val="-2"/>
          <w:sz w:val="20"/>
        </w:rPr>
        <w:t xml:space="preserve"> </w:t>
      </w:r>
      <w:r>
        <w:rPr>
          <w:sz w:val="20"/>
        </w:rPr>
        <w:t>contados</w:t>
      </w:r>
      <w:r>
        <w:rPr>
          <w:spacing w:val="-2"/>
          <w:sz w:val="20"/>
        </w:rPr>
        <w:t xml:space="preserve"> </w:t>
      </w:r>
      <w:r>
        <w:rPr>
          <w:sz w:val="20"/>
        </w:rPr>
        <w:t>desde</w:t>
      </w:r>
      <w:r>
        <w:rPr>
          <w:spacing w:val="-2"/>
          <w:sz w:val="20"/>
        </w:rPr>
        <w:t xml:space="preserve"> </w:t>
      </w:r>
      <w:r>
        <w:rPr>
          <w:sz w:val="20"/>
        </w:rPr>
        <w:t>la</w:t>
      </w:r>
      <w:r>
        <w:rPr>
          <w:spacing w:val="-2"/>
          <w:sz w:val="20"/>
        </w:rPr>
        <w:t xml:space="preserve"> </w:t>
      </w:r>
      <w:r>
        <w:rPr>
          <w:sz w:val="20"/>
        </w:rPr>
        <w:t>fecha del envío de la invitación escrita.</w:t>
      </w:r>
    </w:p>
    <w:p w:rsidR="0092635B" w:rsidRDefault="00000000">
      <w:pPr>
        <w:pStyle w:val="Prrafodelista"/>
        <w:numPr>
          <w:ilvl w:val="1"/>
          <w:numId w:val="207"/>
        </w:numPr>
        <w:tabs>
          <w:tab w:val="left" w:pos="1749"/>
        </w:tabs>
        <w:spacing w:before="3" w:line="249" w:lineRule="auto"/>
        <w:ind w:firstLine="340"/>
        <w:jc w:val="both"/>
        <w:rPr>
          <w:sz w:val="20"/>
        </w:rPr>
      </w:pPr>
      <w:r>
        <w:rPr>
          <w:sz w:val="20"/>
        </w:rPr>
        <w:t>Si el órgano de contratación aceptara la presentación de ofertas por medios electrónicos,</w:t>
      </w:r>
      <w:r>
        <w:rPr>
          <w:spacing w:val="40"/>
          <w:sz w:val="20"/>
        </w:rPr>
        <w:t xml:space="preserve"> </w:t>
      </w:r>
      <w:r>
        <w:rPr>
          <w:sz w:val="20"/>
        </w:rPr>
        <w:t>podrá</w:t>
      </w:r>
      <w:r>
        <w:rPr>
          <w:spacing w:val="40"/>
          <w:sz w:val="20"/>
        </w:rPr>
        <w:t xml:space="preserve"> </w:t>
      </w:r>
      <w:r>
        <w:rPr>
          <w:sz w:val="20"/>
        </w:rPr>
        <w:t>reducirse</w:t>
      </w:r>
      <w:r>
        <w:rPr>
          <w:spacing w:val="40"/>
          <w:sz w:val="20"/>
        </w:rPr>
        <w:t xml:space="preserve"> </w:t>
      </w:r>
      <w:r>
        <w:rPr>
          <w:sz w:val="20"/>
        </w:rPr>
        <w:t>el</w:t>
      </w:r>
      <w:r>
        <w:rPr>
          <w:spacing w:val="40"/>
          <w:sz w:val="20"/>
        </w:rPr>
        <w:t xml:space="preserve"> </w:t>
      </w:r>
      <w:r>
        <w:rPr>
          <w:sz w:val="20"/>
        </w:rPr>
        <w:t>plazo</w:t>
      </w:r>
      <w:r>
        <w:rPr>
          <w:spacing w:val="40"/>
          <w:sz w:val="20"/>
        </w:rPr>
        <w:t xml:space="preserve"> </w:t>
      </w:r>
      <w:r>
        <w:rPr>
          <w:sz w:val="20"/>
        </w:rPr>
        <w:t>general</w:t>
      </w:r>
      <w:r>
        <w:rPr>
          <w:spacing w:val="40"/>
          <w:sz w:val="20"/>
        </w:rPr>
        <w:t xml:space="preserve"> </w:t>
      </w:r>
      <w:r>
        <w:rPr>
          <w:sz w:val="20"/>
        </w:rPr>
        <w:t>de</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proposiciones</w:t>
      </w:r>
      <w:r>
        <w:rPr>
          <w:spacing w:val="40"/>
          <w:sz w:val="20"/>
        </w:rPr>
        <w:t xml:space="preserve"> </w:t>
      </w:r>
      <w:r>
        <w:rPr>
          <w:sz w:val="20"/>
        </w:rPr>
        <w:t>en</w:t>
      </w:r>
      <w:r>
        <w:rPr>
          <w:spacing w:val="80"/>
          <w:sz w:val="20"/>
        </w:rPr>
        <w:t xml:space="preserve"> </w:t>
      </w:r>
      <w:r>
        <w:rPr>
          <w:sz w:val="20"/>
        </w:rPr>
        <w:t>cinco días.</w:t>
      </w:r>
    </w:p>
    <w:p w:rsidR="0092635B" w:rsidRDefault="00000000">
      <w:pPr>
        <w:pStyle w:val="Textoindependiente"/>
        <w:spacing w:before="122" w:line="249" w:lineRule="auto"/>
        <w:ind w:right="1105"/>
      </w:pPr>
      <w:r>
        <w:t>En</w:t>
      </w:r>
      <w:r>
        <w:rPr>
          <w:spacing w:val="-2"/>
        </w:rPr>
        <w:t xml:space="preserve"> </w:t>
      </w:r>
      <w:r>
        <w:t>las</w:t>
      </w:r>
      <w:r>
        <w:rPr>
          <w:spacing w:val="-2"/>
        </w:rPr>
        <w:t xml:space="preserve"> </w:t>
      </w:r>
      <w:r>
        <w:t>concesiones</w:t>
      </w:r>
      <w:r>
        <w:rPr>
          <w:spacing w:val="-2"/>
        </w:rPr>
        <w:t xml:space="preserve"> </w:t>
      </w:r>
      <w:r>
        <w:t>de</w:t>
      </w:r>
      <w:r>
        <w:rPr>
          <w:spacing w:val="-2"/>
        </w:rPr>
        <w:t xml:space="preserve"> </w:t>
      </w:r>
      <w:r>
        <w:t>obras</w:t>
      </w:r>
      <w:r>
        <w:rPr>
          <w:spacing w:val="-2"/>
        </w:rPr>
        <w:t xml:space="preserve"> </w:t>
      </w:r>
      <w:r>
        <w:t>y</w:t>
      </w:r>
      <w:r>
        <w:rPr>
          <w:spacing w:val="-2"/>
        </w:rPr>
        <w:t xml:space="preserve"> </w:t>
      </w:r>
      <w:r>
        <w:t>de</w:t>
      </w:r>
      <w:r>
        <w:rPr>
          <w:spacing w:val="-2"/>
        </w:rPr>
        <w:t xml:space="preserve"> </w:t>
      </w:r>
      <w:r>
        <w:t>servicios</w:t>
      </w:r>
      <w:r>
        <w:rPr>
          <w:spacing w:val="-2"/>
        </w:rPr>
        <w:t xml:space="preserve"> </w:t>
      </w:r>
      <w:r>
        <w:t>solo</w:t>
      </w:r>
      <w:r>
        <w:rPr>
          <w:spacing w:val="-2"/>
        </w:rPr>
        <w:t xml:space="preserve"> </w:t>
      </w:r>
      <w:r>
        <w:t>se</w:t>
      </w:r>
      <w:r>
        <w:rPr>
          <w:spacing w:val="-2"/>
        </w:rPr>
        <w:t xml:space="preserve"> </w:t>
      </w:r>
      <w:r>
        <w:t>podrá</w:t>
      </w:r>
      <w:r>
        <w:rPr>
          <w:spacing w:val="-2"/>
        </w:rPr>
        <w:t xml:space="preserve"> </w:t>
      </w:r>
      <w:r>
        <w:t>reducir</w:t>
      </w:r>
      <w:r>
        <w:rPr>
          <w:spacing w:val="-2"/>
        </w:rPr>
        <w:t xml:space="preserve"> </w:t>
      </w:r>
      <w:r>
        <w:t>el</w:t>
      </w:r>
      <w:r>
        <w:rPr>
          <w:spacing w:val="-2"/>
        </w:rPr>
        <w:t xml:space="preserve"> </w:t>
      </w:r>
      <w:r>
        <w:t>plazo</w:t>
      </w:r>
      <w:r>
        <w:rPr>
          <w:spacing w:val="-2"/>
        </w:rPr>
        <w:t xml:space="preserve"> </w:t>
      </w:r>
      <w:r>
        <w:t>general</w:t>
      </w:r>
      <w:r>
        <w:rPr>
          <w:spacing w:val="-2"/>
        </w:rPr>
        <w:t xml:space="preserve"> </w:t>
      </w:r>
      <w:r>
        <w:t>cuando se dé la circunstancia establecida en la letra c) anterior.</w:t>
      </w:r>
    </w:p>
    <w:p w:rsidR="0092635B" w:rsidRDefault="00000000">
      <w:pPr>
        <w:pStyle w:val="Prrafodelista"/>
        <w:numPr>
          <w:ilvl w:val="0"/>
          <w:numId w:val="207"/>
        </w:numPr>
        <w:tabs>
          <w:tab w:val="left" w:pos="1731"/>
        </w:tabs>
        <w:spacing w:line="249" w:lineRule="auto"/>
        <w:ind w:right="1104" w:firstLine="340"/>
        <w:jc w:val="both"/>
        <w:rPr>
          <w:sz w:val="20"/>
        </w:rPr>
      </w:pPr>
      <w:r>
        <w:rPr>
          <w:sz w:val="20"/>
        </w:rPr>
        <w:t>En los procedimientos restringidos relativos a contratos no sujetos a regulación armonizada, el plazo para la presentación de proposiciones no será inferior a diez días, contados desde la fecha de envío de la invitación.</w:t>
      </w:r>
    </w:p>
    <w:p w:rsidR="0092635B" w:rsidRDefault="00000000">
      <w:pPr>
        <w:spacing w:before="229"/>
        <w:ind w:left="1106"/>
        <w:rPr>
          <w:rFonts w:ascii="Arial" w:hAnsi="Arial"/>
          <w:i/>
          <w:sz w:val="20"/>
        </w:rPr>
      </w:pPr>
      <w:bookmarkStart w:id="260" w:name="Artículo_165._Adjudicación."/>
      <w:bookmarkEnd w:id="260"/>
      <w:r>
        <w:rPr>
          <w:rFonts w:ascii="Arial" w:hAnsi="Arial"/>
          <w:b/>
          <w:sz w:val="20"/>
        </w:rPr>
        <w:t>Artículo</w:t>
      </w:r>
      <w:r>
        <w:rPr>
          <w:rFonts w:ascii="Arial" w:hAnsi="Arial"/>
          <w:b/>
          <w:spacing w:val="-2"/>
          <w:sz w:val="20"/>
        </w:rPr>
        <w:t xml:space="preserve"> </w:t>
      </w:r>
      <w:r>
        <w:rPr>
          <w:rFonts w:ascii="Arial" w:hAnsi="Arial"/>
          <w:b/>
          <w:sz w:val="20"/>
        </w:rPr>
        <w:t>165.</w:t>
      </w:r>
      <w:r>
        <w:rPr>
          <w:rFonts w:ascii="Arial" w:hAnsi="Arial"/>
          <w:b/>
          <w:spacing w:val="54"/>
          <w:sz w:val="20"/>
        </w:rPr>
        <w:t xml:space="preserve"> </w:t>
      </w:r>
      <w:r>
        <w:rPr>
          <w:rFonts w:ascii="Arial" w:hAnsi="Arial"/>
          <w:i/>
          <w:spacing w:val="-2"/>
          <w:sz w:val="20"/>
        </w:rPr>
        <w:t>Adjudicación.</w:t>
      </w:r>
    </w:p>
    <w:p w:rsidR="0092635B" w:rsidRDefault="00000000">
      <w:pPr>
        <w:pStyle w:val="Textoindependiente"/>
        <w:spacing w:before="124" w:line="249" w:lineRule="auto"/>
        <w:ind w:right="1105"/>
      </w:pPr>
      <w:r>
        <w:t>En la adjudicación del contrato será de aplicación lo previsto en esta Ley para el procedimiento abierto, salvo lo que se refiere a la necesidad de calificar previamente la documentación a que se refiere el artículo 140.</w:t>
      </w:r>
    </w:p>
    <w:p w:rsidR="0092635B" w:rsidRDefault="0092635B">
      <w:pPr>
        <w:pStyle w:val="Textoindependiente"/>
        <w:spacing w:before="55"/>
        <w:ind w:left="0" w:firstLine="0"/>
        <w:jc w:val="left"/>
      </w:pPr>
    </w:p>
    <w:p w:rsidR="0092635B" w:rsidRDefault="00000000">
      <w:pPr>
        <w:pStyle w:val="Textoindependiente"/>
        <w:spacing w:before="1"/>
        <w:ind w:left="0" w:firstLine="0"/>
        <w:jc w:val="center"/>
      </w:pPr>
      <w:bookmarkStart w:id="261" w:name="Subsección_4.ª_Procedimientos_con_negoci"/>
      <w:bookmarkStart w:id="262" w:name="_bookmark49"/>
      <w:bookmarkEnd w:id="261"/>
      <w:bookmarkEnd w:id="262"/>
      <w:r>
        <w:t>Subsección</w:t>
      </w:r>
      <w:r>
        <w:rPr>
          <w:spacing w:val="-4"/>
        </w:rPr>
        <w:t xml:space="preserve"> </w:t>
      </w:r>
      <w:r>
        <w:t>4.ª</w:t>
      </w:r>
      <w:r>
        <w:rPr>
          <w:spacing w:val="-3"/>
        </w:rPr>
        <w:t xml:space="preserve"> </w:t>
      </w:r>
      <w:r>
        <w:t>Procedimientos</w:t>
      </w:r>
      <w:r>
        <w:rPr>
          <w:spacing w:val="-3"/>
        </w:rPr>
        <w:t xml:space="preserve"> </w:t>
      </w:r>
      <w:r>
        <w:t>con</w:t>
      </w:r>
      <w:r>
        <w:rPr>
          <w:spacing w:val="-3"/>
        </w:rPr>
        <w:t xml:space="preserve"> </w:t>
      </w:r>
      <w:r>
        <w:rPr>
          <w:spacing w:val="-2"/>
        </w:rPr>
        <w:t>negociación</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263" w:name="Artículo_166._Caracterización_y_delimita"/>
      <w:bookmarkEnd w:id="263"/>
      <w:r>
        <w:rPr>
          <w:rFonts w:ascii="Arial" w:hAnsi="Arial"/>
          <w:b/>
          <w:sz w:val="20"/>
        </w:rPr>
        <w:t>Artículo</w:t>
      </w:r>
      <w:r>
        <w:rPr>
          <w:rFonts w:ascii="Arial" w:hAnsi="Arial"/>
          <w:b/>
          <w:spacing w:val="-6"/>
          <w:sz w:val="20"/>
        </w:rPr>
        <w:t xml:space="preserve"> </w:t>
      </w:r>
      <w:r>
        <w:rPr>
          <w:rFonts w:ascii="Arial" w:hAnsi="Arial"/>
          <w:b/>
          <w:sz w:val="20"/>
        </w:rPr>
        <w:t>166.</w:t>
      </w:r>
      <w:r>
        <w:rPr>
          <w:rFonts w:ascii="Arial" w:hAnsi="Arial"/>
          <w:b/>
          <w:spacing w:val="47"/>
          <w:sz w:val="20"/>
        </w:rPr>
        <w:t xml:space="preserve"> </w:t>
      </w:r>
      <w:r>
        <w:rPr>
          <w:rFonts w:ascii="Arial" w:hAnsi="Arial"/>
          <w:i/>
          <w:sz w:val="20"/>
        </w:rPr>
        <w:t>Caracterización</w:t>
      </w:r>
      <w:r>
        <w:rPr>
          <w:rFonts w:ascii="Arial" w:hAnsi="Arial"/>
          <w:i/>
          <w:spacing w:val="-4"/>
          <w:sz w:val="20"/>
        </w:rPr>
        <w:t xml:space="preserve"> </w:t>
      </w:r>
      <w:r>
        <w:rPr>
          <w:rFonts w:ascii="Arial" w:hAnsi="Arial"/>
          <w:i/>
          <w:sz w:val="20"/>
        </w:rPr>
        <w:t>y</w:t>
      </w:r>
      <w:r>
        <w:rPr>
          <w:rFonts w:ascii="Arial" w:hAnsi="Arial"/>
          <w:i/>
          <w:spacing w:val="-3"/>
          <w:sz w:val="20"/>
        </w:rPr>
        <w:t xml:space="preserve"> </w:t>
      </w:r>
      <w:r>
        <w:rPr>
          <w:rFonts w:ascii="Arial" w:hAnsi="Arial"/>
          <w:i/>
          <w:sz w:val="20"/>
        </w:rPr>
        <w:t>delimitación</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4"/>
          <w:sz w:val="20"/>
        </w:rPr>
        <w:t xml:space="preserve"> </w:t>
      </w:r>
      <w:r>
        <w:rPr>
          <w:rFonts w:ascii="Arial" w:hAnsi="Arial"/>
          <w:i/>
          <w:sz w:val="20"/>
        </w:rPr>
        <w:t>materia</w:t>
      </w:r>
      <w:r>
        <w:rPr>
          <w:rFonts w:ascii="Arial" w:hAnsi="Arial"/>
          <w:i/>
          <w:spacing w:val="-3"/>
          <w:sz w:val="20"/>
        </w:rPr>
        <w:t xml:space="preserve"> </w:t>
      </w:r>
      <w:r>
        <w:rPr>
          <w:rFonts w:ascii="Arial" w:hAnsi="Arial"/>
          <w:i/>
          <w:sz w:val="20"/>
        </w:rPr>
        <w:t>objeto</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negociación.</w:t>
      </w:r>
    </w:p>
    <w:p w:rsidR="0092635B" w:rsidRDefault="00000000">
      <w:pPr>
        <w:pStyle w:val="Prrafodelista"/>
        <w:numPr>
          <w:ilvl w:val="0"/>
          <w:numId w:val="206"/>
        </w:numPr>
        <w:tabs>
          <w:tab w:val="left" w:pos="1749"/>
        </w:tabs>
        <w:spacing w:before="124" w:line="249" w:lineRule="auto"/>
        <w:ind w:firstLine="340"/>
        <w:jc w:val="both"/>
        <w:rPr>
          <w:sz w:val="20"/>
        </w:rPr>
      </w:pPr>
      <w:r>
        <w:rPr>
          <w:sz w:val="20"/>
        </w:rPr>
        <w:t>En los procedimientos con negociación la adjudicación recaerá en el licitador justificadamente elegido por el órgano de contratación, tras negociar las condiciones del contrato con uno o varios candidatos.</w:t>
      </w:r>
    </w:p>
    <w:p w:rsidR="0092635B" w:rsidRDefault="00000000">
      <w:pPr>
        <w:pStyle w:val="Prrafodelista"/>
        <w:numPr>
          <w:ilvl w:val="0"/>
          <w:numId w:val="206"/>
        </w:numPr>
        <w:tabs>
          <w:tab w:val="left" w:pos="1699"/>
        </w:tabs>
        <w:spacing w:line="249" w:lineRule="auto"/>
        <w:ind w:firstLine="340"/>
        <w:jc w:val="both"/>
        <w:rPr>
          <w:sz w:val="20"/>
        </w:rPr>
      </w:pPr>
      <w:r>
        <w:rPr>
          <w:sz w:val="20"/>
        </w:rPr>
        <w:t>En el pliego de cláusulas administrativas particulares se determinarán los aspectos económicos y técnicos que, en su caso, hayan de ser objeto de negociación con las empresas; la descripción de las necesidades de los órganos de contratación y de las características exigidas para los suministros, las obras o los servicios que hayan de contratarse; el procedimiento que se seguirá para negociar, que en todo momento garantizará la máxima transparencia de la negociación, la publicidad de la misma y la no discriminación entre los licitadores que participen; los elementos de la prestación objeto del contrato que constituyen los requisitos mínimos que han de cumplir todas las ofertas; los criterios de adjudicación.</w:t>
      </w:r>
    </w:p>
    <w:p w:rsidR="0092635B" w:rsidRDefault="00000000">
      <w:pPr>
        <w:pStyle w:val="Textoindependiente"/>
        <w:spacing w:before="8" w:line="249" w:lineRule="auto"/>
        <w:ind w:right="1104"/>
      </w:pPr>
      <w:r>
        <w:t>La información facilitada será lo suficientemente precisa como para que los operadores económicos puedan identificar la naturaleza y el ámbito de la contratación y decidir si solicitan participar en el procedimiento.</w:t>
      </w:r>
    </w:p>
    <w:p w:rsidR="0092635B" w:rsidRDefault="00000000">
      <w:pPr>
        <w:pStyle w:val="Prrafodelista"/>
        <w:numPr>
          <w:ilvl w:val="0"/>
          <w:numId w:val="206"/>
        </w:numPr>
        <w:tabs>
          <w:tab w:val="left" w:pos="1670"/>
        </w:tabs>
        <w:spacing w:line="249" w:lineRule="auto"/>
        <w:ind w:right="1104" w:firstLine="340"/>
        <w:jc w:val="both"/>
        <w:rPr>
          <w:sz w:val="20"/>
        </w:rPr>
      </w:pPr>
      <w:r>
        <w:rPr>
          <w:sz w:val="20"/>
        </w:rPr>
        <w:t>Los</w:t>
      </w:r>
      <w:r>
        <w:rPr>
          <w:spacing w:val="-1"/>
          <w:sz w:val="20"/>
        </w:rPr>
        <w:t xml:space="preserve"> </w:t>
      </w:r>
      <w:r>
        <w:rPr>
          <w:sz w:val="20"/>
        </w:rPr>
        <w:t>procedimientos</w:t>
      </w:r>
      <w:r>
        <w:rPr>
          <w:spacing w:val="-1"/>
          <w:sz w:val="20"/>
        </w:rPr>
        <w:t xml:space="preserve"> </w:t>
      </w:r>
      <w:r>
        <w:rPr>
          <w:sz w:val="20"/>
        </w:rPr>
        <w:t>con</w:t>
      </w:r>
      <w:r>
        <w:rPr>
          <w:spacing w:val="-1"/>
          <w:sz w:val="20"/>
        </w:rPr>
        <w:t xml:space="preserve"> </w:t>
      </w:r>
      <w:r>
        <w:rPr>
          <w:sz w:val="20"/>
        </w:rPr>
        <w:t>negociación</w:t>
      </w:r>
      <w:r>
        <w:rPr>
          <w:spacing w:val="-1"/>
          <w:sz w:val="20"/>
        </w:rPr>
        <w:t xml:space="preserve"> </w:t>
      </w:r>
      <w:r>
        <w:rPr>
          <w:sz w:val="20"/>
        </w:rPr>
        <w:t>podrán</w:t>
      </w:r>
      <w:r>
        <w:rPr>
          <w:spacing w:val="-1"/>
          <w:sz w:val="20"/>
        </w:rPr>
        <w:t xml:space="preserve"> </w:t>
      </w:r>
      <w:r>
        <w:rPr>
          <w:sz w:val="20"/>
        </w:rPr>
        <w:t>utilizarse</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casos</w:t>
      </w:r>
      <w:r>
        <w:rPr>
          <w:spacing w:val="-1"/>
          <w:sz w:val="20"/>
        </w:rPr>
        <w:t xml:space="preserve"> </w:t>
      </w:r>
      <w:r>
        <w:rPr>
          <w:sz w:val="20"/>
        </w:rPr>
        <w:t>enumerados</w:t>
      </w:r>
      <w:r>
        <w:rPr>
          <w:spacing w:val="-1"/>
          <w:sz w:val="20"/>
        </w:rPr>
        <w:t xml:space="preserve"> </w:t>
      </w:r>
      <w:r>
        <w:rPr>
          <w:sz w:val="20"/>
        </w:rPr>
        <w:t>en</w:t>
      </w:r>
      <w:r>
        <w:rPr>
          <w:spacing w:val="-1"/>
          <w:sz w:val="20"/>
        </w:rPr>
        <w:t xml:space="preserve"> </w:t>
      </w:r>
      <w:r>
        <w:rPr>
          <w:sz w:val="20"/>
        </w:rPr>
        <w:t>los artículos 167 y 168. Salvo que se dieran las circunstancias excepcionales que recoge el artículo 168, los órganos de contratación deberán publicar un anuncio de licitación.</w:t>
      </w:r>
    </w:p>
    <w:p w:rsidR="0092635B" w:rsidRDefault="00000000">
      <w:pPr>
        <w:spacing w:before="229"/>
        <w:ind w:left="1106"/>
        <w:rPr>
          <w:rFonts w:ascii="Arial" w:hAnsi="Arial"/>
          <w:i/>
          <w:sz w:val="20"/>
        </w:rPr>
      </w:pPr>
      <w:bookmarkStart w:id="264" w:name="Artículo_167._Supuestos_de_aplicación_de"/>
      <w:bookmarkEnd w:id="264"/>
      <w:r>
        <w:rPr>
          <w:rFonts w:ascii="Arial" w:hAnsi="Arial"/>
          <w:b/>
          <w:sz w:val="20"/>
        </w:rPr>
        <w:t>Artículo</w:t>
      </w:r>
      <w:r>
        <w:rPr>
          <w:rFonts w:ascii="Arial" w:hAnsi="Arial"/>
          <w:b/>
          <w:spacing w:val="-6"/>
          <w:sz w:val="20"/>
        </w:rPr>
        <w:t xml:space="preserve"> </w:t>
      </w:r>
      <w:r>
        <w:rPr>
          <w:rFonts w:ascii="Arial" w:hAnsi="Arial"/>
          <w:b/>
          <w:sz w:val="20"/>
        </w:rPr>
        <w:t>167.</w:t>
      </w:r>
      <w:r>
        <w:rPr>
          <w:rFonts w:ascii="Arial" w:hAnsi="Arial"/>
          <w:b/>
          <w:spacing w:val="48"/>
          <w:sz w:val="20"/>
        </w:rPr>
        <w:t xml:space="preserve"> </w:t>
      </w:r>
      <w:r>
        <w:rPr>
          <w:rFonts w:ascii="Arial" w:hAnsi="Arial"/>
          <w:i/>
          <w:sz w:val="20"/>
        </w:rPr>
        <w:t>Supuestos</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aplicación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procedimiento</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licitación</w:t>
      </w:r>
      <w:r>
        <w:rPr>
          <w:rFonts w:ascii="Arial" w:hAnsi="Arial"/>
          <w:i/>
          <w:spacing w:val="-3"/>
          <w:sz w:val="20"/>
        </w:rPr>
        <w:t xml:space="preserve"> </w:t>
      </w:r>
      <w:r>
        <w:rPr>
          <w:rFonts w:ascii="Arial" w:hAnsi="Arial"/>
          <w:i/>
          <w:sz w:val="20"/>
        </w:rPr>
        <w:t>con</w:t>
      </w:r>
      <w:r>
        <w:rPr>
          <w:rFonts w:ascii="Arial" w:hAnsi="Arial"/>
          <w:i/>
          <w:spacing w:val="-3"/>
          <w:sz w:val="20"/>
        </w:rPr>
        <w:t xml:space="preserve"> </w:t>
      </w:r>
      <w:r>
        <w:rPr>
          <w:rFonts w:ascii="Arial" w:hAnsi="Arial"/>
          <w:i/>
          <w:spacing w:val="-2"/>
          <w:sz w:val="20"/>
        </w:rPr>
        <w:t>negociación.</w:t>
      </w:r>
    </w:p>
    <w:p w:rsidR="0092635B" w:rsidRDefault="00000000">
      <w:pPr>
        <w:pStyle w:val="Textoindependiente"/>
        <w:spacing w:before="124" w:line="249" w:lineRule="auto"/>
        <w:ind w:right="1103"/>
      </w:pPr>
      <w:r>
        <w:t>Los órganos de contratación podrán adjudicar contratos utilizando el procedimiento de licitación con negociación en los contratos de obras, suministros, servicios, concesión de obras y concesión de servicios cuando se dé alguna de las siguientes situaciones:</w:t>
      </w:r>
    </w:p>
    <w:p w:rsidR="0092635B" w:rsidRDefault="00000000">
      <w:pPr>
        <w:pStyle w:val="Prrafodelista"/>
        <w:numPr>
          <w:ilvl w:val="1"/>
          <w:numId w:val="206"/>
        </w:numPr>
        <w:tabs>
          <w:tab w:val="left" w:pos="1708"/>
        </w:tabs>
        <w:spacing w:before="122" w:line="249" w:lineRule="auto"/>
        <w:ind w:right="1104" w:firstLine="340"/>
        <w:jc w:val="both"/>
        <w:rPr>
          <w:sz w:val="20"/>
        </w:rPr>
      </w:pPr>
      <w:r>
        <w:rPr>
          <w:sz w:val="20"/>
        </w:rPr>
        <w:t>Cuando para dar satisfacción a las necesidades del órgano de contratación resulte imprescindible que la prestación, tal y como se encuentra disponible en el mercado, sea objeto de un trabajo previo de diseño o de adaptación por parte de los licitadores.</w:t>
      </w:r>
    </w:p>
    <w:p w:rsidR="0092635B" w:rsidRDefault="00000000">
      <w:pPr>
        <w:pStyle w:val="Prrafodelista"/>
        <w:numPr>
          <w:ilvl w:val="1"/>
          <w:numId w:val="206"/>
        </w:numPr>
        <w:tabs>
          <w:tab w:val="left" w:pos="1784"/>
        </w:tabs>
        <w:spacing w:before="3" w:line="249" w:lineRule="auto"/>
        <w:ind w:right="1105" w:firstLine="340"/>
        <w:jc w:val="both"/>
        <w:rPr>
          <w:sz w:val="20"/>
        </w:rPr>
      </w:pPr>
      <w:r>
        <w:rPr>
          <w:sz w:val="20"/>
        </w:rPr>
        <w:t xml:space="preserve">Cuando la prestación objeto del contrato incluya un proyecto o soluciones </w:t>
      </w:r>
      <w:r>
        <w:rPr>
          <w:spacing w:val="-2"/>
          <w:sz w:val="20"/>
        </w:rPr>
        <w:t>innovadoras.</w:t>
      </w:r>
    </w:p>
    <w:p w:rsidR="0092635B" w:rsidRDefault="00000000">
      <w:pPr>
        <w:pStyle w:val="Prrafodelista"/>
        <w:numPr>
          <w:ilvl w:val="1"/>
          <w:numId w:val="206"/>
        </w:numPr>
        <w:tabs>
          <w:tab w:val="left" w:pos="1748"/>
        </w:tabs>
        <w:spacing w:before="1" w:line="249" w:lineRule="auto"/>
        <w:ind w:firstLine="340"/>
        <w:jc w:val="both"/>
        <w:rPr>
          <w:sz w:val="20"/>
        </w:rPr>
      </w:pPr>
      <w:r>
        <w:rPr>
          <w:sz w:val="20"/>
        </w:rPr>
        <w:t>Cuando el contrato no pueda adjudicarse sin negociaciones previas debido a circunstancias específicas vinculadas a la naturaleza, la complejidad o la configuración jurídica o financiera de la prestación que constituya su objeto, o por los riesgos inherentes a la misma.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206"/>
        </w:numPr>
        <w:tabs>
          <w:tab w:val="left" w:pos="1691"/>
        </w:tabs>
        <w:spacing w:before="1" w:line="249" w:lineRule="auto"/>
        <w:ind w:right="1104" w:firstLine="340"/>
        <w:jc w:val="both"/>
        <w:rPr>
          <w:sz w:val="20"/>
        </w:rPr>
      </w:pPr>
      <w:r>
        <w:rPr>
          <w:sz w:val="20"/>
        </w:rPr>
        <w:t>Cuando el órgano de contratación no pueda establecer con la suficiente precisión las especificaciones técnicas por referencia a una norma, evaluación técnica europea, especificación técnica común o referencia técnica, en los términos establecidos en esta Ley.</w:t>
      </w:r>
    </w:p>
    <w:p w:rsidR="0092635B" w:rsidRDefault="00000000">
      <w:pPr>
        <w:pStyle w:val="Prrafodelista"/>
        <w:numPr>
          <w:ilvl w:val="1"/>
          <w:numId w:val="206"/>
        </w:numPr>
        <w:tabs>
          <w:tab w:val="left" w:pos="1704"/>
        </w:tabs>
        <w:spacing w:line="249" w:lineRule="auto"/>
        <w:ind w:right="1104" w:firstLine="340"/>
        <w:jc w:val="both"/>
        <w:rPr>
          <w:sz w:val="20"/>
        </w:rPr>
      </w:pPr>
      <w:r>
        <w:rPr>
          <w:sz w:val="20"/>
        </w:rPr>
        <w:t>Cuando en los procedimientos abiertos o restringidos seguidos previamente solo se hubieren presentado ofertas irregulares o inaceptables.</w:t>
      </w:r>
    </w:p>
    <w:p w:rsidR="0092635B" w:rsidRDefault="00000000">
      <w:pPr>
        <w:pStyle w:val="Textoindependiente"/>
        <w:spacing w:line="249" w:lineRule="auto"/>
        <w:ind w:right="1103"/>
      </w:pPr>
      <w:r>
        <w:t>Se considerarán irregulares, en particular, las ofertas que no correspondan a los pliegos de</w:t>
      </w:r>
      <w:r>
        <w:rPr>
          <w:spacing w:val="-2"/>
        </w:rPr>
        <w:t xml:space="preserve"> </w:t>
      </w:r>
      <w:r>
        <w:t>la</w:t>
      </w:r>
      <w:r>
        <w:rPr>
          <w:spacing w:val="-2"/>
        </w:rPr>
        <w:t xml:space="preserve"> </w:t>
      </w:r>
      <w:r>
        <w:t>contratación,</w:t>
      </w:r>
      <w:r>
        <w:rPr>
          <w:spacing w:val="-2"/>
        </w:rPr>
        <w:t xml:space="preserve"> </w:t>
      </w:r>
      <w:r>
        <w:t>que</w:t>
      </w:r>
      <w:r>
        <w:rPr>
          <w:spacing w:val="-2"/>
        </w:rPr>
        <w:t xml:space="preserve"> </w:t>
      </w:r>
      <w:r>
        <w:t>se</w:t>
      </w:r>
      <w:r>
        <w:rPr>
          <w:spacing w:val="-2"/>
        </w:rPr>
        <w:t xml:space="preserve"> </w:t>
      </w:r>
      <w:r>
        <w:t>hayan</w:t>
      </w:r>
      <w:r>
        <w:rPr>
          <w:spacing w:val="-2"/>
        </w:rPr>
        <w:t xml:space="preserve"> </w:t>
      </w:r>
      <w:r>
        <w:t>recibido</w:t>
      </w:r>
      <w:r>
        <w:rPr>
          <w:spacing w:val="-2"/>
        </w:rPr>
        <w:t xml:space="preserve"> </w:t>
      </w:r>
      <w:r>
        <w:t>fuera</w:t>
      </w:r>
      <w:r>
        <w:rPr>
          <w:spacing w:val="-2"/>
        </w:rPr>
        <w:t xml:space="preserve"> </w:t>
      </w:r>
      <w:r>
        <w:t>de</w:t>
      </w:r>
      <w:r>
        <w:rPr>
          <w:spacing w:val="-2"/>
        </w:rPr>
        <w:t xml:space="preserve"> </w:t>
      </w:r>
      <w:r>
        <w:t>plazo,</w:t>
      </w:r>
      <w:r>
        <w:rPr>
          <w:spacing w:val="-2"/>
        </w:rPr>
        <w:t xml:space="preserve"> </w:t>
      </w:r>
      <w:r>
        <w:t>que</w:t>
      </w:r>
      <w:r>
        <w:rPr>
          <w:spacing w:val="-2"/>
        </w:rPr>
        <w:t xml:space="preserve"> </w:t>
      </w:r>
      <w:r>
        <w:t>muestren</w:t>
      </w:r>
      <w:r>
        <w:rPr>
          <w:spacing w:val="-2"/>
        </w:rPr>
        <w:t xml:space="preserve"> </w:t>
      </w:r>
      <w:r>
        <w:t>indicios</w:t>
      </w:r>
      <w:r>
        <w:rPr>
          <w:spacing w:val="-2"/>
        </w:rPr>
        <w:t xml:space="preserve"> </w:t>
      </w:r>
      <w:r>
        <w:t>de</w:t>
      </w:r>
      <w:r>
        <w:rPr>
          <w:spacing w:val="-2"/>
        </w:rPr>
        <w:t xml:space="preserve"> </w:t>
      </w:r>
      <w:r>
        <w:t>colusión</w:t>
      </w:r>
      <w:r>
        <w:rPr>
          <w:spacing w:val="-2"/>
        </w:rPr>
        <w:t xml:space="preserve"> </w:t>
      </w:r>
      <w:r>
        <w:t>o corrupción o que hayan sido consideradas anormalmente bajas por el órgano de contratación. Se considerarán inaceptables, en particular, las ofertas presentadas por licitadores que no posean la cualificación requerida y las ofertas cuyo precio rebase el presupuesto del órgano de contratación tal como se haya determinado y documentado antes del inicio del procedimiento de contratación.</w:t>
      </w:r>
    </w:p>
    <w:p w:rsidR="0092635B" w:rsidRDefault="00000000">
      <w:pPr>
        <w:pStyle w:val="Prrafodelista"/>
        <w:numPr>
          <w:ilvl w:val="1"/>
          <w:numId w:val="206"/>
        </w:numPr>
        <w:tabs>
          <w:tab w:val="left" w:pos="1630"/>
        </w:tabs>
        <w:spacing w:before="5" w:line="249" w:lineRule="auto"/>
        <w:ind w:right="1104" w:firstLine="340"/>
        <w:jc w:val="both"/>
        <w:rPr>
          <w:sz w:val="20"/>
        </w:rPr>
      </w:pPr>
      <w:r>
        <w:rPr>
          <w:sz w:val="20"/>
        </w:rPr>
        <w:t>Cuando se trate de contratos de servicios sociales personalísimos que tengan por una de sus características determinantes el arraigo de la persona en el entorno de atención social, siempre que el objeto del contrato consista en dotar de continuidad en la atención a las personas que ya eran beneficiarias de dicho servicio.</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265" w:name="Artículo_168._Supuestos_de_aplicación_de"/>
      <w:bookmarkEnd w:id="265"/>
      <w:r>
        <w:rPr>
          <w:rFonts w:ascii="Arial" w:hAnsi="Arial"/>
          <w:b/>
          <w:sz w:val="20"/>
        </w:rPr>
        <w:t>Artículo</w:t>
      </w:r>
      <w:r>
        <w:rPr>
          <w:rFonts w:ascii="Arial" w:hAnsi="Arial"/>
          <w:b/>
          <w:spacing w:val="-6"/>
          <w:sz w:val="20"/>
        </w:rPr>
        <w:t xml:space="preserve"> </w:t>
      </w:r>
      <w:r>
        <w:rPr>
          <w:rFonts w:ascii="Arial" w:hAnsi="Arial"/>
          <w:b/>
          <w:sz w:val="20"/>
        </w:rPr>
        <w:t>168.</w:t>
      </w:r>
      <w:r>
        <w:rPr>
          <w:rFonts w:ascii="Arial" w:hAnsi="Arial"/>
          <w:b/>
          <w:spacing w:val="47"/>
          <w:sz w:val="20"/>
        </w:rPr>
        <w:t xml:space="preserve"> </w:t>
      </w:r>
      <w:r>
        <w:rPr>
          <w:rFonts w:ascii="Arial" w:hAnsi="Arial"/>
          <w:i/>
          <w:sz w:val="20"/>
        </w:rPr>
        <w:t>Supuestos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aplicación</w:t>
      </w:r>
      <w:r>
        <w:rPr>
          <w:rFonts w:ascii="Arial" w:hAnsi="Arial"/>
          <w:i/>
          <w:spacing w:val="-4"/>
          <w:sz w:val="20"/>
        </w:rPr>
        <w:t xml:space="preserve"> </w:t>
      </w:r>
      <w:r>
        <w:rPr>
          <w:rFonts w:ascii="Arial" w:hAnsi="Arial"/>
          <w:i/>
          <w:sz w:val="20"/>
        </w:rPr>
        <w:t>del</w:t>
      </w:r>
      <w:r>
        <w:rPr>
          <w:rFonts w:ascii="Arial" w:hAnsi="Arial"/>
          <w:i/>
          <w:spacing w:val="-3"/>
          <w:sz w:val="20"/>
        </w:rPr>
        <w:t xml:space="preserve"> </w:t>
      </w:r>
      <w:r>
        <w:rPr>
          <w:rFonts w:ascii="Arial" w:hAnsi="Arial"/>
          <w:i/>
          <w:sz w:val="20"/>
        </w:rPr>
        <w:t>procedimiento</w:t>
      </w:r>
      <w:r>
        <w:rPr>
          <w:rFonts w:ascii="Arial" w:hAnsi="Arial"/>
          <w:i/>
          <w:spacing w:val="-4"/>
          <w:sz w:val="20"/>
        </w:rPr>
        <w:t xml:space="preserve"> </w:t>
      </w:r>
      <w:r>
        <w:rPr>
          <w:rFonts w:ascii="Arial" w:hAnsi="Arial"/>
          <w:i/>
          <w:sz w:val="20"/>
        </w:rPr>
        <w:t>negociado</w:t>
      </w:r>
      <w:r>
        <w:rPr>
          <w:rFonts w:ascii="Arial" w:hAnsi="Arial"/>
          <w:i/>
          <w:spacing w:val="-3"/>
          <w:sz w:val="20"/>
        </w:rPr>
        <w:t xml:space="preserve"> </w:t>
      </w:r>
      <w:r>
        <w:rPr>
          <w:rFonts w:ascii="Arial" w:hAnsi="Arial"/>
          <w:i/>
          <w:sz w:val="20"/>
        </w:rPr>
        <w:t>sin</w:t>
      </w:r>
      <w:r>
        <w:rPr>
          <w:rFonts w:ascii="Arial" w:hAnsi="Arial"/>
          <w:i/>
          <w:spacing w:val="-3"/>
          <w:sz w:val="20"/>
        </w:rPr>
        <w:t xml:space="preserve"> </w:t>
      </w:r>
      <w:r>
        <w:rPr>
          <w:rFonts w:ascii="Arial" w:hAnsi="Arial"/>
          <w:i/>
          <w:spacing w:val="-2"/>
          <w:sz w:val="20"/>
        </w:rPr>
        <w:t>publicidad.</w:t>
      </w:r>
    </w:p>
    <w:p w:rsidR="0092635B" w:rsidRDefault="00000000">
      <w:pPr>
        <w:pStyle w:val="Textoindependiente"/>
        <w:spacing w:before="123" w:line="249" w:lineRule="auto"/>
        <w:ind w:right="1105"/>
      </w:pPr>
      <w:r>
        <w:t xml:space="preserve">Los órganos de contratación podrán adjudicar contratos utilizando el procedimiento negociado sin la previa publicación de un anuncio de licitación únicamente en los siguientes </w:t>
      </w:r>
      <w:r>
        <w:rPr>
          <w:spacing w:val="-2"/>
        </w:rPr>
        <w:t>casos:</w:t>
      </w:r>
    </w:p>
    <w:p w:rsidR="0092635B" w:rsidRDefault="00000000">
      <w:pPr>
        <w:pStyle w:val="Prrafodelista"/>
        <w:numPr>
          <w:ilvl w:val="0"/>
          <w:numId w:val="205"/>
        </w:numPr>
        <w:tabs>
          <w:tab w:val="left" w:pos="1693"/>
        </w:tabs>
        <w:spacing w:before="122" w:line="249" w:lineRule="auto"/>
        <w:ind w:right="1102" w:firstLine="340"/>
        <w:jc w:val="both"/>
        <w:rPr>
          <w:sz w:val="20"/>
        </w:rPr>
      </w:pPr>
      <w:r>
        <w:rPr>
          <w:sz w:val="20"/>
        </w:rPr>
        <w:t>En los contratos de obras, suministros, servicios, concesión de obras y concesión de servicios, en los casos en que:</w:t>
      </w:r>
    </w:p>
    <w:p w:rsidR="0092635B" w:rsidRDefault="00000000">
      <w:pPr>
        <w:pStyle w:val="Prrafodelista"/>
        <w:numPr>
          <w:ilvl w:val="1"/>
          <w:numId w:val="205"/>
        </w:numPr>
        <w:tabs>
          <w:tab w:val="left" w:pos="1610"/>
        </w:tabs>
        <w:spacing w:before="122" w:line="249" w:lineRule="auto"/>
        <w:ind w:firstLine="340"/>
        <w:jc w:val="both"/>
        <w:rPr>
          <w:sz w:val="20"/>
        </w:rPr>
      </w:pPr>
      <w:r>
        <w:rPr>
          <w:sz w:val="20"/>
        </w:rPr>
        <w:t>º</w:t>
      </w:r>
      <w:r>
        <w:rPr>
          <w:spacing w:val="-1"/>
          <w:sz w:val="20"/>
        </w:rPr>
        <w:t xml:space="preserve"> </w:t>
      </w:r>
      <w:r>
        <w:rPr>
          <w:sz w:val="20"/>
        </w:rPr>
        <w:t>No se haya presentado ninguna oferta; ninguna oferta adecuada; ninguna solicitud de participación;</w:t>
      </w:r>
      <w:r>
        <w:rPr>
          <w:spacing w:val="-1"/>
          <w:sz w:val="20"/>
        </w:rPr>
        <w:t xml:space="preserve"> </w:t>
      </w:r>
      <w:r>
        <w:rPr>
          <w:sz w:val="20"/>
        </w:rPr>
        <w:t>o</w:t>
      </w:r>
      <w:r>
        <w:rPr>
          <w:spacing w:val="-1"/>
          <w:sz w:val="20"/>
        </w:rPr>
        <w:t xml:space="preserve"> </w:t>
      </w:r>
      <w:r>
        <w:rPr>
          <w:sz w:val="20"/>
        </w:rPr>
        <w:t>ninguna</w:t>
      </w:r>
      <w:r>
        <w:rPr>
          <w:spacing w:val="-1"/>
          <w:sz w:val="20"/>
        </w:rPr>
        <w:t xml:space="preserve"> </w:t>
      </w:r>
      <w:r>
        <w:rPr>
          <w:sz w:val="20"/>
        </w:rPr>
        <w:t>solicitud</w:t>
      </w:r>
      <w:r>
        <w:rPr>
          <w:spacing w:val="-1"/>
          <w:sz w:val="20"/>
        </w:rPr>
        <w:t xml:space="preserve"> </w:t>
      </w:r>
      <w:r>
        <w:rPr>
          <w:sz w:val="20"/>
        </w:rPr>
        <w:t>de</w:t>
      </w:r>
      <w:r>
        <w:rPr>
          <w:spacing w:val="-1"/>
          <w:sz w:val="20"/>
        </w:rPr>
        <w:t xml:space="preserve"> </w:t>
      </w:r>
      <w:r>
        <w:rPr>
          <w:sz w:val="20"/>
        </w:rPr>
        <w:t>participación</w:t>
      </w:r>
      <w:r>
        <w:rPr>
          <w:spacing w:val="-1"/>
          <w:sz w:val="20"/>
        </w:rPr>
        <w:t xml:space="preserve"> </w:t>
      </w:r>
      <w:r>
        <w:rPr>
          <w:sz w:val="20"/>
        </w:rPr>
        <w:t>adecuada</w:t>
      </w:r>
      <w:r>
        <w:rPr>
          <w:spacing w:val="-1"/>
          <w:sz w:val="20"/>
        </w:rPr>
        <w:t xml:space="preserve"> </w:t>
      </w:r>
      <w:r>
        <w:rPr>
          <w:sz w:val="20"/>
        </w:rPr>
        <w:t>en</w:t>
      </w:r>
      <w:r>
        <w:rPr>
          <w:spacing w:val="-1"/>
          <w:sz w:val="20"/>
        </w:rPr>
        <w:t xml:space="preserve"> </w:t>
      </w:r>
      <w:r>
        <w:rPr>
          <w:sz w:val="20"/>
        </w:rPr>
        <w:t>respuesta</w:t>
      </w:r>
      <w:r>
        <w:rPr>
          <w:spacing w:val="-1"/>
          <w:sz w:val="20"/>
        </w:rPr>
        <w:t xml:space="preserve"> </w:t>
      </w:r>
      <w:r>
        <w:rPr>
          <w:sz w:val="20"/>
        </w:rPr>
        <w:t>a</w:t>
      </w:r>
      <w:r>
        <w:rPr>
          <w:spacing w:val="-1"/>
          <w:sz w:val="20"/>
        </w:rPr>
        <w:t xml:space="preserve"> </w:t>
      </w:r>
      <w:r>
        <w:rPr>
          <w:sz w:val="20"/>
        </w:rPr>
        <w:t>un</w:t>
      </w:r>
      <w:r>
        <w:rPr>
          <w:spacing w:val="-1"/>
          <w:sz w:val="20"/>
        </w:rPr>
        <w:t xml:space="preserve"> </w:t>
      </w:r>
      <w:r>
        <w:rPr>
          <w:sz w:val="20"/>
        </w:rPr>
        <w:t>procedimiento abierto o a un procedimiento restringido, siempre que las condiciones iniciales del contrato</w:t>
      </w:r>
      <w:r>
        <w:rPr>
          <w:spacing w:val="40"/>
          <w:sz w:val="20"/>
        </w:rPr>
        <w:t xml:space="preserve"> </w:t>
      </w:r>
      <w:r>
        <w:rPr>
          <w:sz w:val="20"/>
        </w:rPr>
        <w:t>no se modifiquen sustancialmente, sin que en ningún caso se pueda incrementar el presupuesto base de licitación ni modificar el sistema de retribución, y que se envíe un informe a la Comisión Europea cuando esta así lo solicite.</w:t>
      </w:r>
    </w:p>
    <w:p w:rsidR="0092635B" w:rsidRDefault="00000000">
      <w:pPr>
        <w:pStyle w:val="Textoindependiente"/>
        <w:spacing w:before="5" w:line="249" w:lineRule="auto"/>
        <w:ind w:right="1103"/>
      </w:pPr>
      <w:r>
        <w:t>Se considerará que una oferta no es adecuada cuando no sea pertinente para el</w:t>
      </w:r>
      <w:r>
        <w:rPr>
          <w:spacing w:val="40"/>
        </w:rPr>
        <w:t xml:space="preserve"> </w:t>
      </w:r>
      <w:r>
        <w:t>contrato, por resultar manifiestamente insuficiente para satisfacer, sin cambios sustanciales, las necesidades y los requisitos del órgano de contratación especificados en los pliegos que rigen la contratación. Se considerará que una solicitud de participación no es adecuada si el empresario de que se trate ha de ser o puede ser excluido en virtud de los motivos establecidos en la presente Ley o no satisface los criterios de selección establecidos por el órgano de contratación.</w:t>
      </w:r>
    </w:p>
    <w:p w:rsidR="0092635B" w:rsidRDefault="00000000">
      <w:pPr>
        <w:pStyle w:val="Prrafodelista"/>
        <w:numPr>
          <w:ilvl w:val="1"/>
          <w:numId w:val="205"/>
        </w:numPr>
        <w:tabs>
          <w:tab w:val="left" w:pos="1610"/>
        </w:tabs>
        <w:spacing w:before="6" w:line="249" w:lineRule="auto"/>
        <w:ind w:firstLine="340"/>
        <w:jc w:val="both"/>
        <w:rPr>
          <w:sz w:val="20"/>
        </w:rPr>
      </w:pPr>
      <w:r>
        <w:rPr>
          <w:sz w:val="20"/>
        </w:rPr>
        <w:t>º Cuando las obras, los suministros o los servicios solo puedan ser encomendados a</w:t>
      </w:r>
      <w:r>
        <w:rPr>
          <w:spacing w:val="40"/>
          <w:sz w:val="20"/>
        </w:rPr>
        <w:t xml:space="preserve"> </w:t>
      </w:r>
      <w:r>
        <w:rPr>
          <w:sz w:val="20"/>
        </w:rPr>
        <w:t>un empresario determinado, por alguna de las siguientes razones: que el contrato tenga por objeto la creación o adquisición de una obra de arte única no integrante del Patrimonio Histórico español o actuación artística única; que no exista competencia por razones técnicas; o que proceda la protección de derechos exclusivos, incluidos los derechos de propiedad intelectual e industrial.</w:t>
      </w:r>
    </w:p>
    <w:p w:rsidR="0092635B" w:rsidRDefault="00000000">
      <w:pPr>
        <w:pStyle w:val="Prrafodelista"/>
        <w:numPr>
          <w:ilvl w:val="1"/>
          <w:numId w:val="205"/>
        </w:numPr>
        <w:tabs>
          <w:tab w:val="left" w:pos="1610"/>
        </w:tabs>
        <w:spacing w:before="5" w:line="249" w:lineRule="auto"/>
        <w:ind w:right="1104" w:firstLine="340"/>
        <w:jc w:val="both"/>
        <w:rPr>
          <w:sz w:val="20"/>
        </w:rPr>
      </w:pPr>
      <w:r>
        <w:rPr>
          <w:sz w:val="20"/>
        </w:rPr>
        <w:t>º Cuando el contrato haya sido declarado secreto o reservado, o cuando su ejecución deba ir acompañada de medidas de seguridad especiales conforme a la legislación vigente,</w:t>
      </w:r>
      <w:r>
        <w:rPr>
          <w:spacing w:val="40"/>
          <w:sz w:val="20"/>
        </w:rPr>
        <w:t xml:space="preserve"> </w:t>
      </w:r>
      <w:r>
        <w:rPr>
          <w:sz w:val="20"/>
        </w:rPr>
        <w:t>o cuando lo exija la protección de los intereses esenciales de la seguridad del Estado y así</w:t>
      </w:r>
      <w:r>
        <w:rPr>
          <w:spacing w:val="40"/>
          <w:sz w:val="20"/>
        </w:rPr>
        <w:t xml:space="preserve"> </w:t>
      </w:r>
      <w:r>
        <w:rPr>
          <w:sz w:val="20"/>
        </w:rPr>
        <w:t>se</w:t>
      </w:r>
      <w:r>
        <w:rPr>
          <w:spacing w:val="-2"/>
          <w:sz w:val="20"/>
        </w:rPr>
        <w:t xml:space="preserve"> </w:t>
      </w:r>
      <w:r>
        <w:rPr>
          <w:sz w:val="20"/>
        </w:rPr>
        <w:t>haya</w:t>
      </w:r>
      <w:r>
        <w:rPr>
          <w:spacing w:val="-2"/>
          <w:sz w:val="20"/>
        </w:rPr>
        <w:t xml:space="preserve"> </w:t>
      </w:r>
      <w:r>
        <w:rPr>
          <w:sz w:val="20"/>
        </w:rPr>
        <w:t>declarado</w:t>
      </w:r>
      <w:r>
        <w:rPr>
          <w:spacing w:val="-2"/>
          <w:sz w:val="20"/>
        </w:rPr>
        <w:t xml:space="preserve"> </w:t>
      </w:r>
      <w:r>
        <w:rPr>
          <w:sz w:val="20"/>
        </w:rPr>
        <w:t>de</w:t>
      </w:r>
      <w:r>
        <w:rPr>
          <w:spacing w:val="-2"/>
          <w:sz w:val="20"/>
        </w:rPr>
        <w:t xml:space="preserve"> </w:t>
      </w:r>
      <w:r>
        <w:rPr>
          <w:sz w:val="20"/>
        </w:rPr>
        <w:t>conformidad</w:t>
      </w:r>
      <w:r>
        <w:rPr>
          <w:spacing w:val="-2"/>
          <w:sz w:val="20"/>
        </w:rPr>
        <w:t xml:space="preserve"> </w:t>
      </w:r>
      <w:r>
        <w:rPr>
          <w:sz w:val="20"/>
        </w:rPr>
        <w:t>con</w:t>
      </w:r>
      <w:r>
        <w:rPr>
          <w:spacing w:val="-2"/>
          <w:sz w:val="20"/>
        </w:rPr>
        <w:t xml:space="preserve"> </w:t>
      </w:r>
      <w:r>
        <w:rPr>
          <w:sz w:val="20"/>
        </w:rPr>
        <w:t>lo</w:t>
      </w:r>
      <w:r>
        <w:rPr>
          <w:spacing w:val="-2"/>
          <w:sz w:val="20"/>
        </w:rPr>
        <w:t xml:space="preserve"> </w:t>
      </w:r>
      <w:r>
        <w:rPr>
          <w:sz w:val="20"/>
        </w:rPr>
        <w:t>previsto</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letra</w:t>
      </w:r>
      <w:r>
        <w:rPr>
          <w:spacing w:val="-2"/>
          <w:sz w:val="20"/>
        </w:rPr>
        <w:t xml:space="preserve"> </w:t>
      </w:r>
      <w:r>
        <w:rPr>
          <w:sz w:val="20"/>
        </w:rPr>
        <w:t>c)</w:t>
      </w:r>
      <w:r>
        <w:rPr>
          <w:spacing w:val="-2"/>
          <w:sz w:val="20"/>
        </w:rPr>
        <w:t xml:space="preserve"> </w:t>
      </w:r>
      <w:r>
        <w:rPr>
          <w:sz w:val="20"/>
        </w:rPr>
        <w:t>del</w:t>
      </w:r>
      <w:r>
        <w:rPr>
          <w:spacing w:val="-2"/>
          <w:sz w:val="20"/>
        </w:rPr>
        <w:t xml:space="preserve"> </w:t>
      </w:r>
      <w:r>
        <w:rPr>
          <w:sz w:val="20"/>
        </w:rPr>
        <w:t>apartado</w:t>
      </w:r>
      <w:r>
        <w:rPr>
          <w:spacing w:val="-2"/>
          <w:sz w:val="20"/>
        </w:rPr>
        <w:t xml:space="preserve"> </w:t>
      </w:r>
      <w:r>
        <w:rPr>
          <w:sz w:val="20"/>
        </w:rPr>
        <w:t>2</w:t>
      </w:r>
      <w:r>
        <w:rPr>
          <w:spacing w:val="-2"/>
          <w:sz w:val="20"/>
        </w:rPr>
        <w:t xml:space="preserve"> </w:t>
      </w:r>
      <w:r>
        <w:rPr>
          <w:sz w:val="20"/>
        </w:rPr>
        <w:t>del</w:t>
      </w:r>
      <w:r>
        <w:rPr>
          <w:spacing w:val="-2"/>
          <w:sz w:val="20"/>
        </w:rPr>
        <w:t xml:space="preserve"> </w:t>
      </w:r>
      <w:r>
        <w:rPr>
          <w:sz w:val="20"/>
        </w:rPr>
        <w:t>artículo</w:t>
      </w:r>
      <w:r>
        <w:rPr>
          <w:spacing w:val="-2"/>
          <w:sz w:val="20"/>
        </w:rPr>
        <w:t xml:space="preserve"> </w:t>
      </w:r>
      <w:r>
        <w:rPr>
          <w:sz w:val="20"/>
        </w:rPr>
        <w:t>19.</w:t>
      </w:r>
    </w:p>
    <w:p w:rsidR="0092635B" w:rsidRDefault="00000000">
      <w:pPr>
        <w:pStyle w:val="Prrafodelista"/>
        <w:numPr>
          <w:ilvl w:val="0"/>
          <w:numId w:val="205"/>
        </w:numPr>
        <w:tabs>
          <w:tab w:val="left" w:pos="1679"/>
        </w:tabs>
        <w:spacing w:before="123"/>
        <w:ind w:left="1679" w:right="0" w:hanging="233"/>
        <w:rPr>
          <w:sz w:val="20"/>
        </w:rPr>
      </w:pPr>
      <w:r>
        <w:rPr>
          <w:sz w:val="20"/>
        </w:rPr>
        <w:t>En</w:t>
      </w:r>
      <w:r>
        <w:rPr>
          <w:spacing w:val="-1"/>
          <w:sz w:val="20"/>
        </w:rPr>
        <w:t xml:space="preserve"> </w:t>
      </w:r>
      <w:r>
        <w:rPr>
          <w:sz w:val="20"/>
        </w:rPr>
        <w:t>los contratos de</w:t>
      </w:r>
      <w:r>
        <w:rPr>
          <w:spacing w:val="-1"/>
          <w:sz w:val="20"/>
        </w:rPr>
        <w:t xml:space="preserve"> </w:t>
      </w:r>
      <w:r>
        <w:rPr>
          <w:sz w:val="20"/>
        </w:rPr>
        <w:t>obras, suministros y</w:t>
      </w:r>
      <w:r>
        <w:rPr>
          <w:spacing w:val="-1"/>
          <w:sz w:val="20"/>
        </w:rPr>
        <w:t xml:space="preserve"> </w:t>
      </w:r>
      <w:r>
        <w:rPr>
          <w:sz w:val="20"/>
        </w:rPr>
        <w:t>servicios, en los</w:t>
      </w:r>
      <w:r>
        <w:rPr>
          <w:spacing w:val="-1"/>
          <w:sz w:val="20"/>
        </w:rPr>
        <w:t xml:space="preserve"> </w:t>
      </w:r>
      <w:r>
        <w:rPr>
          <w:sz w:val="20"/>
        </w:rPr>
        <w:t xml:space="preserve">casos en </w:t>
      </w:r>
      <w:r>
        <w:rPr>
          <w:spacing w:val="-4"/>
          <w:sz w:val="20"/>
        </w:rPr>
        <w:t>que:</w:t>
      </w:r>
    </w:p>
    <w:p w:rsidR="0092635B" w:rsidRDefault="00000000">
      <w:pPr>
        <w:pStyle w:val="Prrafodelista"/>
        <w:numPr>
          <w:ilvl w:val="1"/>
          <w:numId w:val="205"/>
        </w:numPr>
        <w:tabs>
          <w:tab w:val="left" w:pos="1610"/>
        </w:tabs>
        <w:spacing w:before="130" w:line="249" w:lineRule="auto"/>
        <w:ind w:right="1105" w:firstLine="340"/>
        <w:jc w:val="both"/>
        <w:rPr>
          <w:sz w:val="20"/>
        </w:rPr>
      </w:pPr>
      <w:r>
        <w:rPr>
          <w:sz w:val="20"/>
        </w:rPr>
        <w:t>º Una imperiosa urgencia resultante de acontecimientos imprevisibles para el órgano</w:t>
      </w:r>
      <w:r>
        <w:rPr>
          <w:spacing w:val="40"/>
          <w:sz w:val="20"/>
        </w:rPr>
        <w:t xml:space="preserve"> </w:t>
      </w:r>
      <w:r>
        <w:rPr>
          <w:sz w:val="20"/>
        </w:rPr>
        <w:t>de contratación y no imputables al mismo, demande una pronta ejecución del contrato que</w:t>
      </w:r>
      <w:r>
        <w:rPr>
          <w:spacing w:val="40"/>
          <w:sz w:val="20"/>
        </w:rPr>
        <w:t xml:space="preserve"> </w:t>
      </w:r>
      <w:r>
        <w:rPr>
          <w:sz w:val="20"/>
        </w:rPr>
        <w:t>no pueda lograrse mediante la aplicación de la tramitación de urgencia regulada en el</w:t>
      </w:r>
      <w:r>
        <w:rPr>
          <w:spacing w:val="40"/>
          <w:sz w:val="20"/>
        </w:rPr>
        <w:t xml:space="preserve"> </w:t>
      </w:r>
      <w:r>
        <w:rPr>
          <w:sz w:val="20"/>
        </w:rPr>
        <w:t>artículo 119.</w:t>
      </w:r>
    </w:p>
    <w:p w:rsidR="0092635B" w:rsidRDefault="00000000">
      <w:pPr>
        <w:pStyle w:val="Prrafodelista"/>
        <w:numPr>
          <w:ilvl w:val="1"/>
          <w:numId w:val="205"/>
        </w:numPr>
        <w:tabs>
          <w:tab w:val="left" w:pos="1610"/>
        </w:tabs>
        <w:spacing w:before="3" w:line="249" w:lineRule="auto"/>
        <w:ind w:firstLine="340"/>
        <w:jc w:val="both"/>
        <w:rPr>
          <w:sz w:val="20"/>
        </w:rPr>
      </w:pPr>
      <w:r>
        <w:rPr>
          <w:sz w:val="20"/>
        </w:rPr>
        <w:t>º Cuando se dé la situación a que se refiere la letra e) del artículo 167, siempre y cuando en la negociación se incluya a todos los licitadores que, en el procedimiento antecedente, hubiesen presentado ofertas conformes con los requisitos formales del procedimiento</w:t>
      </w:r>
      <w:r>
        <w:rPr>
          <w:spacing w:val="30"/>
          <w:sz w:val="20"/>
        </w:rPr>
        <w:t xml:space="preserve"> </w:t>
      </w:r>
      <w:r>
        <w:rPr>
          <w:sz w:val="20"/>
        </w:rPr>
        <w:t>de</w:t>
      </w:r>
      <w:r>
        <w:rPr>
          <w:spacing w:val="30"/>
          <w:sz w:val="20"/>
        </w:rPr>
        <w:t xml:space="preserve"> </w:t>
      </w:r>
      <w:r>
        <w:rPr>
          <w:sz w:val="20"/>
        </w:rPr>
        <w:t>contratación,</w:t>
      </w:r>
      <w:r>
        <w:rPr>
          <w:spacing w:val="30"/>
          <w:sz w:val="20"/>
        </w:rPr>
        <w:t xml:space="preserve"> </w:t>
      </w:r>
      <w:r>
        <w:rPr>
          <w:sz w:val="20"/>
        </w:rPr>
        <w:t>y</w:t>
      </w:r>
      <w:r>
        <w:rPr>
          <w:spacing w:val="30"/>
          <w:sz w:val="20"/>
        </w:rPr>
        <w:t xml:space="preserve"> </w:t>
      </w:r>
      <w:r>
        <w:rPr>
          <w:sz w:val="20"/>
        </w:rPr>
        <w:t>siempre</w:t>
      </w:r>
      <w:r>
        <w:rPr>
          <w:spacing w:val="30"/>
          <w:sz w:val="20"/>
        </w:rPr>
        <w:t xml:space="preserve"> </w:t>
      </w:r>
      <w:r>
        <w:rPr>
          <w:sz w:val="20"/>
        </w:rPr>
        <w:t>que</w:t>
      </w:r>
      <w:r>
        <w:rPr>
          <w:spacing w:val="30"/>
          <w:sz w:val="20"/>
        </w:rPr>
        <w:t xml:space="preserve"> </w:t>
      </w:r>
      <w:r>
        <w:rPr>
          <w:sz w:val="20"/>
        </w:rPr>
        <w:t>las</w:t>
      </w:r>
      <w:r>
        <w:rPr>
          <w:spacing w:val="30"/>
          <w:sz w:val="20"/>
        </w:rPr>
        <w:t xml:space="preserve"> </w:t>
      </w:r>
      <w:r>
        <w:rPr>
          <w:sz w:val="20"/>
        </w:rPr>
        <w:t>condiciones</w:t>
      </w:r>
      <w:r>
        <w:rPr>
          <w:spacing w:val="30"/>
          <w:sz w:val="20"/>
        </w:rPr>
        <w:t xml:space="preserve"> </w:t>
      </w:r>
      <w:r>
        <w:rPr>
          <w:sz w:val="20"/>
        </w:rPr>
        <w:t>iniciales</w:t>
      </w:r>
      <w:r>
        <w:rPr>
          <w:spacing w:val="30"/>
          <w:sz w:val="20"/>
        </w:rPr>
        <w:t xml:space="preserve"> </w:t>
      </w:r>
      <w:r>
        <w:rPr>
          <w:sz w:val="20"/>
        </w:rPr>
        <w:t>del</w:t>
      </w:r>
      <w:r>
        <w:rPr>
          <w:spacing w:val="30"/>
          <w:sz w:val="20"/>
        </w:rPr>
        <w:t xml:space="preserve"> </w:t>
      </w:r>
      <w:r>
        <w:rPr>
          <w:sz w:val="20"/>
        </w:rPr>
        <w:t>contrato</w:t>
      </w:r>
      <w:r>
        <w:rPr>
          <w:spacing w:val="30"/>
          <w:sz w:val="20"/>
        </w:rPr>
        <w:t xml:space="preserve"> </w:t>
      </w:r>
      <w:r>
        <w:rPr>
          <w:sz w:val="20"/>
        </w:rPr>
        <w:t>no</w:t>
      </w:r>
      <w:r>
        <w:rPr>
          <w:spacing w:val="30"/>
          <w:sz w:val="20"/>
        </w:rPr>
        <w:t xml:space="preserve"> </w:t>
      </w:r>
      <w:r>
        <w:rPr>
          <w:sz w:val="20"/>
        </w:rPr>
        <w:t>se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firstLine="0"/>
        <w:jc w:val="left"/>
      </w:pPr>
      <w:r>
        <w:t>modifiquen</w:t>
      </w:r>
      <w:r>
        <w:rPr>
          <w:spacing w:val="40"/>
        </w:rPr>
        <w:t xml:space="preserve"> </w:t>
      </w:r>
      <w:r>
        <w:t>sustancialmente,</w:t>
      </w:r>
      <w:r>
        <w:rPr>
          <w:spacing w:val="40"/>
        </w:rPr>
        <w:t xml:space="preserve"> </w:t>
      </w:r>
      <w:r>
        <w:t>sin</w:t>
      </w:r>
      <w:r>
        <w:rPr>
          <w:spacing w:val="40"/>
        </w:rPr>
        <w:t xml:space="preserve"> </w:t>
      </w:r>
      <w:r>
        <w:t>que</w:t>
      </w:r>
      <w:r>
        <w:rPr>
          <w:spacing w:val="40"/>
        </w:rPr>
        <w:t xml:space="preserve"> </w:t>
      </w:r>
      <w:r>
        <w:t>en</w:t>
      </w:r>
      <w:r>
        <w:rPr>
          <w:spacing w:val="40"/>
        </w:rPr>
        <w:t xml:space="preserve"> </w:t>
      </w:r>
      <w:r>
        <w:t>ningún</w:t>
      </w:r>
      <w:r>
        <w:rPr>
          <w:spacing w:val="40"/>
        </w:rPr>
        <w:t xml:space="preserve"> </w:t>
      </w:r>
      <w:r>
        <w:t>caso</w:t>
      </w:r>
      <w:r>
        <w:rPr>
          <w:spacing w:val="40"/>
        </w:rPr>
        <w:t xml:space="preserve"> </w:t>
      </w:r>
      <w:r>
        <w:t>se</w:t>
      </w:r>
      <w:r>
        <w:rPr>
          <w:spacing w:val="40"/>
        </w:rPr>
        <w:t xml:space="preserve"> </w:t>
      </w:r>
      <w:r>
        <w:t>pueda</w:t>
      </w:r>
      <w:r>
        <w:rPr>
          <w:spacing w:val="40"/>
        </w:rPr>
        <w:t xml:space="preserve"> </w:t>
      </w:r>
      <w:r>
        <w:t>incrementar</w:t>
      </w:r>
      <w:r>
        <w:rPr>
          <w:spacing w:val="40"/>
        </w:rPr>
        <w:t xml:space="preserve"> </w:t>
      </w:r>
      <w:r>
        <w:t>el</w:t>
      </w:r>
      <w:r>
        <w:rPr>
          <w:spacing w:val="40"/>
        </w:rPr>
        <w:t xml:space="preserve"> </w:t>
      </w:r>
      <w:r>
        <w:t>precio</w:t>
      </w:r>
      <w:r>
        <w:rPr>
          <w:spacing w:val="40"/>
        </w:rPr>
        <w:t xml:space="preserve"> </w:t>
      </w:r>
      <w:r>
        <w:t>de licitación ni modificar el sistema de retribución.</w:t>
      </w:r>
    </w:p>
    <w:p w:rsidR="0092635B" w:rsidRDefault="00000000">
      <w:pPr>
        <w:pStyle w:val="Prrafodelista"/>
        <w:numPr>
          <w:ilvl w:val="0"/>
          <w:numId w:val="205"/>
        </w:numPr>
        <w:tabs>
          <w:tab w:val="left" w:pos="1668"/>
        </w:tabs>
        <w:spacing w:before="121"/>
        <w:ind w:left="1668" w:right="0" w:hanging="222"/>
        <w:rPr>
          <w:sz w:val="20"/>
        </w:rPr>
      </w:pPr>
      <w:r>
        <w:rPr>
          <w:sz w:val="20"/>
        </w:rPr>
        <w:t>En</w:t>
      </w:r>
      <w:r>
        <w:rPr>
          <w:spacing w:val="-1"/>
          <w:sz w:val="20"/>
        </w:rPr>
        <w:t xml:space="preserve"> </w:t>
      </w:r>
      <w:r>
        <w:rPr>
          <w:sz w:val="20"/>
        </w:rPr>
        <w:t>los contratos de</w:t>
      </w:r>
      <w:r>
        <w:rPr>
          <w:spacing w:val="-1"/>
          <w:sz w:val="20"/>
        </w:rPr>
        <w:t xml:space="preserve"> </w:t>
      </w:r>
      <w:r>
        <w:rPr>
          <w:sz w:val="20"/>
        </w:rPr>
        <w:t>suministro, además, en</w:t>
      </w:r>
      <w:r>
        <w:rPr>
          <w:spacing w:val="-1"/>
          <w:sz w:val="20"/>
        </w:rPr>
        <w:t xml:space="preserve"> </w:t>
      </w:r>
      <w:r>
        <w:rPr>
          <w:sz w:val="20"/>
        </w:rPr>
        <w:t xml:space="preserve">los siguientes </w:t>
      </w:r>
      <w:r>
        <w:rPr>
          <w:spacing w:val="-2"/>
          <w:sz w:val="20"/>
        </w:rPr>
        <w:t>casos:</w:t>
      </w:r>
    </w:p>
    <w:p w:rsidR="0092635B" w:rsidRDefault="00000000">
      <w:pPr>
        <w:pStyle w:val="Prrafodelista"/>
        <w:numPr>
          <w:ilvl w:val="1"/>
          <w:numId w:val="205"/>
        </w:numPr>
        <w:tabs>
          <w:tab w:val="left" w:pos="1610"/>
        </w:tabs>
        <w:spacing w:before="130" w:line="249" w:lineRule="auto"/>
        <w:ind w:right="1104" w:firstLine="340"/>
        <w:jc w:val="both"/>
        <w:rPr>
          <w:sz w:val="20"/>
        </w:rPr>
      </w:pPr>
      <w:r>
        <w:rPr>
          <w:sz w:val="20"/>
        </w:rPr>
        <w:t>º Cuando los productos se fabriquen exclusivamente para fines de investigación, experimentación, estudio o desarrollo; esta condición no se aplica a la producción en serie destinada a establecer la viabilidad comercial del producto o a recuperar los costes de investigación y desarrollo.</w:t>
      </w:r>
    </w:p>
    <w:p w:rsidR="0092635B" w:rsidRDefault="00000000">
      <w:pPr>
        <w:pStyle w:val="Prrafodelista"/>
        <w:numPr>
          <w:ilvl w:val="1"/>
          <w:numId w:val="205"/>
        </w:numPr>
        <w:tabs>
          <w:tab w:val="left" w:pos="1610"/>
        </w:tabs>
        <w:spacing w:before="4" w:line="249" w:lineRule="auto"/>
        <w:ind w:firstLine="340"/>
        <w:jc w:val="both"/>
        <w:rPr>
          <w:sz w:val="20"/>
        </w:rPr>
      </w:pPr>
      <w:r>
        <w:rPr>
          <w:sz w:val="20"/>
        </w:rPr>
        <w:t>º Cuando se trate de entregas adicionales efectuadas por el proveedor inicial que constituyan bien una reposición parcial de suministros o instalaciones de uso corriente, o</w:t>
      </w:r>
      <w:r>
        <w:rPr>
          <w:spacing w:val="40"/>
          <w:sz w:val="20"/>
        </w:rPr>
        <w:t xml:space="preserve"> </w:t>
      </w:r>
      <w:r>
        <w:rPr>
          <w:sz w:val="20"/>
        </w:rPr>
        <w:t>bien una ampliación de los suministros o instalaciones existentes, si el cambio de proveedor obligase al órgano de contratación a adquirir material con características técnicas diferentes, dando lugar a incompatibilidades o a dificultades técnicas de uso y de mantenimiento desproporcionadas. La duración de tales contratos, no podrá, por regla general, ser superior a tres años.</w:t>
      </w:r>
    </w:p>
    <w:p w:rsidR="0092635B" w:rsidRDefault="00000000">
      <w:pPr>
        <w:pStyle w:val="Prrafodelista"/>
        <w:numPr>
          <w:ilvl w:val="1"/>
          <w:numId w:val="205"/>
        </w:numPr>
        <w:tabs>
          <w:tab w:val="left" w:pos="1610"/>
        </w:tabs>
        <w:spacing w:before="5" w:line="249" w:lineRule="auto"/>
        <w:ind w:firstLine="340"/>
        <w:jc w:val="both"/>
        <w:rPr>
          <w:sz w:val="20"/>
        </w:rPr>
      </w:pPr>
      <w:r>
        <w:rPr>
          <w:sz w:val="20"/>
        </w:rPr>
        <w:t>º Cuando se trate de la adquisición en mercados organizados o bolsas de materias primas de suministros que coticen en los mismos.</w:t>
      </w:r>
    </w:p>
    <w:p w:rsidR="0092635B" w:rsidRDefault="00000000">
      <w:pPr>
        <w:pStyle w:val="Prrafodelista"/>
        <w:numPr>
          <w:ilvl w:val="1"/>
          <w:numId w:val="205"/>
        </w:numPr>
        <w:tabs>
          <w:tab w:val="left" w:pos="1610"/>
        </w:tabs>
        <w:spacing w:line="249" w:lineRule="auto"/>
        <w:ind w:firstLine="340"/>
        <w:jc w:val="both"/>
        <w:rPr>
          <w:sz w:val="20"/>
        </w:rPr>
      </w:pPr>
      <w:r>
        <w:rPr>
          <w:sz w:val="20"/>
        </w:rPr>
        <w:t>º Cuando se trate de un suministro concertado en condiciones especialmente ventajosas</w:t>
      </w:r>
      <w:r>
        <w:rPr>
          <w:spacing w:val="-2"/>
          <w:sz w:val="20"/>
        </w:rPr>
        <w:t xml:space="preserve"> </w:t>
      </w:r>
      <w:r>
        <w:rPr>
          <w:sz w:val="20"/>
        </w:rPr>
        <w:t>con</w:t>
      </w:r>
      <w:r>
        <w:rPr>
          <w:spacing w:val="-2"/>
          <w:sz w:val="20"/>
        </w:rPr>
        <w:t xml:space="preserve"> </w:t>
      </w:r>
      <w:r>
        <w:rPr>
          <w:sz w:val="20"/>
        </w:rPr>
        <w:t>un</w:t>
      </w:r>
      <w:r>
        <w:rPr>
          <w:spacing w:val="-2"/>
          <w:sz w:val="20"/>
        </w:rPr>
        <w:t xml:space="preserve"> </w:t>
      </w:r>
      <w:r>
        <w:rPr>
          <w:sz w:val="20"/>
        </w:rPr>
        <w:t>proveedor</w:t>
      </w:r>
      <w:r>
        <w:rPr>
          <w:spacing w:val="-2"/>
          <w:sz w:val="20"/>
        </w:rPr>
        <w:t xml:space="preserve"> </w:t>
      </w:r>
      <w:r>
        <w:rPr>
          <w:sz w:val="20"/>
        </w:rPr>
        <w:t>que</w:t>
      </w:r>
      <w:r>
        <w:rPr>
          <w:spacing w:val="-2"/>
          <w:sz w:val="20"/>
        </w:rPr>
        <w:t xml:space="preserve"> </w:t>
      </w:r>
      <w:r>
        <w:rPr>
          <w:sz w:val="20"/>
        </w:rPr>
        <w:t>cese</w:t>
      </w:r>
      <w:r>
        <w:rPr>
          <w:spacing w:val="-2"/>
          <w:sz w:val="20"/>
        </w:rPr>
        <w:t xml:space="preserve"> </w:t>
      </w:r>
      <w:r>
        <w:rPr>
          <w:sz w:val="20"/>
        </w:rPr>
        <w:t>definitivamente</w:t>
      </w:r>
      <w:r>
        <w:rPr>
          <w:spacing w:val="-2"/>
          <w:sz w:val="20"/>
        </w:rPr>
        <w:t xml:space="preserve"> </w:t>
      </w:r>
      <w:r>
        <w:rPr>
          <w:sz w:val="20"/>
        </w:rPr>
        <w:t>en</w:t>
      </w:r>
      <w:r>
        <w:rPr>
          <w:spacing w:val="-2"/>
          <w:sz w:val="20"/>
        </w:rPr>
        <w:t xml:space="preserve"> </w:t>
      </w:r>
      <w:r>
        <w:rPr>
          <w:sz w:val="20"/>
        </w:rPr>
        <w:t>sus</w:t>
      </w:r>
      <w:r>
        <w:rPr>
          <w:spacing w:val="-2"/>
          <w:sz w:val="20"/>
        </w:rPr>
        <w:t xml:space="preserve"> </w:t>
      </w:r>
      <w:r>
        <w:rPr>
          <w:sz w:val="20"/>
        </w:rPr>
        <w:t>actividades</w:t>
      </w:r>
      <w:r>
        <w:rPr>
          <w:spacing w:val="-2"/>
          <w:sz w:val="20"/>
        </w:rPr>
        <w:t xml:space="preserve"> </w:t>
      </w:r>
      <w:r>
        <w:rPr>
          <w:sz w:val="20"/>
        </w:rPr>
        <w:t>comerciales,</w:t>
      </w:r>
      <w:r>
        <w:rPr>
          <w:spacing w:val="-2"/>
          <w:sz w:val="20"/>
        </w:rPr>
        <w:t xml:space="preserve"> </w:t>
      </w:r>
      <w:r>
        <w:rPr>
          <w:sz w:val="20"/>
        </w:rPr>
        <w:t>o</w:t>
      </w:r>
      <w:r>
        <w:rPr>
          <w:spacing w:val="-2"/>
          <w:sz w:val="20"/>
        </w:rPr>
        <w:t xml:space="preserve"> </w:t>
      </w:r>
      <w:r>
        <w:rPr>
          <w:sz w:val="20"/>
        </w:rPr>
        <w:t>con los administradores de un concurso, o a través de un acuerdo judicial o un procedimiento de la misma naturaleza.</w:t>
      </w:r>
    </w:p>
    <w:p w:rsidR="0092635B" w:rsidRDefault="00000000">
      <w:pPr>
        <w:pStyle w:val="Prrafodelista"/>
        <w:numPr>
          <w:ilvl w:val="0"/>
          <w:numId w:val="205"/>
        </w:numPr>
        <w:tabs>
          <w:tab w:val="left" w:pos="1691"/>
        </w:tabs>
        <w:spacing w:before="123" w:line="249" w:lineRule="auto"/>
        <w:ind w:firstLine="340"/>
        <w:jc w:val="both"/>
        <w:rPr>
          <w:sz w:val="20"/>
        </w:rPr>
      </w:pPr>
      <w:r>
        <w:rPr>
          <w:sz w:val="20"/>
        </w:rPr>
        <w:t>En los contratos de servicios, además, en el supuesto de que el contrato en cuestión sea la consecuencia de un concurso de proyectos y, con arreglo a las normas aplicables deba adjudicarse al ganador. En caso de que existan varios ganadores, se deberá invitar a todos ellos a participar en las negociaciones.</w:t>
      </w:r>
    </w:p>
    <w:p w:rsidR="0092635B" w:rsidRDefault="00000000">
      <w:pPr>
        <w:pStyle w:val="Textoindependiente"/>
        <w:spacing w:before="4" w:line="249" w:lineRule="auto"/>
        <w:ind w:right="1103"/>
      </w:pPr>
      <w:r>
        <w:t>Asimismo, cuando se trate de un servicio concertado en condiciones especialmente ventajosas</w:t>
      </w:r>
      <w:r>
        <w:rPr>
          <w:spacing w:val="-2"/>
        </w:rPr>
        <w:t xml:space="preserve"> </w:t>
      </w:r>
      <w:r>
        <w:t>con</w:t>
      </w:r>
      <w:r>
        <w:rPr>
          <w:spacing w:val="-2"/>
        </w:rPr>
        <w:t xml:space="preserve"> </w:t>
      </w:r>
      <w:r>
        <w:t>un</w:t>
      </w:r>
      <w:r>
        <w:rPr>
          <w:spacing w:val="-2"/>
        </w:rPr>
        <w:t xml:space="preserve"> </w:t>
      </w:r>
      <w:r>
        <w:t>proveedor</w:t>
      </w:r>
      <w:r>
        <w:rPr>
          <w:spacing w:val="-2"/>
        </w:rPr>
        <w:t xml:space="preserve"> </w:t>
      </w:r>
      <w:r>
        <w:t>que</w:t>
      </w:r>
      <w:r>
        <w:rPr>
          <w:spacing w:val="-2"/>
        </w:rPr>
        <w:t xml:space="preserve"> </w:t>
      </w:r>
      <w:r>
        <w:t>cese</w:t>
      </w:r>
      <w:r>
        <w:rPr>
          <w:spacing w:val="-2"/>
        </w:rPr>
        <w:t xml:space="preserve"> </w:t>
      </w:r>
      <w:r>
        <w:t>definitivamente</w:t>
      </w:r>
      <w:r>
        <w:rPr>
          <w:spacing w:val="-2"/>
        </w:rPr>
        <w:t xml:space="preserve"> </w:t>
      </w:r>
      <w:r>
        <w:t>en</w:t>
      </w:r>
      <w:r>
        <w:rPr>
          <w:spacing w:val="-2"/>
        </w:rPr>
        <w:t xml:space="preserve"> </w:t>
      </w:r>
      <w:r>
        <w:t>sus</w:t>
      </w:r>
      <w:r>
        <w:rPr>
          <w:spacing w:val="-2"/>
        </w:rPr>
        <w:t xml:space="preserve"> </w:t>
      </w:r>
      <w:r>
        <w:t>actividades</w:t>
      </w:r>
      <w:r>
        <w:rPr>
          <w:spacing w:val="-2"/>
        </w:rPr>
        <w:t xml:space="preserve"> </w:t>
      </w:r>
      <w:r>
        <w:t>comerciales,</w:t>
      </w:r>
      <w:r>
        <w:rPr>
          <w:spacing w:val="-2"/>
        </w:rPr>
        <w:t xml:space="preserve"> </w:t>
      </w:r>
      <w:r>
        <w:t>o</w:t>
      </w:r>
      <w:r>
        <w:rPr>
          <w:spacing w:val="-2"/>
        </w:rPr>
        <w:t xml:space="preserve"> </w:t>
      </w:r>
      <w:r>
        <w:t>con los administradores de un concurso, o a través de un acuerdo judicial o un procedimiento de la misma naturaleza.</w:t>
      </w:r>
    </w:p>
    <w:p w:rsidR="0092635B" w:rsidRDefault="00000000">
      <w:pPr>
        <w:pStyle w:val="Prrafodelista"/>
        <w:numPr>
          <w:ilvl w:val="0"/>
          <w:numId w:val="205"/>
        </w:numPr>
        <w:tabs>
          <w:tab w:val="left" w:pos="1700"/>
        </w:tabs>
        <w:spacing w:before="3" w:line="249" w:lineRule="auto"/>
        <w:ind w:firstLine="340"/>
        <w:jc w:val="both"/>
        <w:rPr>
          <w:sz w:val="20"/>
        </w:rPr>
      </w:pPr>
      <w:r>
        <w:rPr>
          <w:sz w:val="20"/>
        </w:rPr>
        <w:t>En los contratos de obras y de servicios, además, cuando las obras o servicios que constituyan su objeto consistan en la repetición de otros similares adjudicados al mismo contratista mediante alguno de los procedimientos de licitación regulados en esta ley previa publicación del correspondiente anuncio de licitación, siempre que se ajusten a un proyecto base que haya sido objeto del contrato inicial adjudicado por dichos procedimientos, que la posibilidad de hacer uso de este procedimiento esté indicada en el anuncio de licitación del contrato inicial, que el importe de las nuevas obras o servicios se haya tenido en cuenta al calcular</w:t>
      </w:r>
      <w:r>
        <w:rPr>
          <w:spacing w:val="-1"/>
          <w:sz w:val="20"/>
        </w:rPr>
        <w:t xml:space="preserve"> </w:t>
      </w:r>
      <w:r>
        <w:rPr>
          <w:sz w:val="20"/>
        </w:rPr>
        <w:t>el</w:t>
      </w:r>
      <w:r>
        <w:rPr>
          <w:spacing w:val="-1"/>
          <w:sz w:val="20"/>
        </w:rPr>
        <w:t xml:space="preserve"> </w:t>
      </w:r>
      <w:r>
        <w:rPr>
          <w:sz w:val="20"/>
        </w:rPr>
        <w:t>valor</w:t>
      </w:r>
      <w:r>
        <w:rPr>
          <w:spacing w:val="-1"/>
          <w:sz w:val="20"/>
        </w:rPr>
        <w:t xml:space="preserve"> </w:t>
      </w:r>
      <w:r>
        <w:rPr>
          <w:sz w:val="20"/>
        </w:rPr>
        <w:t>estimado</w:t>
      </w:r>
      <w:r>
        <w:rPr>
          <w:spacing w:val="-1"/>
          <w:sz w:val="20"/>
        </w:rPr>
        <w:t xml:space="preserve"> </w:t>
      </w:r>
      <w:r>
        <w:rPr>
          <w:sz w:val="20"/>
        </w:rPr>
        <w:t>del</w:t>
      </w:r>
      <w:r>
        <w:rPr>
          <w:spacing w:val="-1"/>
          <w:sz w:val="20"/>
        </w:rPr>
        <w:t xml:space="preserve"> </w:t>
      </w:r>
      <w:r>
        <w:rPr>
          <w:sz w:val="20"/>
        </w:rPr>
        <w:t>contrato</w:t>
      </w:r>
      <w:r>
        <w:rPr>
          <w:spacing w:val="-1"/>
          <w:sz w:val="20"/>
        </w:rPr>
        <w:t xml:space="preserve"> </w:t>
      </w:r>
      <w:r>
        <w:rPr>
          <w:sz w:val="20"/>
        </w:rPr>
        <w:t>inicial,</w:t>
      </w:r>
      <w:r>
        <w:rPr>
          <w:spacing w:val="-1"/>
          <w:sz w:val="20"/>
        </w:rPr>
        <w:t xml:space="preserve"> </w:t>
      </w:r>
      <w:r>
        <w:rPr>
          <w:sz w:val="20"/>
        </w:rPr>
        <w:t>y</w:t>
      </w:r>
      <w:r>
        <w:rPr>
          <w:spacing w:val="-1"/>
          <w:sz w:val="20"/>
        </w:rPr>
        <w:t xml:space="preserve"> </w:t>
      </w:r>
      <w:r>
        <w:rPr>
          <w:sz w:val="20"/>
        </w:rPr>
        <w:t>que</w:t>
      </w:r>
      <w:r>
        <w:rPr>
          <w:spacing w:val="-1"/>
          <w:sz w:val="20"/>
        </w:rPr>
        <w:t xml:space="preserve"> </w:t>
      </w:r>
      <w:r>
        <w:rPr>
          <w:sz w:val="20"/>
        </w:rPr>
        <w:t>no</w:t>
      </w:r>
      <w:r>
        <w:rPr>
          <w:spacing w:val="-1"/>
          <w:sz w:val="20"/>
        </w:rPr>
        <w:t xml:space="preserve"> </w:t>
      </w:r>
      <w:r>
        <w:rPr>
          <w:sz w:val="20"/>
        </w:rPr>
        <w:t>hayan</w:t>
      </w:r>
      <w:r>
        <w:rPr>
          <w:spacing w:val="-1"/>
          <w:sz w:val="20"/>
        </w:rPr>
        <w:t xml:space="preserve"> </w:t>
      </w:r>
      <w:r>
        <w:rPr>
          <w:sz w:val="20"/>
        </w:rPr>
        <w:t>transcurrido</w:t>
      </w:r>
      <w:r>
        <w:rPr>
          <w:spacing w:val="-1"/>
          <w:sz w:val="20"/>
        </w:rPr>
        <w:t xml:space="preserve"> </w:t>
      </w:r>
      <w:r>
        <w:rPr>
          <w:sz w:val="20"/>
        </w:rPr>
        <w:t>más</w:t>
      </w:r>
      <w:r>
        <w:rPr>
          <w:spacing w:val="-1"/>
          <w:sz w:val="20"/>
        </w:rPr>
        <w:t xml:space="preserve"> </w:t>
      </w:r>
      <w:r>
        <w:rPr>
          <w:sz w:val="20"/>
        </w:rPr>
        <w:t>de</w:t>
      </w:r>
      <w:r>
        <w:rPr>
          <w:spacing w:val="-1"/>
          <w:sz w:val="20"/>
        </w:rPr>
        <w:t xml:space="preserve"> </w:t>
      </w:r>
      <w:r>
        <w:rPr>
          <w:sz w:val="20"/>
        </w:rPr>
        <w:t>tres</w:t>
      </w:r>
      <w:r>
        <w:rPr>
          <w:spacing w:val="-1"/>
          <w:sz w:val="20"/>
        </w:rPr>
        <w:t xml:space="preserve"> </w:t>
      </w:r>
      <w:r>
        <w:rPr>
          <w:sz w:val="20"/>
        </w:rPr>
        <w:t>años</w:t>
      </w:r>
      <w:r>
        <w:rPr>
          <w:spacing w:val="-1"/>
          <w:sz w:val="20"/>
        </w:rPr>
        <w:t xml:space="preserve"> </w:t>
      </w:r>
      <w:r>
        <w:rPr>
          <w:sz w:val="20"/>
        </w:rPr>
        <w:t>a partir de la celebración del contrato inicial. En el proyecto base se mencionarán necesariamente el número de posibles obras o servicios adicionales, así como las condiciones en que serán adjudicados estos.</w:t>
      </w:r>
    </w:p>
    <w:p w:rsidR="0092635B" w:rsidRDefault="0092635B">
      <w:pPr>
        <w:pStyle w:val="Textoindependiente"/>
        <w:spacing w:before="5"/>
        <w:ind w:left="0" w:firstLine="0"/>
        <w:jc w:val="left"/>
      </w:pPr>
    </w:p>
    <w:p w:rsidR="0092635B" w:rsidRDefault="00000000">
      <w:pPr>
        <w:spacing w:before="1"/>
        <w:ind w:left="1106"/>
        <w:rPr>
          <w:rFonts w:ascii="Arial" w:hAnsi="Arial"/>
          <w:i/>
          <w:sz w:val="20"/>
        </w:rPr>
      </w:pPr>
      <w:bookmarkStart w:id="266" w:name="Artículo_169._Tramitación_del_procedimie"/>
      <w:bookmarkEnd w:id="266"/>
      <w:r>
        <w:rPr>
          <w:rFonts w:ascii="Arial" w:hAnsi="Arial"/>
          <w:b/>
          <w:sz w:val="20"/>
        </w:rPr>
        <w:t>Artículo</w:t>
      </w:r>
      <w:r>
        <w:rPr>
          <w:rFonts w:ascii="Arial" w:hAnsi="Arial"/>
          <w:b/>
          <w:spacing w:val="-6"/>
          <w:sz w:val="20"/>
        </w:rPr>
        <w:t xml:space="preserve"> </w:t>
      </w:r>
      <w:r>
        <w:rPr>
          <w:rFonts w:ascii="Arial" w:hAnsi="Arial"/>
          <w:b/>
          <w:sz w:val="20"/>
        </w:rPr>
        <w:t>169.</w:t>
      </w:r>
      <w:r>
        <w:rPr>
          <w:rFonts w:ascii="Arial" w:hAnsi="Arial"/>
          <w:b/>
          <w:spacing w:val="43"/>
          <w:sz w:val="20"/>
        </w:rPr>
        <w:t xml:space="preserve"> </w:t>
      </w:r>
      <w:r>
        <w:rPr>
          <w:rFonts w:ascii="Arial" w:hAnsi="Arial"/>
          <w:i/>
          <w:sz w:val="20"/>
        </w:rPr>
        <w:t>Tramitación</w:t>
      </w:r>
      <w:r>
        <w:rPr>
          <w:rFonts w:ascii="Arial" w:hAnsi="Arial"/>
          <w:i/>
          <w:spacing w:val="-6"/>
          <w:sz w:val="20"/>
        </w:rPr>
        <w:t xml:space="preserve"> </w:t>
      </w:r>
      <w:r>
        <w:rPr>
          <w:rFonts w:ascii="Arial" w:hAnsi="Arial"/>
          <w:i/>
          <w:sz w:val="20"/>
        </w:rPr>
        <w:t>del</w:t>
      </w:r>
      <w:r>
        <w:rPr>
          <w:rFonts w:ascii="Arial" w:hAnsi="Arial"/>
          <w:i/>
          <w:spacing w:val="-5"/>
          <w:sz w:val="20"/>
        </w:rPr>
        <w:t xml:space="preserve"> </w:t>
      </w:r>
      <w:r>
        <w:rPr>
          <w:rFonts w:ascii="Arial" w:hAnsi="Arial"/>
          <w:i/>
          <w:sz w:val="20"/>
        </w:rPr>
        <w:t>procedimiento</w:t>
      </w:r>
      <w:r>
        <w:rPr>
          <w:rFonts w:ascii="Arial" w:hAnsi="Arial"/>
          <w:i/>
          <w:spacing w:val="-6"/>
          <w:sz w:val="20"/>
        </w:rPr>
        <w:t xml:space="preserve"> </w:t>
      </w:r>
      <w:r>
        <w:rPr>
          <w:rFonts w:ascii="Arial" w:hAnsi="Arial"/>
          <w:i/>
          <w:sz w:val="20"/>
        </w:rPr>
        <w:t>de</w:t>
      </w:r>
      <w:r>
        <w:rPr>
          <w:rFonts w:ascii="Arial" w:hAnsi="Arial"/>
          <w:i/>
          <w:spacing w:val="-5"/>
          <w:sz w:val="20"/>
        </w:rPr>
        <w:t xml:space="preserve"> </w:t>
      </w:r>
      <w:r>
        <w:rPr>
          <w:rFonts w:ascii="Arial" w:hAnsi="Arial"/>
          <w:i/>
          <w:sz w:val="20"/>
        </w:rPr>
        <w:t>licitación</w:t>
      </w:r>
      <w:r>
        <w:rPr>
          <w:rFonts w:ascii="Arial" w:hAnsi="Arial"/>
          <w:i/>
          <w:spacing w:val="-6"/>
          <w:sz w:val="20"/>
        </w:rPr>
        <w:t xml:space="preserve"> </w:t>
      </w:r>
      <w:r>
        <w:rPr>
          <w:rFonts w:ascii="Arial" w:hAnsi="Arial"/>
          <w:i/>
          <w:sz w:val="20"/>
        </w:rPr>
        <w:t>con</w:t>
      </w:r>
      <w:r>
        <w:rPr>
          <w:rFonts w:ascii="Arial" w:hAnsi="Arial"/>
          <w:i/>
          <w:spacing w:val="-5"/>
          <w:sz w:val="20"/>
        </w:rPr>
        <w:t xml:space="preserve"> </w:t>
      </w:r>
      <w:r>
        <w:rPr>
          <w:rFonts w:ascii="Arial" w:hAnsi="Arial"/>
          <w:i/>
          <w:spacing w:val="-2"/>
          <w:sz w:val="20"/>
        </w:rPr>
        <w:t>negociación.</w:t>
      </w:r>
    </w:p>
    <w:p w:rsidR="0092635B" w:rsidRDefault="00000000">
      <w:pPr>
        <w:pStyle w:val="Prrafodelista"/>
        <w:numPr>
          <w:ilvl w:val="0"/>
          <w:numId w:val="204"/>
        </w:numPr>
        <w:tabs>
          <w:tab w:val="left" w:pos="1711"/>
        </w:tabs>
        <w:spacing w:before="123" w:line="249" w:lineRule="auto"/>
        <w:ind w:right="1104" w:firstLine="340"/>
        <w:jc w:val="both"/>
        <w:rPr>
          <w:sz w:val="20"/>
        </w:rPr>
      </w:pPr>
      <w:r>
        <w:rPr>
          <w:sz w:val="20"/>
        </w:rPr>
        <w:t>Cuando se acuda al procedimiento de licitación con negociación por concurrir las circunstancias previstas en el artículo 167, el órgano de contratación, en todo caso, deberá publicar un anuncio de licitación en la forma prevista en el artículo 135.</w:t>
      </w:r>
    </w:p>
    <w:p w:rsidR="0092635B" w:rsidRDefault="00000000">
      <w:pPr>
        <w:pStyle w:val="Prrafodelista"/>
        <w:numPr>
          <w:ilvl w:val="0"/>
          <w:numId w:val="204"/>
        </w:numPr>
        <w:tabs>
          <w:tab w:val="left" w:pos="1689"/>
        </w:tabs>
        <w:spacing w:line="249" w:lineRule="auto"/>
        <w:ind w:firstLine="340"/>
        <w:jc w:val="both"/>
        <w:rPr>
          <w:sz w:val="20"/>
        </w:rPr>
      </w:pPr>
      <w:r>
        <w:rPr>
          <w:sz w:val="20"/>
        </w:rPr>
        <w:t>Serán de aplicación a la tramitación del procedimiento de licitación con negociación, las</w:t>
      </w:r>
      <w:r>
        <w:rPr>
          <w:spacing w:val="26"/>
          <w:sz w:val="20"/>
        </w:rPr>
        <w:t xml:space="preserve"> </w:t>
      </w:r>
      <w:r>
        <w:rPr>
          <w:sz w:val="20"/>
        </w:rPr>
        <w:t>normas</w:t>
      </w:r>
      <w:r>
        <w:rPr>
          <w:spacing w:val="26"/>
          <w:sz w:val="20"/>
        </w:rPr>
        <w:t xml:space="preserve"> </w:t>
      </w:r>
      <w:r>
        <w:rPr>
          <w:sz w:val="20"/>
        </w:rPr>
        <w:t>contenidas</w:t>
      </w:r>
      <w:r>
        <w:rPr>
          <w:spacing w:val="26"/>
          <w:sz w:val="20"/>
        </w:rPr>
        <w:t xml:space="preserve"> </w:t>
      </w:r>
      <w:r>
        <w:rPr>
          <w:sz w:val="20"/>
        </w:rPr>
        <w:t>en</w:t>
      </w:r>
      <w:r>
        <w:rPr>
          <w:spacing w:val="26"/>
          <w:sz w:val="20"/>
        </w:rPr>
        <w:t xml:space="preserve"> </w:t>
      </w:r>
      <w:r>
        <w:rPr>
          <w:sz w:val="20"/>
        </w:rPr>
        <w:t>el</w:t>
      </w:r>
      <w:r>
        <w:rPr>
          <w:spacing w:val="26"/>
          <w:sz w:val="20"/>
        </w:rPr>
        <w:t xml:space="preserve"> </w:t>
      </w:r>
      <w:r>
        <w:rPr>
          <w:sz w:val="20"/>
        </w:rPr>
        <w:t>apartado</w:t>
      </w:r>
      <w:r>
        <w:rPr>
          <w:spacing w:val="26"/>
          <w:sz w:val="20"/>
        </w:rPr>
        <w:t xml:space="preserve"> </w:t>
      </w:r>
      <w:r>
        <w:rPr>
          <w:sz w:val="20"/>
        </w:rPr>
        <w:t>1</w:t>
      </w:r>
      <w:r>
        <w:rPr>
          <w:spacing w:val="26"/>
          <w:sz w:val="20"/>
        </w:rPr>
        <w:t xml:space="preserve"> </w:t>
      </w:r>
      <w:r>
        <w:rPr>
          <w:sz w:val="20"/>
        </w:rPr>
        <w:t>del</w:t>
      </w:r>
      <w:r>
        <w:rPr>
          <w:spacing w:val="26"/>
          <w:sz w:val="20"/>
        </w:rPr>
        <w:t xml:space="preserve"> </w:t>
      </w:r>
      <w:r>
        <w:rPr>
          <w:sz w:val="20"/>
        </w:rPr>
        <w:t>artículo</w:t>
      </w:r>
      <w:r>
        <w:rPr>
          <w:spacing w:val="26"/>
          <w:sz w:val="20"/>
        </w:rPr>
        <w:t xml:space="preserve"> </w:t>
      </w:r>
      <w:r>
        <w:rPr>
          <w:sz w:val="20"/>
        </w:rPr>
        <w:t>160,</w:t>
      </w:r>
      <w:r>
        <w:rPr>
          <w:spacing w:val="26"/>
          <w:sz w:val="20"/>
        </w:rPr>
        <w:t xml:space="preserve"> </w:t>
      </w:r>
      <w:r>
        <w:rPr>
          <w:sz w:val="20"/>
        </w:rPr>
        <w:t>y</w:t>
      </w:r>
      <w:r>
        <w:rPr>
          <w:spacing w:val="26"/>
          <w:sz w:val="20"/>
        </w:rPr>
        <w:t xml:space="preserve"> </w:t>
      </w:r>
      <w:r>
        <w:rPr>
          <w:sz w:val="20"/>
        </w:rPr>
        <w:t>en</w:t>
      </w:r>
      <w:r>
        <w:rPr>
          <w:spacing w:val="26"/>
          <w:sz w:val="20"/>
        </w:rPr>
        <w:t xml:space="preserve"> </w:t>
      </w:r>
      <w:r>
        <w:rPr>
          <w:sz w:val="20"/>
        </w:rPr>
        <w:t>los</w:t>
      </w:r>
      <w:r>
        <w:rPr>
          <w:spacing w:val="26"/>
          <w:sz w:val="20"/>
        </w:rPr>
        <w:t xml:space="preserve"> </w:t>
      </w:r>
      <w:r>
        <w:rPr>
          <w:sz w:val="20"/>
        </w:rPr>
        <w:t>artículos</w:t>
      </w:r>
      <w:r>
        <w:rPr>
          <w:spacing w:val="26"/>
          <w:sz w:val="20"/>
        </w:rPr>
        <w:t xml:space="preserve"> </w:t>
      </w:r>
      <w:r>
        <w:rPr>
          <w:sz w:val="20"/>
        </w:rPr>
        <w:t>161,</w:t>
      </w:r>
      <w:r>
        <w:rPr>
          <w:spacing w:val="26"/>
          <w:sz w:val="20"/>
        </w:rPr>
        <w:t xml:space="preserve"> </w:t>
      </w:r>
      <w:r>
        <w:rPr>
          <w:sz w:val="20"/>
        </w:rPr>
        <w:t>162,</w:t>
      </w:r>
      <w:r>
        <w:rPr>
          <w:spacing w:val="26"/>
          <w:sz w:val="20"/>
        </w:rPr>
        <w:t xml:space="preserve"> </w:t>
      </w:r>
      <w:r>
        <w:rPr>
          <w:sz w:val="20"/>
        </w:rPr>
        <w:t>163 y 164.1 relativos al procedimiento restringido. No obstante, en caso de que se decida limitar el número de empresas a las que se invitará a negociar, el órgano de contratación y los servicios dependientes de él, en todo caso, deberán asegurarse de que el número mínimo</w:t>
      </w:r>
      <w:r>
        <w:rPr>
          <w:spacing w:val="80"/>
          <w:sz w:val="20"/>
        </w:rPr>
        <w:t xml:space="preserve"> </w:t>
      </w:r>
      <w:r>
        <w:rPr>
          <w:sz w:val="20"/>
        </w:rPr>
        <w:t>de candidatos invitados será de tres. Cuando el número de candidatos que cumplan con los criterios de selección sea inferior a ese número mínimo, el órgano de contratación podrá continuar el procedimiento con los que reúnen las condiciones exigidas, sin que pueda invitarse a empresarios que no hayan solicitado participar en el mismo, o a candidatos que</w:t>
      </w:r>
      <w:r>
        <w:rPr>
          <w:spacing w:val="40"/>
          <w:sz w:val="20"/>
        </w:rPr>
        <w:t xml:space="preserve"> </w:t>
      </w:r>
      <w:r>
        <w:rPr>
          <w:sz w:val="20"/>
        </w:rPr>
        <w:t>no posean esas condiciones.</w:t>
      </w:r>
    </w:p>
    <w:p w:rsidR="0092635B" w:rsidRDefault="00000000">
      <w:pPr>
        <w:pStyle w:val="Prrafodelista"/>
        <w:numPr>
          <w:ilvl w:val="0"/>
          <w:numId w:val="204"/>
        </w:numPr>
        <w:tabs>
          <w:tab w:val="left" w:pos="1673"/>
        </w:tabs>
        <w:spacing w:before="9" w:line="249" w:lineRule="auto"/>
        <w:ind w:right="1105" w:firstLine="340"/>
        <w:jc w:val="both"/>
        <w:rPr>
          <w:sz w:val="20"/>
        </w:rPr>
      </w:pPr>
      <w:r>
        <w:rPr>
          <w:sz w:val="20"/>
        </w:rPr>
        <w:t>Los órganos de contratación podrán articular el procedimiento regulado en el presente artículo</w:t>
      </w:r>
      <w:r>
        <w:rPr>
          <w:spacing w:val="-2"/>
          <w:sz w:val="20"/>
        </w:rPr>
        <w:t xml:space="preserve"> </w:t>
      </w:r>
      <w:r>
        <w:rPr>
          <w:sz w:val="20"/>
        </w:rPr>
        <w:t>en</w:t>
      </w:r>
      <w:r>
        <w:rPr>
          <w:spacing w:val="-2"/>
          <w:sz w:val="20"/>
        </w:rPr>
        <w:t xml:space="preserve"> </w:t>
      </w:r>
      <w:r>
        <w:rPr>
          <w:sz w:val="20"/>
        </w:rPr>
        <w:t>fases</w:t>
      </w:r>
      <w:r>
        <w:rPr>
          <w:spacing w:val="-2"/>
          <w:sz w:val="20"/>
        </w:rPr>
        <w:t xml:space="preserve"> </w:t>
      </w:r>
      <w:r>
        <w:rPr>
          <w:sz w:val="20"/>
        </w:rPr>
        <w:t>sucesivas,</w:t>
      </w:r>
      <w:r>
        <w:rPr>
          <w:spacing w:val="-2"/>
          <w:sz w:val="20"/>
        </w:rPr>
        <w:t xml:space="preserve"> </w:t>
      </w:r>
      <w:r>
        <w:rPr>
          <w:sz w:val="20"/>
        </w:rPr>
        <w:t>a</w:t>
      </w:r>
      <w:r>
        <w:rPr>
          <w:spacing w:val="-2"/>
          <w:sz w:val="20"/>
        </w:rPr>
        <w:t xml:space="preserve"> </w:t>
      </w:r>
      <w:r>
        <w:rPr>
          <w:sz w:val="20"/>
        </w:rPr>
        <w:t>fin</w:t>
      </w:r>
      <w:r>
        <w:rPr>
          <w:spacing w:val="-2"/>
          <w:sz w:val="20"/>
        </w:rPr>
        <w:t xml:space="preserve"> </w:t>
      </w:r>
      <w:r>
        <w:rPr>
          <w:sz w:val="20"/>
        </w:rPr>
        <w:t>de</w:t>
      </w:r>
      <w:r>
        <w:rPr>
          <w:spacing w:val="-2"/>
          <w:sz w:val="20"/>
        </w:rPr>
        <w:t xml:space="preserve"> </w:t>
      </w:r>
      <w:r>
        <w:rPr>
          <w:sz w:val="20"/>
        </w:rPr>
        <w:t>reducir</w:t>
      </w:r>
      <w:r>
        <w:rPr>
          <w:spacing w:val="-2"/>
          <w:sz w:val="20"/>
        </w:rPr>
        <w:t xml:space="preserve"> </w:t>
      </w:r>
      <w:r>
        <w:rPr>
          <w:sz w:val="20"/>
        </w:rPr>
        <w:t>progresivamente</w:t>
      </w:r>
      <w:r>
        <w:rPr>
          <w:spacing w:val="-2"/>
          <w:sz w:val="20"/>
        </w:rPr>
        <w:t xml:space="preserve"> </w:t>
      </w:r>
      <w:r>
        <w:rPr>
          <w:sz w:val="20"/>
        </w:rPr>
        <w:t>el</w:t>
      </w:r>
      <w:r>
        <w:rPr>
          <w:spacing w:val="-2"/>
          <w:sz w:val="20"/>
        </w:rPr>
        <w:t xml:space="preserve"> </w:t>
      </w:r>
      <w:r>
        <w:rPr>
          <w:sz w:val="20"/>
        </w:rPr>
        <w:t>número</w:t>
      </w:r>
      <w:r>
        <w:rPr>
          <w:spacing w:val="-2"/>
          <w:sz w:val="20"/>
        </w:rPr>
        <w:t xml:space="preserve"> </w:t>
      </w:r>
      <w:r>
        <w:rPr>
          <w:sz w:val="20"/>
        </w:rPr>
        <w:t>de</w:t>
      </w:r>
      <w:r>
        <w:rPr>
          <w:spacing w:val="-2"/>
          <w:sz w:val="20"/>
        </w:rPr>
        <w:t xml:space="preserve"> </w:t>
      </w:r>
      <w:r>
        <w:rPr>
          <w:sz w:val="20"/>
        </w:rPr>
        <w:t>ofertas</w:t>
      </w:r>
      <w:r>
        <w:rPr>
          <w:spacing w:val="-2"/>
          <w:sz w:val="20"/>
        </w:rPr>
        <w:t xml:space="preserve"> </w:t>
      </w:r>
      <w:r>
        <w:rPr>
          <w:sz w:val="20"/>
        </w:rPr>
        <w:t>a</w:t>
      </w:r>
      <w:r>
        <w:rPr>
          <w:spacing w:val="-2"/>
          <w:sz w:val="20"/>
        </w:rPr>
        <w:t xml:space="preserve"> </w:t>
      </w:r>
      <w:r>
        <w:rPr>
          <w:sz w:val="20"/>
        </w:rPr>
        <w:t>negociar</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mediante</w:t>
      </w:r>
      <w:r>
        <w:rPr>
          <w:spacing w:val="-1"/>
        </w:rPr>
        <w:t xml:space="preserve"> </w:t>
      </w:r>
      <w:r>
        <w:t>la</w:t>
      </w:r>
      <w:r>
        <w:rPr>
          <w:spacing w:val="-1"/>
        </w:rPr>
        <w:t xml:space="preserve"> </w:t>
      </w:r>
      <w:r>
        <w:t>aplicación</w:t>
      </w:r>
      <w:r>
        <w:rPr>
          <w:spacing w:val="-1"/>
        </w:rPr>
        <w:t xml:space="preserve"> </w:t>
      </w:r>
      <w:r>
        <w:t>de</w:t>
      </w:r>
      <w:r>
        <w:rPr>
          <w:spacing w:val="-1"/>
        </w:rPr>
        <w:t xml:space="preserve"> </w:t>
      </w:r>
      <w:r>
        <w:t>los</w:t>
      </w:r>
      <w:r>
        <w:rPr>
          <w:spacing w:val="-1"/>
        </w:rPr>
        <w:t xml:space="preserve"> </w:t>
      </w:r>
      <w:r>
        <w:t>criterios</w:t>
      </w:r>
      <w:r>
        <w:rPr>
          <w:spacing w:val="-1"/>
        </w:rPr>
        <w:t xml:space="preserve"> </w:t>
      </w:r>
      <w:r>
        <w:t>de</w:t>
      </w:r>
      <w:r>
        <w:rPr>
          <w:spacing w:val="-1"/>
        </w:rPr>
        <w:t xml:space="preserve"> </w:t>
      </w:r>
      <w:r>
        <w:t>adjudicación</w:t>
      </w:r>
      <w:r>
        <w:rPr>
          <w:spacing w:val="-1"/>
        </w:rPr>
        <w:t xml:space="preserve"> </w:t>
      </w:r>
      <w:r>
        <w:t>señalados</w:t>
      </w:r>
      <w:r>
        <w:rPr>
          <w:spacing w:val="-1"/>
        </w:rPr>
        <w:t xml:space="preserve"> </w:t>
      </w:r>
      <w:r>
        <w:t>en</w:t>
      </w:r>
      <w:r>
        <w:rPr>
          <w:spacing w:val="-1"/>
        </w:rPr>
        <w:t xml:space="preserve"> </w:t>
      </w:r>
      <w:r>
        <w:t>el</w:t>
      </w:r>
      <w:r>
        <w:rPr>
          <w:spacing w:val="-1"/>
        </w:rPr>
        <w:t xml:space="preserve"> </w:t>
      </w:r>
      <w:r>
        <w:t>anuncio</w:t>
      </w:r>
      <w:r>
        <w:rPr>
          <w:spacing w:val="-1"/>
        </w:rPr>
        <w:t xml:space="preserve"> </w:t>
      </w:r>
      <w:r>
        <w:t>de</w:t>
      </w:r>
      <w:r>
        <w:rPr>
          <w:spacing w:val="-1"/>
        </w:rPr>
        <w:t xml:space="preserve"> </w:t>
      </w:r>
      <w:r>
        <w:t>licitación</w:t>
      </w:r>
      <w:r>
        <w:rPr>
          <w:spacing w:val="-1"/>
        </w:rPr>
        <w:t xml:space="preserve"> </w:t>
      </w:r>
      <w:r>
        <w:t>o en el pliego de cláusulas administrativas particulares, indicándose en estos si se va a hacer uso de esta facultad. El número de soluciones que lleguen hasta la fase final deberá ser lo suficientemente amplio como para garantizar una competencia efectiva, siempre que se hayan presentado un número suficiente de soluciones o de candidatos adecuados.</w:t>
      </w:r>
    </w:p>
    <w:p w:rsidR="0092635B" w:rsidRDefault="00000000">
      <w:pPr>
        <w:pStyle w:val="Prrafodelista"/>
        <w:numPr>
          <w:ilvl w:val="0"/>
          <w:numId w:val="204"/>
        </w:numPr>
        <w:tabs>
          <w:tab w:val="left" w:pos="1714"/>
        </w:tabs>
        <w:spacing w:before="4" w:line="249" w:lineRule="auto"/>
        <w:ind w:firstLine="340"/>
        <w:jc w:val="both"/>
        <w:rPr>
          <w:sz w:val="20"/>
        </w:rPr>
      </w:pPr>
      <w:r>
        <w:rPr>
          <w:sz w:val="20"/>
        </w:rPr>
        <w:t>Durante la negociación, las mesas de contratación y los órganos de contratación velarán porque todos los licitadores reciban igual trato. En particular no facilitarán, de forma discriminatoria, información que pueda dar ventajas a determinados licitadores con respecto al resto.</w:t>
      </w:r>
    </w:p>
    <w:p w:rsidR="0092635B" w:rsidRDefault="00000000">
      <w:pPr>
        <w:pStyle w:val="Textoindependiente"/>
        <w:spacing w:before="3" w:line="249" w:lineRule="auto"/>
        <w:ind w:right="1103"/>
      </w:pPr>
      <w:r>
        <w:t>Los órganos de contratación informarán por escrito a todos los licitadores cuyas ofertas no hayan sido excluidas, de todo cambio en las especificaciones técnicas u otra documentación de la contratación que no establezca los requisitos mínimos a que se refiere el artículo 166, y les darán plazo suficiente para que presenten una nueva oferta revisada.</w:t>
      </w:r>
    </w:p>
    <w:p w:rsidR="0092635B" w:rsidRDefault="00000000">
      <w:pPr>
        <w:pStyle w:val="Prrafodelista"/>
        <w:numPr>
          <w:ilvl w:val="0"/>
          <w:numId w:val="204"/>
        </w:numPr>
        <w:tabs>
          <w:tab w:val="left" w:pos="1690"/>
        </w:tabs>
        <w:spacing w:before="3" w:line="249" w:lineRule="auto"/>
        <w:ind w:firstLine="340"/>
        <w:jc w:val="both"/>
        <w:rPr>
          <w:sz w:val="20"/>
        </w:rPr>
      </w:pPr>
      <w:r>
        <w:rPr>
          <w:sz w:val="20"/>
        </w:rPr>
        <w:t>Los órganos de contratación, en su caso, a través de los servicios técnicos de ellos dependientes,</w:t>
      </w:r>
      <w:r>
        <w:rPr>
          <w:spacing w:val="-1"/>
          <w:sz w:val="20"/>
        </w:rPr>
        <w:t xml:space="preserve"> </w:t>
      </w:r>
      <w:r>
        <w:rPr>
          <w:sz w:val="20"/>
        </w:rPr>
        <w:t>negociarán</w:t>
      </w:r>
      <w:r>
        <w:rPr>
          <w:spacing w:val="-1"/>
          <w:sz w:val="20"/>
        </w:rPr>
        <w:t xml:space="preserve"> </w:t>
      </w:r>
      <w:r>
        <w:rPr>
          <w:sz w:val="20"/>
        </w:rPr>
        <w:t>con</w:t>
      </w:r>
      <w:r>
        <w:rPr>
          <w:spacing w:val="-1"/>
          <w:sz w:val="20"/>
        </w:rPr>
        <w:t xml:space="preserve"> </w:t>
      </w:r>
      <w:r>
        <w:rPr>
          <w:sz w:val="20"/>
        </w:rPr>
        <w:t>los</w:t>
      </w:r>
      <w:r>
        <w:rPr>
          <w:spacing w:val="-1"/>
          <w:sz w:val="20"/>
        </w:rPr>
        <w:t xml:space="preserve"> </w:t>
      </w:r>
      <w:r>
        <w:rPr>
          <w:sz w:val="20"/>
        </w:rPr>
        <w:t>licitadores</w:t>
      </w:r>
      <w:r>
        <w:rPr>
          <w:spacing w:val="-1"/>
          <w:sz w:val="20"/>
        </w:rPr>
        <w:t xml:space="preserve"> </w:t>
      </w:r>
      <w:r>
        <w:rPr>
          <w:sz w:val="20"/>
        </w:rPr>
        <w:t>las</w:t>
      </w:r>
      <w:r>
        <w:rPr>
          <w:spacing w:val="-1"/>
          <w:sz w:val="20"/>
        </w:rPr>
        <w:t xml:space="preserve"> </w:t>
      </w:r>
      <w:r>
        <w:rPr>
          <w:sz w:val="20"/>
        </w:rPr>
        <w:t>ofertas</w:t>
      </w:r>
      <w:r>
        <w:rPr>
          <w:spacing w:val="-1"/>
          <w:sz w:val="20"/>
        </w:rPr>
        <w:t xml:space="preserve"> </w:t>
      </w:r>
      <w:r>
        <w:rPr>
          <w:sz w:val="20"/>
        </w:rPr>
        <w:t>iniciales</w:t>
      </w:r>
      <w:r>
        <w:rPr>
          <w:spacing w:val="-1"/>
          <w:sz w:val="20"/>
        </w:rPr>
        <w:t xml:space="preserve"> </w:t>
      </w:r>
      <w:r>
        <w:rPr>
          <w:sz w:val="20"/>
        </w:rPr>
        <w:t>y</w:t>
      </w:r>
      <w:r>
        <w:rPr>
          <w:spacing w:val="-1"/>
          <w:sz w:val="20"/>
        </w:rPr>
        <w:t xml:space="preserve"> </w:t>
      </w:r>
      <w:r>
        <w:rPr>
          <w:sz w:val="20"/>
        </w:rPr>
        <w:t>todas</w:t>
      </w:r>
      <w:r>
        <w:rPr>
          <w:spacing w:val="-1"/>
          <w:sz w:val="20"/>
        </w:rPr>
        <w:t xml:space="preserve"> </w:t>
      </w:r>
      <w:r>
        <w:rPr>
          <w:sz w:val="20"/>
        </w:rPr>
        <w:t>las</w:t>
      </w:r>
      <w:r>
        <w:rPr>
          <w:spacing w:val="-1"/>
          <w:sz w:val="20"/>
        </w:rPr>
        <w:t xml:space="preserve"> </w:t>
      </w:r>
      <w:r>
        <w:rPr>
          <w:sz w:val="20"/>
        </w:rPr>
        <w:t>ofertas</w:t>
      </w:r>
      <w:r>
        <w:rPr>
          <w:spacing w:val="-1"/>
          <w:sz w:val="20"/>
        </w:rPr>
        <w:t xml:space="preserve"> </w:t>
      </w:r>
      <w:r>
        <w:rPr>
          <w:sz w:val="20"/>
        </w:rPr>
        <w:t>ulteriores presentadas por éstos, excepto las ofertas definitivas a que se refiere el apartado octavo del presente</w:t>
      </w:r>
      <w:r>
        <w:rPr>
          <w:spacing w:val="-3"/>
          <w:sz w:val="20"/>
        </w:rPr>
        <w:t xml:space="preserve"> </w:t>
      </w:r>
      <w:r>
        <w:rPr>
          <w:sz w:val="20"/>
        </w:rPr>
        <w:t>artículo,</w:t>
      </w:r>
      <w:r>
        <w:rPr>
          <w:spacing w:val="-3"/>
          <w:sz w:val="20"/>
        </w:rPr>
        <w:t xml:space="preserve"> </w:t>
      </w:r>
      <w:r>
        <w:rPr>
          <w:sz w:val="20"/>
        </w:rPr>
        <w:t>que</w:t>
      </w:r>
      <w:r>
        <w:rPr>
          <w:spacing w:val="-3"/>
          <w:sz w:val="20"/>
        </w:rPr>
        <w:t xml:space="preserve"> </w:t>
      </w:r>
      <w:r>
        <w:rPr>
          <w:sz w:val="20"/>
        </w:rPr>
        <w:t>estos</w:t>
      </w:r>
      <w:r>
        <w:rPr>
          <w:spacing w:val="-3"/>
          <w:sz w:val="20"/>
        </w:rPr>
        <w:t xml:space="preserve"> </w:t>
      </w:r>
      <w:r>
        <w:rPr>
          <w:sz w:val="20"/>
        </w:rPr>
        <w:t>hayan</w:t>
      </w:r>
      <w:r>
        <w:rPr>
          <w:spacing w:val="-3"/>
          <w:sz w:val="20"/>
        </w:rPr>
        <w:t xml:space="preserve"> </w:t>
      </w:r>
      <w:r>
        <w:rPr>
          <w:sz w:val="20"/>
        </w:rPr>
        <w:t>presentado</w:t>
      </w:r>
      <w:r>
        <w:rPr>
          <w:spacing w:val="-3"/>
          <w:sz w:val="20"/>
        </w:rPr>
        <w:t xml:space="preserve"> </w:t>
      </w:r>
      <w:r>
        <w:rPr>
          <w:sz w:val="20"/>
        </w:rPr>
        <w:t>para</w:t>
      </w:r>
      <w:r>
        <w:rPr>
          <w:spacing w:val="-3"/>
          <w:sz w:val="20"/>
        </w:rPr>
        <w:t xml:space="preserve"> </w:t>
      </w:r>
      <w:r>
        <w:rPr>
          <w:sz w:val="20"/>
        </w:rPr>
        <w:t>mejorar</w:t>
      </w:r>
      <w:r>
        <w:rPr>
          <w:spacing w:val="-3"/>
          <w:sz w:val="20"/>
        </w:rPr>
        <w:t xml:space="preserve"> </w:t>
      </w:r>
      <w:r>
        <w:rPr>
          <w:sz w:val="20"/>
        </w:rPr>
        <w:t>su</w:t>
      </w:r>
      <w:r>
        <w:rPr>
          <w:spacing w:val="-3"/>
          <w:sz w:val="20"/>
        </w:rPr>
        <w:t xml:space="preserve"> </w:t>
      </w:r>
      <w:r>
        <w:rPr>
          <w:sz w:val="20"/>
        </w:rPr>
        <w:t>contenido</w:t>
      </w:r>
      <w:r>
        <w:rPr>
          <w:spacing w:val="-3"/>
          <w:sz w:val="20"/>
        </w:rPr>
        <w:t xml:space="preserve"> </w:t>
      </w:r>
      <w:r>
        <w:rPr>
          <w:sz w:val="20"/>
        </w:rPr>
        <w:t>y</w:t>
      </w:r>
      <w:r>
        <w:rPr>
          <w:spacing w:val="-3"/>
          <w:sz w:val="20"/>
        </w:rPr>
        <w:t xml:space="preserve"> </w:t>
      </w:r>
      <w:r>
        <w:rPr>
          <w:sz w:val="20"/>
        </w:rPr>
        <w:t>para</w:t>
      </w:r>
      <w:r>
        <w:rPr>
          <w:spacing w:val="-3"/>
          <w:sz w:val="20"/>
        </w:rPr>
        <w:t xml:space="preserve"> </w:t>
      </w:r>
      <w:r>
        <w:rPr>
          <w:sz w:val="20"/>
        </w:rPr>
        <w:t>adaptarlas</w:t>
      </w:r>
      <w:r>
        <w:rPr>
          <w:spacing w:val="-3"/>
          <w:sz w:val="20"/>
        </w:rPr>
        <w:t xml:space="preserve"> </w:t>
      </w:r>
      <w:r>
        <w:rPr>
          <w:sz w:val="20"/>
        </w:rPr>
        <w:t>a los requisitos indicados en el pliego de cláusulas administrativas particulares y en el anuncio de licitación, en su caso, y en los posibles documentos complementarios, con el fin de identificar la mejor oferta, de conformidad con lo previsto en el artículo 145.</w:t>
      </w:r>
    </w:p>
    <w:p w:rsidR="0092635B" w:rsidRDefault="00000000">
      <w:pPr>
        <w:pStyle w:val="Textoindependiente"/>
        <w:spacing w:before="6" w:line="249" w:lineRule="auto"/>
        <w:ind w:right="1105"/>
      </w:pPr>
      <w:r>
        <w:t>No se negociarán los requisitos mínimos de la prestación objeto del contrato ni tampoco los criterios de adjudicación.</w:t>
      </w:r>
    </w:p>
    <w:p w:rsidR="0092635B" w:rsidRDefault="00000000">
      <w:pPr>
        <w:pStyle w:val="Prrafodelista"/>
        <w:numPr>
          <w:ilvl w:val="0"/>
          <w:numId w:val="204"/>
        </w:numPr>
        <w:tabs>
          <w:tab w:val="left" w:pos="1719"/>
        </w:tabs>
        <w:spacing w:line="249" w:lineRule="auto"/>
        <w:ind w:right="1104" w:firstLine="340"/>
        <w:jc w:val="both"/>
        <w:rPr>
          <w:sz w:val="20"/>
        </w:rPr>
      </w:pPr>
      <w:r>
        <w:rPr>
          <w:sz w:val="20"/>
        </w:rPr>
        <w:t>En el expediente deberá dejarse constancia de las invitaciones cursadas, de las ofertas recibidas, de las razones para su aceptación o rechazo y de las ventajas obtenidas</w:t>
      </w:r>
      <w:r>
        <w:rPr>
          <w:spacing w:val="40"/>
          <w:sz w:val="20"/>
        </w:rPr>
        <w:t xml:space="preserve"> </w:t>
      </w:r>
      <w:r>
        <w:rPr>
          <w:sz w:val="20"/>
        </w:rPr>
        <w:t>en la negociación.</w:t>
      </w:r>
    </w:p>
    <w:p w:rsidR="0092635B" w:rsidRDefault="00000000">
      <w:pPr>
        <w:pStyle w:val="Prrafodelista"/>
        <w:numPr>
          <w:ilvl w:val="0"/>
          <w:numId w:val="204"/>
        </w:numPr>
        <w:tabs>
          <w:tab w:val="left" w:pos="1670"/>
        </w:tabs>
        <w:spacing w:line="249" w:lineRule="auto"/>
        <w:ind w:right="1104" w:firstLine="340"/>
        <w:jc w:val="both"/>
        <w:rPr>
          <w:sz w:val="20"/>
        </w:rPr>
      </w:pPr>
      <w:r>
        <w:rPr>
          <w:sz w:val="20"/>
        </w:rPr>
        <w:t>En</w:t>
      </w:r>
      <w:r>
        <w:rPr>
          <w:spacing w:val="-1"/>
          <w:sz w:val="20"/>
        </w:rPr>
        <w:t xml:space="preserve"> </w:t>
      </w:r>
      <w:r>
        <w:rPr>
          <w:sz w:val="20"/>
        </w:rPr>
        <w:t>el</w:t>
      </w:r>
      <w:r>
        <w:rPr>
          <w:spacing w:val="-1"/>
          <w:sz w:val="20"/>
        </w:rPr>
        <w:t xml:space="preserve"> </w:t>
      </w:r>
      <w:r>
        <w:rPr>
          <w:sz w:val="20"/>
        </w:rPr>
        <w:t>curso</w:t>
      </w:r>
      <w:r>
        <w:rPr>
          <w:spacing w:val="-1"/>
          <w:sz w:val="20"/>
        </w:rPr>
        <w:t xml:space="preserve"> </w:t>
      </w:r>
      <w:r>
        <w:rPr>
          <w:sz w:val="20"/>
        </w:rPr>
        <w:t>del</w:t>
      </w:r>
      <w:r>
        <w:rPr>
          <w:spacing w:val="-1"/>
          <w:sz w:val="20"/>
        </w:rPr>
        <w:t xml:space="preserve"> </w:t>
      </w:r>
      <w:r>
        <w:rPr>
          <w:sz w:val="20"/>
        </w:rPr>
        <w:t>procedimiento</w:t>
      </w:r>
      <w:r>
        <w:rPr>
          <w:spacing w:val="-1"/>
          <w:sz w:val="20"/>
        </w:rPr>
        <w:t xml:space="preserve"> </w:t>
      </w:r>
      <w:r>
        <w:rPr>
          <w:sz w:val="20"/>
        </w:rPr>
        <w:t>las</w:t>
      </w:r>
      <w:r>
        <w:rPr>
          <w:spacing w:val="-1"/>
          <w:sz w:val="20"/>
        </w:rPr>
        <w:t xml:space="preserve"> </w:t>
      </w:r>
      <w:r>
        <w:rPr>
          <w:sz w:val="20"/>
        </w:rPr>
        <w:t>mesas</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órganos</w:t>
      </w:r>
      <w:r>
        <w:rPr>
          <w:spacing w:val="-1"/>
          <w:sz w:val="20"/>
        </w:rPr>
        <w:t xml:space="preserve"> </w:t>
      </w:r>
      <w:r>
        <w:rPr>
          <w:sz w:val="20"/>
        </w:rPr>
        <w:t>de</w:t>
      </w:r>
      <w:r>
        <w:rPr>
          <w:spacing w:val="-1"/>
          <w:sz w:val="20"/>
        </w:rPr>
        <w:t xml:space="preserve"> </w:t>
      </w:r>
      <w:r>
        <w:rPr>
          <w:sz w:val="20"/>
        </w:rPr>
        <w:t>contratación cumplirán con su obligación de confidencialidad en los términos establecidos en esta Ley,</w:t>
      </w:r>
      <w:r>
        <w:rPr>
          <w:spacing w:val="40"/>
          <w:sz w:val="20"/>
        </w:rPr>
        <w:t xml:space="preserve"> </w:t>
      </w:r>
      <w:r>
        <w:rPr>
          <w:sz w:val="20"/>
        </w:rPr>
        <w:t>por lo que no revelarán a los demás participantes los datos designados como confidenciales que les haya comunicado un candidato o licitador sin el previo consentimiento de este. Este consentimiento no podrá tener carácter general, sino que deberá especificar a qué información se refiere.</w:t>
      </w:r>
    </w:p>
    <w:p w:rsidR="0092635B" w:rsidRDefault="00000000">
      <w:pPr>
        <w:pStyle w:val="Prrafodelista"/>
        <w:numPr>
          <w:ilvl w:val="0"/>
          <w:numId w:val="204"/>
        </w:numPr>
        <w:tabs>
          <w:tab w:val="left" w:pos="1716"/>
        </w:tabs>
        <w:spacing w:before="5" w:line="249" w:lineRule="auto"/>
        <w:ind w:right="1104" w:firstLine="340"/>
        <w:jc w:val="both"/>
        <w:rPr>
          <w:sz w:val="20"/>
        </w:rPr>
      </w:pPr>
      <w:r>
        <w:rPr>
          <w:sz w:val="20"/>
        </w:rPr>
        <w:t>Cuando el órgano de contratación decida concluir las negociaciones, informará a todos los licitadores y establecerá un plazo común para la presentación de ofertas nuevas o revisadas. A continuación, la mesa de contratación verificará que las ofertas definitivas se ajustan a los requisitos mínimos, y que cumplen todos los requisitos establecidos en el pliego; valorará las mismas con arreglo a los criterios de adjudicación; elevará la correspondiente propuesta; y el órgano de contratación procederá a adjudicar el contrato.</w:t>
      </w:r>
    </w:p>
    <w:p w:rsidR="0092635B" w:rsidRDefault="0092635B">
      <w:pPr>
        <w:pStyle w:val="Textoindependiente"/>
        <w:ind w:left="0" w:firstLine="0"/>
        <w:jc w:val="left"/>
      </w:pPr>
    </w:p>
    <w:p w:rsidR="0092635B" w:rsidRDefault="00000000">
      <w:pPr>
        <w:ind w:left="1106"/>
        <w:jc w:val="both"/>
        <w:rPr>
          <w:rFonts w:ascii="Arial" w:hAnsi="Arial"/>
          <w:i/>
          <w:sz w:val="20"/>
        </w:rPr>
      </w:pPr>
      <w:bookmarkStart w:id="267" w:name="Artículo_170._Especialidades_en_la_trami"/>
      <w:bookmarkEnd w:id="267"/>
      <w:r>
        <w:rPr>
          <w:rFonts w:ascii="Arial" w:hAnsi="Arial"/>
          <w:b/>
          <w:sz w:val="20"/>
        </w:rPr>
        <w:t>Artículo</w:t>
      </w:r>
      <w:r>
        <w:rPr>
          <w:rFonts w:ascii="Arial" w:hAnsi="Arial"/>
          <w:b/>
          <w:spacing w:val="-6"/>
          <w:sz w:val="20"/>
        </w:rPr>
        <w:t xml:space="preserve"> </w:t>
      </w:r>
      <w:r>
        <w:rPr>
          <w:rFonts w:ascii="Arial" w:hAnsi="Arial"/>
          <w:b/>
          <w:sz w:val="20"/>
        </w:rPr>
        <w:t>170.</w:t>
      </w:r>
      <w:r>
        <w:rPr>
          <w:rFonts w:ascii="Arial" w:hAnsi="Arial"/>
          <w:b/>
          <w:spacing w:val="48"/>
          <w:sz w:val="20"/>
        </w:rPr>
        <w:t xml:space="preserve"> </w:t>
      </w:r>
      <w:r>
        <w:rPr>
          <w:rFonts w:ascii="Arial" w:hAnsi="Arial"/>
          <w:i/>
          <w:sz w:val="20"/>
        </w:rPr>
        <w:t>Especialidades</w:t>
      </w:r>
      <w:r>
        <w:rPr>
          <w:rFonts w:ascii="Arial" w:hAnsi="Arial"/>
          <w:i/>
          <w:spacing w:val="-4"/>
          <w:sz w:val="20"/>
        </w:rPr>
        <w:t xml:space="preserve"> </w:t>
      </w:r>
      <w:r>
        <w:rPr>
          <w:rFonts w:ascii="Arial" w:hAnsi="Arial"/>
          <w:i/>
          <w:sz w:val="20"/>
        </w:rPr>
        <w:t>en</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tramitación</w:t>
      </w:r>
      <w:r>
        <w:rPr>
          <w:rFonts w:ascii="Arial" w:hAnsi="Arial"/>
          <w:i/>
          <w:spacing w:val="-3"/>
          <w:sz w:val="20"/>
        </w:rPr>
        <w:t xml:space="preserve"> </w:t>
      </w:r>
      <w:r>
        <w:rPr>
          <w:rFonts w:ascii="Arial" w:hAnsi="Arial"/>
          <w:i/>
          <w:sz w:val="20"/>
        </w:rPr>
        <w:t>del</w:t>
      </w:r>
      <w:r>
        <w:rPr>
          <w:rFonts w:ascii="Arial" w:hAnsi="Arial"/>
          <w:i/>
          <w:spacing w:val="-4"/>
          <w:sz w:val="20"/>
        </w:rPr>
        <w:t xml:space="preserve"> </w:t>
      </w:r>
      <w:r>
        <w:rPr>
          <w:rFonts w:ascii="Arial" w:hAnsi="Arial"/>
          <w:i/>
          <w:sz w:val="20"/>
        </w:rPr>
        <w:t>procedimiento</w:t>
      </w:r>
      <w:r>
        <w:rPr>
          <w:rFonts w:ascii="Arial" w:hAnsi="Arial"/>
          <w:i/>
          <w:spacing w:val="-3"/>
          <w:sz w:val="20"/>
        </w:rPr>
        <w:t xml:space="preserve"> </w:t>
      </w:r>
      <w:r>
        <w:rPr>
          <w:rFonts w:ascii="Arial" w:hAnsi="Arial"/>
          <w:i/>
          <w:sz w:val="20"/>
        </w:rPr>
        <w:t>negociado</w:t>
      </w:r>
      <w:r>
        <w:rPr>
          <w:rFonts w:ascii="Arial" w:hAnsi="Arial"/>
          <w:i/>
          <w:spacing w:val="-3"/>
          <w:sz w:val="20"/>
        </w:rPr>
        <w:t xml:space="preserve"> </w:t>
      </w:r>
      <w:r>
        <w:rPr>
          <w:rFonts w:ascii="Arial" w:hAnsi="Arial"/>
          <w:i/>
          <w:sz w:val="20"/>
        </w:rPr>
        <w:t>sin</w:t>
      </w:r>
      <w:r>
        <w:rPr>
          <w:rFonts w:ascii="Arial" w:hAnsi="Arial"/>
          <w:i/>
          <w:spacing w:val="-3"/>
          <w:sz w:val="20"/>
        </w:rPr>
        <w:t xml:space="preserve"> </w:t>
      </w:r>
      <w:r>
        <w:rPr>
          <w:rFonts w:ascii="Arial" w:hAnsi="Arial"/>
          <w:i/>
          <w:spacing w:val="-2"/>
          <w:sz w:val="20"/>
        </w:rPr>
        <w:t>publicidad.</w:t>
      </w:r>
    </w:p>
    <w:p w:rsidR="0092635B" w:rsidRDefault="00000000">
      <w:pPr>
        <w:pStyle w:val="Prrafodelista"/>
        <w:numPr>
          <w:ilvl w:val="0"/>
          <w:numId w:val="203"/>
        </w:numPr>
        <w:tabs>
          <w:tab w:val="left" w:pos="1689"/>
        </w:tabs>
        <w:spacing w:before="123" w:line="249" w:lineRule="auto"/>
        <w:ind w:right="1105" w:firstLine="340"/>
        <w:jc w:val="both"/>
        <w:rPr>
          <w:sz w:val="20"/>
        </w:rPr>
      </w:pPr>
      <w:r>
        <w:rPr>
          <w:sz w:val="20"/>
        </w:rPr>
        <w:t>Los órganos de contratación únicamente harán uso del procedimiento negociado sin publicación previa de un anuncio de licitación cuando se dé alguna de las situaciones que establece el artículo 168 y lo tramitarán con arreglo a las normas que establece el artículo 169, en todo lo que resulten de aplicación según el número de participantes que concurran en cada caso, a excepción de lo relativo a la publicidad previa.</w:t>
      </w:r>
    </w:p>
    <w:p w:rsidR="0092635B" w:rsidRDefault="00000000">
      <w:pPr>
        <w:pStyle w:val="Prrafodelista"/>
        <w:numPr>
          <w:ilvl w:val="0"/>
          <w:numId w:val="203"/>
        </w:numPr>
        <w:tabs>
          <w:tab w:val="left" w:pos="1679"/>
        </w:tabs>
        <w:spacing w:before="4" w:line="249" w:lineRule="auto"/>
        <w:ind w:right="1104" w:firstLine="340"/>
        <w:jc w:val="both"/>
        <w:rPr>
          <w:sz w:val="20"/>
        </w:rPr>
      </w:pPr>
      <w:r>
        <w:rPr>
          <w:sz w:val="20"/>
        </w:rPr>
        <w:t>Cuando únicamente participe un candidato, la mesa de contratación, o en su defecto, el órgano de contratación, siempre y cuando sea posible, deberá negociar con él en los términos que se señalan en el apartado 5 del artículo 169.</w:t>
      </w:r>
    </w:p>
    <w:p w:rsidR="0092635B" w:rsidRDefault="00000000">
      <w:pPr>
        <w:spacing w:before="230"/>
        <w:ind w:left="1106"/>
        <w:jc w:val="both"/>
        <w:rPr>
          <w:rFonts w:ascii="Arial" w:hAnsi="Arial"/>
          <w:i/>
          <w:sz w:val="20"/>
        </w:rPr>
      </w:pPr>
      <w:bookmarkStart w:id="268" w:name="Artículo_171._Información_a_los_licitado"/>
      <w:bookmarkEnd w:id="268"/>
      <w:r>
        <w:rPr>
          <w:rFonts w:ascii="Arial" w:hAnsi="Arial"/>
          <w:b/>
          <w:sz w:val="20"/>
        </w:rPr>
        <w:t>Artículo</w:t>
      </w:r>
      <w:r>
        <w:rPr>
          <w:rFonts w:ascii="Arial" w:hAnsi="Arial"/>
          <w:b/>
          <w:spacing w:val="-2"/>
          <w:sz w:val="20"/>
        </w:rPr>
        <w:t xml:space="preserve"> </w:t>
      </w:r>
      <w:r>
        <w:rPr>
          <w:rFonts w:ascii="Arial" w:hAnsi="Arial"/>
          <w:b/>
          <w:sz w:val="20"/>
        </w:rPr>
        <w:t>171.</w:t>
      </w:r>
      <w:r>
        <w:rPr>
          <w:rFonts w:ascii="Arial" w:hAnsi="Arial"/>
          <w:b/>
          <w:spacing w:val="51"/>
          <w:sz w:val="20"/>
        </w:rPr>
        <w:t xml:space="preserve"> </w:t>
      </w:r>
      <w:r>
        <w:rPr>
          <w:rFonts w:ascii="Arial" w:hAnsi="Arial"/>
          <w:i/>
          <w:sz w:val="20"/>
        </w:rPr>
        <w:t>Información</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licitadores.</w:t>
      </w:r>
    </w:p>
    <w:p w:rsidR="0092635B" w:rsidRDefault="00000000">
      <w:pPr>
        <w:pStyle w:val="Textoindependiente"/>
        <w:spacing w:before="123" w:line="249" w:lineRule="auto"/>
        <w:ind w:right="1103"/>
      </w:pPr>
      <w:r>
        <w:t>A petición del licitador que haya presentado una oferta admisible, la mesa de contratación, o en su defecto, los servicios dependientes del órgano de contratación, comunicará lo antes posible y en todo caso dentro de los quince días siguientes al de recepción de la solicitud por escrito de aquel, el desarrollo de las negociaciones.</w:t>
      </w:r>
    </w:p>
    <w:p w:rsidR="0092635B" w:rsidRDefault="00000000">
      <w:pPr>
        <w:pStyle w:val="Textoindependiente"/>
        <w:spacing w:before="3" w:line="249" w:lineRule="auto"/>
        <w:ind w:right="1105"/>
      </w:pPr>
      <w:r>
        <w:t>No obstante lo anterior, la mesa o en su defecto, el órgano de contratación, podrá no comunicar determinados datos amparándose en la excepción de confidencialidad contenida en el apartado 3 del artículo 155.</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269" w:name="Subsección_5.ª_Diálogo_competitivo"/>
      <w:bookmarkStart w:id="270" w:name="_bookmark50"/>
      <w:bookmarkEnd w:id="269"/>
      <w:bookmarkEnd w:id="270"/>
      <w:r>
        <w:t>Subsección</w:t>
      </w:r>
      <w:r>
        <w:rPr>
          <w:spacing w:val="-6"/>
        </w:rPr>
        <w:t xml:space="preserve"> </w:t>
      </w:r>
      <w:r>
        <w:t>5.ª</w:t>
      </w:r>
      <w:r>
        <w:rPr>
          <w:spacing w:val="-6"/>
        </w:rPr>
        <w:t xml:space="preserve"> </w:t>
      </w:r>
      <w:r>
        <w:t>Diálogo</w:t>
      </w:r>
      <w:r>
        <w:rPr>
          <w:spacing w:val="-5"/>
        </w:rPr>
        <w:t xml:space="preserve"> </w:t>
      </w:r>
      <w:r>
        <w:rPr>
          <w:spacing w:val="-2"/>
        </w:rPr>
        <w:t>competitivo</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271" w:name="Artículo_172._Caracterización."/>
      <w:bookmarkEnd w:id="271"/>
      <w:r>
        <w:rPr>
          <w:rFonts w:ascii="Arial" w:hAnsi="Arial"/>
          <w:b/>
          <w:sz w:val="20"/>
        </w:rPr>
        <w:t>Artículo 172.</w:t>
      </w:r>
      <w:r>
        <w:rPr>
          <w:rFonts w:ascii="Arial" w:hAnsi="Arial"/>
          <w:b/>
          <w:spacing w:val="54"/>
          <w:sz w:val="20"/>
        </w:rPr>
        <w:t xml:space="preserve"> </w:t>
      </w:r>
      <w:r>
        <w:rPr>
          <w:rFonts w:ascii="Arial" w:hAnsi="Arial"/>
          <w:i/>
          <w:spacing w:val="-2"/>
          <w:sz w:val="20"/>
        </w:rPr>
        <w:t>Caracterización.</w:t>
      </w:r>
    </w:p>
    <w:p w:rsidR="0092635B" w:rsidRDefault="00000000">
      <w:pPr>
        <w:pStyle w:val="Prrafodelista"/>
        <w:numPr>
          <w:ilvl w:val="0"/>
          <w:numId w:val="202"/>
        </w:numPr>
        <w:tabs>
          <w:tab w:val="left" w:pos="1692"/>
        </w:tabs>
        <w:spacing w:before="124" w:line="249" w:lineRule="auto"/>
        <w:ind w:right="1102" w:firstLine="340"/>
        <w:jc w:val="both"/>
        <w:rPr>
          <w:sz w:val="20"/>
        </w:rPr>
      </w:pPr>
      <w:r>
        <w:rPr>
          <w:sz w:val="20"/>
        </w:rPr>
        <w:t>En el diálogo competitivo, la mesa especial de diálogo competitivo dirige un diálogo con los candidatos seleccionados, previa solicitud de los mismos, a fin de desarrollar una o varias soluciones susceptibles de satisfacer sus necesidades y que servirán de base para que los candidatos elegidos presenten una oferta.</w:t>
      </w:r>
    </w:p>
    <w:p w:rsidR="0092635B" w:rsidRDefault="00000000">
      <w:pPr>
        <w:pStyle w:val="Prrafodelista"/>
        <w:numPr>
          <w:ilvl w:val="0"/>
          <w:numId w:val="202"/>
        </w:numPr>
        <w:tabs>
          <w:tab w:val="left" w:pos="1734"/>
        </w:tabs>
        <w:spacing w:before="3" w:line="249" w:lineRule="auto"/>
        <w:ind w:right="1105" w:firstLine="340"/>
        <w:jc w:val="both"/>
        <w:rPr>
          <w:sz w:val="20"/>
        </w:rPr>
      </w:pPr>
      <w:r>
        <w:rPr>
          <w:sz w:val="20"/>
        </w:rPr>
        <w:t>Cualquier empresa interesada podrá presentar una solicitud de participación en respuesta a un anuncio de licitación, proporcionando la información y documentación para la selección cualitativa que haya solicitado el órgano de contratación.</w:t>
      </w:r>
    </w:p>
    <w:p w:rsidR="0092635B" w:rsidRDefault="00000000">
      <w:pPr>
        <w:pStyle w:val="Prrafodelista"/>
        <w:numPr>
          <w:ilvl w:val="0"/>
          <w:numId w:val="202"/>
        </w:numPr>
        <w:tabs>
          <w:tab w:val="left" w:pos="1680"/>
        </w:tabs>
        <w:spacing w:before="3" w:line="249" w:lineRule="auto"/>
        <w:ind w:right="1106" w:firstLine="340"/>
        <w:jc w:val="both"/>
        <w:rPr>
          <w:sz w:val="20"/>
        </w:rPr>
      </w:pPr>
      <w:r>
        <w:rPr>
          <w:sz w:val="20"/>
        </w:rPr>
        <w:t>El procedimiento de diálogo competitivo podrá utilizarse en los casos enumerados en el artículo 167 y deberá verse precedido de la publicación de un anuncio de licitación.</w:t>
      </w:r>
    </w:p>
    <w:p w:rsidR="0092635B" w:rsidRDefault="00000000">
      <w:pPr>
        <w:pStyle w:val="Prrafodelista"/>
        <w:numPr>
          <w:ilvl w:val="0"/>
          <w:numId w:val="202"/>
        </w:numPr>
        <w:tabs>
          <w:tab w:val="left" w:pos="1679"/>
        </w:tabs>
        <w:spacing w:before="1" w:line="249" w:lineRule="auto"/>
        <w:ind w:right="1104" w:firstLine="340"/>
        <w:jc w:val="both"/>
        <w:rPr>
          <w:sz w:val="20"/>
        </w:rPr>
      </w:pPr>
      <w:r>
        <w:rPr>
          <w:sz w:val="20"/>
        </w:rPr>
        <w:t>El órgano de contratación podrá acordar en el documento descriptivo la aplicación de lo dispuesto en los apartados 4 y 5 del artículo 234 a los contratos que se adjudiquen mediante dialogo competitivo.</w:t>
      </w:r>
    </w:p>
    <w:p w:rsidR="0092635B" w:rsidRDefault="00000000">
      <w:pPr>
        <w:spacing w:before="229"/>
        <w:ind w:left="1106"/>
        <w:rPr>
          <w:rFonts w:ascii="Arial" w:hAnsi="Arial"/>
          <w:i/>
          <w:sz w:val="20"/>
        </w:rPr>
      </w:pPr>
      <w:bookmarkStart w:id="272" w:name="Artículo_173._Primas_o_compensaciones."/>
      <w:bookmarkEnd w:id="272"/>
      <w:r>
        <w:rPr>
          <w:rFonts w:ascii="Arial" w:hAnsi="Arial"/>
          <w:b/>
          <w:sz w:val="20"/>
        </w:rPr>
        <w:t>Artículo 173.</w:t>
      </w:r>
      <w:r>
        <w:rPr>
          <w:rFonts w:ascii="Arial" w:hAnsi="Arial"/>
          <w:b/>
          <w:spacing w:val="54"/>
          <w:sz w:val="20"/>
        </w:rPr>
        <w:t xml:space="preserve"> </w:t>
      </w:r>
      <w:r>
        <w:rPr>
          <w:rFonts w:ascii="Arial" w:hAnsi="Arial"/>
          <w:i/>
          <w:sz w:val="20"/>
        </w:rPr>
        <w:t xml:space="preserve">Primas o </w:t>
      </w:r>
      <w:r>
        <w:rPr>
          <w:rFonts w:ascii="Arial" w:hAnsi="Arial"/>
          <w:i/>
          <w:spacing w:val="-2"/>
          <w:sz w:val="20"/>
        </w:rPr>
        <w:t>compensaciones.</w:t>
      </w:r>
    </w:p>
    <w:p w:rsidR="0092635B" w:rsidRDefault="00000000">
      <w:pPr>
        <w:pStyle w:val="Prrafodelista"/>
        <w:numPr>
          <w:ilvl w:val="0"/>
          <w:numId w:val="201"/>
        </w:numPr>
        <w:tabs>
          <w:tab w:val="left" w:pos="1686"/>
        </w:tabs>
        <w:spacing w:before="124" w:line="249" w:lineRule="auto"/>
        <w:ind w:firstLine="340"/>
        <w:jc w:val="both"/>
        <w:rPr>
          <w:sz w:val="20"/>
        </w:rPr>
      </w:pPr>
      <w:r>
        <w:rPr>
          <w:sz w:val="20"/>
        </w:rPr>
        <w:t>Con el objetivo de fomentar la participación de las empresas que puedan ofrecer las soluciones más apropiadas e innovadoras, los órganos de contratación podrán establecer en el documento descriptivo primas o compensaciones para todos o algunos de los</w:t>
      </w:r>
      <w:r>
        <w:rPr>
          <w:spacing w:val="40"/>
          <w:sz w:val="20"/>
        </w:rPr>
        <w:t xml:space="preserve"> </w:t>
      </w:r>
      <w:r>
        <w:rPr>
          <w:sz w:val="20"/>
        </w:rPr>
        <w:t>participantes en el diálogo.</w:t>
      </w:r>
    </w:p>
    <w:p w:rsidR="0092635B" w:rsidRDefault="00000000">
      <w:pPr>
        <w:pStyle w:val="Textoindependiente"/>
        <w:spacing w:before="3" w:line="249" w:lineRule="auto"/>
        <w:ind w:right="1104"/>
      </w:pPr>
      <w:r>
        <w:t>En el supuesto de que no se reconozcan primas o compensaciones para todos los participantes,</w:t>
      </w:r>
      <w:r>
        <w:rPr>
          <w:spacing w:val="-1"/>
        </w:rPr>
        <w:t xml:space="preserve"> </w:t>
      </w:r>
      <w:r>
        <w:t>estas</w:t>
      </w:r>
      <w:r>
        <w:rPr>
          <w:spacing w:val="-1"/>
        </w:rPr>
        <w:t xml:space="preserve"> </w:t>
      </w:r>
      <w:r>
        <w:t>se</w:t>
      </w:r>
      <w:r>
        <w:rPr>
          <w:spacing w:val="-1"/>
        </w:rPr>
        <w:t xml:space="preserve"> </w:t>
      </w:r>
      <w:r>
        <w:t>reconocerán</w:t>
      </w:r>
      <w:r>
        <w:rPr>
          <w:spacing w:val="-1"/>
        </w:rPr>
        <w:t xml:space="preserve"> </w:t>
      </w:r>
      <w:r>
        <w:t>a</w:t>
      </w:r>
      <w:r>
        <w:rPr>
          <w:spacing w:val="-1"/>
        </w:rPr>
        <w:t xml:space="preserve"> </w:t>
      </w:r>
      <w:r>
        <w:t>los</w:t>
      </w:r>
      <w:r>
        <w:rPr>
          <w:spacing w:val="-1"/>
        </w:rPr>
        <w:t xml:space="preserve"> </w:t>
      </w:r>
      <w:r>
        <w:t>que</w:t>
      </w:r>
      <w:r>
        <w:rPr>
          <w:spacing w:val="-1"/>
        </w:rPr>
        <w:t xml:space="preserve"> </w:t>
      </w:r>
      <w:r>
        <w:t>obtuvieron</w:t>
      </w:r>
      <w:r>
        <w:rPr>
          <w:spacing w:val="-1"/>
        </w:rPr>
        <w:t xml:space="preserve"> </w:t>
      </w:r>
      <w:r>
        <w:t>los</w:t>
      </w:r>
      <w:r>
        <w:rPr>
          <w:spacing w:val="-1"/>
        </w:rPr>
        <w:t xml:space="preserve"> </w:t>
      </w:r>
      <w:r>
        <w:t>primeros</w:t>
      </w:r>
      <w:r>
        <w:rPr>
          <w:spacing w:val="-1"/>
        </w:rPr>
        <w:t xml:space="preserve"> </w:t>
      </w:r>
      <w:r>
        <w:t>puestos</w:t>
      </w:r>
      <w:r>
        <w:rPr>
          <w:spacing w:val="-1"/>
        </w:rPr>
        <w:t xml:space="preserve"> </w:t>
      </w:r>
      <w:r>
        <w:t>en</w:t>
      </w:r>
      <w:r>
        <w:rPr>
          <w:spacing w:val="-1"/>
        </w:rPr>
        <w:t xml:space="preserve"> </w:t>
      </w:r>
      <w:r>
        <w:t>el</w:t>
      </w:r>
      <w:r>
        <w:rPr>
          <w:spacing w:val="-1"/>
        </w:rPr>
        <w:t xml:space="preserve"> </w:t>
      </w:r>
      <w:r>
        <w:t>orden</w:t>
      </w:r>
      <w:r>
        <w:rPr>
          <w:spacing w:val="-1"/>
        </w:rPr>
        <w:t xml:space="preserve"> </w:t>
      </w:r>
      <w:r>
        <w:t>de clasificación de las ofertas. Las cantidades que se fijen deberán ser suficientes para el cumplimiento del objetivo mencionado en el párrafo anterior.</w:t>
      </w:r>
    </w:p>
    <w:p w:rsidR="0092635B" w:rsidRDefault="00000000">
      <w:pPr>
        <w:pStyle w:val="Prrafodelista"/>
        <w:numPr>
          <w:ilvl w:val="0"/>
          <w:numId w:val="201"/>
        </w:numPr>
        <w:tabs>
          <w:tab w:val="left" w:pos="1704"/>
        </w:tabs>
        <w:spacing w:before="3" w:line="249" w:lineRule="auto"/>
        <w:ind w:right="1104" w:firstLine="340"/>
        <w:jc w:val="both"/>
        <w:rPr>
          <w:sz w:val="20"/>
        </w:rPr>
      </w:pPr>
      <w:r>
        <w:rPr>
          <w:sz w:val="20"/>
        </w:rPr>
        <w:t>En el caso en que se reconozcan primas o compensaciones, en el expediente de contratación se deberá acreditar la cobertura financiera necesaria para hacer frente al pago derivado de las mismas.</w:t>
      </w:r>
    </w:p>
    <w:p w:rsidR="0092635B" w:rsidRDefault="00000000">
      <w:pPr>
        <w:pStyle w:val="Prrafodelista"/>
        <w:numPr>
          <w:ilvl w:val="0"/>
          <w:numId w:val="201"/>
        </w:numPr>
        <w:tabs>
          <w:tab w:val="left" w:pos="1682"/>
        </w:tabs>
        <w:spacing w:before="3" w:line="249" w:lineRule="auto"/>
        <w:ind w:firstLine="340"/>
        <w:jc w:val="both"/>
        <w:rPr>
          <w:sz w:val="20"/>
        </w:rPr>
      </w:pPr>
      <w:r>
        <w:rPr>
          <w:sz w:val="20"/>
        </w:rPr>
        <w:t xml:space="preserve">El pago de las cantidades a las que se refiere el primer apartado de este artículo, se efectuará de conformidad con lo establecido en el artículo 198, contándose los plazos previstos en él a partir del día siguiente a aquel en que se produjo la formalización del </w:t>
      </w:r>
      <w:r>
        <w:rPr>
          <w:spacing w:val="-2"/>
          <w:sz w:val="20"/>
        </w:rPr>
        <w:t>contrato.</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273" w:name="Artículo_174._Apertura_del_procedimiento"/>
      <w:bookmarkEnd w:id="273"/>
      <w:r>
        <w:rPr>
          <w:rFonts w:ascii="Arial" w:hAnsi="Arial"/>
          <w:b/>
          <w:sz w:val="20"/>
        </w:rPr>
        <w:t>Artículo</w:t>
      </w:r>
      <w:r>
        <w:rPr>
          <w:rFonts w:ascii="Arial" w:hAnsi="Arial"/>
          <w:b/>
          <w:spacing w:val="-3"/>
          <w:sz w:val="20"/>
        </w:rPr>
        <w:t xml:space="preserve"> </w:t>
      </w:r>
      <w:r>
        <w:rPr>
          <w:rFonts w:ascii="Arial" w:hAnsi="Arial"/>
          <w:b/>
          <w:sz w:val="20"/>
        </w:rPr>
        <w:t>174.</w:t>
      </w:r>
      <w:r>
        <w:rPr>
          <w:rFonts w:ascii="Arial" w:hAnsi="Arial"/>
          <w:b/>
          <w:spacing w:val="49"/>
          <w:sz w:val="20"/>
        </w:rPr>
        <w:t xml:space="preserve"> </w:t>
      </w:r>
      <w:r>
        <w:rPr>
          <w:rFonts w:ascii="Arial" w:hAnsi="Arial"/>
          <w:i/>
          <w:sz w:val="20"/>
        </w:rPr>
        <w:t>Apertura</w:t>
      </w:r>
      <w:r>
        <w:rPr>
          <w:rFonts w:ascii="Arial" w:hAnsi="Arial"/>
          <w:i/>
          <w:spacing w:val="-2"/>
          <w:sz w:val="20"/>
        </w:rPr>
        <w:t xml:space="preserve"> </w:t>
      </w:r>
      <w:r>
        <w:rPr>
          <w:rFonts w:ascii="Arial" w:hAnsi="Arial"/>
          <w:i/>
          <w:sz w:val="20"/>
        </w:rPr>
        <w:t>del</w:t>
      </w:r>
      <w:r>
        <w:rPr>
          <w:rFonts w:ascii="Arial" w:hAnsi="Arial"/>
          <w:i/>
          <w:spacing w:val="-3"/>
          <w:sz w:val="20"/>
        </w:rPr>
        <w:t xml:space="preserve"> </w:t>
      </w:r>
      <w:r>
        <w:rPr>
          <w:rFonts w:ascii="Arial" w:hAnsi="Arial"/>
          <w:i/>
          <w:sz w:val="20"/>
        </w:rPr>
        <w:t>procedimiento</w:t>
      </w:r>
      <w:r>
        <w:rPr>
          <w:rFonts w:ascii="Arial" w:hAnsi="Arial"/>
          <w:i/>
          <w:spacing w:val="-2"/>
          <w:sz w:val="20"/>
        </w:rPr>
        <w:t xml:space="preserve"> </w:t>
      </w:r>
      <w:r>
        <w:rPr>
          <w:rFonts w:ascii="Arial" w:hAnsi="Arial"/>
          <w:i/>
          <w:sz w:val="20"/>
        </w:rPr>
        <w:t>y</w:t>
      </w:r>
      <w:r>
        <w:rPr>
          <w:rFonts w:ascii="Arial" w:hAnsi="Arial"/>
          <w:i/>
          <w:spacing w:val="-3"/>
          <w:sz w:val="20"/>
        </w:rPr>
        <w:t xml:space="preserve"> </w:t>
      </w:r>
      <w:r>
        <w:rPr>
          <w:rFonts w:ascii="Arial" w:hAnsi="Arial"/>
          <w:i/>
          <w:sz w:val="20"/>
        </w:rPr>
        <w:t>solicitudes</w:t>
      </w:r>
      <w:r>
        <w:rPr>
          <w:rFonts w:ascii="Arial" w:hAnsi="Arial"/>
          <w:i/>
          <w:spacing w:val="-2"/>
          <w:sz w:val="20"/>
        </w:rPr>
        <w:t xml:space="preserve"> </w:t>
      </w:r>
      <w:r>
        <w:rPr>
          <w:rFonts w:ascii="Arial" w:hAnsi="Arial"/>
          <w:i/>
          <w:sz w:val="20"/>
        </w:rPr>
        <w:t>de</w:t>
      </w:r>
      <w:r>
        <w:rPr>
          <w:rFonts w:ascii="Arial" w:hAnsi="Arial"/>
          <w:i/>
          <w:spacing w:val="-2"/>
          <w:sz w:val="20"/>
        </w:rPr>
        <w:t xml:space="preserve"> participación.</w:t>
      </w:r>
    </w:p>
    <w:p w:rsidR="0092635B" w:rsidRDefault="00000000">
      <w:pPr>
        <w:pStyle w:val="Prrafodelista"/>
        <w:numPr>
          <w:ilvl w:val="0"/>
          <w:numId w:val="200"/>
        </w:numPr>
        <w:tabs>
          <w:tab w:val="left" w:pos="1712"/>
        </w:tabs>
        <w:spacing w:before="123" w:line="249" w:lineRule="auto"/>
        <w:ind w:firstLine="340"/>
        <w:jc w:val="both"/>
        <w:rPr>
          <w:sz w:val="20"/>
        </w:rPr>
      </w:pPr>
      <w:r>
        <w:rPr>
          <w:sz w:val="20"/>
        </w:rPr>
        <w:t>Los órganos de contratación darán a conocer sus necesidades y requisitos en el anuncio de licitación y los definirán en dicho anuncio o en un documento descriptivo, que no podrá ser modificado posteriormente. Al mismo tiempo y en los mismos documentos, los órganos de contratación también darán a conocer y definirán los criterios de adjudicación elegidos y darán un plazo de ejecución aproximado.</w:t>
      </w:r>
    </w:p>
    <w:p w:rsidR="0092635B" w:rsidRDefault="00000000">
      <w:pPr>
        <w:pStyle w:val="Prrafodelista"/>
        <w:numPr>
          <w:ilvl w:val="0"/>
          <w:numId w:val="200"/>
        </w:numPr>
        <w:tabs>
          <w:tab w:val="left" w:pos="1693"/>
        </w:tabs>
        <w:spacing w:before="4" w:line="249" w:lineRule="auto"/>
        <w:ind w:firstLine="340"/>
        <w:jc w:val="both"/>
        <w:rPr>
          <w:sz w:val="20"/>
        </w:rPr>
      </w:pPr>
      <w:r>
        <w:rPr>
          <w:sz w:val="20"/>
        </w:rPr>
        <w:t>Serán de aplicación en este procedimiento las normas del procedimiento restringido contenidas en el primer párrafo del apartado 2 del artículo 160; en el artículo 161, excepto el segundo párrafo de su apartado primero; y en los apartados 1, 2, 3 y lo relativo a selección de los solicitantes del apartado 4, todos ellos del artículo 162. No obstante, en caso de que se decida limitar el número de empresas a las que se invitará a dialogar, el órgano de contratación en todo caso deberá asegurase de que el número mínimo de candidatos capacitados para ejecutar el objeto del contrato será de tres.</w:t>
      </w:r>
    </w:p>
    <w:p w:rsidR="0092635B" w:rsidRDefault="00000000">
      <w:pPr>
        <w:pStyle w:val="Prrafodelista"/>
        <w:numPr>
          <w:ilvl w:val="0"/>
          <w:numId w:val="200"/>
        </w:numPr>
        <w:tabs>
          <w:tab w:val="left" w:pos="1683"/>
        </w:tabs>
        <w:spacing w:before="6" w:line="249" w:lineRule="auto"/>
        <w:ind w:firstLine="340"/>
        <w:jc w:val="both"/>
        <w:rPr>
          <w:sz w:val="20"/>
        </w:rPr>
      </w:pPr>
      <w:r>
        <w:rPr>
          <w:sz w:val="20"/>
        </w:rPr>
        <w:t>Las invitaciones a tomar parte en el diálogo contendrán una referencia al anuncio de licitación publicado e indicarán la fecha y el lugar de inicio de la fase de consulta, la lengua o lenguas</w:t>
      </w:r>
      <w:r>
        <w:rPr>
          <w:spacing w:val="-1"/>
          <w:sz w:val="20"/>
        </w:rPr>
        <w:t xml:space="preserve"> </w:t>
      </w:r>
      <w:r>
        <w:rPr>
          <w:sz w:val="20"/>
        </w:rPr>
        <w:t>que</w:t>
      </w:r>
      <w:r>
        <w:rPr>
          <w:spacing w:val="-1"/>
          <w:sz w:val="20"/>
        </w:rPr>
        <w:t xml:space="preserve"> </w:t>
      </w:r>
      <w:r>
        <w:rPr>
          <w:sz w:val="20"/>
        </w:rPr>
        <w:t>vayan</w:t>
      </w:r>
      <w:r>
        <w:rPr>
          <w:spacing w:val="-1"/>
          <w:sz w:val="20"/>
        </w:rPr>
        <w:t xml:space="preserve"> </w:t>
      </w:r>
      <w:r>
        <w:rPr>
          <w:sz w:val="20"/>
        </w:rPr>
        <w:t>a</w:t>
      </w:r>
      <w:r>
        <w:rPr>
          <w:spacing w:val="-1"/>
          <w:sz w:val="20"/>
        </w:rPr>
        <w:t xml:space="preserve"> </w:t>
      </w:r>
      <w:r>
        <w:rPr>
          <w:sz w:val="20"/>
        </w:rPr>
        <w:t>utilizarse,</w:t>
      </w:r>
      <w:r>
        <w:rPr>
          <w:spacing w:val="-1"/>
          <w:sz w:val="20"/>
        </w:rPr>
        <w:t xml:space="preserve"> </w:t>
      </w:r>
      <w:r>
        <w:rPr>
          <w:sz w:val="20"/>
        </w:rPr>
        <w:t>los</w:t>
      </w:r>
      <w:r>
        <w:rPr>
          <w:spacing w:val="-1"/>
          <w:sz w:val="20"/>
        </w:rPr>
        <w:t xml:space="preserve"> </w:t>
      </w:r>
      <w:r>
        <w:rPr>
          <w:sz w:val="20"/>
        </w:rPr>
        <w:t>documentos</w:t>
      </w:r>
      <w:r>
        <w:rPr>
          <w:spacing w:val="-1"/>
          <w:sz w:val="20"/>
        </w:rPr>
        <w:t xml:space="preserve"> </w:t>
      </w:r>
      <w:r>
        <w:rPr>
          <w:sz w:val="20"/>
        </w:rPr>
        <w:t>relativos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condiciones</w:t>
      </w:r>
      <w:r>
        <w:rPr>
          <w:spacing w:val="-1"/>
          <w:sz w:val="20"/>
        </w:rPr>
        <w:t xml:space="preserve"> </w:t>
      </w:r>
      <w:r>
        <w:rPr>
          <w:sz w:val="20"/>
        </w:rPr>
        <w:t>de</w:t>
      </w:r>
      <w:r>
        <w:rPr>
          <w:spacing w:val="-1"/>
          <w:sz w:val="20"/>
        </w:rPr>
        <w:t xml:space="preserve"> </w:t>
      </w:r>
      <w:r>
        <w:rPr>
          <w:sz w:val="20"/>
        </w:rPr>
        <w:t>aptitud</w:t>
      </w:r>
      <w:r>
        <w:rPr>
          <w:spacing w:val="-1"/>
          <w:sz w:val="20"/>
        </w:rPr>
        <w:t xml:space="preserve"> </w:t>
      </w:r>
      <w:r>
        <w:rPr>
          <w:sz w:val="20"/>
        </w:rPr>
        <w:t>que,</w:t>
      </w:r>
      <w:r>
        <w:rPr>
          <w:spacing w:val="-1"/>
          <w:sz w:val="20"/>
        </w:rPr>
        <w:t xml:space="preserve"> </w:t>
      </w:r>
      <w:r>
        <w:rPr>
          <w:sz w:val="20"/>
        </w:rPr>
        <w:t>en su caso, se deban adjuntar, y la ponderación relativa de los criterios de adjudicación del contrato o, en su caso, el orden decreciente de importancia de dichos criterios.</w:t>
      </w:r>
    </w:p>
    <w:p w:rsidR="0092635B" w:rsidRDefault="00000000">
      <w:pPr>
        <w:pStyle w:val="Textoindependiente"/>
        <w:spacing w:before="4" w:line="249" w:lineRule="auto"/>
        <w:ind w:right="1104"/>
      </w:pPr>
      <w:r>
        <w:t xml:space="preserve">La invitación a los candidatos contendrá las indicaciones pertinentes para permitir el acceso por medios electrónicos al documento descriptivo y demás documentación </w:t>
      </w:r>
      <w:r>
        <w:rPr>
          <w:spacing w:val="-2"/>
        </w:rPr>
        <w:t>complementaria.</w:t>
      </w:r>
    </w:p>
    <w:p w:rsidR="0092635B" w:rsidRDefault="00000000">
      <w:pPr>
        <w:pStyle w:val="Textoindependiente"/>
        <w:spacing w:before="3" w:line="249" w:lineRule="auto"/>
        <w:ind w:right="1104"/>
      </w:pPr>
      <w:r>
        <w:t>Cuando, con arreglo a lo dispuesto en el apartado 2 del artículo 138, estuviera permitido dar acceso por medios no electrónicos al documento descriptivo y demás documentación complementaria, la invitación indicará esta circunstancia y la forma en que la documentación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será puesta a disposición de los candidatos. En este caso, si además la citada documentación obrase en poder de una entidad u órgano distinto del que tramita el procedimiento, la invitación precisará también la forma en que puede solicitarse dicha documentación</w:t>
      </w:r>
      <w:r>
        <w:rPr>
          <w:spacing w:val="-2"/>
        </w:rPr>
        <w:t xml:space="preserve"> </w:t>
      </w:r>
      <w:r>
        <w:t>y,</w:t>
      </w:r>
      <w:r>
        <w:rPr>
          <w:spacing w:val="-2"/>
        </w:rPr>
        <w:t xml:space="preserve"> </w:t>
      </w:r>
      <w:r>
        <w:t>en</w:t>
      </w:r>
      <w:r>
        <w:rPr>
          <w:spacing w:val="-2"/>
        </w:rPr>
        <w:t xml:space="preserve"> </w:t>
      </w:r>
      <w:r>
        <w:t>su</w:t>
      </w:r>
      <w:r>
        <w:rPr>
          <w:spacing w:val="-2"/>
        </w:rPr>
        <w:t xml:space="preserve"> </w:t>
      </w:r>
      <w:r>
        <w:t>caso,</w:t>
      </w:r>
      <w:r>
        <w:rPr>
          <w:spacing w:val="-2"/>
        </w:rPr>
        <w:t xml:space="preserve"> </w:t>
      </w:r>
      <w:r>
        <w:t>la</w:t>
      </w:r>
      <w:r>
        <w:rPr>
          <w:spacing w:val="-2"/>
        </w:rPr>
        <w:t xml:space="preserve"> </w:t>
      </w:r>
      <w:r>
        <w:t>fecha</w:t>
      </w:r>
      <w:r>
        <w:rPr>
          <w:spacing w:val="-2"/>
        </w:rPr>
        <w:t xml:space="preserve"> </w:t>
      </w:r>
      <w:r>
        <w:t>límite</w:t>
      </w:r>
      <w:r>
        <w:rPr>
          <w:spacing w:val="-2"/>
        </w:rPr>
        <w:t xml:space="preserve"> </w:t>
      </w:r>
      <w:r>
        <w:t>para</w:t>
      </w:r>
      <w:r>
        <w:rPr>
          <w:spacing w:val="-2"/>
        </w:rPr>
        <w:t xml:space="preserve"> </w:t>
      </w:r>
      <w:r>
        <w:t>ello,</w:t>
      </w:r>
      <w:r>
        <w:rPr>
          <w:spacing w:val="-2"/>
        </w:rPr>
        <w:t xml:space="preserve"> </w:t>
      </w:r>
      <w:r>
        <w:t>así</w:t>
      </w:r>
      <w:r>
        <w:rPr>
          <w:spacing w:val="-2"/>
        </w:rPr>
        <w:t xml:space="preserve"> </w:t>
      </w:r>
      <w:r>
        <w:t>como</w:t>
      </w:r>
      <w:r>
        <w:rPr>
          <w:spacing w:val="-2"/>
        </w:rPr>
        <w:t xml:space="preserve"> </w:t>
      </w:r>
      <w:r>
        <w:t>el</w:t>
      </w:r>
      <w:r>
        <w:rPr>
          <w:spacing w:val="-2"/>
        </w:rPr>
        <w:t xml:space="preserve"> </w:t>
      </w:r>
      <w:r>
        <w:t>importe</w:t>
      </w:r>
      <w:r>
        <w:rPr>
          <w:spacing w:val="-2"/>
        </w:rPr>
        <w:t xml:space="preserve"> </w:t>
      </w:r>
      <w:r>
        <w:t>y</w:t>
      </w:r>
      <w:r>
        <w:rPr>
          <w:spacing w:val="-2"/>
        </w:rPr>
        <w:t xml:space="preserve"> </w:t>
      </w:r>
      <w:r>
        <w:t>las</w:t>
      </w:r>
      <w:r>
        <w:rPr>
          <w:spacing w:val="-2"/>
        </w:rPr>
        <w:t xml:space="preserve"> </w:t>
      </w:r>
      <w:r>
        <w:t>modalidades de pago de la cantidad que, en su caso, haya de abonarse; los servicios competentes remitirán dicha documentación sin demora a los interesados tras la recepción de su solicitud.</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274" w:name="Artículo_175._Diálogo_con_los_candidatos"/>
      <w:bookmarkEnd w:id="274"/>
      <w:r>
        <w:rPr>
          <w:rFonts w:ascii="Arial" w:hAnsi="Arial"/>
          <w:b/>
          <w:sz w:val="20"/>
        </w:rPr>
        <w:t>Artículo</w:t>
      </w:r>
      <w:r>
        <w:rPr>
          <w:rFonts w:ascii="Arial" w:hAnsi="Arial"/>
          <w:b/>
          <w:spacing w:val="-2"/>
          <w:sz w:val="20"/>
        </w:rPr>
        <w:t xml:space="preserve"> </w:t>
      </w:r>
      <w:r>
        <w:rPr>
          <w:rFonts w:ascii="Arial" w:hAnsi="Arial"/>
          <w:b/>
          <w:sz w:val="20"/>
        </w:rPr>
        <w:t>175.</w:t>
      </w:r>
      <w:r>
        <w:rPr>
          <w:rFonts w:ascii="Arial" w:hAnsi="Arial"/>
          <w:b/>
          <w:spacing w:val="52"/>
          <w:sz w:val="20"/>
        </w:rPr>
        <w:t xml:space="preserve"> </w:t>
      </w:r>
      <w:r>
        <w:rPr>
          <w:rFonts w:ascii="Arial" w:hAnsi="Arial"/>
          <w:i/>
          <w:sz w:val="20"/>
        </w:rPr>
        <w:t>Diálogo</w:t>
      </w:r>
      <w:r>
        <w:rPr>
          <w:rFonts w:ascii="Arial" w:hAnsi="Arial"/>
          <w:i/>
          <w:spacing w:val="-2"/>
          <w:sz w:val="20"/>
        </w:rPr>
        <w:t xml:space="preserve"> </w:t>
      </w:r>
      <w:r>
        <w:rPr>
          <w:rFonts w:ascii="Arial" w:hAnsi="Arial"/>
          <w:i/>
          <w:sz w:val="20"/>
        </w:rPr>
        <w:t>con</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candidatos.</w:t>
      </w:r>
    </w:p>
    <w:p w:rsidR="0092635B" w:rsidRDefault="00000000">
      <w:pPr>
        <w:pStyle w:val="Prrafodelista"/>
        <w:numPr>
          <w:ilvl w:val="0"/>
          <w:numId w:val="199"/>
        </w:numPr>
        <w:tabs>
          <w:tab w:val="left" w:pos="1792"/>
        </w:tabs>
        <w:spacing w:before="124" w:line="249" w:lineRule="auto"/>
        <w:ind w:firstLine="340"/>
        <w:jc w:val="both"/>
        <w:rPr>
          <w:sz w:val="20"/>
        </w:rPr>
      </w:pPr>
      <w:r>
        <w:rPr>
          <w:sz w:val="20"/>
        </w:rPr>
        <w:t>La mesa especial del diálogo competitivo desarrollará con los candidatos seleccionados un diálogo cuyo fin será determinar y definir los medios adecuados para satisfacer sus necesidades. En el transcurso de este diálogo, podrán debatirse todos los aspectos del contrato con los candidatos seleccionados.</w:t>
      </w:r>
    </w:p>
    <w:p w:rsidR="0092635B" w:rsidRDefault="00000000">
      <w:pPr>
        <w:pStyle w:val="Prrafodelista"/>
        <w:numPr>
          <w:ilvl w:val="0"/>
          <w:numId w:val="199"/>
        </w:numPr>
        <w:tabs>
          <w:tab w:val="left" w:pos="1682"/>
        </w:tabs>
        <w:spacing w:before="3" w:line="249" w:lineRule="auto"/>
        <w:ind w:firstLine="340"/>
        <w:jc w:val="both"/>
        <w:rPr>
          <w:sz w:val="20"/>
        </w:rPr>
      </w:pPr>
      <w:r>
        <w:rPr>
          <w:sz w:val="20"/>
        </w:rPr>
        <w:t>Durante el diálogo, la mesa dará un trato igual a todos los licitadores y, en particular, no facilitará, de forma discriminatoria, información que pueda dar ventajas a determinados licitadores con respecto al resto.</w:t>
      </w:r>
    </w:p>
    <w:p w:rsidR="0092635B" w:rsidRDefault="00000000">
      <w:pPr>
        <w:pStyle w:val="Textoindependiente"/>
        <w:spacing w:before="3" w:line="249" w:lineRule="auto"/>
        <w:ind w:right="1104"/>
      </w:pPr>
      <w:r>
        <w:t>La mesa no podrá revelar a los demás participantes las soluciones propuestas por un participante u otros datos confidenciales que este les comunique sin previo consentimiento de este, en los términos establecidos en el apartado 7 del artículo 169.</w:t>
      </w:r>
    </w:p>
    <w:p w:rsidR="0092635B" w:rsidRDefault="00000000">
      <w:pPr>
        <w:pStyle w:val="Prrafodelista"/>
        <w:numPr>
          <w:ilvl w:val="0"/>
          <w:numId w:val="199"/>
        </w:numPr>
        <w:tabs>
          <w:tab w:val="left" w:pos="1804"/>
        </w:tabs>
        <w:spacing w:line="249" w:lineRule="auto"/>
        <w:ind w:right="1104" w:firstLine="340"/>
        <w:jc w:val="both"/>
        <w:rPr>
          <w:sz w:val="20"/>
        </w:rPr>
      </w:pPr>
      <w:r>
        <w:rPr>
          <w:sz w:val="20"/>
        </w:rPr>
        <w:t>El procedimiento podrá articularse en fases sucesivas, a fin de reducir progresivamente el número de soluciones a examinar durante la fase de diálogo mediante la aplicación de los criterios de adjudicación indicados en el anuncio de licitación o en el documento descriptivo, indicándose en estos si se va a hacer uso de esta posibilidad.</w:t>
      </w:r>
    </w:p>
    <w:p w:rsidR="0092635B" w:rsidRDefault="00000000">
      <w:pPr>
        <w:pStyle w:val="Textoindependiente"/>
        <w:spacing w:before="3" w:line="249" w:lineRule="auto"/>
        <w:ind w:right="1104"/>
      </w:pPr>
      <w:r>
        <w:t>El número de soluciones que se examinen en la fase final deberá ser lo suficientemente amplio como para garantizar una competencia efectiva entre ellas, siempre que se hayan presentado un número suficiente de soluciones o de candidatos adecuados.</w:t>
      </w:r>
    </w:p>
    <w:p w:rsidR="0092635B" w:rsidRDefault="00000000">
      <w:pPr>
        <w:pStyle w:val="Prrafodelista"/>
        <w:numPr>
          <w:ilvl w:val="0"/>
          <w:numId w:val="199"/>
        </w:numPr>
        <w:tabs>
          <w:tab w:val="left" w:pos="1714"/>
        </w:tabs>
        <w:spacing w:before="3" w:line="249" w:lineRule="auto"/>
        <w:ind w:firstLine="340"/>
        <w:jc w:val="both"/>
        <w:rPr>
          <w:sz w:val="20"/>
        </w:rPr>
      </w:pPr>
      <w:r>
        <w:rPr>
          <w:sz w:val="20"/>
        </w:rPr>
        <w:t>A petición del licitador que haya sido descartado en la fase de diálogo, la mesa informará lo antes posible y en todo caso dentro de los quince días siguientes al de</w:t>
      </w:r>
      <w:r>
        <w:rPr>
          <w:spacing w:val="40"/>
          <w:sz w:val="20"/>
        </w:rPr>
        <w:t xml:space="preserve"> </w:t>
      </w:r>
      <w:r>
        <w:rPr>
          <w:sz w:val="20"/>
        </w:rPr>
        <w:t>recepción de la solicitud por escrito de aquel, del desarrollo del diálogo con los licitadores.</w:t>
      </w:r>
    </w:p>
    <w:p w:rsidR="0092635B" w:rsidRDefault="00000000">
      <w:pPr>
        <w:pStyle w:val="Prrafodelista"/>
        <w:numPr>
          <w:ilvl w:val="0"/>
          <w:numId w:val="199"/>
        </w:numPr>
        <w:tabs>
          <w:tab w:val="left" w:pos="1680"/>
        </w:tabs>
        <w:spacing w:line="249" w:lineRule="auto"/>
        <w:ind w:right="1102" w:firstLine="340"/>
        <w:jc w:val="both"/>
        <w:rPr>
          <w:sz w:val="20"/>
        </w:rPr>
      </w:pPr>
      <w:r>
        <w:rPr>
          <w:sz w:val="20"/>
        </w:rPr>
        <w:t>La mesa proseguirá el diálogo hasta que se encuentre en condiciones de determinar, después de compararlas, si es preciso, la solución o soluciones presentadas por cada uno</w:t>
      </w:r>
      <w:r>
        <w:rPr>
          <w:spacing w:val="40"/>
          <w:sz w:val="20"/>
        </w:rPr>
        <w:t xml:space="preserve"> </w:t>
      </w:r>
      <w:r>
        <w:rPr>
          <w:sz w:val="20"/>
        </w:rPr>
        <w:t>de los participantes durante la fase de diálogo, que puedan responder a sus necesidades.</w:t>
      </w:r>
    </w:p>
    <w:p w:rsidR="0092635B" w:rsidRDefault="00000000">
      <w:pPr>
        <w:pStyle w:val="Textoindependiente"/>
        <w:spacing w:before="3" w:line="249" w:lineRule="auto"/>
        <w:ind w:right="1103"/>
      </w:pPr>
      <w:r>
        <w:t>Una</w:t>
      </w:r>
      <w:r>
        <w:rPr>
          <w:spacing w:val="-1"/>
        </w:rPr>
        <w:t xml:space="preserve"> </w:t>
      </w:r>
      <w:r>
        <w:t>vez</w:t>
      </w:r>
      <w:r>
        <w:rPr>
          <w:spacing w:val="-1"/>
        </w:rPr>
        <w:t xml:space="preserve"> </w:t>
      </w:r>
      <w:r>
        <w:t>determinada</w:t>
      </w:r>
      <w:r>
        <w:rPr>
          <w:spacing w:val="-1"/>
        </w:rPr>
        <w:t xml:space="preserve"> </w:t>
      </w:r>
      <w:r>
        <w:t>la</w:t>
      </w:r>
      <w:r>
        <w:rPr>
          <w:spacing w:val="-1"/>
        </w:rPr>
        <w:t xml:space="preserve"> </w:t>
      </w:r>
      <w:r>
        <w:t>solución</w:t>
      </w:r>
      <w:r>
        <w:rPr>
          <w:spacing w:val="-1"/>
        </w:rPr>
        <w:t xml:space="preserve"> </w:t>
      </w:r>
      <w:r>
        <w:t>o</w:t>
      </w:r>
      <w:r>
        <w:rPr>
          <w:spacing w:val="-1"/>
        </w:rPr>
        <w:t xml:space="preserve"> </w:t>
      </w:r>
      <w:r>
        <w:t>soluciones</w:t>
      </w:r>
      <w:r>
        <w:rPr>
          <w:spacing w:val="-1"/>
        </w:rPr>
        <w:t xml:space="preserve"> </w:t>
      </w:r>
      <w:r>
        <w:t>que</w:t>
      </w:r>
      <w:r>
        <w:rPr>
          <w:spacing w:val="-1"/>
        </w:rPr>
        <w:t xml:space="preserve"> </w:t>
      </w:r>
      <w:r>
        <w:t>hayan</w:t>
      </w:r>
      <w:r>
        <w:rPr>
          <w:spacing w:val="-1"/>
        </w:rPr>
        <w:t xml:space="preserve"> </w:t>
      </w:r>
      <w:r>
        <w:t>de</w:t>
      </w:r>
      <w:r>
        <w:rPr>
          <w:spacing w:val="-1"/>
        </w:rPr>
        <w:t xml:space="preserve"> </w:t>
      </w:r>
      <w:r>
        <w:t>ser</w:t>
      </w:r>
      <w:r>
        <w:rPr>
          <w:spacing w:val="-1"/>
        </w:rPr>
        <w:t xml:space="preserve"> </w:t>
      </w:r>
      <w:r>
        <w:t>adoptadas</w:t>
      </w:r>
      <w:r>
        <w:rPr>
          <w:spacing w:val="-1"/>
        </w:rPr>
        <w:t xml:space="preserve"> </w:t>
      </w:r>
      <w:r>
        <w:t>para</w:t>
      </w:r>
      <w:r>
        <w:rPr>
          <w:spacing w:val="-1"/>
        </w:rPr>
        <w:t xml:space="preserve"> </w:t>
      </w:r>
      <w:r>
        <w:t>la</w:t>
      </w:r>
      <w:r>
        <w:rPr>
          <w:spacing w:val="-1"/>
        </w:rPr>
        <w:t xml:space="preserve"> </w:t>
      </w:r>
      <w:r>
        <w:t>última fase del proceso de licitación por el órgano de contratación, la mesa propondrá que se declare el fin del diálogo, así como las soluciones a adoptar, siendo invitados a la fase final los participantes que hayan presentado las mejores soluciones.</w:t>
      </w:r>
    </w:p>
    <w:p w:rsidR="0092635B" w:rsidRDefault="00000000">
      <w:pPr>
        <w:pStyle w:val="Textoindependiente"/>
        <w:spacing w:before="3" w:line="249" w:lineRule="auto"/>
        <w:ind w:right="1103"/>
      </w:pPr>
      <w:r>
        <w:t>Tras declarar cerrado el diálogo por el órgano de contratación e informar de ello a todos los participantes, la mesa invitará a los participantes cuyas soluciones hayan sido ya adoptadas a que presenten su oferta definitiva, basada en su solución o soluciones viables especificadas durante la fase de diálogo, indicando la fecha límite, la dirección a la que deba enviarse y la lengua o lenguas en que puedan estar redactadas.</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275" w:name="Artículo_176._Presentación,_examen_de_la"/>
      <w:bookmarkEnd w:id="275"/>
      <w:r>
        <w:rPr>
          <w:rFonts w:ascii="Arial" w:hAnsi="Arial"/>
          <w:b/>
          <w:sz w:val="20"/>
        </w:rPr>
        <w:t>Artículo</w:t>
      </w:r>
      <w:r>
        <w:rPr>
          <w:rFonts w:ascii="Arial" w:hAnsi="Arial"/>
          <w:b/>
          <w:spacing w:val="-1"/>
          <w:sz w:val="20"/>
        </w:rPr>
        <w:t xml:space="preserve"> </w:t>
      </w:r>
      <w:r>
        <w:rPr>
          <w:rFonts w:ascii="Arial" w:hAnsi="Arial"/>
          <w:b/>
          <w:sz w:val="20"/>
        </w:rPr>
        <w:t>176.</w:t>
      </w:r>
      <w:r>
        <w:rPr>
          <w:rFonts w:ascii="Arial" w:hAnsi="Arial"/>
          <w:b/>
          <w:spacing w:val="53"/>
          <w:sz w:val="20"/>
        </w:rPr>
        <w:t xml:space="preserve"> </w:t>
      </w:r>
      <w:r>
        <w:rPr>
          <w:rFonts w:ascii="Arial" w:hAnsi="Arial"/>
          <w:i/>
          <w:sz w:val="20"/>
        </w:rPr>
        <w:t>Presentación,</w:t>
      </w:r>
      <w:r>
        <w:rPr>
          <w:rFonts w:ascii="Arial" w:hAnsi="Arial"/>
          <w:i/>
          <w:spacing w:val="-1"/>
          <w:sz w:val="20"/>
        </w:rPr>
        <w:t xml:space="preserve"> </w:t>
      </w:r>
      <w:r>
        <w:rPr>
          <w:rFonts w:ascii="Arial" w:hAnsi="Arial"/>
          <w:i/>
          <w:sz w:val="20"/>
        </w:rPr>
        <w:t>examen</w:t>
      </w:r>
      <w:r>
        <w:rPr>
          <w:rFonts w:ascii="Arial" w:hAnsi="Arial"/>
          <w:i/>
          <w:spacing w:val="-1"/>
          <w:sz w:val="20"/>
        </w:rPr>
        <w:t xml:space="preserve"> </w:t>
      </w:r>
      <w:r>
        <w:rPr>
          <w:rFonts w:ascii="Arial" w:hAnsi="Arial"/>
          <w:i/>
          <w:sz w:val="20"/>
        </w:rPr>
        <w:t>de las</w:t>
      </w:r>
      <w:r>
        <w:rPr>
          <w:rFonts w:ascii="Arial" w:hAnsi="Arial"/>
          <w:i/>
          <w:spacing w:val="-1"/>
          <w:sz w:val="20"/>
        </w:rPr>
        <w:t xml:space="preserve"> </w:t>
      </w:r>
      <w:r>
        <w:rPr>
          <w:rFonts w:ascii="Arial" w:hAnsi="Arial"/>
          <w:i/>
          <w:sz w:val="20"/>
        </w:rPr>
        <w:t>ofertas</w:t>
      </w:r>
      <w:r>
        <w:rPr>
          <w:rFonts w:ascii="Arial" w:hAnsi="Arial"/>
          <w:i/>
          <w:spacing w:val="-1"/>
          <w:sz w:val="20"/>
        </w:rPr>
        <w:t xml:space="preserve"> </w:t>
      </w:r>
      <w:r>
        <w:rPr>
          <w:rFonts w:ascii="Arial" w:hAnsi="Arial"/>
          <w:i/>
          <w:sz w:val="20"/>
        </w:rPr>
        <w:t xml:space="preserve">y </w:t>
      </w:r>
      <w:r>
        <w:rPr>
          <w:rFonts w:ascii="Arial" w:hAnsi="Arial"/>
          <w:i/>
          <w:spacing w:val="-2"/>
          <w:sz w:val="20"/>
        </w:rPr>
        <w:t>adjudicación.</w:t>
      </w:r>
    </w:p>
    <w:p w:rsidR="0092635B" w:rsidRDefault="00000000">
      <w:pPr>
        <w:pStyle w:val="Prrafodelista"/>
        <w:numPr>
          <w:ilvl w:val="0"/>
          <w:numId w:val="198"/>
        </w:numPr>
        <w:tabs>
          <w:tab w:val="left" w:pos="1738"/>
        </w:tabs>
        <w:spacing w:before="123" w:line="249" w:lineRule="auto"/>
        <w:ind w:right="1104" w:firstLine="340"/>
        <w:jc w:val="both"/>
        <w:rPr>
          <w:sz w:val="20"/>
        </w:rPr>
      </w:pPr>
      <w:r>
        <w:rPr>
          <w:sz w:val="20"/>
        </w:rPr>
        <w:t>Las ofertas deben incluir todos los elementos requeridos y necesarios para la realización del proyecto.</w:t>
      </w:r>
    </w:p>
    <w:p w:rsidR="0092635B" w:rsidRDefault="00000000">
      <w:pPr>
        <w:pStyle w:val="Textoindependiente"/>
        <w:spacing w:line="249" w:lineRule="auto"/>
        <w:ind w:right="1103"/>
      </w:pPr>
      <w:r>
        <w:t>La</w:t>
      </w:r>
      <w:r>
        <w:rPr>
          <w:spacing w:val="-1"/>
        </w:rPr>
        <w:t xml:space="preserve"> </w:t>
      </w:r>
      <w:r>
        <w:t>mesa</w:t>
      </w:r>
      <w:r>
        <w:rPr>
          <w:spacing w:val="-1"/>
        </w:rPr>
        <w:t xml:space="preserve"> </w:t>
      </w:r>
      <w:r>
        <w:t>podrá</w:t>
      </w:r>
      <w:r>
        <w:rPr>
          <w:spacing w:val="-1"/>
        </w:rPr>
        <w:t xml:space="preserve"> </w:t>
      </w:r>
      <w:r>
        <w:t>solicitar</w:t>
      </w:r>
      <w:r>
        <w:rPr>
          <w:spacing w:val="-1"/>
        </w:rPr>
        <w:t xml:space="preserve"> </w:t>
      </w:r>
      <w:r>
        <w:t>precisiones</w:t>
      </w:r>
      <w:r>
        <w:rPr>
          <w:spacing w:val="-1"/>
        </w:rPr>
        <w:t xml:space="preserve"> </w:t>
      </w:r>
      <w:r>
        <w:t>o</w:t>
      </w:r>
      <w:r>
        <w:rPr>
          <w:spacing w:val="-1"/>
        </w:rPr>
        <w:t xml:space="preserve"> </w:t>
      </w:r>
      <w:r>
        <w:t>aclaraciones</w:t>
      </w:r>
      <w:r>
        <w:rPr>
          <w:spacing w:val="-1"/>
        </w:rPr>
        <w:t xml:space="preserve"> </w:t>
      </w:r>
      <w:r>
        <w:t>sobre</w:t>
      </w:r>
      <w:r>
        <w:rPr>
          <w:spacing w:val="-1"/>
        </w:rPr>
        <w:t xml:space="preserve"> </w:t>
      </w:r>
      <w:r>
        <w:t>las</w:t>
      </w:r>
      <w:r>
        <w:rPr>
          <w:spacing w:val="-1"/>
        </w:rPr>
        <w:t xml:space="preserve"> </w:t>
      </w:r>
      <w:r>
        <w:t>ofertas</w:t>
      </w:r>
      <w:r>
        <w:rPr>
          <w:spacing w:val="-1"/>
        </w:rPr>
        <w:t xml:space="preserve"> </w:t>
      </w:r>
      <w:r>
        <w:t>presentadas,</w:t>
      </w:r>
      <w:r>
        <w:rPr>
          <w:spacing w:val="-1"/>
        </w:rPr>
        <w:t xml:space="preserve"> </w:t>
      </w:r>
      <w:r>
        <w:t>ajustes en las mismas o información complementaria relativa a ellas, siempre que ello no suponga una modificación de los elementos fundamentales de la oferta o de la licitación pública, en particular de las necesidades y de los requisitos establecidos en el anuncio de licitación o en el</w:t>
      </w:r>
      <w:r>
        <w:rPr>
          <w:spacing w:val="-1"/>
        </w:rPr>
        <w:t xml:space="preserve"> </w:t>
      </w:r>
      <w:r>
        <w:t>documento</w:t>
      </w:r>
      <w:r>
        <w:rPr>
          <w:spacing w:val="-1"/>
        </w:rPr>
        <w:t xml:space="preserve"> </w:t>
      </w:r>
      <w:r>
        <w:t>descriptivo,</w:t>
      </w:r>
      <w:r>
        <w:rPr>
          <w:spacing w:val="-1"/>
        </w:rPr>
        <w:t xml:space="preserve"> </w:t>
      </w:r>
      <w:r>
        <w:t>cuando</w:t>
      </w:r>
      <w:r>
        <w:rPr>
          <w:spacing w:val="-1"/>
        </w:rPr>
        <w:t xml:space="preserve"> </w:t>
      </w:r>
      <w:r>
        <w:t>implique</w:t>
      </w:r>
      <w:r>
        <w:rPr>
          <w:spacing w:val="-1"/>
        </w:rPr>
        <w:t xml:space="preserve"> </w:t>
      </w:r>
      <w:r>
        <w:t>una</w:t>
      </w:r>
      <w:r>
        <w:rPr>
          <w:spacing w:val="-1"/>
        </w:rPr>
        <w:t xml:space="preserve"> </w:t>
      </w:r>
      <w:r>
        <w:t>variación</w:t>
      </w:r>
      <w:r>
        <w:rPr>
          <w:spacing w:val="-1"/>
        </w:rPr>
        <w:t xml:space="preserve"> </w:t>
      </w:r>
      <w:r>
        <w:t>que</w:t>
      </w:r>
      <w:r>
        <w:rPr>
          <w:spacing w:val="-1"/>
        </w:rPr>
        <w:t xml:space="preserve"> </w:t>
      </w:r>
      <w:r>
        <w:t>pueda</w:t>
      </w:r>
      <w:r>
        <w:rPr>
          <w:spacing w:val="-1"/>
        </w:rPr>
        <w:t xml:space="preserve"> </w:t>
      </w:r>
      <w:r>
        <w:t>falsear</w:t>
      </w:r>
      <w:r>
        <w:rPr>
          <w:spacing w:val="-1"/>
        </w:rPr>
        <w:t xml:space="preserve"> </w:t>
      </w:r>
      <w:r>
        <w:t>la</w:t>
      </w:r>
      <w:r>
        <w:rPr>
          <w:spacing w:val="-1"/>
        </w:rPr>
        <w:t xml:space="preserve"> </w:t>
      </w:r>
      <w:r>
        <w:t>competencia</w:t>
      </w:r>
      <w:r>
        <w:rPr>
          <w:spacing w:val="-1"/>
        </w:rPr>
        <w:t xml:space="preserve"> </w:t>
      </w:r>
      <w:r>
        <w:t>o tener un efecto discriminatorio.</w:t>
      </w:r>
    </w:p>
    <w:p w:rsidR="0092635B" w:rsidRDefault="00000000">
      <w:pPr>
        <w:pStyle w:val="Prrafodelista"/>
        <w:numPr>
          <w:ilvl w:val="0"/>
          <w:numId w:val="198"/>
        </w:numPr>
        <w:tabs>
          <w:tab w:val="left" w:pos="1672"/>
        </w:tabs>
        <w:spacing w:before="5" w:line="249" w:lineRule="auto"/>
        <w:ind w:firstLine="340"/>
        <w:jc w:val="both"/>
        <w:rPr>
          <w:sz w:val="20"/>
        </w:rPr>
      </w:pPr>
      <w:r>
        <w:rPr>
          <w:sz w:val="20"/>
        </w:rPr>
        <w:t>La mesa evaluará las ofertas presentadas por los licitadores en función de los criterios de adjudicación establecidos en el anuncio de licitación o en el documento descriptivo y seleccionará</w:t>
      </w:r>
      <w:r>
        <w:rPr>
          <w:spacing w:val="-2"/>
          <w:sz w:val="20"/>
        </w:rPr>
        <w:t xml:space="preserve"> </w:t>
      </w:r>
      <w:r>
        <w:rPr>
          <w:sz w:val="20"/>
        </w:rPr>
        <w:t>la</w:t>
      </w:r>
      <w:r>
        <w:rPr>
          <w:spacing w:val="-2"/>
          <w:sz w:val="20"/>
        </w:rPr>
        <w:t xml:space="preserve"> </w:t>
      </w:r>
      <w:r>
        <w:rPr>
          <w:sz w:val="20"/>
        </w:rPr>
        <w:t>oferta</w:t>
      </w:r>
      <w:r>
        <w:rPr>
          <w:spacing w:val="-2"/>
          <w:sz w:val="20"/>
        </w:rPr>
        <w:t xml:space="preserve"> </w:t>
      </w:r>
      <w:r>
        <w:rPr>
          <w:sz w:val="20"/>
        </w:rPr>
        <w:t>que</w:t>
      </w:r>
      <w:r>
        <w:rPr>
          <w:spacing w:val="-2"/>
          <w:sz w:val="20"/>
        </w:rPr>
        <w:t xml:space="preserve"> </w:t>
      </w:r>
      <w:r>
        <w:rPr>
          <w:sz w:val="20"/>
        </w:rPr>
        <w:t>presente</w:t>
      </w:r>
      <w:r>
        <w:rPr>
          <w:spacing w:val="-2"/>
          <w:sz w:val="20"/>
        </w:rPr>
        <w:t xml:space="preserve"> </w:t>
      </w:r>
      <w:r>
        <w:rPr>
          <w:sz w:val="20"/>
        </w:rPr>
        <w:t>la</w:t>
      </w:r>
      <w:r>
        <w:rPr>
          <w:spacing w:val="-2"/>
          <w:sz w:val="20"/>
        </w:rPr>
        <w:t xml:space="preserve"> </w:t>
      </w:r>
      <w:r>
        <w:rPr>
          <w:sz w:val="20"/>
        </w:rPr>
        <w:t>mejor</w:t>
      </w:r>
      <w:r>
        <w:rPr>
          <w:spacing w:val="-2"/>
          <w:sz w:val="20"/>
        </w:rPr>
        <w:t xml:space="preserve"> </w:t>
      </w:r>
      <w:r>
        <w:rPr>
          <w:sz w:val="20"/>
        </w:rPr>
        <w:t>relación</w:t>
      </w:r>
      <w:r>
        <w:rPr>
          <w:spacing w:val="-2"/>
          <w:sz w:val="20"/>
        </w:rPr>
        <w:t xml:space="preserve"> </w:t>
      </w:r>
      <w:r>
        <w:rPr>
          <w:sz w:val="20"/>
        </w:rPr>
        <w:t>calidad</w:t>
      </w:r>
      <w:r>
        <w:rPr>
          <w:spacing w:val="-2"/>
          <w:sz w:val="20"/>
        </w:rPr>
        <w:t xml:space="preserve"> </w:t>
      </w:r>
      <w:r>
        <w:rPr>
          <w:sz w:val="20"/>
        </w:rPr>
        <w:t>precio</w:t>
      </w:r>
      <w:r>
        <w:rPr>
          <w:spacing w:val="-2"/>
          <w:sz w:val="20"/>
        </w:rPr>
        <w:t xml:space="preserve"> </w:t>
      </w:r>
      <w:r>
        <w:rPr>
          <w:sz w:val="20"/>
        </w:rPr>
        <w:t>de</w:t>
      </w:r>
      <w:r>
        <w:rPr>
          <w:spacing w:val="-2"/>
          <w:sz w:val="20"/>
        </w:rPr>
        <w:t xml:space="preserve"> </w:t>
      </w:r>
      <w:r>
        <w:rPr>
          <w:sz w:val="20"/>
        </w:rPr>
        <w:t>acuerdo</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letra</w:t>
      </w:r>
      <w:r>
        <w:rPr>
          <w:spacing w:val="-2"/>
          <w:sz w:val="20"/>
        </w:rPr>
        <w:t xml:space="preserve"> </w:t>
      </w:r>
      <w:r>
        <w:rPr>
          <w:sz w:val="20"/>
        </w:rPr>
        <w:t>b) del apartado 3 del artículo 145.</w:t>
      </w:r>
    </w:p>
    <w:p w:rsidR="0092635B" w:rsidRDefault="00000000">
      <w:pPr>
        <w:pStyle w:val="Prrafodelista"/>
        <w:numPr>
          <w:ilvl w:val="0"/>
          <w:numId w:val="198"/>
        </w:numPr>
        <w:tabs>
          <w:tab w:val="left" w:pos="1688"/>
        </w:tabs>
        <w:spacing w:before="3" w:line="249" w:lineRule="auto"/>
        <w:ind w:right="1104" w:firstLine="340"/>
        <w:jc w:val="both"/>
        <w:rPr>
          <w:sz w:val="20"/>
        </w:rPr>
      </w:pPr>
      <w:r>
        <w:rPr>
          <w:sz w:val="20"/>
        </w:rPr>
        <w:t>La mesa podrá llevar a cabo negociaciones con el licitador cuya oferta se considere que presenta la mejor relación calidad-precio de acuerdo con la letra b) del apartado 3 del artículo</w:t>
      </w:r>
      <w:r>
        <w:rPr>
          <w:spacing w:val="9"/>
          <w:sz w:val="20"/>
        </w:rPr>
        <w:t xml:space="preserve"> </w:t>
      </w:r>
      <w:r>
        <w:rPr>
          <w:sz w:val="20"/>
        </w:rPr>
        <w:t>145</w:t>
      </w:r>
      <w:r>
        <w:rPr>
          <w:spacing w:val="10"/>
          <w:sz w:val="20"/>
        </w:rPr>
        <w:t xml:space="preserve"> </w:t>
      </w:r>
      <w:r>
        <w:rPr>
          <w:sz w:val="20"/>
        </w:rPr>
        <w:t>con</w:t>
      </w:r>
      <w:r>
        <w:rPr>
          <w:spacing w:val="10"/>
          <w:sz w:val="20"/>
        </w:rPr>
        <w:t xml:space="preserve"> </w:t>
      </w:r>
      <w:r>
        <w:rPr>
          <w:sz w:val="20"/>
        </w:rPr>
        <w:t>el</w:t>
      </w:r>
      <w:r>
        <w:rPr>
          <w:spacing w:val="10"/>
          <w:sz w:val="20"/>
        </w:rPr>
        <w:t xml:space="preserve"> </w:t>
      </w:r>
      <w:r>
        <w:rPr>
          <w:sz w:val="20"/>
        </w:rPr>
        <w:t>fin</w:t>
      </w:r>
      <w:r>
        <w:rPr>
          <w:spacing w:val="9"/>
          <w:sz w:val="20"/>
        </w:rPr>
        <w:t xml:space="preserve"> </w:t>
      </w:r>
      <w:r>
        <w:rPr>
          <w:sz w:val="20"/>
        </w:rPr>
        <w:t>de</w:t>
      </w:r>
      <w:r>
        <w:rPr>
          <w:spacing w:val="10"/>
          <w:sz w:val="20"/>
        </w:rPr>
        <w:t xml:space="preserve"> </w:t>
      </w:r>
      <w:r>
        <w:rPr>
          <w:sz w:val="20"/>
        </w:rPr>
        <w:t>confirmar</w:t>
      </w:r>
      <w:r>
        <w:rPr>
          <w:spacing w:val="10"/>
          <w:sz w:val="20"/>
        </w:rPr>
        <w:t xml:space="preserve"> </w:t>
      </w:r>
      <w:r>
        <w:rPr>
          <w:sz w:val="20"/>
        </w:rPr>
        <w:t>compromisos</w:t>
      </w:r>
      <w:r>
        <w:rPr>
          <w:spacing w:val="10"/>
          <w:sz w:val="20"/>
        </w:rPr>
        <w:t xml:space="preserve"> </w:t>
      </w:r>
      <w:r>
        <w:rPr>
          <w:sz w:val="20"/>
        </w:rPr>
        <w:t>financieros</w:t>
      </w:r>
      <w:r>
        <w:rPr>
          <w:spacing w:val="9"/>
          <w:sz w:val="20"/>
        </w:rPr>
        <w:t xml:space="preserve"> </w:t>
      </w:r>
      <w:r>
        <w:rPr>
          <w:sz w:val="20"/>
        </w:rPr>
        <w:t>u</w:t>
      </w:r>
      <w:r>
        <w:rPr>
          <w:spacing w:val="10"/>
          <w:sz w:val="20"/>
        </w:rPr>
        <w:t xml:space="preserve"> </w:t>
      </w:r>
      <w:r>
        <w:rPr>
          <w:sz w:val="20"/>
        </w:rPr>
        <w:t>otras</w:t>
      </w:r>
      <w:r>
        <w:rPr>
          <w:spacing w:val="10"/>
          <w:sz w:val="20"/>
        </w:rPr>
        <w:t xml:space="preserve"> </w:t>
      </w:r>
      <w:r>
        <w:rPr>
          <w:sz w:val="20"/>
        </w:rPr>
        <w:t>condiciones</w:t>
      </w:r>
      <w:r>
        <w:rPr>
          <w:spacing w:val="10"/>
          <w:sz w:val="20"/>
        </w:rPr>
        <w:t xml:space="preserve"> </w:t>
      </w:r>
      <w:r>
        <w:rPr>
          <w:spacing w:val="-2"/>
          <w:sz w:val="20"/>
        </w:rPr>
        <w:t>contenidas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en la oferta, para lo cual se ultimarán las condiciones del contrato, siempre que con ello no</w:t>
      </w:r>
      <w:r>
        <w:rPr>
          <w:spacing w:val="40"/>
        </w:rPr>
        <w:t xml:space="preserve"> </w:t>
      </w:r>
      <w:r>
        <w:t xml:space="preserve">se modifiquen elementos sustanciales de la oferta o de la licitación pública, en particular las necesidades y los requisitos establecidos en el anuncio de licitación o en el documento descriptivo, y no conlleve un riesgo de falseamiento de la competencia ni tenga un efecto </w:t>
      </w:r>
      <w:r>
        <w:rPr>
          <w:spacing w:val="-2"/>
        </w:rPr>
        <w:t>discriminatorio.</w:t>
      </w:r>
    </w:p>
    <w:p w:rsidR="0092635B" w:rsidRDefault="00000000">
      <w:pPr>
        <w:pStyle w:val="Prrafodelista"/>
        <w:numPr>
          <w:ilvl w:val="0"/>
          <w:numId w:val="198"/>
        </w:numPr>
        <w:tabs>
          <w:tab w:val="left" w:pos="1721"/>
        </w:tabs>
        <w:spacing w:before="4" w:line="249" w:lineRule="auto"/>
        <w:ind w:right="1105" w:firstLine="340"/>
        <w:jc w:val="both"/>
        <w:rPr>
          <w:sz w:val="20"/>
        </w:rPr>
      </w:pPr>
      <w:r>
        <w:rPr>
          <w:sz w:val="20"/>
        </w:rPr>
        <w:t xml:space="preserve">Elevada la propuesta, el órgano de contratación procederá a la adjudicación del </w:t>
      </w:r>
      <w:r>
        <w:rPr>
          <w:spacing w:val="-2"/>
          <w:sz w:val="20"/>
        </w:rPr>
        <w:t>contrato.</w:t>
      </w:r>
    </w:p>
    <w:p w:rsidR="0092635B" w:rsidRDefault="0092635B">
      <w:pPr>
        <w:pStyle w:val="Textoindependiente"/>
        <w:spacing w:before="55"/>
        <w:ind w:left="0" w:firstLine="0"/>
        <w:jc w:val="left"/>
      </w:pPr>
    </w:p>
    <w:p w:rsidR="0092635B" w:rsidRDefault="00000000">
      <w:pPr>
        <w:pStyle w:val="Textoindependiente"/>
        <w:spacing w:before="0"/>
        <w:ind w:left="0" w:right="1" w:firstLine="0"/>
        <w:jc w:val="center"/>
      </w:pPr>
      <w:bookmarkStart w:id="276" w:name="Subsección_6.ª_Procedimiento_de_asociaci"/>
      <w:bookmarkStart w:id="277" w:name="_bookmark51"/>
      <w:bookmarkEnd w:id="276"/>
      <w:bookmarkEnd w:id="277"/>
      <w:r>
        <w:t>Subsección</w:t>
      </w:r>
      <w:r>
        <w:rPr>
          <w:spacing w:val="-6"/>
        </w:rPr>
        <w:t xml:space="preserve"> </w:t>
      </w:r>
      <w:r>
        <w:t>6.ª</w:t>
      </w:r>
      <w:r>
        <w:rPr>
          <w:spacing w:val="-5"/>
        </w:rPr>
        <w:t xml:space="preserve"> </w:t>
      </w:r>
      <w:r>
        <w:t>Procedimiento</w:t>
      </w:r>
      <w:r>
        <w:rPr>
          <w:spacing w:val="-5"/>
        </w:rPr>
        <w:t xml:space="preserve"> </w:t>
      </w:r>
      <w:r>
        <w:t>de</w:t>
      </w:r>
      <w:r>
        <w:rPr>
          <w:spacing w:val="-6"/>
        </w:rPr>
        <w:t xml:space="preserve"> </w:t>
      </w:r>
      <w:r>
        <w:t>asociación</w:t>
      </w:r>
      <w:r>
        <w:rPr>
          <w:spacing w:val="-5"/>
        </w:rPr>
        <w:t xml:space="preserve"> </w:t>
      </w:r>
      <w:r>
        <w:t>para</w:t>
      </w:r>
      <w:r>
        <w:rPr>
          <w:spacing w:val="-5"/>
        </w:rPr>
        <w:t xml:space="preserve"> </w:t>
      </w:r>
      <w:r>
        <w:t>la</w:t>
      </w:r>
      <w:r>
        <w:rPr>
          <w:spacing w:val="-5"/>
        </w:rPr>
        <w:t xml:space="preserve"> </w:t>
      </w:r>
      <w:r>
        <w:rPr>
          <w:spacing w:val="-2"/>
        </w:rPr>
        <w:t>innovación</w:t>
      </w:r>
    </w:p>
    <w:p w:rsidR="0092635B" w:rsidRDefault="0092635B">
      <w:pPr>
        <w:pStyle w:val="Textoindependiente"/>
        <w:spacing w:before="6"/>
        <w:ind w:left="0" w:firstLine="0"/>
        <w:jc w:val="left"/>
      </w:pPr>
    </w:p>
    <w:p w:rsidR="0092635B" w:rsidRDefault="00000000">
      <w:pPr>
        <w:spacing w:before="1"/>
        <w:ind w:left="1106"/>
        <w:jc w:val="both"/>
        <w:rPr>
          <w:rFonts w:ascii="Arial" w:hAnsi="Arial"/>
          <w:i/>
          <w:sz w:val="20"/>
        </w:rPr>
      </w:pPr>
      <w:bookmarkStart w:id="278" w:name="Artículo_177._Caracterización_del_proced"/>
      <w:bookmarkEnd w:id="278"/>
      <w:r>
        <w:rPr>
          <w:rFonts w:ascii="Arial" w:hAnsi="Arial"/>
          <w:b/>
          <w:sz w:val="20"/>
        </w:rPr>
        <w:t>Artículo</w:t>
      </w:r>
      <w:r>
        <w:rPr>
          <w:rFonts w:ascii="Arial" w:hAnsi="Arial"/>
          <w:b/>
          <w:spacing w:val="-7"/>
          <w:sz w:val="20"/>
        </w:rPr>
        <w:t xml:space="preserve"> </w:t>
      </w:r>
      <w:r>
        <w:rPr>
          <w:rFonts w:ascii="Arial" w:hAnsi="Arial"/>
          <w:b/>
          <w:sz w:val="20"/>
        </w:rPr>
        <w:t>177.</w:t>
      </w:r>
      <w:r>
        <w:rPr>
          <w:rFonts w:ascii="Arial" w:hAnsi="Arial"/>
          <w:b/>
          <w:spacing w:val="46"/>
          <w:sz w:val="20"/>
        </w:rPr>
        <w:t xml:space="preserve"> </w:t>
      </w:r>
      <w:r>
        <w:rPr>
          <w:rFonts w:ascii="Arial" w:hAnsi="Arial"/>
          <w:i/>
          <w:sz w:val="20"/>
        </w:rPr>
        <w:t>Caracterización</w:t>
      </w:r>
      <w:r>
        <w:rPr>
          <w:rFonts w:ascii="Arial" w:hAnsi="Arial"/>
          <w:i/>
          <w:spacing w:val="-4"/>
          <w:sz w:val="20"/>
        </w:rPr>
        <w:t xml:space="preserve"> </w:t>
      </w:r>
      <w:r>
        <w:rPr>
          <w:rFonts w:ascii="Arial" w:hAnsi="Arial"/>
          <w:i/>
          <w:sz w:val="20"/>
        </w:rPr>
        <w:t>del</w:t>
      </w:r>
      <w:r>
        <w:rPr>
          <w:rFonts w:ascii="Arial" w:hAnsi="Arial"/>
          <w:i/>
          <w:spacing w:val="-4"/>
          <w:sz w:val="20"/>
        </w:rPr>
        <w:t xml:space="preserve"> </w:t>
      </w:r>
      <w:r>
        <w:rPr>
          <w:rFonts w:ascii="Arial" w:hAnsi="Arial"/>
          <w:i/>
          <w:sz w:val="20"/>
        </w:rPr>
        <w:t>procedimiento</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z w:val="20"/>
        </w:rPr>
        <w:t>asociación</w:t>
      </w:r>
      <w:r>
        <w:rPr>
          <w:rFonts w:ascii="Arial" w:hAnsi="Arial"/>
          <w:i/>
          <w:spacing w:val="-4"/>
          <w:sz w:val="20"/>
        </w:rPr>
        <w:t xml:space="preserve"> </w:t>
      </w:r>
      <w:r>
        <w:rPr>
          <w:rFonts w:ascii="Arial" w:hAnsi="Arial"/>
          <w:i/>
          <w:sz w:val="20"/>
        </w:rPr>
        <w:t>para</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pacing w:val="-2"/>
          <w:sz w:val="20"/>
        </w:rPr>
        <w:t>innovación.</w:t>
      </w:r>
    </w:p>
    <w:p w:rsidR="0092635B" w:rsidRDefault="00000000">
      <w:pPr>
        <w:pStyle w:val="Prrafodelista"/>
        <w:numPr>
          <w:ilvl w:val="0"/>
          <w:numId w:val="197"/>
        </w:numPr>
        <w:tabs>
          <w:tab w:val="left" w:pos="1707"/>
        </w:tabs>
        <w:spacing w:before="123" w:line="249" w:lineRule="auto"/>
        <w:ind w:right="1104" w:firstLine="340"/>
        <w:jc w:val="both"/>
        <w:rPr>
          <w:sz w:val="20"/>
        </w:rPr>
      </w:pPr>
      <w:r>
        <w:rPr>
          <w:sz w:val="20"/>
        </w:rPr>
        <w:t>La asociación para la innovación es un procedimiento que tiene como finalidad el desarrollo de productos, servicios u obras innovadores y la compra ulterior de los</w:t>
      </w:r>
      <w:r>
        <w:rPr>
          <w:spacing w:val="40"/>
          <w:sz w:val="20"/>
        </w:rPr>
        <w:t xml:space="preserve"> </w:t>
      </w:r>
      <w:r>
        <w:rPr>
          <w:sz w:val="20"/>
        </w:rPr>
        <w:t xml:space="preserve">suministros, servicios u obras resultantes, siempre que correspondan a los niveles de rendimiento y a los costes máximos acordados entre los órganos de contratación y los </w:t>
      </w:r>
      <w:r>
        <w:rPr>
          <w:spacing w:val="-2"/>
          <w:sz w:val="20"/>
        </w:rPr>
        <w:t>participantes.</w:t>
      </w:r>
    </w:p>
    <w:p w:rsidR="0092635B" w:rsidRDefault="00000000">
      <w:pPr>
        <w:pStyle w:val="Textoindependiente"/>
        <w:spacing w:before="4" w:line="249" w:lineRule="auto"/>
        <w:ind w:right="1104"/>
      </w:pPr>
      <w:r>
        <w:t>A tal efecto, en los pliegos de cláusulas administrativas particulares, el órgano de contratación determinará cuál es la necesidad de un producto, servicio u obra innovadores que no puede ser satisfecha mediante la adquisición de productos, servicios u obras ya disponibles en el mercado. Indicará asimismo qué elementos de la descripción constituyen los requisitos mínimos que han de cumplir todos los licitadores, y definirá las disposiciones aplicables a los derechos de propiedad intelectual e industrial. La información facilitada será lo suficientemente precisa como para que los empresarios puedan identificar la naturaleza y el ámbito de la solución requerida y decidir si solicitan participar en el procedimiento.</w:t>
      </w:r>
    </w:p>
    <w:p w:rsidR="0092635B" w:rsidRDefault="00000000">
      <w:pPr>
        <w:pStyle w:val="Prrafodelista"/>
        <w:numPr>
          <w:ilvl w:val="0"/>
          <w:numId w:val="197"/>
        </w:numPr>
        <w:tabs>
          <w:tab w:val="left" w:pos="1671"/>
        </w:tabs>
        <w:spacing w:before="7" w:line="249" w:lineRule="auto"/>
        <w:ind w:right="1106" w:firstLine="340"/>
        <w:jc w:val="both"/>
        <w:rPr>
          <w:sz w:val="20"/>
        </w:rPr>
      </w:pPr>
      <w:r>
        <w:rPr>
          <w:sz w:val="20"/>
        </w:rPr>
        <w:t>El órgano de contratación podrá decidir crear la asociación para la innovación con uno o varios socios que efectúen por separado actividades de investigación y desarrollo.</w:t>
      </w:r>
    </w:p>
    <w:p w:rsidR="0092635B" w:rsidRDefault="00000000">
      <w:pPr>
        <w:pStyle w:val="Textoindependiente"/>
        <w:spacing w:before="1" w:line="249" w:lineRule="auto"/>
        <w:ind w:right="1105"/>
      </w:pPr>
      <w:r>
        <w:t>El socio o socios habrán sido previamente seleccionados en la forma regulada en los artículos 178 y 179 de esta Ley.</w:t>
      </w:r>
    </w:p>
    <w:p w:rsidR="0092635B" w:rsidRDefault="00000000">
      <w:pPr>
        <w:pStyle w:val="Prrafodelista"/>
        <w:numPr>
          <w:ilvl w:val="0"/>
          <w:numId w:val="197"/>
        </w:numPr>
        <w:tabs>
          <w:tab w:val="left" w:pos="1668"/>
        </w:tabs>
        <w:ind w:left="1668" w:right="0" w:hanging="222"/>
        <w:jc w:val="both"/>
        <w:rPr>
          <w:sz w:val="20"/>
        </w:rPr>
      </w:pPr>
      <w:r>
        <w:rPr>
          <w:sz w:val="20"/>
        </w:rPr>
        <w:t>Los</w:t>
      </w:r>
      <w:r>
        <w:rPr>
          <w:spacing w:val="-4"/>
          <w:sz w:val="20"/>
        </w:rPr>
        <w:t xml:space="preserve"> </w:t>
      </w:r>
      <w:r>
        <w:rPr>
          <w:sz w:val="20"/>
        </w:rPr>
        <w:t>contratos</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adjudiquen</w:t>
      </w:r>
      <w:r>
        <w:rPr>
          <w:spacing w:val="-3"/>
          <w:sz w:val="20"/>
        </w:rPr>
        <w:t xml:space="preserve"> </w:t>
      </w:r>
      <w:r>
        <w:rPr>
          <w:sz w:val="20"/>
        </w:rPr>
        <w:t>por</w:t>
      </w:r>
      <w:r>
        <w:rPr>
          <w:spacing w:val="-3"/>
          <w:sz w:val="20"/>
        </w:rPr>
        <w:t xml:space="preserve"> </w:t>
      </w:r>
      <w:r>
        <w:rPr>
          <w:sz w:val="20"/>
        </w:rPr>
        <w:t>este</w:t>
      </w:r>
      <w:r>
        <w:rPr>
          <w:spacing w:val="-3"/>
          <w:sz w:val="20"/>
        </w:rPr>
        <w:t xml:space="preserve"> </w:t>
      </w:r>
      <w:r>
        <w:rPr>
          <w:sz w:val="20"/>
        </w:rPr>
        <w:t>procedimiento</w:t>
      </w:r>
      <w:r>
        <w:rPr>
          <w:spacing w:val="-3"/>
          <w:sz w:val="20"/>
        </w:rPr>
        <w:t xml:space="preserve"> </w:t>
      </w:r>
      <w:r>
        <w:rPr>
          <w:sz w:val="20"/>
        </w:rPr>
        <w:t>se</w:t>
      </w:r>
      <w:r>
        <w:rPr>
          <w:spacing w:val="-3"/>
          <w:sz w:val="20"/>
        </w:rPr>
        <w:t xml:space="preserve"> </w:t>
      </w:r>
      <w:r>
        <w:rPr>
          <w:spacing w:val="-2"/>
          <w:sz w:val="20"/>
        </w:rPr>
        <w:t>regirán:</w:t>
      </w:r>
    </w:p>
    <w:p w:rsidR="0092635B" w:rsidRDefault="00000000">
      <w:pPr>
        <w:pStyle w:val="Prrafodelista"/>
        <w:numPr>
          <w:ilvl w:val="1"/>
          <w:numId w:val="197"/>
        </w:numPr>
        <w:tabs>
          <w:tab w:val="left" w:pos="1757"/>
        </w:tabs>
        <w:spacing w:before="130" w:line="249" w:lineRule="auto"/>
        <w:ind w:firstLine="340"/>
        <w:jc w:val="both"/>
        <w:rPr>
          <w:sz w:val="20"/>
        </w:rPr>
      </w:pPr>
      <w:r>
        <w:rPr>
          <w:sz w:val="20"/>
        </w:rPr>
        <w:t>En la fase de investigación y desarrollo, por las normas que se establezcan reglamentariamente, así como por las prescripciones contenidas en los correspondientes pliegos, y supletoriamente por las normas del contrato de servicios.</w:t>
      </w:r>
    </w:p>
    <w:p w:rsidR="0092635B" w:rsidRDefault="00000000">
      <w:pPr>
        <w:pStyle w:val="Textoindependiente"/>
        <w:spacing w:before="16"/>
        <w:ind w:left="0" w:firstLine="0"/>
        <w:jc w:val="left"/>
      </w:pPr>
      <w:r>
        <w:rPr>
          <w:noProof/>
        </w:rPr>
        <mc:AlternateContent>
          <mc:Choice Requires="wps">
            <w:drawing>
              <wp:anchor distT="0" distB="0" distL="0" distR="0" simplePos="0" relativeHeight="487593984" behindDoc="1" locked="0" layoutInCell="1" allowOverlap="1">
                <wp:simplePos x="0" y="0"/>
                <wp:positionH relativeFrom="page">
                  <wp:posOffset>1156762</wp:posOffset>
                </wp:positionH>
                <wp:positionV relativeFrom="paragraph">
                  <wp:posOffset>176893</wp:posOffset>
                </wp:positionV>
                <wp:extent cx="5247005" cy="86296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862965"/>
                        </a:xfrm>
                        <a:prstGeom prst="rect">
                          <a:avLst/>
                        </a:prstGeom>
                        <a:solidFill>
                          <a:srgbClr val="F7F7FF"/>
                        </a:solidFill>
                        <a:ln w="9525">
                          <a:solidFill>
                            <a:srgbClr val="9F9F9F"/>
                          </a:solidFill>
                          <a:prstDash val="solid"/>
                        </a:ln>
                      </wps:spPr>
                      <wps:txbx>
                        <w:txbxContent>
                          <w:p w:rsidR="0092635B" w:rsidRDefault="0092635B">
                            <w:pPr>
                              <w:pStyle w:val="Textoindependiente"/>
                              <w:spacing w:before="94"/>
                              <w:ind w:left="0" w:firstLine="0"/>
                              <w:jc w:val="left"/>
                              <w:rPr>
                                <w:color w:val="000000"/>
                                <w:sz w:val="18"/>
                              </w:rPr>
                            </w:pPr>
                          </w:p>
                          <w:p w:rsidR="0092635B" w:rsidRDefault="00000000">
                            <w:pPr>
                              <w:spacing w:line="249" w:lineRule="auto"/>
                              <w:ind w:left="269" w:right="267" w:firstLine="340"/>
                              <w:jc w:val="both"/>
                              <w:rPr>
                                <w:color w:val="000000"/>
                                <w:sz w:val="18"/>
                              </w:rPr>
                            </w:pPr>
                            <w:r>
                              <w:rPr>
                                <w:color w:val="000000"/>
                                <w:sz w:val="18"/>
                              </w:rPr>
                              <w:t>Téngase en cuenta que se declara que el apartado 3.a) es conforme con el orden constitucional de competencias, siempre que se interprete en los términos establecidos en el fundamento</w:t>
                            </w:r>
                            <w:r>
                              <w:rPr>
                                <w:color w:val="000000"/>
                                <w:spacing w:val="34"/>
                                <w:sz w:val="18"/>
                              </w:rPr>
                              <w:t xml:space="preserve"> </w:t>
                            </w:r>
                            <w:r>
                              <w:rPr>
                                <w:color w:val="000000"/>
                                <w:sz w:val="18"/>
                              </w:rPr>
                              <w:t>jurídico</w:t>
                            </w:r>
                            <w:r>
                              <w:rPr>
                                <w:color w:val="000000"/>
                                <w:spacing w:val="34"/>
                                <w:sz w:val="18"/>
                              </w:rPr>
                              <w:t xml:space="preserve"> </w:t>
                            </w:r>
                            <w:r>
                              <w:rPr>
                                <w:color w:val="000000"/>
                                <w:sz w:val="18"/>
                              </w:rPr>
                              <w:t>7</w:t>
                            </w:r>
                            <w:r>
                              <w:rPr>
                                <w:color w:val="000000"/>
                                <w:spacing w:val="34"/>
                                <w:sz w:val="18"/>
                              </w:rPr>
                              <w:t xml:space="preserve"> </w:t>
                            </w:r>
                            <w:r>
                              <w:rPr>
                                <w:color w:val="000000"/>
                                <w:sz w:val="18"/>
                              </w:rPr>
                              <w:t>B)</w:t>
                            </w:r>
                            <w:r>
                              <w:rPr>
                                <w:color w:val="000000"/>
                                <w:spacing w:val="34"/>
                                <w:sz w:val="18"/>
                              </w:rPr>
                              <w:t xml:space="preserve"> </w:t>
                            </w:r>
                            <w:r>
                              <w:rPr>
                                <w:color w:val="000000"/>
                                <w:sz w:val="18"/>
                              </w:rPr>
                              <w:t>h),</w:t>
                            </w:r>
                            <w:r>
                              <w:rPr>
                                <w:color w:val="000000"/>
                                <w:spacing w:val="34"/>
                                <w:sz w:val="18"/>
                              </w:rPr>
                              <w:t xml:space="preserve"> </w:t>
                            </w:r>
                            <w:r>
                              <w:rPr>
                                <w:color w:val="000000"/>
                                <w:sz w:val="18"/>
                              </w:rPr>
                              <w:t>por</w:t>
                            </w:r>
                            <w:r>
                              <w:rPr>
                                <w:color w:val="000000"/>
                                <w:spacing w:val="34"/>
                                <w:sz w:val="18"/>
                              </w:rPr>
                              <w:t xml:space="preserve"> </w:t>
                            </w:r>
                            <w:r>
                              <w:rPr>
                                <w:color w:val="000000"/>
                                <w:sz w:val="18"/>
                              </w:rPr>
                              <w:t>la</w:t>
                            </w:r>
                            <w:r>
                              <w:rPr>
                                <w:color w:val="000000"/>
                                <w:spacing w:val="34"/>
                                <w:sz w:val="18"/>
                              </w:rPr>
                              <w:t xml:space="preserve"> </w:t>
                            </w:r>
                            <w:r>
                              <w:rPr>
                                <w:color w:val="000000"/>
                                <w:sz w:val="18"/>
                              </w:rPr>
                              <w:t>Sentencia</w:t>
                            </w:r>
                            <w:r>
                              <w:rPr>
                                <w:color w:val="000000"/>
                                <w:spacing w:val="34"/>
                                <w:sz w:val="18"/>
                              </w:rPr>
                              <w:t xml:space="preserve"> </w:t>
                            </w:r>
                            <w:r>
                              <w:rPr>
                                <w:color w:val="000000"/>
                                <w:sz w:val="18"/>
                              </w:rPr>
                              <w:t>del</w:t>
                            </w:r>
                            <w:r>
                              <w:rPr>
                                <w:color w:val="000000"/>
                                <w:spacing w:val="34"/>
                                <w:sz w:val="18"/>
                              </w:rPr>
                              <w:t xml:space="preserve"> </w:t>
                            </w:r>
                            <w:r>
                              <w:rPr>
                                <w:color w:val="000000"/>
                                <w:sz w:val="18"/>
                              </w:rPr>
                              <w:t>TC</w:t>
                            </w:r>
                            <w:r>
                              <w:rPr>
                                <w:color w:val="000000"/>
                                <w:spacing w:val="34"/>
                                <w:sz w:val="18"/>
                              </w:rPr>
                              <w:t xml:space="preserve"> </w:t>
                            </w:r>
                            <w:r>
                              <w:rPr>
                                <w:color w:val="000000"/>
                                <w:sz w:val="18"/>
                              </w:rPr>
                              <w:t>68/2021,</w:t>
                            </w:r>
                            <w:r>
                              <w:rPr>
                                <w:color w:val="000000"/>
                                <w:spacing w:val="34"/>
                                <w:sz w:val="18"/>
                              </w:rPr>
                              <w:t xml:space="preserve"> </w:t>
                            </w:r>
                            <w:r>
                              <w:rPr>
                                <w:color w:val="000000"/>
                                <w:sz w:val="18"/>
                              </w:rPr>
                              <w:t>de</w:t>
                            </w:r>
                            <w:r>
                              <w:rPr>
                                <w:color w:val="000000"/>
                                <w:spacing w:val="34"/>
                                <w:sz w:val="18"/>
                              </w:rPr>
                              <w:t xml:space="preserve"> </w:t>
                            </w:r>
                            <w:r>
                              <w:rPr>
                                <w:color w:val="000000"/>
                                <w:sz w:val="18"/>
                              </w:rPr>
                              <w:t>18</w:t>
                            </w:r>
                            <w:r>
                              <w:rPr>
                                <w:color w:val="000000"/>
                                <w:spacing w:val="34"/>
                                <w:sz w:val="18"/>
                              </w:rPr>
                              <w:t xml:space="preserve"> </w:t>
                            </w:r>
                            <w:r>
                              <w:rPr>
                                <w:color w:val="000000"/>
                                <w:sz w:val="18"/>
                              </w:rPr>
                              <w:t>de</w:t>
                            </w:r>
                            <w:r>
                              <w:rPr>
                                <w:color w:val="000000"/>
                                <w:spacing w:val="34"/>
                                <w:sz w:val="18"/>
                              </w:rPr>
                              <w:t xml:space="preserve"> </w:t>
                            </w:r>
                            <w:r>
                              <w:rPr>
                                <w:color w:val="000000"/>
                                <w:sz w:val="18"/>
                              </w:rPr>
                              <w:t>marzo.</w:t>
                            </w:r>
                            <w:r>
                              <w:rPr>
                                <w:color w:val="000000"/>
                                <w:spacing w:val="33"/>
                                <w:sz w:val="18"/>
                              </w:rPr>
                              <w:t xml:space="preserve"> </w:t>
                            </w:r>
                            <w:hyperlink r:id="rId35">
                              <w:r>
                                <w:rPr>
                                  <w:color w:val="0000FF"/>
                                  <w:sz w:val="18"/>
                                  <w:u w:val="single" w:color="0000FF"/>
                                </w:rPr>
                                <w:t>Ref.</w:t>
                              </w:r>
                              <w:r>
                                <w:rPr>
                                  <w:color w:val="0000FF"/>
                                  <w:spacing w:val="34"/>
                                  <w:sz w:val="18"/>
                                  <w:u w:val="single" w:color="0000FF"/>
                                </w:rPr>
                                <w:t xml:space="preserve"> </w:t>
                              </w:r>
                              <w:r>
                                <w:rPr>
                                  <w:color w:val="0000FF"/>
                                  <w:sz w:val="18"/>
                                  <w:u w:val="single" w:color="0000FF"/>
                                </w:rPr>
                                <w:t>BOE-</w:t>
                              </w:r>
                            </w:hyperlink>
                            <w:r>
                              <w:rPr>
                                <w:color w:val="0000FF"/>
                                <w:sz w:val="18"/>
                              </w:rPr>
                              <w:t xml:space="preserve"> </w:t>
                            </w:r>
                            <w:hyperlink r:id="rId36">
                              <w:r>
                                <w:rPr>
                                  <w:color w:val="0000FF"/>
                                  <w:spacing w:val="-2"/>
                                  <w:sz w:val="18"/>
                                  <w:u w:val="single" w:color="0000FF"/>
                                </w:rPr>
                                <w:t>A-2021-6614</w:t>
                              </w:r>
                            </w:hyperlink>
                          </w:p>
                        </w:txbxContent>
                      </wps:txbx>
                      <wps:bodyPr wrap="square" lIns="0" tIns="0" rIns="0" bIns="0" rtlCol="0">
                        <a:noAutofit/>
                      </wps:bodyPr>
                    </wps:wsp>
                  </a:graphicData>
                </a:graphic>
              </wp:anchor>
            </w:drawing>
          </mc:Choice>
          <mc:Fallback>
            <w:pict>
              <v:shape id="Textbox 20" o:spid="_x0000_s1035" type="#_x0000_t202" style="position:absolute;margin-left:91.1pt;margin-top:13.95pt;width:413.15pt;height:67.9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" fillcolor="#f7f7ff" strokecolor="#9f9f9f">
                <v:path arrowok="t"/>
                <v:textbox inset="0,0,0,0">
                  <w:txbxContent>
                    <w:p w:rsidR="0092635B" w:rsidRDefault="0092635B">
                      <w:pPr>
                        <w:pStyle w:val="Textoindependiente"/>
                        <w:spacing w:before="94"/>
                        <w:ind w:left="0" w:firstLine="0"/>
                        <w:jc w:val="left"/>
                        <w:rPr>
                          <w:color w:val="000000"/>
                          <w:sz w:val="18"/>
                        </w:rPr>
                      </w:pPr>
                    </w:p>
                    <w:p w:rsidR="0092635B" w:rsidRDefault="00000000">
                      <w:pPr>
                        <w:spacing w:line="249" w:lineRule="auto"/>
                        <w:ind w:left="269" w:right="267" w:firstLine="340"/>
                        <w:jc w:val="both"/>
                        <w:rPr>
                          <w:color w:val="000000"/>
                          <w:sz w:val="18"/>
                        </w:rPr>
                      </w:pPr>
                      <w:r>
                        <w:rPr>
                          <w:color w:val="000000"/>
                          <w:sz w:val="18"/>
                        </w:rPr>
                        <w:t>Téngase en cuenta que se declara que el apartado 3.a) es conforme con el orden constitucional de competencias, siempre que se interprete en los términos establecidos en el fundamento</w:t>
                      </w:r>
                      <w:r>
                        <w:rPr>
                          <w:color w:val="000000"/>
                          <w:spacing w:val="34"/>
                          <w:sz w:val="18"/>
                        </w:rPr>
                        <w:t xml:space="preserve"> </w:t>
                      </w:r>
                      <w:r>
                        <w:rPr>
                          <w:color w:val="000000"/>
                          <w:sz w:val="18"/>
                        </w:rPr>
                        <w:t>jurídico</w:t>
                      </w:r>
                      <w:r>
                        <w:rPr>
                          <w:color w:val="000000"/>
                          <w:spacing w:val="34"/>
                          <w:sz w:val="18"/>
                        </w:rPr>
                        <w:t xml:space="preserve"> </w:t>
                      </w:r>
                      <w:r>
                        <w:rPr>
                          <w:color w:val="000000"/>
                          <w:sz w:val="18"/>
                        </w:rPr>
                        <w:t>7</w:t>
                      </w:r>
                      <w:r>
                        <w:rPr>
                          <w:color w:val="000000"/>
                          <w:spacing w:val="34"/>
                          <w:sz w:val="18"/>
                        </w:rPr>
                        <w:t xml:space="preserve"> </w:t>
                      </w:r>
                      <w:r>
                        <w:rPr>
                          <w:color w:val="000000"/>
                          <w:sz w:val="18"/>
                        </w:rPr>
                        <w:t>B)</w:t>
                      </w:r>
                      <w:r>
                        <w:rPr>
                          <w:color w:val="000000"/>
                          <w:spacing w:val="34"/>
                          <w:sz w:val="18"/>
                        </w:rPr>
                        <w:t xml:space="preserve"> </w:t>
                      </w:r>
                      <w:r>
                        <w:rPr>
                          <w:color w:val="000000"/>
                          <w:sz w:val="18"/>
                        </w:rPr>
                        <w:t>h),</w:t>
                      </w:r>
                      <w:r>
                        <w:rPr>
                          <w:color w:val="000000"/>
                          <w:spacing w:val="34"/>
                          <w:sz w:val="18"/>
                        </w:rPr>
                        <w:t xml:space="preserve"> </w:t>
                      </w:r>
                      <w:r>
                        <w:rPr>
                          <w:color w:val="000000"/>
                          <w:sz w:val="18"/>
                        </w:rPr>
                        <w:t>por</w:t>
                      </w:r>
                      <w:r>
                        <w:rPr>
                          <w:color w:val="000000"/>
                          <w:spacing w:val="34"/>
                          <w:sz w:val="18"/>
                        </w:rPr>
                        <w:t xml:space="preserve"> </w:t>
                      </w:r>
                      <w:r>
                        <w:rPr>
                          <w:color w:val="000000"/>
                          <w:sz w:val="18"/>
                        </w:rPr>
                        <w:t>la</w:t>
                      </w:r>
                      <w:r>
                        <w:rPr>
                          <w:color w:val="000000"/>
                          <w:spacing w:val="34"/>
                          <w:sz w:val="18"/>
                        </w:rPr>
                        <w:t xml:space="preserve"> </w:t>
                      </w:r>
                      <w:r>
                        <w:rPr>
                          <w:color w:val="000000"/>
                          <w:sz w:val="18"/>
                        </w:rPr>
                        <w:t>Sentencia</w:t>
                      </w:r>
                      <w:r>
                        <w:rPr>
                          <w:color w:val="000000"/>
                          <w:spacing w:val="34"/>
                          <w:sz w:val="18"/>
                        </w:rPr>
                        <w:t xml:space="preserve"> </w:t>
                      </w:r>
                      <w:r>
                        <w:rPr>
                          <w:color w:val="000000"/>
                          <w:sz w:val="18"/>
                        </w:rPr>
                        <w:t>del</w:t>
                      </w:r>
                      <w:r>
                        <w:rPr>
                          <w:color w:val="000000"/>
                          <w:spacing w:val="34"/>
                          <w:sz w:val="18"/>
                        </w:rPr>
                        <w:t xml:space="preserve"> </w:t>
                      </w:r>
                      <w:r>
                        <w:rPr>
                          <w:color w:val="000000"/>
                          <w:sz w:val="18"/>
                        </w:rPr>
                        <w:t>TC</w:t>
                      </w:r>
                      <w:r>
                        <w:rPr>
                          <w:color w:val="000000"/>
                          <w:spacing w:val="34"/>
                          <w:sz w:val="18"/>
                        </w:rPr>
                        <w:t xml:space="preserve"> </w:t>
                      </w:r>
                      <w:r>
                        <w:rPr>
                          <w:color w:val="000000"/>
                          <w:sz w:val="18"/>
                        </w:rPr>
                        <w:t>68/2021,</w:t>
                      </w:r>
                      <w:r>
                        <w:rPr>
                          <w:color w:val="000000"/>
                          <w:spacing w:val="34"/>
                          <w:sz w:val="18"/>
                        </w:rPr>
                        <w:t xml:space="preserve"> </w:t>
                      </w:r>
                      <w:r>
                        <w:rPr>
                          <w:color w:val="000000"/>
                          <w:sz w:val="18"/>
                        </w:rPr>
                        <w:t>de</w:t>
                      </w:r>
                      <w:r>
                        <w:rPr>
                          <w:color w:val="000000"/>
                          <w:spacing w:val="34"/>
                          <w:sz w:val="18"/>
                        </w:rPr>
                        <w:t xml:space="preserve"> </w:t>
                      </w:r>
                      <w:r>
                        <w:rPr>
                          <w:color w:val="000000"/>
                          <w:sz w:val="18"/>
                        </w:rPr>
                        <w:t>18</w:t>
                      </w:r>
                      <w:r>
                        <w:rPr>
                          <w:color w:val="000000"/>
                          <w:spacing w:val="34"/>
                          <w:sz w:val="18"/>
                        </w:rPr>
                        <w:t xml:space="preserve"> </w:t>
                      </w:r>
                      <w:r>
                        <w:rPr>
                          <w:color w:val="000000"/>
                          <w:sz w:val="18"/>
                        </w:rPr>
                        <w:t>de</w:t>
                      </w:r>
                      <w:r>
                        <w:rPr>
                          <w:color w:val="000000"/>
                          <w:spacing w:val="34"/>
                          <w:sz w:val="18"/>
                        </w:rPr>
                        <w:t xml:space="preserve"> </w:t>
                      </w:r>
                      <w:r>
                        <w:rPr>
                          <w:color w:val="000000"/>
                          <w:sz w:val="18"/>
                        </w:rPr>
                        <w:t>marzo.</w:t>
                      </w:r>
                      <w:r>
                        <w:rPr>
                          <w:color w:val="000000"/>
                          <w:spacing w:val="33"/>
                          <w:sz w:val="18"/>
                        </w:rPr>
                        <w:t xml:space="preserve"> </w:t>
                      </w:r>
                      <w:hyperlink r:id="rId37">
                        <w:r>
                          <w:rPr>
                            <w:color w:val="0000FF"/>
                            <w:sz w:val="18"/>
                            <w:u w:val="single" w:color="0000FF"/>
                          </w:rPr>
                          <w:t>Ref.</w:t>
                        </w:r>
                        <w:r>
                          <w:rPr>
                            <w:color w:val="0000FF"/>
                            <w:spacing w:val="34"/>
                            <w:sz w:val="18"/>
                            <w:u w:val="single" w:color="0000FF"/>
                          </w:rPr>
                          <w:t xml:space="preserve"> </w:t>
                        </w:r>
                        <w:r>
                          <w:rPr>
                            <w:color w:val="0000FF"/>
                            <w:sz w:val="18"/>
                            <w:u w:val="single" w:color="0000FF"/>
                          </w:rPr>
                          <w:t>BOE-</w:t>
                        </w:r>
                      </w:hyperlink>
                      <w:r>
                        <w:rPr>
                          <w:color w:val="0000FF"/>
                          <w:sz w:val="18"/>
                        </w:rPr>
                        <w:t xml:space="preserve"> </w:t>
                      </w:r>
                      <w:hyperlink r:id="rId38">
                        <w:r>
                          <w:rPr>
                            <w:color w:val="0000FF"/>
                            <w:spacing w:val="-2"/>
                            <w:sz w:val="18"/>
                            <w:u w:val="single" w:color="0000FF"/>
                          </w:rPr>
                          <w:t>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1"/>
          <w:numId w:val="197"/>
        </w:numPr>
        <w:tabs>
          <w:tab w:val="left" w:pos="1730"/>
        </w:tabs>
        <w:spacing w:before="0" w:line="249" w:lineRule="auto"/>
        <w:ind w:firstLine="340"/>
        <w:jc w:val="both"/>
        <w:rPr>
          <w:sz w:val="20"/>
        </w:rPr>
      </w:pPr>
      <w:r>
        <w:rPr>
          <w:sz w:val="20"/>
        </w:rPr>
        <w:t>En la fase de ejecución de las obras, servicios o suministros derivados de este procedimiento,</w:t>
      </w:r>
      <w:r>
        <w:rPr>
          <w:spacing w:val="-2"/>
          <w:sz w:val="20"/>
        </w:rPr>
        <w:t xml:space="preserve"> </w:t>
      </w:r>
      <w:r>
        <w:rPr>
          <w:sz w:val="20"/>
        </w:rPr>
        <w:t>por</w:t>
      </w:r>
      <w:r>
        <w:rPr>
          <w:spacing w:val="-2"/>
          <w:sz w:val="20"/>
        </w:rPr>
        <w:t xml:space="preserve"> </w:t>
      </w:r>
      <w:r>
        <w:rPr>
          <w:sz w:val="20"/>
        </w:rPr>
        <w:t>las</w:t>
      </w:r>
      <w:r>
        <w:rPr>
          <w:spacing w:val="-2"/>
          <w:sz w:val="20"/>
        </w:rPr>
        <w:t xml:space="preserve"> </w:t>
      </w:r>
      <w:r>
        <w:rPr>
          <w:sz w:val="20"/>
        </w:rPr>
        <w:t>normas</w:t>
      </w:r>
      <w:r>
        <w:rPr>
          <w:spacing w:val="-2"/>
          <w:sz w:val="20"/>
        </w:rPr>
        <w:t xml:space="preserve"> </w:t>
      </w:r>
      <w:r>
        <w:rPr>
          <w:sz w:val="20"/>
        </w:rPr>
        <w:t>correspondientes</w:t>
      </w:r>
      <w:r>
        <w:rPr>
          <w:spacing w:val="-2"/>
          <w:sz w:val="20"/>
        </w:rPr>
        <w:t xml:space="preserve"> </w:t>
      </w:r>
      <w:r>
        <w:rPr>
          <w:sz w:val="20"/>
        </w:rPr>
        <w:t>al</w:t>
      </w:r>
      <w:r>
        <w:rPr>
          <w:spacing w:val="-2"/>
          <w:sz w:val="20"/>
        </w:rPr>
        <w:t xml:space="preserve"> </w:t>
      </w:r>
      <w:r>
        <w:rPr>
          <w:sz w:val="20"/>
        </w:rPr>
        <w:t>contrato</w:t>
      </w:r>
      <w:r>
        <w:rPr>
          <w:spacing w:val="-2"/>
          <w:sz w:val="20"/>
        </w:rPr>
        <w:t xml:space="preserve"> </w:t>
      </w:r>
      <w:r>
        <w:rPr>
          <w:sz w:val="20"/>
        </w:rPr>
        <w:t>relativo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prestación</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 xml:space="preserve">se </w:t>
      </w:r>
      <w:r>
        <w:rPr>
          <w:spacing w:val="-2"/>
          <w:sz w:val="20"/>
        </w:rPr>
        <w:t>trate.</w:t>
      </w:r>
    </w:p>
    <w:p w:rsidR="0092635B" w:rsidRDefault="00000000">
      <w:pPr>
        <w:spacing w:before="229"/>
        <w:ind w:left="1106"/>
        <w:rPr>
          <w:rFonts w:ascii="Arial" w:hAnsi="Arial"/>
          <w:i/>
          <w:sz w:val="20"/>
        </w:rPr>
      </w:pPr>
      <w:bookmarkStart w:id="279" w:name="Artículo_178._Selección_de_candidatos."/>
      <w:bookmarkEnd w:id="279"/>
      <w:r>
        <w:rPr>
          <w:rFonts w:ascii="Arial" w:hAnsi="Arial"/>
          <w:b/>
          <w:sz w:val="20"/>
        </w:rPr>
        <w:t>Artículo</w:t>
      </w:r>
      <w:r>
        <w:rPr>
          <w:rFonts w:ascii="Arial" w:hAnsi="Arial"/>
          <w:b/>
          <w:spacing w:val="-4"/>
          <w:sz w:val="20"/>
        </w:rPr>
        <w:t xml:space="preserve"> </w:t>
      </w:r>
      <w:r>
        <w:rPr>
          <w:rFonts w:ascii="Arial" w:hAnsi="Arial"/>
          <w:b/>
          <w:sz w:val="20"/>
        </w:rPr>
        <w:t>178.</w:t>
      </w:r>
      <w:r>
        <w:rPr>
          <w:rFonts w:ascii="Arial" w:hAnsi="Arial"/>
          <w:b/>
          <w:spacing w:val="50"/>
          <w:sz w:val="20"/>
        </w:rPr>
        <w:t xml:space="preserve"> </w:t>
      </w:r>
      <w:r>
        <w:rPr>
          <w:rFonts w:ascii="Arial" w:hAnsi="Arial"/>
          <w:i/>
          <w:sz w:val="20"/>
        </w:rPr>
        <w:t>Selección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candidatos.</w:t>
      </w:r>
    </w:p>
    <w:p w:rsidR="0092635B" w:rsidRDefault="00000000">
      <w:pPr>
        <w:pStyle w:val="Prrafodelista"/>
        <w:numPr>
          <w:ilvl w:val="0"/>
          <w:numId w:val="196"/>
        </w:numPr>
        <w:tabs>
          <w:tab w:val="left" w:pos="1706"/>
        </w:tabs>
        <w:spacing w:before="124" w:line="249" w:lineRule="auto"/>
        <w:ind w:firstLine="340"/>
        <w:jc w:val="both"/>
        <w:rPr>
          <w:sz w:val="20"/>
        </w:rPr>
      </w:pPr>
      <w:r>
        <w:rPr>
          <w:sz w:val="20"/>
        </w:rPr>
        <w:t xml:space="preserve">En las asociaciones para la innovación, cualquier empresario podrá presentar una solicitud de participación en respuesta a una convocatoria de licitación, proporcionando la información sobre los criterios objetivos de solvencia que haya solicitado el órgano de </w:t>
      </w:r>
      <w:r>
        <w:rPr>
          <w:spacing w:val="-2"/>
          <w:sz w:val="20"/>
        </w:rPr>
        <w:t>contratación.</w:t>
      </w:r>
    </w:p>
    <w:p w:rsidR="0092635B" w:rsidRDefault="00000000">
      <w:pPr>
        <w:pStyle w:val="Prrafodelista"/>
        <w:numPr>
          <w:ilvl w:val="0"/>
          <w:numId w:val="196"/>
        </w:numPr>
        <w:tabs>
          <w:tab w:val="left" w:pos="1691"/>
        </w:tabs>
        <w:spacing w:before="3" w:line="249" w:lineRule="auto"/>
        <w:ind w:right="1105" w:firstLine="340"/>
        <w:jc w:val="both"/>
        <w:rPr>
          <w:sz w:val="20"/>
        </w:rPr>
      </w:pPr>
      <w:r>
        <w:rPr>
          <w:sz w:val="20"/>
        </w:rPr>
        <w:t>El plazo mínimo para la recepción de las solicitudes de participación será de treinta días a partir de la fecha de envío del anuncio de licitación, cuando el contrato esté sujeto a regulación armonizada. En otro caso, dicho plazo no podrá ser inferior a veinte días</w:t>
      </w:r>
      <w:r>
        <w:rPr>
          <w:spacing w:val="80"/>
          <w:sz w:val="20"/>
        </w:rPr>
        <w:t xml:space="preserve"> </w:t>
      </w:r>
      <w:r>
        <w:rPr>
          <w:sz w:val="20"/>
        </w:rPr>
        <w:t>contados desde la publicación del anuncio de licitación en el perfil de contratante.</w:t>
      </w:r>
    </w:p>
    <w:p w:rsidR="0092635B" w:rsidRDefault="00000000">
      <w:pPr>
        <w:pStyle w:val="Prrafodelista"/>
        <w:numPr>
          <w:ilvl w:val="0"/>
          <w:numId w:val="196"/>
        </w:numPr>
        <w:tabs>
          <w:tab w:val="left" w:pos="1685"/>
        </w:tabs>
        <w:spacing w:before="3" w:line="249" w:lineRule="auto"/>
        <w:ind w:right="1104" w:firstLine="340"/>
        <w:jc w:val="both"/>
        <w:rPr>
          <w:sz w:val="20"/>
        </w:rPr>
      </w:pPr>
      <w:r>
        <w:rPr>
          <w:sz w:val="20"/>
        </w:rPr>
        <w:t>A los efectos de seleccionar a los candidatos, los órganos de contratación aplicarán, en</w:t>
      </w:r>
      <w:r>
        <w:rPr>
          <w:spacing w:val="-2"/>
          <w:sz w:val="20"/>
        </w:rPr>
        <w:t xml:space="preserve"> </w:t>
      </w:r>
      <w:r>
        <w:rPr>
          <w:sz w:val="20"/>
        </w:rPr>
        <w:t>particular,</w:t>
      </w:r>
      <w:r>
        <w:rPr>
          <w:spacing w:val="-1"/>
          <w:sz w:val="20"/>
        </w:rPr>
        <w:t xml:space="preserve"> </w:t>
      </w:r>
      <w:r>
        <w:rPr>
          <w:sz w:val="20"/>
        </w:rPr>
        <w:t>criterios</w:t>
      </w:r>
      <w:r>
        <w:rPr>
          <w:spacing w:val="-1"/>
          <w:sz w:val="20"/>
        </w:rPr>
        <w:t xml:space="preserve"> </w:t>
      </w:r>
      <w:r>
        <w:rPr>
          <w:sz w:val="20"/>
        </w:rPr>
        <w:t>objetivos</w:t>
      </w:r>
      <w:r>
        <w:rPr>
          <w:spacing w:val="-2"/>
          <w:sz w:val="20"/>
        </w:rPr>
        <w:t xml:space="preserve"> </w:t>
      </w:r>
      <w:r>
        <w:rPr>
          <w:sz w:val="20"/>
        </w:rPr>
        <w:t>de</w:t>
      </w:r>
      <w:r>
        <w:rPr>
          <w:spacing w:val="-1"/>
          <w:sz w:val="20"/>
        </w:rPr>
        <w:t xml:space="preserve"> </w:t>
      </w:r>
      <w:r>
        <w:rPr>
          <w:sz w:val="20"/>
        </w:rPr>
        <w:t>solvencia</w:t>
      </w:r>
      <w:r>
        <w:rPr>
          <w:spacing w:val="-1"/>
          <w:sz w:val="20"/>
        </w:rPr>
        <w:t xml:space="preserve"> </w:t>
      </w:r>
      <w:r>
        <w:rPr>
          <w:sz w:val="20"/>
        </w:rPr>
        <w:t>relativos</w:t>
      </w:r>
      <w:r>
        <w:rPr>
          <w:spacing w:val="-1"/>
          <w:sz w:val="20"/>
        </w:rPr>
        <w:t xml:space="preserve"> </w:t>
      </w:r>
      <w:r>
        <w:rPr>
          <w:sz w:val="20"/>
        </w:rPr>
        <w:t>a</w:t>
      </w:r>
      <w:r>
        <w:rPr>
          <w:spacing w:val="-2"/>
          <w:sz w:val="20"/>
        </w:rPr>
        <w:t xml:space="preserve"> </w:t>
      </w:r>
      <w:r>
        <w:rPr>
          <w:sz w:val="20"/>
        </w:rPr>
        <w:t>la</w:t>
      </w:r>
      <w:r>
        <w:rPr>
          <w:spacing w:val="-1"/>
          <w:sz w:val="20"/>
        </w:rPr>
        <w:t xml:space="preserve"> </w:t>
      </w:r>
      <w:r>
        <w:rPr>
          <w:sz w:val="20"/>
        </w:rPr>
        <w:t>capacidad</w:t>
      </w:r>
      <w:r>
        <w:rPr>
          <w:spacing w:val="-1"/>
          <w:sz w:val="20"/>
        </w:rPr>
        <w:t xml:space="preserve"> </w:t>
      </w:r>
      <w:r>
        <w:rPr>
          <w:sz w:val="20"/>
        </w:rPr>
        <w:t>de</w:t>
      </w:r>
      <w:r>
        <w:rPr>
          <w:spacing w:val="-2"/>
          <w:sz w:val="20"/>
        </w:rPr>
        <w:t xml:space="preserve"> </w:t>
      </w:r>
      <w:r>
        <w:rPr>
          <w:sz w:val="20"/>
        </w:rPr>
        <w:t>los</w:t>
      </w:r>
      <w:r>
        <w:rPr>
          <w:spacing w:val="-1"/>
          <w:sz w:val="20"/>
        </w:rPr>
        <w:t xml:space="preserve"> </w:t>
      </w:r>
      <w:r>
        <w:rPr>
          <w:sz w:val="20"/>
        </w:rPr>
        <w:t>candidatos</w:t>
      </w:r>
      <w:r>
        <w:rPr>
          <w:spacing w:val="-1"/>
          <w:sz w:val="20"/>
        </w:rPr>
        <w:t xml:space="preserve"> </w:t>
      </w:r>
      <w:r>
        <w:rPr>
          <w:sz w:val="20"/>
        </w:rPr>
        <w:t>en</w:t>
      </w:r>
      <w:r>
        <w:rPr>
          <w:spacing w:val="-1"/>
          <w:sz w:val="20"/>
        </w:rPr>
        <w:t xml:space="preserve"> </w:t>
      </w:r>
      <w:r>
        <w:rPr>
          <w:spacing w:val="-5"/>
          <w:sz w:val="20"/>
        </w:rPr>
        <w:t>los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hanging="1"/>
      </w:pPr>
      <w:r>
        <w:t>ámbitos de la investigación y del desarrollo, así como en la elaboración y aplicación de soluciones innovadoras.</w:t>
      </w:r>
    </w:p>
    <w:p w:rsidR="0092635B" w:rsidRDefault="00000000">
      <w:pPr>
        <w:pStyle w:val="Textoindependiente"/>
        <w:spacing w:before="1" w:line="249" w:lineRule="auto"/>
        <w:ind w:right="1104"/>
      </w:pPr>
      <w:r>
        <w:t>Solo los empresarios a los que invite el órgano de contratación tras evaluar la</w:t>
      </w:r>
      <w:r>
        <w:rPr>
          <w:spacing w:val="40"/>
        </w:rPr>
        <w:t xml:space="preserve"> </w:t>
      </w:r>
      <w:r>
        <w:t>información solicitada podrán presentar proyectos de investigación e innovación destinados</w:t>
      </w:r>
      <w:r>
        <w:rPr>
          <w:spacing w:val="80"/>
        </w:rPr>
        <w:t xml:space="preserve"> </w:t>
      </w:r>
      <w:r>
        <w:t>a responder a las necesidades señaladas por el órgano de contratación que no puedan satisfacerse con las soluciones existentes.</w:t>
      </w:r>
    </w:p>
    <w:p w:rsidR="0092635B" w:rsidRDefault="00000000">
      <w:pPr>
        <w:pStyle w:val="Textoindependiente"/>
        <w:spacing w:before="4" w:line="249" w:lineRule="auto"/>
        <w:ind w:right="1103"/>
      </w:pPr>
      <w:r>
        <w:t>Los órganos de contratación podrán limitar el número de candidatos aptos que hayan de ser invitados a participar en el procedimiento, de conformidad con el artículo 162.2, siendo tres el número mínimo de empresarios a los que se invitará a negociar.</w:t>
      </w:r>
    </w:p>
    <w:p w:rsidR="0092635B" w:rsidRDefault="00000000">
      <w:pPr>
        <w:spacing w:before="229"/>
        <w:ind w:left="1106"/>
        <w:jc w:val="both"/>
        <w:rPr>
          <w:rFonts w:ascii="Arial" w:hAnsi="Arial"/>
          <w:i/>
          <w:sz w:val="20"/>
        </w:rPr>
      </w:pPr>
      <w:bookmarkStart w:id="280" w:name="Artículo_179._Negociación_y_adjudicación"/>
      <w:bookmarkEnd w:id="280"/>
      <w:r>
        <w:rPr>
          <w:rFonts w:ascii="Arial" w:hAnsi="Arial"/>
          <w:b/>
          <w:sz w:val="20"/>
        </w:rPr>
        <w:t>Artículo</w:t>
      </w:r>
      <w:r>
        <w:rPr>
          <w:rFonts w:ascii="Arial" w:hAnsi="Arial"/>
          <w:b/>
          <w:spacing w:val="-3"/>
          <w:sz w:val="20"/>
        </w:rPr>
        <w:t xml:space="preserve"> </w:t>
      </w:r>
      <w:r>
        <w:rPr>
          <w:rFonts w:ascii="Arial" w:hAnsi="Arial"/>
          <w:b/>
          <w:sz w:val="20"/>
        </w:rPr>
        <w:t>179.</w:t>
      </w:r>
      <w:r>
        <w:rPr>
          <w:rFonts w:ascii="Arial" w:hAnsi="Arial"/>
          <w:b/>
          <w:spacing w:val="48"/>
          <w:sz w:val="20"/>
        </w:rPr>
        <w:t xml:space="preserve"> </w:t>
      </w:r>
      <w:r>
        <w:rPr>
          <w:rFonts w:ascii="Arial" w:hAnsi="Arial"/>
          <w:i/>
          <w:sz w:val="20"/>
        </w:rPr>
        <w:t>Negociación</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adjudicación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asociación.</w:t>
      </w:r>
    </w:p>
    <w:p w:rsidR="0092635B" w:rsidRDefault="00000000">
      <w:pPr>
        <w:pStyle w:val="Prrafodelista"/>
        <w:numPr>
          <w:ilvl w:val="0"/>
          <w:numId w:val="195"/>
        </w:numPr>
        <w:tabs>
          <w:tab w:val="left" w:pos="1711"/>
        </w:tabs>
        <w:spacing w:before="123" w:line="249" w:lineRule="auto"/>
        <w:ind w:firstLine="340"/>
        <w:jc w:val="both"/>
        <w:rPr>
          <w:sz w:val="20"/>
        </w:rPr>
      </w:pPr>
      <w:r>
        <w:rPr>
          <w:sz w:val="20"/>
        </w:rPr>
        <w:t xml:space="preserve">Concluida la selección de los candidatos, el órgano de contratación les invitará a presentar sus proyectos de investigación e innovación para responder a las necesidades a </w:t>
      </w:r>
      <w:r>
        <w:rPr>
          <w:spacing w:val="-2"/>
          <w:sz w:val="20"/>
        </w:rPr>
        <w:t>cubrir.</w:t>
      </w:r>
    </w:p>
    <w:p w:rsidR="0092635B" w:rsidRDefault="00000000">
      <w:pPr>
        <w:pStyle w:val="Prrafodelista"/>
        <w:numPr>
          <w:ilvl w:val="0"/>
          <w:numId w:val="195"/>
        </w:numPr>
        <w:tabs>
          <w:tab w:val="left" w:pos="1694"/>
        </w:tabs>
        <w:spacing w:before="3" w:line="249" w:lineRule="auto"/>
        <w:ind w:right="1106" w:firstLine="340"/>
        <w:jc w:val="both"/>
        <w:rPr>
          <w:sz w:val="20"/>
        </w:rPr>
      </w:pPr>
      <w:r>
        <w:rPr>
          <w:sz w:val="20"/>
        </w:rPr>
        <w:t>Los contratos se adjudicarán únicamente con arreglo al criterio de la mejor relación calidad-precio, según lo dispuesto en el artículo 145.2.</w:t>
      </w:r>
    </w:p>
    <w:p w:rsidR="0092635B" w:rsidRDefault="00000000">
      <w:pPr>
        <w:pStyle w:val="Prrafodelista"/>
        <w:numPr>
          <w:ilvl w:val="0"/>
          <w:numId w:val="195"/>
        </w:numPr>
        <w:tabs>
          <w:tab w:val="left" w:pos="1679"/>
        </w:tabs>
        <w:spacing w:before="1" w:line="249" w:lineRule="auto"/>
        <w:ind w:right="1102" w:firstLine="340"/>
        <w:jc w:val="both"/>
        <w:rPr>
          <w:sz w:val="20"/>
        </w:rPr>
      </w:pPr>
      <w:r>
        <w:rPr>
          <w:sz w:val="20"/>
        </w:rPr>
        <w:t>Salvo que se disponga de otro modo, los órganos de contratación negociarán con los candidatos seleccionados las ofertas iniciales y todas las ofertas ulteriores presentadas por estos, excepto la oferta definitiva, con el fin de mejorar su contenido.</w:t>
      </w:r>
    </w:p>
    <w:p w:rsidR="0092635B" w:rsidRDefault="00000000">
      <w:pPr>
        <w:pStyle w:val="Textoindependiente"/>
        <w:spacing w:before="3"/>
        <w:ind w:left="1446" w:firstLine="0"/>
      </w:pPr>
      <w:r>
        <w:t>No</w:t>
      </w:r>
      <w:r>
        <w:rPr>
          <w:spacing w:val="-2"/>
        </w:rPr>
        <w:t xml:space="preserve"> </w:t>
      </w:r>
      <w:r>
        <w:t>se</w:t>
      </w:r>
      <w:r>
        <w:rPr>
          <w:spacing w:val="-1"/>
        </w:rPr>
        <w:t xml:space="preserve"> </w:t>
      </w:r>
      <w:r>
        <w:t>negociarán</w:t>
      </w:r>
      <w:r>
        <w:rPr>
          <w:spacing w:val="-1"/>
        </w:rPr>
        <w:t xml:space="preserve"> </w:t>
      </w:r>
      <w:r>
        <w:t>los</w:t>
      </w:r>
      <w:r>
        <w:rPr>
          <w:spacing w:val="-2"/>
        </w:rPr>
        <w:t xml:space="preserve"> </w:t>
      </w:r>
      <w:r>
        <w:t>requisitos</w:t>
      </w:r>
      <w:r>
        <w:rPr>
          <w:spacing w:val="-1"/>
        </w:rPr>
        <w:t xml:space="preserve"> </w:t>
      </w:r>
      <w:r>
        <w:t>mínimos</w:t>
      </w:r>
      <w:r>
        <w:rPr>
          <w:spacing w:val="-1"/>
        </w:rPr>
        <w:t xml:space="preserve"> </w:t>
      </w:r>
      <w:r>
        <w:t>ni</w:t>
      </w:r>
      <w:r>
        <w:rPr>
          <w:spacing w:val="-2"/>
        </w:rPr>
        <w:t xml:space="preserve"> </w:t>
      </w:r>
      <w:r>
        <w:t>los</w:t>
      </w:r>
      <w:r>
        <w:rPr>
          <w:spacing w:val="-1"/>
        </w:rPr>
        <w:t xml:space="preserve"> </w:t>
      </w:r>
      <w:r>
        <w:t>criterios</w:t>
      </w:r>
      <w:r>
        <w:rPr>
          <w:spacing w:val="-1"/>
        </w:rPr>
        <w:t xml:space="preserve"> </w:t>
      </w:r>
      <w:r>
        <w:t>de</w:t>
      </w:r>
      <w:r>
        <w:rPr>
          <w:spacing w:val="-1"/>
        </w:rPr>
        <w:t xml:space="preserve"> </w:t>
      </w:r>
      <w:r>
        <w:rPr>
          <w:spacing w:val="-2"/>
        </w:rPr>
        <w:t>adjudicación.</w:t>
      </w:r>
    </w:p>
    <w:p w:rsidR="0092635B" w:rsidRDefault="00000000">
      <w:pPr>
        <w:pStyle w:val="Prrafodelista"/>
        <w:numPr>
          <w:ilvl w:val="0"/>
          <w:numId w:val="195"/>
        </w:numPr>
        <w:tabs>
          <w:tab w:val="left" w:pos="1679"/>
        </w:tabs>
        <w:spacing w:before="10" w:line="249" w:lineRule="auto"/>
        <w:ind w:right="1104" w:firstLine="340"/>
        <w:jc w:val="both"/>
        <w:rPr>
          <w:sz w:val="20"/>
        </w:rPr>
      </w:pPr>
      <w:r>
        <w:rPr>
          <w:sz w:val="20"/>
        </w:rPr>
        <w:t>Las negociaciones durante los procedimientos de las asociaciones para la innovación podrán desarrollarse en fases sucesivas, a fin de reducir el número de ofertas que haya que negociar, aplicando los criterios de adjudicación especificados en los pliegos de cláusulas administrativas particulares y recogidos en el anuncio de licitación. El órgano de contratación indicará claramente en el anuncio de licitación y en los pliegos de cláusulas administrativas particulares si va a hacer uso de esta opción.</w:t>
      </w:r>
    </w:p>
    <w:p w:rsidR="0092635B" w:rsidRDefault="00000000">
      <w:pPr>
        <w:pStyle w:val="Prrafodelista"/>
        <w:numPr>
          <w:ilvl w:val="0"/>
          <w:numId w:val="195"/>
        </w:numPr>
        <w:tabs>
          <w:tab w:val="left" w:pos="1734"/>
        </w:tabs>
        <w:spacing w:before="5" w:line="249" w:lineRule="auto"/>
        <w:ind w:firstLine="340"/>
        <w:jc w:val="both"/>
        <w:rPr>
          <w:sz w:val="20"/>
        </w:rPr>
      </w:pPr>
      <w:r>
        <w:rPr>
          <w:sz w:val="20"/>
        </w:rPr>
        <w:t>Durante la negociación, los órganos de contratación velarán por que todos los licitadores reciban igual trato. Con ese fin, no facilitarán, de forma discriminatoria,</w:t>
      </w:r>
      <w:r>
        <w:rPr>
          <w:spacing w:val="40"/>
          <w:sz w:val="20"/>
        </w:rPr>
        <w:t xml:space="preserve"> </w:t>
      </w:r>
      <w:r>
        <w:rPr>
          <w:sz w:val="20"/>
        </w:rPr>
        <w:t>información que pueda dar ventajas a determinados licitadores con respecto a otros. Informarán por escrito a todos los licitadores cuyas ofertas no hayan sido eliminadas de conformidad</w:t>
      </w:r>
      <w:r>
        <w:rPr>
          <w:spacing w:val="-2"/>
          <w:sz w:val="20"/>
        </w:rPr>
        <w:t xml:space="preserve"> </w:t>
      </w:r>
      <w:r>
        <w:rPr>
          <w:sz w:val="20"/>
        </w:rPr>
        <w:t>con</w:t>
      </w:r>
      <w:r>
        <w:rPr>
          <w:spacing w:val="-2"/>
          <w:sz w:val="20"/>
        </w:rPr>
        <w:t xml:space="preserve"> </w:t>
      </w:r>
      <w:r>
        <w:rPr>
          <w:sz w:val="20"/>
        </w:rPr>
        <w:t>el</w:t>
      </w:r>
      <w:r>
        <w:rPr>
          <w:spacing w:val="-2"/>
          <w:sz w:val="20"/>
        </w:rPr>
        <w:t xml:space="preserve"> </w:t>
      </w:r>
      <w:r>
        <w:rPr>
          <w:sz w:val="20"/>
        </w:rPr>
        <w:t>apartado</w:t>
      </w:r>
      <w:r>
        <w:rPr>
          <w:spacing w:val="-2"/>
          <w:sz w:val="20"/>
        </w:rPr>
        <w:t xml:space="preserve"> </w:t>
      </w:r>
      <w:r>
        <w:rPr>
          <w:sz w:val="20"/>
        </w:rPr>
        <w:t>anterior</w:t>
      </w:r>
      <w:r>
        <w:rPr>
          <w:spacing w:val="-2"/>
          <w:sz w:val="20"/>
        </w:rPr>
        <w:t xml:space="preserve"> </w:t>
      </w:r>
      <w:r>
        <w:rPr>
          <w:sz w:val="20"/>
        </w:rPr>
        <w:t>de</w:t>
      </w:r>
      <w:r>
        <w:rPr>
          <w:spacing w:val="-2"/>
          <w:sz w:val="20"/>
        </w:rPr>
        <w:t xml:space="preserve"> </w:t>
      </w:r>
      <w:r>
        <w:rPr>
          <w:sz w:val="20"/>
        </w:rPr>
        <w:t>todo</w:t>
      </w:r>
      <w:r>
        <w:rPr>
          <w:spacing w:val="-2"/>
          <w:sz w:val="20"/>
        </w:rPr>
        <w:t xml:space="preserve"> </w:t>
      </w:r>
      <w:r>
        <w:rPr>
          <w:sz w:val="20"/>
        </w:rPr>
        <w:t>cambio</w:t>
      </w:r>
      <w:r>
        <w:rPr>
          <w:spacing w:val="-2"/>
          <w:sz w:val="20"/>
        </w:rPr>
        <w:t xml:space="preserve"> </w:t>
      </w:r>
      <w:r>
        <w:rPr>
          <w:sz w:val="20"/>
        </w:rPr>
        <w:t>en</w:t>
      </w:r>
      <w:r>
        <w:rPr>
          <w:spacing w:val="-2"/>
          <w:sz w:val="20"/>
        </w:rPr>
        <w:t xml:space="preserve"> </w:t>
      </w:r>
      <w:r>
        <w:rPr>
          <w:sz w:val="20"/>
        </w:rPr>
        <w:t>las</w:t>
      </w:r>
      <w:r>
        <w:rPr>
          <w:spacing w:val="-2"/>
          <w:sz w:val="20"/>
        </w:rPr>
        <w:t xml:space="preserve"> </w:t>
      </w:r>
      <w:r>
        <w:rPr>
          <w:sz w:val="20"/>
        </w:rPr>
        <w:t>especificaciones</w:t>
      </w:r>
      <w:r>
        <w:rPr>
          <w:spacing w:val="-2"/>
          <w:sz w:val="20"/>
        </w:rPr>
        <w:t xml:space="preserve"> </w:t>
      </w:r>
      <w:r>
        <w:rPr>
          <w:sz w:val="20"/>
        </w:rPr>
        <w:t>técnicas</w:t>
      </w:r>
      <w:r>
        <w:rPr>
          <w:spacing w:val="-2"/>
          <w:sz w:val="20"/>
        </w:rPr>
        <w:t xml:space="preserve"> </w:t>
      </w:r>
      <w:r>
        <w:rPr>
          <w:sz w:val="20"/>
        </w:rPr>
        <w:t>u</w:t>
      </w:r>
      <w:r>
        <w:rPr>
          <w:spacing w:val="-2"/>
          <w:sz w:val="20"/>
        </w:rPr>
        <w:t xml:space="preserve"> </w:t>
      </w:r>
      <w:r>
        <w:rPr>
          <w:sz w:val="20"/>
        </w:rPr>
        <w:t>otros documentos de la contratación que no sea la que establece los requisitos mínimos. A raíz de tales cambios, los órganos de contratación darán a los licitadores tiempo suficiente para que puedan modificar y volver a presentar ofertas modificadas, según proceda.</w:t>
      </w:r>
    </w:p>
    <w:p w:rsidR="0092635B" w:rsidRDefault="00000000">
      <w:pPr>
        <w:pStyle w:val="Prrafodelista"/>
        <w:numPr>
          <w:ilvl w:val="0"/>
          <w:numId w:val="195"/>
        </w:numPr>
        <w:tabs>
          <w:tab w:val="left" w:pos="1737"/>
        </w:tabs>
        <w:spacing w:before="6" w:line="249" w:lineRule="auto"/>
        <w:ind w:firstLine="340"/>
        <w:jc w:val="both"/>
        <w:rPr>
          <w:sz w:val="20"/>
        </w:rPr>
      </w:pPr>
      <w:r>
        <w:rPr>
          <w:sz w:val="20"/>
        </w:rPr>
        <w:t>Los órganos de contratación no revelarán a los demás participantes los datos confidenciales</w:t>
      </w:r>
      <w:r>
        <w:rPr>
          <w:spacing w:val="-2"/>
          <w:sz w:val="20"/>
        </w:rPr>
        <w:t xml:space="preserve"> </w:t>
      </w:r>
      <w:r>
        <w:rPr>
          <w:sz w:val="20"/>
        </w:rPr>
        <w:t>que</w:t>
      </w:r>
      <w:r>
        <w:rPr>
          <w:spacing w:val="-2"/>
          <w:sz w:val="20"/>
        </w:rPr>
        <w:t xml:space="preserve"> </w:t>
      </w:r>
      <w:r>
        <w:rPr>
          <w:sz w:val="20"/>
        </w:rPr>
        <w:t>les</w:t>
      </w:r>
      <w:r>
        <w:rPr>
          <w:spacing w:val="-2"/>
          <w:sz w:val="20"/>
        </w:rPr>
        <w:t xml:space="preserve"> </w:t>
      </w:r>
      <w:r>
        <w:rPr>
          <w:sz w:val="20"/>
        </w:rPr>
        <w:t>hayan</w:t>
      </w:r>
      <w:r>
        <w:rPr>
          <w:spacing w:val="-2"/>
          <w:sz w:val="20"/>
        </w:rPr>
        <w:t xml:space="preserve"> </w:t>
      </w:r>
      <w:r>
        <w:rPr>
          <w:sz w:val="20"/>
        </w:rPr>
        <w:t>sido</w:t>
      </w:r>
      <w:r>
        <w:rPr>
          <w:spacing w:val="-2"/>
          <w:sz w:val="20"/>
        </w:rPr>
        <w:t xml:space="preserve"> </w:t>
      </w:r>
      <w:r>
        <w:rPr>
          <w:sz w:val="20"/>
        </w:rPr>
        <w:t>comunicados</w:t>
      </w:r>
      <w:r>
        <w:rPr>
          <w:spacing w:val="-2"/>
          <w:sz w:val="20"/>
        </w:rPr>
        <w:t xml:space="preserve"> </w:t>
      </w:r>
      <w:r>
        <w:rPr>
          <w:sz w:val="20"/>
        </w:rPr>
        <w:t>por</w:t>
      </w:r>
      <w:r>
        <w:rPr>
          <w:spacing w:val="-2"/>
          <w:sz w:val="20"/>
        </w:rPr>
        <w:t xml:space="preserve"> </w:t>
      </w:r>
      <w:r>
        <w:rPr>
          <w:sz w:val="20"/>
        </w:rPr>
        <w:t>un</w:t>
      </w:r>
      <w:r>
        <w:rPr>
          <w:spacing w:val="-2"/>
          <w:sz w:val="20"/>
        </w:rPr>
        <w:t xml:space="preserve"> </w:t>
      </w:r>
      <w:r>
        <w:rPr>
          <w:sz w:val="20"/>
        </w:rPr>
        <w:t>candidato</w:t>
      </w:r>
      <w:r>
        <w:rPr>
          <w:spacing w:val="-2"/>
          <w:sz w:val="20"/>
        </w:rPr>
        <w:t xml:space="preserve"> </w:t>
      </w:r>
      <w:r>
        <w:rPr>
          <w:sz w:val="20"/>
        </w:rPr>
        <w:t>o</w:t>
      </w:r>
      <w:r>
        <w:rPr>
          <w:spacing w:val="-2"/>
          <w:sz w:val="20"/>
        </w:rPr>
        <w:t xml:space="preserve"> </w:t>
      </w:r>
      <w:r>
        <w:rPr>
          <w:sz w:val="20"/>
        </w:rPr>
        <w:t>licitador</w:t>
      </w:r>
      <w:r>
        <w:rPr>
          <w:spacing w:val="-2"/>
          <w:sz w:val="20"/>
        </w:rPr>
        <w:t xml:space="preserve"> </w:t>
      </w:r>
      <w:r>
        <w:rPr>
          <w:sz w:val="20"/>
        </w:rPr>
        <w:t>participante</w:t>
      </w:r>
      <w:r>
        <w:rPr>
          <w:spacing w:val="-2"/>
          <w:sz w:val="20"/>
        </w:rPr>
        <w:t xml:space="preserve"> </w:t>
      </w:r>
      <w:r>
        <w:rPr>
          <w:sz w:val="20"/>
        </w:rPr>
        <w:t>en</w:t>
      </w:r>
      <w:r>
        <w:rPr>
          <w:spacing w:val="-2"/>
          <w:sz w:val="20"/>
        </w:rPr>
        <w:t xml:space="preserve"> </w:t>
      </w:r>
      <w:r>
        <w:rPr>
          <w:sz w:val="20"/>
        </w:rPr>
        <w:t xml:space="preserve">la negociación sin el acuerdo previo de este. Este acuerdo no podrá adoptar la forma de una renuncia general, sino que deberá referirse a la comunicación intencionada de información </w:t>
      </w:r>
      <w:r>
        <w:rPr>
          <w:spacing w:val="-2"/>
          <w:sz w:val="20"/>
        </w:rPr>
        <w:t>específica.</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281" w:name="Artículo_180._Estructura_de_la_asociació"/>
      <w:bookmarkEnd w:id="281"/>
      <w:r>
        <w:rPr>
          <w:rFonts w:ascii="Arial" w:hAnsi="Arial"/>
          <w:b/>
          <w:sz w:val="20"/>
        </w:rPr>
        <w:t>Artículo</w:t>
      </w:r>
      <w:r>
        <w:rPr>
          <w:rFonts w:ascii="Arial" w:hAnsi="Arial"/>
          <w:b/>
          <w:spacing w:val="-3"/>
          <w:sz w:val="20"/>
        </w:rPr>
        <w:t xml:space="preserve"> </w:t>
      </w:r>
      <w:r>
        <w:rPr>
          <w:rFonts w:ascii="Arial" w:hAnsi="Arial"/>
          <w:b/>
          <w:sz w:val="20"/>
        </w:rPr>
        <w:t>180.</w:t>
      </w:r>
      <w:r>
        <w:rPr>
          <w:rFonts w:ascii="Arial" w:hAnsi="Arial"/>
          <w:b/>
          <w:spacing w:val="49"/>
          <w:sz w:val="20"/>
        </w:rPr>
        <w:t xml:space="preserve"> </w:t>
      </w:r>
      <w:r>
        <w:rPr>
          <w:rFonts w:ascii="Arial" w:hAnsi="Arial"/>
          <w:i/>
          <w:sz w:val="20"/>
        </w:rPr>
        <w:t>Estructura</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asociación</w:t>
      </w:r>
      <w:r>
        <w:rPr>
          <w:rFonts w:ascii="Arial" w:hAnsi="Arial"/>
          <w:i/>
          <w:spacing w:val="-3"/>
          <w:sz w:val="20"/>
        </w:rPr>
        <w:t xml:space="preserve"> </w:t>
      </w:r>
      <w:r>
        <w:rPr>
          <w:rFonts w:ascii="Arial" w:hAnsi="Arial"/>
          <w:i/>
          <w:sz w:val="20"/>
        </w:rPr>
        <w:t>para</w:t>
      </w:r>
      <w:r>
        <w:rPr>
          <w:rFonts w:ascii="Arial" w:hAnsi="Arial"/>
          <w:i/>
          <w:spacing w:val="-3"/>
          <w:sz w:val="20"/>
        </w:rPr>
        <w:t xml:space="preserve"> </w:t>
      </w:r>
      <w:r>
        <w:rPr>
          <w:rFonts w:ascii="Arial" w:hAnsi="Arial"/>
          <w:i/>
          <w:sz w:val="20"/>
        </w:rPr>
        <w:t>la</w:t>
      </w:r>
      <w:r>
        <w:rPr>
          <w:rFonts w:ascii="Arial" w:hAnsi="Arial"/>
          <w:i/>
          <w:spacing w:val="-2"/>
          <w:sz w:val="20"/>
        </w:rPr>
        <w:t xml:space="preserve"> innovación.</w:t>
      </w:r>
    </w:p>
    <w:p w:rsidR="0092635B" w:rsidRDefault="00000000">
      <w:pPr>
        <w:pStyle w:val="Prrafodelista"/>
        <w:numPr>
          <w:ilvl w:val="0"/>
          <w:numId w:val="194"/>
        </w:numPr>
        <w:tabs>
          <w:tab w:val="left" w:pos="1713"/>
        </w:tabs>
        <w:spacing w:before="124" w:line="249" w:lineRule="auto"/>
        <w:ind w:firstLine="340"/>
        <w:jc w:val="both"/>
        <w:rPr>
          <w:sz w:val="20"/>
        </w:rPr>
      </w:pPr>
      <w:r>
        <w:rPr>
          <w:sz w:val="20"/>
        </w:rPr>
        <w:t>La asociación para la innovación se estructurará en fases sucesivas siguiendo la secuencia de las etapas del proceso de investigación e innovación, que podrá incluir la fabricación de los productos, la prestación de los servicios o la realización de las obras. La asociación para la innovación fijará unos objetivos intermedios que deberán alcanzar los socios y proveerá el pago de la retribución en plazos adecuados.</w:t>
      </w:r>
    </w:p>
    <w:p w:rsidR="0092635B" w:rsidRDefault="00000000">
      <w:pPr>
        <w:pStyle w:val="Textoindependiente"/>
        <w:spacing w:before="4" w:line="249" w:lineRule="auto"/>
        <w:ind w:right="1104"/>
      </w:pPr>
      <w:r>
        <w:t>Sobre la base de esos objetivos, el órgano de contratación podrá decidir, al final de cada fase, resolver la asociación para la innovación o, en el caso de una asociación para la innovación con varios socios, reducir el número de socios mediante la resolución de los contratos individuales, siempre que el órgano de contratación haya indicado en los pliegos</w:t>
      </w:r>
      <w:r>
        <w:rPr>
          <w:spacing w:val="40"/>
        </w:rPr>
        <w:t xml:space="preserve"> </w:t>
      </w:r>
      <w:r>
        <w:t>de cláusulas administrativas particulares que puede hacer uso de estas posibilidades y las condiciones en que puede hacerlo.</w:t>
      </w:r>
    </w:p>
    <w:p w:rsidR="0092635B" w:rsidRDefault="00000000">
      <w:pPr>
        <w:pStyle w:val="Textoindependiente"/>
        <w:spacing w:before="5" w:line="249" w:lineRule="auto"/>
        <w:ind w:right="1104"/>
      </w:pPr>
      <w:r>
        <w:t>En ningún caso, la resolución de la asociación para la innovación o la reducción del número de candidatos participantes dará lugar a indemnización, sin perjuicio de la contraprestación que, en las condiciones establecidas en el pliego, corresponda por los trabajos realizados.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94"/>
        </w:numPr>
        <w:tabs>
          <w:tab w:val="left" w:pos="1700"/>
        </w:tabs>
        <w:spacing w:before="1" w:line="249" w:lineRule="auto"/>
        <w:ind w:firstLine="340"/>
        <w:jc w:val="both"/>
        <w:rPr>
          <w:sz w:val="20"/>
        </w:rPr>
      </w:pPr>
      <w:r>
        <w:rPr>
          <w:sz w:val="20"/>
        </w:rPr>
        <w:t>En el caso de las asociaciones para la innovación con varios socios, el órgano de contratación no revelará a los otros socios las soluciones propuestas u otros datos confidenciales que comunique un socio en el marco de la asociación sin el acuerdo de este último. Este acuerdo no podrá adoptar la forma de una renuncia general, sino que deberá referirse a la comunicación intencionada de información específica.</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282" w:name="Artículo_181._Adquisiciones_derivadas_de"/>
      <w:bookmarkEnd w:id="282"/>
      <w:r>
        <w:rPr>
          <w:rFonts w:ascii="Arial" w:hAnsi="Arial"/>
          <w:b/>
          <w:sz w:val="20"/>
        </w:rPr>
        <w:t>Artículo</w:t>
      </w:r>
      <w:r>
        <w:rPr>
          <w:rFonts w:ascii="Arial" w:hAnsi="Arial"/>
          <w:b/>
          <w:spacing w:val="-3"/>
          <w:sz w:val="20"/>
        </w:rPr>
        <w:t xml:space="preserve"> </w:t>
      </w:r>
      <w:r>
        <w:rPr>
          <w:rFonts w:ascii="Arial" w:hAnsi="Arial"/>
          <w:b/>
          <w:sz w:val="20"/>
        </w:rPr>
        <w:t>181.</w:t>
      </w:r>
      <w:r>
        <w:rPr>
          <w:rFonts w:ascii="Arial" w:hAnsi="Arial"/>
          <w:b/>
          <w:spacing w:val="49"/>
          <w:sz w:val="20"/>
        </w:rPr>
        <w:t xml:space="preserve"> </w:t>
      </w:r>
      <w:r>
        <w:rPr>
          <w:rFonts w:ascii="Arial" w:hAnsi="Arial"/>
          <w:i/>
          <w:sz w:val="20"/>
        </w:rPr>
        <w:t>Adquisiciones</w:t>
      </w:r>
      <w:r>
        <w:rPr>
          <w:rFonts w:ascii="Arial" w:hAnsi="Arial"/>
          <w:i/>
          <w:spacing w:val="-3"/>
          <w:sz w:val="20"/>
        </w:rPr>
        <w:t xml:space="preserve"> </w:t>
      </w:r>
      <w:r>
        <w:rPr>
          <w:rFonts w:ascii="Arial" w:hAnsi="Arial"/>
          <w:i/>
          <w:sz w:val="20"/>
        </w:rPr>
        <w:t>derivadas</w:t>
      </w:r>
      <w:r>
        <w:rPr>
          <w:rFonts w:ascii="Arial" w:hAnsi="Arial"/>
          <w:i/>
          <w:spacing w:val="-2"/>
          <w:sz w:val="20"/>
        </w:rPr>
        <w:t xml:space="preserve"> </w:t>
      </w:r>
      <w:r>
        <w:rPr>
          <w:rFonts w:ascii="Arial" w:hAnsi="Arial"/>
          <w:i/>
          <w:sz w:val="20"/>
        </w:rPr>
        <w:t>del</w:t>
      </w:r>
      <w:r>
        <w:rPr>
          <w:rFonts w:ascii="Arial" w:hAnsi="Arial"/>
          <w:i/>
          <w:spacing w:val="-3"/>
          <w:sz w:val="20"/>
        </w:rPr>
        <w:t xml:space="preserve"> </w:t>
      </w:r>
      <w:r>
        <w:rPr>
          <w:rFonts w:ascii="Arial" w:hAnsi="Arial"/>
          <w:i/>
          <w:sz w:val="20"/>
        </w:rPr>
        <w:t>procedimiento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asociación</w:t>
      </w:r>
      <w:r>
        <w:rPr>
          <w:rFonts w:ascii="Arial" w:hAnsi="Arial"/>
          <w:i/>
          <w:spacing w:val="-2"/>
          <w:sz w:val="20"/>
        </w:rPr>
        <w:t xml:space="preserve"> </w:t>
      </w:r>
      <w:r>
        <w:rPr>
          <w:rFonts w:ascii="Arial" w:hAnsi="Arial"/>
          <w:i/>
          <w:sz w:val="20"/>
        </w:rPr>
        <w:t>para</w:t>
      </w:r>
      <w:r>
        <w:rPr>
          <w:rFonts w:ascii="Arial" w:hAnsi="Arial"/>
          <w:i/>
          <w:spacing w:val="-3"/>
          <w:sz w:val="20"/>
        </w:rPr>
        <w:t xml:space="preserve"> </w:t>
      </w:r>
      <w:r>
        <w:rPr>
          <w:rFonts w:ascii="Arial" w:hAnsi="Arial"/>
          <w:i/>
          <w:sz w:val="20"/>
        </w:rPr>
        <w:t>la</w:t>
      </w:r>
      <w:r>
        <w:rPr>
          <w:rFonts w:ascii="Arial" w:hAnsi="Arial"/>
          <w:i/>
          <w:spacing w:val="-2"/>
          <w:sz w:val="20"/>
        </w:rPr>
        <w:t xml:space="preserve"> innovación.</w:t>
      </w:r>
    </w:p>
    <w:p w:rsidR="0092635B" w:rsidRDefault="00000000">
      <w:pPr>
        <w:pStyle w:val="Prrafodelista"/>
        <w:numPr>
          <w:ilvl w:val="0"/>
          <w:numId w:val="193"/>
        </w:numPr>
        <w:tabs>
          <w:tab w:val="left" w:pos="1671"/>
        </w:tabs>
        <w:spacing w:before="123" w:line="249" w:lineRule="auto"/>
        <w:ind w:firstLine="340"/>
        <w:jc w:val="both"/>
        <w:rPr>
          <w:sz w:val="20"/>
        </w:rPr>
      </w:pPr>
      <w:r>
        <w:rPr>
          <w:sz w:val="20"/>
        </w:rPr>
        <w:t>Finalizadas las fases de investigación y desarrollo, el órgano de contratación analizará si sus resultados alcanzan los niveles de rendimiento y costes acordados y resolverá lo procedente sobre la adquisición de las obras, servicios o suministros resultantes.</w:t>
      </w:r>
    </w:p>
    <w:p w:rsidR="0092635B" w:rsidRDefault="00000000">
      <w:pPr>
        <w:pStyle w:val="Prrafodelista"/>
        <w:numPr>
          <w:ilvl w:val="0"/>
          <w:numId w:val="193"/>
        </w:numPr>
        <w:tabs>
          <w:tab w:val="left" w:pos="1688"/>
        </w:tabs>
        <w:spacing w:line="249" w:lineRule="auto"/>
        <w:ind w:firstLine="340"/>
        <w:jc w:val="both"/>
        <w:rPr>
          <w:sz w:val="20"/>
        </w:rPr>
      </w:pPr>
      <w:r>
        <w:rPr>
          <w:sz w:val="20"/>
        </w:rPr>
        <w:t>Las adquisiciones derivadas de asociaciones para la innovación se realizarán en los términos establecidos en el pliego de cláusulas administrativas particulares. Cuando la asociación se realice con varios empresarios la selección del empresario al que se deba efectuar dichas adquisiciones se realizará sobre las base de los criterios objetivos que se hayan establecido en el pliego.</w:t>
      </w:r>
    </w:p>
    <w:p w:rsidR="0092635B" w:rsidRDefault="00000000">
      <w:pPr>
        <w:pStyle w:val="Prrafodelista"/>
        <w:numPr>
          <w:ilvl w:val="0"/>
          <w:numId w:val="193"/>
        </w:numPr>
        <w:tabs>
          <w:tab w:val="left" w:pos="1706"/>
        </w:tabs>
        <w:spacing w:before="5" w:line="249" w:lineRule="auto"/>
        <w:ind w:firstLine="340"/>
        <w:jc w:val="both"/>
        <w:rPr>
          <w:sz w:val="20"/>
        </w:rPr>
      </w:pPr>
      <w:r>
        <w:rPr>
          <w:sz w:val="20"/>
        </w:rPr>
        <w:t>En el caso de que la adquisición de las obras, servicios o suministros conlleve la realización de prestaciones sucesivas, aquella solo se podrá llevar a cabo durante un</w:t>
      </w:r>
      <w:r>
        <w:rPr>
          <w:spacing w:val="40"/>
          <w:sz w:val="20"/>
        </w:rPr>
        <w:t xml:space="preserve"> </w:t>
      </w:r>
      <w:r>
        <w:rPr>
          <w:sz w:val="20"/>
        </w:rPr>
        <w:t>periodo máximo de cuatro años a partir de la recepción de la resolución sobre la adquisición de las obras, servicios o suministros a la que se refiere el apartado 1 del presente artículo.</w:t>
      </w:r>
    </w:p>
    <w:p w:rsidR="0092635B" w:rsidRDefault="00000000">
      <w:pPr>
        <w:spacing w:before="230" w:line="249" w:lineRule="auto"/>
        <w:ind w:left="1106" w:right="1120" w:hanging="1"/>
        <w:rPr>
          <w:rFonts w:ascii="Arial" w:hAnsi="Arial"/>
          <w:i/>
          <w:sz w:val="20"/>
        </w:rPr>
      </w:pPr>
      <w:bookmarkStart w:id="283" w:name="Artículo_182._Configuración_y_seguimient"/>
      <w:bookmarkEnd w:id="283"/>
      <w:r>
        <w:rPr>
          <w:rFonts w:ascii="Arial" w:hAnsi="Arial"/>
          <w:b/>
          <w:sz w:val="20"/>
        </w:rPr>
        <w:t>Artículo 182.</w:t>
      </w:r>
      <w:r>
        <w:rPr>
          <w:rFonts w:ascii="Arial" w:hAnsi="Arial"/>
          <w:b/>
          <w:spacing w:val="40"/>
          <w:sz w:val="20"/>
        </w:rPr>
        <w:t xml:space="preserve"> </w:t>
      </w:r>
      <w:r>
        <w:rPr>
          <w:rFonts w:ascii="Arial" w:hAnsi="Arial"/>
          <w:i/>
          <w:sz w:val="20"/>
        </w:rPr>
        <w:t>Configuración y seguimiento de la asociación para la innovación por parte del órgano de contratación.</w:t>
      </w:r>
    </w:p>
    <w:p w:rsidR="0092635B" w:rsidRDefault="00000000">
      <w:pPr>
        <w:pStyle w:val="Textoindependiente"/>
        <w:spacing w:before="115" w:line="249" w:lineRule="auto"/>
        <w:ind w:right="1104"/>
      </w:pPr>
      <w:r>
        <w:t>El órgano de contratación velará por que la estructura de la asociación y, en particular, la duración y el valor de las diferentes fases reflejen el grado de innovación de la solución propuesta</w:t>
      </w:r>
      <w:r>
        <w:rPr>
          <w:spacing w:val="-3"/>
        </w:rPr>
        <w:t xml:space="preserve"> </w:t>
      </w:r>
      <w:r>
        <w:t>y</w:t>
      </w:r>
      <w:r>
        <w:rPr>
          <w:spacing w:val="-3"/>
        </w:rPr>
        <w:t xml:space="preserve"> </w:t>
      </w:r>
      <w:r>
        <w:t>la</w:t>
      </w:r>
      <w:r>
        <w:rPr>
          <w:spacing w:val="-3"/>
        </w:rPr>
        <w:t xml:space="preserve"> </w:t>
      </w:r>
      <w:r>
        <w:t>secuencia</w:t>
      </w:r>
      <w:r>
        <w:rPr>
          <w:spacing w:val="-3"/>
        </w:rPr>
        <w:t xml:space="preserve"> </w:t>
      </w:r>
      <w:r>
        <w:t>de</w:t>
      </w:r>
      <w:r>
        <w:rPr>
          <w:spacing w:val="-3"/>
        </w:rPr>
        <w:t xml:space="preserve"> </w:t>
      </w:r>
      <w:r>
        <w:t>las</w:t>
      </w:r>
      <w:r>
        <w:rPr>
          <w:spacing w:val="-3"/>
        </w:rPr>
        <w:t xml:space="preserve"> </w:t>
      </w:r>
      <w:r>
        <w:t>actividades</w:t>
      </w:r>
      <w:r>
        <w:rPr>
          <w:spacing w:val="-3"/>
        </w:rPr>
        <w:t xml:space="preserve"> </w:t>
      </w:r>
      <w:r>
        <w:t>de</w:t>
      </w:r>
      <w:r>
        <w:rPr>
          <w:spacing w:val="-3"/>
        </w:rPr>
        <w:t xml:space="preserve"> </w:t>
      </w:r>
      <w:r>
        <w:t>investigación</w:t>
      </w:r>
      <w:r>
        <w:rPr>
          <w:spacing w:val="-3"/>
        </w:rPr>
        <w:t xml:space="preserve"> </w:t>
      </w:r>
      <w:r>
        <w:t>y</w:t>
      </w:r>
      <w:r>
        <w:rPr>
          <w:spacing w:val="-3"/>
        </w:rPr>
        <w:t xml:space="preserve"> </w:t>
      </w:r>
      <w:r>
        <w:t>de</w:t>
      </w:r>
      <w:r>
        <w:rPr>
          <w:spacing w:val="-3"/>
        </w:rPr>
        <w:t xml:space="preserve"> </w:t>
      </w:r>
      <w:r>
        <w:t>innovación</w:t>
      </w:r>
      <w:r>
        <w:rPr>
          <w:spacing w:val="-3"/>
        </w:rPr>
        <w:t xml:space="preserve"> </w:t>
      </w:r>
      <w:r>
        <w:t>necesarias</w:t>
      </w:r>
      <w:r>
        <w:rPr>
          <w:spacing w:val="-3"/>
        </w:rPr>
        <w:t xml:space="preserve"> </w:t>
      </w:r>
      <w:r>
        <w:t>para el desarrollo de una solución innovadora aún no disponible en el mercado. El valor estimado de los suministros, servicios u obras no será desproporcionado con respecto a la inversión necesaria para su desarrollo.</w:t>
      </w:r>
    </w:p>
    <w:p w:rsidR="0092635B" w:rsidRDefault="0092635B">
      <w:pPr>
        <w:pStyle w:val="Textoindependiente"/>
        <w:spacing w:before="58"/>
        <w:ind w:left="0" w:firstLine="0"/>
        <w:jc w:val="left"/>
      </w:pPr>
    </w:p>
    <w:p w:rsidR="0092635B" w:rsidRDefault="00000000">
      <w:pPr>
        <w:pStyle w:val="Textoindependiente"/>
        <w:spacing w:before="0"/>
        <w:ind w:left="0" w:firstLine="0"/>
        <w:jc w:val="center"/>
      </w:pPr>
      <w:bookmarkStart w:id="284" w:name="Subsección_7.ª_Normas_especiales_aplicab"/>
      <w:bookmarkStart w:id="285" w:name="_bookmark52"/>
      <w:bookmarkEnd w:id="284"/>
      <w:bookmarkEnd w:id="285"/>
      <w:r>
        <w:t>Subsección</w:t>
      </w:r>
      <w:r>
        <w:rPr>
          <w:spacing w:val="-2"/>
        </w:rPr>
        <w:t xml:space="preserve"> </w:t>
      </w:r>
      <w:r>
        <w:t>7.ª</w:t>
      </w:r>
      <w:r>
        <w:rPr>
          <w:spacing w:val="-1"/>
        </w:rPr>
        <w:t xml:space="preserve"> </w:t>
      </w:r>
      <w:r>
        <w:t>Normas</w:t>
      </w:r>
      <w:r>
        <w:rPr>
          <w:spacing w:val="-1"/>
        </w:rPr>
        <w:t xml:space="preserve"> </w:t>
      </w:r>
      <w:r>
        <w:t>especiales</w:t>
      </w:r>
      <w:r>
        <w:rPr>
          <w:spacing w:val="-2"/>
        </w:rPr>
        <w:t xml:space="preserve"> </w:t>
      </w:r>
      <w:r>
        <w:t>aplicables</w:t>
      </w:r>
      <w:r>
        <w:rPr>
          <w:spacing w:val="-1"/>
        </w:rPr>
        <w:t xml:space="preserve"> </w:t>
      </w:r>
      <w:r>
        <w:t>a</w:t>
      </w:r>
      <w:r>
        <w:rPr>
          <w:spacing w:val="-1"/>
        </w:rPr>
        <w:t xml:space="preserve"> </w:t>
      </w:r>
      <w:r>
        <w:t>los</w:t>
      </w:r>
      <w:r>
        <w:rPr>
          <w:spacing w:val="-2"/>
        </w:rPr>
        <w:t xml:space="preserve"> </w:t>
      </w:r>
      <w:r>
        <w:t>concursos</w:t>
      </w:r>
      <w:r>
        <w:rPr>
          <w:spacing w:val="-1"/>
        </w:rPr>
        <w:t xml:space="preserve"> </w:t>
      </w:r>
      <w:r>
        <w:t>de</w:t>
      </w:r>
      <w:r>
        <w:rPr>
          <w:spacing w:val="-1"/>
        </w:rPr>
        <w:t xml:space="preserve"> </w:t>
      </w:r>
      <w:r>
        <w:rPr>
          <w:spacing w:val="-2"/>
        </w:rPr>
        <w:t>proyectos</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286" w:name="Artículo_183._Ámbito_de_aplicación."/>
      <w:bookmarkEnd w:id="286"/>
      <w:r>
        <w:rPr>
          <w:rFonts w:ascii="Arial" w:hAnsi="Arial"/>
          <w:b/>
          <w:sz w:val="20"/>
        </w:rPr>
        <w:t>Artículo</w:t>
      </w:r>
      <w:r>
        <w:rPr>
          <w:rFonts w:ascii="Arial" w:hAnsi="Arial"/>
          <w:b/>
          <w:spacing w:val="-4"/>
          <w:sz w:val="20"/>
        </w:rPr>
        <w:t xml:space="preserve"> </w:t>
      </w:r>
      <w:r>
        <w:rPr>
          <w:rFonts w:ascii="Arial" w:hAnsi="Arial"/>
          <w:b/>
          <w:sz w:val="20"/>
        </w:rPr>
        <w:t>183.</w:t>
      </w:r>
      <w:r>
        <w:rPr>
          <w:rFonts w:ascii="Arial" w:hAnsi="Arial"/>
          <w:b/>
          <w:spacing w:val="52"/>
          <w:sz w:val="20"/>
        </w:rPr>
        <w:t xml:space="preserve"> </w:t>
      </w:r>
      <w:r>
        <w:rPr>
          <w:rFonts w:ascii="Arial" w:hAnsi="Arial"/>
          <w:i/>
          <w:sz w:val="20"/>
        </w:rPr>
        <w:t>Ãmbito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aplicación.</w:t>
      </w:r>
    </w:p>
    <w:p w:rsidR="0092635B" w:rsidRDefault="00000000">
      <w:pPr>
        <w:pStyle w:val="Prrafodelista"/>
        <w:numPr>
          <w:ilvl w:val="0"/>
          <w:numId w:val="192"/>
        </w:numPr>
        <w:tabs>
          <w:tab w:val="left" w:pos="1726"/>
        </w:tabs>
        <w:spacing w:before="123" w:line="249" w:lineRule="auto"/>
        <w:ind w:firstLine="340"/>
        <w:jc w:val="both"/>
        <w:rPr>
          <w:sz w:val="20"/>
        </w:rPr>
      </w:pPr>
      <w:r>
        <w:rPr>
          <w:sz w:val="20"/>
        </w:rPr>
        <w:t>Son concursos de proyectos los procedimientos encaminados a la obtención de planos o proyectos, principalmente en los campos de la arquitectura, el urbanismo, la ingeniería y el procesamiento de datos, a través de una selección que, tras la correspondiente licitación, se encomienda a un jurado.</w:t>
      </w:r>
    </w:p>
    <w:p w:rsidR="0092635B" w:rsidRDefault="00000000">
      <w:pPr>
        <w:pStyle w:val="Prrafodelista"/>
        <w:numPr>
          <w:ilvl w:val="0"/>
          <w:numId w:val="192"/>
        </w:numPr>
        <w:tabs>
          <w:tab w:val="left" w:pos="1699"/>
        </w:tabs>
        <w:spacing w:before="3" w:line="249" w:lineRule="auto"/>
        <w:ind w:firstLine="340"/>
        <w:jc w:val="both"/>
        <w:rPr>
          <w:sz w:val="20"/>
        </w:rPr>
      </w:pPr>
      <w:r>
        <w:rPr>
          <w:sz w:val="20"/>
        </w:rPr>
        <w:t>Las normas de la presente sección se aplicarán a los concursos de proyectos que respondan a uno de los tipos siguientes:</w:t>
      </w:r>
    </w:p>
    <w:p w:rsidR="0092635B" w:rsidRDefault="00000000">
      <w:pPr>
        <w:pStyle w:val="Prrafodelista"/>
        <w:numPr>
          <w:ilvl w:val="1"/>
          <w:numId w:val="192"/>
        </w:numPr>
        <w:tabs>
          <w:tab w:val="left" w:pos="1783"/>
        </w:tabs>
        <w:spacing w:before="122" w:line="249" w:lineRule="auto"/>
        <w:ind w:right="1104" w:firstLine="340"/>
        <w:jc w:val="both"/>
        <w:rPr>
          <w:sz w:val="20"/>
        </w:rPr>
      </w:pPr>
      <w:r>
        <w:rPr>
          <w:sz w:val="20"/>
        </w:rPr>
        <w:t>Concursos de proyectos organizados en el marco de un procedimiento de adjudicación de un contrato de servicios, en los que eventualmente se podrán conceder premios o pagos.</w:t>
      </w:r>
    </w:p>
    <w:p w:rsidR="0092635B" w:rsidRDefault="00000000">
      <w:pPr>
        <w:pStyle w:val="Textoindependiente"/>
        <w:spacing w:before="3" w:line="249" w:lineRule="auto"/>
        <w:ind w:right="1103"/>
      </w:pPr>
      <w:r>
        <w:t>El contrato de servicios que resulte del concurso de proyectos además también podrá tener por objeto la dirección facultativa de las obras correspondientes, siempre y cuando así se indique en el anuncio de licitación del concurso.</w:t>
      </w:r>
    </w:p>
    <w:p w:rsidR="0092635B" w:rsidRDefault="00000000">
      <w:pPr>
        <w:pStyle w:val="Prrafodelista"/>
        <w:numPr>
          <w:ilvl w:val="1"/>
          <w:numId w:val="192"/>
        </w:numPr>
        <w:tabs>
          <w:tab w:val="left" w:pos="1679"/>
        </w:tabs>
        <w:ind w:left="1679" w:right="0" w:hanging="233"/>
        <w:jc w:val="both"/>
        <w:rPr>
          <w:sz w:val="20"/>
        </w:rPr>
      </w:pPr>
      <w:r>
        <w:rPr>
          <w:sz w:val="20"/>
        </w:rPr>
        <w:t>Concursos</w:t>
      </w:r>
      <w:r>
        <w:rPr>
          <w:spacing w:val="-1"/>
          <w:sz w:val="20"/>
        </w:rPr>
        <w:t xml:space="preserve"> </w:t>
      </w:r>
      <w:r>
        <w:rPr>
          <w:sz w:val="20"/>
        </w:rPr>
        <w:t>de proyectos con</w:t>
      </w:r>
      <w:r>
        <w:rPr>
          <w:spacing w:val="-1"/>
          <w:sz w:val="20"/>
        </w:rPr>
        <w:t xml:space="preserve"> </w:t>
      </w:r>
      <w:r>
        <w:rPr>
          <w:sz w:val="20"/>
        </w:rPr>
        <w:t>premios o pagos</w:t>
      </w:r>
      <w:r>
        <w:rPr>
          <w:spacing w:val="-1"/>
          <w:sz w:val="20"/>
        </w:rPr>
        <w:t xml:space="preserve"> </w:t>
      </w:r>
      <w:r>
        <w:rPr>
          <w:sz w:val="20"/>
        </w:rPr>
        <w:t xml:space="preserve">a los </w:t>
      </w:r>
      <w:r>
        <w:rPr>
          <w:spacing w:val="-2"/>
          <w:sz w:val="20"/>
        </w:rPr>
        <w:t>participantes.</w:t>
      </w:r>
    </w:p>
    <w:p w:rsidR="0092635B" w:rsidRDefault="00000000">
      <w:pPr>
        <w:pStyle w:val="Prrafodelista"/>
        <w:numPr>
          <w:ilvl w:val="0"/>
          <w:numId w:val="192"/>
        </w:numPr>
        <w:tabs>
          <w:tab w:val="left" w:pos="1702"/>
        </w:tabs>
        <w:spacing w:before="130" w:line="249" w:lineRule="auto"/>
        <w:ind w:firstLine="340"/>
        <w:jc w:val="both"/>
        <w:rPr>
          <w:sz w:val="20"/>
        </w:rPr>
      </w:pPr>
      <w:r>
        <w:rPr>
          <w:sz w:val="20"/>
        </w:rPr>
        <w:t>Cuando el objeto del contrato de servicios que se vaya a adjudicar se refiera a la redacción de proyectos arquitectónicos, de ingeniería y urbanismo que revistan especial complejidad y, cuando se contraten conjuntamente con la redacción de los proyectos anteriores, a los trabajos complementarios y a la dirección de obra, los órganos de contratación deberán aplicar las normas de esta sección.</w:t>
      </w:r>
    </w:p>
    <w:p w:rsidR="0092635B" w:rsidRDefault="00000000">
      <w:pPr>
        <w:pStyle w:val="Textoindependiente"/>
        <w:spacing w:before="4" w:line="249" w:lineRule="auto"/>
        <w:ind w:right="1103"/>
      </w:pPr>
      <w:r>
        <w:t>A efectos de estimar la especial complejidad de un proyecto, el órgano de contratación podrá tomar en consideración la existencia de condicionantes técnicos, medioambientales, paisajísticos, funcionales, urbanísticos o de otra índole que precisen de una especial respuesta, innovación u originalidad en aras a obtener prestaciones de gran calidad.</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92"/>
        </w:numPr>
        <w:tabs>
          <w:tab w:val="left" w:pos="1672"/>
        </w:tabs>
        <w:spacing w:before="1" w:line="249" w:lineRule="auto"/>
        <w:ind w:firstLine="340"/>
        <w:jc w:val="both"/>
        <w:rPr>
          <w:sz w:val="20"/>
        </w:rPr>
      </w:pPr>
      <w:r>
        <w:rPr>
          <w:sz w:val="20"/>
        </w:rPr>
        <w:t>Se consideran sujetos a regulación armonizada los concursos de proyectos cuyo valor estimado sea igual o superior a los umbrales fijados en las letras a) y b) del apartado 1 del artículo 22 en función del órgano que efectúe la convocatoria.</w:t>
      </w:r>
    </w:p>
    <w:p w:rsidR="0092635B" w:rsidRDefault="00000000">
      <w:pPr>
        <w:pStyle w:val="Textoindependiente"/>
        <w:spacing w:line="249" w:lineRule="auto"/>
        <w:ind w:right="1102"/>
      </w:pPr>
      <w:r>
        <w:t>El valor estimado de los concursos de proyectos se calculará aplicando las siguientes reglas a los supuestos previstos en el apartado 2 de este artículo: en el caso de la letra a),</w:t>
      </w:r>
      <w:r>
        <w:rPr>
          <w:spacing w:val="80"/>
        </w:rPr>
        <w:t xml:space="preserve"> </w:t>
      </w:r>
      <w:r>
        <w:t xml:space="preserve">se tendrá en cuenta el valor estimado del contrato de servicios y los eventuales premios o pagos a los participantes; en el caso previsto en la letra b), se tendrá en cuenta el importe total de los premios y pagos, e incluyendo el valor estimado del contrato de servicios que pudiera adjudicarse ulteriormente con arreglo a la letra d) del artículo 168, si el órgano de contratación hubiere advertido en el anuncio de licitación de su intención de adjudicar dicho </w:t>
      </w:r>
      <w:r>
        <w:rPr>
          <w:spacing w:val="-2"/>
        </w:rPr>
        <w:t>contrato.</w:t>
      </w:r>
    </w:p>
    <w:p w:rsidR="0092635B" w:rsidRDefault="0092635B">
      <w:pPr>
        <w:pStyle w:val="Textoindependiente"/>
        <w:spacing w:before="3"/>
        <w:ind w:left="0" w:firstLine="0"/>
        <w:jc w:val="left"/>
      </w:pPr>
    </w:p>
    <w:p w:rsidR="0092635B" w:rsidRDefault="00000000">
      <w:pPr>
        <w:ind w:left="1106"/>
        <w:rPr>
          <w:rFonts w:ascii="Arial" w:hAnsi="Arial"/>
          <w:i/>
          <w:sz w:val="20"/>
        </w:rPr>
      </w:pPr>
      <w:bookmarkStart w:id="287" w:name="Artículo_184._Bases_del_concurso."/>
      <w:bookmarkEnd w:id="287"/>
      <w:r>
        <w:rPr>
          <w:rFonts w:ascii="Arial" w:hAnsi="Arial"/>
          <w:b/>
          <w:sz w:val="20"/>
        </w:rPr>
        <w:t>Artículo</w:t>
      </w:r>
      <w:r>
        <w:rPr>
          <w:rFonts w:ascii="Arial" w:hAnsi="Arial"/>
          <w:b/>
          <w:spacing w:val="-1"/>
          <w:sz w:val="20"/>
        </w:rPr>
        <w:t xml:space="preserve"> </w:t>
      </w:r>
      <w:r>
        <w:rPr>
          <w:rFonts w:ascii="Arial" w:hAnsi="Arial"/>
          <w:b/>
          <w:sz w:val="20"/>
        </w:rPr>
        <w:t>184.</w:t>
      </w:r>
      <w:r>
        <w:rPr>
          <w:rFonts w:ascii="Arial" w:hAnsi="Arial"/>
          <w:b/>
          <w:spacing w:val="53"/>
          <w:sz w:val="20"/>
        </w:rPr>
        <w:t xml:space="preserve"> </w:t>
      </w:r>
      <w:r>
        <w:rPr>
          <w:rFonts w:ascii="Arial" w:hAnsi="Arial"/>
          <w:i/>
          <w:sz w:val="20"/>
        </w:rPr>
        <w:t xml:space="preserve">Bases del </w:t>
      </w:r>
      <w:r>
        <w:rPr>
          <w:rFonts w:ascii="Arial" w:hAnsi="Arial"/>
          <w:i/>
          <w:spacing w:val="-2"/>
          <w:sz w:val="20"/>
        </w:rPr>
        <w:t>concurso.</w:t>
      </w:r>
    </w:p>
    <w:p w:rsidR="0092635B" w:rsidRDefault="00000000">
      <w:pPr>
        <w:pStyle w:val="Prrafodelista"/>
        <w:numPr>
          <w:ilvl w:val="0"/>
          <w:numId w:val="191"/>
        </w:numPr>
        <w:tabs>
          <w:tab w:val="left" w:pos="1684"/>
        </w:tabs>
        <w:spacing w:before="124" w:line="249" w:lineRule="auto"/>
        <w:ind w:right="1104" w:firstLine="340"/>
        <w:jc w:val="both"/>
        <w:rPr>
          <w:sz w:val="20"/>
        </w:rPr>
      </w:pPr>
      <w:r>
        <w:rPr>
          <w:sz w:val="20"/>
        </w:rPr>
        <w:t>Las normas relativas a la organización de un concurso de proyectos se establecerán de conformidad con lo regulado en la presente Subsección y se pondrán a disposición de quienes estén interesados en participar en el mismo.</w:t>
      </w:r>
    </w:p>
    <w:p w:rsidR="0092635B" w:rsidRDefault="00000000">
      <w:pPr>
        <w:pStyle w:val="Prrafodelista"/>
        <w:numPr>
          <w:ilvl w:val="0"/>
          <w:numId w:val="191"/>
        </w:numPr>
        <w:tabs>
          <w:tab w:val="left" w:pos="1693"/>
        </w:tabs>
        <w:spacing w:line="249" w:lineRule="auto"/>
        <w:ind w:firstLine="340"/>
        <w:jc w:val="both"/>
        <w:rPr>
          <w:sz w:val="20"/>
        </w:rPr>
      </w:pPr>
      <w:r>
        <w:rPr>
          <w:sz w:val="20"/>
        </w:rPr>
        <w:t>En el caso de que se admitieran premios o pagos, las bases del concurso deberán indicar, según el caso, la cantidad fija que se abonará en concepto de premios o bien en concepto de compensación por los gastos en que hubieren incurrido los participantes.</w:t>
      </w:r>
    </w:p>
    <w:p w:rsidR="0092635B" w:rsidRDefault="00000000">
      <w:pPr>
        <w:pStyle w:val="Prrafodelista"/>
        <w:numPr>
          <w:ilvl w:val="0"/>
          <w:numId w:val="191"/>
        </w:numPr>
        <w:tabs>
          <w:tab w:val="left" w:pos="1674"/>
        </w:tabs>
        <w:spacing w:before="3" w:line="249" w:lineRule="auto"/>
        <w:ind w:right="1102" w:firstLine="340"/>
        <w:jc w:val="both"/>
        <w:rPr>
          <w:sz w:val="20"/>
        </w:rPr>
      </w:pPr>
      <w:r>
        <w:rPr>
          <w:sz w:val="20"/>
        </w:rPr>
        <w:t xml:space="preserve">En los concursos de proyectos, la valoración de las propuestas se referirá a la calidad de las mismas, y sus valores técnicos, funcionales, arquitectónicos, culturales y </w:t>
      </w:r>
      <w:r>
        <w:rPr>
          <w:spacing w:val="-2"/>
          <w:sz w:val="20"/>
        </w:rPr>
        <w:t>medioambientales.</w:t>
      </w:r>
    </w:p>
    <w:p w:rsidR="0092635B" w:rsidRDefault="00000000">
      <w:pPr>
        <w:spacing w:before="229"/>
        <w:ind w:left="1106"/>
        <w:rPr>
          <w:rFonts w:ascii="Arial" w:hAnsi="Arial"/>
          <w:i/>
          <w:sz w:val="20"/>
        </w:rPr>
      </w:pPr>
      <w:bookmarkStart w:id="288" w:name="Artículo_185._Participantes."/>
      <w:bookmarkEnd w:id="288"/>
      <w:r>
        <w:rPr>
          <w:rFonts w:ascii="Arial" w:hAnsi="Arial"/>
          <w:b/>
          <w:sz w:val="20"/>
        </w:rPr>
        <w:t>Artículo 185.</w:t>
      </w:r>
      <w:r>
        <w:rPr>
          <w:rFonts w:ascii="Arial" w:hAnsi="Arial"/>
          <w:b/>
          <w:spacing w:val="54"/>
          <w:sz w:val="20"/>
        </w:rPr>
        <w:t xml:space="preserve"> </w:t>
      </w:r>
      <w:r>
        <w:rPr>
          <w:rFonts w:ascii="Arial" w:hAnsi="Arial"/>
          <w:i/>
          <w:spacing w:val="-2"/>
          <w:sz w:val="20"/>
        </w:rPr>
        <w:t>Participantes.</w:t>
      </w:r>
    </w:p>
    <w:p w:rsidR="0092635B" w:rsidRDefault="00000000">
      <w:pPr>
        <w:pStyle w:val="Prrafodelista"/>
        <w:numPr>
          <w:ilvl w:val="0"/>
          <w:numId w:val="190"/>
        </w:numPr>
        <w:tabs>
          <w:tab w:val="left" w:pos="1684"/>
        </w:tabs>
        <w:spacing w:before="123" w:line="249" w:lineRule="auto"/>
        <w:ind w:firstLine="340"/>
        <w:jc w:val="both"/>
        <w:rPr>
          <w:sz w:val="20"/>
        </w:rPr>
      </w:pPr>
      <w:r>
        <w:rPr>
          <w:sz w:val="20"/>
        </w:rPr>
        <w:t>El órgano de contratación podrá limitar el número de participantes en el concurso de proyectos. Cuando este fuera el caso, el concurso constará de dos fases: en la primera el órgano de contratación seleccionará a los participantes de entre los candidatos que hubieren presentado solicitud de participación, mediante la aplicación de los criterios a que se refiere el apartado siguiente; y en la segunda el órgano de contratación invitará simultáneamente y por escrito a los candidatos seleccionados para que presenten sus propuestas de proyectos ante</w:t>
      </w:r>
      <w:r>
        <w:rPr>
          <w:spacing w:val="40"/>
          <w:sz w:val="20"/>
        </w:rPr>
        <w:t xml:space="preserve"> </w:t>
      </w:r>
      <w:r>
        <w:rPr>
          <w:sz w:val="20"/>
        </w:rPr>
        <w:t>el</w:t>
      </w:r>
      <w:r>
        <w:rPr>
          <w:spacing w:val="40"/>
          <w:sz w:val="20"/>
        </w:rPr>
        <w:t xml:space="preserve"> </w:t>
      </w:r>
      <w:r>
        <w:rPr>
          <w:sz w:val="20"/>
        </w:rPr>
        <w:t>órgano</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plazo</w:t>
      </w:r>
      <w:r>
        <w:rPr>
          <w:spacing w:val="40"/>
          <w:sz w:val="20"/>
        </w:rPr>
        <w:t xml:space="preserve"> </w:t>
      </w:r>
      <w:r>
        <w:rPr>
          <w:sz w:val="20"/>
        </w:rPr>
        <w:t>que</w:t>
      </w:r>
      <w:r>
        <w:rPr>
          <w:spacing w:val="40"/>
          <w:sz w:val="20"/>
        </w:rPr>
        <w:t xml:space="preserve"> </w:t>
      </w:r>
      <w:r>
        <w:rPr>
          <w:sz w:val="20"/>
        </w:rPr>
        <w:t>proceda</w:t>
      </w:r>
      <w:r>
        <w:rPr>
          <w:spacing w:val="40"/>
          <w:sz w:val="20"/>
        </w:rPr>
        <w:t xml:space="preserve"> </w:t>
      </w:r>
      <w:r>
        <w:rPr>
          <w:sz w:val="20"/>
        </w:rPr>
        <w:t>conforme</w:t>
      </w:r>
      <w:r>
        <w:rPr>
          <w:spacing w:val="40"/>
          <w:sz w:val="20"/>
        </w:rPr>
        <w:t xml:space="preserve"> </w:t>
      </w:r>
      <w:r>
        <w:rPr>
          <w:sz w:val="20"/>
        </w:rPr>
        <w:t>a</w:t>
      </w:r>
      <w:r>
        <w:rPr>
          <w:spacing w:val="40"/>
          <w:sz w:val="20"/>
        </w:rPr>
        <w:t xml:space="preserve"> </w:t>
      </w:r>
      <w:r>
        <w:rPr>
          <w:sz w:val="20"/>
        </w:rPr>
        <w:t>lo</w:t>
      </w:r>
      <w:r>
        <w:rPr>
          <w:spacing w:val="40"/>
          <w:sz w:val="20"/>
        </w:rPr>
        <w:t xml:space="preserve"> </w:t>
      </w:r>
      <w:r>
        <w:rPr>
          <w:sz w:val="20"/>
        </w:rPr>
        <w:t>señalado</w:t>
      </w:r>
      <w:r>
        <w:rPr>
          <w:spacing w:val="40"/>
          <w:sz w:val="20"/>
        </w:rPr>
        <w:t xml:space="preserve"> </w:t>
      </w:r>
      <w:r>
        <w:rPr>
          <w:sz w:val="20"/>
        </w:rPr>
        <w:t>en</w:t>
      </w:r>
      <w:r>
        <w:rPr>
          <w:spacing w:val="40"/>
          <w:sz w:val="20"/>
        </w:rPr>
        <w:t xml:space="preserve"> </w:t>
      </w:r>
      <w:r>
        <w:rPr>
          <w:sz w:val="20"/>
        </w:rPr>
        <w:t>el artículo 136.</w:t>
      </w:r>
    </w:p>
    <w:p w:rsidR="0092635B" w:rsidRDefault="00000000">
      <w:pPr>
        <w:pStyle w:val="Prrafodelista"/>
        <w:numPr>
          <w:ilvl w:val="0"/>
          <w:numId w:val="190"/>
        </w:numPr>
        <w:tabs>
          <w:tab w:val="left" w:pos="1697"/>
        </w:tabs>
        <w:spacing w:before="7" w:line="249" w:lineRule="auto"/>
        <w:ind w:firstLine="340"/>
        <w:jc w:val="both"/>
        <w:rPr>
          <w:sz w:val="20"/>
        </w:rPr>
      </w:pPr>
      <w:r>
        <w:rPr>
          <w:sz w:val="20"/>
        </w:rPr>
        <w:t xml:space="preserve">En caso de que se decida limitar el número de participantes, la selección de estos deberá efectuarse aplicando criterios objetivos, claros y no discriminatorios, que deberán figurar en las bases del concurso y en el anuncio de licitación, sin que el acceso a la participación pueda limitarse a un determinado ámbito territorial, o a personas físicas con exclusión de las jurídicas o a la inversa. En cualquier caso, al fijar el número de candidatos invitados a participar, deberá tenerse en cuenta la necesidad de garantizar una competencia </w:t>
      </w:r>
      <w:r>
        <w:rPr>
          <w:spacing w:val="-2"/>
          <w:sz w:val="20"/>
        </w:rPr>
        <w:t>real.</w:t>
      </w:r>
    </w:p>
    <w:p w:rsidR="0092635B" w:rsidRDefault="00000000">
      <w:pPr>
        <w:pStyle w:val="Prrafodelista"/>
        <w:numPr>
          <w:ilvl w:val="0"/>
          <w:numId w:val="190"/>
        </w:numPr>
        <w:tabs>
          <w:tab w:val="left" w:pos="1691"/>
        </w:tabs>
        <w:spacing w:before="6" w:line="249" w:lineRule="auto"/>
        <w:ind w:right="1104" w:firstLine="340"/>
        <w:jc w:val="both"/>
        <w:rPr>
          <w:sz w:val="20"/>
        </w:rPr>
      </w:pPr>
      <w:r>
        <w:rPr>
          <w:sz w:val="20"/>
        </w:rPr>
        <w:t>La segunda fase a que se refiere el apartado 1 de este artículo podrá realizarse en</w:t>
      </w:r>
      <w:r>
        <w:rPr>
          <w:spacing w:val="40"/>
          <w:sz w:val="20"/>
        </w:rPr>
        <w:t xml:space="preserve"> </w:t>
      </w:r>
      <w:r>
        <w:rPr>
          <w:sz w:val="20"/>
        </w:rPr>
        <w:t>dos sub-fases sucesivas, a fin de reducir el número de concursantes.</w:t>
      </w:r>
    </w:p>
    <w:p w:rsidR="0092635B" w:rsidRDefault="00000000">
      <w:pPr>
        <w:pStyle w:val="Textoindependiente"/>
        <w:spacing w:before="1" w:line="249" w:lineRule="auto"/>
        <w:ind w:right="1104"/>
      </w:pPr>
      <w:r>
        <w:t>En la primera sub-fase se invitará simultáneamente y por escrito a los candidatos seleccionados para que presenten una idea concisa acerca del objeto del concurso ante el órgano de contratación en el plazo que proceda de conformidad con lo dispuesto en el artículo 136, debiendo estas ser valoradas por el Jurado con arreglo a los criterios de adjudicación previamente establecidos de acuerdo con lo indicado en el apartado anterior.</w:t>
      </w:r>
    </w:p>
    <w:p w:rsidR="0092635B" w:rsidRDefault="00000000">
      <w:pPr>
        <w:pStyle w:val="Textoindependiente"/>
        <w:spacing w:before="4" w:line="249" w:lineRule="auto"/>
        <w:ind w:right="1104"/>
      </w:pPr>
      <w:r>
        <w:t>En una segunda sub-fase los participantes seleccionados serán invitados, también simultáneamente y por escrito, para que presenten sus propuestas de proyectos en desarrollo de la idea inicial en el plazo que proceda de acuerdo con lo indicado en el artículo 136, debiendo ser valorados por el Jurado de conformidad con los criterios de adjudicación que se hubieren establecido previamente.</w:t>
      </w:r>
    </w:p>
    <w:p w:rsidR="0092635B" w:rsidRDefault="00000000">
      <w:pPr>
        <w:pStyle w:val="Textoindependiente"/>
        <w:spacing w:before="5" w:line="249" w:lineRule="auto"/>
        <w:ind w:right="1104"/>
      </w:pPr>
      <w:r>
        <w:t>En cualquier caso el número de candidatos invitados deberá ser suficiente para garantizar una competencia real. El número mínimo de candidatos será de tres.</w:t>
      </w:r>
    </w:p>
    <w:p w:rsidR="0092635B" w:rsidRDefault="00000000">
      <w:pPr>
        <w:pStyle w:val="Textoindependiente"/>
        <w:spacing w:before="1" w:line="249" w:lineRule="auto"/>
        <w:ind w:right="1104"/>
      </w:pPr>
      <w:r>
        <w:t>En todo caso los participantes en el concurso de proyectos cuyas ideas hubieran resultado seleccionadas y, por lo tanto, hubieren superado la primera sub-fase, tendrán derecho a percibir la compensación económica por los gastos en que hubieran incurrido, a que se refiere el apartado 2 del artículo anterior.</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right="246" w:firstLine="0"/>
        <w:jc w:val="center"/>
      </w:pPr>
      <w:r>
        <w:t>En</w:t>
      </w:r>
      <w:r>
        <w:rPr>
          <w:spacing w:val="-3"/>
        </w:rPr>
        <w:t xml:space="preserve"> </w:t>
      </w:r>
      <w:r>
        <w:t>los</w:t>
      </w:r>
      <w:r>
        <w:rPr>
          <w:spacing w:val="-2"/>
        </w:rPr>
        <w:t xml:space="preserve"> </w:t>
      </w:r>
      <w:r>
        <w:t>pliegos,</w:t>
      </w:r>
      <w:r>
        <w:rPr>
          <w:spacing w:val="-2"/>
        </w:rPr>
        <w:t xml:space="preserve"> </w:t>
      </w:r>
      <w:r>
        <w:t>el</w:t>
      </w:r>
      <w:r>
        <w:rPr>
          <w:spacing w:val="-3"/>
        </w:rPr>
        <w:t xml:space="preserve"> </w:t>
      </w:r>
      <w:r>
        <w:t>órgano</w:t>
      </w:r>
      <w:r>
        <w:rPr>
          <w:spacing w:val="-2"/>
        </w:rPr>
        <w:t xml:space="preserve"> </w:t>
      </w:r>
      <w:r>
        <w:t>de</w:t>
      </w:r>
      <w:r>
        <w:rPr>
          <w:spacing w:val="-2"/>
        </w:rPr>
        <w:t xml:space="preserve"> </w:t>
      </w:r>
      <w:r>
        <w:t>contratación</w:t>
      </w:r>
      <w:r>
        <w:rPr>
          <w:spacing w:val="-2"/>
        </w:rPr>
        <w:t xml:space="preserve"> </w:t>
      </w:r>
      <w:r>
        <w:t>indicará</w:t>
      </w:r>
      <w:r>
        <w:rPr>
          <w:spacing w:val="-3"/>
        </w:rPr>
        <w:t xml:space="preserve"> </w:t>
      </w:r>
      <w:r>
        <w:t>si</w:t>
      </w:r>
      <w:r>
        <w:rPr>
          <w:spacing w:val="-2"/>
        </w:rPr>
        <w:t xml:space="preserve"> </w:t>
      </w:r>
      <w:r>
        <w:t>va</w:t>
      </w:r>
      <w:r>
        <w:rPr>
          <w:spacing w:val="-2"/>
        </w:rPr>
        <w:t xml:space="preserve"> </w:t>
      </w:r>
      <w:r>
        <w:t>a</w:t>
      </w:r>
      <w:r>
        <w:rPr>
          <w:spacing w:val="-2"/>
        </w:rPr>
        <w:t xml:space="preserve"> </w:t>
      </w:r>
      <w:r>
        <w:t>hacer</w:t>
      </w:r>
      <w:r>
        <w:rPr>
          <w:spacing w:val="-3"/>
        </w:rPr>
        <w:t xml:space="preserve"> </w:t>
      </w:r>
      <w:r>
        <w:t>uso</w:t>
      </w:r>
      <w:r>
        <w:rPr>
          <w:spacing w:val="-2"/>
        </w:rPr>
        <w:t xml:space="preserve"> </w:t>
      </w:r>
      <w:r>
        <w:t>de</w:t>
      </w:r>
      <w:r>
        <w:rPr>
          <w:spacing w:val="-2"/>
        </w:rPr>
        <w:t xml:space="preserve"> </w:t>
      </w:r>
      <w:r>
        <w:t>esta</w:t>
      </w:r>
      <w:r>
        <w:rPr>
          <w:spacing w:val="-2"/>
        </w:rPr>
        <w:t xml:space="preserve"> opción.</w:t>
      </w:r>
    </w:p>
    <w:p w:rsidR="0092635B" w:rsidRDefault="00000000">
      <w:pPr>
        <w:pStyle w:val="Textoindependiente"/>
        <w:spacing w:before="23"/>
        <w:ind w:left="0" w:firstLine="0"/>
        <w:jc w:val="left"/>
      </w:pPr>
      <w:r>
        <w:rPr>
          <w:noProof/>
        </w:rPr>
        <mc:AlternateContent>
          <mc:Choice Requires="wps">
            <w:drawing>
              <wp:anchor distT="0" distB="0" distL="0" distR="0" simplePos="0" relativeHeight="487594496" behindDoc="1" locked="0" layoutInCell="1" allowOverlap="1">
                <wp:simplePos x="0" y="0"/>
                <wp:positionH relativeFrom="page">
                  <wp:posOffset>1156762</wp:posOffset>
                </wp:positionH>
                <wp:positionV relativeFrom="paragraph">
                  <wp:posOffset>181434</wp:posOffset>
                </wp:positionV>
                <wp:extent cx="5247005" cy="78676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 xml:space="preserve">Téngase en cuenta que se declara que los párrafos primero, segundo, tercero, quinto y sexto del apartado 3 no son conformes con el orden constitucional de competencias, en los términos del fundamento jurídico 7 B) i), por la Sentencia del TC 68/2021, de 18 de marzo. </w:t>
                            </w:r>
                            <w:hyperlink r:id="rId39">
                              <w:r>
                                <w:rPr>
                                  <w:color w:val="0000FF"/>
                                  <w:sz w:val="18"/>
                                  <w:u w:val="single" w:color="0000FF"/>
                                </w:rPr>
                                <w:t>Ref.</w:t>
                              </w:r>
                            </w:hyperlink>
                            <w:r>
                              <w:rPr>
                                <w:color w:val="0000FF"/>
                                <w:sz w:val="18"/>
                              </w:rPr>
                              <w:t xml:space="preserve"> </w:t>
                            </w:r>
                            <w:hyperlink r:id="rId40">
                              <w:r>
                                <w:rPr>
                                  <w:color w:val="0000FF"/>
                                  <w:spacing w:val="-2"/>
                                  <w:sz w:val="18"/>
                                  <w:u w:val="single" w:color="0000FF"/>
                                </w:rPr>
                                <w:t>BOE-A-2021-6614</w:t>
                              </w:r>
                            </w:hyperlink>
                          </w:p>
                        </w:txbxContent>
                      </wps:txbx>
                      <wps:bodyPr wrap="square" lIns="0" tIns="0" rIns="0" bIns="0" rtlCol="0">
                        <a:noAutofit/>
                      </wps:bodyPr>
                    </wps:wsp>
                  </a:graphicData>
                </a:graphic>
              </wp:anchor>
            </w:drawing>
          </mc:Choice>
          <mc:Fallback>
            <w:pict>
              <v:shape id="Textbox 21" o:spid="_x0000_s1036" type="#_x0000_t202" style="position:absolute;margin-left:91.1pt;margin-top:14.3pt;width:413.15pt;height:61.9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 xml:space="preserve">Téngase en cuenta que se declara que los párrafos primero, segundo, tercero, quinto y sexto del apartado 3 no son conformes con el orden constitucional de competencias, en los términos del fundamento jurídico 7 B) i), por la Sentencia del TC 68/2021, de 18 de marzo. </w:t>
                      </w:r>
                      <w:hyperlink r:id="rId41">
                        <w:r>
                          <w:rPr>
                            <w:color w:val="0000FF"/>
                            <w:sz w:val="18"/>
                            <w:u w:val="single" w:color="0000FF"/>
                          </w:rPr>
                          <w:t>Ref.</w:t>
                        </w:r>
                      </w:hyperlink>
                      <w:r>
                        <w:rPr>
                          <w:color w:val="0000FF"/>
                          <w:sz w:val="18"/>
                        </w:rPr>
                        <w:t xml:space="preserve"> </w:t>
                      </w:r>
                      <w:hyperlink r:id="rId42">
                        <w:r>
                          <w:rPr>
                            <w:color w:val="0000FF"/>
                            <w:spacing w:val="-2"/>
                            <w:sz w:val="18"/>
                            <w:u w:val="single" w:color="0000FF"/>
                          </w:rPr>
                          <w:t>BOE-A-2021-6614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190"/>
        </w:numPr>
        <w:tabs>
          <w:tab w:val="left" w:pos="1696"/>
        </w:tabs>
        <w:spacing w:before="0" w:line="249" w:lineRule="auto"/>
        <w:ind w:right="1102" w:firstLine="340"/>
        <w:jc w:val="both"/>
        <w:rPr>
          <w:sz w:val="20"/>
        </w:rPr>
      </w:pPr>
      <w:r>
        <w:rPr>
          <w:sz w:val="20"/>
        </w:rPr>
        <w:t xml:space="preserve">En el caso de que el órgano de contratación se proponga adjudicar un contrato de servicios ulterior a un concurso de proyectos, mediante un procedimiento negociado sin publicidad, y deba adjudicarse, con arreglo a las normas previstas en el concurso de proyectos, al ganador o a uno de los ganadores del concurso de proyectos, en este último caso, todos los ganadores del concurso deberán ser invitados a participar en las </w:t>
      </w:r>
      <w:r>
        <w:rPr>
          <w:spacing w:val="-2"/>
          <w:sz w:val="20"/>
        </w:rPr>
        <w:t>negociaciones.</w:t>
      </w:r>
    </w:p>
    <w:p w:rsidR="0092635B" w:rsidRDefault="0092635B">
      <w:pPr>
        <w:pStyle w:val="Textoindependiente"/>
        <w:spacing w:before="1"/>
        <w:ind w:left="0" w:firstLine="0"/>
        <w:jc w:val="left"/>
      </w:pPr>
    </w:p>
    <w:p w:rsidR="0092635B" w:rsidRDefault="00000000">
      <w:pPr>
        <w:spacing w:before="1"/>
        <w:ind w:left="1106"/>
        <w:rPr>
          <w:rFonts w:ascii="Arial" w:hAnsi="Arial"/>
          <w:i/>
          <w:sz w:val="20"/>
        </w:rPr>
      </w:pPr>
      <w:bookmarkStart w:id="289" w:name="Artículo_186._Publicidad."/>
      <w:bookmarkEnd w:id="289"/>
      <w:r>
        <w:rPr>
          <w:rFonts w:ascii="Arial" w:hAnsi="Arial"/>
          <w:b/>
          <w:sz w:val="20"/>
        </w:rPr>
        <w:t>Artículo 186.</w:t>
      </w:r>
      <w:r>
        <w:rPr>
          <w:rFonts w:ascii="Arial" w:hAnsi="Arial"/>
          <w:b/>
          <w:spacing w:val="54"/>
          <w:sz w:val="20"/>
        </w:rPr>
        <w:t xml:space="preserve"> </w:t>
      </w:r>
      <w:r>
        <w:rPr>
          <w:rFonts w:ascii="Arial" w:hAnsi="Arial"/>
          <w:i/>
          <w:spacing w:val="-2"/>
          <w:sz w:val="20"/>
        </w:rPr>
        <w:t>Publicidad.</w:t>
      </w:r>
    </w:p>
    <w:p w:rsidR="0092635B" w:rsidRDefault="00000000">
      <w:pPr>
        <w:pStyle w:val="Prrafodelista"/>
        <w:numPr>
          <w:ilvl w:val="0"/>
          <w:numId w:val="189"/>
        </w:numPr>
        <w:tabs>
          <w:tab w:val="left" w:pos="1676"/>
        </w:tabs>
        <w:spacing w:before="123" w:line="249" w:lineRule="auto"/>
        <w:ind w:right="1106" w:firstLine="340"/>
        <w:jc w:val="both"/>
        <w:rPr>
          <w:sz w:val="20"/>
        </w:rPr>
      </w:pPr>
      <w:r>
        <w:rPr>
          <w:sz w:val="20"/>
        </w:rPr>
        <w:t>La licitación del concurso de proyectos se publicará en la forma prevista en el artículo 135 y en las demás disposiciones de esta Ley que resulten de aplicación.</w:t>
      </w:r>
    </w:p>
    <w:p w:rsidR="0092635B" w:rsidRDefault="00000000">
      <w:pPr>
        <w:pStyle w:val="Prrafodelista"/>
        <w:numPr>
          <w:ilvl w:val="0"/>
          <w:numId w:val="189"/>
        </w:numPr>
        <w:tabs>
          <w:tab w:val="left" w:pos="1709"/>
        </w:tabs>
        <w:spacing w:line="249" w:lineRule="auto"/>
        <w:ind w:right="1104" w:firstLine="340"/>
        <w:jc w:val="both"/>
        <w:rPr>
          <w:sz w:val="20"/>
        </w:rPr>
      </w:pPr>
      <w:r>
        <w:rPr>
          <w:sz w:val="20"/>
        </w:rPr>
        <w:t>Cuando el órgano de contratación se proponga adjudicar un contrato de servicios ulterior mediante un procedimiento negociado sin publicidad, deberá indicarlo en el anuncio de licitación del concurso.</w:t>
      </w:r>
    </w:p>
    <w:p w:rsidR="0092635B" w:rsidRDefault="00000000">
      <w:pPr>
        <w:pStyle w:val="Prrafodelista"/>
        <w:numPr>
          <w:ilvl w:val="0"/>
          <w:numId w:val="189"/>
        </w:numPr>
        <w:tabs>
          <w:tab w:val="left" w:pos="1682"/>
        </w:tabs>
        <w:spacing w:line="249" w:lineRule="auto"/>
        <w:ind w:right="1104" w:firstLine="340"/>
        <w:jc w:val="both"/>
        <w:rPr>
          <w:sz w:val="20"/>
        </w:rPr>
      </w:pPr>
      <w:r>
        <w:rPr>
          <w:sz w:val="20"/>
        </w:rPr>
        <w:t>Los resultados del concurso se publicarán en la forma prevista en el artículo 154. No obstante, el órgano de contratación podrá no publicar la información relativa al resultado del concurso de proyectos cuando prevea que su divulgación dificultaría la aplicación de la ley, sería</w:t>
      </w:r>
      <w:r>
        <w:rPr>
          <w:spacing w:val="-1"/>
          <w:sz w:val="20"/>
        </w:rPr>
        <w:t xml:space="preserve"> </w:t>
      </w:r>
      <w:r>
        <w:rPr>
          <w:sz w:val="20"/>
        </w:rPr>
        <w:t>contraria</w:t>
      </w:r>
      <w:r>
        <w:rPr>
          <w:spacing w:val="-1"/>
          <w:sz w:val="20"/>
        </w:rPr>
        <w:t xml:space="preserve"> </w:t>
      </w:r>
      <w:r>
        <w:rPr>
          <w:sz w:val="20"/>
        </w:rPr>
        <w:t>al</w:t>
      </w:r>
      <w:r>
        <w:rPr>
          <w:spacing w:val="-1"/>
          <w:sz w:val="20"/>
        </w:rPr>
        <w:t xml:space="preserve"> </w:t>
      </w:r>
      <w:r>
        <w:rPr>
          <w:sz w:val="20"/>
        </w:rPr>
        <w:t>interés</w:t>
      </w:r>
      <w:r>
        <w:rPr>
          <w:spacing w:val="-1"/>
          <w:sz w:val="20"/>
        </w:rPr>
        <w:t xml:space="preserve"> </w:t>
      </w:r>
      <w:r>
        <w:rPr>
          <w:sz w:val="20"/>
        </w:rPr>
        <w:t>público,</w:t>
      </w:r>
      <w:r>
        <w:rPr>
          <w:spacing w:val="-1"/>
          <w:sz w:val="20"/>
        </w:rPr>
        <w:t xml:space="preserve"> </w:t>
      </w:r>
      <w:r>
        <w:rPr>
          <w:sz w:val="20"/>
        </w:rPr>
        <w:t>perjudique</w:t>
      </w:r>
      <w:r>
        <w:rPr>
          <w:spacing w:val="-1"/>
          <w:sz w:val="20"/>
        </w:rPr>
        <w:t xml:space="preserve"> </w:t>
      </w:r>
      <w:r>
        <w:rPr>
          <w:sz w:val="20"/>
        </w:rPr>
        <w:t>los</w:t>
      </w:r>
      <w:r>
        <w:rPr>
          <w:spacing w:val="-1"/>
          <w:sz w:val="20"/>
        </w:rPr>
        <w:t xml:space="preserve"> </w:t>
      </w:r>
      <w:r>
        <w:rPr>
          <w:sz w:val="20"/>
        </w:rPr>
        <w:t>intereses</w:t>
      </w:r>
      <w:r>
        <w:rPr>
          <w:spacing w:val="-1"/>
          <w:sz w:val="20"/>
        </w:rPr>
        <w:t xml:space="preserve"> </w:t>
      </w:r>
      <w:r>
        <w:rPr>
          <w:sz w:val="20"/>
        </w:rPr>
        <w:t>comerciales</w:t>
      </w:r>
      <w:r>
        <w:rPr>
          <w:spacing w:val="-1"/>
          <w:sz w:val="20"/>
        </w:rPr>
        <w:t xml:space="preserve"> </w:t>
      </w:r>
      <w:r>
        <w:rPr>
          <w:sz w:val="20"/>
        </w:rPr>
        <w:t>legítimos</w:t>
      </w:r>
      <w:r>
        <w:rPr>
          <w:spacing w:val="-1"/>
          <w:sz w:val="20"/>
        </w:rPr>
        <w:t xml:space="preserve"> </w:t>
      </w:r>
      <w:r>
        <w:rPr>
          <w:sz w:val="20"/>
        </w:rPr>
        <w:t>de</w:t>
      </w:r>
      <w:r>
        <w:rPr>
          <w:spacing w:val="-1"/>
          <w:sz w:val="20"/>
        </w:rPr>
        <w:t xml:space="preserve"> </w:t>
      </w:r>
      <w:r>
        <w:rPr>
          <w:sz w:val="20"/>
        </w:rPr>
        <w:t>empresas públicas o privadas, o podría perjudicar la competencia leal entre proveedores de servicios.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290" w:name="Artículo_187._Jurado_y_decisión_del_conc"/>
      <w:bookmarkEnd w:id="290"/>
      <w:r>
        <w:rPr>
          <w:rFonts w:ascii="Arial" w:hAnsi="Arial"/>
          <w:b/>
          <w:sz w:val="20"/>
        </w:rPr>
        <w:t>Artículo</w:t>
      </w:r>
      <w:r>
        <w:rPr>
          <w:rFonts w:ascii="Arial" w:hAnsi="Arial"/>
          <w:b/>
          <w:spacing w:val="-4"/>
          <w:sz w:val="20"/>
        </w:rPr>
        <w:t xml:space="preserve"> </w:t>
      </w:r>
      <w:r>
        <w:rPr>
          <w:rFonts w:ascii="Arial" w:hAnsi="Arial"/>
          <w:b/>
          <w:sz w:val="20"/>
        </w:rPr>
        <w:t>187.</w:t>
      </w:r>
      <w:r>
        <w:rPr>
          <w:rFonts w:ascii="Arial" w:hAnsi="Arial"/>
          <w:b/>
          <w:spacing w:val="50"/>
          <w:sz w:val="20"/>
        </w:rPr>
        <w:t xml:space="preserve"> </w:t>
      </w:r>
      <w:r>
        <w:rPr>
          <w:rFonts w:ascii="Arial" w:hAnsi="Arial"/>
          <w:i/>
          <w:sz w:val="20"/>
        </w:rPr>
        <w:t>Jurado</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decisión</w:t>
      </w:r>
      <w:r>
        <w:rPr>
          <w:rFonts w:ascii="Arial" w:hAnsi="Arial"/>
          <w:i/>
          <w:spacing w:val="-2"/>
          <w:sz w:val="20"/>
        </w:rPr>
        <w:t xml:space="preserve"> </w:t>
      </w:r>
      <w:r>
        <w:rPr>
          <w:rFonts w:ascii="Arial" w:hAnsi="Arial"/>
          <w:i/>
          <w:sz w:val="20"/>
        </w:rPr>
        <w:t>del</w:t>
      </w:r>
      <w:r>
        <w:rPr>
          <w:rFonts w:ascii="Arial" w:hAnsi="Arial"/>
          <w:i/>
          <w:spacing w:val="-2"/>
          <w:sz w:val="20"/>
        </w:rPr>
        <w:t xml:space="preserve"> concurso.</w:t>
      </w:r>
    </w:p>
    <w:p w:rsidR="0092635B" w:rsidRDefault="00000000">
      <w:pPr>
        <w:pStyle w:val="Prrafodelista"/>
        <w:numPr>
          <w:ilvl w:val="0"/>
          <w:numId w:val="188"/>
        </w:numPr>
        <w:tabs>
          <w:tab w:val="left" w:pos="1721"/>
        </w:tabs>
        <w:spacing w:before="123" w:line="249" w:lineRule="auto"/>
        <w:ind w:right="1104" w:firstLine="340"/>
        <w:jc w:val="both"/>
        <w:rPr>
          <w:sz w:val="20"/>
        </w:rPr>
      </w:pPr>
      <w:r>
        <w:rPr>
          <w:sz w:val="20"/>
        </w:rPr>
        <w:t>Una vez finalizado el plazo de presentación de las propuestas de proyectos, se constituirá un jurado cuyos miembros serán designados de conformidad con lo establecido</w:t>
      </w:r>
      <w:r>
        <w:rPr>
          <w:spacing w:val="40"/>
          <w:sz w:val="20"/>
        </w:rPr>
        <w:t xml:space="preserve"> </w:t>
      </w:r>
      <w:r>
        <w:rPr>
          <w:sz w:val="20"/>
        </w:rPr>
        <w:t>en las bases del concurso.</w:t>
      </w:r>
    </w:p>
    <w:p w:rsidR="0092635B" w:rsidRDefault="00000000">
      <w:pPr>
        <w:pStyle w:val="Textoindependiente"/>
        <w:spacing w:before="3" w:line="249" w:lineRule="auto"/>
        <w:ind w:right="1104"/>
      </w:pPr>
      <w:r>
        <w:t>En los concursos de proyectos no habrá intervención de la mesa de contratación. Todas aquellas funciones administrativas o de otra índole no atribuidas específicamente al Jurado serán realizadas por los servicios dependientes del órgano de contratación.</w:t>
      </w:r>
    </w:p>
    <w:p w:rsidR="0092635B" w:rsidRDefault="00000000">
      <w:pPr>
        <w:pStyle w:val="Prrafodelista"/>
        <w:numPr>
          <w:ilvl w:val="0"/>
          <w:numId w:val="188"/>
        </w:numPr>
        <w:tabs>
          <w:tab w:val="left" w:pos="1690"/>
        </w:tabs>
        <w:spacing w:line="249" w:lineRule="auto"/>
        <w:ind w:firstLine="340"/>
        <w:jc w:val="both"/>
        <w:rPr>
          <w:sz w:val="20"/>
        </w:rPr>
      </w:pPr>
      <w:r>
        <w:rPr>
          <w:sz w:val="20"/>
        </w:rPr>
        <w:t>El jurado estará compuesto por personas físicas independientes de los participantes en el concurso de proyectos y su selección respetará los principios de profesionalidad, especialización en relación con el objeto del contrato, imparcialidad, ausencia de incompatibilidad e independencia.</w:t>
      </w:r>
    </w:p>
    <w:p w:rsidR="0092635B" w:rsidRDefault="00000000">
      <w:pPr>
        <w:pStyle w:val="Prrafodelista"/>
        <w:numPr>
          <w:ilvl w:val="0"/>
          <w:numId w:val="188"/>
        </w:numPr>
        <w:tabs>
          <w:tab w:val="left" w:pos="1746"/>
        </w:tabs>
        <w:spacing w:before="4" w:line="249" w:lineRule="auto"/>
        <w:ind w:right="1104" w:firstLine="340"/>
        <w:jc w:val="both"/>
        <w:rPr>
          <w:sz w:val="20"/>
        </w:rPr>
      </w:pPr>
      <w:r>
        <w:rPr>
          <w:sz w:val="20"/>
        </w:rPr>
        <w:t>Cuando se exija una cualificación profesional específica para participar en un concurso de proyectos, al menos dos tercios de los miembros del jurado deberán poseer dicha cualificación u otra equivalente.</w:t>
      </w:r>
    </w:p>
    <w:p w:rsidR="0092635B" w:rsidRDefault="00000000">
      <w:pPr>
        <w:pStyle w:val="Prrafodelista"/>
        <w:numPr>
          <w:ilvl w:val="0"/>
          <w:numId w:val="188"/>
        </w:numPr>
        <w:tabs>
          <w:tab w:val="left" w:pos="1674"/>
        </w:tabs>
        <w:spacing w:line="249" w:lineRule="auto"/>
        <w:ind w:firstLine="340"/>
        <w:jc w:val="both"/>
        <w:rPr>
          <w:sz w:val="20"/>
        </w:rPr>
      </w:pPr>
      <w:r>
        <w:rPr>
          <w:sz w:val="20"/>
        </w:rPr>
        <w:t>El jurado adoptará sus decisiones o dictámenes con total autonomía e independencia, sobre la base de proyectos que le serán presentados de forma anónima, y atendiendo únicamente a los criterios indicados en el anuncio de licitación del concurso.</w:t>
      </w:r>
    </w:p>
    <w:p w:rsidR="0092635B" w:rsidRDefault="00000000">
      <w:pPr>
        <w:pStyle w:val="Textoindependiente"/>
        <w:spacing w:before="3" w:line="249" w:lineRule="auto"/>
        <w:ind w:right="1103"/>
      </w:pPr>
      <w:r>
        <w:t>A estos efectos se entenderá por proyectos presentados de forma anónima aquellos en los que no solo no figure el nombre de su autor, sino que además no contengan datos o indicios de cualquier tipo que permitan conocer indirectamente la identidad del autor o autores del mismo.</w:t>
      </w:r>
    </w:p>
    <w:p w:rsidR="0092635B" w:rsidRDefault="00000000">
      <w:pPr>
        <w:pStyle w:val="Prrafodelista"/>
        <w:numPr>
          <w:ilvl w:val="0"/>
          <w:numId w:val="188"/>
        </w:numPr>
        <w:tabs>
          <w:tab w:val="left" w:pos="1672"/>
        </w:tabs>
        <w:spacing w:before="3" w:line="249" w:lineRule="auto"/>
        <w:ind w:firstLine="340"/>
        <w:jc w:val="both"/>
        <w:rPr>
          <w:sz w:val="20"/>
        </w:rPr>
      </w:pPr>
      <w:r>
        <w:rPr>
          <w:sz w:val="20"/>
        </w:rPr>
        <w:t xml:space="preserve">El jurado hará constar en un informe, firmado por sus miembros, la clasificación de los proyectos, teniendo en cuenta los méritos de cada proyecto, junto con sus observaciones y cualesquiera aspectos que requieran aclaración, del que se dará traslado al órgano de </w:t>
      </w:r>
      <w:r>
        <w:rPr>
          <w:spacing w:val="-2"/>
          <w:sz w:val="20"/>
        </w:rPr>
        <w:t>contratación.</w:t>
      </w:r>
    </w:p>
    <w:p w:rsidR="0092635B" w:rsidRDefault="00000000">
      <w:pPr>
        <w:pStyle w:val="Prrafodelista"/>
        <w:numPr>
          <w:ilvl w:val="0"/>
          <w:numId w:val="188"/>
        </w:numPr>
        <w:tabs>
          <w:tab w:val="left" w:pos="1668"/>
        </w:tabs>
        <w:spacing w:before="3"/>
        <w:ind w:left="1668" w:right="0" w:hanging="222"/>
        <w:jc w:val="both"/>
        <w:rPr>
          <w:sz w:val="20"/>
        </w:rPr>
      </w:pPr>
      <w:r>
        <w:rPr>
          <w:sz w:val="20"/>
        </w:rPr>
        <w:t>Deberá</w:t>
      </w:r>
      <w:r>
        <w:rPr>
          <w:spacing w:val="-6"/>
          <w:sz w:val="20"/>
        </w:rPr>
        <w:t xml:space="preserve"> </w:t>
      </w:r>
      <w:r>
        <w:rPr>
          <w:sz w:val="20"/>
        </w:rPr>
        <w:t>respetarse</w:t>
      </w:r>
      <w:r>
        <w:rPr>
          <w:spacing w:val="-4"/>
          <w:sz w:val="20"/>
        </w:rPr>
        <w:t xml:space="preserve"> </w:t>
      </w:r>
      <w:r>
        <w:rPr>
          <w:sz w:val="20"/>
        </w:rPr>
        <w:t>el</w:t>
      </w:r>
      <w:r>
        <w:rPr>
          <w:spacing w:val="-4"/>
          <w:sz w:val="20"/>
        </w:rPr>
        <w:t xml:space="preserve"> </w:t>
      </w:r>
      <w:r>
        <w:rPr>
          <w:sz w:val="20"/>
        </w:rPr>
        <w:t>anonimato</w:t>
      </w:r>
      <w:r>
        <w:rPr>
          <w:spacing w:val="-4"/>
          <w:sz w:val="20"/>
        </w:rPr>
        <w:t xml:space="preserve"> </w:t>
      </w:r>
      <w:r>
        <w:rPr>
          <w:sz w:val="20"/>
        </w:rPr>
        <w:t>hasta</w:t>
      </w:r>
      <w:r>
        <w:rPr>
          <w:spacing w:val="-4"/>
          <w:sz w:val="20"/>
        </w:rPr>
        <w:t xml:space="preserve"> </w:t>
      </w:r>
      <w:r>
        <w:rPr>
          <w:sz w:val="20"/>
        </w:rPr>
        <w:t>que</w:t>
      </w:r>
      <w:r>
        <w:rPr>
          <w:spacing w:val="-4"/>
          <w:sz w:val="20"/>
        </w:rPr>
        <w:t xml:space="preserve"> </w:t>
      </w:r>
      <w:r>
        <w:rPr>
          <w:sz w:val="20"/>
        </w:rPr>
        <w:t>el</w:t>
      </w:r>
      <w:r>
        <w:rPr>
          <w:spacing w:val="-4"/>
          <w:sz w:val="20"/>
        </w:rPr>
        <w:t xml:space="preserve"> </w:t>
      </w:r>
      <w:r>
        <w:rPr>
          <w:sz w:val="20"/>
        </w:rPr>
        <w:t>jurado</w:t>
      </w:r>
      <w:r>
        <w:rPr>
          <w:spacing w:val="-4"/>
          <w:sz w:val="20"/>
        </w:rPr>
        <w:t xml:space="preserve"> </w:t>
      </w:r>
      <w:r>
        <w:rPr>
          <w:sz w:val="20"/>
        </w:rPr>
        <w:t>emita</w:t>
      </w:r>
      <w:r>
        <w:rPr>
          <w:spacing w:val="-4"/>
          <w:sz w:val="20"/>
        </w:rPr>
        <w:t xml:space="preserve"> </w:t>
      </w:r>
      <w:r>
        <w:rPr>
          <w:sz w:val="20"/>
        </w:rPr>
        <w:t>su</w:t>
      </w:r>
      <w:r>
        <w:rPr>
          <w:spacing w:val="-4"/>
          <w:sz w:val="20"/>
        </w:rPr>
        <w:t xml:space="preserve"> </w:t>
      </w:r>
      <w:r>
        <w:rPr>
          <w:sz w:val="20"/>
        </w:rPr>
        <w:t>dictamen</w:t>
      </w:r>
      <w:r>
        <w:rPr>
          <w:spacing w:val="-4"/>
          <w:sz w:val="20"/>
        </w:rPr>
        <w:t xml:space="preserve"> </w:t>
      </w:r>
      <w:r>
        <w:rPr>
          <w:sz w:val="20"/>
        </w:rPr>
        <w:t>o</w:t>
      </w:r>
      <w:r>
        <w:rPr>
          <w:spacing w:val="-3"/>
          <w:sz w:val="20"/>
        </w:rPr>
        <w:t xml:space="preserve"> </w:t>
      </w:r>
      <w:r>
        <w:rPr>
          <w:spacing w:val="-2"/>
          <w:sz w:val="20"/>
        </w:rPr>
        <w:t>decisión.</w:t>
      </w:r>
    </w:p>
    <w:p w:rsidR="0092635B" w:rsidRDefault="00000000">
      <w:pPr>
        <w:pStyle w:val="Prrafodelista"/>
        <w:numPr>
          <w:ilvl w:val="0"/>
          <w:numId w:val="188"/>
        </w:numPr>
        <w:tabs>
          <w:tab w:val="left" w:pos="1671"/>
        </w:tabs>
        <w:spacing w:before="10" w:line="249" w:lineRule="auto"/>
        <w:ind w:right="1105" w:firstLine="340"/>
        <w:jc w:val="both"/>
        <w:rPr>
          <w:sz w:val="20"/>
        </w:rPr>
      </w:pPr>
      <w:r>
        <w:rPr>
          <w:sz w:val="20"/>
        </w:rPr>
        <w:t>De ser necesario, podrá invitarse a los participantes a que respondan a preguntas que el jurado haya incluido en el acta para aclarar cualquier aspecto de los proyectos, debiendo levantarse un acta completa del diálogo entre los miembros del jurado y los participantes.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88"/>
        </w:numPr>
        <w:tabs>
          <w:tab w:val="left" w:pos="1691"/>
        </w:tabs>
        <w:spacing w:before="1" w:line="249" w:lineRule="auto"/>
        <w:ind w:right="1105" w:firstLine="340"/>
        <w:jc w:val="both"/>
        <w:rPr>
          <w:sz w:val="20"/>
        </w:rPr>
      </w:pPr>
      <w:r>
        <w:rPr>
          <w:sz w:val="20"/>
        </w:rPr>
        <w:t>Una vez que el jurado hubiere adoptado una decisión, dará traslado de la misma al 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para</w:t>
      </w:r>
      <w:r>
        <w:rPr>
          <w:spacing w:val="-1"/>
          <w:sz w:val="20"/>
        </w:rPr>
        <w:t xml:space="preserve"> </w:t>
      </w:r>
      <w:r>
        <w:rPr>
          <w:sz w:val="20"/>
        </w:rPr>
        <w:t>que</w:t>
      </w:r>
      <w:r>
        <w:rPr>
          <w:spacing w:val="-1"/>
          <w:sz w:val="20"/>
        </w:rPr>
        <w:t xml:space="preserve"> </w:t>
      </w:r>
      <w:r>
        <w:rPr>
          <w:sz w:val="20"/>
        </w:rPr>
        <w:t>este</w:t>
      </w:r>
      <w:r>
        <w:rPr>
          <w:spacing w:val="-1"/>
          <w:sz w:val="20"/>
        </w:rPr>
        <w:t xml:space="preserve"> </w:t>
      </w:r>
      <w:r>
        <w:rPr>
          <w:sz w:val="20"/>
        </w:rPr>
        <w:t>proceda</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adjudicación</w:t>
      </w:r>
      <w:r>
        <w:rPr>
          <w:spacing w:val="-1"/>
          <w:sz w:val="20"/>
        </w:rPr>
        <w:t xml:space="preserve"> </w:t>
      </w:r>
      <w:r>
        <w:rPr>
          <w:sz w:val="20"/>
        </w:rPr>
        <w:t>del</w:t>
      </w:r>
      <w:r>
        <w:rPr>
          <w:spacing w:val="-1"/>
          <w:sz w:val="20"/>
        </w:rPr>
        <w:t xml:space="preserve"> </w:t>
      </w:r>
      <w:r>
        <w:rPr>
          <w:sz w:val="20"/>
        </w:rPr>
        <w:t>concurso</w:t>
      </w:r>
      <w:r>
        <w:rPr>
          <w:spacing w:val="-1"/>
          <w:sz w:val="20"/>
        </w:rPr>
        <w:t xml:space="preserve"> </w:t>
      </w:r>
      <w:r>
        <w:rPr>
          <w:sz w:val="20"/>
        </w:rPr>
        <w:t>de</w:t>
      </w:r>
      <w:r>
        <w:rPr>
          <w:spacing w:val="-1"/>
          <w:sz w:val="20"/>
        </w:rPr>
        <w:t xml:space="preserve"> </w:t>
      </w:r>
      <w:r>
        <w:rPr>
          <w:sz w:val="20"/>
        </w:rPr>
        <w:t>proyectos</w:t>
      </w:r>
      <w:r>
        <w:rPr>
          <w:spacing w:val="-1"/>
          <w:sz w:val="20"/>
        </w:rPr>
        <w:t xml:space="preserve"> </w:t>
      </w:r>
      <w:r>
        <w:rPr>
          <w:sz w:val="20"/>
        </w:rPr>
        <w:t>al participante indicado por el primero.</w:t>
      </w:r>
    </w:p>
    <w:p w:rsidR="0092635B" w:rsidRDefault="00000000">
      <w:pPr>
        <w:pStyle w:val="Prrafodelista"/>
        <w:numPr>
          <w:ilvl w:val="0"/>
          <w:numId w:val="188"/>
        </w:numPr>
        <w:tabs>
          <w:tab w:val="left" w:pos="1690"/>
        </w:tabs>
        <w:spacing w:line="249" w:lineRule="auto"/>
        <w:ind w:right="1104" w:firstLine="340"/>
        <w:jc w:val="both"/>
        <w:rPr>
          <w:sz w:val="20"/>
        </w:rPr>
      </w:pPr>
      <w:r>
        <w:rPr>
          <w:sz w:val="20"/>
        </w:rPr>
        <w:t>Los premios y los pagos que, en su caso, se hubieren establecido en las bases del concurso, se abonarán de conformidad con lo establecido en el artículo 198, contándose los plazos fijados en él a partir de que la adjudicación sea notificada.</w:t>
      </w:r>
    </w:p>
    <w:p w:rsidR="0092635B" w:rsidRDefault="00000000">
      <w:pPr>
        <w:pStyle w:val="Textoindependiente"/>
        <w:spacing w:before="3" w:line="249" w:lineRule="auto"/>
        <w:ind w:right="1105"/>
      </w:pPr>
      <w:r>
        <w:t>A tales efectos, en el expediente de gasto se acreditará la cobertura financiera necesaria para poder hacer frente a dichos premios o pagos.</w:t>
      </w:r>
    </w:p>
    <w:p w:rsidR="0092635B" w:rsidRDefault="00000000">
      <w:pPr>
        <w:pStyle w:val="Prrafodelista"/>
        <w:numPr>
          <w:ilvl w:val="0"/>
          <w:numId w:val="188"/>
        </w:numPr>
        <w:tabs>
          <w:tab w:val="left" w:pos="1789"/>
        </w:tabs>
        <w:spacing w:before="1" w:line="249" w:lineRule="auto"/>
        <w:ind w:right="1104" w:firstLine="340"/>
        <w:jc w:val="both"/>
        <w:rPr>
          <w:sz w:val="20"/>
        </w:rPr>
      </w:pPr>
      <w:r>
        <w:rPr>
          <w:sz w:val="20"/>
        </w:rPr>
        <w:t>En lo no previsto por esta Subsección el concurso de los proyectos se regirá por las normas del procedimiento restringido en caso de que se limite el número de participantes, y en caso contrario del procedimiento abierto, en todo aquello en que no resulten</w:t>
      </w:r>
      <w:r>
        <w:rPr>
          <w:spacing w:val="40"/>
          <w:sz w:val="20"/>
        </w:rPr>
        <w:t xml:space="preserve"> </w:t>
      </w:r>
      <w:r>
        <w:rPr>
          <w:sz w:val="20"/>
        </w:rPr>
        <w:t>incompatibles y, también, por las disposiciones reguladoras de la contratación de servicios.</w:t>
      </w:r>
    </w:p>
    <w:p w:rsidR="0092635B" w:rsidRDefault="00000000">
      <w:pPr>
        <w:pStyle w:val="Prrafodelista"/>
        <w:numPr>
          <w:ilvl w:val="0"/>
          <w:numId w:val="188"/>
        </w:numPr>
        <w:tabs>
          <w:tab w:val="left" w:pos="1806"/>
        </w:tabs>
        <w:spacing w:before="3" w:line="249" w:lineRule="auto"/>
        <w:ind w:firstLine="340"/>
        <w:jc w:val="both"/>
        <w:rPr>
          <w:sz w:val="20"/>
        </w:rPr>
      </w:pPr>
      <w:r>
        <w:rPr>
          <w:sz w:val="20"/>
        </w:rPr>
        <w:t>Las normas relativas a los concursos de proyectos previstas en esta subsección serán objeto de desarrollo reglamentario.</w:t>
      </w:r>
    </w:p>
    <w:p w:rsidR="0092635B" w:rsidRDefault="00000000">
      <w:pPr>
        <w:pStyle w:val="Textoindependiente"/>
        <w:spacing w:before="16"/>
        <w:ind w:left="0" w:firstLine="0"/>
        <w:jc w:val="left"/>
      </w:pPr>
      <w:r>
        <w:rPr>
          <w:noProof/>
        </w:rPr>
        <mc:AlternateContent>
          <mc:Choice Requires="wps">
            <w:drawing>
              <wp:anchor distT="0" distB="0" distL="0" distR="0" simplePos="0" relativeHeight="487595008" behindDoc="1" locked="0" layoutInCell="1" allowOverlap="1">
                <wp:simplePos x="0" y="0"/>
                <wp:positionH relativeFrom="page">
                  <wp:posOffset>1156762</wp:posOffset>
                </wp:positionH>
                <wp:positionV relativeFrom="paragraph">
                  <wp:posOffset>176649</wp:posOffset>
                </wp:positionV>
                <wp:extent cx="5247005" cy="78676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11 es conforme con el orden constitucional de competencias, siempre que se interprete en los términos establecidos en el fundamento</w:t>
                            </w:r>
                            <w:r>
                              <w:rPr>
                                <w:color w:val="000000"/>
                                <w:spacing w:val="37"/>
                                <w:sz w:val="18"/>
                              </w:rPr>
                              <w:t xml:space="preserve"> </w:t>
                            </w:r>
                            <w:r>
                              <w:rPr>
                                <w:color w:val="000000"/>
                                <w:sz w:val="18"/>
                              </w:rPr>
                              <w:t>jurídico</w:t>
                            </w:r>
                            <w:r>
                              <w:rPr>
                                <w:color w:val="000000"/>
                                <w:spacing w:val="37"/>
                                <w:sz w:val="18"/>
                              </w:rPr>
                              <w:t xml:space="preserve"> </w:t>
                            </w:r>
                            <w:r>
                              <w:rPr>
                                <w:color w:val="000000"/>
                                <w:sz w:val="18"/>
                              </w:rPr>
                              <w:t>7</w:t>
                            </w:r>
                            <w:r>
                              <w:rPr>
                                <w:color w:val="000000"/>
                                <w:spacing w:val="37"/>
                                <w:sz w:val="18"/>
                              </w:rPr>
                              <w:t xml:space="preserve"> </w:t>
                            </w:r>
                            <w:r>
                              <w:rPr>
                                <w:color w:val="000000"/>
                                <w:sz w:val="18"/>
                              </w:rPr>
                              <w:t>B)</w:t>
                            </w:r>
                            <w:r>
                              <w:rPr>
                                <w:color w:val="000000"/>
                                <w:spacing w:val="37"/>
                                <w:sz w:val="18"/>
                              </w:rPr>
                              <w:t xml:space="preserve"> </w:t>
                            </w:r>
                            <w:r>
                              <w:rPr>
                                <w:color w:val="000000"/>
                                <w:sz w:val="18"/>
                              </w:rPr>
                              <w:t>i),</w:t>
                            </w:r>
                            <w:r>
                              <w:rPr>
                                <w:color w:val="000000"/>
                                <w:spacing w:val="37"/>
                                <w:sz w:val="18"/>
                              </w:rPr>
                              <w:t xml:space="preserve"> </w:t>
                            </w:r>
                            <w:r>
                              <w:rPr>
                                <w:color w:val="000000"/>
                                <w:sz w:val="18"/>
                              </w:rPr>
                              <w:t>por</w:t>
                            </w:r>
                            <w:r>
                              <w:rPr>
                                <w:color w:val="000000"/>
                                <w:spacing w:val="37"/>
                                <w:sz w:val="18"/>
                              </w:rPr>
                              <w:t xml:space="preserve"> </w:t>
                            </w:r>
                            <w:r>
                              <w:rPr>
                                <w:color w:val="000000"/>
                                <w:sz w:val="18"/>
                              </w:rPr>
                              <w:t>la</w:t>
                            </w:r>
                            <w:r>
                              <w:rPr>
                                <w:color w:val="000000"/>
                                <w:spacing w:val="37"/>
                                <w:sz w:val="18"/>
                              </w:rPr>
                              <w:t xml:space="preserve"> </w:t>
                            </w:r>
                            <w:r>
                              <w:rPr>
                                <w:color w:val="000000"/>
                                <w:sz w:val="18"/>
                              </w:rPr>
                              <w:t>Sentencia</w:t>
                            </w:r>
                            <w:r>
                              <w:rPr>
                                <w:color w:val="000000"/>
                                <w:spacing w:val="37"/>
                                <w:sz w:val="18"/>
                              </w:rPr>
                              <w:t xml:space="preserve"> </w:t>
                            </w:r>
                            <w:r>
                              <w:rPr>
                                <w:color w:val="000000"/>
                                <w:sz w:val="18"/>
                              </w:rPr>
                              <w:t>del</w:t>
                            </w:r>
                            <w:r>
                              <w:rPr>
                                <w:color w:val="000000"/>
                                <w:spacing w:val="37"/>
                                <w:sz w:val="18"/>
                              </w:rPr>
                              <w:t xml:space="preserve"> </w:t>
                            </w:r>
                            <w:r>
                              <w:rPr>
                                <w:color w:val="000000"/>
                                <w:sz w:val="18"/>
                              </w:rPr>
                              <w:t>TC</w:t>
                            </w:r>
                            <w:r>
                              <w:rPr>
                                <w:color w:val="000000"/>
                                <w:spacing w:val="37"/>
                                <w:sz w:val="18"/>
                              </w:rPr>
                              <w:t xml:space="preserve"> </w:t>
                            </w:r>
                            <w:r>
                              <w:rPr>
                                <w:color w:val="000000"/>
                                <w:sz w:val="18"/>
                              </w:rPr>
                              <w:t>68/2021,</w:t>
                            </w:r>
                            <w:r>
                              <w:rPr>
                                <w:color w:val="000000"/>
                                <w:spacing w:val="37"/>
                                <w:sz w:val="18"/>
                              </w:rPr>
                              <w:t xml:space="preserve"> </w:t>
                            </w:r>
                            <w:r>
                              <w:rPr>
                                <w:color w:val="000000"/>
                                <w:sz w:val="18"/>
                              </w:rPr>
                              <w:t>de</w:t>
                            </w:r>
                            <w:r>
                              <w:rPr>
                                <w:color w:val="000000"/>
                                <w:spacing w:val="37"/>
                                <w:sz w:val="18"/>
                              </w:rPr>
                              <w:t xml:space="preserve"> </w:t>
                            </w:r>
                            <w:r>
                              <w:rPr>
                                <w:color w:val="000000"/>
                                <w:sz w:val="18"/>
                              </w:rPr>
                              <w:t>18</w:t>
                            </w:r>
                            <w:r>
                              <w:rPr>
                                <w:color w:val="000000"/>
                                <w:spacing w:val="37"/>
                                <w:sz w:val="18"/>
                              </w:rPr>
                              <w:t xml:space="preserve"> </w:t>
                            </w:r>
                            <w:r>
                              <w:rPr>
                                <w:color w:val="000000"/>
                                <w:sz w:val="18"/>
                              </w:rPr>
                              <w:t>de</w:t>
                            </w:r>
                            <w:r>
                              <w:rPr>
                                <w:color w:val="000000"/>
                                <w:spacing w:val="37"/>
                                <w:sz w:val="18"/>
                              </w:rPr>
                              <w:t xml:space="preserve"> </w:t>
                            </w:r>
                            <w:r>
                              <w:rPr>
                                <w:color w:val="000000"/>
                                <w:sz w:val="18"/>
                              </w:rPr>
                              <w:t>marzo.</w:t>
                            </w:r>
                            <w:r>
                              <w:rPr>
                                <w:color w:val="000000"/>
                                <w:spacing w:val="38"/>
                                <w:sz w:val="18"/>
                              </w:rPr>
                              <w:t xml:space="preserve"> </w:t>
                            </w:r>
                            <w:hyperlink r:id="rId43">
                              <w:r>
                                <w:rPr>
                                  <w:color w:val="0000FF"/>
                                  <w:sz w:val="18"/>
                                  <w:u w:val="single" w:color="0000FF"/>
                                </w:rPr>
                                <w:t>Ref.</w:t>
                              </w:r>
                              <w:r>
                                <w:rPr>
                                  <w:color w:val="0000FF"/>
                                  <w:spacing w:val="37"/>
                                  <w:sz w:val="18"/>
                                  <w:u w:val="single" w:color="0000FF"/>
                                </w:rPr>
                                <w:t xml:space="preserve"> </w:t>
                              </w:r>
                              <w:r>
                                <w:rPr>
                                  <w:color w:val="0000FF"/>
                                  <w:sz w:val="18"/>
                                  <w:u w:val="single" w:color="0000FF"/>
                                </w:rPr>
                                <w:t>BOE-</w:t>
                              </w:r>
                            </w:hyperlink>
                            <w:r>
                              <w:rPr>
                                <w:color w:val="0000FF"/>
                                <w:sz w:val="18"/>
                              </w:rPr>
                              <w:t xml:space="preserve"> </w:t>
                            </w:r>
                            <w:hyperlink r:id="rId44">
                              <w:r>
                                <w:rPr>
                                  <w:color w:val="0000FF"/>
                                  <w:spacing w:val="-2"/>
                                  <w:sz w:val="18"/>
                                  <w:u w:val="single" w:color="0000FF"/>
                                </w:rPr>
                                <w:t>A-2021-6614</w:t>
                              </w:r>
                            </w:hyperlink>
                          </w:p>
                        </w:txbxContent>
                      </wps:txbx>
                      <wps:bodyPr wrap="square" lIns="0" tIns="0" rIns="0" bIns="0" rtlCol="0">
                        <a:noAutofit/>
                      </wps:bodyPr>
                    </wps:wsp>
                  </a:graphicData>
                </a:graphic>
              </wp:anchor>
            </w:drawing>
          </mc:Choice>
          <mc:Fallback>
            <w:pict>
              <v:shape id="Textbox 22" o:spid="_x0000_s1037" type="#_x0000_t202" style="position:absolute;margin-left:91.1pt;margin-top:13.9pt;width:413.15pt;height:61.9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Téngase en cuenta que se declara que el apartado 11 es conforme con el orden constitucional de competencias, siempre que se interprete en los términos establecidos en el fundamento</w:t>
                      </w:r>
                      <w:r>
                        <w:rPr>
                          <w:color w:val="000000"/>
                          <w:spacing w:val="37"/>
                          <w:sz w:val="18"/>
                        </w:rPr>
                        <w:t xml:space="preserve"> </w:t>
                      </w:r>
                      <w:r>
                        <w:rPr>
                          <w:color w:val="000000"/>
                          <w:sz w:val="18"/>
                        </w:rPr>
                        <w:t>jurídico</w:t>
                      </w:r>
                      <w:r>
                        <w:rPr>
                          <w:color w:val="000000"/>
                          <w:spacing w:val="37"/>
                          <w:sz w:val="18"/>
                        </w:rPr>
                        <w:t xml:space="preserve"> </w:t>
                      </w:r>
                      <w:r>
                        <w:rPr>
                          <w:color w:val="000000"/>
                          <w:sz w:val="18"/>
                        </w:rPr>
                        <w:t>7</w:t>
                      </w:r>
                      <w:r>
                        <w:rPr>
                          <w:color w:val="000000"/>
                          <w:spacing w:val="37"/>
                          <w:sz w:val="18"/>
                        </w:rPr>
                        <w:t xml:space="preserve"> </w:t>
                      </w:r>
                      <w:r>
                        <w:rPr>
                          <w:color w:val="000000"/>
                          <w:sz w:val="18"/>
                        </w:rPr>
                        <w:t>B)</w:t>
                      </w:r>
                      <w:r>
                        <w:rPr>
                          <w:color w:val="000000"/>
                          <w:spacing w:val="37"/>
                          <w:sz w:val="18"/>
                        </w:rPr>
                        <w:t xml:space="preserve"> </w:t>
                      </w:r>
                      <w:r>
                        <w:rPr>
                          <w:color w:val="000000"/>
                          <w:sz w:val="18"/>
                        </w:rPr>
                        <w:t>i),</w:t>
                      </w:r>
                      <w:r>
                        <w:rPr>
                          <w:color w:val="000000"/>
                          <w:spacing w:val="37"/>
                          <w:sz w:val="18"/>
                        </w:rPr>
                        <w:t xml:space="preserve"> </w:t>
                      </w:r>
                      <w:r>
                        <w:rPr>
                          <w:color w:val="000000"/>
                          <w:sz w:val="18"/>
                        </w:rPr>
                        <w:t>por</w:t>
                      </w:r>
                      <w:r>
                        <w:rPr>
                          <w:color w:val="000000"/>
                          <w:spacing w:val="37"/>
                          <w:sz w:val="18"/>
                        </w:rPr>
                        <w:t xml:space="preserve"> </w:t>
                      </w:r>
                      <w:r>
                        <w:rPr>
                          <w:color w:val="000000"/>
                          <w:sz w:val="18"/>
                        </w:rPr>
                        <w:t>la</w:t>
                      </w:r>
                      <w:r>
                        <w:rPr>
                          <w:color w:val="000000"/>
                          <w:spacing w:val="37"/>
                          <w:sz w:val="18"/>
                        </w:rPr>
                        <w:t xml:space="preserve"> </w:t>
                      </w:r>
                      <w:r>
                        <w:rPr>
                          <w:color w:val="000000"/>
                          <w:sz w:val="18"/>
                        </w:rPr>
                        <w:t>Sentencia</w:t>
                      </w:r>
                      <w:r>
                        <w:rPr>
                          <w:color w:val="000000"/>
                          <w:spacing w:val="37"/>
                          <w:sz w:val="18"/>
                        </w:rPr>
                        <w:t xml:space="preserve"> </w:t>
                      </w:r>
                      <w:r>
                        <w:rPr>
                          <w:color w:val="000000"/>
                          <w:sz w:val="18"/>
                        </w:rPr>
                        <w:t>del</w:t>
                      </w:r>
                      <w:r>
                        <w:rPr>
                          <w:color w:val="000000"/>
                          <w:spacing w:val="37"/>
                          <w:sz w:val="18"/>
                        </w:rPr>
                        <w:t xml:space="preserve"> </w:t>
                      </w:r>
                      <w:r>
                        <w:rPr>
                          <w:color w:val="000000"/>
                          <w:sz w:val="18"/>
                        </w:rPr>
                        <w:t>TC</w:t>
                      </w:r>
                      <w:r>
                        <w:rPr>
                          <w:color w:val="000000"/>
                          <w:spacing w:val="37"/>
                          <w:sz w:val="18"/>
                        </w:rPr>
                        <w:t xml:space="preserve"> </w:t>
                      </w:r>
                      <w:r>
                        <w:rPr>
                          <w:color w:val="000000"/>
                          <w:sz w:val="18"/>
                        </w:rPr>
                        <w:t>68/2021,</w:t>
                      </w:r>
                      <w:r>
                        <w:rPr>
                          <w:color w:val="000000"/>
                          <w:spacing w:val="37"/>
                          <w:sz w:val="18"/>
                        </w:rPr>
                        <w:t xml:space="preserve"> </w:t>
                      </w:r>
                      <w:r>
                        <w:rPr>
                          <w:color w:val="000000"/>
                          <w:sz w:val="18"/>
                        </w:rPr>
                        <w:t>de</w:t>
                      </w:r>
                      <w:r>
                        <w:rPr>
                          <w:color w:val="000000"/>
                          <w:spacing w:val="37"/>
                          <w:sz w:val="18"/>
                        </w:rPr>
                        <w:t xml:space="preserve"> </w:t>
                      </w:r>
                      <w:r>
                        <w:rPr>
                          <w:color w:val="000000"/>
                          <w:sz w:val="18"/>
                        </w:rPr>
                        <w:t>18</w:t>
                      </w:r>
                      <w:r>
                        <w:rPr>
                          <w:color w:val="000000"/>
                          <w:spacing w:val="37"/>
                          <w:sz w:val="18"/>
                        </w:rPr>
                        <w:t xml:space="preserve"> </w:t>
                      </w:r>
                      <w:r>
                        <w:rPr>
                          <w:color w:val="000000"/>
                          <w:sz w:val="18"/>
                        </w:rPr>
                        <w:t>de</w:t>
                      </w:r>
                      <w:r>
                        <w:rPr>
                          <w:color w:val="000000"/>
                          <w:spacing w:val="37"/>
                          <w:sz w:val="18"/>
                        </w:rPr>
                        <w:t xml:space="preserve"> </w:t>
                      </w:r>
                      <w:r>
                        <w:rPr>
                          <w:color w:val="000000"/>
                          <w:sz w:val="18"/>
                        </w:rPr>
                        <w:t>marzo.</w:t>
                      </w:r>
                      <w:r>
                        <w:rPr>
                          <w:color w:val="000000"/>
                          <w:spacing w:val="38"/>
                          <w:sz w:val="18"/>
                        </w:rPr>
                        <w:t xml:space="preserve"> </w:t>
                      </w:r>
                      <w:hyperlink r:id="rId45">
                        <w:r>
                          <w:rPr>
                            <w:color w:val="0000FF"/>
                            <w:sz w:val="18"/>
                            <w:u w:val="single" w:color="0000FF"/>
                          </w:rPr>
                          <w:t>Ref.</w:t>
                        </w:r>
                        <w:r>
                          <w:rPr>
                            <w:color w:val="0000FF"/>
                            <w:spacing w:val="37"/>
                            <w:sz w:val="18"/>
                            <w:u w:val="single" w:color="0000FF"/>
                          </w:rPr>
                          <w:t xml:space="preserve"> </w:t>
                        </w:r>
                        <w:r>
                          <w:rPr>
                            <w:color w:val="0000FF"/>
                            <w:sz w:val="18"/>
                            <w:u w:val="single" w:color="0000FF"/>
                          </w:rPr>
                          <w:t>BOE-</w:t>
                        </w:r>
                      </w:hyperlink>
                      <w:r>
                        <w:rPr>
                          <w:color w:val="0000FF"/>
                          <w:sz w:val="18"/>
                        </w:rPr>
                        <w:t xml:space="preserve"> </w:t>
                      </w:r>
                      <w:hyperlink r:id="rId46">
                        <w:r>
                          <w:rPr>
                            <w:color w:val="0000FF"/>
                            <w:spacing w:val="-2"/>
                            <w:sz w:val="18"/>
                            <w:u w:val="single" w:color="0000FF"/>
                          </w:rPr>
                          <w:t>A-2021-6614</w:t>
                        </w:r>
                      </w:hyperlink>
                    </w:p>
                  </w:txbxContent>
                </v:textbox>
                <w10:wrap type="topAndBottom" anchorx="page"/>
              </v:shape>
            </w:pict>
          </mc:Fallback>
        </mc:AlternateContent>
      </w:r>
    </w:p>
    <w:p w:rsidR="0092635B" w:rsidRDefault="0092635B">
      <w:pPr>
        <w:pStyle w:val="Textoindependiente"/>
        <w:spacing w:before="0"/>
        <w:ind w:left="0" w:firstLine="0"/>
        <w:jc w:val="left"/>
      </w:pPr>
    </w:p>
    <w:p w:rsidR="0092635B" w:rsidRDefault="0092635B">
      <w:pPr>
        <w:pStyle w:val="Textoindependiente"/>
        <w:spacing w:before="136"/>
        <w:ind w:left="0" w:firstLine="0"/>
        <w:jc w:val="left"/>
      </w:pPr>
    </w:p>
    <w:p w:rsidR="0092635B" w:rsidRDefault="00000000">
      <w:pPr>
        <w:pStyle w:val="Ttulo3"/>
        <w:spacing w:line="249" w:lineRule="auto"/>
        <w:ind w:left="1446" w:right="1443"/>
      </w:pPr>
      <w:bookmarkStart w:id="291" w:name="Sección_3.ª_De_los_efectos,_cumplimiento"/>
      <w:bookmarkStart w:id="292" w:name="_bookmark53"/>
      <w:bookmarkEnd w:id="291"/>
      <w:bookmarkEnd w:id="292"/>
      <w:r>
        <w:t>Sección</w:t>
      </w:r>
      <w:r>
        <w:rPr>
          <w:spacing w:val="80"/>
        </w:rPr>
        <w:t xml:space="preserve"> </w:t>
      </w:r>
      <w:r>
        <w:t>3.ª</w:t>
      </w:r>
      <w:r>
        <w:rPr>
          <w:spacing w:val="80"/>
        </w:rPr>
        <w:t xml:space="preserve"> </w:t>
      </w:r>
      <w:r>
        <w:t>De</w:t>
      </w:r>
      <w:r>
        <w:rPr>
          <w:spacing w:val="80"/>
        </w:rPr>
        <w:t xml:space="preserve"> </w:t>
      </w:r>
      <w:r>
        <w:t>los</w:t>
      </w:r>
      <w:r>
        <w:rPr>
          <w:spacing w:val="80"/>
        </w:rPr>
        <w:t xml:space="preserve"> </w:t>
      </w:r>
      <w:r>
        <w:t>efectos,</w:t>
      </w:r>
      <w:r>
        <w:rPr>
          <w:spacing w:val="80"/>
        </w:rPr>
        <w:t xml:space="preserve"> </w:t>
      </w:r>
      <w:r>
        <w:t>cumplimiento</w:t>
      </w:r>
      <w:r>
        <w:rPr>
          <w:spacing w:val="80"/>
        </w:rPr>
        <w:t xml:space="preserve"> </w:t>
      </w:r>
      <w:r>
        <w:t>y</w:t>
      </w:r>
      <w:r>
        <w:rPr>
          <w:spacing w:val="80"/>
        </w:rPr>
        <w:t xml:space="preserve"> </w:t>
      </w:r>
      <w:r>
        <w:t>extinción</w:t>
      </w:r>
      <w:r>
        <w:rPr>
          <w:spacing w:val="80"/>
        </w:rPr>
        <w:t xml:space="preserve"> </w:t>
      </w:r>
      <w:r>
        <w:t>de</w:t>
      </w:r>
      <w:r>
        <w:rPr>
          <w:spacing w:val="80"/>
        </w:rPr>
        <w:t xml:space="preserve"> </w:t>
      </w:r>
      <w:r>
        <w:t>los</w:t>
      </w:r>
      <w:r>
        <w:rPr>
          <w:spacing w:val="80"/>
        </w:rPr>
        <w:t xml:space="preserve"> </w:t>
      </w:r>
      <w:r>
        <w:t xml:space="preserve">contratos </w:t>
      </w:r>
      <w:r>
        <w:rPr>
          <w:spacing w:val="-2"/>
        </w:rPr>
        <w:t>administrativos</w:t>
      </w:r>
    </w:p>
    <w:p w:rsidR="0092635B" w:rsidRDefault="0092635B">
      <w:pPr>
        <w:pStyle w:val="Textoindependiente"/>
        <w:spacing w:before="55"/>
        <w:ind w:left="0" w:firstLine="0"/>
        <w:jc w:val="left"/>
        <w:rPr>
          <w:rFonts w:ascii="Arial"/>
          <w:b/>
          <w:i/>
        </w:rPr>
      </w:pPr>
    </w:p>
    <w:p w:rsidR="0092635B" w:rsidRDefault="00000000">
      <w:pPr>
        <w:pStyle w:val="Textoindependiente"/>
        <w:spacing w:before="0"/>
        <w:ind w:left="0" w:firstLine="0"/>
        <w:jc w:val="center"/>
      </w:pPr>
      <w:bookmarkStart w:id="293" w:name="Subsección_1.ª_Efectos_de_los_contratos"/>
      <w:bookmarkStart w:id="294" w:name="_bookmark54"/>
      <w:bookmarkEnd w:id="293"/>
      <w:bookmarkEnd w:id="294"/>
      <w:r>
        <w:t>Subsección</w:t>
      </w:r>
      <w:r>
        <w:rPr>
          <w:spacing w:val="-3"/>
        </w:rPr>
        <w:t xml:space="preserve"> </w:t>
      </w:r>
      <w:r>
        <w:t>1.ª</w:t>
      </w:r>
      <w:r>
        <w:rPr>
          <w:spacing w:val="-2"/>
        </w:rPr>
        <w:t xml:space="preserve"> </w:t>
      </w:r>
      <w:r>
        <w:t>Efectos</w:t>
      </w:r>
      <w:r>
        <w:rPr>
          <w:spacing w:val="-3"/>
        </w:rPr>
        <w:t xml:space="preserve"> </w:t>
      </w:r>
      <w:r>
        <w:t>de</w:t>
      </w:r>
      <w:r>
        <w:rPr>
          <w:spacing w:val="-2"/>
        </w:rPr>
        <w:t xml:space="preserve"> </w:t>
      </w:r>
      <w:r>
        <w:t>los</w:t>
      </w:r>
      <w:r>
        <w:rPr>
          <w:spacing w:val="-2"/>
        </w:rPr>
        <w:t xml:space="preserve"> contratos</w:t>
      </w:r>
    </w:p>
    <w:p w:rsidR="0092635B" w:rsidRDefault="0092635B">
      <w:pPr>
        <w:pStyle w:val="Textoindependiente"/>
        <w:spacing w:before="6"/>
        <w:ind w:left="0" w:firstLine="0"/>
        <w:jc w:val="left"/>
      </w:pPr>
    </w:p>
    <w:p w:rsidR="0092635B" w:rsidRDefault="00000000">
      <w:pPr>
        <w:spacing w:before="1"/>
        <w:ind w:left="1106"/>
        <w:rPr>
          <w:rFonts w:ascii="Arial" w:hAnsi="Arial"/>
          <w:i/>
          <w:sz w:val="20"/>
        </w:rPr>
      </w:pPr>
      <w:bookmarkStart w:id="295" w:name="Artículo_188._Régimen_jurídico."/>
      <w:bookmarkEnd w:id="295"/>
      <w:r>
        <w:rPr>
          <w:rFonts w:ascii="Arial" w:hAnsi="Arial"/>
          <w:b/>
          <w:sz w:val="20"/>
        </w:rPr>
        <w:t>Artículo</w:t>
      </w:r>
      <w:r>
        <w:rPr>
          <w:rFonts w:ascii="Arial" w:hAnsi="Arial"/>
          <w:b/>
          <w:spacing w:val="-2"/>
          <w:sz w:val="20"/>
        </w:rPr>
        <w:t xml:space="preserve"> </w:t>
      </w:r>
      <w:r>
        <w:rPr>
          <w:rFonts w:ascii="Arial" w:hAnsi="Arial"/>
          <w:b/>
          <w:sz w:val="20"/>
        </w:rPr>
        <w:t>188.</w:t>
      </w:r>
      <w:r>
        <w:rPr>
          <w:rFonts w:ascii="Arial" w:hAnsi="Arial"/>
          <w:b/>
          <w:spacing w:val="51"/>
          <w:sz w:val="20"/>
        </w:rPr>
        <w:t xml:space="preserve"> </w:t>
      </w:r>
      <w:r>
        <w:rPr>
          <w:rFonts w:ascii="Arial" w:hAnsi="Arial"/>
          <w:i/>
          <w:sz w:val="20"/>
        </w:rPr>
        <w:t>Régimen</w:t>
      </w:r>
      <w:r>
        <w:rPr>
          <w:rFonts w:ascii="Arial" w:hAnsi="Arial"/>
          <w:i/>
          <w:spacing w:val="-1"/>
          <w:sz w:val="20"/>
        </w:rPr>
        <w:t xml:space="preserve"> </w:t>
      </w:r>
      <w:r>
        <w:rPr>
          <w:rFonts w:ascii="Arial" w:hAnsi="Arial"/>
          <w:i/>
          <w:spacing w:val="-2"/>
          <w:sz w:val="20"/>
        </w:rPr>
        <w:t>jurídico.</w:t>
      </w:r>
    </w:p>
    <w:p w:rsidR="0092635B" w:rsidRDefault="00000000">
      <w:pPr>
        <w:pStyle w:val="Textoindependiente"/>
        <w:spacing w:before="123" w:line="249" w:lineRule="auto"/>
        <w:ind w:right="1103"/>
      </w:pPr>
      <w:r>
        <w:t xml:space="preserve">Los efectos de los contratos administrativos se regirán por las normas a que hace referencia el apartado 2 del artículo 25 y por los pliegos de cláusulas administrativas y de prescripciones técnicas, generales y particulares, o documento descriptivo que sustituya a </w:t>
      </w:r>
      <w:r>
        <w:rPr>
          <w:spacing w:val="-2"/>
        </w:rPr>
        <w:t>éstos.</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296" w:name="Artículo_189._Vinculación_al_contenido_c"/>
      <w:bookmarkEnd w:id="296"/>
      <w:r>
        <w:rPr>
          <w:rFonts w:ascii="Arial" w:hAnsi="Arial"/>
          <w:b/>
          <w:sz w:val="20"/>
        </w:rPr>
        <w:t>Artículo</w:t>
      </w:r>
      <w:r>
        <w:rPr>
          <w:rFonts w:ascii="Arial" w:hAnsi="Arial"/>
          <w:b/>
          <w:spacing w:val="-4"/>
          <w:sz w:val="20"/>
        </w:rPr>
        <w:t xml:space="preserve"> </w:t>
      </w:r>
      <w:r>
        <w:rPr>
          <w:rFonts w:ascii="Arial" w:hAnsi="Arial"/>
          <w:b/>
          <w:sz w:val="20"/>
        </w:rPr>
        <w:t>189.</w:t>
      </w:r>
      <w:r>
        <w:rPr>
          <w:rFonts w:ascii="Arial" w:hAnsi="Arial"/>
          <w:b/>
          <w:spacing w:val="47"/>
          <w:sz w:val="20"/>
        </w:rPr>
        <w:t xml:space="preserve"> </w:t>
      </w:r>
      <w:r>
        <w:rPr>
          <w:rFonts w:ascii="Arial" w:hAnsi="Arial"/>
          <w:i/>
          <w:sz w:val="20"/>
        </w:rPr>
        <w:t>Vinculación</w:t>
      </w:r>
      <w:r>
        <w:rPr>
          <w:rFonts w:ascii="Arial" w:hAnsi="Arial"/>
          <w:i/>
          <w:spacing w:val="-4"/>
          <w:sz w:val="20"/>
        </w:rPr>
        <w:t xml:space="preserve"> </w:t>
      </w:r>
      <w:r>
        <w:rPr>
          <w:rFonts w:ascii="Arial" w:hAnsi="Arial"/>
          <w:i/>
          <w:sz w:val="20"/>
        </w:rPr>
        <w:t>al</w:t>
      </w:r>
      <w:r>
        <w:rPr>
          <w:rFonts w:ascii="Arial" w:hAnsi="Arial"/>
          <w:i/>
          <w:spacing w:val="-4"/>
          <w:sz w:val="20"/>
        </w:rPr>
        <w:t xml:space="preserve"> </w:t>
      </w:r>
      <w:r>
        <w:rPr>
          <w:rFonts w:ascii="Arial" w:hAnsi="Arial"/>
          <w:i/>
          <w:sz w:val="20"/>
        </w:rPr>
        <w:t>contenido</w:t>
      </w:r>
      <w:r>
        <w:rPr>
          <w:rFonts w:ascii="Arial" w:hAnsi="Arial"/>
          <w:i/>
          <w:spacing w:val="-3"/>
          <w:sz w:val="20"/>
        </w:rPr>
        <w:t xml:space="preserve"> </w:t>
      </w:r>
      <w:r>
        <w:rPr>
          <w:rFonts w:ascii="Arial" w:hAnsi="Arial"/>
          <w:i/>
          <w:spacing w:val="-2"/>
          <w:sz w:val="20"/>
        </w:rPr>
        <w:t>contractual.</w:t>
      </w:r>
    </w:p>
    <w:p w:rsidR="0092635B" w:rsidRDefault="00000000">
      <w:pPr>
        <w:pStyle w:val="Textoindependiente"/>
        <w:spacing w:before="124" w:line="249" w:lineRule="auto"/>
        <w:ind w:right="1105"/>
      </w:pPr>
      <w:r>
        <w:t>Los contratos deberán cumplirse a tenor de sus cláusulas, sin perjuicio de las prerrogativas establecidas por la legislación en favor de las Administraciones Públicas.</w:t>
      </w:r>
    </w:p>
    <w:p w:rsidR="0092635B" w:rsidRDefault="0092635B">
      <w:pPr>
        <w:pStyle w:val="Textoindependiente"/>
        <w:spacing w:before="55"/>
        <w:ind w:left="0" w:firstLine="0"/>
        <w:jc w:val="left"/>
      </w:pPr>
    </w:p>
    <w:p w:rsidR="0092635B" w:rsidRDefault="00000000">
      <w:pPr>
        <w:pStyle w:val="Textoindependiente"/>
        <w:spacing w:before="0" w:line="249" w:lineRule="auto"/>
        <w:ind w:left="1446" w:right="1444" w:firstLine="0"/>
        <w:jc w:val="center"/>
      </w:pPr>
      <w:bookmarkStart w:id="297" w:name="Subsección_2.ª_Prerrogativas_de_la_Admin"/>
      <w:bookmarkStart w:id="298" w:name="_bookmark55"/>
      <w:bookmarkEnd w:id="297"/>
      <w:bookmarkEnd w:id="298"/>
      <w:r>
        <w:t>Subsección</w:t>
      </w:r>
      <w:r>
        <w:rPr>
          <w:spacing w:val="80"/>
        </w:rPr>
        <w:t xml:space="preserve"> </w:t>
      </w:r>
      <w:r>
        <w:t>2.ª</w:t>
      </w:r>
      <w:r>
        <w:rPr>
          <w:spacing w:val="80"/>
        </w:rPr>
        <w:t xml:space="preserve"> </w:t>
      </w:r>
      <w:r>
        <w:t>Prerrogativas</w:t>
      </w:r>
      <w:r>
        <w:rPr>
          <w:spacing w:val="80"/>
        </w:rPr>
        <w:t xml:space="preserve"> </w:t>
      </w:r>
      <w:r>
        <w:t>de</w:t>
      </w:r>
      <w:r>
        <w:rPr>
          <w:spacing w:val="80"/>
        </w:rPr>
        <w:t xml:space="preserve"> </w:t>
      </w:r>
      <w:r>
        <w:t>la</w:t>
      </w:r>
      <w:r>
        <w:rPr>
          <w:spacing w:val="80"/>
        </w:rPr>
        <w:t xml:space="preserve"> </w:t>
      </w:r>
      <w:r>
        <w:t>Administración</w:t>
      </w:r>
      <w:r>
        <w:rPr>
          <w:spacing w:val="80"/>
        </w:rPr>
        <w:t xml:space="preserve"> </w:t>
      </w:r>
      <w:r>
        <w:t>Pública</w:t>
      </w:r>
      <w:r>
        <w:rPr>
          <w:spacing w:val="80"/>
        </w:rPr>
        <w:t xml:space="preserve"> </w:t>
      </w:r>
      <w:r>
        <w:t>en</w:t>
      </w:r>
      <w:r>
        <w:rPr>
          <w:spacing w:val="80"/>
        </w:rPr>
        <w:t xml:space="preserve"> </w:t>
      </w:r>
      <w:r>
        <w:t>los</w:t>
      </w:r>
      <w:r>
        <w:rPr>
          <w:spacing w:val="80"/>
        </w:rPr>
        <w:t xml:space="preserve"> </w:t>
      </w:r>
      <w:r>
        <w:t>contratos</w:t>
      </w:r>
      <w:r>
        <w:rPr>
          <w:spacing w:val="40"/>
        </w:rPr>
        <w:t xml:space="preserve"> </w:t>
      </w:r>
      <w:r>
        <w:rPr>
          <w:spacing w:val="-2"/>
        </w:rPr>
        <w:t>administrativos</w:t>
      </w:r>
    </w:p>
    <w:p w:rsidR="0092635B" w:rsidRDefault="00000000">
      <w:pPr>
        <w:spacing w:before="228"/>
        <w:ind w:left="1106"/>
        <w:rPr>
          <w:rFonts w:ascii="Arial" w:hAnsi="Arial"/>
          <w:i/>
          <w:sz w:val="20"/>
        </w:rPr>
      </w:pPr>
      <w:bookmarkStart w:id="299" w:name="Artículo_190._Enumeración."/>
      <w:bookmarkEnd w:id="299"/>
      <w:r>
        <w:rPr>
          <w:rFonts w:ascii="Arial" w:hAnsi="Arial"/>
          <w:b/>
          <w:sz w:val="20"/>
        </w:rPr>
        <w:t>Artículo 190.</w:t>
      </w:r>
      <w:r>
        <w:rPr>
          <w:rFonts w:ascii="Arial" w:hAnsi="Arial"/>
          <w:b/>
          <w:spacing w:val="54"/>
          <w:sz w:val="20"/>
        </w:rPr>
        <w:t xml:space="preserve"> </w:t>
      </w:r>
      <w:r>
        <w:rPr>
          <w:rFonts w:ascii="Arial" w:hAnsi="Arial"/>
          <w:i/>
          <w:spacing w:val="-2"/>
          <w:sz w:val="20"/>
        </w:rPr>
        <w:t>Enumeración.</w:t>
      </w:r>
    </w:p>
    <w:p w:rsidR="0092635B" w:rsidRDefault="00000000">
      <w:pPr>
        <w:pStyle w:val="Textoindependiente"/>
        <w:spacing w:before="124" w:line="249" w:lineRule="auto"/>
        <w:ind w:right="1103"/>
      </w:pPr>
      <w:r>
        <w:t>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declarar la responsabilidad imputable al contratista a raíz de la ejecución del contrato, suspender la ejecución del mismo, acordar su resolución y determinar los efectos de esta.</w:t>
      </w:r>
    </w:p>
    <w:p w:rsidR="0092635B" w:rsidRDefault="00000000">
      <w:pPr>
        <w:pStyle w:val="Textoindependiente"/>
        <w:spacing w:before="4" w:line="249" w:lineRule="auto"/>
        <w:ind w:right="1103"/>
      </w:pPr>
      <w:r>
        <w:t>Igualmente, el órgano de contratación ostenta las facultades de inspección de las actividades desarrolladas por los contratistas durante la ejecución del contrato, en los términos y con los límites establecidos en la presente Ley para cada tipo de contrato. En ningún caso dichas facultades de inspección podrán implicar un derecho general del órgano de contratación a inspeccionar las instalaciones, oficinas y demás emplazamientos en los que el contratista desarrolle sus actividades, salvo que tales emplazamientos y sus condiciones</w:t>
      </w:r>
      <w:r>
        <w:rPr>
          <w:spacing w:val="24"/>
        </w:rPr>
        <w:t xml:space="preserve"> </w:t>
      </w:r>
      <w:r>
        <w:t>técnicas</w:t>
      </w:r>
      <w:r>
        <w:rPr>
          <w:spacing w:val="26"/>
        </w:rPr>
        <w:t xml:space="preserve"> </w:t>
      </w:r>
      <w:r>
        <w:t>sean</w:t>
      </w:r>
      <w:r>
        <w:rPr>
          <w:spacing w:val="26"/>
        </w:rPr>
        <w:t xml:space="preserve"> </w:t>
      </w:r>
      <w:r>
        <w:t>determinantes</w:t>
      </w:r>
      <w:r>
        <w:rPr>
          <w:spacing w:val="26"/>
        </w:rPr>
        <w:t xml:space="preserve"> </w:t>
      </w:r>
      <w:r>
        <w:t>para</w:t>
      </w:r>
      <w:r>
        <w:rPr>
          <w:spacing w:val="26"/>
        </w:rPr>
        <w:t xml:space="preserve"> </w:t>
      </w:r>
      <w:r>
        <w:t>el</w:t>
      </w:r>
      <w:r>
        <w:rPr>
          <w:spacing w:val="26"/>
        </w:rPr>
        <w:t xml:space="preserve"> </w:t>
      </w:r>
      <w:r>
        <w:t>desarrollo</w:t>
      </w:r>
      <w:r>
        <w:rPr>
          <w:spacing w:val="26"/>
        </w:rPr>
        <w:t xml:space="preserve"> </w:t>
      </w:r>
      <w:r>
        <w:t>de</w:t>
      </w:r>
      <w:r>
        <w:rPr>
          <w:spacing w:val="26"/>
        </w:rPr>
        <w:t xml:space="preserve"> </w:t>
      </w:r>
      <w:r>
        <w:t>las</w:t>
      </w:r>
      <w:r>
        <w:rPr>
          <w:spacing w:val="26"/>
        </w:rPr>
        <w:t xml:space="preserve"> </w:t>
      </w:r>
      <w:r>
        <w:t>prestaciones</w:t>
      </w:r>
      <w:r>
        <w:rPr>
          <w:spacing w:val="26"/>
        </w:rPr>
        <w:t xml:space="preserve"> </w:t>
      </w:r>
      <w:r>
        <w:t>objeto</w:t>
      </w:r>
      <w:r>
        <w:rPr>
          <w:spacing w:val="26"/>
        </w:rPr>
        <w:t xml:space="preserve"> </w:t>
      </w:r>
      <w:r>
        <w:rPr>
          <w:spacing w:val="-5"/>
        </w:rPr>
        <w:t>del</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firstLine="0"/>
        <w:jc w:val="left"/>
      </w:pPr>
      <w:r>
        <w:t>contrato.</w:t>
      </w:r>
      <w:r>
        <w:rPr>
          <w:spacing w:val="40"/>
        </w:rPr>
        <w:t xml:space="preserve"> </w:t>
      </w:r>
      <w:r>
        <w:t>En</w:t>
      </w:r>
      <w:r>
        <w:rPr>
          <w:spacing w:val="40"/>
        </w:rPr>
        <w:t xml:space="preserve"> </w:t>
      </w:r>
      <w:r>
        <w:t>tal</w:t>
      </w:r>
      <w:r>
        <w:rPr>
          <w:spacing w:val="40"/>
        </w:rPr>
        <w:t xml:space="preserve"> </w:t>
      </w:r>
      <w:r>
        <w:t>caso,</w:t>
      </w:r>
      <w:r>
        <w:rPr>
          <w:spacing w:val="40"/>
        </w:rPr>
        <w:t xml:space="preserve"> </w:t>
      </w:r>
      <w:r>
        <w:t>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deberá</w:t>
      </w:r>
      <w:r>
        <w:rPr>
          <w:spacing w:val="40"/>
        </w:rPr>
        <w:t xml:space="preserve"> </w:t>
      </w:r>
      <w:r>
        <w:t>justificarlo</w:t>
      </w:r>
      <w:r>
        <w:rPr>
          <w:spacing w:val="40"/>
        </w:rPr>
        <w:t xml:space="preserve"> </w:t>
      </w:r>
      <w:r>
        <w:t>de</w:t>
      </w:r>
      <w:r>
        <w:rPr>
          <w:spacing w:val="40"/>
        </w:rPr>
        <w:t xml:space="preserve"> </w:t>
      </w:r>
      <w:r>
        <w:t>forma</w:t>
      </w:r>
      <w:r>
        <w:rPr>
          <w:spacing w:val="40"/>
        </w:rPr>
        <w:t xml:space="preserve"> </w:t>
      </w:r>
      <w:r>
        <w:t>expresa</w:t>
      </w:r>
      <w:r>
        <w:rPr>
          <w:spacing w:val="40"/>
        </w:rPr>
        <w:t xml:space="preserve"> </w:t>
      </w:r>
      <w:r>
        <w:t>y detallada en el expediente administrativo.</w:t>
      </w:r>
    </w:p>
    <w:p w:rsidR="0092635B" w:rsidRDefault="00000000">
      <w:pPr>
        <w:spacing w:before="228"/>
        <w:ind w:left="1106"/>
        <w:rPr>
          <w:rFonts w:ascii="Arial" w:hAnsi="Arial"/>
          <w:i/>
          <w:sz w:val="20"/>
        </w:rPr>
      </w:pPr>
      <w:bookmarkStart w:id="300" w:name="Artículo_191._Procedimiento_de_ejercicio"/>
      <w:bookmarkEnd w:id="300"/>
      <w:r>
        <w:rPr>
          <w:rFonts w:ascii="Arial" w:hAnsi="Arial"/>
          <w:b/>
          <w:sz w:val="20"/>
        </w:rPr>
        <w:t>Artículo</w:t>
      </w:r>
      <w:r>
        <w:rPr>
          <w:rFonts w:ascii="Arial" w:hAnsi="Arial"/>
          <w:b/>
          <w:spacing w:val="-3"/>
          <w:sz w:val="20"/>
        </w:rPr>
        <w:t xml:space="preserve"> </w:t>
      </w:r>
      <w:r>
        <w:rPr>
          <w:rFonts w:ascii="Arial" w:hAnsi="Arial"/>
          <w:b/>
          <w:sz w:val="20"/>
        </w:rPr>
        <w:t>191.</w:t>
      </w:r>
      <w:r>
        <w:rPr>
          <w:rFonts w:ascii="Arial" w:hAnsi="Arial"/>
          <w:b/>
          <w:spacing w:val="49"/>
          <w:sz w:val="20"/>
        </w:rPr>
        <w:t xml:space="preserve"> </w:t>
      </w:r>
      <w:r>
        <w:rPr>
          <w:rFonts w:ascii="Arial" w:hAnsi="Arial"/>
          <w:i/>
          <w:sz w:val="20"/>
        </w:rPr>
        <w:t>Procedimiento</w:t>
      </w:r>
      <w:r>
        <w:rPr>
          <w:rFonts w:ascii="Arial" w:hAnsi="Arial"/>
          <w:i/>
          <w:spacing w:val="-3"/>
          <w:sz w:val="20"/>
        </w:rPr>
        <w:t xml:space="preserve"> </w:t>
      </w:r>
      <w:r>
        <w:rPr>
          <w:rFonts w:ascii="Arial" w:hAnsi="Arial"/>
          <w:i/>
          <w:sz w:val="20"/>
        </w:rPr>
        <w:t>de</w:t>
      </w:r>
      <w:r>
        <w:rPr>
          <w:rFonts w:ascii="Arial" w:hAnsi="Arial"/>
          <w:i/>
          <w:spacing w:val="-2"/>
          <w:sz w:val="20"/>
        </w:rPr>
        <w:t xml:space="preserve"> ejercicio.</w:t>
      </w:r>
    </w:p>
    <w:p w:rsidR="0092635B" w:rsidRDefault="00000000">
      <w:pPr>
        <w:pStyle w:val="Prrafodelista"/>
        <w:numPr>
          <w:ilvl w:val="0"/>
          <w:numId w:val="187"/>
        </w:numPr>
        <w:tabs>
          <w:tab w:val="left" w:pos="1686"/>
        </w:tabs>
        <w:spacing w:before="123" w:line="249" w:lineRule="auto"/>
        <w:ind w:right="1104" w:firstLine="340"/>
        <w:jc w:val="both"/>
        <w:rPr>
          <w:sz w:val="20"/>
        </w:rPr>
      </w:pPr>
      <w:r>
        <w:rPr>
          <w:sz w:val="20"/>
        </w:rPr>
        <w:t>En los procedimientos que se instruyan para la adopción de acuerdos relativos a las prerrogativas establecidas en el artículo anterior, deberá darse audiencia al contratista.</w:t>
      </w:r>
    </w:p>
    <w:p w:rsidR="0092635B" w:rsidRDefault="00000000">
      <w:pPr>
        <w:pStyle w:val="Prrafodelista"/>
        <w:numPr>
          <w:ilvl w:val="0"/>
          <w:numId w:val="187"/>
        </w:numPr>
        <w:tabs>
          <w:tab w:val="left" w:pos="1717"/>
        </w:tabs>
        <w:spacing w:line="249" w:lineRule="auto"/>
        <w:ind w:firstLine="340"/>
        <w:jc w:val="both"/>
        <w:rPr>
          <w:sz w:val="20"/>
        </w:rPr>
      </w:pPr>
      <w:r>
        <w:rPr>
          <w:sz w:val="20"/>
        </w:rPr>
        <w:t>En la Administración General del Estado, sus Organismos Autónomos, Entidades Gestoras y Servicios Comunes de la Seguridad Social y demás Administraciones Públicas integrantes del sector público estatal, los acuerdos a que se refiere el apartado anterior deberán ser adoptados previo informe del Servicio Jurídico correspondiente, salvo en los casos previstos en los artículos 109 y 195.</w:t>
      </w:r>
    </w:p>
    <w:p w:rsidR="0092635B" w:rsidRDefault="00000000">
      <w:pPr>
        <w:pStyle w:val="Prrafodelista"/>
        <w:numPr>
          <w:ilvl w:val="0"/>
          <w:numId w:val="187"/>
        </w:numPr>
        <w:tabs>
          <w:tab w:val="left" w:pos="1684"/>
        </w:tabs>
        <w:spacing w:before="4" w:line="249" w:lineRule="auto"/>
        <w:ind w:right="1105" w:firstLine="340"/>
        <w:jc w:val="both"/>
        <w:rPr>
          <w:sz w:val="20"/>
        </w:rPr>
      </w:pPr>
      <w:r>
        <w:rPr>
          <w:sz w:val="20"/>
        </w:rPr>
        <w:t>No obstante lo anterior, será preceptivo el dictamen del Consejo de Estado u órgano consultivo equivalente de la Comunidad Autónoma respectiva en los casos y respecto de los contratos que se indican a continuación:</w:t>
      </w:r>
    </w:p>
    <w:p w:rsidR="0092635B" w:rsidRDefault="00000000">
      <w:pPr>
        <w:pStyle w:val="Prrafodelista"/>
        <w:numPr>
          <w:ilvl w:val="1"/>
          <w:numId w:val="187"/>
        </w:numPr>
        <w:tabs>
          <w:tab w:val="left" w:pos="1696"/>
        </w:tabs>
        <w:spacing w:before="123" w:line="249" w:lineRule="auto"/>
        <w:ind w:firstLine="340"/>
        <w:jc w:val="both"/>
        <w:rPr>
          <w:sz w:val="20"/>
        </w:rPr>
      </w:pPr>
      <w:r>
        <w:rPr>
          <w:sz w:val="20"/>
        </w:rPr>
        <w:t>La interpretación, nulidad y resolución de los contratos, cuando se formule oposición por parte del contratista.</w:t>
      </w:r>
    </w:p>
    <w:p w:rsidR="0092635B" w:rsidRDefault="00000000">
      <w:pPr>
        <w:pStyle w:val="Prrafodelista"/>
        <w:numPr>
          <w:ilvl w:val="1"/>
          <w:numId w:val="187"/>
        </w:numPr>
        <w:tabs>
          <w:tab w:val="left" w:pos="1706"/>
        </w:tabs>
        <w:spacing w:before="1" w:line="249" w:lineRule="auto"/>
        <w:ind w:right="1102" w:firstLine="340"/>
        <w:jc w:val="both"/>
        <w:rPr>
          <w:sz w:val="20"/>
        </w:rPr>
      </w:pPr>
      <w:r>
        <w:rPr>
          <w:sz w:val="20"/>
        </w:rPr>
        <w:t>Las modificaciones de los contratos cuando no estuvieran previstas en el pliego de cláusulas administrativas particulares y su cuantía, aislada o conjuntamente, sea superior a un</w:t>
      </w:r>
      <w:r>
        <w:rPr>
          <w:spacing w:val="-3"/>
          <w:sz w:val="20"/>
        </w:rPr>
        <w:t xml:space="preserve"> </w:t>
      </w:r>
      <w:r>
        <w:rPr>
          <w:sz w:val="20"/>
        </w:rPr>
        <w:t>20</w:t>
      </w:r>
      <w:r>
        <w:rPr>
          <w:spacing w:val="-3"/>
          <w:sz w:val="20"/>
        </w:rPr>
        <w:t xml:space="preserve"> </w:t>
      </w:r>
      <w:r>
        <w:rPr>
          <w:sz w:val="20"/>
        </w:rPr>
        <w:t>por</w:t>
      </w:r>
      <w:r>
        <w:rPr>
          <w:spacing w:val="-3"/>
          <w:sz w:val="20"/>
        </w:rPr>
        <w:t xml:space="preserve"> </w:t>
      </w:r>
      <w:r>
        <w:rPr>
          <w:sz w:val="20"/>
        </w:rPr>
        <w:t>ciento</w:t>
      </w:r>
      <w:r>
        <w:rPr>
          <w:spacing w:val="-3"/>
          <w:sz w:val="20"/>
        </w:rPr>
        <w:t xml:space="preserve"> </w:t>
      </w:r>
      <w:r>
        <w:rPr>
          <w:sz w:val="20"/>
        </w:rPr>
        <w:t>del</w:t>
      </w:r>
      <w:r>
        <w:rPr>
          <w:spacing w:val="-3"/>
          <w:sz w:val="20"/>
        </w:rPr>
        <w:t xml:space="preserve"> </w:t>
      </w:r>
      <w:r>
        <w:rPr>
          <w:sz w:val="20"/>
        </w:rPr>
        <w:t>precio</w:t>
      </w:r>
      <w:r>
        <w:rPr>
          <w:spacing w:val="-3"/>
          <w:sz w:val="20"/>
        </w:rPr>
        <w:t xml:space="preserve"> </w:t>
      </w:r>
      <w:r>
        <w:rPr>
          <w:sz w:val="20"/>
        </w:rPr>
        <w:t>inicial</w:t>
      </w:r>
      <w:r>
        <w:rPr>
          <w:spacing w:val="-3"/>
          <w:sz w:val="20"/>
        </w:rPr>
        <w:t xml:space="preserve"> </w:t>
      </w:r>
      <w:r>
        <w:rPr>
          <w:sz w:val="20"/>
        </w:rPr>
        <w:t>del</w:t>
      </w:r>
      <w:r>
        <w:rPr>
          <w:spacing w:val="-3"/>
          <w:sz w:val="20"/>
        </w:rPr>
        <w:t xml:space="preserve"> </w:t>
      </w:r>
      <w:r>
        <w:rPr>
          <w:sz w:val="20"/>
        </w:rPr>
        <w:t>contrato,</w:t>
      </w:r>
      <w:r>
        <w:rPr>
          <w:spacing w:val="-3"/>
          <w:sz w:val="20"/>
        </w:rPr>
        <w:t xml:space="preserve"> </w:t>
      </w:r>
      <w:r>
        <w:rPr>
          <w:sz w:val="20"/>
        </w:rPr>
        <w:t>IVA</w:t>
      </w:r>
      <w:r>
        <w:rPr>
          <w:spacing w:val="-3"/>
          <w:sz w:val="20"/>
        </w:rPr>
        <w:t xml:space="preserve"> </w:t>
      </w:r>
      <w:r>
        <w:rPr>
          <w:sz w:val="20"/>
        </w:rPr>
        <w:t>excluido,</w:t>
      </w:r>
      <w:r>
        <w:rPr>
          <w:spacing w:val="-3"/>
          <w:sz w:val="20"/>
        </w:rPr>
        <w:t xml:space="preserve"> </w:t>
      </w:r>
      <w:r>
        <w:rPr>
          <w:sz w:val="20"/>
        </w:rPr>
        <w:t>y</w:t>
      </w:r>
      <w:r>
        <w:rPr>
          <w:spacing w:val="-3"/>
          <w:sz w:val="20"/>
        </w:rPr>
        <w:t xml:space="preserve"> </w:t>
      </w:r>
      <w:r>
        <w:rPr>
          <w:sz w:val="20"/>
        </w:rPr>
        <w:t>su</w:t>
      </w:r>
      <w:r>
        <w:rPr>
          <w:spacing w:val="-3"/>
          <w:sz w:val="20"/>
        </w:rPr>
        <w:t xml:space="preserve"> </w:t>
      </w:r>
      <w:r>
        <w:rPr>
          <w:sz w:val="20"/>
        </w:rPr>
        <w:t>precio</w:t>
      </w:r>
      <w:r>
        <w:rPr>
          <w:spacing w:val="-3"/>
          <w:sz w:val="20"/>
        </w:rPr>
        <w:t xml:space="preserve"> </w:t>
      </w:r>
      <w:r>
        <w:rPr>
          <w:sz w:val="20"/>
        </w:rPr>
        <w:t>sea</w:t>
      </w:r>
      <w:r>
        <w:rPr>
          <w:spacing w:val="-3"/>
          <w:sz w:val="20"/>
        </w:rPr>
        <w:t xml:space="preserve"> </w:t>
      </w:r>
      <w:r>
        <w:rPr>
          <w:sz w:val="20"/>
        </w:rPr>
        <w:t>igual</w:t>
      </w:r>
      <w:r>
        <w:rPr>
          <w:spacing w:val="-3"/>
          <w:sz w:val="20"/>
        </w:rPr>
        <w:t xml:space="preserve"> </w:t>
      </w:r>
      <w:r>
        <w:rPr>
          <w:sz w:val="20"/>
        </w:rPr>
        <w:t>o</w:t>
      </w:r>
      <w:r>
        <w:rPr>
          <w:spacing w:val="-3"/>
          <w:sz w:val="20"/>
        </w:rPr>
        <w:t xml:space="preserve"> </w:t>
      </w:r>
      <w:r>
        <w:rPr>
          <w:sz w:val="20"/>
        </w:rPr>
        <w:t>superior</w:t>
      </w:r>
      <w:r>
        <w:rPr>
          <w:spacing w:val="-3"/>
          <w:sz w:val="20"/>
        </w:rPr>
        <w:t xml:space="preserve"> </w:t>
      </w:r>
      <w:r>
        <w:rPr>
          <w:sz w:val="20"/>
        </w:rPr>
        <w:t>a</w:t>
      </w:r>
    </w:p>
    <w:p w:rsidR="0092635B" w:rsidRDefault="00000000">
      <w:pPr>
        <w:pStyle w:val="Textoindependiente"/>
        <w:spacing w:before="3"/>
        <w:ind w:firstLine="0"/>
      </w:pPr>
      <w:r>
        <w:t>6.000.000</w:t>
      </w:r>
      <w:r>
        <w:rPr>
          <w:spacing w:val="-5"/>
        </w:rPr>
        <w:t xml:space="preserve"> </w:t>
      </w:r>
      <w:r>
        <w:t>de</w:t>
      </w:r>
      <w:r>
        <w:rPr>
          <w:spacing w:val="-4"/>
        </w:rPr>
        <w:t xml:space="preserve"> </w:t>
      </w:r>
      <w:r>
        <w:rPr>
          <w:spacing w:val="-2"/>
        </w:rPr>
        <w:t>euros.</w:t>
      </w:r>
    </w:p>
    <w:p w:rsidR="0092635B" w:rsidRDefault="00000000">
      <w:pPr>
        <w:pStyle w:val="Prrafodelista"/>
        <w:numPr>
          <w:ilvl w:val="1"/>
          <w:numId w:val="187"/>
        </w:numPr>
        <w:tabs>
          <w:tab w:val="left" w:pos="1674"/>
        </w:tabs>
        <w:spacing w:before="10" w:line="249" w:lineRule="auto"/>
        <w:ind w:right="1105" w:firstLine="340"/>
        <w:jc w:val="both"/>
        <w:rPr>
          <w:sz w:val="20"/>
        </w:rPr>
      </w:pPr>
      <w:r>
        <w:rPr>
          <w:sz w:val="20"/>
        </w:rPr>
        <w:t>Las reclamaciones dirigidas a la Administración con fundamento en la responsabilidad contractual en que esta pudiera haber incurrido, en los casos en que las indemnizaciones reclamadas sean de cuantía igual o superior a 50.000 euros. Esta cuantía se podrá rebajar por la normativa de la correspondiente Comunidad Autónoma.</w:t>
      </w:r>
    </w:p>
    <w:p w:rsidR="0092635B" w:rsidRDefault="00000000">
      <w:pPr>
        <w:pStyle w:val="Prrafodelista"/>
        <w:numPr>
          <w:ilvl w:val="0"/>
          <w:numId w:val="187"/>
        </w:numPr>
        <w:tabs>
          <w:tab w:val="left" w:pos="1675"/>
        </w:tabs>
        <w:spacing w:before="123" w:line="249" w:lineRule="auto"/>
        <w:ind w:right="1106" w:firstLine="340"/>
        <w:jc w:val="both"/>
        <w:rPr>
          <w:sz w:val="20"/>
        </w:rPr>
      </w:pPr>
      <w:r>
        <w:rPr>
          <w:sz w:val="20"/>
        </w:rPr>
        <w:t>Los acuerdos que adopte el órgano de contratación pondrán fin a la vía administrativa y serán inmediatamente ejecutivos.</w:t>
      </w:r>
    </w:p>
    <w:p w:rsidR="0092635B" w:rsidRDefault="0092635B">
      <w:pPr>
        <w:pStyle w:val="Textoindependiente"/>
        <w:spacing w:before="55"/>
        <w:ind w:left="0" w:firstLine="0"/>
        <w:jc w:val="left"/>
      </w:pPr>
    </w:p>
    <w:p w:rsidR="0092635B" w:rsidRDefault="00000000">
      <w:pPr>
        <w:pStyle w:val="Textoindependiente"/>
        <w:spacing w:before="0"/>
        <w:ind w:left="0" w:firstLine="0"/>
        <w:jc w:val="center"/>
      </w:pPr>
      <w:bookmarkStart w:id="301" w:name="Subsección_3.ª_Ejecución_de_los_contrato"/>
      <w:bookmarkStart w:id="302" w:name="_bookmark56"/>
      <w:bookmarkEnd w:id="301"/>
      <w:bookmarkEnd w:id="302"/>
      <w:r>
        <w:t>Subsección</w:t>
      </w:r>
      <w:r>
        <w:rPr>
          <w:spacing w:val="-4"/>
        </w:rPr>
        <w:t xml:space="preserve"> </w:t>
      </w:r>
      <w:r>
        <w:t>3.ª</w:t>
      </w:r>
      <w:r>
        <w:rPr>
          <w:spacing w:val="-4"/>
        </w:rPr>
        <w:t xml:space="preserve"> </w:t>
      </w:r>
      <w:r>
        <w:t>Ejecución</w:t>
      </w:r>
      <w:r>
        <w:rPr>
          <w:spacing w:val="-4"/>
        </w:rPr>
        <w:t xml:space="preserve"> </w:t>
      </w:r>
      <w:r>
        <w:t>de</w:t>
      </w:r>
      <w:r>
        <w:rPr>
          <w:spacing w:val="-4"/>
        </w:rPr>
        <w:t xml:space="preserve"> </w:t>
      </w:r>
      <w:r>
        <w:t>los</w:t>
      </w:r>
      <w:r>
        <w:rPr>
          <w:spacing w:val="-4"/>
        </w:rPr>
        <w:t xml:space="preserve"> </w:t>
      </w:r>
      <w:r>
        <w:rPr>
          <w:spacing w:val="-2"/>
        </w:rPr>
        <w:t>contratos</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303" w:name="Artículo_192._Incumplimiento_parcial_o_c"/>
      <w:bookmarkEnd w:id="303"/>
      <w:r>
        <w:rPr>
          <w:rFonts w:ascii="Arial" w:hAnsi="Arial"/>
          <w:b/>
          <w:sz w:val="20"/>
        </w:rPr>
        <w:t>Artículo</w:t>
      </w:r>
      <w:r>
        <w:rPr>
          <w:rFonts w:ascii="Arial" w:hAnsi="Arial"/>
          <w:b/>
          <w:spacing w:val="-5"/>
          <w:sz w:val="20"/>
        </w:rPr>
        <w:t xml:space="preserve"> </w:t>
      </w:r>
      <w:r>
        <w:rPr>
          <w:rFonts w:ascii="Arial" w:hAnsi="Arial"/>
          <w:b/>
          <w:sz w:val="20"/>
        </w:rPr>
        <w:t>192.</w:t>
      </w:r>
      <w:r>
        <w:rPr>
          <w:rFonts w:ascii="Arial" w:hAnsi="Arial"/>
          <w:b/>
          <w:spacing w:val="46"/>
          <w:sz w:val="20"/>
        </w:rPr>
        <w:t xml:space="preserve"> </w:t>
      </w:r>
      <w:r>
        <w:rPr>
          <w:rFonts w:ascii="Arial" w:hAnsi="Arial"/>
          <w:i/>
          <w:sz w:val="20"/>
        </w:rPr>
        <w:t>Incumplimiento</w:t>
      </w:r>
      <w:r>
        <w:rPr>
          <w:rFonts w:ascii="Arial" w:hAnsi="Arial"/>
          <w:i/>
          <w:spacing w:val="-5"/>
          <w:sz w:val="20"/>
        </w:rPr>
        <w:t xml:space="preserve"> </w:t>
      </w:r>
      <w:r>
        <w:rPr>
          <w:rFonts w:ascii="Arial" w:hAnsi="Arial"/>
          <w:i/>
          <w:sz w:val="20"/>
        </w:rPr>
        <w:t>parcial</w:t>
      </w:r>
      <w:r>
        <w:rPr>
          <w:rFonts w:ascii="Arial" w:hAnsi="Arial"/>
          <w:i/>
          <w:spacing w:val="-4"/>
          <w:sz w:val="20"/>
        </w:rPr>
        <w:t xml:space="preserve"> </w:t>
      </w:r>
      <w:r>
        <w:rPr>
          <w:rFonts w:ascii="Arial" w:hAnsi="Arial"/>
          <w:i/>
          <w:sz w:val="20"/>
        </w:rPr>
        <w:t>o</w:t>
      </w:r>
      <w:r>
        <w:rPr>
          <w:rFonts w:ascii="Arial" w:hAnsi="Arial"/>
          <w:i/>
          <w:spacing w:val="-4"/>
          <w:sz w:val="20"/>
        </w:rPr>
        <w:t xml:space="preserve"> </w:t>
      </w:r>
      <w:r>
        <w:rPr>
          <w:rFonts w:ascii="Arial" w:hAnsi="Arial"/>
          <w:i/>
          <w:sz w:val="20"/>
        </w:rPr>
        <w:t>cumplimiento</w:t>
      </w:r>
      <w:r>
        <w:rPr>
          <w:rFonts w:ascii="Arial" w:hAnsi="Arial"/>
          <w:i/>
          <w:spacing w:val="-4"/>
          <w:sz w:val="20"/>
        </w:rPr>
        <w:t xml:space="preserve"> </w:t>
      </w:r>
      <w:r>
        <w:rPr>
          <w:rFonts w:ascii="Arial" w:hAnsi="Arial"/>
          <w:i/>
          <w:spacing w:val="-2"/>
          <w:sz w:val="20"/>
        </w:rPr>
        <w:t>defectuoso.</w:t>
      </w:r>
    </w:p>
    <w:p w:rsidR="0092635B" w:rsidRDefault="00000000">
      <w:pPr>
        <w:pStyle w:val="Prrafodelista"/>
        <w:numPr>
          <w:ilvl w:val="0"/>
          <w:numId w:val="186"/>
        </w:numPr>
        <w:tabs>
          <w:tab w:val="left" w:pos="1699"/>
        </w:tabs>
        <w:spacing w:before="123" w:line="249" w:lineRule="auto"/>
        <w:ind w:firstLine="340"/>
        <w:jc w:val="both"/>
        <w:rPr>
          <w:sz w:val="20"/>
        </w:rPr>
      </w:pPr>
      <w:r>
        <w:rPr>
          <w:sz w:val="20"/>
        </w:rPr>
        <w:t>Los pliegos o el documento descriptivo podrán prever penalidades para el caso de cumplimiento defectuoso de la prestación objeto del mismo o para el supuesto de incumplimiento de los compromisos o de las condiciones especiales de ejecución del</w:t>
      </w:r>
      <w:r>
        <w:rPr>
          <w:spacing w:val="40"/>
          <w:sz w:val="20"/>
        </w:rPr>
        <w:t xml:space="preserve"> </w:t>
      </w:r>
      <w:r>
        <w:rPr>
          <w:sz w:val="20"/>
        </w:rPr>
        <w:t>contrato que se hubiesen establecido conforme al apartado 2 del artículo 76 y al apartado 1 del artículo 202. Estas penalidades deberán ser proporcionales a la gravedad del incumplimiento y las cuantías de cada una de ellas no podrán ser superiores al 10 por ciento del precio del contrato, IVA excluido, ni el total de las mismas superar el 50 por cien del precio del contrato.</w:t>
      </w:r>
    </w:p>
    <w:p w:rsidR="0092635B" w:rsidRDefault="00000000">
      <w:pPr>
        <w:pStyle w:val="Prrafodelista"/>
        <w:numPr>
          <w:ilvl w:val="0"/>
          <w:numId w:val="186"/>
        </w:numPr>
        <w:tabs>
          <w:tab w:val="left" w:pos="1774"/>
        </w:tabs>
        <w:spacing w:before="7" w:line="249" w:lineRule="auto"/>
        <w:ind w:firstLine="340"/>
        <w:jc w:val="both"/>
        <w:rPr>
          <w:sz w:val="20"/>
        </w:rPr>
      </w:pPr>
      <w:r>
        <w:rPr>
          <w:sz w:val="20"/>
        </w:rPr>
        <w:t>Cuando el contratista, por causas imputables al mismo, hubiere incumplido parcialmente la ejecución de las prestaciones definidas en el contrato, la Administración podrá optar, atendidas las circunstancias del caso, por su resolución o por la imposición de las penalidades que, para tales supuestos, se determinen en el pliego de cláusulas administrativas particulares o en el documento descriptivo.</w:t>
      </w:r>
    </w:p>
    <w:p w:rsidR="0092635B" w:rsidRDefault="00000000">
      <w:pPr>
        <w:pStyle w:val="Prrafodelista"/>
        <w:numPr>
          <w:ilvl w:val="0"/>
          <w:numId w:val="186"/>
        </w:numPr>
        <w:tabs>
          <w:tab w:val="left" w:pos="1737"/>
        </w:tabs>
        <w:spacing w:before="4" w:line="249" w:lineRule="auto"/>
        <w:ind w:right="1104" w:firstLine="340"/>
        <w:jc w:val="both"/>
        <w:rPr>
          <w:sz w:val="20"/>
        </w:rPr>
      </w:pPr>
      <w:r>
        <w:rPr>
          <w:sz w:val="20"/>
        </w:rPr>
        <w:t>Los pliegos reguladores de los acuerdos marco podrán prever las penalidades establecidas en el presente artículo en relación con las obligaciones derivadas del acuerdo marco y de los contratos en él basados.</w:t>
      </w:r>
    </w:p>
    <w:p w:rsidR="0092635B" w:rsidRDefault="00000000">
      <w:pPr>
        <w:spacing w:before="229"/>
        <w:ind w:left="1106"/>
        <w:rPr>
          <w:rFonts w:ascii="Arial" w:hAnsi="Arial"/>
          <w:i/>
          <w:sz w:val="20"/>
        </w:rPr>
      </w:pPr>
      <w:bookmarkStart w:id="304" w:name="Artículo_193._Demora_en_la_ejecución."/>
      <w:bookmarkEnd w:id="304"/>
      <w:r>
        <w:rPr>
          <w:rFonts w:ascii="Arial" w:hAnsi="Arial"/>
          <w:b/>
          <w:sz w:val="20"/>
        </w:rPr>
        <w:t>Artículo</w:t>
      </w:r>
      <w:r>
        <w:rPr>
          <w:rFonts w:ascii="Arial" w:hAnsi="Arial"/>
          <w:b/>
          <w:spacing w:val="-2"/>
          <w:sz w:val="20"/>
        </w:rPr>
        <w:t xml:space="preserve"> </w:t>
      </w:r>
      <w:r>
        <w:rPr>
          <w:rFonts w:ascii="Arial" w:hAnsi="Arial"/>
          <w:b/>
          <w:sz w:val="20"/>
        </w:rPr>
        <w:t>193.</w:t>
      </w:r>
      <w:r>
        <w:rPr>
          <w:rFonts w:ascii="Arial" w:hAnsi="Arial"/>
          <w:b/>
          <w:spacing w:val="52"/>
          <w:sz w:val="20"/>
        </w:rPr>
        <w:t xml:space="preserve"> </w:t>
      </w:r>
      <w:r>
        <w:rPr>
          <w:rFonts w:ascii="Arial" w:hAnsi="Arial"/>
          <w:i/>
          <w:sz w:val="20"/>
        </w:rPr>
        <w:t>Demora</w:t>
      </w:r>
      <w:r>
        <w:rPr>
          <w:rFonts w:ascii="Arial" w:hAnsi="Arial"/>
          <w:i/>
          <w:spacing w:val="-1"/>
          <w:sz w:val="20"/>
        </w:rPr>
        <w:t xml:space="preserve"> </w:t>
      </w:r>
      <w:r>
        <w:rPr>
          <w:rFonts w:ascii="Arial" w:hAnsi="Arial"/>
          <w:i/>
          <w:sz w:val="20"/>
        </w:rPr>
        <w:t>en</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ejecución.</w:t>
      </w:r>
    </w:p>
    <w:p w:rsidR="0092635B" w:rsidRDefault="00000000">
      <w:pPr>
        <w:pStyle w:val="Prrafodelista"/>
        <w:numPr>
          <w:ilvl w:val="0"/>
          <w:numId w:val="185"/>
        </w:numPr>
        <w:tabs>
          <w:tab w:val="left" w:pos="1691"/>
        </w:tabs>
        <w:spacing w:before="124" w:line="249" w:lineRule="auto"/>
        <w:ind w:firstLine="340"/>
        <w:jc w:val="both"/>
        <w:rPr>
          <w:sz w:val="20"/>
        </w:rPr>
      </w:pPr>
      <w:r>
        <w:rPr>
          <w:sz w:val="20"/>
        </w:rPr>
        <w:t xml:space="preserve">El contratista está obligado a cumplir el contrato dentro del plazo total fijado para la realización del mismo, así como de los plazos parciales señalados para su ejecución </w:t>
      </w:r>
      <w:r>
        <w:rPr>
          <w:spacing w:val="-2"/>
          <w:sz w:val="20"/>
        </w:rPr>
        <w:t>sucesiva.</w:t>
      </w:r>
    </w:p>
    <w:p w:rsidR="0092635B" w:rsidRDefault="00000000">
      <w:pPr>
        <w:pStyle w:val="Prrafodelista"/>
        <w:numPr>
          <w:ilvl w:val="0"/>
          <w:numId w:val="185"/>
        </w:numPr>
        <w:tabs>
          <w:tab w:val="left" w:pos="1684"/>
        </w:tabs>
        <w:spacing w:line="249" w:lineRule="auto"/>
        <w:ind w:right="1106" w:firstLine="340"/>
        <w:jc w:val="both"/>
        <w:rPr>
          <w:sz w:val="20"/>
        </w:rPr>
      </w:pPr>
      <w:r>
        <w:rPr>
          <w:sz w:val="20"/>
        </w:rPr>
        <w:t xml:space="preserve">La constitución en mora del contratista no precisará intimación previa por parte de la </w:t>
      </w:r>
      <w:r>
        <w:rPr>
          <w:spacing w:val="-2"/>
          <w:sz w:val="20"/>
        </w:rPr>
        <w:t>Administración.</w:t>
      </w:r>
    </w:p>
    <w:p w:rsidR="0092635B" w:rsidRDefault="00000000">
      <w:pPr>
        <w:pStyle w:val="Prrafodelista"/>
        <w:numPr>
          <w:ilvl w:val="0"/>
          <w:numId w:val="185"/>
        </w:numPr>
        <w:tabs>
          <w:tab w:val="left" w:pos="1688"/>
        </w:tabs>
        <w:spacing w:line="249" w:lineRule="auto"/>
        <w:ind w:firstLine="340"/>
        <w:jc w:val="both"/>
        <w:rPr>
          <w:sz w:val="20"/>
        </w:rPr>
      </w:pPr>
      <w:r>
        <w:rPr>
          <w:sz w:val="20"/>
        </w:rPr>
        <w:t>Cuando el contratista, por causas imputables al mismo, hubiere incurrido en demora respecto</w:t>
      </w:r>
      <w:r>
        <w:rPr>
          <w:spacing w:val="67"/>
          <w:sz w:val="20"/>
        </w:rPr>
        <w:t xml:space="preserve"> </w:t>
      </w:r>
      <w:r>
        <w:rPr>
          <w:sz w:val="20"/>
        </w:rPr>
        <w:t>al</w:t>
      </w:r>
      <w:r>
        <w:rPr>
          <w:spacing w:val="67"/>
          <w:sz w:val="20"/>
        </w:rPr>
        <w:t xml:space="preserve"> </w:t>
      </w:r>
      <w:r>
        <w:rPr>
          <w:sz w:val="20"/>
        </w:rPr>
        <w:t>cumplimiento</w:t>
      </w:r>
      <w:r>
        <w:rPr>
          <w:spacing w:val="67"/>
          <w:sz w:val="20"/>
        </w:rPr>
        <w:t xml:space="preserve"> </w:t>
      </w:r>
      <w:r>
        <w:rPr>
          <w:sz w:val="20"/>
        </w:rPr>
        <w:t>del</w:t>
      </w:r>
      <w:r>
        <w:rPr>
          <w:spacing w:val="67"/>
          <w:sz w:val="20"/>
        </w:rPr>
        <w:t xml:space="preserve"> </w:t>
      </w:r>
      <w:r>
        <w:rPr>
          <w:sz w:val="20"/>
        </w:rPr>
        <w:t>plazo</w:t>
      </w:r>
      <w:r>
        <w:rPr>
          <w:spacing w:val="67"/>
          <w:sz w:val="20"/>
        </w:rPr>
        <w:t xml:space="preserve"> </w:t>
      </w:r>
      <w:r>
        <w:rPr>
          <w:sz w:val="20"/>
        </w:rPr>
        <w:t>total,</w:t>
      </w:r>
      <w:r>
        <w:rPr>
          <w:spacing w:val="67"/>
          <w:sz w:val="20"/>
        </w:rPr>
        <w:t xml:space="preserve"> </w:t>
      </w:r>
      <w:r>
        <w:rPr>
          <w:sz w:val="20"/>
        </w:rPr>
        <w:t>la</w:t>
      </w:r>
      <w:r>
        <w:rPr>
          <w:spacing w:val="67"/>
          <w:sz w:val="20"/>
        </w:rPr>
        <w:t xml:space="preserve"> </w:t>
      </w:r>
      <w:r>
        <w:rPr>
          <w:sz w:val="20"/>
        </w:rPr>
        <w:t>Administración</w:t>
      </w:r>
      <w:r>
        <w:rPr>
          <w:spacing w:val="67"/>
          <w:sz w:val="20"/>
        </w:rPr>
        <w:t xml:space="preserve"> </w:t>
      </w:r>
      <w:r>
        <w:rPr>
          <w:sz w:val="20"/>
        </w:rPr>
        <w:t>podrá</w:t>
      </w:r>
      <w:r>
        <w:rPr>
          <w:spacing w:val="67"/>
          <w:sz w:val="20"/>
        </w:rPr>
        <w:t xml:space="preserve"> </w:t>
      </w:r>
      <w:r>
        <w:rPr>
          <w:sz w:val="20"/>
        </w:rPr>
        <w:t>optar,</w:t>
      </w:r>
      <w:r>
        <w:rPr>
          <w:spacing w:val="67"/>
          <w:sz w:val="20"/>
        </w:rPr>
        <w:t xml:space="preserve"> </w:t>
      </w:r>
      <w:r>
        <w:rPr>
          <w:sz w:val="20"/>
        </w:rPr>
        <w:t>atendidas</w:t>
      </w:r>
      <w:r>
        <w:rPr>
          <w:spacing w:val="67"/>
          <w:sz w:val="20"/>
        </w:rPr>
        <w:t xml:space="preserve"> </w:t>
      </w:r>
      <w:r>
        <w:rPr>
          <w:sz w:val="20"/>
        </w:rPr>
        <w:t>las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 xml:space="preserve">circunstancias del caso, por la resolución del contrato o por la imposición de las penalidades diarias en la proporción de 0,60 euros por cada 1.000 euros del precio del contrato, IVA </w:t>
      </w:r>
      <w:r>
        <w:rPr>
          <w:spacing w:val="-2"/>
        </w:rPr>
        <w:t>excluido.</w:t>
      </w:r>
    </w:p>
    <w:p w:rsidR="0092635B" w:rsidRDefault="00000000">
      <w:pPr>
        <w:pStyle w:val="Textoindependiente"/>
        <w:spacing w:line="249" w:lineRule="auto"/>
        <w:ind w:right="1103"/>
      </w:pPr>
      <w:r>
        <w:t>El órgano de contratación podrá acordar la inclusión en el pliego de cláusulas administrativas particulares de unas penalidades distintas a las enumeradas en el párrafo anterior cuando, atendiendo a las especiales características del contrato, se considere necesario para su correcta ejecución y así se justifique en el expediente.</w:t>
      </w:r>
    </w:p>
    <w:p w:rsidR="0092635B" w:rsidRDefault="00000000">
      <w:pPr>
        <w:pStyle w:val="Prrafodelista"/>
        <w:numPr>
          <w:ilvl w:val="0"/>
          <w:numId w:val="185"/>
        </w:numPr>
        <w:tabs>
          <w:tab w:val="left" w:pos="1702"/>
        </w:tabs>
        <w:spacing w:before="3" w:line="249" w:lineRule="auto"/>
        <w:ind w:right="1104" w:firstLine="340"/>
        <w:jc w:val="both"/>
        <w:rPr>
          <w:sz w:val="20"/>
        </w:rPr>
      </w:pPr>
      <w:r>
        <w:rPr>
          <w:sz w:val="20"/>
        </w:rPr>
        <w:t xml:space="preserve">Cada vez que las penalidades por demora alcancen un múltiplo del 5 por 100 del precio del contrato, IVA excluido, el órgano de contratación estará facultado para proceder a la resolución del mismo o acordar la continuidad de su ejecución con imposición de nuevas </w:t>
      </w:r>
      <w:r>
        <w:rPr>
          <w:spacing w:val="-2"/>
          <w:sz w:val="20"/>
        </w:rPr>
        <w:t>penalidades.</w:t>
      </w:r>
    </w:p>
    <w:p w:rsidR="0092635B" w:rsidRDefault="00000000">
      <w:pPr>
        <w:pStyle w:val="Prrafodelista"/>
        <w:numPr>
          <w:ilvl w:val="0"/>
          <w:numId w:val="185"/>
        </w:numPr>
        <w:tabs>
          <w:tab w:val="left" w:pos="1723"/>
        </w:tabs>
        <w:spacing w:before="4" w:line="249" w:lineRule="auto"/>
        <w:ind w:right="1104" w:firstLine="340"/>
        <w:jc w:val="both"/>
        <w:rPr>
          <w:sz w:val="20"/>
        </w:rPr>
      </w:pPr>
      <w:r>
        <w:rPr>
          <w:sz w:val="20"/>
        </w:rPr>
        <w:t>La Administración tendrá las mismas facultades a que se refieren los apartados anteriores respecto al incumplimiento por parte del contratista de los plazos parciales,</w:t>
      </w:r>
      <w:r>
        <w:rPr>
          <w:spacing w:val="40"/>
          <w:sz w:val="20"/>
        </w:rPr>
        <w:t xml:space="preserve"> </w:t>
      </w:r>
      <w:r>
        <w:rPr>
          <w:sz w:val="20"/>
        </w:rPr>
        <w:t>cuando</w:t>
      </w:r>
      <w:r>
        <w:rPr>
          <w:spacing w:val="-1"/>
          <w:sz w:val="20"/>
        </w:rPr>
        <w:t xml:space="preserve"> </w:t>
      </w:r>
      <w:r>
        <w:rPr>
          <w:sz w:val="20"/>
        </w:rPr>
        <w:t>se</w:t>
      </w:r>
      <w:r>
        <w:rPr>
          <w:spacing w:val="-1"/>
          <w:sz w:val="20"/>
        </w:rPr>
        <w:t xml:space="preserve"> </w:t>
      </w:r>
      <w:r>
        <w:rPr>
          <w:sz w:val="20"/>
        </w:rPr>
        <w:t>hubiese</w:t>
      </w:r>
      <w:r>
        <w:rPr>
          <w:spacing w:val="-1"/>
          <w:sz w:val="20"/>
        </w:rPr>
        <w:t xml:space="preserve"> </w:t>
      </w:r>
      <w:r>
        <w:rPr>
          <w:sz w:val="20"/>
        </w:rPr>
        <w:t>previsto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pliego</w:t>
      </w:r>
      <w:r>
        <w:rPr>
          <w:spacing w:val="-1"/>
          <w:sz w:val="20"/>
        </w:rPr>
        <w:t xml:space="preserve"> </w:t>
      </w:r>
      <w:r>
        <w:rPr>
          <w:sz w:val="20"/>
        </w:rPr>
        <w:t>de</w:t>
      </w:r>
      <w:r>
        <w:rPr>
          <w:spacing w:val="-1"/>
          <w:sz w:val="20"/>
        </w:rPr>
        <w:t xml:space="preserve"> </w:t>
      </w:r>
      <w:r>
        <w:rPr>
          <w:sz w:val="20"/>
        </w:rPr>
        <w:t>cláusulas</w:t>
      </w:r>
      <w:r>
        <w:rPr>
          <w:spacing w:val="-1"/>
          <w:sz w:val="20"/>
        </w:rPr>
        <w:t xml:space="preserve"> </w:t>
      </w:r>
      <w:r>
        <w:rPr>
          <w:sz w:val="20"/>
        </w:rPr>
        <w:t>administrativas</w:t>
      </w:r>
      <w:r>
        <w:rPr>
          <w:spacing w:val="-1"/>
          <w:sz w:val="20"/>
        </w:rPr>
        <w:t xml:space="preserve"> </w:t>
      </w:r>
      <w:r>
        <w:rPr>
          <w:sz w:val="20"/>
        </w:rPr>
        <w:t>particulares</w:t>
      </w:r>
      <w:r>
        <w:rPr>
          <w:spacing w:val="-1"/>
          <w:sz w:val="20"/>
        </w:rPr>
        <w:t xml:space="preserve"> </w:t>
      </w:r>
      <w:r>
        <w:rPr>
          <w:sz w:val="20"/>
        </w:rPr>
        <w:t>o</w:t>
      </w:r>
      <w:r>
        <w:rPr>
          <w:spacing w:val="-1"/>
          <w:sz w:val="20"/>
        </w:rPr>
        <w:t xml:space="preserve"> </w:t>
      </w:r>
      <w:r>
        <w:rPr>
          <w:sz w:val="20"/>
        </w:rPr>
        <w:t>cuando</w:t>
      </w:r>
      <w:r>
        <w:rPr>
          <w:spacing w:val="-1"/>
          <w:sz w:val="20"/>
        </w:rPr>
        <w:t xml:space="preserve"> </w:t>
      </w:r>
      <w:r>
        <w:rPr>
          <w:sz w:val="20"/>
        </w:rPr>
        <w:t>la demora en el cumplimiento de aquellos haga presumir razonablemente la imposibilidad de cumplir el plazo total.</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305" w:name="Artículo_194._Daños_y_perjuicios_e_impos"/>
      <w:bookmarkEnd w:id="305"/>
      <w:r>
        <w:rPr>
          <w:rFonts w:ascii="Arial" w:hAnsi="Arial"/>
          <w:b/>
          <w:sz w:val="20"/>
        </w:rPr>
        <w:t>Artículo</w:t>
      </w:r>
      <w:r>
        <w:rPr>
          <w:rFonts w:ascii="Arial" w:hAnsi="Arial"/>
          <w:b/>
          <w:spacing w:val="-2"/>
          <w:sz w:val="20"/>
        </w:rPr>
        <w:t xml:space="preserve"> </w:t>
      </w:r>
      <w:r>
        <w:rPr>
          <w:rFonts w:ascii="Arial" w:hAnsi="Arial"/>
          <w:b/>
          <w:sz w:val="20"/>
        </w:rPr>
        <w:t>194.</w:t>
      </w:r>
      <w:r>
        <w:rPr>
          <w:rFonts w:ascii="Arial" w:hAnsi="Arial"/>
          <w:b/>
          <w:spacing w:val="52"/>
          <w:sz w:val="20"/>
        </w:rPr>
        <w:t xml:space="preserve"> </w:t>
      </w:r>
      <w:r>
        <w:rPr>
          <w:rFonts w:ascii="Arial" w:hAnsi="Arial"/>
          <w:i/>
          <w:sz w:val="20"/>
        </w:rPr>
        <w:t>Daños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perjuicios</w:t>
      </w:r>
      <w:r>
        <w:rPr>
          <w:rFonts w:ascii="Arial" w:hAnsi="Arial"/>
          <w:i/>
          <w:spacing w:val="-1"/>
          <w:sz w:val="20"/>
        </w:rPr>
        <w:t xml:space="preserve"> </w:t>
      </w:r>
      <w:r>
        <w:rPr>
          <w:rFonts w:ascii="Arial" w:hAnsi="Arial"/>
          <w:i/>
          <w:sz w:val="20"/>
        </w:rPr>
        <w:t>e</w:t>
      </w:r>
      <w:r>
        <w:rPr>
          <w:rFonts w:ascii="Arial" w:hAnsi="Arial"/>
          <w:i/>
          <w:spacing w:val="-1"/>
          <w:sz w:val="20"/>
        </w:rPr>
        <w:t xml:space="preserve"> </w:t>
      </w:r>
      <w:r>
        <w:rPr>
          <w:rFonts w:ascii="Arial" w:hAnsi="Arial"/>
          <w:i/>
          <w:sz w:val="20"/>
        </w:rPr>
        <w:t>imposición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penalidades.</w:t>
      </w:r>
    </w:p>
    <w:p w:rsidR="0092635B" w:rsidRDefault="00000000">
      <w:pPr>
        <w:pStyle w:val="Prrafodelista"/>
        <w:numPr>
          <w:ilvl w:val="0"/>
          <w:numId w:val="184"/>
        </w:numPr>
        <w:tabs>
          <w:tab w:val="left" w:pos="1690"/>
        </w:tabs>
        <w:spacing w:before="123" w:line="249" w:lineRule="auto"/>
        <w:ind w:right="1104" w:firstLine="340"/>
        <w:jc w:val="both"/>
        <w:rPr>
          <w:sz w:val="20"/>
        </w:rPr>
      </w:pPr>
      <w:r>
        <w:rPr>
          <w:sz w:val="20"/>
        </w:rPr>
        <w:t>En los supuestos de incumplimiento parcial o cumplimiento defectuoso o de demora</w:t>
      </w:r>
      <w:r>
        <w:rPr>
          <w:spacing w:val="40"/>
          <w:sz w:val="20"/>
        </w:rPr>
        <w:t xml:space="preserve"> </w:t>
      </w:r>
      <w:r>
        <w:rPr>
          <w:sz w:val="20"/>
        </w:rPr>
        <w:t>en la ejecución en que no esté prevista penalidad o en que estándolo la misma no cubriera los daños causados a la Administración, esta exigirá al contratista la indemnización por daños y perjuicios.</w:t>
      </w:r>
    </w:p>
    <w:p w:rsidR="0092635B" w:rsidRDefault="00000000">
      <w:pPr>
        <w:pStyle w:val="Prrafodelista"/>
        <w:numPr>
          <w:ilvl w:val="0"/>
          <w:numId w:val="184"/>
        </w:numPr>
        <w:tabs>
          <w:tab w:val="left" w:pos="1692"/>
        </w:tabs>
        <w:spacing w:before="3" w:line="249" w:lineRule="auto"/>
        <w:ind w:right="1104" w:firstLine="340"/>
        <w:jc w:val="both"/>
        <w:rPr>
          <w:sz w:val="20"/>
        </w:rPr>
      </w:pPr>
      <w:r>
        <w:rPr>
          <w:sz w:val="20"/>
        </w:rPr>
        <w:t>Las penalidades previstas en los dos artículos anteriores se impondrán por acuerdo del órgano de contratación, adoptado a propuesta del responsable del contrato si se hubiese designado, que será inmediatamente ejecutivo, y se harán efectivas mediante deducción de las cantidades que, en concepto de pago total o parcial, deban abonarse al contratista o sobre la garantía que, en su caso, se hubiese constituido, cuando no puedan deducirse de los mencionados pagos.</w:t>
      </w:r>
    </w:p>
    <w:p w:rsidR="0092635B" w:rsidRDefault="0092635B">
      <w:pPr>
        <w:pStyle w:val="Textoindependiente"/>
        <w:ind w:left="0" w:firstLine="0"/>
        <w:jc w:val="left"/>
      </w:pPr>
    </w:p>
    <w:p w:rsidR="0092635B" w:rsidRDefault="00000000">
      <w:pPr>
        <w:ind w:left="1106"/>
        <w:rPr>
          <w:rFonts w:ascii="Arial" w:hAnsi="Arial"/>
          <w:i/>
          <w:sz w:val="20"/>
        </w:rPr>
      </w:pPr>
      <w:bookmarkStart w:id="306" w:name="Artículo_195._Resolución_por_demora_y_am"/>
      <w:bookmarkEnd w:id="306"/>
      <w:r>
        <w:rPr>
          <w:rFonts w:ascii="Arial" w:hAnsi="Arial"/>
          <w:b/>
          <w:sz w:val="20"/>
        </w:rPr>
        <w:t>Artículo</w:t>
      </w:r>
      <w:r>
        <w:rPr>
          <w:rFonts w:ascii="Arial" w:hAnsi="Arial"/>
          <w:b/>
          <w:spacing w:val="-3"/>
          <w:sz w:val="20"/>
        </w:rPr>
        <w:t xml:space="preserve"> </w:t>
      </w:r>
      <w:r>
        <w:rPr>
          <w:rFonts w:ascii="Arial" w:hAnsi="Arial"/>
          <w:b/>
          <w:sz w:val="20"/>
        </w:rPr>
        <w:t>195.</w:t>
      </w:r>
      <w:r>
        <w:rPr>
          <w:rFonts w:ascii="Arial" w:hAnsi="Arial"/>
          <w:b/>
          <w:spacing w:val="48"/>
          <w:sz w:val="20"/>
        </w:rPr>
        <w:t xml:space="preserve"> </w:t>
      </w:r>
      <w:r>
        <w:rPr>
          <w:rFonts w:ascii="Arial" w:hAnsi="Arial"/>
          <w:i/>
          <w:sz w:val="20"/>
        </w:rPr>
        <w:t>Resolución</w:t>
      </w:r>
      <w:r>
        <w:rPr>
          <w:rFonts w:ascii="Arial" w:hAnsi="Arial"/>
          <w:i/>
          <w:spacing w:val="-3"/>
          <w:sz w:val="20"/>
        </w:rPr>
        <w:t xml:space="preserve"> </w:t>
      </w:r>
      <w:r>
        <w:rPr>
          <w:rFonts w:ascii="Arial" w:hAnsi="Arial"/>
          <w:i/>
          <w:sz w:val="20"/>
        </w:rPr>
        <w:t>por</w:t>
      </w:r>
      <w:r>
        <w:rPr>
          <w:rFonts w:ascii="Arial" w:hAnsi="Arial"/>
          <w:i/>
          <w:spacing w:val="-2"/>
          <w:sz w:val="20"/>
        </w:rPr>
        <w:t xml:space="preserve"> </w:t>
      </w:r>
      <w:r>
        <w:rPr>
          <w:rFonts w:ascii="Arial" w:hAnsi="Arial"/>
          <w:i/>
          <w:sz w:val="20"/>
        </w:rPr>
        <w:t>demora</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ampliación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plazo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ejecución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2"/>
          <w:sz w:val="20"/>
        </w:rPr>
        <w:t xml:space="preserve"> contratos.</w:t>
      </w:r>
    </w:p>
    <w:p w:rsidR="0092635B" w:rsidRDefault="00000000">
      <w:pPr>
        <w:pStyle w:val="Prrafodelista"/>
        <w:numPr>
          <w:ilvl w:val="0"/>
          <w:numId w:val="183"/>
        </w:numPr>
        <w:tabs>
          <w:tab w:val="left" w:pos="1704"/>
        </w:tabs>
        <w:spacing w:before="123" w:line="249" w:lineRule="auto"/>
        <w:ind w:right="1104" w:firstLine="340"/>
        <w:jc w:val="both"/>
        <w:rPr>
          <w:sz w:val="20"/>
        </w:rPr>
      </w:pPr>
      <w:r>
        <w:rPr>
          <w:sz w:val="20"/>
        </w:rPr>
        <w:t>En el supuesto a que se refiere el artículo 193, si la Administración optase por la resolución esta deberá acordarse por el órgano de contratación o por aquel que tenga atribuida esta competencia en las Comunidades Autónomas, sin otro trámite preceptivo que la audiencia del contratista y, cuando se formule oposición por parte de este, el dictamen del Consejo de Estado u órgano consultivo equivalente de la Comunidad Autónoma respectiva.</w:t>
      </w:r>
    </w:p>
    <w:p w:rsidR="0092635B" w:rsidRDefault="00000000">
      <w:pPr>
        <w:pStyle w:val="Prrafodelista"/>
        <w:numPr>
          <w:ilvl w:val="0"/>
          <w:numId w:val="183"/>
        </w:numPr>
        <w:tabs>
          <w:tab w:val="left" w:pos="1679"/>
        </w:tabs>
        <w:spacing w:before="4" w:line="249" w:lineRule="auto"/>
        <w:ind w:firstLine="340"/>
        <w:jc w:val="both"/>
        <w:rPr>
          <w:sz w:val="20"/>
        </w:rPr>
      </w:pPr>
      <w:r>
        <w:rPr>
          <w:sz w:val="20"/>
        </w:rPr>
        <w:t>Si el retraso fuese producido por motivos no imputables al contratista y este ofreciera cumplir sus compromisos si se le amplía el plazo inicial de ejecución, el órgano de contratación se lo concederá dándosele un plazo que será, por lo menos, igual al tiempo perdido,</w:t>
      </w:r>
      <w:r>
        <w:rPr>
          <w:spacing w:val="-2"/>
          <w:sz w:val="20"/>
        </w:rPr>
        <w:t xml:space="preserve"> </w:t>
      </w:r>
      <w:r>
        <w:rPr>
          <w:sz w:val="20"/>
        </w:rPr>
        <w:t>a</w:t>
      </w:r>
      <w:r>
        <w:rPr>
          <w:spacing w:val="-2"/>
          <w:sz w:val="20"/>
        </w:rPr>
        <w:t xml:space="preserve"> </w:t>
      </w:r>
      <w:r>
        <w:rPr>
          <w:sz w:val="20"/>
        </w:rPr>
        <w:t>no</w:t>
      </w:r>
      <w:r>
        <w:rPr>
          <w:spacing w:val="-2"/>
          <w:sz w:val="20"/>
        </w:rPr>
        <w:t xml:space="preserve"> </w:t>
      </w:r>
      <w:r>
        <w:rPr>
          <w:sz w:val="20"/>
        </w:rPr>
        <w:t>ser</w:t>
      </w:r>
      <w:r>
        <w:rPr>
          <w:spacing w:val="-2"/>
          <w:sz w:val="20"/>
        </w:rPr>
        <w:t xml:space="preserve"> </w:t>
      </w:r>
      <w:r>
        <w:rPr>
          <w:sz w:val="20"/>
        </w:rPr>
        <w:t>que</w:t>
      </w:r>
      <w:r>
        <w:rPr>
          <w:spacing w:val="-2"/>
          <w:sz w:val="20"/>
        </w:rPr>
        <w:t xml:space="preserve"> </w:t>
      </w:r>
      <w:r>
        <w:rPr>
          <w:sz w:val="20"/>
        </w:rPr>
        <w:t>el</w:t>
      </w:r>
      <w:r>
        <w:rPr>
          <w:spacing w:val="-2"/>
          <w:sz w:val="20"/>
        </w:rPr>
        <w:t xml:space="preserve"> </w:t>
      </w:r>
      <w:r>
        <w:rPr>
          <w:sz w:val="20"/>
        </w:rPr>
        <w:t>contratista</w:t>
      </w:r>
      <w:r>
        <w:rPr>
          <w:spacing w:val="-2"/>
          <w:sz w:val="20"/>
        </w:rPr>
        <w:t xml:space="preserve"> </w:t>
      </w:r>
      <w:r>
        <w:rPr>
          <w:sz w:val="20"/>
        </w:rPr>
        <w:t>pidiese</w:t>
      </w:r>
      <w:r>
        <w:rPr>
          <w:spacing w:val="-2"/>
          <w:sz w:val="20"/>
        </w:rPr>
        <w:t xml:space="preserve"> </w:t>
      </w:r>
      <w:r>
        <w:rPr>
          <w:sz w:val="20"/>
        </w:rPr>
        <w:t>otro</w:t>
      </w:r>
      <w:r>
        <w:rPr>
          <w:spacing w:val="-2"/>
          <w:sz w:val="20"/>
        </w:rPr>
        <w:t xml:space="preserve"> </w:t>
      </w:r>
      <w:r>
        <w:rPr>
          <w:sz w:val="20"/>
        </w:rPr>
        <w:t>menor.</w:t>
      </w:r>
      <w:r>
        <w:rPr>
          <w:spacing w:val="-2"/>
          <w:sz w:val="20"/>
        </w:rPr>
        <w:t xml:space="preserve"> </w:t>
      </w:r>
      <w:r>
        <w:rPr>
          <w:sz w:val="20"/>
        </w:rPr>
        <w:t>El</w:t>
      </w:r>
      <w:r>
        <w:rPr>
          <w:spacing w:val="-2"/>
          <w:sz w:val="20"/>
        </w:rPr>
        <w:t xml:space="preserve"> </w:t>
      </w:r>
      <w:r>
        <w:rPr>
          <w:sz w:val="20"/>
        </w:rPr>
        <w:t>responsable</w:t>
      </w:r>
      <w:r>
        <w:rPr>
          <w:spacing w:val="-2"/>
          <w:sz w:val="20"/>
        </w:rPr>
        <w:t xml:space="preserve"> </w:t>
      </w:r>
      <w:r>
        <w:rPr>
          <w:sz w:val="20"/>
        </w:rPr>
        <w:t>del</w:t>
      </w:r>
      <w:r>
        <w:rPr>
          <w:spacing w:val="-2"/>
          <w:sz w:val="20"/>
        </w:rPr>
        <w:t xml:space="preserve"> </w:t>
      </w:r>
      <w:r>
        <w:rPr>
          <w:sz w:val="20"/>
        </w:rPr>
        <w:t>contrato</w:t>
      </w:r>
      <w:r>
        <w:rPr>
          <w:spacing w:val="-2"/>
          <w:sz w:val="20"/>
        </w:rPr>
        <w:t xml:space="preserve"> </w:t>
      </w:r>
      <w:r>
        <w:rPr>
          <w:sz w:val="20"/>
        </w:rPr>
        <w:t>emitirá</w:t>
      </w:r>
      <w:r>
        <w:rPr>
          <w:spacing w:val="-2"/>
          <w:sz w:val="20"/>
        </w:rPr>
        <w:t xml:space="preserve"> </w:t>
      </w:r>
      <w:r>
        <w:rPr>
          <w:sz w:val="20"/>
        </w:rPr>
        <w:t>un informe donde se determine si el retraso fue producido por motivos imputables al contratista.</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307" w:name="Artículo_196._Indemnización_de_daños_y_p"/>
      <w:bookmarkEnd w:id="307"/>
      <w:r>
        <w:rPr>
          <w:rFonts w:ascii="Arial" w:hAnsi="Arial"/>
          <w:b/>
          <w:sz w:val="20"/>
        </w:rPr>
        <w:t>Artículo</w:t>
      </w:r>
      <w:r>
        <w:rPr>
          <w:rFonts w:ascii="Arial" w:hAnsi="Arial"/>
          <w:b/>
          <w:spacing w:val="-2"/>
          <w:sz w:val="20"/>
        </w:rPr>
        <w:t xml:space="preserve"> </w:t>
      </w:r>
      <w:r>
        <w:rPr>
          <w:rFonts w:ascii="Arial" w:hAnsi="Arial"/>
          <w:b/>
          <w:sz w:val="20"/>
        </w:rPr>
        <w:t>196.</w:t>
      </w:r>
      <w:r>
        <w:rPr>
          <w:rFonts w:ascii="Arial" w:hAnsi="Arial"/>
          <w:b/>
          <w:spacing w:val="52"/>
          <w:sz w:val="20"/>
        </w:rPr>
        <w:t xml:space="preserve"> </w:t>
      </w:r>
      <w:r>
        <w:rPr>
          <w:rFonts w:ascii="Arial" w:hAnsi="Arial"/>
          <w:i/>
          <w:sz w:val="20"/>
        </w:rPr>
        <w:t>Indemnización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daños</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perjuicios</w:t>
      </w:r>
      <w:r>
        <w:rPr>
          <w:rFonts w:ascii="Arial" w:hAnsi="Arial"/>
          <w:i/>
          <w:spacing w:val="-1"/>
          <w:sz w:val="20"/>
        </w:rPr>
        <w:t xml:space="preserve"> </w:t>
      </w:r>
      <w:r>
        <w:rPr>
          <w:rFonts w:ascii="Arial" w:hAnsi="Arial"/>
          <w:i/>
          <w:sz w:val="20"/>
        </w:rPr>
        <w:t>causados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pacing w:val="-2"/>
          <w:sz w:val="20"/>
        </w:rPr>
        <w:t>terceros.</w:t>
      </w:r>
    </w:p>
    <w:p w:rsidR="0092635B" w:rsidRDefault="00000000">
      <w:pPr>
        <w:pStyle w:val="Prrafodelista"/>
        <w:numPr>
          <w:ilvl w:val="0"/>
          <w:numId w:val="182"/>
        </w:numPr>
        <w:tabs>
          <w:tab w:val="left" w:pos="1678"/>
        </w:tabs>
        <w:spacing w:before="124" w:line="249" w:lineRule="auto"/>
        <w:ind w:right="1104" w:firstLine="340"/>
        <w:jc w:val="both"/>
        <w:rPr>
          <w:sz w:val="20"/>
        </w:rPr>
      </w:pPr>
      <w:r>
        <w:rPr>
          <w:sz w:val="20"/>
        </w:rPr>
        <w:t>Será obligación del contratista indemnizar todos los daños y perjuicios que se causen</w:t>
      </w:r>
      <w:r>
        <w:rPr>
          <w:spacing w:val="40"/>
          <w:sz w:val="20"/>
        </w:rPr>
        <w:t xml:space="preserve"> </w:t>
      </w:r>
      <w:r>
        <w:rPr>
          <w:sz w:val="20"/>
        </w:rPr>
        <w:t>a terceros como consecuencia de las operaciones que requiera la ejecución del contrato.</w:t>
      </w:r>
    </w:p>
    <w:p w:rsidR="0092635B" w:rsidRDefault="00000000">
      <w:pPr>
        <w:pStyle w:val="Prrafodelista"/>
        <w:numPr>
          <w:ilvl w:val="0"/>
          <w:numId w:val="182"/>
        </w:numPr>
        <w:tabs>
          <w:tab w:val="left" w:pos="1753"/>
        </w:tabs>
        <w:spacing w:before="1" w:line="249" w:lineRule="auto"/>
        <w:ind w:right="1104" w:firstLine="340"/>
        <w:jc w:val="both"/>
        <w:rPr>
          <w:sz w:val="20"/>
        </w:rPr>
      </w:pPr>
      <w:r>
        <w:rPr>
          <w:sz w:val="20"/>
        </w:rPr>
        <w:t>Cuando tales daños y perjuicios hayan sido ocasionados como consecuencia inmediata y directa de una orden de la Administración, será esta responsable dentro de los límites</w:t>
      </w:r>
      <w:r>
        <w:rPr>
          <w:spacing w:val="-4"/>
          <w:sz w:val="20"/>
        </w:rPr>
        <w:t xml:space="preserve"> </w:t>
      </w:r>
      <w:r>
        <w:rPr>
          <w:sz w:val="20"/>
        </w:rPr>
        <w:t>señalados</w:t>
      </w:r>
      <w:r>
        <w:rPr>
          <w:spacing w:val="-4"/>
          <w:sz w:val="20"/>
        </w:rPr>
        <w:t xml:space="preserve"> </w:t>
      </w:r>
      <w:r>
        <w:rPr>
          <w:sz w:val="20"/>
        </w:rPr>
        <w:t>en</w:t>
      </w:r>
      <w:r>
        <w:rPr>
          <w:spacing w:val="-4"/>
          <w:sz w:val="20"/>
        </w:rPr>
        <w:t xml:space="preserve"> </w:t>
      </w:r>
      <w:r>
        <w:rPr>
          <w:sz w:val="20"/>
        </w:rPr>
        <w:t>las</w:t>
      </w:r>
      <w:r>
        <w:rPr>
          <w:spacing w:val="-4"/>
          <w:sz w:val="20"/>
        </w:rPr>
        <w:t xml:space="preserve"> </w:t>
      </w:r>
      <w:r>
        <w:rPr>
          <w:sz w:val="20"/>
        </w:rPr>
        <w:t>leyes.</w:t>
      </w:r>
      <w:r>
        <w:rPr>
          <w:spacing w:val="-4"/>
          <w:sz w:val="20"/>
        </w:rPr>
        <w:t xml:space="preserve"> </w:t>
      </w:r>
      <w:r>
        <w:rPr>
          <w:sz w:val="20"/>
        </w:rPr>
        <w:t>También</w:t>
      </w:r>
      <w:r>
        <w:rPr>
          <w:spacing w:val="-4"/>
          <w:sz w:val="20"/>
        </w:rPr>
        <w:t xml:space="preserve"> </w:t>
      </w:r>
      <w:r>
        <w:rPr>
          <w:sz w:val="20"/>
        </w:rPr>
        <w:t>será</w:t>
      </w:r>
      <w:r>
        <w:rPr>
          <w:spacing w:val="-4"/>
          <w:sz w:val="20"/>
        </w:rPr>
        <w:t xml:space="preserve"> </w:t>
      </w:r>
      <w:r>
        <w:rPr>
          <w:sz w:val="20"/>
        </w:rPr>
        <w:t>la</w:t>
      </w:r>
      <w:r>
        <w:rPr>
          <w:spacing w:val="-4"/>
          <w:sz w:val="20"/>
        </w:rPr>
        <w:t xml:space="preserve"> </w:t>
      </w:r>
      <w:r>
        <w:rPr>
          <w:sz w:val="20"/>
        </w:rPr>
        <w:t>Administración</w:t>
      </w:r>
      <w:r>
        <w:rPr>
          <w:spacing w:val="-4"/>
          <w:sz w:val="20"/>
        </w:rPr>
        <w:t xml:space="preserve"> </w:t>
      </w:r>
      <w:r>
        <w:rPr>
          <w:sz w:val="20"/>
        </w:rPr>
        <w:t>responsable</w:t>
      </w:r>
      <w:r>
        <w:rPr>
          <w:spacing w:val="-4"/>
          <w:sz w:val="20"/>
        </w:rPr>
        <w:t xml:space="preserve"> </w:t>
      </w:r>
      <w:r>
        <w:rPr>
          <w:sz w:val="20"/>
        </w:rPr>
        <w:t>de</w:t>
      </w:r>
      <w:r>
        <w:rPr>
          <w:spacing w:val="-4"/>
          <w:sz w:val="20"/>
        </w:rPr>
        <w:t xml:space="preserve"> </w:t>
      </w:r>
      <w:r>
        <w:rPr>
          <w:sz w:val="20"/>
        </w:rPr>
        <w:t>los</w:t>
      </w:r>
      <w:r>
        <w:rPr>
          <w:spacing w:val="-4"/>
          <w:sz w:val="20"/>
        </w:rPr>
        <w:t xml:space="preserve"> </w:t>
      </w:r>
      <w:r>
        <w:rPr>
          <w:sz w:val="20"/>
        </w:rPr>
        <w:t>daños</w:t>
      </w:r>
      <w:r>
        <w:rPr>
          <w:spacing w:val="-4"/>
          <w:sz w:val="20"/>
        </w:rPr>
        <w:t xml:space="preserve"> </w:t>
      </w:r>
      <w:r>
        <w:rPr>
          <w:sz w:val="20"/>
        </w:rPr>
        <w:t>que se causen a terceros como consecuencia de los vicios del proyecto en el contrato de obras, sin perjuicio de la posibilidad de repetir contra el redactor del proyecto de acuerdo con lo establecido en el artículo 315, o en el contrato de suministro de fabricación.</w:t>
      </w:r>
    </w:p>
    <w:p w:rsidR="0092635B" w:rsidRDefault="00000000">
      <w:pPr>
        <w:pStyle w:val="Prrafodelista"/>
        <w:numPr>
          <w:ilvl w:val="0"/>
          <w:numId w:val="182"/>
        </w:numPr>
        <w:tabs>
          <w:tab w:val="left" w:pos="1672"/>
        </w:tabs>
        <w:spacing w:before="5" w:line="249" w:lineRule="auto"/>
        <w:ind w:firstLine="340"/>
        <w:jc w:val="both"/>
        <w:rPr>
          <w:sz w:val="20"/>
        </w:rPr>
      </w:pPr>
      <w:r>
        <w:rPr>
          <w:sz w:val="20"/>
        </w:rPr>
        <w:t>Los terceros podrán requerir previamente, dentro del año siguiente a la producción del hecho, al órgano de contratación para que este, oído el contratista, informe sobre a cuál de las partes contratantes corresponde la responsabilidad de los daños. El ejercicio de esta facultad interrumpe el plazo de prescripción de la acción.</w:t>
      </w:r>
    </w:p>
    <w:p w:rsidR="0092635B" w:rsidRDefault="00000000">
      <w:pPr>
        <w:pStyle w:val="Prrafodelista"/>
        <w:numPr>
          <w:ilvl w:val="0"/>
          <w:numId w:val="182"/>
        </w:numPr>
        <w:tabs>
          <w:tab w:val="left" w:pos="1699"/>
        </w:tabs>
        <w:spacing w:before="4" w:line="249" w:lineRule="auto"/>
        <w:ind w:right="1104" w:firstLine="340"/>
        <w:jc w:val="both"/>
        <w:rPr>
          <w:sz w:val="20"/>
        </w:rPr>
      </w:pPr>
      <w:r>
        <w:rPr>
          <w:sz w:val="20"/>
        </w:rPr>
        <w:t>La reclamación de aquellos se formulará, en todo caso, conforme al procedimiento establecido en la legislación aplicable a cada supuesto.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308" w:name="Artículo_197._Principio_de_riesgo_y_vent"/>
      <w:bookmarkEnd w:id="308"/>
      <w:r>
        <w:rPr>
          <w:rFonts w:ascii="Arial" w:hAnsi="Arial"/>
          <w:b/>
          <w:sz w:val="20"/>
        </w:rPr>
        <w:t>Artículo</w:t>
      </w:r>
      <w:r>
        <w:rPr>
          <w:rFonts w:ascii="Arial" w:hAnsi="Arial"/>
          <w:b/>
          <w:spacing w:val="-4"/>
          <w:sz w:val="20"/>
        </w:rPr>
        <w:t xml:space="preserve"> </w:t>
      </w:r>
      <w:r>
        <w:rPr>
          <w:rFonts w:ascii="Arial" w:hAnsi="Arial"/>
          <w:b/>
          <w:sz w:val="20"/>
        </w:rPr>
        <w:t>197.</w:t>
      </w:r>
      <w:r>
        <w:rPr>
          <w:rFonts w:ascii="Arial" w:hAnsi="Arial"/>
          <w:b/>
          <w:spacing w:val="50"/>
          <w:sz w:val="20"/>
        </w:rPr>
        <w:t xml:space="preserve"> </w:t>
      </w:r>
      <w:r>
        <w:rPr>
          <w:rFonts w:ascii="Arial" w:hAnsi="Arial"/>
          <w:i/>
          <w:sz w:val="20"/>
        </w:rPr>
        <w:t>Principio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riesgo</w:t>
      </w:r>
      <w:r>
        <w:rPr>
          <w:rFonts w:ascii="Arial" w:hAnsi="Arial"/>
          <w:i/>
          <w:spacing w:val="-2"/>
          <w:sz w:val="20"/>
        </w:rPr>
        <w:t xml:space="preserve"> </w:t>
      </w:r>
      <w:r>
        <w:rPr>
          <w:rFonts w:ascii="Arial" w:hAnsi="Arial"/>
          <w:i/>
          <w:sz w:val="20"/>
        </w:rPr>
        <w:t>y</w:t>
      </w:r>
      <w:r>
        <w:rPr>
          <w:rFonts w:ascii="Arial" w:hAnsi="Arial"/>
          <w:i/>
          <w:spacing w:val="-2"/>
          <w:sz w:val="20"/>
        </w:rPr>
        <w:t xml:space="preserve"> ventura.</w:t>
      </w:r>
    </w:p>
    <w:p w:rsidR="0092635B" w:rsidRDefault="00000000">
      <w:pPr>
        <w:pStyle w:val="Textoindependiente"/>
        <w:spacing w:before="123" w:line="249" w:lineRule="auto"/>
        <w:ind w:right="1105"/>
      </w:pPr>
      <w:r>
        <w:t>La</w:t>
      </w:r>
      <w:r>
        <w:rPr>
          <w:spacing w:val="-1"/>
        </w:rPr>
        <w:t xml:space="preserve"> </w:t>
      </w:r>
      <w:r>
        <w:t>ejecución</w:t>
      </w:r>
      <w:r>
        <w:rPr>
          <w:spacing w:val="-1"/>
        </w:rPr>
        <w:t xml:space="preserve"> </w:t>
      </w:r>
      <w:r>
        <w:t>del</w:t>
      </w:r>
      <w:r>
        <w:rPr>
          <w:spacing w:val="-1"/>
        </w:rPr>
        <w:t xml:space="preserve"> </w:t>
      </w:r>
      <w:r>
        <w:t>contrato</w:t>
      </w:r>
      <w:r>
        <w:rPr>
          <w:spacing w:val="-1"/>
        </w:rPr>
        <w:t xml:space="preserve"> </w:t>
      </w:r>
      <w:r>
        <w:t>se</w:t>
      </w:r>
      <w:r>
        <w:rPr>
          <w:spacing w:val="-1"/>
        </w:rPr>
        <w:t xml:space="preserve"> </w:t>
      </w:r>
      <w:r>
        <w:t>realizará</w:t>
      </w:r>
      <w:r>
        <w:rPr>
          <w:spacing w:val="-1"/>
        </w:rPr>
        <w:t xml:space="preserve"> </w:t>
      </w:r>
      <w:r>
        <w:t>a</w:t>
      </w:r>
      <w:r>
        <w:rPr>
          <w:spacing w:val="-1"/>
        </w:rPr>
        <w:t xml:space="preserve"> </w:t>
      </w:r>
      <w:r>
        <w:t>riesgo</w:t>
      </w:r>
      <w:r>
        <w:rPr>
          <w:spacing w:val="-1"/>
        </w:rPr>
        <w:t xml:space="preserve"> </w:t>
      </w:r>
      <w:r>
        <w:t>y</w:t>
      </w:r>
      <w:r>
        <w:rPr>
          <w:spacing w:val="-1"/>
        </w:rPr>
        <w:t xml:space="preserve"> </w:t>
      </w:r>
      <w:r>
        <w:t>ventura</w:t>
      </w:r>
      <w:r>
        <w:rPr>
          <w:spacing w:val="-1"/>
        </w:rPr>
        <w:t xml:space="preserve"> </w:t>
      </w:r>
      <w:r>
        <w:t>del</w:t>
      </w:r>
      <w:r>
        <w:rPr>
          <w:spacing w:val="-1"/>
        </w:rPr>
        <w:t xml:space="preserve"> </w:t>
      </w:r>
      <w:r>
        <w:t>contratista,</w:t>
      </w:r>
      <w:r>
        <w:rPr>
          <w:spacing w:val="-1"/>
        </w:rPr>
        <w:t xml:space="preserve"> </w:t>
      </w:r>
      <w:r>
        <w:t>sin</w:t>
      </w:r>
      <w:r>
        <w:rPr>
          <w:spacing w:val="-1"/>
        </w:rPr>
        <w:t xml:space="preserve"> </w:t>
      </w:r>
      <w:r>
        <w:t>perjuicio</w:t>
      </w:r>
      <w:r>
        <w:rPr>
          <w:spacing w:val="-1"/>
        </w:rPr>
        <w:t xml:space="preserve"> </w:t>
      </w:r>
      <w:r>
        <w:t>de</w:t>
      </w:r>
      <w:r>
        <w:rPr>
          <w:spacing w:val="-1"/>
        </w:rPr>
        <w:t xml:space="preserve"> </w:t>
      </w:r>
      <w:r>
        <w:t>lo establecido para el contrato de obras en el artículo 239.</w:t>
      </w:r>
    </w:p>
    <w:p w:rsidR="0092635B" w:rsidRDefault="00000000">
      <w:pPr>
        <w:spacing w:before="228"/>
        <w:ind w:left="1106"/>
        <w:rPr>
          <w:rFonts w:ascii="Arial" w:hAnsi="Arial"/>
          <w:i/>
          <w:sz w:val="20"/>
        </w:rPr>
      </w:pPr>
      <w:bookmarkStart w:id="309" w:name="Artículo_198._Pago_del_precio."/>
      <w:bookmarkEnd w:id="309"/>
      <w:r>
        <w:rPr>
          <w:rFonts w:ascii="Arial" w:hAnsi="Arial"/>
          <w:b/>
          <w:sz w:val="20"/>
        </w:rPr>
        <w:t>Artículo</w:t>
      </w:r>
      <w:r>
        <w:rPr>
          <w:rFonts w:ascii="Arial" w:hAnsi="Arial"/>
          <w:b/>
          <w:spacing w:val="-1"/>
          <w:sz w:val="20"/>
        </w:rPr>
        <w:t xml:space="preserve"> </w:t>
      </w:r>
      <w:r>
        <w:rPr>
          <w:rFonts w:ascii="Arial" w:hAnsi="Arial"/>
          <w:b/>
          <w:sz w:val="20"/>
        </w:rPr>
        <w:t>198.</w:t>
      </w:r>
      <w:r>
        <w:rPr>
          <w:rFonts w:ascii="Arial" w:hAnsi="Arial"/>
          <w:b/>
          <w:spacing w:val="52"/>
          <w:sz w:val="20"/>
        </w:rPr>
        <w:t xml:space="preserve"> </w:t>
      </w:r>
      <w:r>
        <w:rPr>
          <w:rFonts w:ascii="Arial" w:hAnsi="Arial"/>
          <w:i/>
          <w:sz w:val="20"/>
        </w:rPr>
        <w:t>Pago</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pacing w:val="-2"/>
          <w:sz w:val="20"/>
        </w:rPr>
        <w:t>precio.</w:t>
      </w:r>
    </w:p>
    <w:p w:rsidR="0092635B" w:rsidRDefault="00000000">
      <w:pPr>
        <w:pStyle w:val="Prrafodelista"/>
        <w:numPr>
          <w:ilvl w:val="0"/>
          <w:numId w:val="181"/>
        </w:numPr>
        <w:tabs>
          <w:tab w:val="left" w:pos="1671"/>
        </w:tabs>
        <w:spacing w:before="124" w:line="249" w:lineRule="auto"/>
        <w:ind w:right="1104" w:firstLine="340"/>
        <w:jc w:val="both"/>
        <w:rPr>
          <w:sz w:val="20"/>
        </w:rPr>
      </w:pPr>
      <w:r>
        <w:rPr>
          <w:sz w:val="20"/>
        </w:rPr>
        <w:t>El contratista tendrá derecho al abono del precio convenido por la prestación realizada en los términos establecidos en esta Ley y en el contrato.</w:t>
      </w:r>
    </w:p>
    <w:p w:rsidR="0092635B" w:rsidRDefault="00000000">
      <w:pPr>
        <w:pStyle w:val="Textoindependiente"/>
        <w:spacing w:line="249" w:lineRule="auto"/>
        <w:ind w:right="1103"/>
      </w:pPr>
      <w:r>
        <w:t>En el supuesto de los contratos basados en un acuerdo marco y de los contratos específicos derivados de un sistema dinámico de contratación, el pago del precio se podrá hacer por el peticionario.</w:t>
      </w:r>
    </w:p>
    <w:p w:rsidR="0092635B" w:rsidRDefault="00000000">
      <w:pPr>
        <w:pStyle w:val="Prrafodelista"/>
        <w:numPr>
          <w:ilvl w:val="0"/>
          <w:numId w:val="181"/>
        </w:numPr>
        <w:tabs>
          <w:tab w:val="left" w:pos="1671"/>
        </w:tabs>
        <w:spacing w:line="249" w:lineRule="auto"/>
        <w:ind w:firstLine="340"/>
        <w:jc w:val="both"/>
        <w:rPr>
          <w:sz w:val="20"/>
        </w:rPr>
      </w:pPr>
      <w:r>
        <w:rPr>
          <w:sz w:val="20"/>
        </w:rPr>
        <w:t>El pago del precio podrá hacerse de manera total o parcial, mediante abonos a cuenta o, en el caso de contratos de tracto sucesivo, mediante pago en cada uno de los vencimientos que se hubiesen estipulado.</w:t>
      </w:r>
    </w:p>
    <w:p w:rsidR="0092635B" w:rsidRDefault="00000000">
      <w:pPr>
        <w:pStyle w:val="Textoindependiente"/>
        <w:spacing w:line="249" w:lineRule="auto"/>
        <w:ind w:right="1103"/>
      </w:pPr>
      <w:r>
        <w:t>En los casos en que el importe acumulado de los abonos a cuenta sea igual o superior con motivo del siguiente pago al 90 por ciento del precio del contrato incluidas, en su caso, las modificaciones aprobadas, al expediente de pago que se tramite habrá de acompañarse, cuando resulte preceptiva, la comunicación efectuada a la Intervención correspondiente para su eventual asistencia a la recepción en el ejercicio de sus funciones de comprobación material de la inversión.</w:t>
      </w:r>
    </w:p>
    <w:p w:rsidR="0092635B" w:rsidRDefault="00000000">
      <w:pPr>
        <w:pStyle w:val="Prrafodelista"/>
        <w:numPr>
          <w:ilvl w:val="0"/>
          <w:numId w:val="181"/>
        </w:numPr>
        <w:tabs>
          <w:tab w:val="left" w:pos="1675"/>
        </w:tabs>
        <w:spacing w:before="5" w:line="249" w:lineRule="auto"/>
        <w:ind w:right="1104" w:firstLine="340"/>
        <w:jc w:val="both"/>
        <w:rPr>
          <w:sz w:val="20"/>
        </w:rPr>
      </w:pPr>
      <w:r>
        <w:rPr>
          <w:sz w:val="20"/>
        </w:rPr>
        <w:t>El contratista tendrá también derecho a percibir abonos a cuenta por el importe de las operaciones preparatorias de la ejecución del contrato y que estén comprendidas en el</w:t>
      </w:r>
      <w:r>
        <w:rPr>
          <w:spacing w:val="40"/>
          <w:sz w:val="20"/>
        </w:rPr>
        <w:t xml:space="preserve"> </w:t>
      </w:r>
      <w:r>
        <w:rPr>
          <w:sz w:val="20"/>
        </w:rPr>
        <w:t>objeto del mismo, en las condiciones señaladas en los respectivos pliegos, debiéndose asegurar los referidos pagos mediante la prestación de garantía.</w:t>
      </w:r>
    </w:p>
    <w:p w:rsidR="0092635B" w:rsidRDefault="00000000">
      <w:pPr>
        <w:pStyle w:val="Prrafodelista"/>
        <w:numPr>
          <w:ilvl w:val="0"/>
          <w:numId w:val="181"/>
        </w:numPr>
        <w:tabs>
          <w:tab w:val="left" w:pos="1690"/>
        </w:tabs>
        <w:spacing w:before="4" w:line="249" w:lineRule="auto"/>
        <w:ind w:firstLine="340"/>
        <w:jc w:val="both"/>
        <w:rPr>
          <w:sz w:val="20"/>
        </w:rPr>
      </w:pPr>
      <w:r>
        <w:rPr>
          <w:sz w:val="20"/>
        </w:rPr>
        <w:t>La Administración tendrá la obligación de abonar el precio dentro de los treinta días siguientes a la fecha de aprobación de las certificaciones de obra o de los documentos que acrediten</w:t>
      </w:r>
      <w:r>
        <w:rPr>
          <w:spacing w:val="-1"/>
          <w:sz w:val="20"/>
        </w:rPr>
        <w:t xml:space="preserve"> </w:t>
      </w:r>
      <w:r>
        <w:rPr>
          <w:sz w:val="20"/>
        </w:rPr>
        <w:t>la</w:t>
      </w:r>
      <w:r>
        <w:rPr>
          <w:spacing w:val="-1"/>
          <w:sz w:val="20"/>
        </w:rPr>
        <w:t xml:space="preserve"> </w:t>
      </w:r>
      <w:r>
        <w:rPr>
          <w:sz w:val="20"/>
        </w:rPr>
        <w:t>conformidad</w:t>
      </w:r>
      <w:r>
        <w:rPr>
          <w:spacing w:val="-1"/>
          <w:sz w:val="20"/>
        </w:rPr>
        <w:t xml:space="preserve"> </w:t>
      </w:r>
      <w:r>
        <w:rPr>
          <w:sz w:val="20"/>
        </w:rPr>
        <w:t>con</w:t>
      </w:r>
      <w:r>
        <w:rPr>
          <w:spacing w:val="-1"/>
          <w:sz w:val="20"/>
        </w:rPr>
        <w:t xml:space="preserve"> </w:t>
      </w:r>
      <w:r>
        <w:rPr>
          <w:sz w:val="20"/>
        </w:rPr>
        <w:t>lo</w:t>
      </w:r>
      <w:r>
        <w:rPr>
          <w:spacing w:val="-1"/>
          <w:sz w:val="20"/>
        </w:rPr>
        <w:t xml:space="preserve"> </w:t>
      </w:r>
      <w:r>
        <w:rPr>
          <w:sz w:val="20"/>
        </w:rPr>
        <w:t>dispuesto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contrato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bienes</w:t>
      </w:r>
      <w:r>
        <w:rPr>
          <w:spacing w:val="-1"/>
          <w:sz w:val="20"/>
        </w:rPr>
        <w:t xml:space="preserve"> </w:t>
      </w:r>
      <w:r>
        <w:rPr>
          <w:sz w:val="20"/>
        </w:rPr>
        <w:t>entregados</w:t>
      </w:r>
      <w:r>
        <w:rPr>
          <w:spacing w:val="-1"/>
          <w:sz w:val="20"/>
        </w:rPr>
        <w:t xml:space="preserve"> </w:t>
      </w:r>
      <w:r>
        <w:rPr>
          <w:sz w:val="20"/>
        </w:rPr>
        <w:t>o</w:t>
      </w:r>
      <w:r>
        <w:rPr>
          <w:spacing w:val="-1"/>
          <w:sz w:val="20"/>
        </w:rPr>
        <w:t xml:space="preserve"> </w:t>
      </w:r>
      <w:r>
        <w:rPr>
          <w:sz w:val="20"/>
        </w:rPr>
        <w:t>servicios prestados, sin perjuicio de lo establecido en el apartado 4 del artículo 210, y si se demorase, deberá abonar al contratista, a partir del cumplimiento de dicho plazo de treinta días los intereses de demora y la indemnización por los costes de cobro en los términos previstos en la Ley 3/2004, de 29 de diciembre, por la que se establecen medidas de lucha contra la morosidad en las operaciones comerciales. Para que haya lugar al inicio del cómputo de plazo para el devengo de intereses, el contratista deberá haber cumplido la obligación de presentar la factura ante el registro administrativo correspondiente en los términos establecidos</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normativa</w:t>
      </w:r>
      <w:r>
        <w:rPr>
          <w:spacing w:val="-2"/>
          <w:sz w:val="20"/>
        </w:rPr>
        <w:t xml:space="preserve"> </w:t>
      </w:r>
      <w:r>
        <w:rPr>
          <w:sz w:val="20"/>
        </w:rPr>
        <w:t>vigente</w:t>
      </w:r>
      <w:r>
        <w:rPr>
          <w:spacing w:val="-2"/>
          <w:sz w:val="20"/>
        </w:rPr>
        <w:t xml:space="preserve"> </w:t>
      </w:r>
      <w:r>
        <w:rPr>
          <w:sz w:val="20"/>
        </w:rPr>
        <w:t>sobre</w:t>
      </w:r>
      <w:r>
        <w:rPr>
          <w:spacing w:val="-2"/>
          <w:sz w:val="20"/>
        </w:rPr>
        <w:t xml:space="preserve"> </w:t>
      </w:r>
      <w:r>
        <w:rPr>
          <w:sz w:val="20"/>
        </w:rPr>
        <w:t>factura</w:t>
      </w:r>
      <w:r>
        <w:rPr>
          <w:spacing w:val="-2"/>
          <w:sz w:val="20"/>
        </w:rPr>
        <w:t xml:space="preserve"> </w:t>
      </w:r>
      <w:r>
        <w:rPr>
          <w:sz w:val="20"/>
        </w:rPr>
        <w:t>electrónica,</w:t>
      </w:r>
      <w:r>
        <w:rPr>
          <w:spacing w:val="-2"/>
          <w:sz w:val="20"/>
        </w:rPr>
        <w:t xml:space="preserve"> </w:t>
      </w:r>
      <w:r>
        <w:rPr>
          <w:sz w:val="20"/>
        </w:rPr>
        <w:t>en</w:t>
      </w:r>
      <w:r>
        <w:rPr>
          <w:spacing w:val="-2"/>
          <w:sz w:val="20"/>
        </w:rPr>
        <w:t xml:space="preserve"> </w:t>
      </w:r>
      <w:r>
        <w:rPr>
          <w:sz w:val="20"/>
        </w:rPr>
        <w:t>tiempo</w:t>
      </w:r>
      <w:r>
        <w:rPr>
          <w:spacing w:val="-2"/>
          <w:sz w:val="20"/>
        </w:rPr>
        <w:t xml:space="preserve"> </w:t>
      </w:r>
      <w:r>
        <w:rPr>
          <w:sz w:val="20"/>
        </w:rPr>
        <w:t>y</w:t>
      </w:r>
      <w:r>
        <w:rPr>
          <w:spacing w:val="-2"/>
          <w:sz w:val="20"/>
        </w:rPr>
        <w:t xml:space="preserve"> </w:t>
      </w:r>
      <w:r>
        <w:rPr>
          <w:sz w:val="20"/>
        </w:rPr>
        <w:t>forma,</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 xml:space="preserve">plazo de treinta días desde la fecha de entrega efectiva de las mercancías o la prestación del </w:t>
      </w:r>
      <w:r>
        <w:rPr>
          <w:spacing w:val="-2"/>
          <w:sz w:val="20"/>
        </w:rPr>
        <w:t>servicio.</w:t>
      </w:r>
    </w:p>
    <w:p w:rsidR="0092635B" w:rsidRDefault="00000000">
      <w:pPr>
        <w:pStyle w:val="Textoindependiente"/>
        <w:spacing w:before="10" w:line="249" w:lineRule="auto"/>
        <w:ind w:right="1103"/>
      </w:pPr>
      <w:r>
        <w:t>Sin perjuicio de lo establecido en el apartado 4 del artículo 210 y en el apartado 1 del artículo 243, la Administración deberá aprobar las certificaciones de obra o los documentos que acrediten la conformidad con lo dispuesto en el contrato de los bienes entregados o servicios prestados dentro de los treinta días siguientes a la entrega efectiva de los bienes o prestación del servicio.</w:t>
      </w:r>
    </w:p>
    <w:p w:rsidR="0092635B" w:rsidRDefault="00000000">
      <w:pPr>
        <w:pStyle w:val="Textoindependiente"/>
        <w:spacing w:before="4" w:line="249" w:lineRule="auto"/>
        <w:ind w:right="1104"/>
      </w:pPr>
      <w:r>
        <w:t xml:space="preserve">En todo caso, si el contratista incumpliera el plazo de treinta días para presentar la factura ante el registro administrativo correspondiente en los términos establecidos en la normativa vigente sobre factura electrónica, el devengo de intereses no se iniciará hasta transcurridos treinta días desde la fecha de la correcta presentación de la factura, sin que la Administración haya aprobado la conformidad, si procede, y efectuado el correspondiente </w:t>
      </w:r>
      <w:r>
        <w:rPr>
          <w:spacing w:val="-2"/>
        </w:rPr>
        <w:t>abono.</w:t>
      </w:r>
    </w:p>
    <w:p w:rsidR="0092635B" w:rsidRDefault="00000000">
      <w:pPr>
        <w:pStyle w:val="Prrafodelista"/>
        <w:numPr>
          <w:ilvl w:val="0"/>
          <w:numId w:val="181"/>
        </w:numPr>
        <w:tabs>
          <w:tab w:val="left" w:pos="1678"/>
        </w:tabs>
        <w:spacing w:before="5" w:line="249" w:lineRule="auto"/>
        <w:ind w:right="1102" w:firstLine="340"/>
        <w:jc w:val="both"/>
        <w:rPr>
          <w:sz w:val="20"/>
        </w:rPr>
      </w:pPr>
      <w:r>
        <w:rPr>
          <w:sz w:val="20"/>
        </w:rPr>
        <w:t>Si la demora en el pago fuese superior a cuatro meses, el contratista podrá proceder, en su caso, a la suspensión del cumplimiento del contrato, debiendo comunicar a la Administración, con un mes de antelación, tal circunstancia, a efectos del reconocimiento de los derechos que puedan derivarse de dicha suspensión, en los términos establecidos en esta Ley.</w:t>
      </w:r>
    </w:p>
    <w:p w:rsidR="0092635B" w:rsidRDefault="00000000">
      <w:pPr>
        <w:pStyle w:val="Prrafodelista"/>
        <w:numPr>
          <w:ilvl w:val="0"/>
          <w:numId w:val="181"/>
        </w:numPr>
        <w:tabs>
          <w:tab w:val="left" w:pos="1691"/>
        </w:tabs>
        <w:spacing w:before="4" w:line="249" w:lineRule="auto"/>
        <w:ind w:firstLine="340"/>
        <w:jc w:val="both"/>
        <w:rPr>
          <w:sz w:val="20"/>
        </w:rPr>
      </w:pPr>
      <w:r>
        <w:rPr>
          <w:sz w:val="20"/>
        </w:rPr>
        <w:t>Si la demora de la Administración fuese superior a seis meses, el contratista tendrá derecho, asimismo, a resolver el contrato y al resarcimiento de los perjuicios que como consecuencia de ello se le originen.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81"/>
        </w:numPr>
        <w:tabs>
          <w:tab w:val="left" w:pos="1684"/>
        </w:tabs>
        <w:spacing w:before="1" w:line="249" w:lineRule="auto"/>
        <w:ind w:firstLine="340"/>
        <w:jc w:val="both"/>
        <w:rPr>
          <w:sz w:val="20"/>
        </w:rPr>
      </w:pPr>
      <w:r>
        <w:rPr>
          <w:sz w:val="20"/>
        </w:rPr>
        <w:t>Sin perjuicio de lo establecido en las normas tributarias y de la Seguridad Social, los abonos</w:t>
      </w:r>
      <w:r>
        <w:rPr>
          <w:spacing w:val="-1"/>
          <w:sz w:val="20"/>
        </w:rPr>
        <w:t xml:space="preserve"> </w:t>
      </w:r>
      <w:r>
        <w:rPr>
          <w:sz w:val="20"/>
        </w:rPr>
        <w:t>a</w:t>
      </w:r>
      <w:r>
        <w:rPr>
          <w:spacing w:val="-1"/>
          <w:sz w:val="20"/>
        </w:rPr>
        <w:t xml:space="preserve"> </w:t>
      </w:r>
      <w:r>
        <w:rPr>
          <w:sz w:val="20"/>
        </w:rPr>
        <w:t>cuenta</w:t>
      </w:r>
      <w:r>
        <w:rPr>
          <w:spacing w:val="-1"/>
          <w:sz w:val="20"/>
        </w:rPr>
        <w:t xml:space="preserve"> </w:t>
      </w:r>
      <w:r>
        <w:rPr>
          <w:sz w:val="20"/>
        </w:rPr>
        <w:t>que</w:t>
      </w:r>
      <w:r>
        <w:rPr>
          <w:spacing w:val="-1"/>
          <w:sz w:val="20"/>
        </w:rPr>
        <w:t xml:space="preserve"> </w:t>
      </w:r>
      <w:r>
        <w:rPr>
          <w:sz w:val="20"/>
        </w:rPr>
        <w:t>procedan</w:t>
      </w:r>
      <w:r>
        <w:rPr>
          <w:spacing w:val="-1"/>
          <w:sz w:val="20"/>
        </w:rPr>
        <w:t xml:space="preserve"> </w:t>
      </w:r>
      <w:r>
        <w:rPr>
          <w:sz w:val="20"/>
        </w:rPr>
        <w:t>por</w:t>
      </w:r>
      <w:r>
        <w:rPr>
          <w:spacing w:val="-1"/>
          <w:sz w:val="20"/>
        </w:rPr>
        <w:t xml:space="preserve"> </w:t>
      </w:r>
      <w:r>
        <w:rPr>
          <w:sz w:val="20"/>
        </w:rPr>
        <w:t>la</w:t>
      </w:r>
      <w:r>
        <w:rPr>
          <w:spacing w:val="-1"/>
          <w:sz w:val="20"/>
        </w:rPr>
        <w:t xml:space="preserve"> </w:t>
      </w:r>
      <w:r>
        <w:rPr>
          <w:sz w:val="20"/>
        </w:rPr>
        <w:t>ejecución</w:t>
      </w:r>
      <w:r>
        <w:rPr>
          <w:spacing w:val="-1"/>
          <w:sz w:val="20"/>
        </w:rPr>
        <w:t xml:space="preserve"> </w:t>
      </w:r>
      <w:r>
        <w:rPr>
          <w:sz w:val="20"/>
        </w:rPr>
        <w:t>del</w:t>
      </w:r>
      <w:r>
        <w:rPr>
          <w:spacing w:val="-1"/>
          <w:sz w:val="20"/>
        </w:rPr>
        <w:t xml:space="preserve"> </w:t>
      </w:r>
      <w:r>
        <w:rPr>
          <w:sz w:val="20"/>
        </w:rPr>
        <w:t>contrato,</w:t>
      </w:r>
      <w:r>
        <w:rPr>
          <w:spacing w:val="-1"/>
          <w:sz w:val="20"/>
        </w:rPr>
        <w:t xml:space="preserve"> </w:t>
      </w:r>
      <w:r>
        <w:rPr>
          <w:sz w:val="20"/>
        </w:rPr>
        <w:t>solo</w:t>
      </w:r>
      <w:r>
        <w:rPr>
          <w:spacing w:val="-1"/>
          <w:sz w:val="20"/>
        </w:rPr>
        <w:t xml:space="preserve"> </w:t>
      </w:r>
      <w:r>
        <w:rPr>
          <w:sz w:val="20"/>
        </w:rPr>
        <w:t>podrán</w:t>
      </w:r>
      <w:r>
        <w:rPr>
          <w:spacing w:val="-1"/>
          <w:sz w:val="20"/>
        </w:rPr>
        <w:t xml:space="preserve"> </w:t>
      </w:r>
      <w:r>
        <w:rPr>
          <w:sz w:val="20"/>
        </w:rPr>
        <w:t>ser</w:t>
      </w:r>
      <w:r>
        <w:rPr>
          <w:spacing w:val="-1"/>
          <w:sz w:val="20"/>
        </w:rPr>
        <w:t xml:space="preserve"> </w:t>
      </w:r>
      <w:r>
        <w:rPr>
          <w:sz w:val="20"/>
        </w:rPr>
        <w:t>embargados</w:t>
      </w:r>
      <w:r>
        <w:rPr>
          <w:spacing w:val="-1"/>
          <w:sz w:val="20"/>
        </w:rPr>
        <w:t xml:space="preserve"> </w:t>
      </w:r>
      <w:r>
        <w:rPr>
          <w:sz w:val="20"/>
        </w:rPr>
        <w:t>en los siguientes supuestos:</w:t>
      </w:r>
    </w:p>
    <w:p w:rsidR="0092635B" w:rsidRDefault="00000000">
      <w:pPr>
        <w:pStyle w:val="Prrafodelista"/>
        <w:numPr>
          <w:ilvl w:val="1"/>
          <w:numId w:val="181"/>
        </w:numPr>
        <w:tabs>
          <w:tab w:val="left" w:pos="1680"/>
        </w:tabs>
        <w:spacing w:before="122" w:line="249" w:lineRule="auto"/>
        <w:ind w:right="1105" w:firstLine="340"/>
        <w:jc w:val="both"/>
        <w:rPr>
          <w:sz w:val="20"/>
        </w:rPr>
      </w:pPr>
      <w:r>
        <w:rPr>
          <w:sz w:val="20"/>
        </w:rPr>
        <w:t>Para</w:t>
      </w:r>
      <w:r>
        <w:rPr>
          <w:spacing w:val="-1"/>
          <w:sz w:val="20"/>
        </w:rPr>
        <w:t xml:space="preserve"> </w:t>
      </w:r>
      <w:r>
        <w:rPr>
          <w:sz w:val="20"/>
        </w:rPr>
        <w:t>el</w:t>
      </w:r>
      <w:r>
        <w:rPr>
          <w:spacing w:val="-1"/>
          <w:sz w:val="20"/>
        </w:rPr>
        <w:t xml:space="preserve"> </w:t>
      </w:r>
      <w:r>
        <w:rPr>
          <w:sz w:val="20"/>
        </w:rPr>
        <w:t>pago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salarios</w:t>
      </w:r>
      <w:r>
        <w:rPr>
          <w:spacing w:val="-1"/>
          <w:sz w:val="20"/>
        </w:rPr>
        <w:t xml:space="preserve"> </w:t>
      </w:r>
      <w:r>
        <w:rPr>
          <w:sz w:val="20"/>
        </w:rPr>
        <w:t>devengados</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personal</w:t>
      </w:r>
      <w:r>
        <w:rPr>
          <w:spacing w:val="-1"/>
          <w:sz w:val="20"/>
        </w:rPr>
        <w:t xml:space="preserve"> </w:t>
      </w:r>
      <w:r>
        <w:rPr>
          <w:sz w:val="20"/>
        </w:rPr>
        <w:t>del</w:t>
      </w:r>
      <w:r>
        <w:rPr>
          <w:spacing w:val="-1"/>
          <w:sz w:val="20"/>
        </w:rPr>
        <w:t xml:space="preserve"> </w:t>
      </w:r>
      <w:r>
        <w:rPr>
          <w:sz w:val="20"/>
        </w:rPr>
        <w:t>contratista</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ejecución del contrato y de las cuotas sociales derivadas de los mismos.</w:t>
      </w:r>
    </w:p>
    <w:p w:rsidR="0092635B" w:rsidRDefault="00000000">
      <w:pPr>
        <w:pStyle w:val="Prrafodelista"/>
        <w:numPr>
          <w:ilvl w:val="1"/>
          <w:numId w:val="181"/>
        </w:numPr>
        <w:tabs>
          <w:tab w:val="left" w:pos="1682"/>
        </w:tabs>
        <w:spacing w:line="249" w:lineRule="auto"/>
        <w:ind w:firstLine="340"/>
        <w:jc w:val="both"/>
        <w:rPr>
          <w:sz w:val="20"/>
        </w:rPr>
      </w:pPr>
      <w:r>
        <w:rPr>
          <w:sz w:val="20"/>
        </w:rPr>
        <w:t>Para el pago de las obligaciones contraídas por el contratista con los subcontratistas y suministradores referidas a la ejecución del contrato.</w:t>
      </w:r>
    </w:p>
    <w:p w:rsidR="0092635B" w:rsidRDefault="00000000">
      <w:pPr>
        <w:pStyle w:val="Prrafodelista"/>
        <w:numPr>
          <w:ilvl w:val="0"/>
          <w:numId w:val="181"/>
        </w:numPr>
        <w:tabs>
          <w:tab w:val="left" w:pos="1677"/>
        </w:tabs>
        <w:spacing w:before="121" w:line="249" w:lineRule="auto"/>
        <w:ind w:right="1104" w:firstLine="340"/>
        <w:jc w:val="both"/>
        <w:rPr>
          <w:sz w:val="20"/>
        </w:rPr>
      </w:pPr>
      <w:r>
        <w:rPr>
          <w:sz w:val="20"/>
        </w:rPr>
        <w:t>Las Comunidades Autónomas podrán reducir los plazos de treinta días, cuatro meses y seis meses establecidos en los apartados 4, 5 y 6 de este artículo.</w:t>
      </w:r>
    </w:p>
    <w:p w:rsidR="0092635B" w:rsidRDefault="00000000">
      <w:pPr>
        <w:tabs>
          <w:tab w:val="left" w:pos="2592"/>
        </w:tabs>
        <w:spacing w:before="229" w:line="249" w:lineRule="auto"/>
        <w:ind w:left="1106" w:right="1120" w:hanging="1"/>
        <w:rPr>
          <w:rFonts w:ascii="Arial" w:hAnsi="Arial"/>
          <w:i/>
          <w:sz w:val="20"/>
        </w:rPr>
      </w:pPr>
      <w:bookmarkStart w:id="310" w:name="Artículo_199._Procedimiento_para_hacer_e"/>
      <w:bookmarkEnd w:id="310"/>
      <w:r>
        <w:rPr>
          <w:rFonts w:ascii="Arial" w:hAnsi="Arial"/>
          <w:b/>
          <w:sz w:val="20"/>
        </w:rPr>
        <w:t>Artículo</w:t>
      </w:r>
      <w:r>
        <w:rPr>
          <w:rFonts w:ascii="Arial" w:hAnsi="Arial"/>
          <w:b/>
          <w:spacing w:val="40"/>
          <w:sz w:val="20"/>
        </w:rPr>
        <w:t xml:space="preserve"> </w:t>
      </w:r>
      <w:r>
        <w:rPr>
          <w:rFonts w:ascii="Arial" w:hAnsi="Arial"/>
          <w:b/>
          <w:sz w:val="20"/>
        </w:rPr>
        <w:t>199.</w:t>
      </w:r>
      <w:r>
        <w:rPr>
          <w:rFonts w:ascii="Arial" w:hAnsi="Arial"/>
          <w:b/>
          <w:sz w:val="20"/>
        </w:rPr>
        <w:tab/>
      </w:r>
      <w:r>
        <w:rPr>
          <w:rFonts w:ascii="Arial" w:hAnsi="Arial"/>
          <w:i/>
          <w:sz w:val="20"/>
        </w:rPr>
        <w:t>Procedimiento</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hacer</w:t>
      </w:r>
      <w:r>
        <w:rPr>
          <w:rFonts w:ascii="Arial" w:hAnsi="Arial"/>
          <w:i/>
          <w:spacing w:val="40"/>
          <w:sz w:val="20"/>
        </w:rPr>
        <w:t xml:space="preserve"> </w:t>
      </w:r>
      <w:r>
        <w:rPr>
          <w:rFonts w:ascii="Arial" w:hAnsi="Arial"/>
          <w:i/>
          <w:sz w:val="20"/>
        </w:rPr>
        <w:t>efectivas</w:t>
      </w:r>
      <w:r>
        <w:rPr>
          <w:rFonts w:ascii="Arial" w:hAnsi="Arial"/>
          <w:i/>
          <w:spacing w:val="40"/>
          <w:sz w:val="20"/>
        </w:rPr>
        <w:t xml:space="preserve"> </w:t>
      </w:r>
      <w:r>
        <w:rPr>
          <w:rFonts w:ascii="Arial" w:hAnsi="Arial"/>
          <w:i/>
          <w:sz w:val="20"/>
        </w:rPr>
        <w:t>las</w:t>
      </w:r>
      <w:r>
        <w:rPr>
          <w:rFonts w:ascii="Arial" w:hAnsi="Arial"/>
          <w:i/>
          <w:spacing w:val="40"/>
          <w:sz w:val="20"/>
        </w:rPr>
        <w:t xml:space="preserve"> </w:t>
      </w:r>
      <w:r>
        <w:rPr>
          <w:rFonts w:ascii="Arial" w:hAnsi="Arial"/>
          <w:i/>
          <w:sz w:val="20"/>
        </w:rPr>
        <w:t>deudas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las</w:t>
      </w:r>
      <w:r>
        <w:rPr>
          <w:rFonts w:ascii="Arial" w:hAnsi="Arial"/>
          <w:i/>
          <w:spacing w:val="40"/>
          <w:sz w:val="20"/>
        </w:rPr>
        <w:t xml:space="preserve"> </w:t>
      </w:r>
      <w:r>
        <w:rPr>
          <w:rFonts w:ascii="Arial" w:hAnsi="Arial"/>
          <w:i/>
          <w:sz w:val="20"/>
        </w:rPr>
        <w:t xml:space="preserve">Administraciones </w:t>
      </w:r>
      <w:r>
        <w:rPr>
          <w:rFonts w:ascii="Arial" w:hAnsi="Arial"/>
          <w:i/>
          <w:spacing w:val="-2"/>
          <w:sz w:val="20"/>
        </w:rPr>
        <w:t>Públicas.</w:t>
      </w:r>
    </w:p>
    <w:p w:rsidR="0092635B" w:rsidRDefault="00000000">
      <w:pPr>
        <w:pStyle w:val="Textoindependiente"/>
        <w:spacing w:before="115" w:line="249" w:lineRule="auto"/>
        <w:ind w:right="1104"/>
      </w:pPr>
      <w:r>
        <w:t>Transcurrido el plazo a que se refiere el apartado 4 del artículo 198 de esta Ley, los contratistas</w:t>
      </w:r>
      <w:r>
        <w:rPr>
          <w:spacing w:val="-2"/>
        </w:rPr>
        <w:t xml:space="preserve"> </w:t>
      </w:r>
      <w:r>
        <w:t>podrán</w:t>
      </w:r>
      <w:r>
        <w:rPr>
          <w:spacing w:val="-2"/>
        </w:rPr>
        <w:t xml:space="preserve"> </w:t>
      </w:r>
      <w:r>
        <w:t>reclamar</w:t>
      </w:r>
      <w:r>
        <w:rPr>
          <w:spacing w:val="-2"/>
        </w:rPr>
        <w:t xml:space="preserve"> </w:t>
      </w:r>
      <w:r>
        <w:t>por</w:t>
      </w:r>
      <w:r>
        <w:rPr>
          <w:spacing w:val="-2"/>
        </w:rPr>
        <w:t xml:space="preserve"> </w:t>
      </w:r>
      <w:r>
        <w:t>escrito</w:t>
      </w:r>
      <w:r>
        <w:rPr>
          <w:spacing w:val="-2"/>
        </w:rPr>
        <w:t xml:space="preserve"> </w:t>
      </w:r>
      <w:r>
        <w:t>a</w:t>
      </w:r>
      <w:r>
        <w:rPr>
          <w:spacing w:val="-2"/>
        </w:rPr>
        <w:t xml:space="preserve"> </w:t>
      </w:r>
      <w:r>
        <w:t>la</w:t>
      </w:r>
      <w:r>
        <w:rPr>
          <w:spacing w:val="-2"/>
        </w:rPr>
        <w:t xml:space="preserve"> </w:t>
      </w:r>
      <w:r>
        <w:t>Administración</w:t>
      </w:r>
      <w:r>
        <w:rPr>
          <w:spacing w:val="-2"/>
        </w:rPr>
        <w:t xml:space="preserve"> </w:t>
      </w:r>
      <w:r>
        <w:t>contratante</w:t>
      </w:r>
      <w:r>
        <w:rPr>
          <w:spacing w:val="-2"/>
        </w:rPr>
        <w:t xml:space="preserve"> </w:t>
      </w:r>
      <w:r>
        <w:t>el</w:t>
      </w:r>
      <w:r>
        <w:rPr>
          <w:spacing w:val="-2"/>
        </w:rPr>
        <w:t xml:space="preserve"> </w:t>
      </w:r>
      <w:r>
        <w:t>cumplimiento</w:t>
      </w:r>
      <w:r>
        <w:rPr>
          <w:spacing w:val="-2"/>
        </w:rPr>
        <w:t xml:space="preserve"> </w:t>
      </w:r>
      <w:r>
        <w:t>de</w:t>
      </w:r>
      <w:r>
        <w:rPr>
          <w:spacing w:val="-2"/>
        </w:rPr>
        <w:t xml:space="preserve"> </w:t>
      </w:r>
      <w:r>
        <w:t>la obligación de pago y, en su caso, de los intereses de demora. Si, transcurrido el plazo de un mes, la Administración no hubiera contestado, se entenderá reconocido el vencimiento del plazo</w:t>
      </w:r>
      <w:r>
        <w:rPr>
          <w:spacing w:val="-1"/>
        </w:rPr>
        <w:t xml:space="preserve"> </w:t>
      </w:r>
      <w:r>
        <w:t>de</w:t>
      </w:r>
      <w:r>
        <w:rPr>
          <w:spacing w:val="-1"/>
        </w:rPr>
        <w:t xml:space="preserve"> </w:t>
      </w:r>
      <w:r>
        <w:t>pago</w:t>
      </w:r>
      <w:r>
        <w:rPr>
          <w:spacing w:val="-1"/>
        </w:rPr>
        <w:t xml:space="preserve"> </w:t>
      </w:r>
      <w:r>
        <w:t>y</w:t>
      </w:r>
      <w:r>
        <w:rPr>
          <w:spacing w:val="-1"/>
        </w:rPr>
        <w:t xml:space="preserve"> </w:t>
      </w:r>
      <w:r>
        <w:t>los</w:t>
      </w:r>
      <w:r>
        <w:rPr>
          <w:spacing w:val="-1"/>
        </w:rPr>
        <w:t xml:space="preserve"> </w:t>
      </w:r>
      <w:r>
        <w:t>interesados</w:t>
      </w:r>
      <w:r>
        <w:rPr>
          <w:spacing w:val="-1"/>
        </w:rPr>
        <w:t xml:space="preserve"> </w:t>
      </w:r>
      <w:r>
        <w:t>podrán</w:t>
      </w:r>
      <w:r>
        <w:rPr>
          <w:spacing w:val="-1"/>
        </w:rPr>
        <w:t xml:space="preserve"> </w:t>
      </w:r>
      <w:r>
        <w:t>formular</w:t>
      </w:r>
      <w:r>
        <w:rPr>
          <w:spacing w:val="-1"/>
        </w:rPr>
        <w:t xml:space="preserve"> </w:t>
      </w:r>
      <w:r>
        <w:t>recurso</w:t>
      </w:r>
      <w:r>
        <w:rPr>
          <w:spacing w:val="-1"/>
        </w:rPr>
        <w:t xml:space="preserve"> </w:t>
      </w:r>
      <w:r>
        <w:t>contencioso-administrativo</w:t>
      </w:r>
      <w:r>
        <w:rPr>
          <w:spacing w:val="-1"/>
        </w:rPr>
        <w:t xml:space="preserve"> </w:t>
      </w:r>
      <w:r>
        <w:t>contra</w:t>
      </w:r>
      <w:r>
        <w:rPr>
          <w:spacing w:val="-1"/>
        </w:rPr>
        <w:t xml:space="preserve"> </w:t>
      </w:r>
      <w:r>
        <w:t>la inactividad de la Administración, pudiendo solicitar como medida cautelar el pago inmediato de la deuda. El órgano judicial adoptará la medida cautelar, salvo que la Administración acredite que no concurren las circunstancias que justifican el pago o que la cuantía reclamada</w:t>
      </w:r>
      <w:r>
        <w:rPr>
          <w:spacing w:val="-2"/>
        </w:rPr>
        <w:t xml:space="preserve"> </w:t>
      </w:r>
      <w:r>
        <w:t>no</w:t>
      </w:r>
      <w:r>
        <w:rPr>
          <w:spacing w:val="-2"/>
        </w:rPr>
        <w:t xml:space="preserve"> </w:t>
      </w:r>
      <w:r>
        <w:t>corresponde</w:t>
      </w:r>
      <w:r>
        <w:rPr>
          <w:spacing w:val="-2"/>
        </w:rPr>
        <w:t xml:space="preserve"> </w:t>
      </w:r>
      <w:r>
        <w:t>a</w:t>
      </w:r>
      <w:r>
        <w:rPr>
          <w:spacing w:val="-2"/>
        </w:rPr>
        <w:t xml:space="preserve"> </w:t>
      </w:r>
      <w:r>
        <w:t>la</w:t>
      </w:r>
      <w:r>
        <w:rPr>
          <w:spacing w:val="-2"/>
        </w:rPr>
        <w:t xml:space="preserve"> </w:t>
      </w:r>
      <w:r>
        <w:t>que</w:t>
      </w:r>
      <w:r>
        <w:rPr>
          <w:spacing w:val="-2"/>
        </w:rPr>
        <w:t xml:space="preserve"> </w:t>
      </w:r>
      <w:r>
        <w:t>es</w:t>
      </w:r>
      <w:r>
        <w:rPr>
          <w:spacing w:val="-2"/>
        </w:rPr>
        <w:t xml:space="preserve"> </w:t>
      </w:r>
      <w:r>
        <w:t>exigible,</w:t>
      </w:r>
      <w:r>
        <w:rPr>
          <w:spacing w:val="-2"/>
        </w:rPr>
        <w:t xml:space="preserve"> </w:t>
      </w:r>
      <w:r>
        <w:t>en</w:t>
      </w:r>
      <w:r>
        <w:rPr>
          <w:spacing w:val="-2"/>
        </w:rPr>
        <w:t xml:space="preserve"> </w:t>
      </w:r>
      <w:r>
        <w:t>cuyo</w:t>
      </w:r>
      <w:r>
        <w:rPr>
          <w:spacing w:val="-2"/>
        </w:rPr>
        <w:t xml:space="preserve"> </w:t>
      </w:r>
      <w:r>
        <w:t>caso</w:t>
      </w:r>
      <w:r>
        <w:rPr>
          <w:spacing w:val="-2"/>
        </w:rPr>
        <w:t xml:space="preserve"> </w:t>
      </w:r>
      <w:r>
        <w:t>la</w:t>
      </w:r>
      <w:r>
        <w:rPr>
          <w:spacing w:val="-2"/>
        </w:rPr>
        <w:t xml:space="preserve"> </w:t>
      </w:r>
      <w:r>
        <w:t>medida</w:t>
      </w:r>
      <w:r>
        <w:rPr>
          <w:spacing w:val="-2"/>
        </w:rPr>
        <w:t xml:space="preserve"> </w:t>
      </w:r>
      <w:r>
        <w:t>cautelar</w:t>
      </w:r>
      <w:r>
        <w:rPr>
          <w:spacing w:val="-2"/>
        </w:rPr>
        <w:t xml:space="preserve"> </w:t>
      </w:r>
      <w:r>
        <w:t>se</w:t>
      </w:r>
      <w:r>
        <w:rPr>
          <w:spacing w:val="-2"/>
        </w:rPr>
        <w:t xml:space="preserve"> </w:t>
      </w:r>
      <w:r>
        <w:t>limitará</w:t>
      </w:r>
      <w:r>
        <w:rPr>
          <w:spacing w:val="-2"/>
        </w:rPr>
        <w:t xml:space="preserve"> </w:t>
      </w:r>
      <w:r>
        <w:t>a esta última. La sentencia condenará en costas a la Administración demandada en el caso de estimación total de la pretensión de cobro.</w:t>
      </w:r>
    </w:p>
    <w:p w:rsidR="0092635B" w:rsidRDefault="0092635B">
      <w:pPr>
        <w:pStyle w:val="Textoindependiente"/>
        <w:spacing w:before="5"/>
        <w:ind w:left="0" w:firstLine="0"/>
        <w:jc w:val="left"/>
      </w:pPr>
    </w:p>
    <w:p w:rsidR="0092635B" w:rsidRDefault="00000000">
      <w:pPr>
        <w:spacing w:before="1"/>
        <w:ind w:left="1106"/>
        <w:rPr>
          <w:rFonts w:ascii="Arial" w:hAnsi="Arial"/>
          <w:i/>
          <w:sz w:val="20"/>
        </w:rPr>
      </w:pPr>
      <w:bookmarkStart w:id="311" w:name="Artículo_200._Transmisión_de_los_derecho"/>
      <w:bookmarkEnd w:id="311"/>
      <w:r>
        <w:rPr>
          <w:rFonts w:ascii="Arial" w:hAnsi="Arial"/>
          <w:b/>
          <w:sz w:val="20"/>
        </w:rPr>
        <w:t>Artículo</w:t>
      </w:r>
      <w:r>
        <w:rPr>
          <w:rFonts w:ascii="Arial" w:hAnsi="Arial"/>
          <w:b/>
          <w:spacing w:val="-6"/>
          <w:sz w:val="20"/>
        </w:rPr>
        <w:t xml:space="preserve"> </w:t>
      </w:r>
      <w:r>
        <w:rPr>
          <w:rFonts w:ascii="Arial" w:hAnsi="Arial"/>
          <w:b/>
          <w:sz w:val="20"/>
        </w:rPr>
        <w:t>200.</w:t>
      </w:r>
      <w:r>
        <w:rPr>
          <w:rFonts w:ascii="Arial" w:hAnsi="Arial"/>
          <w:b/>
          <w:spacing w:val="48"/>
          <w:sz w:val="20"/>
        </w:rPr>
        <w:t xml:space="preserve"> </w:t>
      </w:r>
      <w:r>
        <w:rPr>
          <w:rFonts w:ascii="Arial" w:hAnsi="Arial"/>
          <w:i/>
          <w:sz w:val="20"/>
        </w:rPr>
        <w:t>Transmisión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los</w:t>
      </w:r>
      <w:r>
        <w:rPr>
          <w:rFonts w:ascii="Arial" w:hAnsi="Arial"/>
          <w:i/>
          <w:spacing w:val="-3"/>
          <w:sz w:val="20"/>
        </w:rPr>
        <w:t xml:space="preserve"> </w:t>
      </w:r>
      <w:r>
        <w:rPr>
          <w:rFonts w:ascii="Arial" w:hAnsi="Arial"/>
          <w:i/>
          <w:sz w:val="20"/>
        </w:rPr>
        <w:t>derechos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cobro.</w:t>
      </w:r>
    </w:p>
    <w:p w:rsidR="0092635B" w:rsidRDefault="00000000">
      <w:pPr>
        <w:pStyle w:val="Prrafodelista"/>
        <w:numPr>
          <w:ilvl w:val="0"/>
          <w:numId w:val="180"/>
        </w:numPr>
        <w:tabs>
          <w:tab w:val="left" w:pos="1671"/>
        </w:tabs>
        <w:spacing w:before="123" w:line="249" w:lineRule="auto"/>
        <w:ind w:firstLine="340"/>
        <w:jc w:val="both"/>
        <w:rPr>
          <w:sz w:val="20"/>
        </w:rPr>
      </w:pPr>
      <w:r>
        <w:rPr>
          <w:sz w:val="20"/>
        </w:rPr>
        <w:t>Los contratistas que tengan derecho de cobro frente a la Administración, podrán ceder el mismo conforme a derecho.</w:t>
      </w:r>
    </w:p>
    <w:p w:rsidR="0092635B" w:rsidRDefault="00000000">
      <w:pPr>
        <w:pStyle w:val="Prrafodelista"/>
        <w:numPr>
          <w:ilvl w:val="0"/>
          <w:numId w:val="180"/>
        </w:numPr>
        <w:tabs>
          <w:tab w:val="left" w:pos="1680"/>
        </w:tabs>
        <w:spacing w:line="249" w:lineRule="auto"/>
        <w:ind w:firstLine="340"/>
        <w:jc w:val="both"/>
        <w:rPr>
          <w:sz w:val="20"/>
        </w:rPr>
      </w:pPr>
      <w:r>
        <w:rPr>
          <w:sz w:val="20"/>
        </w:rPr>
        <w:t>Para que la cesión del derecho de cobro sea efectiva frente a la Administración, será requisito imprescindible la notificación fehaciente a la misma del acuerdo de cesión.</w:t>
      </w:r>
    </w:p>
    <w:p w:rsidR="0092635B" w:rsidRDefault="00000000">
      <w:pPr>
        <w:pStyle w:val="Prrafodelista"/>
        <w:numPr>
          <w:ilvl w:val="0"/>
          <w:numId w:val="180"/>
        </w:numPr>
        <w:tabs>
          <w:tab w:val="left" w:pos="1687"/>
        </w:tabs>
        <w:spacing w:before="1" w:line="249" w:lineRule="auto"/>
        <w:ind w:firstLine="340"/>
        <w:jc w:val="both"/>
        <w:rPr>
          <w:sz w:val="20"/>
        </w:rPr>
      </w:pPr>
      <w:r>
        <w:rPr>
          <w:sz w:val="20"/>
        </w:rPr>
        <w:t xml:space="preserve">La eficacia de las segundas y sucesivas cesiones de los derechos de cobro cedidos por el contratista quedará condicionada al cumplimiento de lo dispuesto en el número </w:t>
      </w:r>
      <w:r>
        <w:rPr>
          <w:spacing w:val="-2"/>
          <w:sz w:val="20"/>
        </w:rPr>
        <w:t>anterior.</w:t>
      </w:r>
    </w:p>
    <w:p w:rsidR="0092635B" w:rsidRDefault="00000000">
      <w:pPr>
        <w:pStyle w:val="Prrafodelista"/>
        <w:numPr>
          <w:ilvl w:val="0"/>
          <w:numId w:val="180"/>
        </w:numPr>
        <w:tabs>
          <w:tab w:val="left" w:pos="1746"/>
        </w:tabs>
        <w:spacing w:before="3" w:line="249" w:lineRule="auto"/>
        <w:ind w:firstLine="340"/>
        <w:jc w:val="both"/>
        <w:rPr>
          <w:sz w:val="20"/>
        </w:rPr>
      </w:pPr>
      <w:r>
        <w:rPr>
          <w:sz w:val="20"/>
        </w:rPr>
        <w:t>Una vez que la Administración tenga conocimiento del acuerdo de cesión, el mandamiento de pago habrá de ser expedido a favor del cesionario. Antes de que la cesión se ponga en conocimiento de la Administración, los mandamientos de pago a nombre del contratista o del cedente surtirán efectos liberatorios.</w:t>
      </w:r>
    </w:p>
    <w:p w:rsidR="0092635B" w:rsidRDefault="00000000">
      <w:pPr>
        <w:pStyle w:val="Prrafodelista"/>
        <w:numPr>
          <w:ilvl w:val="0"/>
          <w:numId w:val="180"/>
        </w:numPr>
        <w:tabs>
          <w:tab w:val="left" w:pos="1719"/>
        </w:tabs>
        <w:spacing w:before="3" w:line="249" w:lineRule="auto"/>
        <w:ind w:right="1104" w:firstLine="340"/>
        <w:jc w:val="both"/>
        <w:rPr>
          <w:sz w:val="20"/>
        </w:rPr>
      </w:pPr>
      <w:r>
        <w:rPr>
          <w:sz w:val="20"/>
        </w:rPr>
        <w:t>Las cesiones anteriores al nacimiento de la relación jurídica de la que deriva el derecho de cobro no producirán efectos frente a la Administración. En todo caso, la Administración podrá oponer frente al cesionario todas las excepciones causales derivadas de la relación contractual.</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312" w:name="Artículo_201._Obligaciones_en_materia_me"/>
      <w:bookmarkEnd w:id="312"/>
      <w:r>
        <w:rPr>
          <w:rFonts w:ascii="Arial" w:hAnsi="Arial"/>
          <w:b/>
          <w:sz w:val="20"/>
        </w:rPr>
        <w:t>Artículo</w:t>
      </w:r>
      <w:r>
        <w:rPr>
          <w:rFonts w:ascii="Arial" w:hAnsi="Arial"/>
          <w:b/>
          <w:spacing w:val="-2"/>
          <w:sz w:val="20"/>
        </w:rPr>
        <w:t xml:space="preserve"> </w:t>
      </w:r>
      <w:r>
        <w:rPr>
          <w:rFonts w:ascii="Arial" w:hAnsi="Arial"/>
          <w:b/>
          <w:sz w:val="20"/>
        </w:rPr>
        <w:t>201.</w:t>
      </w:r>
      <w:r>
        <w:rPr>
          <w:rFonts w:ascii="Arial" w:hAnsi="Arial"/>
          <w:b/>
          <w:spacing w:val="52"/>
          <w:sz w:val="20"/>
        </w:rPr>
        <w:t xml:space="preserve"> </w:t>
      </w:r>
      <w:r>
        <w:rPr>
          <w:rFonts w:ascii="Arial" w:hAnsi="Arial"/>
          <w:i/>
          <w:sz w:val="20"/>
        </w:rPr>
        <w:t>Obligaciones</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materia</w:t>
      </w:r>
      <w:r>
        <w:rPr>
          <w:rFonts w:ascii="Arial" w:hAnsi="Arial"/>
          <w:i/>
          <w:spacing w:val="-1"/>
          <w:sz w:val="20"/>
        </w:rPr>
        <w:t xml:space="preserve"> </w:t>
      </w:r>
      <w:r>
        <w:rPr>
          <w:rFonts w:ascii="Arial" w:hAnsi="Arial"/>
          <w:i/>
          <w:sz w:val="20"/>
        </w:rPr>
        <w:t>medioambiental,</w:t>
      </w:r>
      <w:r>
        <w:rPr>
          <w:rFonts w:ascii="Arial" w:hAnsi="Arial"/>
          <w:i/>
          <w:spacing w:val="-2"/>
          <w:sz w:val="20"/>
        </w:rPr>
        <w:t xml:space="preserve"> </w:t>
      </w:r>
      <w:r>
        <w:rPr>
          <w:rFonts w:ascii="Arial" w:hAnsi="Arial"/>
          <w:i/>
          <w:sz w:val="20"/>
        </w:rPr>
        <w:t>social</w:t>
      </w:r>
      <w:r>
        <w:rPr>
          <w:rFonts w:ascii="Arial" w:hAnsi="Arial"/>
          <w:i/>
          <w:spacing w:val="-1"/>
          <w:sz w:val="20"/>
        </w:rPr>
        <w:t xml:space="preserve"> </w:t>
      </w:r>
      <w:r>
        <w:rPr>
          <w:rFonts w:ascii="Arial" w:hAnsi="Arial"/>
          <w:i/>
          <w:sz w:val="20"/>
        </w:rPr>
        <w:t>o</w:t>
      </w:r>
      <w:r>
        <w:rPr>
          <w:rFonts w:ascii="Arial" w:hAnsi="Arial"/>
          <w:i/>
          <w:spacing w:val="-1"/>
          <w:sz w:val="20"/>
        </w:rPr>
        <w:t xml:space="preserve"> </w:t>
      </w:r>
      <w:r>
        <w:rPr>
          <w:rFonts w:ascii="Arial" w:hAnsi="Arial"/>
          <w:i/>
          <w:spacing w:val="-2"/>
          <w:sz w:val="20"/>
        </w:rPr>
        <w:t>laboral.</w:t>
      </w:r>
    </w:p>
    <w:p w:rsidR="0092635B" w:rsidRDefault="00000000">
      <w:pPr>
        <w:pStyle w:val="Textoindependiente"/>
        <w:spacing w:before="124" w:line="249" w:lineRule="auto"/>
        <w:ind w:right="1103"/>
      </w:pPr>
      <w:r>
        <w:t>Los órganos de contratación tomarán las medidas pertinentes para garantizar que en la ejecución de los contratos los contratistas cumplen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w:t>
      </w:r>
    </w:p>
    <w:p w:rsidR="0092635B" w:rsidRDefault="00000000">
      <w:pPr>
        <w:pStyle w:val="Textoindependiente"/>
        <w:spacing w:before="4" w:line="249" w:lineRule="auto"/>
        <w:ind w:right="1104"/>
      </w:pPr>
      <w:r>
        <w:t>Lo</w:t>
      </w:r>
      <w:r>
        <w:rPr>
          <w:spacing w:val="-1"/>
        </w:rPr>
        <w:t xml:space="preserve"> </w:t>
      </w:r>
      <w:r>
        <w:t>indicado</w:t>
      </w:r>
      <w:r>
        <w:rPr>
          <w:spacing w:val="-1"/>
        </w:rPr>
        <w:t xml:space="preserve"> </w:t>
      </w:r>
      <w:r>
        <w:t>en</w:t>
      </w:r>
      <w:r>
        <w:rPr>
          <w:spacing w:val="-1"/>
        </w:rPr>
        <w:t xml:space="preserve"> </w:t>
      </w:r>
      <w:r>
        <w:t>el</w:t>
      </w:r>
      <w:r>
        <w:rPr>
          <w:spacing w:val="-1"/>
        </w:rPr>
        <w:t xml:space="preserve"> </w:t>
      </w:r>
      <w:r>
        <w:t>párrafo</w:t>
      </w:r>
      <w:r>
        <w:rPr>
          <w:spacing w:val="-1"/>
        </w:rPr>
        <w:t xml:space="preserve"> </w:t>
      </w:r>
      <w:r>
        <w:t>anterior</w:t>
      </w:r>
      <w:r>
        <w:rPr>
          <w:spacing w:val="-1"/>
        </w:rPr>
        <w:t xml:space="preserve"> </w:t>
      </w:r>
      <w:r>
        <w:t>se</w:t>
      </w:r>
      <w:r>
        <w:rPr>
          <w:spacing w:val="-1"/>
        </w:rPr>
        <w:t xml:space="preserve"> </w:t>
      </w:r>
      <w:r>
        <w:t>establece</w:t>
      </w:r>
      <w:r>
        <w:rPr>
          <w:spacing w:val="-1"/>
        </w:rPr>
        <w:t xml:space="preserve"> </w:t>
      </w:r>
      <w:r>
        <w:t>sin</w:t>
      </w:r>
      <w:r>
        <w:rPr>
          <w:spacing w:val="-1"/>
        </w:rPr>
        <w:t xml:space="preserve"> </w:t>
      </w:r>
      <w:r>
        <w:t>perjuicio</w:t>
      </w:r>
      <w:r>
        <w:rPr>
          <w:spacing w:val="-1"/>
        </w:rPr>
        <w:t xml:space="preserve"> </w:t>
      </w:r>
      <w:r>
        <w:t>de</w:t>
      </w:r>
      <w:r>
        <w:rPr>
          <w:spacing w:val="-1"/>
        </w:rPr>
        <w:t xml:space="preserve"> </w:t>
      </w:r>
      <w:r>
        <w:t>la</w:t>
      </w:r>
      <w:r>
        <w:rPr>
          <w:spacing w:val="-1"/>
        </w:rPr>
        <w:t xml:space="preserve"> </w:t>
      </w:r>
      <w:r>
        <w:t>potestad</w:t>
      </w:r>
      <w:r>
        <w:rPr>
          <w:spacing w:val="-1"/>
        </w:rPr>
        <w:t xml:space="preserve"> </w:t>
      </w:r>
      <w:r>
        <w:t>de</w:t>
      </w:r>
      <w:r>
        <w:rPr>
          <w:spacing w:val="-1"/>
        </w:rPr>
        <w:t xml:space="preserve"> </w:t>
      </w:r>
      <w:r>
        <w:t>los</w:t>
      </w:r>
      <w:r>
        <w:rPr>
          <w:spacing w:val="-1"/>
        </w:rPr>
        <w:t xml:space="preserve"> </w:t>
      </w:r>
      <w:r>
        <w:t>órganos de contratación de tomar las oportunas medidas para comprobar, durante el procedimiento de licitación, que los candidatos y licitadores cumplen las obligaciones a que se refiere el citado párrafo.</w:t>
      </w:r>
    </w:p>
    <w:p w:rsidR="0092635B" w:rsidRDefault="00000000">
      <w:pPr>
        <w:pStyle w:val="Textoindependiente"/>
        <w:spacing w:before="4" w:line="249" w:lineRule="auto"/>
        <w:ind w:right="1103"/>
      </w:pPr>
      <w:r>
        <w:t>El incumplimiento de las obligaciones referidas en el primer párrafo y, en especial, los incumplimientos o los retrasos reiterados en el pago de los salarios o la aplicación de condiciones salariales inferiores a las derivadas de los convenios colectivos que sea grave y dolosa, dará lugar a la imposición de las penalidades a que se refiere el artículo 192.</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line="249" w:lineRule="auto"/>
        <w:ind w:left="1106" w:hanging="1"/>
        <w:rPr>
          <w:rFonts w:ascii="Arial" w:hAnsi="Arial"/>
          <w:i/>
          <w:sz w:val="20"/>
        </w:rPr>
      </w:pPr>
      <w:bookmarkStart w:id="313" w:name="Artículo_202._Condiciones_especiales_de_"/>
      <w:bookmarkEnd w:id="313"/>
      <w:r>
        <w:rPr>
          <w:rFonts w:ascii="Arial" w:hAnsi="Arial"/>
          <w:b/>
          <w:sz w:val="20"/>
        </w:rPr>
        <w:t>Artículo</w:t>
      </w:r>
      <w:r>
        <w:rPr>
          <w:rFonts w:ascii="Arial" w:hAnsi="Arial"/>
          <w:b/>
          <w:spacing w:val="28"/>
          <w:sz w:val="20"/>
        </w:rPr>
        <w:t xml:space="preserve"> </w:t>
      </w:r>
      <w:r>
        <w:rPr>
          <w:rFonts w:ascii="Arial" w:hAnsi="Arial"/>
          <w:b/>
          <w:sz w:val="20"/>
        </w:rPr>
        <w:t>202.</w:t>
      </w:r>
      <w:r>
        <w:rPr>
          <w:rFonts w:ascii="Arial" w:hAnsi="Arial"/>
          <w:b/>
          <w:spacing w:val="80"/>
          <w:sz w:val="20"/>
        </w:rPr>
        <w:t xml:space="preserve"> </w:t>
      </w:r>
      <w:r>
        <w:rPr>
          <w:rFonts w:ascii="Arial" w:hAnsi="Arial"/>
          <w:i/>
          <w:sz w:val="20"/>
        </w:rPr>
        <w:t>Condiciones</w:t>
      </w:r>
      <w:r>
        <w:rPr>
          <w:rFonts w:ascii="Arial" w:hAnsi="Arial"/>
          <w:i/>
          <w:spacing w:val="28"/>
          <w:sz w:val="20"/>
        </w:rPr>
        <w:t xml:space="preserve"> </w:t>
      </w:r>
      <w:r>
        <w:rPr>
          <w:rFonts w:ascii="Arial" w:hAnsi="Arial"/>
          <w:i/>
          <w:sz w:val="20"/>
        </w:rPr>
        <w:t>especiales</w:t>
      </w:r>
      <w:r>
        <w:rPr>
          <w:rFonts w:ascii="Arial" w:hAnsi="Arial"/>
          <w:i/>
          <w:spacing w:val="28"/>
          <w:sz w:val="20"/>
        </w:rPr>
        <w:t xml:space="preserve"> </w:t>
      </w:r>
      <w:r>
        <w:rPr>
          <w:rFonts w:ascii="Arial" w:hAnsi="Arial"/>
          <w:i/>
          <w:sz w:val="20"/>
        </w:rPr>
        <w:t>de</w:t>
      </w:r>
      <w:r>
        <w:rPr>
          <w:rFonts w:ascii="Arial" w:hAnsi="Arial"/>
          <w:i/>
          <w:spacing w:val="28"/>
          <w:sz w:val="20"/>
        </w:rPr>
        <w:t xml:space="preserve"> </w:t>
      </w:r>
      <w:r>
        <w:rPr>
          <w:rFonts w:ascii="Arial" w:hAnsi="Arial"/>
          <w:i/>
          <w:sz w:val="20"/>
        </w:rPr>
        <w:t>ejecución</w:t>
      </w:r>
      <w:r>
        <w:rPr>
          <w:rFonts w:ascii="Arial" w:hAnsi="Arial"/>
          <w:i/>
          <w:spacing w:val="28"/>
          <w:sz w:val="20"/>
        </w:rPr>
        <w:t xml:space="preserve"> </w:t>
      </w:r>
      <w:r>
        <w:rPr>
          <w:rFonts w:ascii="Arial" w:hAnsi="Arial"/>
          <w:i/>
          <w:sz w:val="20"/>
        </w:rPr>
        <w:t>del</w:t>
      </w:r>
      <w:r>
        <w:rPr>
          <w:rFonts w:ascii="Arial" w:hAnsi="Arial"/>
          <w:i/>
          <w:spacing w:val="28"/>
          <w:sz w:val="20"/>
        </w:rPr>
        <w:t xml:space="preserve"> </w:t>
      </w:r>
      <w:r>
        <w:rPr>
          <w:rFonts w:ascii="Arial" w:hAnsi="Arial"/>
          <w:i/>
          <w:sz w:val="20"/>
        </w:rPr>
        <w:t>contrato</w:t>
      </w:r>
      <w:r>
        <w:rPr>
          <w:rFonts w:ascii="Arial" w:hAnsi="Arial"/>
          <w:i/>
          <w:spacing w:val="28"/>
          <w:sz w:val="20"/>
        </w:rPr>
        <w:t xml:space="preserve"> </w:t>
      </w:r>
      <w:r>
        <w:rPr>
          <w:rFonts w:ascii="Arial" w:hAnsi="Arial"/>
          <w:i/>
          <w:sz w:val="20"/>
        </w:rPr>
        <w:t>de</w:t>
      </w:r>
      <w:r>
        <w:rPr>
          <w:rFonts w:ascii="Arial" w:hAnsi="Arial"/>
          <w:i/>
          <w:spacing w:val="28"/>
          <w:sz w:val="20"/>
        </w:rPr>
        <w:t xml:space="preserve"> </w:t>
      </w:r>
      <w:r>
        <w:rPr>
          <w:rFonts w:ascii="Arial" w:hAnsi="Arial"/>
          <w:i/>
          <w:sz w:val="20"/>
        </w:rPr>
        <w:t>carácter</w:t>
      </w:r>
      <w:r>
        <w:rPr>
          <w:rFonts w:ascii="Arial" w:hAnsi="Arial"/>
          <w:i/>
          <w:spacing w:val="28"/>
          <w:sz w:val="20"/>
        </w:rPr>
        <w:t xml:space="preserve"> </w:t>
      </w:r>
      <w:r>
        <w:rPr>
          <w:rFonts w:ascii="Arial" w:hAnsi="Arial"/>
          <w:i/>
          <w:sz w:val="20"/>
        </w:rPr>
        <w:t>social,</w:t>
      </w:r>
      <w:r>
        <w:rPr>
          <w:rFonts w:ascii="Arial" w:hAnsi="Arial"/>
          <w:i/>
          <w:spacing w:val="28"/>
          <w:sz w:val="20"/>
        </w:rPr>
        <w:t xml:space="preserve"> </w:t>
      </w:r>
      <w:r>
        <w:rPr>
          <w:rFonts w:ascii="Arial" w:hAnsi="Arial"/>
          <w:i/>
          <w:sz w:val="20"/>
        </w:rPr>
        <w:t>ético, medioambiental o de otro orden.</w:t>
      </w:r>
    </w:p>
    <w:p w:rsidR="0092635B" w:rsidRDefault="00000000">
      <w:pPr>
        <w:pStyle w:val="Prrafodelista"/>
        <w:numPr>
          <w:ilvl w:val="0"/>
          <w:numId w:val="179"/>
        </w:numPr>
        <w:tabs>
          <w:tab w:val="left" w:pos="1668"/>
        </w:tabs>
        <w:spacing w:before="115" w:line="249" w:lineRule="auto"/>
        <w:ind w:right="1105" w:firstLine="340"/>
        <w:jc w:val="both"/>
        <w:rPr>
          <w:sz w:val="20"/>
        </w:rPr>
      </w:pPr>
      <w:r>
        <w:rPr>
          <w:sz w:val="20"/>
        </w:rPr>
        <w:t>Los</w:t>
      </w:r>
      <w:r>
        <w:rPr>
          <w:spacing w:val="-3"/>
          <w:sz w:val="20"/>
        </w:rPr>
        <w:t xml:space="preserve"> </w:t>
      </w:r>
      <w:r>
        <w:rPr>
          <w:sz w:val="20"/>
        </w:rPr>
        <w:t>órganos</w:t>
      </w:r>
      <w:r>
        <w:rPr>
          <w:spacing w:val="-3"/>
          <w:sz w:val="20"/>
        </w:rPr>
        <w:t xml:space="preserve"> </w:t>
      </w:r>
      <w:r>
        <w:rPr>
          <w:sz w:val="20"/>
        </w:rPr>
        <w:t>de</w:t>
      </w:r>
      <w:r>
        <w:rPr>
          <w:spacing w:val="-3"/>
          <w:sz w:val="20"/>
        </w:rPr>
        <w:t xml:space="preserve"> </w:t>
      </w:r>
      <w:r>
        <w:rPr>
          <w:sz w:val="20"/>
        </w:rPr>
        <w:t>contratación</w:t>
      </w:r>
      <w:r>
        <w:rPr>
          <w:spacing w:val="-3"/>
          <w:sz w:val="20"/>
        </w:rPr>
        <w:t xml:space="preserve"> </w:t>
      </w:r>
      <w:r>
        <w:rPr>
          <w:sz w:val="20"/>
        </w:rPr>
        <w:t>podrán</w:t>
      </w:r>
      <w:r>
        <w:rPr>
          <w:spacing w:val="-3"/>
          <w:sz w:val="20"/>
        </w:rPr>
        <w:t xml:space="preserve"> </w:t>
      </w:r>
      <w:r>
        <w:rPr>
          <w:sz w:val="20"/>
        </w:rPr>
        <w:t>establecer</w:t>
      </w:r>
      <w:r>
        <w:rPr>
          <w:spacing w:val="-3"/>
          <w:sz w:val="20"/>
        </w:rPr>
        <w:t xml:space="preserve"> </w:t>
      </w:r>
      <w:r>
        <w:rPr>
          <w:sz w:val="20"/>
        </w:rPr>
        <w:t>condiciones</w:t>
      </w:r>
      <w:r>
        <w:rPr>
          <w:spacing w:val="-3"/>
          <w:sz w:val="20"/>
        </w:rPr>
        <w:t xml:space="preserve"> </w:t>
      </w:r>
      <w:r>
        <w:rPr>
          <w:sz w:val="20"/>
        </w:rPr>
        <w:t>especiales</w:t>
      </w:r>
      <w:r>
        <w:rPr>
          <w:spacing w:val="-3"/>
          <w:sz w:val="20"/>
        </w:rPr>
        <w:t xml:space="preserve"> </w:t>
      </w:r>
      <w:r>
        <w:rPr>
          <w:sz w:val="20"/>
        </w:rPr>
        <w:t>en</w:t>
      </w:r>
      <w:r>
        <w:rPr>
          <w:spacing w:val="-3"/>
          <w:sz w:val="20"/>
        </w:rPr>
        <w:t xml:space="preserve"> </w:t>
      </w:r>
      <w:r>
        <w:rPr>
          <w:sz w:val="20"/>
        </w:rPr>
        <w:t>relación</w:t>
      </w:r>
      <w:r>
        <w:rPr>
          <w:spacing w:val="-3"/>
          <w:sz w:val="20"/>
        </w:rPr>
        <w:t xml:space="preserve"> </w:t>
      </w:r>
      <w:r>
        <w:rPr>
          <w:sz w:val="20"/>
        </w:rPr>
        <w:t>con la ejecución del contrato, siempre que estén vinculadas al objeto del contrato, en el sentido del artículo 145, no sean directa o indirectamente discriminatorias, sean compatibles con el Derecho de la Unión Europea y se indiquen en el anuncio de licitación y en los pliegos.</w:t>
      </w:r>
    </w:p>
    <w:p w:rsidR="0092635B" w:rsidRDefault="00000000">
      <w:pPr>
        <w:pStyle w:val="Textoindependiente"/>
        <w:spacing w:before="3" w:line="249" w:lineRule="auto"/>
        <w:ind w:right="1106"/>
      </w:pPr>
      <w:r>
        <w:t>En todo caso, será obligatorio el establecimiento en el pliego de cláusulas</w:t>
      </w:r>
      <w:r>
        <w:rPr>
          <w:spacing w:val="80"/>
        </w:rPr>
        <w:t xml:space="preserve"> </w:t>
      </w:r>
      <w:r>
        <w:t>administrativas particulares de al menos una de las condiciones especiales de ejecución de entre las que enumera el apartado siguiente.</w:t>
      </w:r>
    </w:p>
    <w:p w:rsidR="0092635B" w:rsidRDefault="00000000">
      <w:pPr>
        <w:pStyle w:val="Textoindependiente"/>
        <w:spacing w:line="249" w:lineRule="auto"/>
        <w:ind w:right="1104"/>
      </w:pPr>
      <w:r>
        <w:t>Asimismo en los pliegos correspondientes a los contratos cuya ejecución implique la cesión de datos por las entidades del sector público al contratista será obligatorio el establecimiento de una condición especial de ejecución que haga referencia a la obligación del contratista de someterse a la normativa nacional y de la Unión Europea en materia de protección de datos, advirtiéndose además al contratista de que esta obligación tiene el carácter de obligación contractual esencial de conformidad con lo dispuesto en la letra f) del apartado 1 del artículo 211.</w:t>
      </w:r>
    </w:p>
    <w:p w:rsidR="0092635B" w:rsidRDefault="00000000">
      <w:pPr>
        <w:pStyle w:val="Prrafodelista"/>
        <w:numPr>
          <w:ilvl w:val="0"/>
          <w:numId w:val="179"/>
        </w:numPr>
        <w:tabs>
          <w:tab w:val="left" w:pos="1728"/>
        </w:tabs>
        <w:spacing w:before="6" w:line="249" w:lineRule="auto"/>
        <w:ind w:right="1104" w:firstLine="340"/>
        <w:jc w:val="both"/>
        <w:rPr>
          <w:sz w:val="20"/>
        </w:rPr>
      </w:pPr>
      <w:r>
        <w:rPr>
          <w:sz w:val="20"/>
        </w:rPr>
        <w:t>Estas condiciones de ejecución podrán referirse, en especial, a consideraciones económicas, relacionadas con la innovación, de tipo medioambiental o de tipo social.</w:t>
      </w:r>
    </w:p>
    <w:p w:rsidR="0092635B" w:rsidRDefault="00000000">
      <w:pPr>
        <w:pStyle w:val="Textoindependiente"/>
        <w:spacing w:line="249" w:lineRule="auto"/>
        <w:ind w:right="1103"/>
      </w:pPr>
      <w:r>
        <w:t>En particular, se podrán establecer, entre otras, consideraciones de tipo medioambiental que persigan: la reducción de las emisiones de gases de efecto invernadero, contribuyéndose</w:t>
      </w:r>
      <w:r>
        <w:rPr>
          <w:spacing w:val="40"/>
        </w:rPr>
        <w:t xml:space="preserve"> </w:t>
      </w:r>
      <w:r>
        <w:t>así</w:t>
      </w:r>
      <w:r>
        <w:rPr>
          <w:spacing w:val="40"/>
        </w:rPr>
        <w:t xml:space="preserve"> </w:t>
      </w:r>
      <w:r>
        <w:t>a</w:t>
      </w:r>
      <w:r>
        <w:rPr>
          <w:spacing w:val="40"/>
        </w:rPr>
        <w:t xml:space="preserve"> </w:t>
      </w:r>
      <w:r>
        <w:t>dar</w:t>
      </w:r>
      <w:r>
        <w:rPr>
          <w:spacing w:val="40"/>
        </w:rPr>
        <w:t xml:space="preserve"> </w:t>
      </w:r>
      <w:r>
        <w:t>cumplimiento</w:t>
      </w:r>
      <w:r>
        <w:rPr>
          <w:spacing w:val="40"/>
        </w:rPr>
        <w:t xml:space="preserve"> </w:t>
      </w:r>
      <w:r>
        <w:t>al</w:t>
      </w:r>
      <w:r>
        <w:rPr>
          <w:spacing w:val="40"/>
        </w:rPr>
        <w:t xml:space="preserve"> </w:t>
      </w:r>
      <w:r>
        <w:t>objetivo</w:t>
      </w:r>
      <w:r>
        <w:rPr>
          <w:spacing w:val="40"/>
        </w:rPr>
        <w:t xml:space="preserve"> </w:t>
      </w:r>
      <w:r>
        <w:t>que</w:t>
      </w:r>
      <w:r>
        <w:rPr>
          <w:spacing w:val="40"/>
        </w:rPr>
        <w:t xml:space="preserve"> </w:t>
      </w:r>
      <w:r>
        <w:t>establece</w:t>
      </w:r>
      <w:r>
        <w:rPr>
          <w:spacing w:val="40"/>
        </w:rPr>
        <w:t xml:space="preserve"> </w:t>
      </w:r>
      <w:r>
        <w:t>el</w:t>
      </w:r>
      <w:r>
        <w:rPr>
          <w:spacing w:val="40"/>
        </w:rPr>
        <w:t xml:space="preserve"> </w:t>
      </w:r>
      <w:r>
        <w:t>artículo</w:t>
      </w:r>
      <w:r>
        <w:rPr>
          <w:spacing w:val="40"/>
        </w:rPr>
        <w:t xml:space="preserve"> </w:t>
      </w:r>
      <w:r>
        <w:t>88</w:t>
      </w:r>
      <w:r>
        <w:rPr>
          <w:spacing w:val="40"/>
        </w:rPr>
        <w:t xml:space="preserve"> </w:t>
      </w:r>
      <w:r>
        <w:t>de</w:t>
      </w:r>
      <w:r>
        <w:rPr>
          <w:spacing w:val="40"/>
        </w:rPr>
        <w:t xml:space="preserve"> </w:t>
      </w:r>
      <w:r>
        <w:t>la Ley 2/2011, de 4 de marzo, de Economía Sostenible; el mantenimiento o mejora de los valores medioambientales que puedan verse afectados por la ejecución del contrato; una gestión más sostenible del agua; el fomento del uso de las energías renovables; la</w:t>
      </w:r>
      <w:r>
        <w:rPr>
          <w:spacing w:val="40"/>
        </w:rPr>
        <w:t xml:space="preserve"> </w:t>
      </w:r>
      <w:r>
        <w:t>promoción del reciclado de productos y el uso de envases reutilizables; o el impulso de la entrega de productos a granel y la producción ecológica.</w:t>
      </w:r>
    </w:p>
    <w:p w:rsidR="0092635B" w:rsidRDefault="00000000">
      <w:pPr>
        <w:pStyle w:val="Textoindependiente"/>
        <w:spacing w:before="6" w:line="249" w:lineRule="auto"/>
        <w:ind w:right="1103"/>
      </w:pPr>
      <w:r>
        <w:t>Las consideraciones de tipo social o relativas al empleo, podrán introducirse, entre otras, con alguna de las siguientes finalidades: hacer efectivos los derechos reconocidos en la Convención de las Naciones Unidas sobre los derechos de las personas con discapacidad; contratar un número de personas con discapacidad superior al que exige la legislación nacional; promover el empleo de personas con especiales dificultades de inserción en el mercado laboral, en particular de las personas con discapacidad o en situación o riesgo de exclusión social a través de Empresas de Inserción; eliminar las desigualdades entre el hombre y la mujer en dicho mercado, favoreciendo la aplicación de medidas que fomenten la igualdad entre mujeres y hombres en el trabajo; favorecer la mayor participación de la mujer en el mercado laboral y la conciliación del trabajo y la vida familiar; combatir el paro, en particular el juvenil, el que afecta a las mujeres y el de larga duración; favorecer la formación en el lugar de trabajo; garantizar la seguridad y la protección de la salud en el lugar de trabajo y el cumplimiento de los convenios colectivos sectoriales y territoriales aplicables; medidas para prevenir la siniestralidad laboral; otras finalidades que se establezcan con referencia a la estrategia coordinada para el empleo, definida en el artículo 145 del Tratado de Funcionamiento de la Unión Europea; o garantizar el respeto a los derechos laborales básicos a lo largo de la cadena de producción mediante la exigencia del cumplimiento de las Convenciones fundamentales de la Organización Internacional del Trabajo, incluidas</w:t>
      </w:r>
      <w:r>
        <w:rPr>
          <w:spacing w:val="40"/>
        </w:rPr>
        <w:t xml:space="preserve"> </w:t>
      </w:r>
      <w:r>
        <w:t>aquellas consideraciones que busquen favorecer a los pequeños productores de países en desarrollo, con los que se mantienen relaciones comerciales que les son favorables tales como el pago de un precio mínimo y una prima a los productores o una mayor transparencia y trazabilidad de toda la cadena comercial.</w:t>
      </w:r>
    </w:p>
    <w:p w:rsidR="0092635B" w:rsidRDefault="00000000">
      <w:pPr>
        <w:pStyle w:val="Prrafodelista"/>
        <w:numPr>
          <w:ilvl w:val="0"/>
          <w:numId w:val="179"/>
        </w:numPr>
        <w:tabs>
          <w:tab w:val="left" w:pos="1668"/>
        </w:tabs>
        <w:spacing w:before="18" w:line="249" w:lineRule="auto"/>
        <w:ind w:firstLine="340"/>
        <w:jc w:val="both"/>
        <w:rPr>
          <w:sz w:val="20"/>
        </w:rPr>
      </w:pPr>
      <w:r>
        <w:rPr>
          <w:sz w:val="20"/>
        </w:rPr>
        <w:t>Los</w:t>
      </w:r>
      <w:r>
        <w:rPr>
          <w:spacing w:val="-2"/>
          <w:sz w:val="20"/>
        </w:rPr>
        <w:t xml:space="preserve"> </w:t>
      </w:r>
      <w:r>
        <w:rPr>
          <w:sz w:val="20"/>
        </w:rPr>
        <w:t>pliegos</w:t>
      </w:r>
      <w:r>
        <w:rPr>
          <w:spacing w:val="-2"/>
          <w:sz w:val="20"/>
        </w:rPr>
        <w:t xml:space="preserve"> </w:t>
      </w:r>
      <w:r>
        <w:rPr>
          <w:sz w:val="20"/>
        </w:rPr>
        <w:t>podrán</w:t>
      </w:r>
      <w:r>
        <w:rPr>
          <w:spacing w:val="-2"/>
          <w:sz w:val="20"/>
        </w:rPr>
        <w:t xml:space="preserve"> </w:t>
      </w:r>
      <w:r>
        <w:rPr>
          <w:sz w:val="20"/>
        </w:rPr>
        <w:t>establecer</w:t>
      </w:r>
      <w:r>
        <w:rPr>
          <w:spacing w:val="-2"/>
          <w:sz w:val="20"/>
        </w:rPr>
        <w:t xml:space="preserve"> </w:t>
      </w:r>
      <w:r>
        <w:rPr>
          <w:sz w:val="20"/>
        </w:rPr>
        <w:t>penalidades,</w:t>
      </w:r>
      <w:r>
        <w:rPr>
          <w:spacing w:val="-2"/>
          <w:sz w:val="20"/>
        </w:rPr>
        <w:t xml:space="preserve"> </w:t>
      </w:r>
      <w:r>
        <w:rPr>
          <w:sz w:val="20"/>
        </w:rPr>
        <w:t>conforme</w:t>
      </w:r>
      <w:r>
        <w:rPr>
          <w:spacing w:val="-2"/>
          <w:sz w:val="20"/>
        </w:rPr>
        <w:t xml:space="preserve"> </w:t>
      </w:r>
      <w:r>
        <w:rPr>
          <w:sz w:val="20"/>
        </w:rPr>
        <w:t>a</w:t>
      </w:r>
      <w:r>
        <w:rPr>
          <w:spacing w:val="-2"/>
          <w:sz w:val="20"/>
        </w:rPr>
        <w:t xml:space="preserve"> </w:t>
      </w:r>
      <w:r>
        <w:rPr>
          <w:sz w:val="20"/>
        </w:rPr>
        <w:t>lo</w:t>
      </w:r>
      <w:r>
        <w:rPr>
          <w:spacing w:val="-2"/>
          <w:sz w:val="20"/>
        </w:rPr>
        <w:t xml:space="preserve"> </w:t>
      </w:r>
      <w:r>
        <w:rPr>
          <w:sz w:val="20"/>
        </w:rPr>
        <w:t>previsto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apartado</w:t>
      </w:r>
      <w:r>
        <w:rPr>
          <w:spacing w:val="-2"/>
          <w:sz w:val="20"/>
        </w:rPr>
        <w:t xml:space="preserve"> </w:t>
      </w:r>
      <w:r>
        <w:rPr>
          <w:sz w:val="20"/>
        </w:rPr>
        <w:t>1</w:t>
      </w:r>
      <w:r>
        <w:rPr>
          <w:spacing w:val="-2"/>
          <w:sz w:val="20"/>
        </w:rPr>
        <w:t xml:space="preserve"> </w:t>
      </w:r>
      <w:r>
        <w:rPr>
          <w:sz w:val="20"/>
        </w:rPr>
        <w:t>del artículo 192, para el caso de incumplimiento de estas condiciones especiales de ejecución, o atribuirles el carácter de obligaciones contractuales esenciales a los efectos señalados en la letra f) del artículo 211. Cuando el incumplimiento de estas condiciones no se tipifique como causa de resolución del contrato, el mismo podrá ser considerado en los pliegos, en los términos que se establezcan reglamentariamente, como infracción grave a los efectos establecidos en la letra c) del apartado 2 del artículo 71.</w:t>
      </w:r>
    </w:p>
    <w:p w:rsidR="0092635B" w:rsidRDefault="00000000">
      <w:pPr>
        <w:pStyle w:val="Prrafodelista"/>
        <w:numPr>
          <w:ilvl w:val="0"/>
          <w:numId w:val="179"/>
        </w:numPr>
        <w:tabs>
          <w:tab w:val="left" w:pos="1696"/>
        </w:tabs>
        <w:spacing w:before="6" w:line="249" w:lineRule="auto"/>
        <w:ind w:right="1105" w:firstLine="340"/>
        <w:jc w:val="both"/>
        <w:rPr>
          <w:sz w:val="20"/>
        </w:rPr>
      </w:pPr>
      <w:r>
        <w:rPr>
          <w:sz w:val="20"/>
        </w:rPr>
        <w:t>Todas las condiciones especiales de ejecución que formen parte del contrato serán exigidas igualmente a todos los subcontratistas que participen de la ejecución del mismo.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314" w:name="Subsección_4.ª_Modificación_de_los_contr"/>
      <w:bookmarkStart w:id="315" w:name="_bookmark57"/>
      <w:bookmarkEnd w:id="314"/>
      <w:bookmarkEnd w:id="315"/>
      <w:r>
        <w:t>Subsección</w:t>
      </w:r>
      <w:r>
        <w:rPr>
          <w:spacing w:val="-5"/>
        </w:rPr>
        <w:t xml:space="preserve"> </w:t>
      </w:r>
      <w:r>
        <w:t>4.ª</w:t>
      </w:r>
      <w:r>
        <w:rPr>
          <w:spacing w:val="-5"/>
        </w:rPr>
        <w:t xml:space="preserve"> </w:t>
      </w:r>
      <w:r>
        <w:t>Modificación</w:t>
      </w:r>
      <w:r>
        <w:rPr>
          <w:spacing w:val="-4"/>
        </w:rPr>
        <w:t xml:space="preserve"> </w:t>
      </w:r>
      <w:r>
        <w:t>de</w:t>
      </w:r>
      <w:r>
        <w:rPr>
          <w:spacing w:val="-5"/>
        </w:rPr>
        <w:t xml:space="preserve"> </w:t>
      </w:r>
      <w:r>
        <w:t>los</w:t>
      </w:r>
      <w:r>
        <w:rPr>
          <w:spacing w:val="-4"/>
        </w:rPr>
        <w:t xml:space="preserve"> </w:t>
      </w:r>
      <w:r>
        <w:rPr>
          <w:spacing w:val="-2"/>
        </w:rPr>
        <w:t>contratos</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316" w:name="Artículo_203._Potestad_de_modificación_d"/>
      <w:bookmarkEnd w:id="316"/>
      <w:r>
        <w:rPr>
          <w:rFonts w:ascii="Arial" w:hAnsi="Arial"/>
          <w:b/>
          <w:sz w:val="20"/>
        </w:rPr>
        <w:t>Artículo</w:t>
      </w:r>
      <w:r>
        <w:rPr>
          <w:rFonts w:ascii="Arial" w:hAnsi="Arial"/>
          <w:b/>
          <w:spacing w:val="-4"/>
          <w:sz w:val="20"/>
        </w:rPr>
        <w:t xml:space="preserve"> </w:t>
      </w:r>
      <w:r>
        <w:rPr>
          <w:rFonts w:ascii="Arial" w:hAnsi="Arial"/>
          <w:b/>
          <w:sz w:val="20"/>
        </w:rPr>
        <w:t>203.</w:t>
      </w:r>
      <w:r>
        <w:rPr>
          <w:rFonts w:ascii="Arial" w:hAnsi="Arial"/>
          <w:b/>
          <w:spacing w:val="49"/>
          <w:sz w:val="20"/>
        </w:rPr>
        <w:t xml:space="preserve"> </w:t>
      </w:r>
      <w:r>
        <w:rPr>
          <w:rFonts w:ascii="Arial" w:hAnsi="Arial"/>
          <w:i/>
          <w:sz w:val="20"/>
        </w:rPr>
        <w:t>Potestad</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modificación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pacing w:val="-2"/>
          <w:sz w:val="20"/>
        </w:rPr>
        <w:t>contrato.</w:t>
      </w:r>
    </w:p>
    <w:p w:rsidR="0092635B" w:rsidRDefault="00000000">
      <w:pPr>
        <w:pStyle w:val="Prrafodelista"/>
        <w:numPr>
          <w:ilvl w:val="0"/>
          <w:numId w:val="178"/>
        </w:numPr>
        <w:tabs>
          <w:tab w:val="left" w:pos="1706"/>
        </w:tabs>
        <w:spacing w:before="124" w:line="249" w:lineRule="auto"/>
        <w:ind w:firstLine="340"/>
        <w:jc w:val="both"/>
        <w:rPr>
          <w:sz w:val="20"/>
        </w:rPr>
      </w:pPr>
      <w:r>
        <w:rPr>
          <w:sz w:val="20"/>
        </w:rPr>
        <w:t>Sin perjuicio de los supuestos previstos en esta Ley respecto a la sucesión en la persona del contratista, cesión del contrato, revisión de precios y ampliación del plazo de ejecución, los contratos administrativos solo podrán ser modificados por razones de interés público en los casos y en la forma previstos en esta Subsección, y de acuerdo con el procedimiento</w:t>
      </w:r>
      <w:r>
        <w:rPr>
          <w:spacing w:val="40"/>
          <w:sz w:val="20"/>
        </w:rPr>
        <w:t xml:space="preserve"> </w:t>
      </w:r>
      <w:r>
        <w:rPr>
          <w:sz w:val="20"/>
        </w:rPr>
        <w:t>regulado</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artículo</w:t>
      </w:r>
      <w:r>
        <w:rPr>
          <w:spacing w:val="40"/>
          <w:sz w:val="20"/>
        </w:rPr>
        <w:t xml:space="preserve"> </w:t>
      </w:r>
      <w:r>
        <w:rPr>
          <w:sz w:val="20"/>
        </w:rPr>
        <w:t>191,</w:t>
      </w:r>
      <w:r>
        <w:rPr>
          <w:spacing w:val="40"/>
          <w:sz w:val="20"/>
        </w:rPr>
        <w:t xml:space="preserve"> </w:t>
      </w:r>
      <w:r>
        <w:rPr>
          <w:sz w:val="20"/>
        </w:rPr>
        <w:t>con</w:t>
      </w:r>
      <w:r>
        <w:rPr>
          <w:spacing w:val="40"/>
          <w:sz w:val="20"/>
        </w:rPr>
        <w:t xml:space="preserve"> </w:t>
      </w:r>
      <w:r>
        <w:rPr>
          <w:sz w:val="20"/>
        </w:rPr>
        <w:t>las</w:t>
      </w:r>
      <w:r>
        <w:rPr>
          <w:spacing w:val="40"/>
          <w:sz w:val="20"/>
        </w:rPr>
        <w:t xml:space="preserve"> </w:t>
      </w:r>
      <w:r>
        <w:rPr>
          <w:sz w:val="20"/>
        </w:rPr>
        <w:t>particularidades</w:t>
      </w:r>
      <w:r>
        <w:rPr>
          <w:spacing w:val="40"/>
          <w:sz w:val="20"/>
        </w:rPr>
        <w:t xml:space="preserve"> </w:t>
      </w:r>
      <w:r>
        <w:rPr>
          <w:sz w:val="20"/>
        </w:rPr>
        <w:t>previstas</w:t>
      </w:r>
      <w:r>
        <w:rPr>
          <w:spacing w:val="40"/>
          <w:sz w:val="20"/>
        </w:rPr>
        <w:t xml:space="preserve"> </w:t>
      </w:r>
      <w:r>
        <w:rPr>
          <w:sz w:val="20"/>
        </w:rPr>
        <w:t>en</w:t>
      </w:r>
      <w:r>
        <w:rPr>
          <w:spacing w:val="40"/>
          <w:sz w:val="20"/>
        </w:rPr>
        <w:t xml:space="preserve"> </w:t>
      </w:r>
      <w:r>
        <w:rPr>
          <w:sz w:val="20"/>
        </w:rPr>
        <w:t>el artículo 207.</w:t>
      </w:r>
    </w:p>
    <w:p w:rsidR="0092635B" w:rsidRDefault="00000000">
      <w:pPr>
        <w:pStyle w:val="Prrafodelista"/>
        <w:numPr>
          <w:ilvl w:val="0"/>
          <w:numId w:val="178"/>
        </w:numPr>
        <w:tabs>
          <w:tab w:val="left" w:pos="1680"/>
        </w:tabs>
        <w:spacing w:before="5" w:line="249" w:lineRule="auto"/>
        <w:ind w:right="1105" w:firstLine="340"/>
        <w:jc w:val="both"/>
        <w:rPr>
          <w:sz w:val="20"/>
        </w:rPr>
      </w:pPr>
      <w:r>
        <w:rPr>
          <w:sz w:val="20"/>
        </w:rPr>
        <w:t>Los contratos administrativos celebrados por los órganos de contratación solo podrán modificarse durante su vigencia cuando se dé alguno de los siguientes supuestos:</w:t>
      </w:r>
    </w:p>
    <w:p w:rsidR="0092635B" w:rsidRDefault="00000000">
      <w:pPr>
        <w:pStyle w:val="Prrafodelista"/>
        <w:numPr>
          <w:ilvl w:val="1"/>
          <w:numId w:val="178"/>
        </w:numPr>
        <w:tabs>
          <w:tab w:val="left" w:pos="1687"/>
        </w:tabs>
        <w:spacing w:before="121" w:line="249" w:lineRule="auto"/>
        <w:ind w:right="1105" w:firstLine="340"/>
        <w:jc w:val="both"/>
        <w:rPr>
          <w:sz w:val="20"/>
        </w:rPr>
      </w:pPr>
      <w:r>
        <w:rPr>
          <w:sz w:val="20"/>
        </w:rPr>
        <w:t>Cuando así se haya previsto en el pliego de cláusulas administrativas particulares, en los términos y condiciones establecidos en el artículo 204;</w:t>
      </w:r>
    </w:p>
    <w:p w:rsidR="0092635B" w:rsidRDefault="00000000">
      <w:pPr>
        <w:pStyle w:val="Prrafodelista"/>
        <w:numPr>
          <w:ilvl w:val="1"/>
          <w:numId w:val="178"/>
        </w:numPr>
        <w:tabs>
          <w:tab w:val="left" w:pos="1741"/>
        </w:tabs>
        <w:spacing w:line="249" w:lineRule="auto"/>
        <w:ind w:right="1104" w:firstLine="340"/>
        <w:jc w:val="both"/>
        <w:rPr>
          <w:sz w:val="20"/>
        </w:rPr>
      </w:pPr>
      <w:r>
        <w:rPr>
          <w:sz w:val="20"/>
        </w:rPr>
        <w:t>Excepcionalmente, cuando sea necesario realizar una modificación que no esté prevista en el pliego de cláusulas administrativas particulares, siempre y cuando se cumplan las condiciones que establece el artículo 205.</w:t>
      </w:r>
    </w:p>
    <w:p w:rsidR="0092635B" w:rsidRDefault="00000000">
      <w:pPr>
        <w:pStyle w:val="Textoindependiente"/>
        <w:spacing w:before="123" w:line="249" w:lineRule="auto"/>
        <w:ind w:right="1103"/>
      </w:pPr>
      <w:r>
        <w:t>En cualesquiera otros supuestos, si fuese necesario que un contrato en vigor se ejecutase en forma distinta a la pactada, deberá procederse a su resolución y a la celebración de otro bajo las condiciones pertinentes, en su caso previa convocatoria y sustanciación de una nueva licitación pública de conformidad con lo establecido en esta Ley, sin perjuicio de lo dispuesto en el apartado 6 del artículo 213 respecto de la obligación del contratista de adoptar medidas que resulten necesarias por razones de seguridad, servicio público o posible ruina.</w:t>
      </w:r>
    </w:p>
    <w:p w:rsidR="0092635B" w:rsidRDefault="00000000">
      <w:pPr>
        <w:pStyle w:val="Prrafodelista"/>
        <w:numPr>
          <w:ilvl w:val="0"/>
          <w:numId w:val="178"/>
        </w:numPr>
        <w:tabs>
          <w:tab w:val="left" w:pos="1693"/>
        </w:tabs>
        <w:spacing w:before="5" w:line="249" w:lineRule="auto"/>
        <w:ind w:right="1106" w:firstLine="340"/>
        <w:jc w:val="both"/>
        <w:rPr>
          <w:sz w:val="20"/>
        </w:rPr>
      </w:pPr>
      <w:r>
        <w:rPr>
          <w:sz w:val="20"/>
        </w:rPr>
        <w:t>Las modificaciones del contrato deberán formalizarse conforme a lo dispuesto en el artículo 153, y deberán publicarse de acuerdo con lo establecido en los artículos 207 y 63.</w:t>
      </w:r>
    </w:p>
    <w:p w:rsidR="0092635B" w:rsidRDefault="00000000">
      <w:pPr>
        <w:spacing w:before="229"/>
        <w:ind w:left="1106"/>
        <w:rPr>
          <w:rFonts w:ascii="Arial" w:hAnsi="Arial"/>
          <w:i/>
          <w:sz w:val="20"/>
        </w:rPr>
      </w:pPr>
      <w:bookmarkStart w:id="317" w:name="Artículo_204._Modificaciones_previstas_e"/>
      <w:bookmarkEnd w:id="317"/>
      <w:r>
        <w:rPr>
          <w:rFonts w:ascii="Arial" w:hAnsi="Arial"/>
          <w:b/>
          <w:sz w:val="20"/>
        </w:rPr>
        <w:t>Artículo</w:t>
      </w:r>
      <w:r>
        <w:rPr>
          <w:rFonts w:ascii="Arial" w:hAnsi="Arial"/>
          <w:b/>
          <w:spacing w:val="-1"/>
          <w:sz w:val="20"/>
        </w:rPr>
        <w:t xml:space="preserve"> </w:t>
      </w:r>
      <w:r>
        <w:rPr>
          <w:rFonts w:ascii="Arial" w:hAnsi="Arial"/>
          <w:b/>
          <w:sz w:val="20"/>
        </w:rPr>
        <w:t>204.</w:t>
      </w:r>
      <w:r>
        <w:rPr>
          <w:rFonts w:ascii="Arial" w:hAnsi="Arial"/>
          <w:b/>
          <w:spacing w:val="52"/>
          <w:sz w:val="20"/>
        </w:rPr>
        <w:t xml:space="preserve"> </w:t>
      </w:r>
      <w:r>
        <w:rPr>
          <w:rFonts w:ascii="Arial" w:hAnsi="Arial"/>
          <w:i/>
          <w:sz w:val="20"/>
        </w:rPr>
        <w:t>Modificaciones previstas</w:t>
      </w:r>
      <w:r>
        <w:rPr>
          <w:rFonts w:ascii="Arial" w:hAnsi="Arial"/>
          <w:i/>
          <w:spacing w:val="-1"/>
          <w:sz w:val="20"/>
        </w:rPr>
        <w:t xml:space="preserve"> </w:t>
      </w:r>
      <w:r>
        <w:rPr>
          <w:rFonts w:ascii="Arial" w:hAnsi="Arial"/>
          <w:i/>
          <w:sz w:val="20"/>
        </w:rPr>
        <w:t>en</w:t>
      </w:r>
      <w:r>
        <w:rPr>
          <w:rFonts w:ascii="Arial" w:hAnsi="Arial"/>
          <w:i/>
          <w:spacing w:val="-1"/>
          <w:sz w:val="20"/>
        </w:rPr>
        <w:t xml:space="preserve"> </w:t>
      </w:r>
      <w:r>
        <w:rPr>
          <w:rFonts w:ascii="Arial" w:hAnsi="Arial"/>
          <w:i/>
          <w:sz w:val="20"/>
        </w:rPr>
        <w:t>el</w:t>
      </w:r>
      <w:r>
        <w:rPr>
          <w:rFonts w:ascii="Arial" w:hAnsi="Arial"/>
          <w:i/>
          <w:spacing w:val="-1"/>
          <w:sz w:val="20"/>
        </w:rPr>
        <w:t xml:space="preserve"> </w:t>
      </w:r>
      <w:r>
        <w:rPr>
          <w:rFonts w:ascii="Arial" w:hAnsi="Arial"/>
          <w:i/>
          <w:sz w:val="20"/>
        </w:rPr>
        <w:t>pliego de</w:t>
      </w:r>
      <w:r>
        <w:rPr>
          <w:rFonts w:ascii="Arial" w:hAnsi="Arial"/>
          <w:i/>
          <w:spacing w:val="-1"/>
          <w:sz w:val="20"/>
        </w:rPr>
        <w:t xml:space="preserve"> </w:t>
      </w:r>
      <w:r>
        <w:rPr>
          <w:rFonts w:ascii="Arial" w:hAnsi="Arial"/>
          <w:i/>
          <w:sz w:val="20"/>
        </w:rPr>
        <w:t>cláusulas</w:t>
      </w:r>
      <w:r>
        <w:rPr>
          <w:rFonts w:ascii="Arial" w:hAnsi="Arial"/>
          <w:i/>
          <w:spacing w:val="-1"/>
          <w:sz w:val="20"/>
        </w:rPr>
        <w:t xml:space="preserve"> </w:t>
      </w:r>
      <w:r>
        <w:rPr>
          <w:rFonts w:ascii="Arial" w:hAnsi="Arial"/>
          <w:i/>
          <w:sz w:val="20"/>
        </w:rPr>
        <w:t xml:space="preserve">administrativas </w:t>
      </w:r>
      <w:r>
        <w:rPr>
          <w:rFonts w:ascii="Arial" w:hAnsi="Arial"/>
          <w:i/>
          <w:spacing w:val="-2"/>
          <w:sz w:val="20"/>
        </w:rPr>
        <w:t>particulares.</w:t>
      </w:r>
    </w:p>
    <w:p w:rsidR="0092635B" w:rsidRDefault="00000000">
      <w:pPr>
        <w:pStyle w:val="Prrafodelista"/>
        <w:numPr>
          <w:ilvl w:val="0"/>
          <w:numId w:val="177"/>
        </w:numPr>
        <w:tabs>
          <w:tab w:val="left" w:pos="1745"/>
        </w:tabs>
        <w:spacing w:before="123" w:line="249" w:lineRule="auto"/>
        <w:ind w:right="1104" w:firstLine="340"/>
        <w:jc w:val="both"/>
        <w:rPr>
          <w:sz w:val="20"/>
        </w:rPr>
      </w:pPr>
      <w:r>
        <w:rPr>
          <w:sz w:val="20"/>
        </w:rPr>
        <w:t>Los contratos de las Administraciones Públicas podrán modificarse durante su vigencia hasta un máximo del veinte por ciento del precio inicial cuando en los pliegos de cláusulas</w:t>
      </w:r>
      <w:r>
        <w:rPr>
          <w:spacing w:val="-4"/>
          <w:sz w:val="20"/>
        </w:rPr>
        <w:t xml:space="preserve"> </w:t>
      </w:r>
      <w:r>
        <w:rPr>
          <w:sz w:val="20"/>
        </w:rPr>
        <w:t>administrativas</w:t>
      </w:r>
      <w:r>
        <w:rPr>
          <w:spacing w:val="-4"/>
          <w:sz w:val="20"/>
        </w:rPr>
        <w:t xml:space="preserve"> </w:t>
      </w:r>
      <w:r>
        <w:rPr>
          <w:sz w:val="20"/>
        </w:rPr>
        <w:t>particulares</w:t>
      </w:r>
      <w:r>
        <w:rPr>
          <w:spacing w:val="-4"/>
          <w:sz w:val="20"/>
        </w:rPr>
        <w:t xml:space="preserve"> </w:t>
      </w:r>
      <w:r>
        <w:rPr>
          <w:sz w:val="20"/>
        </w:rPr>
        <w:t>se</w:t>
      </w:r>
      <w:r>
        <w:rPr>
          <w:spacing w:val="-4"/>
          <w:sz w:val="20"/>
        </w:rPr>
        <w:t xml:space="preserve"> </w:t>
      </w:r>
      <w:r>
        <w:rPr>
          <w:sz w:val="20"/>
        </w:rPr>
        <w:t>hubiere</w:t>
      </w:r>
      <w:r>
        <w:rPr>
          <w:spacing w:val="-4"/>
          <w:sz w:val="20"/>
        </w:rPr>
        <w:t xml:space="preserve"> </w:t>
      </w:r>
      <w:r>
        <w:rPr>
          <w:sz w:val="20"/>
        </w:rPr>
        <w:t>advertido</w:t>
      </w:r>
      <w:r>
        <w:rPr>
          <w:spacing w:val="-4"/>
          <w:sz w:val="20"/>
        </w:rPr>
        <w:t xml:space="preserve"> </w:t>
      </w:r>
      <w:r>
        <w:rPr>
          <w:sz w:val="20"/>
        </w:rPr>
        <w:t>expresamente</w:t>
      </w:r>
      <w:r>
        <w:rPr>
          <w:spacing w:val="-4"/>
          <w:sz w:val="20"/>
        </w:rPr>
        <w:t xml:space="preserve"> </w:t>
      </w:r>
      <w:r>
        <w:rPr>
          <w:sz w:val="20"/>
        </w:rPr>
        <w:t>de</w:t>
      </w:r>
      <w:r>
        <w:rPr>
          <w:spacing w:val="-4"/>
          <w:sz w:val="20"/>
        </w:rPr>
        <w:t xml:space="preserve"> </w:t>
      </w:r>
      <w:r>
        <w:rPr>
          <w:sz w:val="20"/>
        </w:rPr>
        <w:t>esta</w:t>
      </w:r>
      <w:r>
        <w:rPr>
          <w:spacing w:val="-4"/>
          <w:sz w:val="20"/>
        </w:rPr>
        <w:t xml:space="preserve"> </w:t>
      </w:r>
      <w:r>
        <w:rPr>
          <w:sz w:val="20"/>
        </w:rPr>
        <w:t>posibilidad, en la forma y con el contenido siguientes:</w:t>
      </w:r>
    </w:p>
    <w:p w:rsidR="0092635B" w:rsidRDefault="00000000">
      <w:pPr>
        <w:pStyle w:val="Prrafodelista"/>
        <w:numPr>
          <w:ilvl w:val="1"/>
          <w:numId w:val="177"/>
        </w:numPr>
        <w:tabs>
          <w:tab w:val="left" w:pos="1750"/>
        </w:tabs>
        <w:spacing w:before="123" w:line="249" w:lineRule="auto"/>
        <w:ind w:right="1105" w:firstLine="340"/>
        <w:jc w:val="both"/>
        <w:rPr>
          <w:sz w:val="20"/>
        </w:rPr>
      </w:pPr>
      <w:r>
        <w:rPr>
          <w:sz w:val="20"/>
        </w:rPr>
        <w:t xml:space="preserve">La cláusula de modificación deberá estar formulada de forma clara, precisa e </w:t>
      </w:r>
      <w:r>
        <w:rPr>
          <w:spacing w:val="-2"/>
          <w:sz w:val="20"/>
        </w:rPr>
        <w:t>inequívoca.</w:t>
      </w:r>
    </w:p>
    <w:p w:rsidR="0092635B" w:rsidRDefault="00000000">
      <w:pPr>
        <w:pStyle w:val="Prrafodelista"/>
        <w:numPr>
          <w:ilvl w:val="1"/>
          <w:numId w:val="177"/>
        </w:numPr>
        <w:tabs>
          <w:tab w:val="left" w:pos="1720"/>
        </w:tabs>
        <w:spacing w:line="249" w:lineRule="auto"/>
        <w:ind w:right="1102" w:firstLine="340"/>
        <w:jc w:val="both"/>
        <w:rPr>
          <w:sz w:val="20"/>
        </w:rPr>
      </w:pPr>
      <w:r>
        <w:rPr>
          <w:sz w:val="20"/>
        </w:rPr>
        <w:t>Asimismo, en lo que respecta a su contenido, la cláusula de modificación deberá precisar con el detalle suficiente: su alcance, límites y naturaleza; las condiciones en que podrá hacerse uso de la misma por referencia a circunstancias cuya concurrencia pueda verificarse de forma objetiva; y el procedimiento que haya de seguirse para realizar la modificación. La cláusula de modificación establecerá, asimismo, que la modificación no podrá suponer el establecimiento de nuevos precios unitarios no previstos en el contrato.</w:t>
      </w:r>
    </w:p>
    <w:p w:rsidR="0092635B" w:rsidRDefault="00000000">
      <w:pPr>
        <w:pStyle w:val="Textoindependiente"/>
        <w:spacing w:before="125" w:line="249" w:lineRule="auto"/>
        <w:ind w:right="1104"/>
      </w:pPr>
      <w:r>
        <w:t>La formulación y contenido de la cláusula de modificación deberá ser tal que en todo</w:t>
      </w:r>
      <w:r>
        <w:rPr>
          <w:spacing w:val="40"/>
        </w:rPr>
        <w:t xml:space="preserve"> </w:t>
      </w:r>
      <w:r>
        <w:t>caso permita a los candidatos y licitadores comprender su alcance exacto e interpretarla de</w:t>
      </w:r>
      <w:r>
        <w:rPr>
          <w:spacing w:val="40"/>
        </w:rPr>
        <w:t xml:space="preserve"> </w:t>
      </w:r>
      <w:r>
        <w:t>la misma forma y que, por otra parte, permita al órgano de contratación comprobar efectivamente el cumplimiento por parte de los primeros de las condiciones de aptitud exigidas y valorar correctamente las ofertas presentadas por estos.</w:t>
      </w:r>
    </w:p>
    <w:p w:rsidR="0092635B" w:rsidRDefault="00000000">
      <w:pPr>
        <w:pStyle w:val="Prrafodelista"/>
        <w:numPr>
          <w:ilvl w:val="0"/>
          <w:numId w:val="177"/>
        </w:numPr>
        <w:tabs>
          <w:tab w:val="left" w:pos="1687"/>
        </w:tabs>
        <w:spacing w:before="4" w:line="249" w:lineRule="auto"/>
        <w:ind w:right="1104" w:firstLine="340"/>
        <w:jc w:val="both"/>
        <w:rPr>
          <w:sz w:val="20"/>
        </w:rPr>
      </w:pPr>
      <w:r>
        <w:rPr>
          <w:sz w:val="20"/>
        </w:rPr>
        <w:t>En ningún caso los órganos de contratación podrán prever en el pliego de cláusulas administrativas particulares modificaciones que puedan alterar la naturaleza global del contrato inicial. En todo caso, se entenderá que se altera esta si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line="249" w:lineRule="auto"/>
        <w:ind w:left="1106" w:right="1103"/>
        <w:jc w:val="both"/>
        <w:rPr>
          <w:rFonts w:ascii="Arial" w:hAnsi="Arial"/>
          <w:i/>
          <w:sz w:val="20"/>
        </w:rPr>
      </w:pPr>
      <w:bookmarkStart w:id="318" w:name="Artículo_205._Modificaciones_no_prevista"/>
      <w:bookmarkEnd w:id="318"/>
      <w:r>
        <w:rPr>
          <w:rFonts w:ascii="Arial" w:hAnsi="Arial"/>
          <w:b/>
          <w:sz w:val="20"/>
        </w:rPr>
        <w:t>Artículo 205.</w:t>
      </w:r>
      <w:r>
        <w:rPr>
          <w:rFonts w:ascii="Arial" w:hAnsi="Arial"/>
          <w:b/>
          <w:spacing w:val="40"/>
          <w:sz w:val="20"/>
        </w:rPr>
        <w:t xml:space="preserve"> </w:t>
      </w:r>
      <w:r>
        <w:rPr>
          <w:rFonts w:ascii="Arial" w:hAnsi="Arial"/>
          <w:i/>
          <w:sz w:val="20"/>
        </w:rPr>
        <w:t xml:space="preserve">Modificaciones no previstas en el pliego de cláusulas administrativas particulares: prestaciones adicionales, circunstancias imprevisibles y modificaciones no </w:t>
      </w:r>
      <w:r>
        <w:rPr>
          <w:rFonts w:ascii="Arial" w:hAnsi="Arial"/>
          <w:i/>
          <w:spacing w:val="-2"/>
          <w:sz w:val="20"/>
        </w:rPr>
        <w:t>sustanciales.</w:t>
      </w:r>
    </w:p>
    <w:p w:rsidR="0092635B" w:rsidRDefault="00000000">
      <w:pPr>
        <w:pStyle w:val="Prrafodelista"/>
        <w:numPr>
          <w:ilvl w:val="0"/>
          <w:numId w:val="176"/>
        </w:numPr>
        <w:tabs>
          <w:tab w:val="left" w:pos="1682"/>
        </w:tabs>
        <w:spacing w:before="115" w:line="249" w:lineRule="auto"/>
        <w:ind w:firstLine="340"/>
        <w:jc w:val="both"/>
        <w:rPr>
          <w:sz w:val="20"/>
        </w:rPr>
      </w:pPr>
      <w:r>
        <w:rPr>
          <w:sz w:val="20"/>
        </w:rPr>
        <w:t>Las modificaciones no previstas en el pliego de cláusulas administrativas particulares</w:t>
      </w:r>
      <w:r>
        <w:rPr>
          <w:spacing w:val="40"/>
          <w:sz w:val="20"/>
        </w:rPr>
        <w:t xml:space="preserve"> </w:t>
      </w:r>
      <w:r>
        <w:rPr>
          <w:sz w:val="20"/>
        </w:rPr>
        <w:t>o que, habiendo sido previstas, no se ajusten a lo establecido en el artículo anterior, solo podrán realizarse cuando la modificación en cuestión cumpla los siguientes requisitos:</w:t>
      </w:r>
    </w:p>
    <w:p w:rsidR="0092635B" w:rsidRDefault="00000000">
      <w:pPr>
        <w:pStyle w:val="Prrafodelista"/>
        <w:numPr>
          <w:ilvl w:val="1"/>
          <w:numId w:val="176"/>
        </w:numPr>
        <w:tabs>
          <w:tab w:val="left" w:pos="1707"/>
        </w:tabs>
        <w:spacing w:before="123" w:line="249" w:lineRule="auto"/>
        <w:ind w:right="1106" w:firstLine="340"/>
        <w:jc w:val="both"/>
        <w:rPr>
          <w:sz w:val="20"/>
        </w:rPr>
      </w:pPr>
      <w:r>
        <w:rPr>
          <w:sz w:val="20"/>
        </w:rPr>
        <w:t>Que encuentre su justificación en alguno de los supuestos que se relacionan en el apartado segundo de este artículo.</w:t>
      </w:r>
    </w:p>
    <w:p w:rsidR="0092635B" w:rsidRDefault="00000000">
      <w:pPr>
        <w:pStyle w:val="Prrafodelista"/>
        <w:numPr>
          <w:ilvl w:val="1"/>
          <w:numId w:val="176"/>
        </w:numPr>
        <w:tabs>
          <w:tab w:val="left" w:pos="1685"/>
        </w:tabs>
        <w:spacing w:line="249" w:lineRule="auto"/>
        <w:ind w:right="1105" w:firstLine="340"/>
        <w:jc w:val="both"/>
        <w:rPr>
          <w:sz w:val="20"/>
        </w:rPr>
      </w:pPr>
      <w:r>
        <w:rPr>
          <w:sz w:val="20"/>
        </w:rPr>
        <w:t>Que se limite a introducir las variaciones estrictamente indispensables para responder a la causa objetiva que la haga necesaria.</w:t>
      </w:r>
    </w:p>
    <w:p w:rsidR="0092635B" w:rsidRDefault="00000000">
      <w:pPr>
        <w:pStyle w:val="Prrafodelista"/>
        <w:numPr>
          <w:ilvl w:val="0"/>
          <w:numId w:val="176"/>
        </w:numPr>
        <w:tabs>
          <w:tab w:val="left" w:pos="1717"/>
        </w:tabs>
        <w:spacing w:before="121" w:line="249" w:lineRule="auto"/>
        <w:ind w:firstLine="340"/>
        <w:jc w:val="both"/>
        <w:rPr>
          <w:sz w:val="20"/>
        </w:rPr>
      </w:pPr>
      <w:r>
        <w:rPr>
          <w:sz w:val="20"/>
        </w:rPr>
        <w:t>Los supuestos que eventualmente podrían justificar una modificación no prevista, siempre y cuando esta cumpla todos los requisitos recogidos en el apartado primero de este artículo, son los siguientes:</w:t>
      </w:r>
    </w:p>
    <w:p w:rsidR="0092635B" w:rsidRDefault="00000000">
      <w:pPr>
        <w:pStyle w:val="Prrafodelista"/>
        <w:numPr>
          <w:ilvl w:val="1"/>
          <w:numId w:val="176"/>
        </w:numPr>
        <w:tabs>
          <w:tab w:val="left" w:pos="1713"/>
        </w:tabs>
        <w:spacing w:before="123" w:line="249" w:lineRule="auto"/>
        <w:ind w:firstLine="340"/>
        <w:jc w:val="both"/>
        <w:rPr>
          <w:sz w:val="20"/>
        </w:rPr>
      </w:pPr>
      <w:r>
        <w:rPr>
          <w:sz w:val="20"/>
        </w:rPr>
        <w:t>Cuando deviniera necesario añadir obras, suministros o servicios adicionales a los inicialmente contratados, siempre y cuando se den los dos requisitos siguientes:</w:t>
      </w:r>
    </w:p>
    <w:p w:rsidR="0092635B" w:rsidRDefault="00000000">
      <w:pPr>
        <w:pStyle w:val="Prrafodelista"/>
        <w:numPr>
          <w:ilvl w:val="2"/>
          <w:numId w:val="176"/>
        </w:numPr>
        <w:tabs>
          <w:tab w:val="left" w:pos="1610"/>
        </w:tabs>
        <w:spacing w:before="121" w:line="249" w:lineRule="auto"/>
        <w:ind w:right="1105" w:firstLine="340"/>
        <w:jc w:val="both"/>
        <w:rPr>
          <w:sz w:val="20"/>
        </w:rPr>
      </w:pPr>
      <w:r>
        <w:rPr>
          <w:sz w:val="20"/>
        </w:rPr>
        <w:t xml:space="preserve">º Que el cambio de contratista no fuera posible por razones de tipo económico o técnico, por ejemplo que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generara inconvenientes significativos o un aumento sustancial de costes para el órgano de </w:t>
      </w:r>
      <w:r>
        <w:rPr>
          <w:spacing w:val="-2"/>
          <w:sz w:val="20"/>
        </w:rPr>
        <w:t>contratación.</w:t>
      </w:r>
    </w:p>
    <w:p w:rsidR="0092635B" w:rsidRDefault="00000000">
      <w:pPr>
        <w:pStyle w:val="Textoindependiente"/>
        <w:spacing w:before="6" w:line="249" w:lineRule="auto"/>
        <w:ind w:right="1105"/>
      </w:pPr>
      <w:r>
        <w:t>En ningún caso se considerará un inconveniente significativo la necesidad de celebrar una nueva licitación para permitir el cambio de contratista.</w:t>
      </w:r>
    </w:p>
    <w:p w:rsidR="0092635B" w:rsidRDefault="00000000">
      <w:pPr>
        <w:pStyle w:val="Prrafodelista"/>
        <w:numPr>
          <w:ilvl w:val="2"/>
          <w:numId w:val="176"/>
        </w:numPr>
        <w:tabs>
          <w:tab w:val="left" w:pos="1610"/>
        </w:tabs>
        <w:spacing w:line="249" w:lineRule="auto"/>
        <w:ind w:firstLine="340"/>
        <w:jc w:val="both"/>
        <w:rPr>
          <w:sz w:val="20"/>
        </w:rPr>
      </w:pPr>
      <w:r>
        <w:rPr>
          <w:sz w:val="20"/>
        </w:rPr>
        <w:t>º Que la modificación del contrato implique una alteración en su cuantía que no</w:t>
      </w:r>
      <w:r>
        <w:rPr>
          <w:spacing w:val="80"/>
          <w:sz w:val="20"/>
        </w:rPr>
        <w:t xml:space="preserve"> </w:t>
      </w:r>
      <w:r>
        <w:rPr>
          <w:sz w:val="20"/>
        </w:rPr>
        <w:t>exceda, aislada o conjuntamente con otras modificaciones acordadas conforme a este artículo, del 50 por ciento de su precio inicial, IVA excluido.</w:t>
      </w:r>
    </w:p>
    <w:p w:rsidR="0092635B" w:rsidRDefault="00000000">
      <w:pPr>
        <w:pStyle w:val="Prrafodelista"/>
        <w:numPr>
          <w:ilvl w:val="1"/>
          <w:numId w:val="176"/>
        </w:numPr>
        <w:tabs>
          <w:tab w:val="left" w:pos="1716"/>
        </w:tabs>
        <w:spacing w:before="122" w:line="249" w:lineRule="auto"/>
        <w:ind w:right="1104" w:firstLine="340"/>
        <w:jc w:val="both"/>
        <w:rPr>
          <w:sz w:val="20"/>
        </w:rPr>
      </w:pPr>
      <w:r>
        <w:rPr>
          <w:sz w:val="20"/>
        </w:rPr>
        <w:t>Cuando la necesidad de modificar un contrato vigente se derive de circunstancias sobrevenidas y que fueran imprevisibles en el momento en que tuvo lugar la licitación del contrato, siempre y cuando se cumplan las tres condiciones siguientes:</w:t>
      </w:r>
    </w:p>
    <w:p w:rsidR="0092635B" w:rsidRDefault="00000000">
      <w:pPr>
        <w:pStyle w:val="Prrafodelista"/>
        <w:numPr>
          <w:ilvl w:val="2"/>
          <w:numId w:val="176"/>
        </w:numPr>
        <w:tabs>
          <w:tab w:val="left" w:pos="1610"/>
        </w:tabs>
        <w:spacing w:before="123" w:line="249" w:lineRule="auto"/>
        <w:ind w:right="1104" w:firstLine="340"/>
        <w:jc w:val="both"/>
        <w:rPr>
          <w:sz w:val="20"/>
        </w:rPr>
      </w:pPr>
      <w:r>
        <w:rPr>
          <w:sz w:val="20"/>
        </w:rPr>
        <w:t>º Que la necesidad de la modificación se derive de circunstancias que una Administración diligente no hubiera podido prever.</w:t>
      </w:r>
    </w:p>
    <w:p w:rsidR="0092635B" w:rsidRDefault="00000000">
      <w:pPr>
        <w:pStyle w:val="Prrafodelista"/>
        <w:numPr>
          <w:ilvl w:val="2"/>
          <w:numId w:val="176"/>
        </w:numPr>
        <w:tabs>
          <w:tab w:val="left" w:pos="1610"/>
        </w:tabs>
        <w:spacing w:before="1"/>
        <w:ind w:left="1610" w:right="0" w:hanging="164"/>
        <w:jc w:val="both"/>
        <w:rPr>
          <w:sz w:val="20"/>
        </w:rPr>
      </w:pPr>
      <w:r>
        <w:rPr>
          <w:sz w:val="20"/>
        </w:rPr>
        <w:t>º</w:t>
      </w:r>
      <w:r>
        <w:rPr>
          <w:spacing w:val="-5"/>
          <w:sz w:val="20"/>
        </w:rPr>
        <w:t xml:space="preserve"> </w:t>
      </w:r>
      <w:r>
        <w:rPr>
          <w:sz w:val="20"/>
        </w:rPr>
        <w:t>Que</w:t>
      </w:r>
      <w:r>
        <w:rPr>
          <w:spacing w:val="-4"/>
          <w:sz w:val="20"/>
        </w:rPr>
        <w:t xml:space="preserve"> </w:t>
      </w:r>
      <w:r>
        <w:rPr>
          <w:sz w:val="20"/>
        </w:rPr>
        <w:t>la</w:t>
      </w:r>
      <w:r>
        <w:rPr>
          <w:spacing w:val="-4"/>
          <w:sz w:val="20"/>
        </w:rPr>
        <w:t xml:space="preserve"> </w:t>
      </w:r>
      <w:r>
        <w:rPr>
          <w:sz w:val="20"/>
        </w:rPr>
        <w:t>modificación</w:t>
      </w:r>
      <w:r>
        <w:rPr>
          <w:spacing w:val="-3"/>
          <w:sz w:val="20"/>
        </w:rPr>
        <w:t xml:space="preserve"> </w:t>
      </w:r>
      <w:r>
        <w:rPr>
          <w:sz w:val="20"/>
        </w:rPr>
        <w:t>no</w:t>
      </w:r>
      <w:r>
        <w:rPr>
          <w:spacing w:val="-4"/>
          <w:sz w:val="20"/>
        </w:rPr>
        <w:t xml:space="preserve"> </w:t>
      </w:r>
      <w:r>
        <w:rPr>
          <w:sz w:val="20"/>
        </w:rPr>
        <w:t>altere</w:t>
      </w:r>
      <w:r>
        <w:rPr>
          <w:spacing w:val="-4"/>
          <w:sz w:val="20"/>
        </w:rPr>
        <w:t xml:space="preserve"> </w:t>
      </w:r>
      <w:r>
        <w:rPr>
          <w:sz w:val="20"/>
        </w:rPr>
        <w:t>la</w:t>
      </w:r>
      <w:r>
        <w:rPr>
          <w:spacing w:val="-3"/>
          <w:sz w:val="20"/>
        </w:rPr>
        <w:t xml:space="preserve"> </w:t>
      </w:r>
      <w:r>
        <w:rPr>
          <w:sz w:val="20"/>
        </w:rPr>
        <w:t>naturaleza</w:t>
      </w:r>
      <w:r>
        <w:rPr>
          <w:spacing w:val="-4"/>
          <w:sz w:val="20"/>
        </w:rPr>
        <w:t xml:space="preserve"> </w:t>
      </w:r>
      <w:r>
        <w:rPr>
          <w:sz w:val="20"/>
        </w:rPr>
        <w:t>global</w:t>
      </w:r>
      <w:r>
        <w:rPr>
          <w:spacing w:val="-4"/>
          <w:sz w:val="20"/>
        </w:rPr>
        <w:t xml:space="preserve"> </w:t>
      </w:r>
      <w:r>
        <w:rPr>
          <w:sz w:val="20"/>
        </w:rPr>
        <w:t>del</w:t>
      </w:r>
      <w:r>
        <w:rPr>
          <w:spacing w:val="-3"/>
          <w:sz w:val="20"/>
        </w:rPr>
        <w:t xml:space="preserve"> </w:t>
      </w:r>
      <w:r>
        <w:rPr>
          <w:spacing w:val="-2"/>
          <w:sz w:val="20"/>
        </w:rPr>
        <w:t>contrato.</w:t>
      </w:r>
    </w:p>
    <w:p w:rsidR="0092635B" w:rsidRDefault="00000000">
      <w:pPr>
        <w:pStyle w:val="Prrafodelista"/>
        <w:numPr>
          <w:ilvl w:val="2"/>
          <w:numId w:val="176"/>
        </w:numPr>
        <w:tabs>
          <w:tab w:val="left" w:pos="1610"/>
        </w:tabs>
        <w:spacing w:before="10" w:line="249" w:lineRule="auto"/>
        <w:ind w:firstLine="340"/>
        <w:jc w:val="both"/>
        <w:rPr>
          <w:sz w:val="20"/>
        </w:rPr>
      </w:pPr>
      <w:r>
        <w:rPr>
          <w:sz w:val="20"/>
        </w:rPr>
        <w:t>º Que la modificación del contrato implique una alteración en su cuantía que no</w:t>
      </w:r>
      <w:r>
        <w:rPr>
          <w:spacing w:val="80"/>
          <w:sz w:val="20"/>
        </w:rPr>
        <w:t xml:space="preserve"> </w:t>
      </w:r>
      <w:r>
        <w:rPr>
          <w:sz w:val="20"/>
        </w:rPr>
        <w:t>exceda, aislada o conjuntamente con otras modificaciones acordadas conforme a este artículo, del 50 por ciento de su precio inicial, IVA excluido.</w:t>
      </w:r>
    </w:p>
    <w:p w:rsidR="0092635B" w:rsidRDefault="00000000">
      <w:pPr>
        <w:pStyle w:val="Prrafodelista"/>
        <w:numPr>
          <w:ilvl w:val="1"/>
          <w:numId w:val="176"/>
        </w:numPr>
        <w:tabs>
          <w:tab w:val="left" w:pos="1673"/>
        </w:tabs>
        <w:spacing w:before="123" w:line="249" w:lineRule="auto"/>
        <w:ind w:firstLine="340"/>
        <w:jc w:val="both"/>
        <w:rPr>
          <w:sz w:val="20"/>
        </w:rPr>
      </w:pPr>
      <w:r>
        <w:rPr>
          <w:sz w:val="20"/>
        </w:rPr>
        <w:t>Cuando las modificaciones no sean sustanciales. En este caso se tendrá que justificar especialmente la necesidad de las mismas, indicando las razones por las que esas prestaciones no se incluyeron en el contrato inicial.</w:t>
      </w:r>
    </w:p>
    <w:p w:rsidR="0092635B" w:rsidRDefault="00000000">
      <w:pPr>
        <w:pStyle w:val="Textoindependiente"/>
        <w:spacing w:line="249" w:lineRule="auto"/>
        <w:ind w:right="1105"/>
      </w:pPr>
      <w:r>
        <w:t>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w:t>
      </w:r>
    </w:p>
    <w:p w:rsidR="0092635B" w:rsidRDefault="00000000">
      <w:pPr>
        <w:pStyle w:val="Prrafodelista"/>
        <w:numPr>
          <w:ilvl w:val="0"/>
          <w:numId w:val="175"/>
        </w:numPr>
        <w:tabs>
          <w:tab w:val="left" w:pos="1610"/>
        </w:tabs>
        <w:spacing w:before="124" w:line="249" w:lineRule="auto"/>
        <w:ind w:right="1104" w:firstLine="340"/>
        <w:jc w:val="both"/>
        <w:rPr>
          <w:sz w:val="20"/>
        </w:rPr>
      </w:pPr>
      <w:r>
        <w:rPr>
          <w:sz w:val="20"/>
        </w:rPr>
        <w:t>º Que la modificación introduzca condiciones que, de haber figurado en el procedimiento de contratación inicial, habrían permitido la selección de candidatos distintos de los seleccionados inicialmente o la aceptación de una oferta distinta a la aceptada inicialmente o habrían atraído a más participantes en el procedimiento de contratación.</w:t>
      </w:r>
    </w:p>
    <w:p w:rsidR="0092635B" w:rsidRDefault="00000000">
      <w:pPr>
        <w:pStyle w:val="Textoindependiente"/>
        <w:spacing w:before="3" w:line="249" w:lineRule="auto"/>
        <w:ind w:right="1105"/>
      </w:pPr>
      <w:r>
        <w:t>En</w:t>
      </w:r>
      <w:r>
        <w:rPr>
          <w:spacing w:val="-2"/>
        </w:rPr>
        <w:t xml:space="preserve"> </w:t>
      </w:r>
      <w:r>
        <w:t>todo</w:t>
      </w:r>
      <w:r>
        <w:rPr>
          <w:spacing w:val="-2"/>
        </w:rPr>
        <w:t xml:space="preserve"> </w:t>
      </w:r>
      <w:r>
        <w:t>caso</w:t>
      </w:r>
      <w:r>
        <w:rPr>
          <w:spacing w:val="-2"/>
        </w:rPr>
        <w:t xml:space="preserve"> </w:t>
      </w:r>
      <w:r>
        <w:t>se</w:t>
      </w:r>
      <w:r>
        <w:rPr>
          <w:spacing w:val="-2"/>
        </w:rPr>
        <w:t xml:space="preserve"> </w:t>
      </w:r>
      <w:r>
        <w:t>considerará</w:t>
      </w:r>
      <w:r>
        <w:rPr>
          <w:spacing w:val="-2"/>
        </w:rPr>
        <w:t xml:space="preserve"> </w:t>
      </w:r>
      <w:r>
        <w:t>que</w:t>
      </w:r>
      <w:r>
        <w:rPr>
          <w:spacing w:val="-2"/>
        </w:rPr>
        <w:t xml:space="preserve"> </w:t>
      </w:r>
      <w:r>
        <w:t>se</w:t>
      </w:r>
      <w:r>
        <w:rPr>
          <w:spacing w:val="-2"/>
        </w:rPr>
        <w:t xml:space="preserve"> </w:t>
      </w:r>
      <w:r>
        <w:t>da</w:t>
      </w:r>
      <w:r>
        <w:rPr>
          <w:spacing w:val="-2"/>
        </w:rPr>
        <w:t xml:space="preserve"> </w:t>
      </w:r>
      <w:r>
        <w:t>el</w:t>
      </w:r>
      <w:r>
        <w:rPr>
          <w:spacing w:val="-2"/>
        </w:rPr>
        <w:t xml:space="preserve"> </w:t>
      </w:r>
      <w:r>
        <w:t>supuesto</w:t>
      </w:r>
      <w:r>
        <w:rPr>
          <w:spacing w:val="-2"/>
        </w:rPr>
        <w:t xml:space="preserve"> </w:t>
      </w:r>
      <w:r>
        <w:t>previsto</w:t>
      </w:r>
      <w:r>
        <w:rPr>
          <w:spacing w:val="-2"/>
        </w:rPr>
        <w:t xml:space="preserve"> </w:t>
      </w:r>
      <w:r>
        <w:t>en</w:t>
      </w:r>
      <w:r>
        <w:rPr>
          <w:spacing w:val="-2"/>
        </w:rPr>
        <w:t xml:space="preserve"> </w:t>
      </w:r>
      <w:r>
        <w:t>el</w:t>
      </w:r>
      <w:r>
        <w:rPr>
          <w:spacing w:val="-2"/>
        </w:rPr>
        <w:t xml:space="preserve"> </w:t>
      </w:r>
      <w:r>
        <w:t>párrafo</w:t>
      </w:r>
      <w:r>
        <w:rPr>
          <w:spacing w:val="-2"/>
        </w:rPr>
        <w:t xml:space="preserve"> </w:t>
      </w:r>
      <w:r>
        <w:t>anterior</w:t>
      </w:r>
      <w:r>
        <w:rPr>
          <w:spacing w:val="-2"/>
        </w:rPr>
        <w:t xml:space="preserve"> </w:t>
      </w:r>
      <w:r>
        <w:t>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92635B" w:rsidRDefault="00000000">
      <w:pPr>
        <w:pStyle w:val="Prrafodelista"/>
        <w:numPr>
          <w:ilvl w:val="0"/>
          <w:numId w:val="175"/>
        </w:numPr>
        <w:tabs>
          <w:tab w:val="left" w:pos="1610"/>
        </w:tabs>
        <w:spacing w:before="3" w:line="249" w:lineRule="auto"/>
        <w:ind w:right="1106" w:firstLine="340"/>
        <w:jc w:val="both"/>
        <w:rPr>
          <w:sz w:val="20"/>
        </w:rPr>
      </w:pPr>
      <w:r>
        <w:rPr>
          <w:sz w:val="20"/>
        </w:rPr>
        <w:t>º Que la modificación altere el equilibrio económico del contrato en beneficio del contratista de una manera que no estaba prevista en el contrato inicial.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En todo caso se considerará que se da el supuesto previsto en el párrafo anterior</w:t>
      </w:r>
      <w:r>
        <w:rPr>
          <w:spacing w:val="40"/>
        </w:rPr>
        <w:t xml:space="preserve"> </w:t>
      </w:r>
      <w:r>
        <w:t>cuando, como consecuencia de la modificación que se pretenda realizar, se introducirían unidades de obra nuevas cuyo importe representaría más del 50 por ciento del presupuesto inicial del contrato.</w:t>
      </w:r>
    </w:p>
    <w:p w:rsidR="0092635B" w:rsidRDefault="00000000">
      <w:pPr>
        <w:pStyle w:val="Prrafodelista"/>
        <w:numPr>
          <w:ilvl w:val="0"/>
          <w:numId w:val="175"/>
        </w:numPr>
        <w:tabs>
          <w:tab w:val="left" w:pos="1610"/>
        </w:tabs>
        <w:spacing w:before="3"/>
        <w:ind w:left="1610" w:right="0" w:hanging="164"/>
        <w:jc w:val="both"/>
        <w:rPr>
          <w:sz w:val="20"/>
        </w:rPr>
      </w:pPr>
      <w:r>
        <w:rPr>
          <w:sz w:val="20"/>
        </w:rPr>
        <w:t>º</w:t>
      </w:r>
      <w:r>
        <w:rPr>
          <w:spacing w:val="-5"/>
          <w:sz w:val="20"/>
        </w:rPr>
        <w:t xml:space="preserve"> </w:t>
      </w:r>
      <w:r>
        <w:rPr>
          <w:sz w:val="20"/>
        </w:rPr>
        <w:t>Que</w:t>
      </w:r>
      <w:r>
        <w:rPr>
          <w:spacing w:val="-4"/>
          <w:sz w:val="20"/>
        </w:rPr>
        <w:t xml:space="preserve"> </w:t>
      </w:r>
      <w:r>
        <w:rPr>
          <w:sz w:val="20"/>
        </w:rPr>
        <w:t>la</w:t>
      </w:r>
      <w:r>
        <w:rPr>
          <w:spacing w:val="-4"/>
          <w:sz w:val="20"/>
        </w:rPr>
        <w:t xml:space="preserve"> </w:t>
      </w:r>
      <w:r>
        <w:rPr>
          <w:sz w:val="20"/>
        </w:rPr>
        <w:t>modificación</w:t>
      </w:r>
      <w:r>
        <w:rPr>
          <w:spacing w:val="-3"/>
          <w:sz w:val="20"/>
        </w:rPr>
        <w:t xml:space="preserve"> </w:t>
      </w:r>
      <w:r>
        <w:rPr>
          <w:sz w:val="20"/>
        </w:rPr>
        <w:t>amplíe</w:t>
      </w:r>
      <w:r>
        <w:rPr>
          <w:spacing w:val="-4"/>
          <w:sz w:val="20"/>
        </w:rPr>
        <w:t xml:space="preserve"> </w:t>
      </w:r>
      <w:r>
        <w:rPr>
          <w:sz w:val="20"/>
        </w:rPr>
        <w:t>de</w:t>
      </w:r>
      <w:r>
        <w:rPr>
          <w:spacing w:val="-4"/>
          <w:sz w:val="20"/>
        </w:rPr>
        <w:t xml:space="preserve"> </w:t>
      </w:r>
      <w:r>
        <w:rPr>
          <w:sz w:val="20"/>
        </w:rPr>
        <w:t>forma</w:t>
      </w:r>
      <w:r>
        <w:rPr>
          <w:spacing w:val="-4"/>
          <w:sz w:val="20"/>
        </w:rPr>
        <w:t xml:space="preserve"> </w:t>
      </w:r>
      <w:r>
        <w:rPr>
          <w:sz w:val="20"/>
        </w:rPr>
        <w:t>importante</w:t>
      </w:r>
      <w:r>
        <w:rPr>
          <w:spacing w:val="-3"/>
          <w:sz w:val="20"/>
        </w:rPr>
        <w:t xml:space="preserve"> </w:t>
      </w:r>
      <w:r>
        <w:rPr>
          <w:sz w:val="20"/>
        </w:rPr>
        <w:t>el</w:t>
      </w:r>
      <w:r>
        <w:rPr>
          <w:spacing w:val="-4"/>
          <w:sz w:val="20"/>
        </w:rPr>
        <w:t xml:space="preserve"> </w:t>
      </w:r>
      <w:r>
        <w:rPr>
          <w:sz w:val="20"/>
        </w:rPr>
        <w:t>ámbito</w:t>
      </w:r>
      <w:r>
        <w:rPr>
          <w:spacing w:val="-4"/>
          <w:sz w:val="20"/>
        </w:rPr>
        <w:t xml:space="preserve"> </w:t>
      </w:r>
      <w:r>
        <w:rPr>
          <w:sz w:val="20"/>
        </w:rPr>
        <w:t>del</w:t>
      </w:r>
      <w:r>
        <w:rPr>
          <w:spacing w:val="-3"/>
          <w:sz w:val="20"/>
        </w:rPr>
        <w:t xml:space="preserve"> </w:t>
      </w:r>
      <w:r>
        <w:rPr>
          <w:spacing w:val="-2"/>
          <w:sz w:val="20"/>
        </w:rPr>
        <w:t>contrato.</w:t>
      </w:r>
    </w:p>
    <w:p w:rsidR="0092635B" w:rsidRDefault="00000000">
      <w:pPr>
        <w:pStyle w:val="Textoindependiente"/>
        <w:spacing w:before="10" w:line="249" w:lineRule="auto"/>
        <w:ind w:right="1104"/>
      </w:pPr>
      <w:r>
        <w:t>En todo caso se considerará que se da el supuesto previsto en el párrafo anterior</w:t>
      </w:r>
      <w:r>
        <w:rPr>
          <w:spacing w:val="40"/>
        </w:rPr>
        <w:t xml:space="preserve"> </w:t>
      </w:r>
      <w:r>
        <w:rPr>
          <w:spacing w:val="-2"/>
        </w:rPr>
        <w:t>cuando:</w:t>
      </w:r>
    </w:p>
    <w:p w:rsidR="0092635B" w:rsidRDefault="00000000">
      <w:pPr>
        <w:pStyle w:val="Prrafodelista"/>
        <w:numPr>
          <w:ilvl w:val="1"/>
          <w:numId w:val="175"/>
        </w:numPr>
        <w:tabs>
          <w:tab w:val="left" w:pos="1718"/>
        </w:tabs>
        <w:spacing w:before="122" w:line="249" w:lineRule="auto"/>
        <w:ind w:right="1104" w:firstLine="340"/>
        <w:jc w:val="both"/>
        <w:rPr>
          <w:sz w:val="20"/>
        </w:rPr>
      </w:pPr>
      <w:r>
        <w:rPr>
          <w:sz w:val="20"/>
        </w:rPr>
        <w:t>El valor de la modificación suponga una alteración en la cuantía del contrato que exceda, aislada o conjuntamente, del 15 por ciento del precio inicial del mismo, IVA excluido, si se trata del contrato de obras o de un 10 por ciento, IVA excluido, cuando se refiera a los demás contratos, o bien que supere el umbral que en función del tipo de contrato resulte de aplicación de entre los señalados en los artículos 20 a 23.</w:t>
      </w:r>
    </w:p>
    <w:p w:rsidR="0092635B" w:rsidRDefault="00000000">
      <w:pPr>
        <w:pStyle w:val="Prrafodelista"/>
        <w:numPr>
          <w:ilvl w:val="1"/>
          <w:numId w:val="175"/>
        </w:numPr>
        <w:tabs>
          <w:tab w:val="left" w:pos="1735"/>
        </w:tabs>
        <w:spacing w:before="4" w:line="249" w:lineRule="auto"/>
        <w:ind w:right="1104" w:firstLine="340"/>
        <w:jc w:val="both"/>
        <w:rPr>
          <w:sz w:val="20"/>
        </w:rPr>
      </w:pPr>
      <w:r>
        <w:rPr>
          <w:sz w:val="20"/>
        </w:rPr>
        <w:t>Las obras, servicios o suministros objeto de modificación se hallen dentro del ámbito de otro contrato, actual o futuro, siempre que se haya iniciado la tramitación del expediente de contratación.</w:t>
      </w:r>
    </w:p>
    <w:p w:rsidR="0092635B" w:rsidRDefault="00000000">
      <w:pPr>
        <w:spacing w:before="229"/>
        <w:ind w:left="1106"/>
        <w:rPr>
          <w:rFonts w:ascii="Arial" w:hAnsi="Arial"/>
          <w:i/>
          <w:sz w:val="20"/>
        </w:rPr>
      </w:pPr>
      <w:bookmarkStart w:id="319" w:name="Artículo_206._Obligatoriedad_de_las_modi"/>
      <w:bookmarkEnd w:id="319"/>
      <w:r>
        <w:rPr>
          <w:rFonts w:ascii="Arial" w:hAnsi="Arial"/>
          <w:b/>
          <w:sz w:val="20"/>
        </w:rPr>
        <w:t>Artículo</w:t>
      </w:r>
      <w:r>
        <w:rPr>
          <w:rFonts w:ascii="Arial" w:hAnsi="Arial"/>
          <w:b/>
          <w:spacing w:val="-2"/>
          <w:sz w:val="20"/>
        </w:rPr>
        <w:t xml:space="preserve"> </w:t>
      </w:r>
      <w:r>
        <w:rPr>
          <w:rFonts w:ascii="Arial" w:hAnsi="Arial"/>
          <w:b/>
          <w:sz w:val="20"/>
        </w:rPr>
        <w:t>206.</w:t>
      </w:r>
      <w:r>
        <w:rPr>
          <w:rFonts w:ascii="Arial" w:hAnsi="Arial"/>
          <w:b/>
          <w:spacing w:val="50"/>
          <w:sz w:val="20"/>
        </w:rPr>
        <w:t xml:space="preserve"> </w:t>
      </w:r>
      <w:r>
        <w:rPr>
          <w:rFonts w:ascii="Arial" w:hAnsi="Arial"/>
          <w:i/>
          <w:sz w:val="20"/>
        </w:rPr>
        <w:t>Obligatoriedad</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w:t>
      </w:r>
      <w:r>
        <w:rPr>
          <w:rFonts w:ascii="Arial" w:hAnsi="Arial"/>
          <w:i/>
          <w:sz w:val="20"/>
        </w:rPr>
        <w:t>modificaciones</w:t>
      </w:r>
      <w:r>
        <w:rPr>
          <w:rFonts w:ascii="Arial" w:hAnsi="Arial"/>
          <w:i/>
          <w:spacing w:val="-2"/>
          <w:sz w:val="20"/>
        </w:rPr>
        <w:t xml:space="preserve"> </w:t>
      </w:r>
      <w:r>
        <w:rPr>
          <w:rFonts w:ascii="Arial" w:hAnsi="Arial"/>
          <w:i/>
          <w:sz w:val="20"/>
        </w:rPr>
        <w:t>del</w:t>
      </w:r>
      <w:r>
        <w:rPr>
          <w:rFonts w:ascii="Arial" w:hAnsi="Arial"/>
          <w:i/>
          <w:spacing w:val="-2"/>
          <w:sz w:val="20"/>
        </w:rPr>
        <w:t xml:space="preserve"> contrato.</w:t>
      </w:r>
    </w:p>
    <w:p w:rsidR="0092635B" w:rsidRDefault="00000000">
      <w:pPr>
        <w:pStyle w:val="Prrafodelista"/>
        <w:numPr>
          <w:ilvl w:val="2"/>
          <w:numId w:val="175"/>
        </w:numPr>
        <w:tabs>
          <w:tab w:val="left" w:pos="1726"/>
        </w:tabs>
        <w:spacing w:before="123" w:line="249" w:lineRule="auto"/>
        <w:ind w:firstLine="340"/>
        <w:jc w:val="both"/>
        <w:rPr>
          <w:sz w:val="20"/>
        </w:rPr>
      </w:pPr>
      <w:r>
        <w:rPr>
          <w:sz w:val="20"/>
        </w:rPr>
        <w:t>En los supuestos de modificación del contrato recogidas en el artículo 205, las modificaciones acordadas por el órgano de contratación serán obligatorias para los contratistas cuando impliquen, aislada o conjuntamente, una alteración en su cuantía que no exceda del 20 por ciento del precio inicial del contrato, IVA excluido.</w:t>
      </w:r>
    </w:p>
    <w:p w:rsidR="0092635B" w:rsidRDefault="00000000">
      <w:pPr>
        <w:pStyle w:val="Prrafodelista"/>
        <w:numPr>
          <w:ilvl w:val="2"/>
          <w:numId w:val="175"/>
        </w:numPr>
        <w:tabs>
          <w:tab w:val="left" w:pos="1673"/>
        </w:tabs>
        <w:spacing w:before="4" w:line="249" w:lineRule="auto"/>
        <w:ind w:firstLine="340"/>
        <w:jc w:val="both"/>
        <w:rPr>
          <w:sz w:val="20"/>
        </w:rPr>
      </w:pPr>
      <w:r>
        <w:rPr>
          <w:sz w:val="20"/>
        </w:rPr>
        <w:t>Cuando de acuerdo con lo dispuesto en el apartado anterior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w:t>
      </w:r>
    </w:p>
    <w:p w:rsidR="0092635B" w:rsidRDefault="00000000">
      <w:pPr>
        <w:spacing w:before="230"/>
        <w:ind w:left="1106"/>
        <w:rPr>
          <w:rFonts w:ascii="Arial" w:hAnsi="Arial"/>
          <w:i/>
          <w:sz w:val="20"/>
        </w:rPr>
      </w:pPr>
      <w:bookmarkStart w:id="320" w:name="Artículo_207._Especialidades_procediment"/>
      <w:bookmarkEnd w:id="320"/>
      <w:r>
        <w:rPr>
          <w:rFonts w:ascii="Arial" w:hAnsi="Arial"/>
          <w:b/>
          <w:sz w:val="20"/>
        </w:rPr>
        <w:t>Artículo 207.</w:t>
      </w:r>
      <w:r>
        <w:rPr>
          <w:rFonts w:ascii="Arial" w:hAnsi="Arial"/>
          <w:b/>
          <w:spacing w:val="54"/>
          <w:sz w:val="20"/>
        </w:rPr>
        <w:t xml:space="preserve"> </w:t>
      </w:r>
      <w:r>
        <w:rPr>
          <w:rFonts w:ascii="Arial" w:hAnsi="Arial"/>
          <w:i/>
          <w:sz w:val="20"/>
        </w:rPr>
        <w:t xml:space="preserve">Especialidades </w:t>
      </w:r>
      <w:r>
        <w:rPr>
          <w:rFonts w:ascii="Arial" w:hAnsi="Arial"/>
          <w:i/>
          <w:spacing w:val="-2"/>
          <w:sz w:val="20"/>
        </w:rPr>
        <w:t>procedimentales.</w:t>
      </w:r>
    </w:p>
    <w:p w:rsidR="0092635B" w:rsidRDefault="00000000">
      <w:pPr>
        <w:pStyle w:val="Prrafodelista"/>
        <w:numPr>
          <w:ilvl w:val="0"/>
          <w:numId w:val="174"/>
        </w:numPr>
        <w:tabs>
          <w:tab w:val="left" w:pos="1689"/>
        </w:tabs>
        <w:spacing w:before="123" w:line="249" w:lineRule="auto"/>
        <w:ind w:right="1104" w:firstLine="340"/>
        <w:jc w:val="both"/>
        <w:rPr>
          <w:sz w:val="20"/>
        </w:rPr>
      </w:pPr>
      <w:r>
        <w:rPr>
          <w:sz w:val="20"/>
        </w:rPr>
        <w:t>En el caso previsto en el artículo 204 las modificaciones contractuales se acordarán</w:t>
      </w:r>
      <w:r>
        <w:rPr>
          <w:spacing w:val="40"/>
          <w:sz w:val="20"/>
        </w:rPr>
        <w:t xml:space="preserve"> </w:t>
      </w:r>
      <w:r>
        <w:rPr>
          <w:sz w:val="20"/>
        </w:rPr>
        <w:t xml:space="preserve">en la forma que se hubiese especificado en los pliegos de cláusulas administrativas </w:t>
      </w:r>
      <w:r>
        <w:rPr>
          <w:spacing w:val="-2"/>
          <w:sz w:val="20"/>
        </w:rPr>
        <w:t>particulares.</w:t>
      </w:r>
    </w:p>
    <w:p w:rsidR="0092635B" w:rsidRDefault="00000000">
      <w:pPr>
        <w:pStyle w:val="Prrafodelista"/>
        <w:numPr>
          <w:ilvl w:val="0"/>
          <w:numId w:val="174"/>
        </w:numPr>
        <w:tabs>
          <w:tab w:val="left" w:pos="1707"/>
        </w:tabs>
        <w:spacing w:before="3" w:line="249" w:lineRule="auto"/>
        <w:ind w:right="1104" w:firstLine="340"/>
        <w:jc w:val="both"/>
        <w:rPr>
          <w:sz w:val="20"/>
        </w:rPr>
      </w:pPr>
      <w:r>
        <w:rPr>
          <w:sz w:val="20"/>
        </w:rPr>
        <w:t>Antes de proceder a la modificación del contrato con arreglo a lo dispuesto en el artículo 205, deberá darse audiencia al redactor del proyecto o de las especificaciones técnicas, si estos se hubiesen preparado por un tercero ajeno al órgano de contratación en virtud de un contrato de servicios, para que, en un plazo no inferior a tres días, formule las consideraciones que tenga por conveniente.</w:t>
      </w:r>
    </w:p>
    <w:p w:rsidR="0092635B" w:rsidRDefault="00000000">
      <w:pPr>
        <w:pStyle w:val="Prrafodelista"/>
        <w:numPr>
          <w:ilvl w:val="0"/>
          <w:numId w:val="174"/>
        </w:numPr>
        <w:tabs>
          <w:tab w:val="left" w:pos="1691"/>
        </w:tabs>
        <w:spacing w:before="4" w:line="249" w:lineRule="auto"/>
        <w:ind w:right="1104" w:firstLine="340"/>
        <w:jc w:val="both"/>
        <w:rPr>
          <w:sz w:val="20"/>
        </w:rPr>
      </w:pPr>
      <w:r>
        <w:rPr>
          <w:sz w:val="20"/>
        </w:rPr>
        <w:t>Los órganos de contratación que hubieran modificado un contrato que esté sujeto a regulación armonizada, a excepción de los contratos de servicios y de concesión de</w:t>
      </w:r>
      <w:r>
        <w:rPr>
          <w:spacing w:val="80"/>
          <w:sz w:val="20"/>
        </w:rPr>
        <w:t xml:space="preserve"> </w:t>
      </w:r>
      <w:r>
        <w:rPr>
          <w:sz w:val="20"/>
        </w:rPr>
        <w:t>servicios</w:t>
      </w:r>
      <w:r>
        <w:rPr>
          <w:spacing w:val="-2"/>
          <w:sz w:val="20"/>
        </w:rPr>
        <w:t xml:space="preserve"> </w:t>
      </w:r>
      <w:r>
        <w:rPr>
          <w:sz w:val="20"/>
        </w:rPr>
        <w:t>enumerados</w:t>
      </w:r>
      <w:r>
        <w:rPr>
          <w:spacing w:val="-2"/>
          <w:sz w:val="20"/>
        </w:rPr>
        <w:t xml:space="preserve"> </w:t>
      </w:r>
      <w:r>
        <w:rPr>
          <w:sz w:val="20"/>
        </w:rPr>
        <w:t>en</w:t>
      </w:r>
      <w:r>
        <w:rPr>
          <w:spacing w:val="-2"/>
          <w:sz w:val="20"/>
        </w:rPr>
        <w:t xml:space="preserve"> </w:t>
      </w:r>
      <w:r>
        <w:rPr>
          <w:sz w:val="20"/>
        </w:rPr>
        <w:t>el</w:t>
      </w:r>
      <w:r>
        <w:rPr>
          <w:spacing w:val="-1"/>
          <w:sz w:val="20"/>
        </w:rPr>
        <w:t xml:space="preserve"> </w:t>
      </w:r>
      <w:r>
        <w:rPr>
          <w:sz w:val="20"/>
        </w:rPr>
        <w:t>anexo</w:t>
      </w:r>
      <w:r>
        <w:rPr>
          <w:spacing w:val="-2"/>
          <w:sz w:val="20"/>
        </w:rPr>
        <w:t xml:space="preserve"> </w:t>
      </w:r>
      <w:r>
        <w:rPr>
          <w:sz w:val="20"/>
        </w:rPr>
        <w:t>IV,</w:t>
      </w:r>
      <w:r>
        <w:rPr>
          <w:spacing w:val="-2"/>
          <w:sz w:val="20"/>
        </w:rPr>
        <w:t xml:space="preserve"> </w:t>
      </w:r>
      <w:r>
        <w:rPr>
          <w:sz w:val="20"/>
        </w:rPr>
        <w:t>en</w:t>
      </w:r>
      <w:r>
        <w:rPr>
          <w:spacing w:val="-1"/>
          <w:sz w:val="20"/>
        </w:rPr>
        <w:t xml:space="preserve"> </w:t>
      </w:r>
      <w:r>
        <w:rPr>
          <w:sz w:val="20"/>
        </w:rPr>
        <w:t>los</w:t>
      </w:r>
      <w:r>
        <w:rPr>
          <w:spacing w:val="-2"/>
          <w:sz w:val="20"/>
        </w:rPr>
        <w:t xml:space="preserve"> </w:t>
      </w:r>
      <w:r>
        <w:rPr>
          <w:sz w:val="20"/>
        </w:rPr>
        <w:t>casos</w:t>
      </w:r>
      <w:r>
        <w:rPr>
          <w:spacing w:val="-2"/>
          <w:sz w:val="20"/>
        </w:rPr>
        <w:t xml:space="preserve"> </w:t>
      </w:r>
      <w:r>
        <w:rPr>
          <w:sz w:val="20"/>
        </w:rPr>
        <w:t>previstos</w:t>
      </w:r>
      <w:r>
        <w:rPr>
          <w:spacing w:val="-2"/>
          <w:sz w:val="20"/>
        </w:rPr>
        <w:t xml:space="preserve"> </w:t>
      </w:r>
      <w:r>
        <w:rPr>
          <w:sz w:val="20"/>
        </w:rPr>
        <w:t>en</w:t>
      </w:r>
      <w:r>
        <w:rPr>
          <w:spacing w:val="-1"/>
          <w:sz w:val="20"/>
        </w:rPr>
        <w:t xml:space="preserve"> </w:t>
      </w:r>
      <w:r>
        <w:rPr>
          <w:sz w:val="20"/>
        </w:rPr>
        <w:t>las</w:t>
      </w:r>
      <w:r>
        <w:rPr>
          <w:spacing w:val="-2"/>
          <w:sz w:val="20"/>
        </w:rPr>
        <w:t xml:space="preserve"> </w:t>
      </w:r>
      <w:r>
        <w:rPr>
          <w:sz w:val="20"/>
        </w:rPr>
        <w:t>letras</w:t>
      </w:r>
      <w:r>
        <w:rPr>
          <w:spacing w:val="-2"/>
          <w:sz w:val="20"/>
        </w:rPr>
        <w:t xml:space="preserve"> </w:t>
      </w:r>
      <w:r>
        <w:rPr>
          <w:sz w:val="20"/>
        </w:rPr>
        <w:t>a)</w:t>
      </w:r>
      <w:r>
        <w:rPr>
          <w:spacing w:val="-1"/>
          <w:sz w:val="20"/>
        </w:rPr>
        <w:t xml:space="preserve"> </w:t>
      </w:r>
      <w:r>
        <w:rPr>
          <w:sz w:val="20"/>
        </w:rPr>
        <w:t>y</w:t>
      </w:r>
      <w:r>
        <w:rPr>
          <w:spacing w:val="-2"/>
          <w:sz w:val="20"/>
        </w:rPr>
        <w:t xml:space="preserve"> </w:t>
      </w:r>
      <w:r>
        <w:rPr>
          <w:sz w:val="20"/>
        </w:rPr>
        <w:t>b)</w:t>
      </w:r>
      <w:r>
        <w:rPr>
          <w:spacing w:val="-2"/>
          <w:sz w:val="20"/>
        </w:rPr>
        <w:t xml:space="preserve"> </w:t>
      </w:r>
      <w:r>
        <w:rPr>
          <w:sz w:val="20"/>
        </w:rPr>
        <w:t>del</w:t>
      </w:r>
      <w:r>
        <w:rPr>
          <w:spacing w:val="-1"/>
          <w:sz w:val="20"/>
        </w:rPr>
        <w:t xml:space="preserve"> </w:t>
      </w:r>
      <w:r>
        <w:rPr>
          <w:spacing w:val="-2"/>
          <w:sz w:val="20"/>
        </w:rPr>
        <w:t>apartado</w:t>
      </w:r>
    </w:p>
    <w:p w:rsidR="0092635B" w:rsidRDefault="00000000">
      <w:pPr>
        <w:pStyle w:val="Textoindependiente"/>
        <w:spacing w:line="249" w:lineRule="auto"/>
        <w:ind w:right="1104" w:hanging="1"/>
      </w:pPr>
      <w:r>
        <w:t>2 del artículo 205 deberán publicar en el «Diario Oficial de la Unión Europea» el correspondiente anuncio de modificación conforme a lo establecido en esta Ley.</w:t>
      </w:r>
    </w:p>
    <w:p w:rsidR="0092635B" w:rsidRDefault="00000000">
      <w:pPr>
        <w:pStyle w:val="Textoindependiente"/>
        <w:spacing w:line="249" w:lineRule="auto"/>
        <w:ind w:right="1103"/>
      </w:pPr>
      <w:r>
        <w:t>Asimismo 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w:t>
      </w:r>
      <w:r>
        <w:rPr>
          <w:spacing w:val="40"/>
        </w:rPr>
        <w:t xml:space="preserve"> </w:t>
      </w:r>
      <w:r>
        <w:t>previo a su aprobación, incluidos aquellos aportados por el adjudicatario o los emitidos por el propio órgano de contratación.</w:t>
      </w:r>
    </w:p>
    <w:p w:rsidR="0092635B" w:rsidRDefault="00000000">
      <w:pPr>
        <w:pStyle w:val="Prrafodelista"/>
        <w:numPr>
          <w:ilvl w:val="0"/>
          <w:numId w:val="174"/>
        </w:numPr>
        <w:tabs>
          <w:tab w:val="left" w:pos="1681"/>
        </w:tabs>
        <w:spacing w:before="6" w:line="249" w:lineRule="auto"/>
        <w:ind w:right="1106" w:firstLine="340"/>
        <w:jc w:val="both"/>
        <w:rPr>
          <w:sz w:val="20"/>
        </w:rPr>
      </w:pPr>
      <w:r>
        <w:rPr>
          <w:sz w:val="20"/>
        </w:rPr>
        <w:t xml:space="preserve">Lo dispuesto en este artículo se entiende sin perjuicio de lo establecido en el artículo </w:t>
      </w:r>
      <w:r>
        <w:rPr>
          <w:spacing w:val="-4"/>
          <w:sz w:val="20"/>
        </w:rPr>
        <w:t>191.</w:t>
      </w:r>
    </w:p>
    <w:p w:rsidR="0092635B" w:rsidRDefault="0092635B">
      <w:pPr>
        <w:pStyle w:val="Textoindependiente"/>
        <w:spacing w:before="55"/>
        <w:ind w:left="0" w:firstLine="0"/>
        <w:jc w:val="left"/>
      </w:pPr>
    </w:p>
    <w:p w:rsidR="0092635B" w:rsidRDefault="00000000">
      <w:pPr>
        <w:pStyle w:val="Textoindependiente"/>
        <w:spacing w:before="0"/>
        <w:ind w:left="0" w:firstLine="0"/>
        <w:jc w:val="center"/>
      </w:pPr>
      <w:bookmarkStart w:id="321" w:name="Subsección_5.ª_Suspensión_y_extinción_de"/>
      <w:bookmarkStart w:id="322" w:name="_bookmark58"/>
      <w:bookmarkEnd w:id="321"/>
      <w:bookmarkEnd w:id="322"/>
      <w:r>
        <w:t>Subsección</w:t>
      </w:r>
      <w:r>
        <w:rPr>
          <w:spacing w:val="-7"/>
        </w:rPr>
        <w:t xml:space="preserve"> </w:t>
      </w:r>
      <w:r>
        <w:t>5.ª</w:t>
      </w:r>
      <w:r>
        <w:rPr>
          <w:spacing w:val="-4"/>
        </w:rPr>
        <w:t xml:space="preserve"> </w:t>
      </w:r>
      <w:r>
        <w:t>Suspensión</w:t>
      </w:r>
      <w:r>
        <w:rPr>
          <w:spacing w:val="-4"/>
        </w:rPr>
        <w:t xml:space="preserve"> </w:t>
      </w:r>
      <w:r>
        <w:t>y</w:t>
      </w:r>
      <w:r>
        <w:rPr>
          <w:spacing w:val="-4"/>
        </w:rPr>
        <w:t xml:space="preserve"> </w:t>
      </w:r>
      <w:r>
        <w:t>extinción</w:t>
      </w:r>
      <w:r>
        <w:rPr>
          <w:spacing w:val="-4"/>
        </w:rPr>
        <w:t xml:space="preserve"> </w:t>
      </w:r>
      <w:r>
        <w:t>de</w:t>
      </w:r>
      <w:r>
        <w:rPr>
          <w:spacing w:val="-4"/>
        </w:rPr>
        <w:t xml:space="preserve"> </w:t>
      </w:r>
      <w:r>
        <w:t>los</w:t>
      </w:r>
      <w:r>
        <w:rPr>
          <w:spacing w:val="-4"/>
        </w:rPr>
        <w:t xml:space="preserve"> </w:t>
      </w:r>
      <w:r>
        <w:rPr>
          <w:spacing w:val="-2"/>
        </w:rPr>
        <w:t>contratos</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323" w:name="Artículo_208._Suspensión_de_los_contrato"/>
      <w:bookmarkEnd w:id="323"/>
      <w:r>
        <w:rPr>
          <w:rFonts w:ascii="Arial" w:hAnsi="Arial"/>
          <w:b/>
          <w:sz w:val="20"/>
        </w:rPr>
        <w:t>Artículo</w:t>
      </w:r>
      <w:r>
        <w:rPr>
          <w:rFonts w:ascii="Arial" w:hAnsi="Arial"/>
          <w:b/>
          <w:spacing w:val="-2"/>
          <w:sz w:val="20"/>
        </w:rPr>
        <w:t xml:space="preserve"> </w:t>
      </w:r>
      <w:r>
        <w:rPr>
          <w:rFonts w:ascii="Arial" w:hAnsi="Arial"/>
          <w:b/>
          <w:sz w:val="20"/>
        </w:rPr>
        <w:t>208.</w:t>
      </w:r>
      <w:r>
        <w:rPr>
          <w:rFonts w:ascii="Arial" w:hAnsi="Arial"/>
          <w:b/>
          <w:spacing w:val="51"/>
          <w:sz w:val="20"/>
        </w:rPr>
        <w:t xml:space="preserve"> </w:t>
      </w:r>
      <w:r>
        <w:rPr>
          <w:rFonts w:ascii="Arial" w:hAnsi="Arial"/>
          <w:i/>
          <w:sz w:val="20"/>
        </w:rPr>
        <w:t>Suspensión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contratos.</w:t>
      </w:r>
    </w:p>
    <w:p w:rsidR="0092635B" w:rsidRDefault="00000000">
      <w:pPr>
        <w:pStyle w:val="Prrafodelista"/>
        <w:numPr>
          <w:ilvl w:val="0"/>
          <w:numId w:val="173"/>
        </w:numPr>
        <w:tabs>
          <w:tab w:val="left" w:pos="1676"/>
        </w:tabs>
        <w:spacing w:before="124" w:line="249" w:lineRule="auto"/>
        <w:ind w:right="1106" w:firstLine="340"/>
        <w:jc w:val="both"/>
        <w:rPr>
          <w:sz w:val="20"/>
        </w:rPr>
      </w:pPr>
      <w:r>
        <w:rPr>
          <w:sz w:val="20"/>
        </w:rPr>
        <w:t>Si la Administración acordase la suspensión del contrato o aquella tuviere lugar por la aplicación</w:t>
      </w:r>
      <w:r>
        <w:rPr>
          <w:spacing w:val="15"/>
          <w:sz w:val="20"/>
        </w:rPr>
        <w:t xml:space="preserve"> </w:t>
      </w:r>
      <w:r>
        <w:rPr>
          <w:sz w:val="20"/>
        </w:rPr>
        <w:t>de</w:t>
      </w:r>
      <w:r>
        <w:rPr>
          <w:spacing w:val="15"/>
          <w:sz w:val="20"/>
        </w:rPr>
        <w:t xml:space="preserve"> </w:t>
      </w:r>
      <w:r>
        <w:rPr>
          <w:sz w:val="20"/>
        </w:rPr>
        <w:t>lo</w:t>
      </w:r>
      <w:r>
        <w:rPr>
          <w:spacing w:val="15"/>
          <w:sz w:val="20"/>
        </w:rPr>
        <w:t xml:space="preserve"> </w:t>
      </w:r>
      <w:r>
        <w:rPr>
          <w:sz w:val="20"/>
        </w:rPr>
        <w:t>dispuesto</w:t>
      </w:r>
      <w:r>
        <w:rPr>
          <w:spacing w:val="15"/>
          <w:sz w:val="20"/>
        </w:rPr>
        <w:t xml:space="preserve"> </w:t>
      </w:r>
      <w:r>
        <w:rPr>
          <w:sz w:val="20"/>
        </w:rPr>
        <w:t>en</w:t>
      </w:r>
      <w:r>
        <w:rPr>
          <w:spacing w:val="15"/>
          <w:sz w:val="20"/>
        </w:rPr>
        <w:t xml:space="preserve"> </w:t>
      </w:r>
      <w:r>
        <w:rPr>
          <w:sz w:val="20"/>
        </w:rPr>
        <w:t>el</w:t>
      </w:r>
      <w:r>
        <w:rPr>
          <w:spacing w:val="15"/>
          <w:sz w:val="20"/>
        </w:rPr>
        <w:t xml:space="preserve"> </w:t>
      </w:r>
      <w:r>
        <w:rPr>
          <w:sz w:val="20"/>
        </w:rPr>
        <w:t>artículo</w:t>
      </w:r>
      <w:r>
        <w:rPr>
          <w:spacing w:val="15"/>
          <w:sz w:val="20"/>
        </w:rPr>
        <w:t xml:space="preserve"> </w:t>
      </w:r>
      <w:r>
        <w:rPr>
          <w:sz w:val="20"/>
        </w:rPr>
        <w:t>198.5,</w:t>
      </w:r>
      <w:r>
        <w:rPr>
          <w:spacing w:val="15"/>
          <w:sz w:val="20"/>
        </w:rPr>
        <w:t xml:space="preserve"> </w:t>
      </w:r>
      <w:r>
        <w:rPr>
          <w:sz w:val="20"/>
        </w:rPr>
        <w:t>se</w:t>
      </w:r>
      <w:r>
        <w:rPr>
          <w:spacing w:val="15"/>
          <w:sz w:val="20"/>
        </w:rPr>
        <w:t xml:space="preserve"> </w:t>
      </w:r>
      <w:r>
        <w:rPr>
          <w:sz w:val="20"/>
        </w:rPr>
        <w:t>extenderá</w:t>
      </w:r>
      <w:r>
        <w:rPr>
          <w:spacing w:val="15"/>
          <w:sz w:val="20"/>
        </w:rPr>
        <w:t xml:space="preserve"> </w:t>
      </w:r>
      <w:r>
        <w:rPr>
          <w:sz w:val="20"/>
        </w:rPr>
        <w:t>un</w:t>
      </w:r>
      <w:r>
        <w:rPr>
          <w:spacing w:val="15"/>
          <w:sz w:val="20"/>
        </w:rPr>
        <w:t xml:space="preserve"> </w:t>
      </w:r>
      <w:r>
        <w:rPr>
          <w:sz w:val="20"/>
        </w:rPr>
        <w:t>acta,</w:t>
      </w:r>
      <w:r>
        <w:rPr>
          <w:spacing w:val="15"/>
          <w:sz w:val="20"/>
        </w:rPr>
        <w:t xml:space="preserve"> </w:t>
      </w:r>
      <w:r>
        <w:rPr>
          <w:sz w:val="20"/>
        </w:rPr>
        <w:t>de</w:t>
      </w:r>
      <w:r>
        <w:rPr>
          <w:spacing w:val="15"/>
          <w:sz w:val="20"/>
        </w:rPr>
        <w:t xml:space="preserve"> </w:t>
      </w:r>
      <w:r>
        <w:rPr>
          <w:sz w:val="20"/>
        </w:rPr>
        <w:t>oficio</w:t>
      </w:r>
      <w:r>
        <w:rPr>
          <w:spacing w:val="15"/>
          <w:sz w:val="20"/>
        </w:rPr>
        <w:t xml:space="preserve"> </w:t>
      </w:r>
      <w:r>
        <w:rPr>
          <w:sz w:val="20"/>
        </w:rPr>
        <w:t>o</w:t>
      </w:r>
      <w:r>
        <w:rPr>
          <w:spacing w:val="15"/>
          <w:sz w:val="20"/>
        </w:rPr>
        <w:t xml:space="preserve"> </w:t>
      </w:r>
      <w:r>
        <w:rPr>
          <w:sz w:val="20"/>
        </w:rPr>
        <w:t>a</w:t>
      </w:r>
      <w:r>
        <w:rPr>
          <w:spacing w:val="15"/>
          <w:sz w:val="20"/>
        </w:rPr>
        <w:t xml:space="preserve"> </w:t>
      </w:r>
      <w:r>
        <w:rPr>
          <w:sz w:val="20"/>
        </w:rPr>
        <w:t>solicitud</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del</w:t>
      </w:r>
      <w:r>
        <w:rPr>
          <w:spacing w:val="40"/>
        </w:rPr>
        <w:t xml:space="preserve"> </w:t>
      </w:r>
      <w:r>
        <w:t>contratista,</w:t>
      </w:r>
      <w:r>
        <w:rPr>
          <w:spacing w:val="40"/>
        </w:rPr>
        <w:t xml:space="preserve"> </w:t>
      </w:r>
      <w:r>
        <w:t>en</w:t>
      </w:r>
      <w:r>
        <w:rPr>
          <w:spacing w:val="40"/>
        </w:rPr>
        <w:t xml:space="preserve"> </w:t>
      </w:r>
      <w:r>
        <w:t>la</w:t>
      </w:r>
      <w:r>
        <w:rPr>
          <w:spacing w:val="40"/>
        </w:rPr>
        <w:t xml:space="preserve"> </w:t>
      </w:r>
      <w:r>
        <w:t>que</w:t>
      </w:r>
      <w:r>
        <w:rPr>
          <w:spacing w:val="40"/>
        </w:rPr>
        <w:t xml:space="preserve"> </w:t>
      </w:r>
      <w:r>
        <w:t>se</w:t>
      </w:r>
      <w:r>
        <w:rPr>
          <w:spacing w:val="40"/>
        </w:rPr>
        <w:t xml:space="preserve"> </w:t>
      </w:r>
      <w:r>
        <w:t>consignarán</w:t>
      </w:r>
      <w:r>
        <w:rPr>
          <w:spacing w:val="40"/>
        </w:rPr>
        <w:t xml:space="preserve"> </w:t>
      </w:r>
      <w:r>
        <w:t>las</w:t>
      </w:r>
      <w:r>
        <w:rPr>
          <w:spacing w:val="40"/>
        </w:rPr>
        <w:t xml:space="preserve"> </w:t>
      </w:r>
      <w:r>
        <w:t>circunstancias</w:t>
      </w:r>
      <w:r>
        <w:rPr>
          <w:spacing w:val="40"/>
        </w:rPr>
        <w:t xml:space="preserve"> </w:t>
      </w:r>
      <w:r>
        <w:t>que</w:t>
      </w:r>
      <w:r>
        <w:rPr>
          <w:spacing w:val="40"/>
        </w:rPr>
        <w:t xml:space="preserve"> </w:t>
      </w:r>
      <w:r>
        <w:t>la</w:t>
      </w:r>
      <w:r>
        <w:rPr>
          <w:spacing w:val="40"/>
        </w:rPr>
        <w:t xml:space="preserve"> </w:t>
      </w:r>
      <w:r>
        <w:t>han</w:t>
      </w:r>
      <w:r>
        <w:rPr>
          <w:spacing w:val="40"/>
        </w:rPr>
        <w:t xml:space="preserve"> </w:t>
      </w:r>
      <w:r>
        <w:t>motivado</w:t>
      </w:r>
      <w:r>
        <w:rPr>
          <w:spacing w:val="40"/>
        </w:rPr>
        <w:t xml:space="preserve"> </w:t>
      </w:r>
      <w:r>
        <w:t>y</w:t>
      </w:r>
      <w:r>
        <w:rPr>
          <w:spacing w:val="40"/>
        </w:rPr>
        <w:t xml:space="preserve"> </w:t>
      </w:r>
      <w:r>
        <w:t>la</w:t>
      </w:r>
      <w:r>
        <w:rPr>
          <w:spacing w:val="40"/>
        </w:rPr>
        <w:t xml:space="preserve"> </w:t>
      </w:r>
      <w:r>
        <w:t>situación de hecho en la ejecución de aquel.</w:t>
      </w:r>
    </w:p>
    <w:p w:rsidR="0092635B" w:rsidRDefault="00000000">
      <w:pPr>
        <w:pStyle w:val="Prrafodelista"/>
        <w:numPr>
          <w:ilvl w:val="0"/>
          <w:numId w:val="173"/>
        </w:numPr>
        <w:tabs>
          <w:tab w:val="left" w:pos="1749"/>
        </w:tabs>
        <w:spacing w:before="1" w:line="249" w:lineRule="auto"/>
        <w:ind w:right="1104" w:firstLine="340"/>
        <w:jc w:val="both"/>
        <w:rPr>
          <w:sz w:val="20"/>
        </w:rPr>
      </w:pPr>
      <w:r>
        <w:rPr>
          <w:sz w:val="20"/>
        </w:rPr>
        <w:t>Acordada la suspensión, la Administración abonará al contratista los daños y perjuicios efectivamente sufridos por este con sujeción a las siguientes reglas:</w:t>
      </w:r>
    </w:p>
    <w:p w:rsidR="0092635B" w:rsidRDefault="00000000">
      <w:pPr>
        <w:pStyle w:val="Prrafodelista"/>
        <w:numPr>
          <w:ilvl w:val="1"/>
          <w:numId w:val="173"/>
        </w:numPr>
        <w:tabs>
          <w:tab w:val="left" w:pos="1735"/>
        </w:tabs>
        <w:spacing w:before="122" w:line="249" w:lineRule="auto"/>
        <w:ind w:right="1104" w:firstLine="340"/>
        <w:jc w:val="both"/>
        <w:rPr>
          <w:sz w:val="20"/>
        </w:rPr>
      </w:pPr>
      <w:r>
        <w:rPr>
          <w:sz w:val="20"/>
        </w:rPr>
        <w:t>Salvo que el pliego que rija el contrato establezca otra cosa, dicho abono solo comprenderá, siempre que en los puntos 1.º a 4.º se acredite fehacientemente su realidad, efectividad e importe, los siguientes conceptos:</w:t>
      </w:r>
    </w:p>
    <w:p w:rsidR="0092635B" w:rsidRDefault="00000000">
      <w:pPr>
        <w:pStyle w:val="Prrafodelista"/>
        <w:numPr>
          <w:ilvl w:val="2"/>
          <w:numId w:val="173"/>
        </w:numPr>
        <w:tabs>
          <w:tab w:val="left" w:pos="1610"/>
        </w:tabs>
        <w:spacing w:before="122"/>
        <w:ind w:left="1610" w:right="0" w:hanging="164"/>
        <w:jc w:val="both"/>
        <w:rPr>
          <w:sz w:val="20"/>
        </w:rPr>
      </w:pPr>
      <w:r>
        <w:rPr>
          <w:sz w:val="20"/>
        </w:rPr>
        <w:t>º</w:t>
      </w:r>
      <w:r>
        <w:rPr>
          <w:spacing w:val="-4"/>
          <w:sz w:val="20"/>
        </w:rPr>
        <w:t xml:space="preserve"> </w:t>
      </w:r>
      <w:r>
        <w:rPr>
          <w:sz w:val="20"/>
        </w:rPr>
        <w:t>Gastos</w:t>
      </w:r>
      <w:r>
        <w:rPr>
          <w:spacing w:val="-3"/>
          <w:sz w:val="20"/>
        </w:rPr>
        <w:t xml:space="preserve"> </w:t>
      </w:r>
      <w:r>
        <w:rPr>
          <w:sz w:val="20"/>
        </w:rPr>
        <w:t>por</w:t>
      </w:r>
      <w:r>
        <w:rPr>
          <w:spacing w:val="-3"/>
          <w:sz w:val="20"/>
        </w:rPr>
        <w:t xml:space="preserve"> </w:t>
      </w:r>
      <w:r>
        <w:rPr>
          <w:sz w:val="20"/>
        </w:rPr>
        <w:t>mantenimiento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garantía</w:t>
      </w:r>
      <w:r>
        <w:rPr>
          <w:spacing w:val="-3"/>
          <w:sz w:val="20"/>
        </w:rPr>
        <w:t xml:space="preserve"> </w:t>
      </w:r>
      <w:r>
        <w:rPr>
          <w:spacing w:val="-2"/>
          <w:sz w:val="20"/>
        </w:rPr>
        <w:t>definitiva.</w:t>
      </w:r>
    </w:p>
    <w:p w:rsidR="0092635B" w:rsidRDefault="00000000">
      <w:pPr>
        <w:pStyle w:val="Prrafodelista"/>
        <w:numPr>
          <w:ilvl w:val="2"/>
          <w:numId w:val="173"/>
        </w:numPr>
        <w:tabs>
          <w:tab w:val="left" w:pos="1610"/>
        </w:tabs>
        <w:spacing w:before="10" w:line="249" w:lineRule="auto"/>
        <w:ind w:left="1106" w:right="1105" w:firstLine="340"/>
        <w:jc w:val="both"/>
        <w:rPr>
          <w:sz w:val="20"/>
        </w:rPr>
      </w:pPr>
      <w:r>
        <w:rPr>
          <w:sz w:val="20"/>
        </w:rPr>
        <w:t xml:space="preserve">º Indemnizaciones por extinción o suspensión de los contratos de trabajo que el contratista tuviera concertados para la ejecución del contrato al tiempo de iniciarse la </w:t>
      </w:r>
      <w:r>
        <w:rPr>
          <w:spacing w:val="-2"/>
          <w:sz w:val="20"/>
        </w:rPr>
        <w:t>suspensión.</w:t>
      </w:r>
    </w:p>
    <w:p w:rsidR="0092635B" w:rsidRDefault="00000000">
      <w:pPr>
        <w:pStyle w:val="Prrafodelista"/>
        <w:numPr>
          <w:ilvl w:val="2"/>
          <w:numId w:val="173"/>
        </w:numPr>
        <w:tabs>
          <w:tab w:val="left" w:pos="1610"/>
        </w:tabs>
        <w:spacing w:before="3" w:line="249" w:lineRule="auto"/>
        <w:ind w:left="1106" w:right="1106" w:firstLine="340"/>
        <w:jc w:val="both"/>
        <w:rPr>
          <w:sz w:val="20"/>
        </w:rPr>
      </w:pPr>
      <w:r>
        <w:rPr>
          <w:sz w:val="20"/>
        </w:rPr>
        <w:t>º Gastos salariales del personal que necesariamente deba quedar adscrito al contrato durante el período de suspensión.</w:t>
      </w:r>
    </w:p>
    <w:p w:rsidR="0092635B" w:rsidRDefault="00000000">
      <w:pPr>
        <w:pStyle w:val="Prrafodelista"/>
        <w:numPr>
          <w:ilvl w:val="2"/>
          <w:numId w:val="173"/>
        </w:numPr>
        <w:tabs>
          <w:tab w:val="left" w:pos="1610"/>
        </w:tabs>
        <w:spacing w:line="249" w:lineRule="auto"/>
        <w:ind w:left="1106" w:right="1104" w:firstLine="340"/>
        <w:jc w:val="both"/>
        <w:rPr>
          <w:sz w:val="20"/>
        </w:rPr>
      </w:pPr>
      <w:r>
        <w:rPr>
          <w:sz w:val="20"/>
        </w:rPr>
        <w:t>º Alquileres o costes de mantenimiento de maquinaria, instalaciones y equipos siempre que el contratista acredite que estos medios no pudieron ser empleados para otros fines distintos de la ejecución del contrato suspendido.</w:t>
      </w:r>
    </w:p>
    <w:p w:rsidR="0092635B" w:rsidRDefault="00000000">
      <w:pPr>
        <w:pStyle w:val="Prrafodelista"/>
        <w:numPr>
          <w:ilvl w:val="2"/>
          <w:numId w:val="173"/>
        </w:numPr>
        <w:tabs>
          <w:tab w:val="left" w:pos="1610"/>
        </w:tabs>
        <w:ind w:left="1610" w:right="0" w:hanging="164"/>
        <w:jc w:val="both"/>
        <w:rPr>
          <w:sz w:val="20"/>
        </w:rPr>
      </w:pPr>
      <w:r>
        <w:rPr>
          <w:sz w:val="20"/>
        </w:rPr>
        <w:t>º</w:t>
      </w:r>
      <w:r>
        <w:rPr>
          <w:spacing w:val="-1"/>
          <w:sz w:val="20"/>
        </w:rPr>
        <w:t xml:space="preserve"> </w:t>
      </w:r>
      <w:r>
        <w:rPr>
          <w:spacing w:val="-2"/>
          <w:sz w:val="20"/>
        </w:rPr>
        <w:t>Suprimido.</w:t>
      </w:r>
    </w:p>
    <w:p w:rsidR="0092635B" w:rsidRDefault="00000000">
      <w:pPr>
        <w:pStyle w:val="Prrafodelista"/>
        <w:numPr>
          <w:ilvl w:val="2"/>
          <w:numId w:val="173"/>
        </w:numPr>
        <w:tabs>
          <w:tab w:val="left" w:pos="1610"/>
        </w:tabs>
        <w:spacing w:before="10" w:line="249" w:lineRule="auto"/>
        <w:ind w:left="1106" w:right="1104" w:firstLine="340"/>
        <w:jc w:val="both"/>
        <w:rPr>
          <w:sz w:val="20"/>
        </w:rPr>
      </w:pPr>
      <w:r>
        <w:rPr>
          <w:sz w:val="20"/>
        </w:rPr>
        <w:t>º Los gastos correspondientes a las pólizas de seguro suscritas por el contratista previstos en el pliego de cláusulas administrativas vinculados al objeto del contrato.</w:t>
      </w:r>
    </w:p>
    <w:p w:rsidR="0092635B" w:rsidRDefault="00000000">
      <w:pPr>
        <w:pStyle w:val="Prrafodelista"/>
        <w:numPr>
          <w:ilvl w:val="1"/>
          <w:numId w:val="173"/>
        </w:numPr>
        <w:tabs>
          <w:tab w:val="left" w:pos="1684"/>
        </w:tabs>
        <w:spacing w:before="122" w:line="249" w:lineRule="auto"/>
        <w:ind w:right="1104" w:firstLine="340"/>
        <w:jc w:val="both"/>
        <w:rPr>
          <w:sz w:val="20"/>
        </w:rPr>
      </w:pPr>
      <w:r>
        <w:rPr>
          <w:sz w:val="20"/>
        </w:rPr>
        <w:t>Solo se indemnizarán los períodos de suspensión que estuvieran documentados en la correspondiente acta. El contratista podrá pedir que se extienda dicha acta. Si la Administración no responde a esta solicitud se entenderá, salvo prueba en contrario, que se ha iniciado la suspensión en la fecha señalada por el contratista en su solicitud.</w:t>
      </w:r>
    </w:p>
    <w:p w:rsidR="0092635B" w:rsidRDefault="00000000">
      <w:pPr>
        <w:pStyle w:val="Prrafodelista"/>
        <w:numPr>
          <w:ilvl w:val="1"/>
          <w:numId w:val="173"/>
        </w:numPr>
        <w:tabs>
          <w:tab w:val="left" w:pos="1679"/>
        </w:tabs>
        <w:spacing w:before="3" w:line="249" w:lineRule="auto"/>
        <w:ind w:right="1105" w:firstLine="340"/>
        <w:jc w:val="both"/>
        <w:rPr>
          <w:sz w:val="20"/>
        </w:rPr>
      </w:pPr>
      <w:r>
        <w:rPr>
          <w:sz w:val="20"/>
        </w:rPr>
        <w:t>El derecho a reclamar prescribe en un año contado desde que el contratista reciba la orden de reanudar la ejecución del contrato.</w:t>
      </w:r>
    </w:p>
    <w:p w:rsidR="0092635B" w:rsidRDefault="00000000">
      <w:pPr>
        <w:spacing w:before="228"/>
        <w:ind w:left="1106"/>
        <w:rPr>
          <w:rFonts w:ascii="Arial" w:hAnsi="Arial"/>
          <w:i/>
          <w:sz w:val="20"/>
        </w:rPr>
      </w:pPr>
      <w:bookmarkStart w:id="324" w:name="Artículo_209._Extinción_de_los_contratos"/>
      <w:bookmarkEnd w:id="324"/>
      <w:r>
        <w:rPr>
          <w:rFonts w:ascii="Arial" w:hAnsi="Arial"/>
          <w:b/>
          <w:sz w:val="20"/>
        </w:rPr>
        <w:t>Artículo</w:t>
      </w:r>
      <w:r>
        <w:rPr>
          <w:rFonts w:ascii="Arial" w:hAnsi="Arial"/>
          <w:b/>
          <w:spacing w:val="-2"/>
          <w:sz w:val="20"/>
        </w:rPr>
        <w:t xml:space="preserve"> </w:t>
      </w:r>
      <w:r>
        <w:rPr>
          <w:rFonts w:ascii="Arial" w:hAnsi="Arial"/>
          <w:b/>
          <w:sz w:val="20"/>
        </w:rPr>
        <w:t>209.</w:t>
      </w:r>
      <w:r>
        <w:rPr>
          <w:rFonts w:ascii="Arial" w:hAnsi="Arial"/>
          <w:b/>
          <w:spacing w:val="51"/>
          <w:sz w:val="20"/>
        </w:rPr>
        <w:t xml:space="preserve"> </w:t>
      </w:r>
      <w:r>
        <w:rPr>
          <w:rFonts w:ascii="Arial" w:hAnsi="Arial"/>
          <w:i/>
          <w:sz w:val="20"/>
        </w:rPr>
        <w:t>Extinción</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contratos.</w:t>
      </w:r>
    </w:p>
    <w:p w:rsidR="0092635B" w:rsidRDefault="00000000">
      <w:pPr>
        <w:pStyle w:val="Textoindependiente"/>
        <w:spacing w:before="124" w:line="249" w:lineRule="auto"/>
        <w:ind w:right="1104"/>
      </w:pPr>
      <w:r>
        <w:t>Los contratos se extinguirán por su cumplimiento o por resolución, acordada de acuerdo con lo regulado en esta Subsección 5.ª</w:t>
      </w:r>
    </w:p>
    <w:p w:rsidR="0092635B" w:rsidRDefault="00000000">
      <w:pPr>
        <w:spacing w:before="228"/>
        <w:ind w:left="1106"/>
        <w:rPr>
          <w:rFonts w:ascii="Arial" w:hAnsi="Arial"/>
          <w:i/>
          <w:sz w:val="20"/>
        </w:rPr>
      </w:pPr>
      <w:bookmarkStart w:id="325" w:name="Artículo_210._Cumplimiento_de_los_contra"/>
      <w:bookmarkEnd w:id="325"/>
      <w:r>
        <w:rPr>
          <w:rFonts w:ascii="Arial" w:hAnsi="Arial"/>
          <w:b/>
          <w:sz w:val="20"/>
        </w:rPr>
        <w:t>Artículo</w:t>
      </w:r>
      <w:r>
        <w:rPr>
          <w:rFonts w:ascii="Arial" w:hAnsi="Arial"/>
          <w:b/>
          <w:spacing w:val="-4"/>
          <w:sz w:val="20"/>
        </w:rPr>
        <w:t xml:space="preserve"> </w:t>
      </w:r>
      <w:r>
        <w:rPr>
          <w:rFonts w:ascii="Arial" w:hAnsi="Arial"/>
          <w:b/>
          <w:sz w:val="20"/>
        </w:rPr>
        <w:t>210.</w:t>
      </w:r>
      <w:r>
        <w:rPr>
          <w:rFonts w:ascii="Arial" w:hAnsi="Arial"/>
          <w:b/>
          <w:spacing w:val="50"/>
          <w:sz w:val="20"/>
        </w:rPr>
        <w:t xml:space="preserve"> </w:t>
      </w:r>
      <w:r>
        <w:rPr>
          <w:rFonts w:ascii="Arial" w:hAnsi="Arial"/>
          <w:i/>
          <w:sz w:val="20"/>
        </w:rPr>
        <w:t>Cumplimiento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recepción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prestación.</w:t>
      </w:r>
    </w:p>
    <w:p w:rsidR="0092635B" w:rsidRDefault="00000000">
      <w:pPr>
        <w:pStyle w:val="Prrafodelista"/>
        <w:numPr>
          <w:ilvl w:val="0"/>
          <w:numId w:val="172"/>
        </w:numPr>
        <w:tabs>
          <w:tab w:val="left" w:pos="1691"/>
        </w:tabs>
        <w:spacing w:before="124" w:line="249" w:lineRule="auto"/>
        <w:ind w:right="1105" w:firstLine="340"/>
        <w:jc w:val="both"/>
        <w:rPr>
          <w:sz w:val="20"/>
        </w:rPr>
      </w:pPr>
      <w:r>
        <w:rPr>
          <w:sz w:val="20"/>
        </w:rPr>
        <w:t xml:space="preserve">El contrato se entenderá cumplido por el contratista cuando este haya realizado, de acuerdo con los términos del mismo y a satisfacción de la Administración, la totalidad de la </w:t>
      </w:r>
      <w:r>
        <w:rPr>
          <w:spacing w:val="-2"/>
          <w:sz w:val="20"/>
        </w:rPr>
        <w:t>prestación.</w:t>
      </w:r>
    </w:p>
    <w:p w:rsidR="0092635B" w:rsidRDefault="00000000">
      <w:pPr>
        <w:pStyle w:val="Prrafodelista"/>
        <w:numPr>
          <w:ilvl w:val="0"/>
          <w:numId w:val="172"/>
        </w:numPr>
        <w:tabs>
          <w:tab w:val="left" w:pos="1682"/>
        </w:tabs>
        <w:spacing w:line="249" w:lineRule="auto"/>
        <w:ind w:right="1104" w:firstLine="340"/>
        <w:jc w:val="both"/>
        <w:rPr>
          <w:sz w:val="20"/>
        </w:rPr>
      </w:pPr>
      <w:r>
        <w:rPr>
          <w:sz w:val="20"/>
        </w:rPr>
        <w:t>En todo caso, su constatación exigirá por parte de la Administración un acto formal y positivo de recepción o conformidad dentro del mes siguiente a la entrega o realización del objeto del contrato, o en el plazo que se determine en el pliego de cláusulas administrativas particulares por razón de sus características. A la Intervención de la Administración correspondiente le será comunicado, cuando ello sea preceptivo, la fecha y lugar del acto, para su eventual asistencia en ejercicio de sus funciones de comprobación de la inversión.</w:t>
      </w:r>
    </w:p>
    <w:p w:rsidR="0092635B" w:rsidRDefault="00000000">
      <w:pPr>
        <w:pStyle w:val="Prrafodelista"/>
        <w:numPr>
          <w:ilvl w:val="0"/>
          <w:numId w:val="172"/>
        </w:numPr>
        <w:tabs>
          <w:tab w:val="left" w:pos="1695"/>
        </w:tabs>
        <w:spacing w:before="5" w:line="249" w:lineRule="auto"/>
        <w:ind w:firstLine="340"/>
        <w:jc w:val="both"/>
        <w:rPr>
          <w:sz w:val="20"/>
        </w:rPr>
      </w:pPr>
      <w:r>
        <w:rPr>
          <w:sz w:val="20"/>
        </w:rPr>
        <w:t>En los contratos se fijará un plazo de garantía a contar de la fecha de recepción o conformidad, transcurrido el cual sin objeciones por parte de la Administración, salvo los supuestos en que se establezca otro plazo en esta Ley o en otras normas, quedará extinguida la responsabilidad del contratista. Se exceptúan del plazo de garantía aquellos contratos en que por su naturaleza o características no resulte necesario, lo que deberá justificarse debidamente en el expediente de contratación, consignándolo expresamente en</w:t>
      </w:r>
      <w:r>
        <w:rPr>
          <w:spacing w:val="40"/>
          <w:sz w:val="20"/>
        </w:rPr>
        <w:t xml:space="preserve"> </w:t>
      </w:r>
      <w:r>
        <w:rPr>
          <w:sz w:val="20"/>
        </w:rPr>
        <w:t>el pliego.</w:t>
      </w:r>
    </w:p>
    <w:p w:rsidR="0092635B" w:rsidRDefault="00000000">
      <w:pPr>
        <w:pStyle w:val="Prrafodelista"/>
        <w:numPr>
          <w:ilvl w:val="0"/>
          <w:numId w:val="172"/>
        </w:numPr>
        <w:tabs>
          <w:tab w:val="left" w:pos="1679"/>
        </w:tabs>
        <w:spacing w:before="6" w:line="249" w:lineRule="auto"/>
        <w:ind w:firstLine="340"/>
        <w:jc w:val="both"/>
        <w:rPr>
          <w:sz w:val="20"/>
        </w:rPr>
      </w:pPr>
      <w:r>
        <w:rPr>
          <w:sz w:val="20"/>
        </w:rPr>
        <w:t>Excepto en los contratos de obras, que se regirán por lo dispuesto en el artículo 243, dentro del plazo de treinta días a contar desde la fecha del acta de recepción o conformidad, deberá acordarse en su caso y cuando la naturaleza del contrato lo exija, y ser notificada al contratista la liquidación correspondiente del contrato, y abonársele, en su caso, el saldo resultante. No obstante, si la Administración Pública recibe la factura con posterioridad a la fecha en que tiene lugar dicha recepción, el plazo de treinta días se contará desde su correcta presentación por el contratista en el registro correspondiente en los términos establecidos en la normativa vigente en materia de factura electrónica. Si se produjera demora</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pago</w:t>
      </w:r>
      <w:r>
        <w:rPr>
          <w:spacing w:val="40"/>
          <w:sz w:val="20"/>
        </w:rPr>
        <w:t xml:space="preserve"> </w:t>
      </w:r>
      <w:r>
        <w:rPr>
          <w:sz w:val="20"/>
        </w:rPr>
        <w:t>del</w:t>
      </w:r>
      <w:r>
        <w:rPr>
          <w:spacing w:val="40"/>
          <w:sz w:val="20"/>
        </w:rPr>
        <w:t xml:space="preserve"> </w:t>
      </w:r>
      <w:r>
        <w:rPr>
          <w:sz w:val="20"/>
        </w:rPr>
        <w:t>saldo</w:t>
      </w:r>
      <w:r>
        <w:rPr>
          <w:spacing w:val="40"/>
          <w:sz w:val="20"/>
        </w:rPr>
        <w:t xml:space="preserve"> </w:t>
      </w:r>
      <w:r>
        <w:rPr>
          <w:sz w:val="20"/>
        </w:rPr>
        <w:t>de</w:t>
      </w:r>
      <w:r>
        <w:rPr>
          <w:spacing w:val="40"/>
          <w:sz w:val="20"/>
        </w:rPr>
        <w:t xml:space="preserve"> </w:t>
      </w:r>
      <w:r>
        <w:rPr>
          <w:sz w:val="20"/>
        </w:rPr>
        <w:t>liquidación,</w:t>
      </w:r>
      <w:r>
        <w:rPr>
          <w:spacing w:val="40"/>
          <w:sz w:val="20"/>
        </w:rPr>
        <w:t xml:space="preserve"> </w:t>
      </w:r>
      <w:r>
        <w:rPr>
          <w:sz w:val="20"/>
        </w:rPr>
        <w:t>el</w:t>
      </w:r>
      <w:r>
        <w:rPr>
          <w:spacing w:val="40"/>
          <w:sz w:val="20"/>
        </w:rPr>
        <w:t xml:space="preserve"> </w:t>
      </w:r>
      <w:r>
        <w:rPr>
          <w:sz w:val="20"/>
        </w:rPr>
        <w:t>contratista</w:t>
      </w:r>
      <w:r>
        <w:rPr>
          <w:spacing w:val="40"/>
          <w:sz w:val="20"/>
        </w:rPr>
        <w:t xml:space="preserve"> </w:t>
      </w:r>
      <w:r>
        <w:rPr>
          <w:sz w:val="20"/>
        </w:rPr>
        <w:t>tendrá</w:t>
      </w:r>
      <w:r>
        <w:rPr>
          <w:spacing w:val="40"/>
          <w:sz w:val="20"/>
        </w:rPr>
        <w:t xml:space="preserve"> </w:t>
      </w:r>
      <w:r>
        <w:rPr>
          <w:sz w:val="20"/>
        </w:rPr>
        <w:t>derecho</w:t>
      </w:r>
      <w:r>
        <w:rPr>
          <w:spacing w:val="40"/>
          <w:sz w:val="20"/>
        </w:rPr>
        <w:t xml:space="preserve"> </w:t>
      </w:r>
      <w:r>
        <w:rPr>
          <w:sz w:val="20"/>
        </w:rPr>
        <w:t>a</w:t>
      </w:r>
      <w:r>
        <w:rPr>
          <w:spacing w:val="40"/>
          <w:sz w:val="20"/>
        </w:rPr>
        <w:t xml:space="preserve"> </w:t>
      </w:r>
      <w:r>
        <w:rPr>
          <w:sz w:val="20"/>
        </w:rPr>
        <w:t>percibir</w:t>
      </w:r>
      <w:r>
        <w:rPr>
          <w:spacing w:val="40"/>
          <w:sz w:val="20"/>
        </w:rPr>
        <w:t xml:space="preserve"> </w:t>
      </w:r>
      <w:r>
        <w:rPr>
          <w:sz w:val="20"/>
        </w:rPr>
        <w:t>los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hanging="1"/>
      </w:pPr>
      <w:r>
        <w:t>intereses de demora y la indemnización por los costes de cobro en los términos previstos en la Ley 3/2004, de 29 de diciembre, por la que se establecen medidas de lucha contra la morosidad en las operaciones comerciales.</w:t>
      </w:r>
    </w:p>
    <w:p w:rsidR="0092635B" w:rsidRDefault="00000000">
      <w:pPr>
        <w:spacing w:before="229"/>
        <w:ind w:left="1106"/>
        <w:jc w:val="both"/>
        <w:rPr>
          <w:rFonts w:ascii="Arial" w:hAnsi="Arial"/>
          <w:i/>
          <w:sz w:val="20"/>
        </w:rPr>
      </w:pPr>
      <w:bookmarkStart w:id="326" w:name="Artículo_211._Causas_de_resolución."/>
      <w:bookmarkEnd w:id="326"/>
      <w:r>
        <w:rPr>
          <w:rFonts w:ascii="Arial" w:hAnsi="Arial"/>
          <w:b/>
          <w:sz w:val="20"/>
        </w:rPr>
        <w:t>Artículo</w:t>
      </w:r>
      <w:r>
        <w:rPr>
          <w:rFonts w:ascii="Arial" w:hAnsi="Arial"/>
          <w:b/>
          <w:spacing w:val="-3"/>
          <w:sz w:val="20"/>
        </w:rPr>
        <w:t xml:space="preserve"> </w:t>
      </w:r>
      <w:r>
        <w:rPr>
          <w:rFonts w:ascii="Arial" w:hAnsi="Arial"/>
          <w:b/>
          <w:sz w:val="20"/>
        </w:rPr>
        <w:t>211.</w:t>
      </w:r>
      <w:r>
        <w:rPr>
          <w:rFonts w:ascii="Arial" w:hAnsi="Arial"/>
          <w:b/>
          <w:spacing w:val="48"/>
          <w:sz w:val="20"/>
        </w:rPr>
        <w:t xml:space="preserve"> </w:t>
      </w:r>
      <w:r>
        <w:rPr>
          <w:rFonts w:ascii="Arial" w:hAnsi="Arial"/>
          <w:i/>
          <w:sz w:val="20"/>
        </w:rPr>
        <w:t>Causas</w:t>
      </w:r>
      <w:r>
        <w:rPr>
          <w:rFonts w:ascii="Arial" w:hAnsi="Arial"/>
          <w:i/>
          <w:spacing w:val="-3"/>
          <w:sz w:val="20"/>
        </w:rPr>
        <w:t xml:space="preserve"> </w:t>
      </w:r>
      <w:r>
        <w:rPr>
          <w:rFonts w:ascii="Arial" w:hAnsi="Arial"/>
          <w:i/>
          <w:sz w:val="20"/>
        </w:rPr>
        <w:t>de</w:t>
      </w:r>
      <w:r>
        <w:rPr>
          <w:rFonts w:ascii="Arial" w:hAnsi="Arial"/>
          <w:i/>
          <w:spacing w:val="-2"/>
          <w:sz w:val="20"/>
        </w:rPr>
        <w:t xml:space="preserve"> resolución.</w:t>
      </w:r>
    </w:p>
    <w:p w:rsidR="0092635B" w:rsidRDefault="00000000">
      <w:pPr>
        <w:pStyle w:val="Prrafodelista"/>
        <w:numPr>
          <w:ilvl w:val="0"/>
          <w:numId w:val="171"/>
        </w:numPr>
        <w:tabs>
          <w:tab w:val="left" w:pos="1668"/>
        </w:tabs>
        <w:spacing w:before="123"/>
        <w:ind w:right="0" w:hanging="222"/>
        <w:jc w:val="both"/>
        <w:rPr>
          <w:sz w:val="20"/>
        </w:rPr>
      </w:pPr>
      <w:r>
        <w:rPr>
          <w:sz w:val="20"/>
        </w:rPr>
        <w:t>Son</w:t>
      </w:r>
      <w:r>
        <w:rPr>
          <w:spacing w:val="-3"/>
          <w:sz w:val="20"/>
        </w:rPr>
        <w:t xml:space="preserve"> </w:t>
      </w:r>
      <w:r>
        <w:rPr>
          <w:sz w:val="20"/>
        </w:rPr>
        <w:t>causas</w:t>
      </w:r>
      <w:r>
        <w:rPr>
          <w:spacing w:val="-3"/>
          <w:sz w:val="20"/>
        </w:rPr>
        <w:t xml:space="preserve"> </w:t>
      </w:r>
      <w:r>
        <w:rPr>
          <w:sz w:val="20"/>
        </w:rPr>
        <w:t>de</w:t>
      </w:r>
      <w:r>
        <w:rPr>
          <w:spacing w:val="-3"/>
          <w:sz w:val="20"/>
        </w:rPr>
        <w:t xml:space="preserve"> </w:t>
      </w:r>
      <w:r>
        <w:rPr>
          <w:sz w:val="20"/>
        </w:rPr>
        <w:t>resolución</w:t>
      </w:r>
      <w:r>
        <w:rPr>
          <w:spacing w:val="-3"/>
          <w:sz w:val="20"/>
        </w:rPr>
        <w:t xml:space="preserve"> </w:t>
      </w:r>
      <w:r>
        <w:rPr>
          <w:sz w:val="20"/>
        </w:rPr>
        <w:t>del</w:t>
      </w:r>
      <w:r>
        <w:rPr>
          <w:spacing w:val="-2"/>
          <w:sz w:val="20"/>
        </w:rPr>
        <w:t xml:space="preserve"> contrato:</w:t>
      </w:r>
    </w:p>
    <w:p w:rsidR="0092635B" w:rsidRDefault="00000000">
      <w:pPr>
        <w:pStyle w:val="Prrafodelista"/>
        <w:numPr>
          <w:ilvl w:val="1"/>
          <w:numId w:val="171"/>
        </w:numPr>
        <w:tabs>
          <w:tab w:val="left" w:pos="1714"/>
        </w:tabs>
        <w:spacing w:before="130" w:line="249" w:lineRule="auto"/>
        <w:ind w:right="1106" w:firstLine="340"/>
        <w:jc w:val="both"/>
        <w:rPr>
          <w:sz w:val="20"/>
        </w:rPr>
      </w:pPr>
      <w:r>
        <w:rPr>
          <w:sz w:val="20"/>
        </w:rPr>
        <w:t>La muerte o incapacidad sobrevenida del contratista individual o la extinción de la personalidad jurídica de la sociedad contratista, sin perjuicio de lo previsto en el artículo 98 relativo a la sucesión del contratista.</w:t>
      </w:r>
    </w:p>
    <w:p w:rsidR="0092635B" w:rsidRDefault="00000000">
      <w:pPr>
        <w:pStyle w:val="Prrafodelista"/>
        <w:numPr>
          <w:ilvl w:val="1"/>
          <w:numId w:val="171"/>
        </w:numPr>
        <w:tabs>
          <w:tab w:val="left" w:pos="1756"/>
        </w:tabs>
        <w:spacing w:before="3" w:line="249" w:lineRule="auto"/>
        <w:ind w:right="1104" w:firstLine="340"/>
        <w:jc w:val="both"/>
        <w:rPr>
          <w:sz w:val="20"/>
        </w:rPr>
      </w:pPr>
      <w:r>
        <w:rPr>
          <w:sz w:val="20"/>
        </w:rPr>
        <w:t xml:space="preserve">La declaración de concurso o la declaración de insolvencia en cualquier otro </w:t>
      </w:r>
      <w:r>
        <w:rPr>
          <w:spacing w:val="-2"/>
          <w:sz w:val="20"/>
        </w:rPr>
        <w:t>procedimiento.</w:t>
      </w:r>
    </w:p>
    <w:p w:rsidR="0092635B" w:rsidRDefault="00000000">
      <w:pPr>
        <w:pStyle w:val="Prrafodelista"/>
        <w:numPr>
          <w:ilvl w:val="1"/>
          <w:numId w:val="171"/>
        </w:numPr>
        <w:tabs>
          <w:tab w:val="left" w:pos="1668"/>
        </w:tabs>
        <w:spacing w:before="1"/>
        <w:ind w:left="1668" w:right="0" w:hanging="222"/>
        <w:jc w:val="both"/>
        <w:rPr>
          <w:sz w:val="20"/>
        </w:rPr>
      </w:pPr>
      <w:r>
        <w:rPr>
          <w:sz w:val="20"/>
        </w:rPr>
        <w:t>El</w:t>
      </w:r>
      <w:r>
        <w:rPr>
          <w:spacing w:val="-4"/>
          <w:sz w:val="20"/>
        </w:rPr>
        <w:t xml:space="preserve"> </w:t>
      </w:r>
      <w:r>
        <w:rPr>
          <w:sz w:val="20"/>
        </w:rPr>
        <w:t>mutuo</w:t>
      </w:r>
      <w:r>
        <w:rPr>
          <w:spacing w:val="-4"/>
          <w:sz w:val="20"/>
        </w:rPr>
        <w:t xml:space="preserve"> </w:t>
      </w:r>
      <w:r>
        <w:rPr>
          <w:sz w:val="20"/>
        </w:rPr>
        <w:t>acuerdo</w:t>
      </w:r>
      <w:r>
        <w:rPr>
          <w:spacing w:val="-4"/>
          <w:sz w:val="20"/>
        </w:rPr>
        <w:t xml:space="preserve"> </w:t>
      </w:r>
      <w:r>
        <w:rPr>
          <w:sz w:val="20"/>
        </w:rPr>
        <w:t>entre</w:t>
      </w:r>
      <w:r>
        <w:rPr>
          <w:spacing w:val="-3"/>
          <w:sz w:val="20"/>
        </w:rPr>
        <w:t xml:space="preserve"> </w:t>
      </w:r>
      <w:r>
        <w:rPr>
          <w:sz w:val="20"/>
        </w:rPr>
        <w:t>la</w:t>
      </w:r>
      <w:r>
        <w:rPr>
          <w:spacing w:val="-4"/>
          <w:sz w:val="20"/>
        </w:rPr>
        <w:t xml:space="preserve"> </w:t>
      </w:r>
      <w:r>
        <w:rPr>
          <w:sz w:val="20"/>
        </w:rPr>
        <w:t>Administración</w:t>
      </w:r>
      <w:r>
        <w:rPr>
          <w:spacing w:val="-4"/>
          <w:sz w:val="20"/>
        </w:rPr>
        <w:t xml:space="preserve"> </w:t>
      </w:r>
      <w:r>
        <w:rPr>
          <w:sz w:val="20"/>
        </w:rPr>
        <w:t>y</w:t>
      </w:r>
      <w:r>
        <w:rPr>
          <w:spacing w:val="-4"/>
          <w:sz w:val="20"/>
        </w:rPr>
        <w:t xml:space="preserve"> </w:t>
      </w:r>
      <w:r>
        <w:rPr>
          <w:sz w:val="20"/>
        </w:rPr>
        <w:t>el</w:t>
      </w:r>
      <w:r>
        <w:rPr>
          <w:spacing w:val="-3"/>
          <w:sz w:val="20"/>
        </w:rPr>
        <w:t xml:space="preserve"> </w:t>
      </w:r>
      <w:r>
        <w:rPr>
          <w:spacing w:val="-2"/>
          <w:sz w:val="20"/>
        </w:rPr>
        <w:t>contratista.</w:t>
      </w:r>
    </w:p>
    <w:p w:rsidR="0092635B" w:rsidRDefault="00000000">
      <w:pPr>
        <w:pStyle w:val="Prrafodelista"/>
        <w:numPr>
          <w:ilvl w:val="1"/>
          <w:numId w:val="171"/>
        </w:numPr>
        <w:tabs>
          <w:tab w:val="left" w:pos="1679"/>
        </w:tabs>
        <w:spacing w:before="10"/>
        <w:ind w:left="1679" w:right="0" w:hanging="233"/>
        <w:jc w:val="both"/>
        <w:rPr>
          <w:sz w:val="20"/>
        </w:rPr>
      </w:pPr>
      <w:r>
        <w:rPr>
          <w:sz w:val="20"/>
        </w:rPr>
        <w:t>La</w:t>
      </w:r>
      <w:r>
        <w:rPr>
          <w:spacing w:val="-3"/>
          <w:sz w:val="20"/>
        </w:rPr>
        <w:t xml:space="preserve"> </w:t>
      </w:r>
      <w:r>
        <w:rPr>
          <w:sz w:val="20"/>
        </w:rPr>
        <w:t>demora</w:t>
      </w:r>
      <w:r>
        <w:rPr>
          <w:spacing w:val="-2"/>
          <w:sz w:val="20"/>
        </w:rPr>
        <w:t xml:space="preserve"> </w:t>
      </w:r>
      <w:r>
        <w:rPr>
          <w:sz w:val="20"/>
        </w:rPr>
        <w:t>en</w:t>
      </w:r>
      <w:r>
        <w:rPr>
          <w:spacing w:val="-3"/>
          <w:sz w:val="20"/>
        </w:rPr>
        <w:t xml:space="preserve"> </w:t>
      </w:r>
      <w:r>
        <w:rPr>
          <w:sz w:val="20"/>
        </w:rPr>
        <w:t>el</w:t>
      </w:r>
      <w:r>
        <w:rPr>
          <w:spacing w:val="-2"/>
          <w:sz w:val="20"/>
        </w:rPr>
        <w:t xml:space="preserve"> </w:t>
      </w:r>
      <w:r>
        <w:rPr>
          <w:sz w:val="20"/>
        </w:rPr>
        <w:t>cumplimiento</w:t>
      </w:r>
      <w:r>
        <w:rPr>
          <w:spacing w:val="-2"/>
          <w:sz w:val="20"/>
        </w:rPr>
        <w:t xml:space="preserve"> </w:t>
      </w:r>
      <w:r>
        <w:rPr>
          <w:sz w:val="20"/>
        </w:rPr>
        <w:t>de</w:t>
      </w:r>
      <w:r>
        <w:rPr>
          <w:spacing w:val="-3"/>
          <w:sz w:val="20"/>
        </w:rPr>
        <w:t xml:space="preserve"> </w:t>
      </w:r>
      <w:r>
        <w:rPr>
          <w:sz w:val="20"/>
        </w:rPr>
        <w:t>los</w:t>
      </w:r>
      <w:r>
        <w:rPr>
          <w:spacing w:val="-2"/>
          <w:sz w:val="20"/>
        </w:rPr>
        <w:t xml:space="preserve"> </w:t>
      </w:r>
      <w:r>
        <w:rPr>
          <w:sz w:val="20"/>
        </w:rPr>
        <w:t>plazos</w:t>
      </w:r>
      <w:r>
        <w:rPr>
          <w:spacing w:val="-2"/>
          <w:sz w:val="20"/>
        </w:rPr>
        <w:t xml:space="preserve"> </w:t>
      </w:r>
      <w:r>
        <w:rPr>
          <w:sz w:val="20"/>
        </w:rPr>
        <w:t>por</w:t>
      </w:r>
      <w:r>
        <w:rPr>
          <w:spacing w:val="-3"/>
          <w:sz w:val="20"/>
        </w:rPr>
        <w:t xml:space="preserve"> </w:t>
      </w:r>
      <w:r>
        <w:rPr>
          <w:sz w:val="20"/>
        </w:rPr>
        <w:t>parte</w:t>
      </w:r>
      <w:r>
        <w:rPr>
          <w:spacing w:val="-2"/>
          <w:sz w:val="20"/>
        </w:rPr>
        <w:t xml:space="preserve"> </w:t>
      </w:r>
      <w:r>
        <w:rPr>
          <w:sz w:val="20"/>
        </w:rPr>
        <w:t>del</w:t>
      </w:r>
      <w:r>
        <w:rPr>
          <w:spacing w:val="-2"/>
          <w:sz w:val="20"/>
        </w:rPr>
        <w:t xml:space="preserve"> contratista.</w:t>
      </w:r>
    </w:p>
    <w:p w:rsidR="0092635B" w:rsidRDefault="00000000">
      <w:pPr>
        <w:pStyle w:val="Textoindependiente"/>
        <w:spacing w:before="10" w:line="249" w:lineRule="auto"/>
        <w:ind w:right="1104"/>
      </w:pPr>
      <w:r>
        <w:t>En todo caso el retraso injustificado sobre el plan de trabajos establecido en el pliego o en el contrato, en cualquier actividad, por un plazo superior a un tercio del plazo de duración inicial del contrato, incluidas las posibles prórrogas.</w:t>
      </w:r>
    </w:p>
    <w:p w:rsidR="0092635B" w:rsidRDefault="00000000">
      <w:pPr>
        <w:pStyle w:val="Prrafodelista"/>
        <w:numPr>
          <w:ilvl w:val="1"/>
          <w:numId w:val="171"/>
        </w:numPr>
        <w:tabs>
          <w:tab w:val="left" w:pos="1686"/>
        </w:tabs>
        <w:spacing w:before="3" w:line="249" w:lineRule="auto"/>
        <w:ind w:right="1104" w:firstLine="340"/>
        <w:jc w:val="both"/>
        <w:rPr>
          <w:sz w:val="20"/>
        </w:rPr>
      </w:pPr>
      <w:r>
        <w:rPr>
          <w:sz w:val="20"/>
        </w:rPr>
        <w:t xml:space="preserve">La demora en el pago por parte de la Administración por plazo superior al establecido en el apartado 6 del artículo 198 o el inferior que se hubiese fijado al amparo de su apartado </w:t>
      </w:r>
      <w:r>
        <w:rPr>
          <w:spacing w:val="-6"/>
          <w:sz w:val="20"/>
        </w:rPr>
        <w:t>8.</w:t>
      </w:r>
    </w:p>
    <w:p w:rsidR="0092635B" w:rsidRDefault="00000000">
      <w:pPr>
        <w:pStyle w:val="Prrafodelista"/>
        <w:numPr>
          <w:ilvl w:val="1"/>
          <w:numId w:val="171"/>
        </w:numPr>
        <w:tabs>
          <w:tab w:val="left" w:pos="1623"/>
        </w:tabs>
        <w:ind w:left="1623" w:right="0" w:hanging="177"/>
        <w:jc w:val="both"/>
        <w:rPr>
          <w:sz w:val="20"/>
        </w:rPr>
      </w:pPr>
      <w:r>
        <w:rPr>
          <w:sz w:val="20"/>
        </w:rPr>
        <w:t>El</w:t>
      </w:r>
      <w:r>
        <w:rPr>
          <w:spacing w:val="-5"/>
          <w:sz w:val="20"/>
        </w:rPr>
        <w:t xml:space="preserve"> </w:t>
      </w:r>
      <w:r>
        <w:rPr>
          <w:sz w:val="20"/>
        </w:rPr>
        <w:t>incumplimiento</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obligación</w:t>
      </w:r>
      <w:r>
        <w:rPr>
          <w:spacing w:val="-5"/>
          <w:sz w:val="20"/>
        </w:rPr>
        <w:t xml:space="preserve"> </w:t>
      </w:r>
      <w:r>
        <w:rPr>
          <w:sz w:val="20"/>
        </w:rPr>
        <w:t>principal</w:t>
      </w:r>
      <w:r>
        <w:rPr>
          <w:spacing w:val="-5"/>
          <w:sz w:val="20"/>
        </w:rPr>
        <w:t xml:space="preserve"> </w:t>
      </w:r>
      <w:r>
        <w:rPr>
          <w:sz w:val="20"/>
        </w:rPr>
        <w:t>del</w:t>
      </w:r>
      <w:r>
        <w:rPr>
          <w:spacing w:val="-5"/>
          <w:sz w:val="20"/>
        </w:rPr>
        <w:t xml:space="preserve"> </w:t>
      </w:r>
      <w:r>
        <w:rPr>
          <w:spacing w:val="-2"/>
          <w:sz w:val="20"/>
        </w:rPr>
        <w:t>contrato.</w:t>
      </w:r>
    </w:p>
    <w:p w:rsidR="0092635B" w:rsidRDefault="00000000">
      <w:pPr>
        <w:pStyle w:val="Textoindependiente"/>
        <w:spacing w:before="130" w:line="249" w:lineRule="auto"/>
        <w:ind w:right="1103"/>
      </w:pPr>
      <w:r>
        <w:t>Serán, asimismo causas de resolución del contrato, el incumplimiento de las restantes obligaciones esenciales siempre que estas últimas hubiesen sido calificadas como tales en los pliegos o en el correspondiente documento descriptivo, cuando concurran los dos requisitos siguientes:</w:t>
      </w:r>
    </w:p>
    <w:p w:rsidR="0092635B" w:rsidRDefault="00000000">
      <w:pPr>
        <w:pStyle w:val="Prrafodelista"/>
        <w:numPr>
          <w:ilvl w:val="0"/>
          <w:numId w:val="170"/>
        </w:numPr>
        <w:tabs>
          <w:tab w:val="left" w:pos="1610"/>
        </w:tabs>
        <w:spacing w:before="124" w:line="249" w:lineRule="auto"/>
        <w:ind w:right="1104" w:firstLine="340"/>
        <w:jc w:val="both"/>
        <w:rPr>
          <w:sz w:val="20"/>
        </w:rPr>
      </w:pPr>
      <w:r>
        <w:rPr>
          <w:sz w:val="20"/>
        </w:rPr>
        <w:t>º Que las mismas respeten los límites que el apartado 1 del artículo 34 establece para la libertad de pactos.</w:t>
      </w:r>
    </w:p>
    <w:p w:rsidR="0092635B" w:rsidRDefault="00000000">
      <w:pPr>
        <w:pStyle w:val="Prrafodelista"/>
        <w:numPr>
          <w:ilvl w:val="0"/>
          <w:numId w:val="170"/>
        </w:numPr>
        <w:tabs>
          <w:tab w:val="left" w:pos="1610"/>
        </w:tabs>
        <w:spacing w:before="1" w:line="249" w:lineRule="auto"/>
        <w:ind w:right="1104" w:firstLine="340"/>
        <w:jc w:val="both"/>
        <w:rPr>
          <w:sz w:val="20"/>
        </w:rPr>
      </w:pPr>
      <w:r>
        <w:rPr>
          <w:sz w:val="20"/>
        </w:rPr>
        <w:t>º Que figuren enumeradas de manera precisa, clara e inequívoca en los pliegos o en el documento descriptivo, no siendo admisibles cláusulas de tipo general.</w:t>
      </w:r>
    </w:p>
    <w:p w:rsidR="0092635B" w:rsidRDefault="00000000">
      <w:pPr>
        <w:pStyle w:val="Prrafodelista"/>
        <w:numPr>
          <w:ilvl w:val="1"/>
          <w:numId w:val="171"/>
        </w:numPr>
        <w:tabs>
          <w:tab w:val="left" w:pos="1732"/>
        </w:tabs>
        <w:spacing w:before="122" w:line="249" w:lineRule="auto"/>
        <w:ind w:firstLine="340"/>
        <w:jc w:val="both"/>
        <w:rPr>
          <w:sz w:val="20"/>
        </w:rPr>
      </w:pPr>
      <w:r>
        <w:rPr>
          <w:sz w:val="20"/>
        </w:rPr>
        <w:t>La imposibilidad de ejecutar la prestación en los términos inicialmente pactados, cuando no sea posible modificar el contrato conforme a los artículos 204 y 205; o cuando dándose las circunstancias establecidas en el artículo 205, las modificaciones impliquen, aislada</w:t>
      </w:r>
      <w:r>
        <w:rPr>
          <w:spacing w:val="-3"/>
          <w:sz w:val="20"/>
        </w:rPr>
        <w:t xml:space="preserve"> </w:t>
      </w:r>
      <w:r>
        <w:rPr>
          <w:sz w:val="20"/>
        </w:rPr>
        <w:t>o</w:t>
      </w:r>
      <w:r>
        <w:rPr>
          <w:spacing w:val="-3"/>
          <w:sz w:val="20"/>
        </w:rPr>
        <w:t xml:space="preserve"> </w:t>
      </w:r>
      <w:r>
        <w:rPr>
          <w:sz w:val="20"/>
        </w:rPr>
        <w:t>conjuntamente,</w:t>
      </w:r>
      <w:r>
        <w:rPr>
          <w:spacing w:val="-3"/>
          <w:sz w:val="20"/>
        </w:rPr>
        <w:t xml:space="preserve"> </w:t>
      </w:r>
      <w:r>
        <w:rPr>
          <w:sz w:val="20"/>
        </w:rPr>
        <w:t>alteraciones</w:t>
      </w:r>
      <w:r>
        <w:rPr>
          <w:spacing w:val="-3"/>
          <w:sz w:val="20"/>
        </w:rPr>
        <w:t xml:space="preserve"> </w:t>
      </w:r>
      <w:r>
        <w:rPr>
          <w:sz w:val="20"/>
        </w:rPr>
        <w:t>del</w:t>
      </w:r>
      <w:r>
        <w:rPr>
          <w:spacing w:val="-3"/>
          <w:sz w:val="20"/>
        </w:rPr>
        <w:t xml:space="preserve"> </w:t>
      </w:r>
      <w:r>
        <w:rPr>
          <w:sz w:val="20"/>
        </w:rPr>
        <w:t>precio</w:t>
      </w:r>
      <w:r>
        <w:rPr>
          <w:spacing w:val="-3"/>
          <w:sz w:val="20"/>
        </w:rPr>
        <w:t xml:space="preserve"> </w:t>
      </w:r>
      <w:r>
        <w:rPr>
          <w:sz w:val="20"/>
        </w:rPr>
        <w:t>del</w:t>
      </w:r>
      <w:r>
        <w:rPr>
          <w:spacing w:val="-3"/>
          <w:sz w:val="20"/>
        </w:rPr>
        <w:t xml:space="preserve"> </w:t>
      </w:r>
      <w:r>
        <w:rPr>
          <w:sz w:val="20"/>
        </w:rPr>
        <w:t>mismo,</w:t>
      </w:r>
      <w:r>
        <w:rPr>
          <w:spacing w:val="-3"/>
          <w:sz w:val="20"/>
        </w:rPr>
        <w:t xml:space="preserve"> </w:t>
      </w:r>
      <w:r>
        <w:rPr>
          <w:sz w:val="20"/>
        </w:rPr>
        <w:t>en</w:t>
      </w:r>
      <w:r>
        <w:rPr>
          <w:spacing w:val="-3"/>
          <w:sz w:val="20"/>
        </w:rPr>
        <w:t xml:space="preserve"> </w:t>
      </w:r>
      <w:r>
        <w:rPr>
          <w:sz w:val="20"/>
        </w:rPr>
        <w:t>cuantía</w:t>
      </w:r>
      <w:r>
        <w:rPr>
          <w:spacing w:val="-3"/>
          <w:sz w:val="20"/>
        </w:rPr>
        <w:t xml:space="preserve"> </w:t>
      </w:r>
      <w:r>
        <w:rPr>
          <w:sz w:val="20"/>
        </w:rPr>
        <w:t>superior,</w:t>
      </w:r>
      <w:r>
        <w:rPr>
          <w:spacing w:val="-3"/>
          <w:sz w:val="20"/>
        </w:rPr>
        <w:t xml:space="preserve"> </w:t>
      </w:r>
      <w:r>
        <w:rPr>
          <w:sz w:val="20"/>
        </w:rPr>
        <w:t>en</w:t>
      </w:r>
      <w:r>
        <w:rPr>
          <w:spacing w:val="-3"/>
          <w:sz w:val="20"/>
        </w:rPr>
        <w:t xml:space="preserve"> </w:t>
      </w:r>
      <w:r>
        <w:rPr>
          <w:sz w:val="20"/>
        </w:rPr>
        <w:t>más</w:t>
      </w:r>
      <w:r>
        <w:rPr>
          <w:spacing w:val="-3"/>
          <w:sz w:val="20"/>
        </w:rPr>
        <w:t xml:space="preserve"> </w:t>
      </w:r>
      <w:r>
        <w:rPr>
          <w:sz w:val="20"/>
        </w:rPr>
        <w:t>o</w:t>
      </w:r>
      <w:r>
        <w:rPr>
          <w:spacing w:val="-3"/>
          <w:sz w:val="20"/>
        </w:rPr>
        <w:t xml:space="preserve"> </w:t>
      </w:r>
      <w:r>
        <w:rPr>
          <w:sz w:val="20"/>
        </w:rPr>
        <w:t>en menos, al 20 por ciento del precio inicial del contrato, con exclusión del Impuesto sobre el Valor Añadido.</w:t>
      </w:r>
    </w:p>
    <w:p w:rsidR="0092635B" w:rsidRDefault="00000000">
      <w:pPr>
        <w:pStyle w:val="Prrafodelista"/>
        <w:numPr>
          <w:ilvl w:val="1"/>
          <w:numId w:val="171"/>
        </w:numPr>
        <w:tabs>
          <w:tab w:val="left" w:pos="1679"/>
        </w:tabs>
        <w:spacing w:before="5"/>
        <w:ind w:left="1679" w:right="0" w:hanging="233"/>
        <w:jc w:val="both"/>
        <w:rPr>
          <w:sz w:val="20"/>
        </w:rPr>
      </w:pPr>
      <w:r>
        <w:rPr>
          <w:sz w:val="20"/>
        </w:rPr>
        <w:t>Las</w:t>
      </w:r>
      <w:r>
        <w:rPr>
          <w:spacing w:val="-5"/>
          <w:sz w:val="20"/>
        </w:rPr>
        <w:t xml:space="preserve"> </w:t>
      </w:r>
      <w:r>
        <w:rPr>
          <w:sz w:val="20"/>
        </w:rPr>
        <w:t>que</w:t>
      </w:r>
      <w:r>
        <w:rPr>
          <w:spacing w:val="-4"/>
          <w:sz w:val="20"/>
        </w:rPr>
        <w:t xml:space="preserve"> </w:t>
      </w:r>
      <w:r>
        <w:rPr>
          <w:sz w:val="20"/>
        </w:rPr>
        <w:t>se</w:t>
      </w:r>
      <w:r>
        <w:rPr>
          <w:spacing w:val="-4"/>
          <w:sz w:val="20"/>
        </w:rPr>
        <w:t xml:space="preserve"> </w:t>
      </w:r>
      <w:r>
        <w:rPr>
          <w:sz w:val="20"/>
        </w:rPr>
        <w:t>señalen</w:t>
      </w:r>
      <w:r>
        <w:rPr>
          <w:spacing w:val="-4"/>
          <w:sz w:val="20"/>
        </w:rPr>
        <w:t xml:space="preserve"> </w:t>
      </w:r>
      <w:r>
        <w:rPr>
          <w:sz w:val="20"/>
        </w:rPr>
        <w:t>específicamente</w:t>
      </w:r>
      <w:r>
        <w:rPr>
          <w:spacing w:val="-4"/>
          <w:sz w:val="20"/>
        </w:rPr>
        <w:t xml:space="preserve"> </w:t>
      </w:r>
      <w:r>
        <w:rPr>
          <w:sz w:val="20"/>
        </w:rPr>
        <w:t>para</w:t>
      </w:r>
      <w:r>
        <w:rPr>
          <w:spacing w:val="-4"/>
          <w:sz w:val="20"/>
        </w:rPr>
        <w:t xml:space="preserve"> </w:t>
      </w:r>
      <w:r>
        <w:rPr>
          <w:sz w:val="20"/>
        </w:rPr>
        <w:t>cada</w:t>
      </w:r>
      <w:r>
        <w:rPr>
          <w:spacing w:val="-4"/>
          <w:sz w:val="20"/>
        </w:rPr>
        <w:t xml:space="preserve"> </w:t>
      </w:r>
      <w:r>
        <w:rPr>
          <w:sz w:val="20"/>
        </w:rPr>
        <w:t>categoría</w:t>
      </w:r>
      <w:r>
        <w:rPr>
          <w:spacing w:val="-4"/>
          <w:sz w:val="20"/>
        </w:rPr>
        <w:t xml:space="preserve"> </w:t>
      </w:r>
      <w:r>
        <w:rPr>
          <w:sz w:val="20"/>
        </w:rPr>
        <w:t>de</w:t>
      </w:r>
      <w:r>
        <w:rPr>
          <w:spacing w:val="-4"/>
          <w:sz w:val="20"/>
        </w:rPr>
        <w:t xml:space="preserve"> </w:t>
      </w:r>
      <w:r>
        <w:rPr>
          <w:sz w:val="20"/>
        </w:rPr>
        <w:t>contrato</w:t>
      </w:r>
      <w:r>
        <w:rPr>
          <w:spacing w:val="-4"/>
          <w:sz w:val="20"/>
        </w:rPr>
        <w:t xml:space="preserve"> </w:t>
      </w:r>
      <w:r>
        <w:rPr>
          <w:sz w:val="20"/>
        </w:rPr>
        <w:t>en</w:t>
      </w:r>
      <w:r>
        <w:rPr>
          <w:spacing w:val="-4"/>
          <w:sz w:val="20"/>
        </w:rPr>
        <w:t xml:space="preserve"> </w:t>
      </w:r>
      <w:r>
        <w:rPr>
          <w:sz w:val="20"/>
        </w:rPr>
        <w:t>esta</w:t>
      </w:r>
      <w:r>
        <w:rPr>
          <w:spacing w:val="-4"/>
          <w:sz w:val="20"/>
        </w:rPr>
        <w:t xml:space="preserve"> Ley.</w:t>
      </w:r>
    </w:p>
    <w:p w:rsidR="0092635B" w:rsidRDefault="00000000">
      <w:pPr>
        <w:pStyle w:val="Prrafodelista"/>
        <w:numPr>
          <w:ilvl w:val="1"/>
          <w:numId w:val="171"/>
        </w:numPr>
        <w:tabs>
          <w:tab w:val="left" w:pos="1623"/>
        </w:tabs>
        <w:spacing w:before="10" w:line="249" w:lineRule="auto"/>
        <w:ind w:right="1104" w:firstLine="340"/>
        <w:jc w:val="both"/>
        <w:rPr>
          <w:sz w:val="20"/>
        </w:rPr>
      </w:pPr>
      <w:r>
        <w:rPr>
          <w:sz w:val="20"/>
        </w:rPr>
        <w:t>El impago, durante la ejecución del contrato, de los salarios por parte del contratista a los trabajadores que estuvieran participando en la misma, o el incumplimiento de las condiciones establecidas en los Convenios colectivos en vigor para estos trabajadores también durante la ejecución del contrato.</w:t>
      </w:r>
    </w:p>
    <w:p w:rsidR="0092635B" w:rsidRDefault="00000000">
      <w:pPr>
        <w:pStyle w:val="Textoindependiente"/>
        <w:spacing w:before="123" w:line="249" w:lineRule="auto"/>
        <w:ind w:right="1103"/>
      </w:pPr>
      <w:r>
        <w:t>2. En los casos en que concurran diversas causas de resolución del contrato con diferentes efectos en cuanto a las consecuencias económicas de la extinción, deberá atenderse a la que haya aparecido con prioridad en el tiempo.</w:t>
      </w:r>
    </w:p>
    <w:p w:rsidR="0092635B" w:rsidRDefault="00000000">
      <w:pPr>
        <w:spacing w:before="229"/>
        <w:ind w:left="1106"/>
        <w:rPr>
          <w:rFonts w:ascii="Arial" w:hAnsi="Arial"/>
          <w:i/>
          <w:sz w:val="20"/>
        </w:rPr>
      </w:pPr>
      <w:bookmarkStart w:id="327" w:name="Artículo_212._Aplicación_de_las_causas_d"/>
      <w:bookmarkEnd w:id="327"/>
      <w:r>
        <w:rPr>
          <w:rFonts w:ascii="Arial" w:hAnsi="Arial"/>
          <w:b/>
          <w:sz w:val="20"/>
        </w:rPr>
        <w:t>Artículo</w:t>
      </w:r>
      <w:r>
        <w:rPr>
          <w:rFonts w:ascii="Arial" w:hAnsi="Arial"/>
          <w:b/>
          <w:spacing w:val="-4"/>
          <w:sz w:val="20"/>
        </w:rPr>
        <w:t xml:space="preserve"> </w:t>
      </w:r>
      <w:r>
        <w:rPr>
          <w:rFonts w:ascii="Arial" w:hAnsi="Arial"/>
          <w:b/>
          <w:sz w:val="20"/>
        </w:rPr>
        <w:t>212.</w:t>
      </w:r>
      <w:r>
        <w:rPr>
          <w:rFonts w:ascii="Arial" w:hAnsi="Arial"/>
          <w:b/>
          <w:spacing w:val="51"/>
          <w:sz w:val="20"/>
        </w:rPr>
        <w:t xml:space="preserve"> </w:t>
      </w:r>
      <w:r>
        <w:rPr>
          <w:rFonts w:ascii="Arial" w:hAnsi="Arial"/>
          <w:i/>
          <w:sz w:val="20"/>
        </w:rPr>
        <w:t>Aplicación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las</w:t>
      </w:r>
      <w:r>
        <w:rPr>
          <w:rFonts w:ascii="Arial" w:hAnsi="Arial"/>
          <w:i/>
          <w:spacing w:val="-2"/>
          <w:sz w:val="20"/>
        </w:rPr>
        <w:t xml:space="preserve"> </w:t>
      </w:r>
      <w:r>
        <w:rPr>
          <w:rFonts w:ascii="Arial" w:hAnsi="Arial"/>
          <w:i/>
          <w:sz w:val="20"/>
        </w:rPr>
        <w:t>causas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resolución.</w:t>
      </w:r>
    </w:p>
    <w:p w:rsidR="0092635B" w:rsidRDefault="00000000">
      <w:pPr>
        <w:pStyle w:val="Prrafodelista"/>
        <w:numPr>
          <w:ilvl w:val="0"/>
          <w:numId w:val="169"/>
        </w:numPr>
        <w:tabs>
          <w:tab w:val="left" w:pos="1698"/>
        </w:tabs>
        <w:spacing w:before="124" w:line="249" w:lineRule="auto"/>
        <w:ind w:right="1104" w:firstLine="340"/>
        <w:jc w:val="both"/>
        <w:rPr>
          <w:sz w:val="20"/>
        </w:rPr>
      </w:pPr>
      <w:r>
        <w:rPr>
          <w:sz w:val="20"/>
        </w:rPr>
        <w:t>La resolución del contrato se acordará por el órgano de contratación, de oficio o a instancia del contratista, en su caso, siguiendo el procedimiento que en las normas de desarrollo de esta Ley se establezca.</w:t>
      </w:r>
    </w:p>
    <w:p w:rsidR="0092635B" w:rsidRDefault="00000000">
      <w:pPr>
        <w:pStyle w:val="Textoindependiente"/>
        <w:spacing w:line="249" w:lineRule="auto"/>
        <w:ind w:right="1105"/>
      </w:pPr>
      <w:r>
        <w:t>No obstante lo anterior, la resolución del contrato por la causa a que se refiere la letra i) del artículo 211.1 solo se acordará, con carácter general, a instancia de los representantes de</w:t>
      </w:r>
      <w:r>
        <w:rPr>
          <w:spacing w:val="-3"/>
        </w:rPr>
        <w:t xml:space="preserve"> </w:t>
      </w:r>
      <w:r>
        <w:t>los</w:t>
      </w:r>
      <w:r>
        <w:rPr>
          <w:spacing w:val="-3"/>
        </w:rPr>
        <w:t xml:space="preserve"> </w:t>
      </w:r>
      <w:r>
        <w:t>trabajadores</w:t>
      </w:r>
      <w:r>
        <w:rPr>
          <w:spacing w:val="-3"/>
        </w:rPr>
        <w:t xml:space="preserve"> </w:t>
      </w:r>
      <w:r>
        <w:t>en</w:t>
      </w:r>
      <w:r>
        <w:rPr>
          <w:spacing w:val="-3"/>
        </w:rPr>
        <w:t xml:space="preserve"> </w:t>
      </w:r>
      <w:r>
        <w:t>la</w:t>
      </w:r>
      <w:r>
        <w:rPr>
          <w:spacing w:val="-3"/>
        </w:rPr>
        <w:t xml:space="preserve"> </w:t>
      </w:r>
      <w:r>
        <w:t>empresa</w:t>
      </w:r>
      <w:r>
        <w:rPr>
          <w:spacing w:val="-3"/>
        </w:rPr>
        <w:t xml:space="preserve"> </w:t>
      </w:r>
      <w:r>
        <w:t>contratista;</w:t>
      </w:r>
      <w:r>
        <w:rPr>
          <w:spacing w:val="-3"/>
        </w:rPr>
        <w:t xml:space="preserve"> </w:t>
      </w:r>
      <w:r>
        <w:t>excepto</w:t>
      </w:r>
      <w:r>
        <w:rPr>
          <w:spacing w:val="-3"/>
        </w:rPr>
        <w:t xml:space="preserve"> </w:t>
      </w:r>
      <w:r>
        <w:t>cuando</w:t>
      </w:r>
      <w:r>
        <w:rPr>
          <w:spacing w:val="-3"/>
        </w:rPr>
        <w:t xml:space="preserve"> </w:t>
      </w:r>
      <w:r>
        <w:t>los</w:t>
      </w:r>
      <w:r>
        <w:rPr>
          <w:spacing w:val="-3"/>
        </w:rPr>
        <w:t xml:space="preserve"> </w:t>
      </w:r>
      <w:r>
        <w:t>trabajadores</w:t>
      </w:r>
      <w:r>
        <w:rPr>
          <w:spacing w:val="-3"/>
        </w:rPr>
        <w:t xml:space="preserve"> </w:t>
      </w:r>
      <w:r>
        <w:t>afectados</w:t>
      </w:r>
      <w:r>
        <w:rPr>
          <w:spacing w:val="-3"/>
        </w:rPr>
        <w:t xml:space="preserve"> </w:t>
      </w:r>
      <w:r>
        <w:t>por el impago de salarios sean trabajadores en los que procediera la subrogación de</w:t>
      </w:r>
      <w:r>
        <w:rPr>
          <w:spacing w:val="40"/>
        </w:rPr>
        <w:t xml:space="preserve"> </w:t>
      </w:r>
      <w:r>
        <w:t>conformidad con el artículo 130 y el importe de los salarios adeudados por la empresa contratista supere el 5 por ciento del precio de adjudicación del contrato, en cuyo caso la resolución podrá ser acordada directamente por el órgano de contratación de oficio.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69"/>
        </w:numPr>
        <w:tabs>
          <w:tab w:val="left" w:pos="1709"/>
        </w:tabs>
        <w:spacing w:before="1" w:line="249" w:lineRule="auto"/>
        <w:ind w:right="1104" w:firstLine="340"/>
        <w:jc w:val="both"/>
        <w:rPr>
          <w:sz w:val="20"/>
        </w:rPr>
      </w:pPr>
      <w:r>
        <w:rPr>
          <w:sz w:val="20"/>
        </w:rPr>
        <w:t>La declaración de insolvencia en cualquier procedimiento y las modificaciones del contrato en los casos en que no se den las circunstancias establecidas en los artículos 204 y 205, darán siempre lugar a la resolución del contrato.</w:t>
      </w:r>
    </w:p>
    <w:p w:rsidR="0092635B" w:rsidRDefault="00000000">
      <w:pPr>
        <w:pStyle w:val="Textoindependiente"/>
        <w:spacing w:line="249" w:lineRule="auto"/>
        <w:ind w:right="1104"/>
      </w:pPr>
      <w:r>
        <w:t>Serán potestativas para la Administración y para el contratista las restantes modificaciones no previstas en el contrato cuando impliquen, aislada o conjuntamente, una alteración en cuantía que exceda del 20 por ciento del precio inicial del contrato, IVA</w:t>
      </w:r>
      <w:r>
        <w:rPr>
          <w:spacing w:val="40"/>
        </w:rPr>
        <w:t xml:space="preserve"> </w:t>
      </w:r>
      <w:r>
        <w:rPr>
          <w:spacing w:val="-2"/>
        </w:rPr>
        <w:t>excluido.</w:t>
      </w:r>
    </w:p>
    <w:p w:rsidR="0092635B" w:rsidRDefault="00000000">
      <w:pPr>
        <w:pStyle w:val="Textoindependiente"/>
        <w:spacing w:before="3" w:line="249" w:lineRule="auto"/>
        <w:ind w:right="1105"/>
      </w:pPr>
      <w:r>
        <w:t>En los restantes casos, la resolución podrá instarse por aquella parte a la que no le sea imputable la circunstancia que diera lugar a la misma.</w:t>
      </w:r>
    </w:p>
    <w:p w:rsidR="0092635B" w:rsidRDefault="00000000">
      <w:pPr>
        <w:pStyle w:val="Prrafodelista"/>
        <w:numPr>
          <w:ilvl w:val="0"/>
          <w:numId w:val="169"/>
        </w:numPr>
        <w:tabs>
          <w:tab w:val="left" w:pos="1746"/>
        </w:tabs>
        <w:spacing w:line="249" w:lineRule="auto"/>
        <w:ind w:right="1105" w:firstLine="340"/>
        <w:jc w:val="both"/>
        <w:rPr>
          <w:sz w:val="20"/>
        </w:rPr>
      </w:pPr>
      <w:r>
        <w:rPr>
          <w:sz w:val="20"/>
        </w:rPr>
        <w:t>Cuando la causa de resolución sea la muerte o incapacidad sobrevenida del contratista individual la Administración podrá acordar la continuación del contrato con sus herederos o sucesores.</w:t>
      </w:r>
    </w:p>
    <w:p w:rsidR="0092635B" w:rsidRDefault="00000000">
      <w:pPr>
        <w:pStyle w:val="Prrafodelista"/>
        <w:numPr>
          <w:ilvl w:val="0"/>
          <w:numId w:val="169"/>
        </w:numPr>
        <w:tabs>
          <w:tab w:val="left" w:pos="1711"/>
        </w:tabs>
        <w:spacing w:line="249" w:lineRule="auto"/>
        <w:ind w:right="1104" w:firstLine="340"/>
        <w:jc w:val="both"/>
        <w:rPr>
          <w:sz w:val="20"/>
        </w:rPr>
      </w:pPr>
      <w:r>
        <w:rPr>
          <w:sz w:val="20"/>
        </w:rPr>
        <w:t>La resolución por mutuo acuerdo solo podrá tener lugar cuando no concurra otra causa de resolución que sea imputable al contratista, y siempre que razones de interés público hagan innecesaria o inconveniente la permanencia del contrato.</w:t>
      </w:r>
    </w:p>
    <w:p w:rsidR="0092635B" w:rsidRDefault="00000000">
      <w:pPr>
        <w:pStyle w:val="Prrafodelista"/>
        <w:numPr>
          <w:ilvl w:val="0"/>
          <w:numId w:val="169"/>
        </w:numPr>
        <w:tabs>
          <w:tab w:val="left" w:pos="1680"/>
        </w:tabs>
        <w:spacing w:before="3" w:line="249" w:lineRule="auto"/>
        <w:ind w:firstLine="340"/>
        <w:jc w:val="both"/>
        <w:rPr>
          <w:sz w:val="20"/>
        </w:rPr>
      </w:pPr>
      <w:r>
        <w:rPr>
          <w:sz w:val="20"/>
        </w:rPr>
        <w:t>En caso de declaración en concurso la Administración potestativamente continuará el contrato si razones de interés público así lo aconsejan, siempre y cuando el contratista prestare las garantías adicionales suficientes para su ejecución.</w:t>
      </w:r>
    </w:p>
    <w:p w:rsidR="0092635B" w:rsidRDefault="00000000">
      <w:pPr>
        <w:pStyle w:val="Textoindependiente"/>
        <w:ind w:left="1446" w:firstLine="0"/>
      </w:pPr>
      <w:r>
        <w:t>En</w:t>
      </w:r>
      <w:r>
        <w:rPr>
          <w:spacing w:val="-3"/>
        </w:rPr>
        <w:t xml:space="preserve"> </w:t>
      </w:r>
      <w:r>
        <w:t>todo</w:t>
      </w:r>
      <w:r>
        <w:rPr>
          <w:spacing w:val="-2"/>
        </w:rPr>
        <w:t xml:space="preserve"> </w:t>
      </w:r>
      <w:r>
        <w:t>caso</w:t>
      </w:r>
      <w:r>
        <w:rPr>
          <w:spacing w:val="-3"/>
        </w:rPr>
        <w:t xml:space="preserve"> </w:t>
      </w:r>
      <w:r>
        <w:t>se</w:t>
      </w:r>
      <w:r>
        <w:rPr>
          <w:spacing w:val="-2"/>
        </w:rPr>
        <w:t xml:space="preserve"> </w:t>
      </w:r>
      <w:r>
        <w:t>entenderá</w:t>
      </w:r>
      <w:r>
        <w:rPr>
          <w:spacing w:val="-3"/>
        </w:rPr>
        <w:t xml:space="preserve"> </w:t>
      </w:r>
      <w:r>
        <w:t>que</w:t>
      </w:r>
      <w:r>
        <w:rPr>
          <w:spacing w:val="-2"/>
        </w:rPr>
        <w:t xml:space="preserve"> </w:t>
      </w:r>
      <w:r>
        <w:t>son</w:t>
      </w:r>
      <w:r>
        <w:rPr>
          <w:spacing w:val="-3"/>
        </w:rPr>
        <w:t xml:space="preserve"> </w:t>
      </w:r>
      <w:r>
        <w:t>garantías</w:t>
      </w:r>
      <w:r>
        <w:rPr>
          <w:spacing w:val="-2"/>
        </w:rPr>
        <w:t xml:space="preserve"> suficientes:</w:t>
      </w:r>
    </w:p>
    <w:p w:rsidR="0092635B" w:rsidRDefault="00000000">
      <w:pPr>
        <w:pStyle w:val="Prrafodelista"/>
        <w:numPr>
          <w:ilvl w:val="1"/>
          <w:numId w:val="169"/>
        </w:numPr>
        <w:tabs>
          <w:tab w:val="left" w:pos="1697"/>
        </w:tabs>
        <w:spacing w:before="130" w:line="249" w:lineRule="auto"/>
        <w:ind w:right="1105" w:firstLine="340"/>
        <w:jc w:val="both"/>
        <w:rPr>
          <w:sz w:val="20"/>
        </w:rPr>
      </w:pPr>
      <w:r>
        <w:rPr>
          <w:sz w:val="20"/>
        </w:rPr>
        <w:t>Una garantía complementaria de al menos un 5 por 100 del precio del contrato, que deberá prestarse en cualquiera de las formas contempladas en el artículo 108.</w:t>
      </w:r>
    </w:p>
    <w:p w:rsidR="0092635B" w:rsidRDefault="00000000">
      <w:pPr>
        <w:pStyle w:val="Prrafodelista"/>
        <w:numPr>
          <w:ilvl w:val="1"/>
          <w:numId w:val="169"/>
        </w:numPr>
        <w:tabs>
          <w:tab w:val="left" w:pos="1697"/>
        </w:tabs>
        <w:spacing w:line="249" w:lineRule="auto"/>
        <w:ind w:right="1104" w:firstLine="340"/>
        <w:jc w:val="both"/>
        <w:rPr>
          <w:sz w:val="20"/>
        </w:rPr>
      </w:pPr>
      <w:r>
        <w:rPr>
          <w:sz w:val="20"/>
        </w:rPr>
        <w:t>El depósito de una cantidad en concepto de fianza, que se realizará de conformidad con lo establecido en el artículo 108.1, letra a), y que quedará constituida como cláusula penal para el caso de incumplimiento por parte del contratista.</w:t>
      </w:r>
    </w:p>
    <w:p w:rsidR="0092635B" w:rsidRDefault="00000000">
      <w:pPr>
        <w:pStyle w:val="Prrafodelista"/>
        <w:numPr>
          <w:ilvl w:val="0"/>
          <w:numId w:val="169"/>
        </w:numPr>
        <w:tabs>
          <w:tab w:val="left" w:pos="1674"/>
        </w:tabs>
        <w:spacing w:before="123" w:line="249" w:lineRule="auto"/>
        <w:ind w:right="1104" w:firstLine="340"/>
        <w:jc w:val="both"/>
        <w:rPr>
          <w:sz w:val="20"/>
        </w:rPr>
      </w:pPr>
      <w:r>
        <w:rPr>
          <w:sz w:val="20"/>
        </w:rPr>
        <w:t>En el supuesto de demora a que se refiere la letra d) del apartado primero del artículo anterior, si las penalidades a que diere lugar la demora en el cumplimiento del plazo alcanzasen un múltiplo del 5 por ciento del precio del contrato, IVA excluido, se estará a lo dispuesto en el apartado 4 del artículo 193.</w:t>
      </w:r>
    </w:p>
    <w:p w:rsidR="0092635B" w:rsidRDefault="00000000">
      <w:pPr>
        <w:pStyle w:val="Prrafodelista"/>
        <w:numPr>
          <w:ilvl w:val="0"/>
          <w:numId w:val="169"/>
        </w:numPr>
        <w:tabs>
          <w:tab w:val="left" w:pos="1753"/>
        </w:tabs>
        <w:spacing w:before="3" w:line="249" w:lineRule="auto"/>
        <w:ind w:right="1104" w:firstLine="340"/>
        <w:jc w:val="both"/>
        <w:rPr>
          <w:sz w:val="20"/>
        </w:rPr>
      </w:pPr>
      <w:r>
        <w:rPr>
          <w:sz w:val="20"/>
        </w:rPr>
        <w:t>El incumplimiento de las obligaciones derivadas del contrato por parte de la Administración originará la resolución de aquel solo en los casos previstos en esta Ley.</w:t>
      </w:r>
    </w:p>
    <w:p w:rsidR="0092635B" w:rsidRDefault="00000000">
      <w:pPr>
        <w:pStyle w:val="Prrafodelista"/>
        <w:numPr>
          <w:ilvl w:val="0"/>
          <w:numId w:val="169"/>
        </w:numPr>
        <w:tabs>
          <w:tab w:val="left" w:pos="1703"/>
        </w:tabs>
        <w:spacing w:before="1" w:line="249" w:lineRule="auto"/>
        <w:ind w:right="1105" w:firstLine="340"/>
        <w:jc w:val="both"/>
        <w:rPr>
          <w:sz w:val="20"/>
        </w:rPr>
      </w:pPr>
      <w:r>
        <w:rPr>
          <w:sz w:val="20"/>
        </w:rPr>
        <w:t>Los expedientes de resolución contractual deberán ser instruidos y resueltos en el plazo máximo de ocho meses.</w:t>
      </w:r>
    </w:p>
    <w:p w:rsidR="0092635B" w:rsidRDefault="00000000">
      <w:pPr>
        <w:pStyle w:val="Textoindependiente"/>
        <w:spacing w:before="16"/>
        <w:ind w:left="0" w:firstLine="0"/>
        <w:jc w:val="left"/>
      </w:pPr>
      <w:r>
        <w:rPr>
          <w:noProof/>
        </w:rPr>
        <mc:AlternateContent>
          <mc:Choice Requires="wps">
            <w:drawing>
              <wp:anchor distT="0" distB="0" distL="0" distR="0" simplePos="0" relativeHeight="487595520" behindDoc="1" locked="0" layoutInCell="1" allowOverlap="1">
                <wp:simplePos x="0" y="0"/>
                <wp:positionH relativeFrom="page">
                  <wp:posOffset>1156762</wp:posOffset>
                </wp:positionH>
                <wp:positionV relativeFrom="paragraph">
                  <wp:posOffset>176627</wp:posOffset>
                </wp:positionV>
                <wp:extent cx="5247005" cy="64960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8" w:firstLine="340"/>
                              <w:jc w:val="both"/>
                              <w:rPr>
                                <w:color w:val="000000"/>
                                <w:sz w:val="18"/>
                              </w:rPr>
                            </w:pPr>
                            <w:r>
                              <w:rPr>
                                <w:color w:val="000000"/>
                                <w:sz w:val="18"/>
                              </w:rPr>
                              <w:t>Téngase en cuenta que se declara que el apartado 8 no es conforme con el orden constitucional de competencias, en los términos del fundamento jurídico 7 C) c), por la</w:t>
                            </w:r>
                            <w:r>
                              <w:rPr>
                                <w:color w:val="000000"/>
                                <w:spacing w:val="40"/>
                                <w:sz w:val="18"/>
                              </w:rPr>
                              <w:t xml:space="preserve"> </w:t>
                            </w:r>
                            <w:r>
                              <w:rPr>
                                <w:color w:val="000000"/>
                                <w:sz w:val="18"/>
                              </w:rPr>
                              <w:t xml:space="preserve">Sentencia del TC 68/2021, de 18 de marzo. </w:t>
                            </w:r>
                            <w:hyperlink r:id="rId47">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23" o:spid="_x0000_s1038" type="#_x0000_t202" style="position:absolute;margin-left:91.1pt;margin-top:13.9pt;width:413.15pt;height:51.1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" fillcolor="#f7f7ff" strokecolor="#9f9f9f">
                <v:path arrowok="t"/>
                <v:textbox inset="0,0,0,0">
                  <w:txbxContent>
                    <w:p w:rsidR="0092635B" w:rsidRDefault="00000000">
                      <w:pPr>
                        <w:spacing w:before="181" w:line="249" w:lineRule="auto"/>
                        <w:ind w:left="269" w:right="268" w:firstLine="340"/>
                        <w:jc w:val="both"/>
                        <w:rPr>
                          <w:color w:val="000000"/>
                          <w:sz w:val="18"/>
                        </w:rPr>
                      </w:pPr>
                      <w:r>
                        <w:rPr>
                          <w:color w:val="000000"/>
                          <w:sz w:val="18"/>
                        </w:rPr>
                        <w:t>Téngase en cuenta que se declara que el apartado 8 no es conforme con el orden constitucional de competencias, en los términos del fundamento jurídico 7 C) c), por la</w:t>
                      </w:r>
                      <w:r>
                        <w:rPr>
                          <w:color w:val="000000"/>
                          <w:spacing w:val="40"/>
                          <w:sz w:val="18"/>
                        </w:rPr>
                        <w:t xml:space="preserve"> </w:t>
                      </w:r>
                      <w:r>
                        <w:rPr>
                          <w:color w:val="000000"/>
                          <w:sz w:val="18"/>
                        </w:rPr>
                        <w:t xml:space="preserve">Sentencia del TC 68/2021, de 18 de marzo. </w:t>
                      </w:r>
                      <w:hyperlink r:id="rId48">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0"/>
        <w:ind w:left="0" w:firstLine="0"/>
        <w:jc w:val="left"/>
      </w:pPr>
    </w:p>
    <w:p w:rsidR="0092635B" w:rsidRDefault="0092635B">
      <w:pPr>
        <w:pStyle w:val="Textoindependiente"/>
        <w:spacing w:before="136"/>
        <w:ind w:left="0" w:firstLine="0"/>
        <w:jc w:val="left"/>
      </w:pPr>
    </w:p>
    <w:p w:rsidR="0092635B" w:rsidRDefault="00000000">
      <w:pPr>
        <w:ind w:left="1106"/>
        <w:rPr>
          <w:rFonts w:ascii="Arial" w:hAnsi="Arial"/>
          <w:i/>
          <w:sz w:val="20"/>
        </w:rPr>
      </w:pPr>
      <w:bookmarkStart w:id="328" w:name="Artículo_213._Efectos_de_la_resolución."/>
      <w:bookmarkEnd w:id="328"/>
      <w:r>
        <w:rPr>
          <w:rFonts w:ascii="Arial" w:hAnsi="Arial"/>
          <w:b/>
          <w:sz w:val="20"/>
        </w:rPr>
        <w:t>Artículo</w:t>
      </w:r>
      <w:r>
        <w:rPr>
          <w:rFonts w:ascii="Arial" w:hAnsi="Arial"/>
          <w:b/>
          <w:spacing w:val="-1"/>
          <w:sz w:val="20"/>
        </w:rPr>
        <w:t xml:space="preserve"> </w:t>
      </w:r>
      <w:r>
        <w:rPr>
          <w:rFonts w:ascii="Arial" w:hAnsi="Arial"/>
          <w:b/>
          <w:sz w:val="20"/>
        </w:rPr>
        <w:t>213.</w:t>
      </w:r>
      <w:r>
        <w:rPr>
          <w:rFonts w:ascii="Arial" w:hAnsi="Arial"/>
          <w:b/>
          <w:spacing w:val="54"/>
          <w:sz w:val="20"/>
        </w:rPr>
        <w:t xml:space="preserve"> </w:t>
      </w:r>
      <w:r>
        <w:rPr>
          <w:rFonts w:ascii="Arial" w:hAnsi="Arial"/>
          <w:i/>
          <w:sz w:val="20"/>
        </w:rPr>
        <w:t>Efectos</w:t>
      </w:r>
      <w:r>
        <w:rPr>
          <w:rFonts w:ascii="Arial" w:hAnsi="Arial"/>
          <w:i/>
          <w:spacing w:val="-1"/>
          <w:sz w:val="20"/>
        </w:rPr>
        <w:t xml:space="preserve"> </w:t>
      </w:r>
      <w:r>
        <w:rPr>
          <w:rFonts w:ascii="Arial" w:hAnsi="Arial"/>
          <w:i/>
          <w:sz w:val="20"/>
        </w:rPr>
        <w:t xml:space="preserve">de la </w:t>
      </w:r>
      <w:r>
        <w:rPr>
          <w:rFonts w:ascii="Arial" w:hAnsi="Arial"/>
          <w:i/>
          <w:spacing w:val="-2"/>
          <w:sz w:val="20"/>
        </w:rPr>
        <w:t>resolución.</w:t>
      </w:r>
    </w:p>
    <w:p w:rsidR="0092635B" w:rsidRDefault="00000000">
      <w:pPr>
        <w:pStyle w:val="Prrafodelista"/>
        <w:numPr>
          <w:ilvl w:val="0"/>
          <w:numId w:val="168"/>
        </w:numPr>
        <w:tabs>
          <w:tab w:val="left" w:pos="1685"/>
        </w:tabs>
        <w:spacing w:before="123" w:line="249" w:lineRule="auto"/>
        <w:ind w:right="1104" w:firstLine="340"/>
        <w:jc w:val="both"/>
        <w:rPr>
          <w:sz w:val="20"/>
        </w:rPr>
      </w:pPr>
      <w:r>
        <w:rPr>
          <w:sz w:val="20"/>
        </w:rPr>
        <w:t>Cuando la resolución se produzca por mutuo acuerdo, los derechos de las partes se acomodarán a lo válidamente estipulado por ellas.</w:t>
      </w:r>
    </w:p>
    <w:p w:rsidR="0092635B" w:rsidRDefault="00000000">
      <w:pPr>
        <w:pStyle w:val="Prrafodelista"/>
        <w:numPr>
          <w:ilvl w:val="0"/>
          <w:numId w:val="168"/>
        </w:numPr>
        <w:tabs>
          <w:tab w:val="left" w:pos="1715"/>
        </w:tabs>
        <w:spacing w:line="249" w:lineRule="auto"/>
        <w:ind w:right="1104" w:firstLine="340"/>
        <w:jc w:val="both"/>
        <w:rPr>
          <w:sz w:val="20"/>
        </w:rPr>
      </w:pPr>
      <w:r>
        <w:rPr>
          <w:sz w:val="20"/>
        </w:rPr>
        <w:t>El incumplimiento por parte de la Administración de las obligaciones del contrato determinará para aquella, con carácter general, el pago de los daños y perjuicios que por tal causa se irroguen al contratista.</w:t>
      </w:r>
    </w:p>
    <w:p w:rsidR="0092635B" w:rsidRDefault="00000000">
      <w:pPr>
        <w:pStyle w:val="Prrafodelista"/>
        <w:numPr>
          <w:ilvl w:val="0"/>
          <w:numId w:val="168"/>
        </w:numPr>
        <w:tabs>
          <w:tab w:val="left" w:pos="1705"/>
        </w:tabs>
        <w:spacing w:line="249" w:lineRule="auto"/>
        <w:ind w:right="1104" w:firstLine="340"/>
        <w:jc w:val="both"/>
        <w:rPr>
          <w:sz w:val="20"/>
        </w:rPr>
      </w:pPr>
      <w:r>
        <w:rPr>
          <w:sz w:val="20"/>
        </w:rPr>
        <w:t>Cuando el contrato se resuelva por incumplimiento culpable del contratista le será incautada la garantía y deberá, además, indemnizar a la Administración los daños y perjuicios ocasionados en lo que excedan del importe de la garantía incautada.</w:t>
      </w:r>
    </w:p>
    <w:p w:rsidR="0092635B" w:rsidRDefault="00000000">
      <w:pPr>
        <w:pStyle w:val="Prrafodelista"/>
        <w:numPr>
          <w:ilvl w:val="0"/>
          <w:numId w:val="168"/>
        </w:numPr>
        <w:tabs>
          <w:tab w:val="left" w:pos="1741"/>
        </w:tabs>
        <w:spacing w:before="3" w:line="249" w:lineRule="auto"/>
        <w:ind w:right="1104" w:firstLine="340"/>
        <w:jc w:val="both"/>
        <w:rPr>
          <w:sz w:val="20"/>
        </w:rPr>
      </w:pPr>
      <w:r>
        <w:rPr>
          <w:sz w:val="20"/>
        </w:rPr>
        <w:t>Cuando</w:t>
      </w:r>
      <w:r>
        <w:rPr>
          <w:spacing w:val="40"/>
          <w:sz w:val="20"/>
        </w:rPr>
        <w:t xml:space="preserve"> </w:t>
      </w:r>
      <w:r>
        <w:rPr>
          <w:sz w:val="20"/>
        </w:rPr>
        <w:t>la</w:t>
      </w:r>
      <w:r>
        <w:rPr>
          <w:spacing w:val="40"/>
          <w:sz w:val="20"/>
        </w:rPr>
        <w:t xml:space="preserve"> </w:t>
      </w:r>
      <w:r>
        <w:rPr>
          <w:sz w:val="20"/>
        </w:rPr>
        <w:t>resolución</w:t>
      </w:r>
      <w:r>
        <w:rPr>
          <w:spacing w:val="40"/>
          <w:sz w:val="20"/>
        </w:rPr>
        <w:t xml:space="preserve"> </w:t>
      </w:r>
      <w:r>
        <w:rPr>
          <w:sz w:val="20"/>
        </w:rPr>
        <w:t>se</w:t>
      </w:r>
      <w:r>
        <w:rPr>
          <w:spacing w:val="40"/>
          <w:sz w:val="20"/>
        </w:rPr>
        <w:t xml:space="preserve"> </w:t>
      </w:r>
      <w:r>
        <w:rPr>
          <w:sz w:val="20"/>
        </w:rPr>
        <w:t>acuerde</w:t>
      </w:r>
      <w:r>
        <w:rPr>
          <w:spacing w:val="40"/>
          <w:sz w:val="20"/>
        </w:rPr>
        <w:t xml:space="preserve"> </w:t>
      </w:r>
      <w:r>
        <w:rPr>
          <w:sz w:val="20"/>
        </w:rPr>
        <w:t>por</w:t>
      </w:r>
      <w:r>
        <w:rPr>
          <w:spacing w:val="40"/>
          <w:sz w:val="20"/>
        </w:rPr>
        <w:t xml:space="preserve"> </w:t>
      </w:r>
      <w:r>
        <w:rPr>
          <w:sz w:val="20"/>
        </w:rPr>
        <w:t>las</w:t>
      </w:r>
      <w:r>
        <w:rPr>
          <w:spacing w:val="40"/>
          <w:sz w:val="20"/>
        </w:rPr>
        <w:t xml:space="preserve"> </w:t>
      </w:r>
      <w:r>
        <w:rPr>
          <w:sz w:val="20"/>
        </w:rPr>
        <w:t>causas</w:t>
      </w:r>
      <w:r>
        <w:rPr>
          <w:spacing w:val="40"/>
          <w:sz w:val="20"/>
        </w:rPr>
        <w:t xml:space="preserve"> </w:t>
      </w:r>
      <w:r>
        <w:rPr>
          <w:sz w:val="20"/>
        </w:rPr>
        <w:t>recogidas</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letra</w:t>
      </w:r>
      <w:r>
        <w:rPr>
          <w:spacing w:val="40"/>
          <w:sz w:val="20"/>
        </w:rPr>
        <w:t xml:space="preserve"> </w:t>
      </w:r>
      <w:r>
        <w:rPr>
          <w:sz w:val="20"/>
        </w:rPr>
        <w:t>g)</w:t>
      </w:r>
      <w:r>
        <w:rPr>
          <w:spacing w:val="40"/>
          <w:sz w:val="20"/>
        </w:rPr>
        <w:t xml:space="preserve"> </w:t>
      </w:r>
      <w:r>
        <w:rPr>
          <w:sz w:val="20"/>
        </w:rPr>
        <w:t>del artículo 211, el contratista tendrá derecho a una indemnización del 3 por ciento del importe de la prestación dejada de realizar, salvo que la causa sea imputable al contratista o este rechace</w:t>
      </w:r>
      <w:r>
        <w:rPr>
          <w:spacing w:val="40"/>
          <w:sz w:val="20"/>
        </w:rPr>
        <w:t xml:space="preserve"> </w:t>
      </w:r>
      <w:r>
        <w:rPr>
          <w:sz w:val="20"/>
        </w:rPr>
        <w:t>la</w:t>
      </w:r>
      <w:r>
        <w:rPr>
          <w:spacing w:val="40"/>
          <w:sz w:val="20"/>
        </w:rPr>
        <w:t xml:space="preserve"> </w:t>
      </w:r>
      <w:r>
        <w:rPr>
          <w:sz w:val="20"/>
        </w:rPr>
        <w:t>modificación</w:t>
      </w:r>
      <w:r>
        <w:rPr>
          <w:spacing w:val="40"/>
          <w:sz w:val="20"/>
        </w:rPr>
        <w:t xml:space="preserve"> </w:t>
      </w:r>
      <w:r>
        <w:rPr>
          <w:sz w:val="20"/>
        </w:rPr>
        <w:t>contractual</w:t>
      </w:r>
      <w:r>
        <w:rPr>
          <w:spacing w:val="40"/>
          <w:sz w:val="20"/>
        </w:rPr>
        <w:t xml:space="preserve"> </w:t>
      </w:r>
      <w:r>
        <w:rPr>
          <w:sz w:val="20"/>
        </w:rPr>
        <w:t>propuesta</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Administración</w:t>
      </w:r>
      <w:r>
        <w:rPr>
          <w:spacing w:val="40"/>
          <w:sz w:val="20"/>
        </w:rPr>
        <w:t xml:space="preserve"> </w:t>
      </w:r>
      <w:r>
        <w:rPr>
          <w:sz w:val="20"/>
        </w:rPr>
        <w:t>al</w:t>
      </w:r>
      <w:r>
        <w:rPr>
          <w:spacing w:val="40"/>
          <w:sz w:val="20"/>
        </w:rPr>
        <w:t xml:space="preserve"> </w:t>
      </w:r>
      <w:r>
        <w:rPr>
          <w:sz w:val="20"/>
        </w:rPr>
        <w:t>amparo</w:t>
      </w:r>
      <w:r>
        <w:rPr>
          <w:spacing w:val="40"/>
          <w:sz w:val="20"/>
        </w:rPr>
        <w:t xml:space="preserve"> </w:t>
      </w:r>
      <w:r>
        <w:rPr>
          <w:sz w:val="20"/>
        </w:rPr>
        <w:t>del artículo 205.</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68"/>
        </w:numPr>
        <w:tabs>
          <w:tab w:val="left" w:pos="1679"/>
        </w:tabs>
        <w:spacing w:before="1" w:line="249" w:lineRule="auto"/>
        <w:ind w:firstLine="340"/>
        <w:jc w:val="both"/>
        <w:rPr>
          <w:sz w:val="20"/>
        </w:rPr>
      </w:pPr>
      <w:r>
        <w:rPr>
          <w:sz w:val="20"/>
        </w:rPr>
        <w:t>En todo caso el acuerdo de resolución contendrá pronunciamiento expreso acerca de la procedencia o no de la pérdida, devolución o cancelación de la garantía que, en su caso, hubiese sido constituida.</w:t>
      </w:r>
    </w:p>
    <w:p w:rsidR="0092635B" w:rsidRDefault="00000000">
      <w:pPr>
        <w:pStyle w:val="Prrafodelista"/>
        <w:numPr>
          <w:ilvl w:val="0"/>
          <w:numId w:val="168"/>
        </w:numPr>
        <w:tabs>
          <w:tab w:val="left" w:pos="1687"/>
        </w:tabs>
        <w:spacing w:line="249" w:lineRule="auto"/>
        <w:ind w:firstLine="340"/>
        <w:jc w:val="both"/>
        <w:rPr>
          <w:sz w:val="20"/>
        </w:rPr>
      </w:pPr>
      <w:r>
        <w:rPr>
          <w:sz w:val="20"/>
        </w:rPr>
        <w:t>Al tiempo de incoarse el expediente administrativo de resolución del contrato por las causas</w:t>
      </w:r>
      <w:r>
        <w:rPr>
          <w:spacing w:val="-1"/>
          <w:sz w:val="20"/>
        </w:rPr>
        <w:t xml:space="preserve"> </w:t>
      </w:r>
      <w:r>
        <w:rPr>
          <w:sz w:val="20"/>
        </w:rPr>
        <w:t>establecidas</w:t>
      </w:r>
      <w:r>
        <w:rPr>
          <w:spacing w:val="-1"/>
          <w:sz w:val="20"/>
        </w:rPr>
        <w:t xml:space="preserve"> </w:t>
      </w:r>
      <w:r>
        <w:rPr>
          <w:sz w:val="20"/>
        </w:rPr>
        <w:t>en</w:t>
      </w:r>
      <w:r>
        <w:rPr>
          <w:spacing w:val="-1"/>
          <w:sz w:val="20"/>
        </w:rPr>
        <w:t xml:space="preserve"> </w:t>
      </w:r>
      <w:r>
        <w:rPr>
          <w:sz w:val="20"/>
        </w:rPr>
        <w:t>las</w:t>
      </w:r>
      <w:r>
        <w:rPr>
          <w:spacing w:val="-1"/>
          <w:sz w:val="20"/>
        </w:rPr>
        <w:t xml:space="preserve"> </w:t>
      </w:r>
      <w:r>
        <w:rPr>
          <w:sz w:val="20"/>
        </w:rPr>
        <w:t>letras</w:t>
      </w:r>
      <w:r>
        <w:rPr>
          <w:spacing w:val="-1"/>
          <w:sz w:val="20"/>
        </w:rPr>
        <w:t xml:space="preserve"> </w:t>
      </w:r>
      <w:r>
        <w:rPr>
          <w:sz w:val="20"/>
        </w:rPr>
        <w:t>b),</w:t>
      </w:r>
      <w:r>
        <w:rPr>
          <w:spacing w:val="-1"/>
          <w:sz w:val="20"/>
        </w:rPr>
        <w:t xml:space="preserve"> </w:t>
      </w:r>
      <w:r>
        <w:rPr>
          <w:sz w:val="20"/>
        </w:rPr>
        <w:t>d),</w:t>
      </w:r>
      <w:r>
        <w:rPr>
          <w:spacing w:val="-1"/>
          <w:sz w:val="20"/>
        </w:rPr>
        <w:t xml:space="preserve"> </w:t>
      </w:r>
      <w:r>
        <w:rPr>
          <w:sz w:val="20"/>
        </w:rPr>
        <w:t>f)</w:t>
      </w:r>
      <w:r>
        <w:rPr>
          <w:spacing w:val="-1"/>
          <w:sz w:val="20"/>
        </w:rPr>
        <w:t xml:space="preserve"> </w:t>
      </w:r>
      <w:r>
        <w:rPr>
          <w:sz w:val="20"/>
        </w:rPr>
        <w:t>y</w:t>
      </w:r>
      <w:r>
        <w:rPr>
          <w:spacing w:val="-1"/>
          <w:sz w:val="20"/>
        </w:rPr>
        <w:t xml:space="preserve"> </w:t>
      </w:r>
      <w:r>
        <w:rPr>
          <w:sz w:val="20"/>
        </w:rPr>
        <w:t>g)</w:t>
      </w:r>
      <w:r>
        <w:rPr>
          <w:spacing w:val="-1"/>
          <w:sz w:val="20"/>
        </w:rPr>
        <w:t xml:space="preserve"> </w:t>
      </w:r>
      <w:r>
        <w:rPr>
          <w:sz w:val="20"/>
        </w:rPr>
        <w:t>del</w:t>
      </w:r>
      <w:r>
        <w:rPr>
          <w:spacing w:val="-1"/>
          <w:sz w:val="20"/>
        </w:rPr>
        <w:t xml:space="preserve"> </w:t>
      </w:r>
      <w:r>
        <w:rPr>
          <w:sz w:val="20"/>
        </w:rPr>
        <w:t>apartado</w:t>
      </w:r>
      <w:r>
        <w:rPr>
          <w:spacing w:val="-1"/>
          <w:sz w:val="20"/>
        </w:rPr>
        <w:t xml:space="preserve"> </w:t>
      </w:r>
      <w:r>
        <w:rPr>
          <w:sz w:val="20"/>
        </w:rPr>
        <w:t>1</w:t>
      </w:r>
      <w:r>
        <w:rPr>
          <w:spacing w:val="-1"/>
          <w:sz w:val="20"/>
        </w:rPr>
        <w:t xml:space="preserve"> </w:t>
      </w:r>
      <w:r>
        <w:rPr>
          <w:sz w:val="20"/>
        </w:rPr>
        <w:t>del</w:t>
      </w:r>
      <w:r>
        <w:rPr>
          <w:spacing w:val="-1"/>
          <w:sz w:val="20"/>
        </w:rPr>
        <w:t xml:space="preserve"> </w:t>
      </w:r>
      <w:r>
        <w:rPr>
          <w:sz w:val="20"/>
        </w:rPr>
        <w:t>artículo</w:t>
      </w:r>
      <w:r>
        <w:rPr>
          <w:spacing w:val="-1"/>
          <w:sz w:val="20"/>
        </w:rPr>
        <w:t xml:space="preserve"> </w:t>
      </w:r>
      <w:r>
        <w:rPr>
          <w:sz w:val="20"/>
        </w:rPr>
        <w:t>211,</w:t>
      </w:r>
      <w:r>
        <w:rPr>
          <w:spacing w:val="-1"/>
          <w:sz w:val="20"/>
        </w:rPr>
        <w:t xml:space="preserve"> </w:t>
      </w:r>
      <w:r>
        <w:rPr>
          <w:sz w:val="20"/>
        </w:rPr>
        <w:t>podrá</w:t>
      </w:r>
      <w:r>
        <w:rPr>
          <w:spacing w:val="-1"/>
          <w:sz w:val="20"/>
        </w:rPr>
        <w:t xml:space="preserve"> </w:t>
      </w:r>
      <w:r>
        <w:rPr>
          <w:sz w:val="20"/>
        </w:rPr>
        <w:t>iniciarse el procedimiento para la adjudicación del nuevo contrato, si bien la adjudicación de este quedará condicionada a la terminación del expediente de resolución. Se aplicará la tramitación de urgencia a ambos procedimientos.</w:t>
      </w:r>
    </w:p>
    <w:p w:rsidR="0092635B" w:rsidRDefault="00000000">
      <w:pPr>
        <w:pStyle w:val="Textoindependiente"/>
        <w:spacing w:before="4" w:line="249" w:lineRule="auto"/>
        <w:ind w:right="1104"/>
      </w:pPr>
      <w:r>
        <w:t>Hasta que se formalice el nuevo contrato, el contratista quedará obligado, en la forma y con el alcance que determine el órgano de contratación, a adoptar las medidas necesarias por razones de seguridad, o indispensables para evitar un grave trastorno al servicio público o la ruina de lo construido o fabricado. A falta de acuerdo, la retribución del contratista se fijará a instancia de este por el órgano de contratación, una vez concluidos los trabajos y tomando como referencia los precios que sirvieron de base para la celebración del contrato. El contratista podrá impugnar esta decisión ante el órgano de contratación que deberá resolver lo que proceda en el plazo de quince días hábiles.</w:t>
      </w:r>
    </w:p>
    <w:p w:rsidR="0092635B" w:rsidRDefault="00000000">
      <w:pPr>
        <w:pStyle w:val="Textoindependiente"/>
        <w:spacing w:before="7" w:line="249" w:lineRule="auto"/>
        <w:ind w:right="1103"/>
      </w:pPr>
      <w:r>
        <w:t>Cuando el contratista no pueda garantizar las medidas indispensables establecidas en el párrafo anterior, la Administración podrá intervenir garantizando la realización de dichas medidas bien con sus propios medios, bien a través de un contrato con un tercero.</w:t>
      </w:r>
    </w:p>
    <w:p w:rsidR="0092635B" w:rsidRDefault="0092635B">
      <w:pPr>
        <w:pStyle w:val="Textoindependiente"/>
        <w:spacing w:before="56"/>
        <w:ind w:left="0" w:firstLine="0"/>
        <w:jc w:val="left"/>
      </w:pPr>
    </w:p>
    <w:p w:rsidR="0092635B" w:rsidRDefault="00000000">
      <w:pPr>
        <w:pStyle w:val="Textoindependiente"/>
        <w:spacing w:before="0"/>
        <w:ind w:left="0" w:firstLine="0"/>
        <w:jc w:val="center"/>
      </w:pPr>
      <w:bookmarkStart w:id="329" w:name="Subsección_6.ª_Cesión_de_los_contratos_y"/>
      <w:bookmarkStart w:id="330" w:name="_bookmark59"/>
      <w:bookmarkEnd w:id="329"/>
      <w:bookmarkEnd w:id="330"/>
      <w:r>
        <w:t>Subsección</w:t>
      </w:r>
      <w:r>
        <w:rPr>
          <w:spacing w:val="-3"/>
        </w:rPr>
        <w:t xml:space="preserve"> </w:t>
      </w:r>
      <w:r>
        <w:t>6.ª</w:t>
      </w:r>
      <w:r>
        <w:rPr>
          <w:spacing w:val="-2"/>
        </w:rPr>
        <w:t xml:space="preserve"> </w:t>
      </w:r>
      <w:r>
        <w:t>Cesión</w:t>
      </w:r>
      <w:r>
        <w:rPr>
          <w:spacing w:val="-3"/>
        </w:rPr>
        <w:t xml:space="preserve"> </w:t>
      </w:r>
      <w:r>
        <w:t>de</w:t>
      </w:r>
      <w:r>
        <w:rPr>
          <w:spacing w:val="-2"/>
        </w:rPr>
        <w:t xml:space="preserve"> </w:t>
      </w:r>
      <w:r>
        <w:t>los</w:t>
      </w:r>
      <w:r>
        <w:rPr>
          <w:spacing w:val="-3"/>
        </w:rPr>
        <w:t xml:space="preserve"> </w:t>
      </w:r>
      <w:r>
        <w:t>contratos</w:t>
      </w:r>
      <w:r>
        <w:rPr>
          <w:spacing w:val="-2"/>
        </w:rPr>
        <w:t xml:space="preserve"> </w:t>
      </w:r>
      <w:r>
        <w:t>y</w:t>
      </w:r>
      <w:r>
        <w:rPr>
          <w:spacing w:val="-2"/>
        </w:rPr>
        <w:t xml:space="preserve"> subcontratación</w:t>
      </w:r>
    </w:p>
    <w:p w:rsidR="0092635B" w:rsidRDefault="0092635B">
      <w:pPr>
        <w:pStyle w:val="Textoindependiente"/>
        <w:spacing w:before="6"/>
        <w:ind w:left="0" w:firstLine="0"/>
        <w:jc w:val="left"/>
      </w:pPr>
    </w:p>
    <w:p w:rsidR="0092635B" w:rsidRDefault="00000000">
      <w:pPr>
        <w:spacing w:before="1"/>
        <w:ind w:left="1106"/>
        <w:rPr>
          <w:rFonts w:ascii="Arial" w:hAnsi="Arial"/>
          <w:i/>
          <w:sz w:val="20"/>
        </w:rPr>
      </w:pPr>
      <w:bookmarkStart w:id="331" w:name="Artículo_214._Cesión_de_los_contratos."/>
      <w:bookmarkEnd w:id="331"/>
      <w:r>
        <w:rPr>
          <w:rFonts w:ascii="Arial" w:hAnsi="Arial"/>
          <w:b/>
          <w:sz w:val="20"/>
        </w:rPr>
        <w:t>Artículo</w:t>
      </w:r>
      <w:r>
        <w:rPr>
          <w:rFonts w:ascii="Arial" w:hAnsi="Arial"/>
          <w:b/>
          <w:spacing w:val="-1"/>
          <w:sz w:val="20"/>
        </w:rPr>
        <w:t xml:space="preserve"> </w:t>
      </w:r>
      <w:r>
        <w:rPr>
          <w:rFonts w:ascii="Arial" w:hAnsi="Arial"/>
          <w:b/>
          <w:sz w:val="20"/>
        </w:rPr>
        <w:t>214.</w:t>
      </w:r>
      <w:r>
        <w:rPr>
          <w:rFonts w:ascii="Arial" w:hAnsi="Arial"/>
          <w:b/>
          <w:spacing w:val="52"/>
          <w:sz w:val="20"/>
        </w:rPr>
        <w:t xml:space="preserve"> </w:t>
      </w:r>
      <w:r>
        <w:rPr>
          <w:rFonts w:ascii="Arial" w:hAnsi="Arial"/>
          <w:i/>
          <w:sz w:val="20"/>
        </w:rPr>
        <w:t>Cesión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contratos.</w:t>
      </w:r>
    </w:p>
    <w:p w:rsidR="0092635B" w:rsidRDefault="00000000">
      <w:pPr>
        <w:pStyle w:val="Prrafodelista"/>
        <w:numPr>
          <w:ilvl w:val="0"/>
          <w:numId w:val="167"/>
        </w:numPr>
        <w:tabs>
          <w:tab w:val="left" w:pos="1684"/>
        </w:tabs>
        <w:spacing w:before="123" w:line="249" w:lineRule="auto"/>
        <w:ind w:right="1104" w:firstLine="340"/>
        <w:jc w:val="both"/>
        <w:rPr>
          <w:sz w:val="20"/>
        </w:rPr>
      </w:pPr>
      <w:r>
        <w:rPr>
          <w:sz w:val="20"/>
        </w:rPr>
        <w:t>Al margen de los supuestos de sucesión del contratista del artículo 98 y sin perjuicio de la subrogación que pudiera producirse a favor del acreedor hipotecario conforme al artículo 274.2 o del adjudicatario en el procedimiento de ejecución hipotecaria en virtud del artículo 275, la modificación subjetiva de los contratos solamente será posible por cesión contractual, cuando obedezca a una opción inequívoca de los pliegos, dentro de los límites establecidos en el párrafo siguiente.</w:t>
      </w:r>
    </w:p>
    <w:p w:rsidR="0092635B" w:rsidRDefault="00000000">
      <w:pPr>
        <w:pStyle w:val="Textoindependiente"/>
        <w:spacing w:before="5" w:line="249" w:lineRule="auto"/>
        <w:ind w:right="1103"/>
      </w:pPr>
      <w:r>
        <w:t>A tales efectos, los pliegos establecerán necesariamente que los derechos y</w:t>
      </w:r>
      <w:r>
        <w:rPr>
          <w:spacing w:val="40"/>
        </w:rPr>
        <w:t xml:space="preserve"> </w:t>
      </w:r>
      <w:r>
        <w:t>obligaciones dimanantes del contrato podrán ser cedidos por el contratista a un tercero siempre que las cualidades técnicas o personales del cedente no hayan sido razón determinante de la adjudicación del contrato, y de la cesión no resulte una restricción</w:t>
      </w:r>
      <w:r>
        <w:rPr>
          <w:spacing w:val="40"/>
        </w:rPr>
        <w:t xml:space="preserve"> </w:t>
      </w:r>
      <w:r>
        <w:t xml:space="preserve">efectiva de la competencia en el mercado. Sin perjuicio de lo establecido en el apartado 2, letra b), no podrá autorizarse la cesión a un tercero cuando esta suponga una alteración sustancial de las características del contratista si estas constituyen un elemento esencial del </w:t>
      </w:r>
      <w:r>
        <w:rPr>
          <w:spacing w:val="-2"/>
        </w:rPr>
        <w:t>contrato.</w:t>
      </w:r>
    </w:p>
    <w:p w:rsidR="0092635B" w:rsidRDefault="00000000">
      <w:pPr>
        <w:pStyle w:val="Textoindependiente"/>
        <w:spacing w:before="6" w:line="249" w:lineRule="auto"/>
        <w:ind w:right="1104"/>
      </w:pPr>
      <w:r>
        <w:t>Cuando los pliegos prevean que los licitadores que resulten adjudicatarios constituyan una sociedad específicamente para la ejecución del contrato, establecerán la posibilidad de cesión de las participaciones de esa sociedad; así como el supuesto en que, por implicar un cambio de control sobre el contratista, esa cesión de participaciones deba ser equiparada a una cesión contractual a los efectos de su autorización de acuerdo con lo previsto en el presente artículo. Los pliegos podrán prever mecanismos de control de la cesión de participaciones que no impliquen un cambio de control en supuestos que estén suficientemente justificados.</w:t>
      </w:r>
    </w:p>
    <w:p w:rsidR="0092635B" w:rsidRDefault="00000000">
      <w:pPr>
        <w:pStyle w:val="Prrafodelista"/>
        <w:numPr>
          <w:ilvl w:val="0"/>
          <w:numId w:val="167"/>
        </w:numPr>
        <w:tabs>
          <w:tab w:val="left" w:pos="1695"/>
        </w:tabs>
        <w:spacing w:before="7" w:line="249" w:lineRule="auto"/>
        <w:ind w:right="1105" w:firstLine="340"/>
        <w:jc w:val="both"/>
        <w:rPr>
          <w:sz w:val="20"/>
        </w:rPr>
      </w:pPr>
      <w:r>
        <w:rPr>
          <w:sz w:val="20"/>
        </w:rPr>
        <w:t>Para que los contratistas puedan ceder sus derechos y obligaciones a terceros, los pliegos deberán contemplar, como mínimo, la exigencia de los siguientes requisitos:</w:t>
      </w:r>
    </w:p>
    <w:p w:rsidR="0092635B" w:rsidRDefault="00000000">
      <w:pPr>
        <w:pStyle w:val="Prrafodelista"/>
        <w:numPr>
          <w:ilvl w:val="1"/>
          <w:numId w:val="167"/>
        </w:numPr>
        <w:tabs>
          <w:tab w:val="left" w:pos="1700"/>
        </w:tabs>
        <w:spacing w:before="122" w:line="249" w:lineRule="auto"/>
        <w:ind w:firstLine="340"/>
        <w:jc w:val="both"/>
        <w:rPr>
          <w:sz w:val="20"/>
        </w:rPr>
      </w:pPr>
      <w:r>
        <w:rPr>
          <w:sz w:val="20"/>
        </w:rPr>
        <w:t>Que el órgano de contratación autorice, de forma previa y expresa, la cesión. Dicha autorización se otorgará siempre que se den los requisitos previstos en las letras siguientes. El plazo para la notificación de la resolución sobre la solicitud de autorización será de dos meses, trascurrido el cual deberá entenderse otorgada por silencio administrativo.</w:t>
      </w:r>
    </w:p>
    <w:p w:rsidR="0092635B" w:rsidRDefault="00000000">
      <w:pPr>
        <w:pStyle w:val="Prrafodelista"/>
        <w:numPr>
          <w:ilvl w:val="1"/>
          <w:numId w:val="167"/>
        </w:numPr>
        <w:tabs>
          <w:tab w:val="left" w:pos="1700"/>
        </w:tabs>
        <w:spacing w:before="3" w:line="249" w:lineRule="auto"/>
        <w:ind w:right="1104" w:firstLine="340"/>
        <w:jc w:val="both"/>
        <w:rPr>
          <w:sz w:val="20"/>
        </w:rPr>
      </w:pPr>
      <w:r>
        <w:rPr>
          <w:sz w:val="20"/>
        </w:rPr>
        <w:t>Que el cedente tenga ejecutado al menos un 20 por 100 del importe del contrato o, cuando se trate de un contrato de concesión de obras o concesión de servicios, que haya efectuado su explotación durante al menos una quinta parte del plazo de duración del contrato. No será de aplicación este requisito si la cesión se produce encontrándose el contratista en concurso aunque se haya abierto la fase de liquidación, o ha puesto en conocimiento</w:t>
      </w:r>
      <w:r>
        <w:rPr>
          <w:spacing w:val="40"/>
          <w:sz w:val="20"/>
        </w:rPr>
        <w:t xml:space="preserve"> </w:t>
      </w:r>
      <w:r>
        <w:rPr>
          <w:sz w:val="20"/>
        </w:rPr>
        <w:t>del</w:t>
      </w:r>
      <w:r>
        <w:rPr>
          <w:spacing w:val="40"/>
          <w:sz w:val="20"/>
        </w:rPr>
        <w:t xml:space="preserve"> </w:t>
      </w:r>
      <w:r>
        <w:rPr>
          <w:sz w:val="20"/>
        </w:rPr>
        <w:t>juzgado</w:t>
      </w:r>
      <w:r>
        <w:rPr>
          <w:spacing w:val="40"/>
          <w:sz w:val="20"/>
        </w:rPr>
        <w:t xml:space="preserve"> </w:t>
      </w:r>
      <w:r>
        <w:rPr>
          <w:sz w:val="20"/>
        </w:rPr>
        <w:t>competente</w:t>
      </w:r>
      <w:r>
        <w:rPr>
          <w:spacing w:val="40"/>
          <w:sz w:val="20"/>
        </w:rPr>
        <w:t xml:space="preserve"> </w:t>
      </w:r>
      <w:r>
        <w:rPr>
          <w:sz w:val="20"/>
        </w:rPr>
        <w:t>para</w:t>
      </w:r>
      <w:r>
        <w:rPr>
          <w:spacing w:val="40"/>
          <w:sz w:val="20"/>
        </w:rPr>
        <w:t xml:space="preserve"> </w:t>
      </w:r>
      <w:r>
        <w:rPr>
          <w:sz w:val="20"/>
        </w:rPr>
        <w:t>la</w:t>
      </w:r>
      <w:r>
        <w:rPr>
          <w:spacing w:val="40"/>
          <w:sz w:val="20"/>
        </w:rPr>
        <w:t xml:space="preserve"> </w:t>
      </w:r>
      <w:r>
        <w:rPr>
          <w:sz w:val="20"/>
        </w:rPr>
        <w:t>declaración</w:t>
      </w:r>
      <w:r>
        <w:rPr>
          <w:spacing w:val="40"/>
          <w:sz w:val="20"/>
        </w:rPr>
        <w:t xml:space="preserve"> </w:t>
      </w:r>
      <w:r>
        <w:rPr>
          <w:sz w:val="20"/>
        </w:rPr>
        <w:t>del</w:t>
      </w:r>
      <w:r>
        <w:rPr>
          <w:spacing w:val="40"/>
          <w:sz w:val="20"/>
        </w:rPr>
        <w:t xml:space="preserve"> </w:t>
      </w:r>
      <w:r>
        <w:rPr>
          <w:sz w:val="20"/>
        </w:rPr>
        <w:t>concurso</w:t>
      </w:r>
      <w:r>
        <w:rPr>
          <w:spacing w:val="40"/>
          <w:sz w:val="20"/>
        </w:rPr>
        <w:t xml:space="preserve"> </w:t>
      </w:r>
      <w:r>
        <w:rPr>
          <w:sz w:val="20"/>
        </w:rPr>
        <w:t>que</w:t>
      </w:r>
      <w:r>
        <w:rPr>
          <w:spacing w:val="40"/>
          <w:sz w:val="20"/>
        </w:rPr>
        <w:t xml:space="preserve"> </w:t>
      </w:r>
      <w:r>
        <w:rPr>
          <w:sz w:val="20"/>
        </w:rPr>
        <w:t>ha</w:t>
      </w:r>
      <w:r>
        <w:rPr>
          <w:spacing w:val="40"/>
          <w:sz w:val="20"/>
        </w:rPr>
        <w:t xml:space="preserve"> </w:t>
      </w:r>
      <w:r>
        <w:rPr>
          <w:sz w:val="20"/>
        </w:rPr>
        <w:t>iniciado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negociaciones para alcanzar un acuerdo de refinanciación, o para obtener adhesiones a una propuesta anticipada de convenio, en los términos previstos en la legislación concursal.</w:t>
      </w:r>
    </w:p>
    <w:p w:rsidR="0092635B" w:rsidRDefault="00000000">
      <w:pPr>
        <w:pStyle w:val="Textoindependiente"/>
        <w:spacing w:before="1" w:line="249" w:lineRule="auto"/>
        <w:ind w:right="1104"/>
      </w:pPr>
      <w:r>
        <w:t>No obstante lo anterior, el acreedor pignoraticio o el acreedor hipotecario podrá solicitar</w:t>
      </w:r>
      <w:r>
        <w:rPr>
          <w:spacing w:val="40"/>
        </w:rPr>
        <w:t xml:space="preserve"> </w:t>
      </w:r>
      <w:r>
        <w:t>la cesión en aquellos supuestos en que los contratos de concesión de obras y de concesión de servicios los pliegos prevean, mediante cláusulas claras e inequívocas, la posibilidad de subrogación de un tercero en todos los derechos y obligaciones del concesionario en caso</w:t>
      </w:r>
      <w:r>
        <w:rPr>
          <w:spacing w:val="40"/>
        </w:rPr>
        <w:t xml:space="preserve"> </w:t>
      </w:r>
      <w:r>
        <w:t>de concurrencia de algún indicio claro y predeterminado de la inviabilidad, presente o futura, de la concesión, con la finalidad de evitar su resolución anticipada.</w:t>
      </w:r>
    </w:p>
    <w:p w:rsidR="0092635B" w:rsidRDefault="00000000">
      <w:pPr>
        <w:pStyle w:val="Prrafodelista"/>
        <w:numPr>
          <w:ilvl w:val="1"/>
          <w:numId w:val="167"/>
        </w:numPr>
        <w:tabs>
          <w:tab w:val="left" w:pos="1677"/>
        </w:tabs>
        <w:spacing w:before="5" w:line="249" w:lineRule="auto"/>
        <w:ind w:right="1104" w:firstLine="340"/>
        <w:jc w:val="both"/>
        <w:rPr>
          <w:sz w:val="20"/>
        </w:rPr>
      </w:pPr>
      <w:r>
        <w:rPr>
          <w:sz w:val="20"/>
        </w:rPr>
        <w:t>Que el cesionario tenga capacidad para contratar con la Administración y la solvencia que resulte exigible en función de la fase de ejecución del contrato, debiendo estar debidamente clasificado si tal requisito ha sido exigido al cedente, y no estar incurso en una causa de prohibición de contratar.</w:t>
      </w:r>
    </w:p>
    <w:p w:rsidR="0092635B" w:rsidRDefault="00000000">
      <w:pPr>
        <w:pStyle w:val="Prrafodelista"/>
        <w:numPr>
          <w:ilvl w:val="1"/>
          <w:numId w:val="167"/>
        </w:numPr>
        <w:tabs>
          <w:tab w:val="left" w:pos="1679"/>
        </w:tabs>
        <w:spacing w:before="3"/>
        <w:ind w:left="1679" w:right="0" w:hanging="233"/>
        <w:jc w:val="both"/>
        <w:rPr>
          <w:sz w:val="20"/>
        </w:rPr>
      </w:pPr>
      <w:r>
        <w:rPr>
          <w:sz w:val="20"/>
        </w:rPr>
        <w:t>Que</w:t>
      </w:r>
      <w:r>
        <w:rPr>
          <w:spacing w:val="-5"/>
          <w:sz w:val="20"/>
        </w:rPr>
        <w:t xml:space="preserve"> </w:t>
      </w:r>
      <w:r>
        <w:rPr>
          <w:sz w:val="20"/>
        </w:rPr>
        <w:t>la</w:t>
      </w:r>
      <w:r>
        <w:rPr>
          <w:spacing w:val="-3"/>
          <w:sz w:val="20"/>
        </w:rPr>
        <w:t xml:space="preserve"> </w:t>
      </w:r>
      <w:r>
        <w:rPr>
          <w:sz w:val="20"/>
        </w:rPr>
        <w:t>cesión</w:t>
      </w:r>
      <w:r>
        <w:rPr>
          <w:spacing w:val="-3"/>
          <w:sz w:val="20"/>
        </w:rPr>
        <w:t xml:space="preserve"> </w:t>
      </w:r>
      <w:r>
        <w:rPr>
          <w:sz w:val="20"/>
        </w:rPr>
        <w:t>se</w:t>
      </w:r>
      <w:r>
        <w:rPr>
          <w:spacing w:val="-3"/>
          <w:sz w:val="20"/>
        </w:rPr>
        <w:t xml:space="preserve"> </w:t>
      </w:r>
      <w:r>
        <w:rPr>
          <w:sz w:val="20"/>
        </w:rPr>
        <w:t>formalice,</w:t>
      </w:r>
      <w:r>
        <w:rPr>
          <w:spacing w:val="-2"/>
          <w:sz w:val="20"/>
        </w:rPr>
        <w:t xml:space="preserve"> </w:t>
      </w:r>
      <w:r>
        <w:rPr>
          <w:sz w:val="20"/>
        </w:rPr>
        <w:t>entre</w:t>
      </w:r>
      <w:r>
        <w:rPr>
          <w:spacing w:val="-3"/>
          <w:sz w:val="20"/>
        </w:rPr>
        <w:t xml:space="preserve"> </w:t>
      </w:r>
      <w:r>
        <w:rPr>
          <w:sz w:val="20"/>
        </w:rPr>
        <w:t>el</w:t>
      </w:r>
      <w:r>
        <w:rPr>
          <w:spacing w:val="-3"/>
          <w:sz w:val="20"/>
        </w:rPr>
        <w:t xml:space="preserve"> </w:t>
      </w:r>
      <w:r>
        <w:rPr>
          <w:sz w:val="20"/>
        </w:rPr>
        <w:t>adjudicatario</w:t>
      </w:r>
      <w:r>
        <w:rPr>
          <w:spacing w:val="-3"/>
          <w:sz w:val="20"/>
        </w:rPr>
        <w:t xml:space="preserve"> </w:t>
      </w:r>
      <w:r>
        <w:rPr>
          <w:sz w:val="20"/>
        </w:rPr>
        <w:t>y</w:t>
      </w:r>
      <w:r>
        <w:rPr>
          <w:spacing w:val="-2"/>
          <w:sz w:val="20"/>
        </w:rPr>
        <w:t xml:space="preserve"> </w:t>
      </w:r>
      <w:r>
        <w:rPr>
          <w:sz w:val="20"/>
        </w:rPr>
        <w:t>el</w:t>
      </w:r>
      <w:r>
        <w:rPr>
          <w:spacing w:val="-3"/>
          <w:sz w:val="20"/>
        </w:rPr>
        <w:t xml:space="preserve"> </w:t>
      </w:r>
      <w:r>
        <w:rPr>
          <w:sz w:val="20"/>
        </w:rPr>
        <w:t>cesionario,</w:t>
      </w:r>
      <w:r>
        <w:rPr>
          <w:spacing w:val="-3"/>
          <w:sz w:val="20"/>
        </w:rPr>
        <w:t xml:space="preserve"> </w:t>
      </w:r>
      <w:r>
        <w:rPr>
          <w:sz w:val="20"/>
        </w:rPr>
        <w:t>en</w:t>
      </w:r>
      <w:r>
        <w:rPr>
          <w:spacing w:val="-3"/>
          <w:sz w:val="20"/>
        </w:rPr>
        <w:t xml:space="preserve"> </w:t>
      </w:r>
      <w:r>
        <w:rPr>
          <w:sz w:val="20"/>
        </w:rPr>
        <w:t>escritura</w:t>
      </w:r>
      <w:r>
        <w:rPr>
          <w:spacing w:val="-2"/>
          <w:sz w:val="20"/>
        </w:rPr>
        <w:t xml:space="preserve"> pública.</w:t>
      </w:r>
    </w:p>
    <w:p w:rsidR="0092635B" w:rsidRDefault="00000000">
      <w:pPr>
        <w:pStyle w:val="Prrafodelista"/>
        <w:numPr>
          <w:ilvl w:val="0"/>
          <w:numId w:val="167"/>
        </w:numPr>
        <w:tabs>
          <w:tab w:val="left" w:pos="1763"/>
        </w:tabs>
        <w:spacing w:before="131" w:line="249" w:lineRule="auto"/>
        <w:ind w:right="1105" w:firstLine="340"/>
        <w:jc w:val="both"/>
        <w:rPr>
          <w:sz w:val="20"/>
        </w:rPr>
      </w:pPr>
      <w:r>
        <w:rPr>
          <w:sz w:val="20"/>
        </w:rPr>
        <w:t>El cesionario quedará subrogado en todos los derechos y obligaciones que corresponderían al cedente.</w:t>
      </w:r>
    </w:p>
    <w:p w:rsidR="0092635B" w:rsidRDefault="00000000">
      <w:pPr>
        <w:spacing w:before="228"/>
        <w:ind w:left="1106"/>
        <w:jc w:val="both"/>
        <w:rPr>
          <w:rFonts w:ascii="Arial" w:hAnsi="Arial"/>
          <w:i/>
          <w:sz w:val="20"/>
        </w:rPr>
      </w:pPr>
      <w:bookmarkStart w:id="332" w:name="Artículo_215._Subcontratación."/>
      <w:bookmarkEnd w:id="332"/>
      <w:r>
        <w:rPr>
          <w:rFonts w:ascii="Arial" w:hAnsi="Arial"/>
          <w:b/>
          <w:sz w:val="20"/>
        </w:rPr>
        <w:t>Artículo</w:t>
      </w:r>
      <w:r>
        <w:rPr>
          <w:rFonts w:ascii="Arial" w:hAnsi="Arial"/>
          <w:b/>
          <w:spacing w:val="-2"/>
          <w:sz w:val="20"/>
        </w:rPr>
        <w:t xml:space="preserve"> </w:t>
      </w:r>
      <w:r>
        <w:rPr>
          <w:rFonts w:ascii="Arial" w:hAnsi="Arial"/>
          <w:b/>
          <w:sz w:val="20"/>
        </w:rPr>
        <w:t>215.</w:t>
      </w:r>
      <w:r>
        <w:rPr>
          <w:rFonts w:ascii="Arial" w:hAnsi="Arial"/>
          <w:b/>
          <w:spacing w:val="54"/>
          <w:sz w:val="20"/>
        </w:rPr>
        <w:t xml:space="preserve"> </w:t>
      </w:r>
      <w:r>
        <w:rPr>
          <w:rFonts w:ascii="Arial" w:hAnsi="Arial"/>
          <w:i/>
          <w:spacing w:val="-2"/>
          <w:sz w:val="20"/>
        </w:rPr>
        <w:t>Subcontratación.</w:t>
      </w:r>
    </w:p>
    <w:p w:rsidR="0092635B" w:rsidRDefault="00000000">
      <w:pPr>
        <w:pStyle w:val="Prrafodelista"/>
        <w:numPr>
          <w:ilvl w:val="0"/>
          <w:numId w:val="166"/>
        </w:numPr>
        <w:tabs>
          <w:tab w:val="left" w:pos="1686"/>
        </w:tabs>
        <w:spacing w:before="123" w:line="249" w:lineRule="auto"/>
        <w:ind w:right="1104" w:firstLine="340"/>
        <w:jc w:val="both"/>
        <w:rPr>
          <w:sz w:val="20"/>
        </w:rPr>
      </w:pPr>
      <w:r>
        <w:rPr>
          <w:sz w:val="20"/>
        </w:rPr>
        <w:t>El contratista podrá concertar con terceros la realización parcial de la prestación con sujeción a lo que dispongan los pliegos, salvo que conforme a lo establecido en las letras d)</w:t>
      </w:r>
      <w:r>
        <w:rPr>
          <w:spacing w:val="40"/>
          <w:sz w:val="20"/>
        </w:rPr>
        <w:t xml:space="preserve"> </w:t>
      </w:r>
      <w:r>
        <w:rPr>
          <w:sz w:val="20"/>
        </w:rPr>
        <w:t>y e) del apartado 2.º de este artículo, la prestación o parte de la misma haya de ser</w:t>
      </w:r>
      <w:r>
        <w:rPr>
          <w:spacing w:val="40"/>
          <w:sz w:val="20"/>
        </w:rPr>
        <w:t xml:space="preserve"> </w:t>
      </w:r>
      <w:r>
        <w:rPr>
          <w:sz w:val="20"/>
        </w:rPr>
        <w:t>ejecutada directamente por el primero.</w:t>
      </w:r>
    </w:p>
    <w:p w:rsidR="0092635B" w:rsidRDefault="00000000">
      <w:pPr>
        <w:pStyle w:val="Textoindependiente"/>
        <w:spacing w:before="4" w:line="249" w:lineRule="auto"/>
        <w:ind w:right="1103"/>
      </w:pPr>
      <w:r>
        <w:t>En ningún caso la limitación de la subcontratación podrá suponer que se produzca una restricción efectiva de la competencia, sin perjuicio de lo establecido en la presente Ley respecto a los contratos de carácter secreto o reservado, o aquellos cuya ejecución deba ir acompañada de medidas de seguridad especiales de acuerdo con disposiciones legales o reglamentarias</w:t>
      </w:r>
      <w:r>
        <w:rPr>
          <w:spacing w:val="-2"/>
        </w:rPr>
        <w:t xml:space="preserve"> </w:t>
      </w:r>
      <w:r>
        <w:t>o</w:t>
      </w:r>
      <w:r>
        <w:rPr>
          <w:spacing w:val="-2"/>
        </w:rPr>
        <w:t xml:space="preserve"> </w:t>
      </w:r>
      <w:r>
        <w:t>cuando</w:t>
      </w:r>
      <w:r>
        <w:rPr>
          <w:spacing w:val="-2"/>
        </w:rPr>
        <w:t xml:space="preserve"> </w:t>
      </w:r>
      <w:r>
        <w:t>lo</w:t>
      </w:r>
      <w:r>
        <w:rPr>
          <w:spacing w:val="-2"/>
        </w:rPr>
        <w:t xml:space="preserve"> </w:t>
      </w:r>
      <w:r>
        <w:t>exija</w:t>
      </w:r>
      <w:r>
        <w:rPr>
          <w:spacing w:val="-2"/>
        </w:rPr>
        <w:t xml:space="preserve"> </w:t>
      </w:r>
      <w:r>
        <w:t>la</w:t>
      </w:r>
      <w:r>
        <w:rPr>
          <w:spacing w:val="-2"/>
        </w:rPr>
        <w:t xml:space="preserve"> </w:t>
      </w:r>
      <w:r>
        <w:t>protección</w:t>
      </w:r>
      <w:r>
        <w:rPr>
          <w:spacing w:val="-2"/>
        </w:rPr>
        <w:t xml:space="preserve"> </w:t>
      </w:r>
      <w:r>
        <w:t>de</w:t>
      </w:r>
      <w:r>
        <w:rPr>
          <w:spacing w:val="-2"/>
        </w:rPr>
        <w:t xml:space="preserve"> </w:t>
      </w:r>
      <w:r>
        <w:t>los</w:t>
      </w:r>
      <w:r>
        <w:rPr>
          <w:spacing w:val="-2"/>
        </w:rPr>
        <w:t xml:space="preserve"> </w:t>
      </w:r>
      <w:r>
        <w:t>intereses</w:t>
      </w:r>
      <w:r>
        <w:rPr>
          <w:spacing w:val="-2"/>
        </w:rPr>
        <w:t xml:space="preserve"> </w:t>
      </w:r>
      <w:r>
        <w:t>esenciales</w:t>
      </w:r>
      <w:r>
        <w:rPr>
          <w:spacing w:val="-2"/>
        </w:rPr>
        <w:t xml:space="preserve"> </w:t>
      </w:r>
      <w:r>
        <w:t>de</w:t>
      </w:r>
      <w:r>
        <w:rPr>
          <w:spacing w:val="-2"/>
        </w:rPr>
        <w:t xml:space="preserve"> </w:t>
      </w:r>
      <w:r>
        <w:t>la</w:t>
      </w:r>
      <w:r>
        <w:rPr>
          <w:spacing w:val="-2"/>
        </w:rPr>
        <w:t xml:space="preserve"> </w:t>
      </w:r>
      <w:r>
        <w:t>seguridad</w:t>
      </w:r>
      <w:r>
        <w:rPr>
          <w:spacing w:val="-2"/>
        </w:rPr>
        <w:t xml:space="preserve"> </w:t>
      </w:r>
      <w:r>
        <w:t xml:space="preserve">del </w:t>
      </w:r>
      <w:r>
        <w:rPr>
          <w:spacing w:val="-2"/>
        </w:rPr>
        <w:t>Estado.</w:t>
      </w:r>
    </w:p>
    <w:p w:rsidR="0092635B" w:rsidRDefault="00000000">
      <w:pPr>
        <w:pStyle w:val="Prrafodelista"/>
        <w:numPr>
          <w:ilvl w:val="0"/>
          <w:numId w:val="166"/>
        </w:numPr>
        <w:tabs>
          <w:tab w:val="left" w:pos="1681"/>
        </w:tabs>
        <w:spacing w:before="5" w:line="249" w:lineRule="auto"/>
        <w:ind w:firstLine="340"/>
        <w:jc w:val="both"/>
        <w:rPr>
          <w:sz w:val="20"/>
        </w:rPr>
      </w:pPr>
      <w:r>
        <w:rPr>
          <w:sz w:val="20"/>
        </w:rPr>
        <w:t xml:space="preserve">La celebración de los subcontratos estará sometida al cumplimiento de los siguientes </w:t>
      </w:r>
      <w:r>
        <w:rPr>
          <w:spacing w:val="-2"/>
          <w:sz w:val="20"/>
        </w:rPr>
        <w:t>requisitos:</w:t>
      </w:r>
    </w:p>
    <w:p w:rsidR="0092635B" w:rsidRDefault="00000000">
      <w:pPr>
        <w:pStyle w:val="Prrafodelista"/>
        <w:numPr>
          <w:ilvl w:val="1"/>
          <w:numId w:val="166"/>
        </w:numPr>
        <w:tabs>
          <w:tab w:val="left" w:pos="1693"/>
        </w:tabs>
        <w:spacing w:before="121" w:line="249" w:lineRule="auto"/>
        <w:ind w:firstLine="340"/>
        <w:jc w:val="both"/>
        <w:rPr>
          <w:sz w:val="20"/>
        </w:rPr>
      </w:pPr>
      <w:r>
        <w:rPr>
          <w:sz w:val="20"/>
        </w:rPr>
        <w:t>Si así se prevé en los pliegos, los licitadores deberán indicar en la oferta la parte del contrato que tengan previsto subcontratar, señalando su importe, y el nombre o el perfil empresarial, definido por referencia a las condiciones de solvencia profesional o técnica, de los subcontratistas a los que se vaya a encomendar su realización.</w:t>
      </w:r>
    </w:p>
    <w:p w:rsidR="0092635B" w:rsidRDefault="00000000">
      <w:pPr>
        <w:pStyle w:val="Prrafodelista"/>
        <w:numPr>
          <w:ilvl w:val="1"/>
          <w:numId w:val="166"/>
        </w:numPr>
        <w:tabs>
          <w:tab w:val="left" w:pos="1716"/>
        </w:tabs>
        <w:spacing w:before="3" w:line="249" w:lineRule="auto"/>
        <w:ind w:right="1102" w:firstLine="340"/>
        <w:jc w:val="both"/>
        <w:rPr>
          <w:sz w:val="20"/>
        </w:rPr>
      </w:pPr>
      <w:r>
        <w:rPr>
          <w:sz w:val="20"/>
        </w:rPr>
        <w:t>En todo caso, el contratista deberá comunicar por escrito, tras la adjudicación del contrato y, a más tardar, cuando inicie la ejecución de este, al órgano de contratación la intención de celebrar los subcontratos, señalando la parte de la prestación que se pretende subcontratar y la identidad, datos de contacto y representante o representantes legales del subcontratista, y justificando suficientemente la aptitud de este para ejecutarla por referencia a los elementos técnicos y humanos de que dispone y a su experiencia, y acreditando que el mismo no se encuentra incurso en prohibición de contratar de acuerdo con el artículo 71.</w:t>
      </w:r>
    </w:p>
    <w:p w:rsidR="0092635B" w:rsidRDefault="00000000">
      <w:pPr>
        <w:pStyle w:val="Textoindependiente"/>
        <w:spacing w:before="6" w:line="249" w:lineRule="auto"/>
        <w:ind w:right="1104"/>
      </w:pPr>
      <w:r>
        <w:t>El contratista principal deberá notificar por escrito al órgano de contratación cualquier modificación que sufra esta información durante la ejecución del contrato principal, y toda la información necesaria sobre los nuevos subcontratistas.</w:t>
      </w:r>
    </w:p>
    <w:p w:rsidR="0092635B" w:rsidRDefault="00000000">
      <w:pPr>
        <w:pStyle w:val="Textoindependiente"/>
        <w:spacing w:before="3" w:line="249" w:lineRule="auto"/>
        <w:ind w:right="1104"/>
      </w:pPr>
      <w:r>
        <w:t>En el caso que el subcontratista tuviera la clasificación adecuada para realizar la parte</w:t>
      </w:r>
      <w:r>
        <w:rPr>
          <w:spacing w:val="40"/>
        </w:rPr>
        <w:t xml:space="preserve"> </w:t>
      </w:r>
      <w:r>
        <w:t>del contrato objeto de la subcontratación, la comunicación de esta circunstancia será suficiente para acreditar la aptitud del mismo.</w:t>
      </w:r>
    </w:p>
    <w:p w:rsidR="0092635B" w:rsidRDefault="00000000">
      <w:pPr>
        <w:pStyle w:val="Textoindependiente"/>
        <w:spacing w:line="249" w:lineRule="auto"/>
        <w:ind w:right="1106"/>
      </w:pPr>
      <w:r>
        <w:t>La</w:t>
      </w:r>
      <w:r>
        <w:rPr>
          <w:spacing w:val="-1"/>
        </w:rPr>
        <w:t xml:space="preserve"> </w:t>
      </w:r>
      <w:r>
        <w:t>acreditación</w:t>
      </w:r>
      <w:r>
        <w:rPr>
          <w:spacing w:val="-1"/>
        </w:rPr>
        <w:t xml:space="preserve"> </w:t>
      </w:r>
      <w:r>
        <w:t>de</w:t>
      </w:r>
      <w:r>
        <w:rPr>
          <w:spacing w:val="-1"/>
        </w:rPr>
        <w:t xml:space="preserve"> </w:t>
      </w:r>
      <w:r>
        <w:t>la</w:t>
      </w:r>
      <w:r>
        <w:rPr>
          <w:spacing w:val="-1"/>
        </w:rPr>
        <w:t xml:space="preserve"> </w:t>
      </w:r>
      <w:r>
        <w:t>aptitud</w:t>
      </w:r>
      <w:r>
        <w:rPr>
          <w:spacing w:val="-1"/>
        </w:rPr>
        <w:t xml:space="preserve"> </w:t>
      </w:r>
      <w:r>
        <w:t>del</w:t>
      </w:r>
      <w:r>
        <w:rPr>
          <w:spacing w:val="-1"/>
        </w:rPr>
        <w:t xml:space="preserve"> </w:t>
      </w:r>
      <w:r>
        <w:t>subcontratista</w:t>
      </w:r>
      <w:r>
        <w:rPr>
          <w:spacing w:val="-1"/>
        </w:rPr>
        <w:t xml:space="preserve"> </w:t>
      </w:r>
      <w:r>
        <w:t>podrá</w:t>
      </w:r>
      <w:r>
        <w:rPr>
          <w:spacing w:val="-1"/>
        </w:rPr>
        <w:t xml:space="preserve"> </w:t>
      </w:r>
      <w:r>
        <w:t>realizarse</w:t>
      </w:r>
      <w:r>
        <w:rPr>
          <w:spacing w:val="-1"/>
        </w:rPr>
        <w:t xml:space="preserve"> </w:t>
      </w:r>
      <w:r>
        <w:t>inmediatamente</w:t>
      </w:r>
      <w:r>
        <w:rPr>
          <w:spacing w:val="-1"/>
        </w:rPr>
        <w:t xml:space="preserve"> </w:t>
      </w:r>
      <w:r>
        <w:t>después de la celebración del subcontrato si esta es necesaria para atender a una situación de emergencia o que exija la adopción de medidas urgentes y así se justifica suficientemente.</w:t>
      </w:r>
    </w:p>
    <w:p w:rsidR="0092635B" w:rsidRDefault="00000000">
      <w:pPr>
        <w:pStyle w:val="Prrafodelista"/>
        <w:numPr>
          <w:ilvl w:val="1"/>
          <w:numId w:val="166"/>
        </w:numPr>
        <w:tabs>
          <w:tab w:val="left" w:pos="1716"/>
        </w:tabs>
        <w:spacing w:before="3" w:line="249" w:lineRule="auto"/>
        <w:ind w:firstLine="340"/>
        <w:jc w:val="both"/>
        <w:rPr>
          <w:sz w:val="20"/>
        </w:rPr>
      </w:pPr>
      <w:r>
        <w:rPr>
          <w:sz w:val="20"/>
        </w:rPr>
        <w:t>Si los pliegos hubiesen impuesto a los licitadores la obligación de comunicar las circunstancias señaladas en la letra a) del presente apartado, los subcontratos que no se ajusten a lo indicado en la oferta, por celebrarse con empresarios distintos de los indicados nominativamente en la misma o por referirse a partes de la prestación diferentes a las señaladas en ella, no podrán celebrarse hasta que transcurran veinte días desde que se hubiese cursado la notificación y aportado las justificaciones a que se refiere la letra b) de este apartado, salvo que con anterioridad hubiesen sido autorizados expresamente, siempre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que la Administración no hubiese notificado dentro de este plazo su oposición a los mismos. Este régimen será igualmente aplicable si los subcontratistas hubiesen sido identificados en la oferta mediante la descripción de su perfil profesional.</w:t>
      </w:r>
    </w:p>
    <w:p w:rsidR="0092635B" w:rsidRDefault="00000000">
      <w:pPr>
        <w:pStyle w:val="Textoindependiente"/>
        <w:spacing w:line="249" w:lineRule="auto"/>
        <w:ind w:right="1103"/>
      </w:pPr>
      <w:r>
        <w:t xml:space="preserve">Bajo la responsabilidad del contratista, los subcontratos podrán concluirse sin necesidad de dejar transcurrir el plazo de veinte días si su celebración es necesaria para atender a una situación de emergencia o que exija la adopción de medidas urgentes y así se justifica </w:t>
      </w:r>
      <w:r>
        <w:rPr>
          <w:spacing w:val="-2"/>
        </w:rPr>
        <w:t>suficientemente.</w:t>
      </w:r>
    </w:p>
    <w:p w:rsidR="0092635B" w:rsidRDefault="00000000">
      <w:pPr>
        <w:pStyle w:val="Prrafodelista"/>
        <w:numPr>
          <w:ilvl w:val="1"/>
          <w:numId w:val="166"/>
        </w:numPr>
        <w:tabs>
          <w:tab w:val="left" w:pos="1682"/>
        </w:tabs>
        <w:spacing w:before="3" w:line="249" w:lineRule="auto"/>
        <w:ind w:right="1102" w:firstLine="340"/>
        <w:jc w:val="both"/>
        <w:rPr>
          <w:sz w:val="20"/>
        </w:rPr>
      </w:pPr>
      <w:r>
        <w:rPr>
          <w:sz w:val="20"/>
        </w:rPr>
        <w:t>En los contratos de carácter secreto o reservado, o en aquellos cuya ejecución deba ir acompañada de medidas de seguridad especiales de acuerdo con disposiciones legales o reglamentarias</w:t>
      </w:r>
      <w:r>
        <w:rPr>
          <w:spacing w:val="-2"/>
          <w:sz w:val="20"/>
        </w:rPr>
        <w:t xml:space="preserve"> </w:t>
      </w:r>
      <w:r>
        <w:rPr>
          <w:sz w:val="20"/>
        </w:rPr>
        <w:t>o</w:t>
      </w:r>
      <w:r>
        <w:rPr>
          <w:spacing w:val="-2"/>
          <w:sz w:val="20"/>
        </w:rPr>
        <w:t xml:space="preserve"> </w:t>
      </w:r>
      <w:r>
        <w:rPr>
          <w:sz w:val="20"/>
        </w:rPr>
        <w:t>cuando</w:t>
      </w:r>
      <w:r>
        <w:rPr>
          <w:spacing w:val="-2"/>
          <w:sz w:val="20"/>
        </w:rPr>
        <w:t xml:space="preserve"> </w:t>
      </w:r>
      <w:r>
        <w:rPr>
          <w:sz w:val="20"/>
        </w:rPr>
        <w:t>lo</w:t>
      </w:r>
      <w:r>
        <w:rPr>
          <w:spacing w:val="-2"/>
          <w:sz w:val="20"/>
        </w:rPr>
        <w:t xml:space="preserve"> </w:t>
      </w:r>
      <w:r>
        <w:rPr>
          <w:sz w:val="20"/>
        </w:rPr>
        <w:t>exija</w:t>
      </w:r>
      <w:r>
        <w:rPr>
          <w:spacing w:val="-2"/>
          <w:sz w:val="20"/>
        </w:rPr>
        <w:t xml:space="preserve"> </w:t>
      </w:r>
      <w:r>
        <w:rPr>
          <w:sz w:val="20"/>
        </w:rPr>
        <w:t>la</w:t>
      </w:r>
      <w:r>
        <w:rPr>
          <w:spacing w:val="-2"/>
          <w:sz w:val="20"/>
        </w:rPr>
        <w:t xml:space="preserve"> </w:t>
      </w:r>
      <w:r>
        <w:rPr>
          <w:sz w:val="20"/>
        </w:rPr>
        <w:t>protección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intereses</w:t>
      </w:r>
      <w:r>
        <w:rPr>
          <w:spacing w:val="-2"/>
          <w:sz w:val="20"/>
        </w:rPr>
        <w:t xml:space="preserve"> </w:t>
      </w:r>
      <w:r>
        <w:rPr>
          <w:sz w:val="20"/>
        </w:rPr>
        <w:t>esenciales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seguridad</w:t>
      </w:r>
      <w:r>
        <w:rPr>
          <w:spacing w:val="-2"/>
          <w:sz w:val="20"/>
        </w:rPr>
        <w:t xml:space="preserve"> </w:t>
      </w:r>
      <w:r>
        <w:rPr>
          <w:sz w:val="20"/>
        </w:rPr>
        <w:t xml:space="preserve">del Estado, la subcontratación requerirá siempre autorización expresa del órgano de </w:t>
      </w:r>
      <w:r>
        <w:rPr>
          <w:spacing w:val="-2"/>
          <w:sz w:val="20"/>
        </w:rPr>
        <w:t>contratación.</w:t>
      </w:r>
    </w:p>
    <w:p w:rsidR="0092635B" w:rsidRDefault="00000000">
      <w:pPr>
        <w:pStyle w:val="Prrafodelista"/>
        <w:numPr>
          <w:ilvl w:val="1"/>
          <w:numId w:val="166"/>
        </w:numPr>
        <w:tabs>
          <w:tab w:val="left" w:pos="1680"/>
        </w:tabs>
        <w:spacing w:before="4" w:line="249" w:lineRule="auto"/>
        <w:ind w:firstLine="340"/>
        <w:jc w:val="both"/>
        <w:rPr>
          <w:sz w:val="20"/>
        </w:rPr>
      </w:pPr>
      <w:r>
        <w:rPr>
          <w:sz w:val="20"/>
        </w:rPr>
        <w:t>De</w:t>
      </w:r>
      <w:r>
        <w:rPr>
          <w:spacing w:val="-1"/>
          <w:sz w:val="20"/>
        </w:rPr>
        <w:t xml:space="preserve"> </w:t>
      </w:r>
      <w:r>
        <w:rPr>
          <w:sz w:val="20"/>
        </w:rPr>
        <w:t>conformidad</w:t>
      </w:r>
      <w:r>
        <w:rPr>
          <w:spacing w:val="-1"/>
          <w:sz w:val="20"/>
        </w:rPr>
        <w:t xml:space="preserve"> </w:t>
      </w:r>
      <w:r>
        <w:rPr>
          <w:sz w:val="20"/>
        </w:rPr>
        <w:t>con</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apartado</w:t>
      </w:r>
      <w:r>
        <w:rPr>
          <w:spacing w:val="-1"/>
          <w:sz w:val="20"/>
        </w:rPr>
        <w:t xml:space="preserve"> </w:t>
      </w:r>
      <w:r>
        <w:rPr>
          <w:sz w:val="20"/>
        </w:rPr>
        <w:t>4</w:t>
      </w:r>
      <w:r>
        <w:rPr>
          <w:spacing w:val="-1"/>
          <w:sz w:val="20"/>
        </w:rPr>
        <w:t xml:space="preserve"> </w:t>
      </w:r>
      <w:r>
        <w:rPr>
          <w:sz w:val="20"/>
        </w:rPr>
        <w:t>del</w:t>
      </w:r>
      <w:r>
        <w:rPr>
          <w:spacing w:val="-1"/>
          <w:sz w:val="20"/>
        </w:rPr>
        <w:t xml:space="preserve"> </w:t>
      </w:r>
      <w:r>
        <w:rPr>
          <w:sz w:val="20"/>
        </w:rPr>
        <w:t>artículo</w:t>
      </w:r>
      <w:r>
        <w:rPr>
          <w:spacing w:val="-1"/>
          <w:sz w:val="20"/>
        </w:rPr>
        <w:t xml:space="preserve"> </w:t>
      </w:r>
      <w:r>
        <w:rPr>
          <w:sz w:val="20"/>
        </w:rPr>
        <w:t>75,</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los contratos de servicios o los servicios o trabajos de colocación o instalación en el contexto de un contrato de suministro, los órganos de contratación podrán establecer en los pliegos que determinadas tareas críticas no puedan ser objeto de subcontratación, debiendo ser estas ejecutadas directamente por el contratista principal. La determinación de las tareas críticas deberá ser objeto de justificación en el expediente de contratación.</w:t>
      </w:r>
    </w:p>
    <w:p w:rsidR="0092635B" w:rsidRDefault="00000000">
      <w:pPr>
        <w:pStyle w:val="Prrafodelista"/>
        <w:numPr>
          <w:ilvl w:val="0"/>
          <w:numId w:val="166"/>
        </w:numPr>
        <w:tabs>
          <w:tab w:val="left" w:pos="1681"/>
        </w:tabs>
        <w:spacing w:before="125" w:line="249" w:lineRule="auto"/>
        <w:ind w:firstLine="340"/>
        <w:jc w:val="both"/>
        <w:rPr>
          <w:sz w:val="20"/>
        </w:rPr>
      </w:pPr>
      <w:r>
        <w:rPr>
          <w:sz w:val="20"/>
        </w:rPr>
        <w:t>La infracción de las condiciones establecidas en el apartado anterior para proceder a</w:t>
      </w:r>
      <w:r>
        <w:rPr>
          <w:spacing w:val="40"/>
          <w:sz w:val="20"/>
        </w:rPr>
        <w:t xml:space="preserve"> </w:t>
      </w:r>
      <w:r>
        <w:rPr>
          <w:sz w:val="20"/>
        </w:rPr>
        <w:t>la subcontratación, así como la falta de acreditación de la aptitud del subcontratista o de las circunstancias determinantes de la situación de emergencia o de las que hacen urgente la subcontratación, tendrá, entre otras previstas en esta Ley, y en función de la repercusión en la ejecución del contrato, alguna de las siguientes consecuencias, cuando así se hubiera previsto en los pliegos:</w:t>
      </w:r>
    </w:p>
    <w:p w:rsidR="0092635B" w:rsidRDefault="00000000">
      <w:pPr>
        <w:pStyle w:val="Prrafodelista"/>
        <w:numPr>
          <w:ilvl w:val="1"/>
          <w:numId w:val="166"/>
        </w:numPr>
        <w:tabs>
          <w:tab w:val="left" w:pos="1692"/>
        </w:tabs>
        <w:spacing w:before="125" w:line="249" w:lineRule="auto"/>
        <w:ind w:right="1105" w:firstLine="340"/>
        <w:jc w:val="both"/>
        <w:rPr>
          <w:sz w:val="20"/>
        </w:rPr>
      </w:pPr>
      <w:r>
        <w:rPr>
          <w:sz w:val="20"/>
        </w:rPr>
        <w:t xml:space="preserve">La imposición al contratista de una penalidad de hasta un 50 por 100 del importe del </w:t>
      </w:r>
      <w:r>
        <w:rPr>
          <w:spacing w:val="-2"/>
          <w:sz w:val="20"/>
        </w:rPr>
        <w:t>subcontrato.</w:t>
      </w:r>
    </w:p>
    <w:p w:rsidR="0092635B" w:rsidRDefault="00000000">
      <w:pPr>
        <w:pStyle w:val="Prrafodelista"/>
        <w:numPr>
          <w:ilvl w:val="1"/>
          <w:numId w:val="166"/>
        </w:numPr>
        <w:tabs>
          <w:tab w:val="left" w:pos="1700"/>
        </w:tabs>
        <w:spacing w:line="249" w:lineRule="auto"/>
        <w:ind w:right="1105" w:firstLine="340"/>
        <w:jc w:val="both"/>
        <w:rPr>
          <w:sz w:val="20"/>
        </w:rPr>
      </w:pPr>
      <w:r>
        <w:rPr>
          <w:sz w:val="20"/>
        </w:rPr>
        <w:t>La resolución del contrato, siempre y cuando se cumplan los requisitos establecidos</w:t>
      </w:r>
      <w:r>
        <w:rPr>
          <w:spacing w:val="40"/>
          <w:sz w:val="20"/>
        </w:rPr>
        <w:t xml:space="preserve"> </w:t>
      </w:r>
      <w:r>
        <w:rPr>
          <w:sz w:val="20"/>
        </w:rPr>
        <w:t>en el segundo párrafo de la letra f) del apartado 1 del artículo 211.</w:t>
      </w:r>
    </w:p>
    <w:p w:rsidR="0092635B" w:rsidRDefault="00000000">
      <w:pPr>
        <w:pStyle w:val="Prrafodelista"/>
        <w:numPr>
          <w:ilvl w:val="0"/>
          <w:numId w:val="166"/>
        </w:numPr>
        <w:tabs>
          <w:tab w:val="left" w:pos="1678"/>
        </w:tabs>
        <w:spacing w:before="122" w:line="249" w:lineRule="auto"/>
        <w:ind w:firstLine="340"/>
        <w:jc w:val="both"/>
        <w:rPr>
          <w:sz w:val="20"/>
        </w:rPr>
      </w:pPr>
      <w:r>
        <w:rPr>
          <w:sz w:val="20"/>
        </w:rPr>
        <w:t xml:space="preserve">Los subcontratistas quedarán obligados solo ante el contratista principal que asumirá, por tanto, la total responsabilidad de la ejecución del contrato frente a la Administración, con arreglo estricto a los pliegos de cláusulas administrativas particulares o documento descriptivo, y a los términos del contrato; incluido el cumplimiento de las obligaciones en materia medioambiental, social o laboral a que se refiere el artículo 201, así como de la obligación a que hace referencia el último párrafo del apartado 1 del artículo 202 referida al sometimiento a la normativa nacional y de la Unión Europea en materia de protección de </w:t>
      </w:r>
      <w:r>
        <w:rPr>
          <w:spacing w:val="-2"/>
          <w:sz w:val="20"/>
        </w:rPr>
        <w:t>datos.</w:t>
      </w:r>
    </w:p>
    <w:p w:rsidR="0092635B" w:rsidRDefault="00000000">
      <w:pPr>
        <w:pStyle w:val="Textoindependiente"/>
        <w:spacing w:before="6" w:line="249" w:lineRule="auto"/>
        <w:ind w:right="1104"/>
      </w:pPr>
      <w:r>
        <w:t>El conocimiento que tenga la Administración de los subcontratos celebrados en virtud de las comunicaciones a que se refieren las letras b) y c) del apartado 2 de este artículo, o la autorización que otorgue en el supuesto previsto en la letra d) de dicho apartado, no</w:t>
      </w:r>
      <w:r>
        <w:rPr>
          <w:spacing w:val="40"/>
        </w:rPr>
        <w:t xml:space="preserve"> </w:t>
      </w:r>
      <w:r>
        <w:t>alterarán la responsabilidad exclusiva del contratista principal.</w:t>
      </w:r>
    </w:p>
    <w:p w:rsidR="0092635B" w:rsidRDefault="00000000">
      <w:pPr>
        <w:pStyle w:val="Prrafodelista"/>
        <w:numPr>
          <w:ilvl w:val="0"/>
          <w:numId w:val="166"/>
        </w:numPr>
        <w:tabs>
          <w:tab w:val="left" w:pos="1689"/>
        </w:tabs>
        <w:spacing w:before="3" w:line="249" w:lineRule="auto"/>
        <w:ind w:right="1104" w:firstLine="340"/>
        <w:jc w:val="both"/>
        <w:rPr>
          <w:sz w:val="20"/>
        </w:rPr>
      </w:pPr>
      <w:r>
        <w:rPr>
          <w:sz w:val="20"/>
        </w:rPr>
        <w:t>En ningún caso podrá concertarse por el contratista la ejecución parcial del contrato con personas inhabilitadas para contratar de acuerdo con el ordenamiento jurídico o comprendidas en alguno de los supuestos del artículo 71.</w:t>
      </w:r>
    </w:p>
    <w:p w:rsidR="0092635B" w:rsidRDefault="00000000">
      <w:pPr>
        <w:pStyle w:val="Prrafodelista"/>
        <w:numPr>
          <w:ilvl w:val="0"/>
          <w:numId w:val="166"/>
        </w:numPr>
        <w:tabs>
          <w:tab w:val="left" w:pos="1748"/>
        </w:tabs>
        <w:spacing w:before="3" w:line="249" w:lineRule="auto"/>
        <w:ind w:right="1105" w:firstLine="340"/>
        <w:jc w:val="both"/>
        <w:rPr>
          <w:sz w:val="20"/>
        </w:rPr>
      </w:pPr>
      <w:r>
        <w:rPr>
          <w:sz w:val="20"/>
        </w:rPr>
        <w:t>El contratista deberá informar a los representantes de los trabajadores de la subcontratación, de acuerdo con la legislación laboral.</w:t>
      </w:r>
    </w:p>
    <w:p w:rsidR="0092635B" w:rsidRDefault="00000000">
      <w:pPr>
        <w:pStyle w:val="Prrafodelista"/>
        <w:numPr>
          <w:ilvl w:val="0"/>
          <w:numId w:val="166"/>
        </w:numPr>
        <w:tabs>
          <w:tab w:val="left" w:pos="1692"/>
        </w:tabs>
        <w:spacing w:line="249" w:lineRule="auto"/>
        <w:ind w:right="1104" w:firstLine="340"/>
        <w:jc w:val="both"/>
        <w:rPr>
          <w:sz w:val="20"/>
        </w:rPr>
      </w:pPr>
      <w:r>
        <w:rPr>
          <w:sz w:val="20"/>
        </w:rPr>
        <w:t>Los subcontratos y los contratos de suministro a que se refieren los artículos 215 a</w:t>
      </w:r>
      <w:r>
        <w:rPr>
          <w:spacing w:val="40"/>
          <w:sz w:val="20"/>
        </w:rPr>
        <w:t xml:space="preserve"> </w:t>
      </w:r>
      <w:r>
        <w:rPr>
          <w:sz w:val="20"/>
        </w:rPr>
        <w:t>217 tendrán en todo caso naturaleza privada.</w:t>
      </w:r>
    </w:p>
    <w:p w:rsidR="0092635B" w:rsidRDefault="00000000">
      <w:pPr>
        <w:pStyle w:val="Prrafodelista"/>
        <w:numPr>
          <w:ilvl w:val="0"/>
          <w:numId w:val="166"/>
        </w:numPr>
        <w:tabs>
          <w:tab w:val="left" w:pos="1688"/>
        </w:tabs>
        <w:spacing w:before="1" w:line="249" w:lineRule="auto"/>
        <w:ind w:right="1104" w:firstLine="340"/>
        <w:jc w:val="both"/>
        <w:rPr>
          <w:sz w:val="20"/>
        </w:rPr>
      </w:pPr>
      <w:r>
        <w:rPr>
          <w:sz w:val="20"/>
        </w:rPr>
        <w:t>Sin perjuicio de lo establecido en la disposición adicional quincuagésima primera los subcontratistas no tendrán acción directa frente a la Administración contratante por las obligaciones contraídas con ellos por el contratista como consecuencia de la ejecución del contrato principal y de los subcontratos.</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333" w:name="Artículo_216._Pagos_a_subcontratistas_y_"/>
      <w:bookmarkEnd w:id="333"/>
      <w:r>
        <w:rPr>
          <w:rFonts w:ascii="Arial" w:hAnsi="Arial"/>
          <w:b/>
          <w:sz w:val="20"/>
        </w:rPr>
        <w:t>Artículo 216.</w:t>
      </w:r>
      <w:r>
        <w:rPr>
          <w:rFonts w:ascii="Arial" w:hAnsi="Arial"/>
          <w:b/>
          <w:spacing w:val="54"/>
          <w:sz w:val="20"/>
        </w:rPr>
        <w:t xml:space="preserve"> </w:t>
      </w:r>
      <w:r>
        <w:rPr>
          <w:rFonts w:ascii="Arial" w:hAnsi="Arial"/>
          <w:i/>
          <w:sz w:val="20"/>
        </w:rPr>
        <w:t xml:space="preserve">Pagos a subcontratistas y </w:t>
      </w:r>
      <w:r>
        <w:rPr>
          <w:rFonts w:ascii="Arial" w:hAnsi="Arial"/>
          <w:i/>
          <w:spacing w:val="-2"/>
          <w:sz w:val="20"/>
        </w:rPr>
        <w:t>suministradores.</w:t>
      </w:r>
    </w:p>
    <w:p w:rsidR="0092635B" w:rsidRDefault="00000000">
      <w:pPr>
        <w:pStyle w:val="Prrafodelista"/>
        <w:numPr>
          <w:ilvl w:val="0"/>
          <w:numId w:val="165"/>
        </w:numPr>
        <w:tabs>
          <w:tab w:val="left" w:pos="1679"/>
        </w:tabs>
        <w:spacing w:before="124" w:line="249" w:lineRule="auto"/>
        <w:ind w:right="1105" w:firstLine="340"/>
        <w:jc w:val="both"/>
        <w:rPr>
          <w:sz w:val="20"/>
        </w:rPr>
      </w:pPr>
      <w:r>
        <w:rPr>
          <w:sz w:val="20"/>
        </w:rPr>
        <w:t>El contratista está obligado a abonar a los subcontratistas o suministradores el precio pactado en los plazos y condiciones que se indican a continuación.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65"/>
        </w:numPr>
        <w:tabs>
          <w:tab w:val="left" w:pos="1748"/>
        </w:tabs>
        <w:spacing w:before="1" w:line="249" w:lineRule="auto"/>
        <w:ind w:firstLine="340"/>
        <w:jc w:val="both"/>
        <w:rPr>
          <w:sz w:val="20"/>
        </w:rPr>
      </w:pPr>
      <w:r>
        <w:rPr>
          <w:sz w:val="20"/>
        </w:rPr>
        <w:t>Los</w:t>
      </w:r>
      <w:r>
        <w:rPr>
          <w:spacing w:val="78"/>
          <w:sz w:val="20"/>
        </w:rPr>
        <w:t xml:space="preserve"> </w:t>
      </w:r>
      <w:r>
        <w:rPr>
          <w:sz w:val="20"/>
        </w:rPr>
        <w:t>plazos</w:t>
      </w:r>
      <w:r>
        <w:rPr>
          <w:spacing w:val="78"/>
          <w:sz w:val="20"/>
        </w:rPr>
        <w:t xml:space="preserve"> </w:t>
      </w:r>
      <w:r>
        <w:rPr>
          <w:sz w:val="20"/>
        </w:rPr>
        <w:t>fijados</w:t>
      </w:r>
      <w:r>
        <w:rPr>
          <w:spacing w:val="78"/>
          <w:sz w:val="20"/>
        </w:rPr>
        <w:t xml:space="preserve"> </w:t>
      </w:r>
      <w:r>
        <w:rPr>
          <w:sz w:val="20"/>
        </w:rPr>
        <w:t>no</w:t>
      </w:r>
      <w:r>
        <w:rPr>
          <w:spacing w:val="78"/>
          <w:sz w:val="20"/>
        </w:rPr>
        <w:t xml:space="preserve"> </w:t>
      </w:r>
      <w:r>
        <w:rPr>
          <w:sz w:val="20"/>
        </w:rPr>
        <w:t>podrán</w:t>
      </w:r>
      <w:r>
        <w:rPr>
          <w:spacing w:val="78"/>
          <w:sz w:val="20"/>
        </w:rPr>
        <w:t xml:space="preserve"> </w:t>
      </w:r>
      <w:r>
        <w:rPr>
          <w:sz w:val="20"/>
        </w:rPr>
        <w:t>ser</w:t>
      </w:r>
      <w:r>
        <w:rPr>
          <w:spacing w:val="78"/>
          <w:sz w:val="20"/>
        </w:rPr>
        <w:t xml:space="preserve"> </w:t>
      </w:r>
      <w:r>
        <w:rPr>
          <w:sz w:val="20"/>
        </w:rPr>
        <w:t>más</w:t>
      </w:r>
      <w:r>
        <w:rPr>
          <w:spacing w:val="78"/>
          <w:sz w:val="20"/>
        </w:rPr>
        <w:t xml:space="preserve"> </w:t>
      </w:r>
      <w:r>
        <w:rPr>
          <w:sz w:val="20"/>
        </w:rPr>
        <w:t>desfavorables</w:t>
      </w:r>
      <w:r>
        <w:rPr>
          <w:spacing w:val="78"/>
          <w:sz w:val="20"/>
        </w:rPr>
        <w:t xml:space="preserve"> </w:t>
      </w:r>
      <w:r>
        <w:rPr>
          <w:sz w:val="20"/>
        </w:rPr>
        <w:t>que</w:t>
      </w:r>
      <w:r>
        <w:rPr>
          <w:spacing w:val="78"/>
          <w:sz w:val="20"/>
        </w:rPr>
        <w:t xml:space="preserve"> </w:t>
      </w:r>
      <w:r>
        <w:rPr>
          <w:sz w:val="20"/>
        </w:rPr>
        <w:t>los</w:t>
      </w:r>
      <w:r>
        <w:rPr>
          <w:spacing w:val="78"/>
          <w:sz w:val="20"/>
        </w:rPr>
        <w:t xml:space="preserve"> </w:t>
      </w:r>
      <w:r>
        <w:rPr>
          <w:sz w:val="20"/>
        </w:rPr>
        <w:t>previstos</w:t>
      </w:r>
      <w:r>
        <w:rPr>
          <w:spacing w:val="78"/>
          <w:sz w:val="20"/>
        </w:rPr>
        <w:t xml:space="preserve"> </w:t>
      </w:r>
      <w:r>
        <w:rPr>
          <w:sz w:val="20"/>
        </w:rPr>
        <w:t>en</w:t>
      </w:r>
      <w:r>
        <w:rPr>
          <w:spacing w:val="78"/>
          <w:sz w:val="20"/>
        </w:rPr>
        <w:t xml:space="preserve"> </w:t>
      </w:r>
      <w:r>
        <w:rPr>
          <w:sz w:val="20"/>
        </w:rPr>
        <w:t>la Ley 3/2004, de 29 de diciembre, por la que se establecen medidas de lucha contra la morosidad en las operaciones comerciales, y se computarán desde la fecha en que tiene lugar la aceptación o verificación de los bienes o servicios por el contratista principal,</w:t>
      </w:r>
      <w:r>
        <w:rPr>
          <w:spacing w:val="40"/>
          <w:sz w:val="20"/>
        </w:rPr>
        <w:t xml:space="preserve"> </w:t>
      </w:r>
      <w:r>
        <w:rPr>
          <w:sz w:val="20"/>
        </w:rPr>
        <w:t>siempre que el subcontratista o el suministrador hayan entregado la factura en los plazos legalmente establecidos.</w:t>
      </w:r>
    </w:p>
    <w:p w:rsidR="0092635B" w:rsidRDefault="00000000">
      <w:pPr>
        <w:pStyle w:val="Prrafodelista"/>
        <w:numPr>
          <w:ilvl w:val="0"/>
          <w:numId w:val="165"/>
        </w:numPr>
        <w:tabs>
          <w:tab w:val="left" w:pos="1674"/>
        </w:tabs>
        <w:spacing w:before="5" w:line="249" w:lineRule="auto"/>
        <w:ind w:firstLine="340"/>
        <w:jc w:val="both"/>
        <w:rPr>
          <w:sz w:val="20"/>
        </w:rPr>
      </w:pPr>
      <w:r>
        <w:rPr>
          <w:sz w:val="20"/>
        </w:rPr>
        <w:t>La aceptación deberá efectuarse en un plazo máximo de treinta días desde la entrega de los bienes o la prestación del servicio. Dentro del mismo plazo deberán formularse, en su caso, los motivos de disconformidad a la misma. En el caso de que no se realizase en dicho plazo, se entenderá que se han aceptado los bienes o verificado de conformidad la prestación de los servicios.</w:t>
      </w:r>
    </w:p>
    <w:p w:rsidR="0092635B" w:rsidRDefault="00000000">
      <w:pPr>
        <w:pStyle w:val="Prrafodelista"/>
        <w:numPr>
          <w:ilvl w:val="0"/>
          <w:numId w:val="165"/>
        </w:numPr>
        <w:tabs>
          <w:tab w:val="left" w:pos="1706"/>
        </w:tabs>
        <w:spacing w:before="4" w:line="249" w:lineRule="auto"/>
        <w:ind w:right="1102" w:firstLine="340"/>
        <w:jc w:val="both"/>
        <w:rPr>
          <w:sz w:val="20"/>
        </w:rPr>
      </w:pPr>
      <w:r>
        <w:rPr>
          <w:sz w:val="20"/>
        </w:rPr>
        <w:t>El contratista deberá abonar las facturas en el plazo fijado de conformidad con lo previsto en el apartado 2. En caso de demora en el pago, el subcontratista o el suministrador tendrá derecho al cobro de los intereses de demora y la indemnización por los costes de cobro en los términos previstos en la Ley 3/2004, de 29 de diciembre, por la que se establecen medidas de lucha contra la morosidad en las operaciones comerciales.</w:t>
      </w:r>
    </w:p>
    <w:p w:rsidR="0092635B" w:rsidRDefault="00000000">
      <w:pPr>
        <w:pStyle w:val="Textoindependiente"/>
        <w:spacing w:before="4" w:line="249" w:lineRule="auto"/>
        <w:ind w:right="1103"/>
      </w:pPr>
      <w:r>
        <w:t>Asimismo,</w:t>
      </w:r>
      <w:r>
        <w:rPr>
          <w:spacing w:val="-1"/>
        </w:rPr>
        <w:t xml:space="preserve"> </w:t>
      </w:r>
      <w:r>
        <w:t>en</w:t>
      </w:r>
      <w:r>
        <w:rPr>
          <w:spacing w:val="-1"/>
        </w:rPr>
        <w:t xml:space="preserve"> </w:t>
      </w:r>
      <w:r>
        <w:t>los</w:t>
      </w:r>
      <w:r>
        <w:rPr>
          <w:spacing w:val="-1"/>
        </w:rPr>
        <w:t xml:space="preserve"> </w:t>
      </w:r>
      <w:r>
        <w:t>contratos</w:t>
      </w:r>
      <w:r>
        <w:rPr>
          <w:spacing w:val="-1"/>
        </w:rPr>
        <w:t xml:space="preserve"> </w:t>
      </w:r>
      <w:r>
        <w:t>sujetos</w:t>
      </w:r>
      <w:r>
        <w:rPr>
          <w:spacing w:val="-1"/>
        </w:rPr>
        <w:t xml:space="preserve"> </w:t>
      </w:r>
      <w:r>
        <w:t>a</w:t>
      </w:r>
      <w:r>
        <w:rPr>
          <w:spacing w:val="-1"/>
        </w:rPr>
        <w:t xml:space="preserve"> </w:t>
      </w:r>
      <w:r>
        <w:t>regulación</w:t>
      </w:r>
      <w:r>
        <w:rPr>
          <w:spacing w:val="-1"/>
        </w:rPr>
        <w:t xml:space="preserve"> </w:t>
      </w:r>
      <w:r>
        <w:t>armonizada</w:t>
      </w:r>
      <w:r>
        <w:rPr>
          <w:spacing w:val="-1"/>
        </w:rPr>
        <w:t xml:space="preserve"> </w:t>
      </w:r>
      <w:r>
        <w:t>y,</w:t>
      </w:r>
      <w:r>
        <w:rPr>
          <w:spacing w:val="-1"/>
        </w:rPr>
        <w:t xml:space="preserve"> </w:t>
      </w:r>
      <w:r>
        <w:t>además,</w:t>
      </w:r>
      <w:r>
        <w:rPr>
          <w:spacing w:val="-1"/>
        </w:rPr>
        <w:t xml:space="preserve"> </w:t>
      </w:r>
      <w:r>
        <w:t>en</w:t>
      </w:r>
      <w:r>
        <w:rPr>
          <w:spacing w:val="-1"/>
        </w:rPr>
        <w:t xml:space="preserve"> </w:t>
      </w:r>
      <w:r>
        <w:t>aquellos</w:t>
      </w:r>
      <w:r>
        <w:rPr>
          <w:spacing w:val="-1"/>
        </w:rPr>
        <w:t xml:space="preserve"> </w:t>
      </w:r>
      <w:r>
        <w:t>cuyo valor estimado sea igual o superior a dos millones de euros, cuando el subcontratista o suministrador ejercite frente al contratista principal, en sede judicial o arbitral, acciones dirigidas al abono de las facturas una vez excedido el plazo fijado según lo previsto en el apartado 2, el órgano de contratación, sin perjuicio de que siga desplegando todos sus efectos, procederá a la retención provisional de la garantía definitiva la cual no podrá ser devuelta hasta el momento en que el contratista acredite la íntegra satisfacción de los derechos declarados en la resolución judicial o arbitral firme que ponga término al litigio, y siempre que se cumplan las condiciones establecidas en el artículo 111 de la presente ley.</w:t>
      </w:r>
    </w:p>
    <w:p w:rsidR="0092635B" w:rsidRDefault="00000000">
      <w:pPr>
        <w:pStyle w:val="Prrafodelista"/>
        <w:numPr>
          <w:ilvl w:val="0"/>
          <w:numId w:val="165"/>
        </w:numPr>
        <w:tabs>
          <w:tab w:val="left" w:pos="1691"/>
        </w:tabs>
        <w:spacing w:before="7" w:line="249" w:lineRule="auto"/>
        <w:ind w:firstLine="340"/>
        <w:jc w:val="both"/>
        <w:rPr>
          <w:sz w:val="20"/>
        </w:rPr>
      </w:pPr>
      <w:r>
        <w:rPr>
          <w:sz w:val="20"/>
        </w:rPr>
        <w:t>Sin perjuicio de lo dispuesto en el art. 69 bis del Reglamento del Impuesto sobre el Valor Añadido, aprobado por Real Decreto 1624/1992, de 29 de diciembre, sobre la remisión electrónica de los registros de facturación, los subcontratistas que se encuentren en los supuestos establecidos en el apartado 1 del artículo 4 de la Ley 25/2013, de 27 de</w:t>
      </w:r>
      <w:r>
        <w:rPr>
          <w:spacing w:val="40"/>
          <w:sz w:val="20"/>
        </w:rPr>
        <w:t xml:space="preserve"> </w:t>
      </w:r>
      <w:r>
        <w:rPr>
          <w:sz w:val="20"/>
        </w:rPr>
        <w:t>diciembre, de impulso a la factura electrónica y creación del registro contable de facturas del sector público, deberán utilizar en su relación con el contratista principal la factura electrónica, cuando el importe de la misma supere los 5.000 euros, que deberán presentar al contratista principal a través del Registro a que se refiere el apartado 3 de la disposición adicional trigésima segunda, a partir de la fecha prevista en dicha disposición.</w:t>
      </w:r>
    </w:p>
    <w:p w:rsidR="0092635B" w:rsidRDefault="00000000">
      <w:pPr>
        <w:pStyle w:val="Textoindependiente"/>
        <w:spacing w:before="8" w:line="249" w:lineRule="auto"/>
        <w:ind w:right="1105"/>
      </w:pPr>
      <w:r>
        <w:t>En supuestos distintos de los anteriores, será facultativo para los subcontratistas la utilización de la factura electrónica y su presentación en el Registro referido en el apartado 3 de la disposición adicional trigésima segunda.</w:t>
      </w:r>
    </w:p>
    <w:p w:rsidR="0092635B" w:rsidRDefault="00000000">
      <w:pPr>
        <w:pStyle w:val="Textoindependiente"/>
        <w:spacing w:line="249" w:lineRule="auto"/>
        <w:ind w:right="1104"/>
      </w:pPr>
      <w:r>
        <w:t>La</w:t>
      </w:r>
      <w:r>
        <w:rPr>
          <w:spacing w:val="-2"/>
        </w:rPr>
        <w:t xml:space="preserve"> </w:t>
      </w:r>
      <w:r>
        <w:t>cuantía</w:t>
      </w:r>
      <w:r>
        <w:rPr>
          <w:spacing w:val="-2"/>
        </w:rPr>
        <w:t xml:space="preserve"> </w:t>
      </w:r>
      <w:r>
        <w:t>de</w:t>
      </w:r>
      <w:r>
        <w:rPr>
          <w:spacing w:val="-2"/>
        </w:rPr>
        <w:t xml:space="preserve"> </w:t>
      </w:r>
      <w:r>
        <w:t>5.000</w:t>
      </w:r>
      <w:r>
        <w:rPr>
          <w:spacing w:val="-2"/>
        </w:rPr>
        <w:t xml:space="preserve"> </w:t>
      </w:r>
      <w:r>
        <w:t>euros</w:t>
      </w:r>
      <w:r>
        <w:rPr>
          <w:spacing w:val="-2"/>
        </w:rPr>
        <w:t xml:space="preserve"> </w:t>
      </w:r>
      <w:r>
        <w:t>se</w:t>
      </w:r>
      <w:r>
        <w:rPr>
          <w:spacing w:val="-2"/>
        </w:rPr>
        <w:t xml:space="preserve"> </w:t>
      </w:r>
      <w:r>
        <w:t>podrá</w:t>
      </w:r>
      <w:r>
        <w:rPr>
          <w:spacing w:val="-2"/>
        </w:rPr>
        <w:t xml:space="preserve"> </w:t>
      </w:r>
      <w:r>
        <w:t>modificar</w:t>
      </w:r>
      <w:r>
        <w:rPr>
          <w:spacing w:val="-2"/>
        </w:rPr>
        <w:t xml:space="preserve"> </w:t>
      </w:r>
      <w:r>
        <w:t>mediante</w:t>
      </w:r>
      <w:r>
        <w:rPr>
          <w:spacing w:val="-2"/>
        </w:rPr>
        <w:t xml:space="preserve"> </w:t>
      </w:r>
      <w:r>
        <w:t>Orden</w:t>
      </w:r>
      <w:r>
        <w:rPr>
          <w:spacing w:val="-2"/>
        </w:rPr>
        <w:t xml:space="preserve"> </w:t>
      </w:r>
      <w:r>
        <w:t>del</w:t>
      </w:r>
      <w:r>
        <w:rPr>
          <w:spacing w:val="-2"/>
        </w:rPr>
        <w:t xml:space="preserve"> </w:t>
      </w:r>
      <w:r>
        <w:t>Ministro</w:t>
      </w:r>
      <w:r>
        <w:rPr>
          <w:spacing w:val="-2"/>
        </w:rPr>
        <w:t xml:space="preserve"> </w:t>
      </w:r>
      <w:r>
        <w:t>de</w:t>
      </w:r>
      <w:r>
        <w:rPr>
          <w:spacing w:val="-2"/>
        </w:rPr>
        <w:t xml:space="preserve"> </w:t>
      </w:r>
      <w:r>
        <w:t>Hacienda</w:t>
      </w:r>
      <w:r>
        <w:rPr>
          <w:spacing w:val="-2"/>
        </w:rPr>
        <w:t xml:space="preserve"> </w:t>
      </w:r>
      <w:r>
        <w:t>y Función Pública.</w:t>
      </w:r>
    </w:p>
    <w:p w:rsidR="0092635B" w:rsidRDefault="00000000">
      <w:pPr>
        <w:pStyle w:val="Prrafodelista"/>
        <w:numPr>
          <w:ilvl w:val="0"/>
          <w:numId w:val="165"/>
        </w:numPr>
        <w:tabs>
          <w:tab w:val="left" w:pos="1748"/>
        </w:tabs>
        <w:spacing w:line="249" w:lineRule="auto"/>
        <w:ind w:firstLine="340"/>
        <w:jc w:val="both"/>
        <w:rPr>
          <w:sz w:val="20"/>
        </w:rPr>
      </w:pPr>
      <w:r>
        <w:rPr>
          <w:sz w:val="20"/>
        </w:rPr>
        <w:t>Los subcontratistas no podrán renunciar válidamente, antes o después de su adquisición, a los derechos que tengan reconocidos por este artículo, sin que sea de aplicación a este respecto el artículo 1110 del Código Civil.</w:t>
      </w:r>
    </w:p>
    <w:p w:rsidR="0092635B" w:rsidRDefault="00000000">
      <w:pPr>
        <w:spacing w:before="229"/>
        <w:ind w:left="1106"/>
        <w:rPr>
          <w:rFonts w:ascii="Arial" w:hAnsi="Arial"/>
          <w:i/>
          <w:sz w:val="20"/>
        </w:rPr>
      </w:pPr>
      <w:bookmarkStart w:id="334" w:name="Artículo_217._Comprobación_de_los_pagos_"/>
      <w:bookmarkEnd w:id="334"/>
      <w:r>
        <w:rPr>
          <w:rFonts w:ascii="Arial" w:hAnsi="Arial"/>
          <w:b/>
          <w:sz w:val="20"/>
        </w:rPr>
        <w:t>Artículo</w:t>
      </w:r>
      <w:r>
        <w:rPr>
          <w:rFonts w:ascii="Arial" w:hAnsi="Arial"/>
          <w:b/>
          <w:spacing w:val="-2"/>
          <w:sz w:val="20"/>
        </w:rPr>
        <w:t xml:space="preserve"> </w:t>
      </w:r>
      <w:r>
        <w:rPr>
          <w:rFonts w:ascii="Arial" w:hAnsi="Arial"/>
          <w:b/>
          <w:sz w:val="20"/>
        </w:rPr>
        <w:t>217.</w:t>
      </w:r>
      <w:r>
        <w:rPr>
          <w:rFonts w:ascii="Arial" w:hAnsi="Arial"/>
          <w:b/>
          <w:spacing w:val="52"/>
          <w:sz w:val="20"/>
        </w:rPr>
        <w:t xml:space="preserve"> </w:t>
      </w:r>
      <w:r>
        <w:rPr>
          <w:rFonts w:ascii="Arial" w:hAnsi="Arial"/>
          <w:i/>
          <w:sz w:val="20"/>
        </w:rPr>
        <w:t>Comprobación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pagos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subcontratistas</w:t>
      </w:r>
      <w:r>
        <w:rPr>
          <w:rFonts w:ascii="Arial" w:hAnsi="Arial"/>
          <w:i/>
          <w:spacing w:val="-1"/>
          <w:sz w:val="20"/>
        </w:rPr>
        <w:t xml:space="preserve"> </w:t>
      </w:r>
      <w:r>
        <w:rPr>
          <w:rFonts w:ascii="Arial" w:hAnsi="Arial"/>
          <w:i/>
          <w:sz w:val="20"/>
        </w:rPr>
        <w:t>o</w:t>
      </w:r>
      <w:r>
        <w:rPr>
          <w:rFonts w:ascii="Arial" w:hAnsi="Arial"/>
          <w:i/>
          <w:spacing w:val="-1"/>
          <w:sz w:val="20"/>
        </w:rPr>
        <w:t xml:space="preserve"> </w:t>
      </w:r>
      <w:r>
        <w:rPr>
          <w:rFonts w:ascii="Arial" w:hAnsi="Arial"/>
          <w:i/>
          <w:spacing w:val="-2"/>
          <w:sz w:val="20"/>
        </w:rPr>
        <w:t>suministradores.</w:t>
      </w:r>
    </w:p>
    <w:p w:rsidR="0092635B" w:rsidRDefault="00000000">
      <w:pPr>
        <w:pStyle w:val="Prrafodelista"/>
        <w:numPr>
          <w:ilvl w:val="0"/>
          <w:numId w:val="164"/>
        </w:numPr>
        <w:tabs>
          <w:tab w:val="left" w:pos="1669"/>
        </w:tabs>
        <w:spacing w:before="123" w:line="249" w:lineRule="auto"/>
        <w:ind w:firstLine="340"/>
        <w:jc w:val="both"/>
        <w:rPr>
          <w:sz w:val="20"/>
        </w:rPr>
      </w:pPr>
      <w:r>
        <w:rPr>
          <w:sz w:val="20"/>
        </w:rPr>
        <w:t>Las</w:t>
      </w:r>
      <w:r>
        <w:rPr>
          <w:spacing w:val="-3"/>
          <w:sz w:val="20"/>
        </w:rPr>
        <w:t xml:space="preserve"> </w:t>
      </w:r>
      <w:r>
        <w:rPr>
          <w:sz w:val="20"/>
        </w:rPr>
        <w:t>Administraciones</w:t>
      </w:r>
      <w:r>
        <w:rPr>
          <w:spacing w:val="-3"/>
          <w:sz w:val="20"/>
        </w:rPr>
        <w:t xml:space="preserve"> </w:t>
      </w:r>
      <w:r>
        <w:rPr>
          <w:sz w:val="20"/>
        </w:rPr>
        <w:t>Públicas</w:t>
      </w:r>
      <w:r>
        <w:rPr>
          <w:spacing w:val="-3"/>
          <w:sz w:val="20"/>
        </w:rPr>
        <w:t xml:space="preserve"> </w:t>
      </w:r>
      <w:r>
        <w:rPr>
          <w:sz w:val="20"/>
        </w:rPr>
        <w:t>y</w:t>
      </w:r>
      <w:r>
        <w:rPr>
          <w:spacing w:val="-3"/>
          <w:sz w:val="20"/>
        </w:rPr>
        <w:t xml:space="preserve"> </w:t>
      </w:r>
      <w:r>
        <w:rPr>
          <w:sz w:val="20"/>
        </w:rPr>
        <w:t>demás</w:t>
      </w:r>
      <w:r>
        <w:rPr>
          <w:spacing w:val="-3"/>
          <w:sz w:val="20"/>
        </w:rPr>
        <w:t xml:space="preserve"> </w:t>
      </w:r>
      <w:r>
        <w:rPr>
          <w:sz w:val="20"/>
        </w:rPr>
        <w:t>entes</w:t>
      </w:r>
      <w:r>
        <w:rPr>
          <w:spacing w:val="-3"/>
          <w:sz w:val="20"/>
        </w:rPr>
        <w:t xml:space="preserve"> </w:t>
      </w:r>
      <w:r>
        <w:rPr>
          <w:sz w:val="20"/>
        </w:rPr>
        <w:t>públicos</w:t>
      </w:r>
      <w:r>
        <w:rPr>
          <w:spacing w:val="-3"/>
          <w:sz w:val="20"/>
        </w:rPr>
        <w:t xml:space="preserve"> </w:t>
      </w:r>
      <w:r>
        <w:rPr>
          <w:sz w:val="20"/>
        </w:rPr>
        <w:t>contratantes</w:t>
      </w:r>
      <w:r>
        <w:rPr>
          <w:spacing w:val="-3"/>
          <w:sz w:val="20"/>
        </w:rPr>
        <w:t xml:space="preserve"> </w:t>
      </w:r>
      <w:r>
        <w:rPr>
          <w:sz w:val="20"/>
        </w:rPr>
        <w:t>podrán</w:t>
      </w:r>
      <w:r>
        <w:rPr>
          <w:spacing w:val="-3"/>
          <w:sz w:val="20"/>
        </w:rPr>
        <w:t xml:space="preserve"> </w:t>
      </w:r>
      <w:r>
        <w:rPr>
          <w:sz w:val="20"/>
        </w:rPr>
        <w:t>comprobar el estricto cumplimiento de los pagos que los contratistas adjudicatarios de los contratos públicos, calificados como tales en el artículo 12, han de hacer a todos los subcontratistas o suministradores que participen en los mismos.</w:t>
      </w:r>
    </w:p>
    <w:p w:rsidR="0092635B" w:rsidRDefault="00000000">
      <w:pPr>
        <w:pStyle w:val="Textoindependiente"/>
        <w:spacing w:before="4" w:line="249" w:lineRule="auto"/>
        <w:ind w:right="1103"/>
      </w:pPr>
      <w:r>
        <w:t>En tal caso, los contratistas adjudicatarios remitirán al ente público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aportar a solicitud del ente público contratante justificante de cumplimiento de los pagos a aquellos una vez terminada la prestación dentro de los plazos de pago legalmente establecidos en el artículo 216 y en la Ley 3/2004, de 29 de diciembre, por la que se establecen medidas de lucha contra la morosidad</w:t>
      </w:r>
      <w:r>
        <w:rPr>
          <w:spacing w:val="68"/>
          <w:w w:val="150"/>
        </w:rPr>
        <w:t xml:space="preserve"> </w:t>
      </w:r>
      <w:r>
        <w:t>en</w:t>
      </w:r>
      <w:r>
        <w:rPr>
          <w:spacing w:val="69"/>
          <w:w w:val="150"/>
        </w:rPr>
        <w:t xml:space="preserve"> </w:t>
      </w:r>
      <w:r>
        <w:t>las</w:t>
      </w:r>
      <w:r>
        <w:rPr>
          <w:spacing w:val="69"/>
          <w:w w:val="150"/>
        </w:rPr>
        <w:t xml:space="preserve"> </w:t>
      </w:r>
      <w:r>
        <w:t>operaciones</w:t>
      </w:r>
      <w:r>
        <w:rPr>
          <w:spacing w:val="69"/>
          <w:w w:val="150"/>
        </w:rPr>
        <w:t xml:space="preserve"> </w:t>
      </w:r>
      <w:r>
        <w:t>comerciales</w:t>
      </w:r>
      <w:r>
        <w:rPr>
          <w:spacing w:val="69"/>
          <w:w w:val="150"/>
        </w:rPr>
        <w:t xml:space="preserve"> </w:t>
      </w:r>
      <w:r>
        <w:t>en</w:t>
      </w:r>
      <w:r>
        <w:rPr>
          <w:spacing w:val="68"/>
          <w:w w:val="150"/>
        </w:rPr>
        <w:t xml:space="preserve"> </w:t>
      </w:r>
      <w:r>
        <w:t>lo</w:t>
      </w:r>
      <w:r>
        <w:rPr>
          <w:spacing w:val="69"/>
          <w:w w:val="150"/>
        </w:rPr>
        <w:t xml:space="preserve"> </w:t>
      </w:r>
      <w:r>
        <w:t>que</w:t>
      </w:r>
      <w:r>
        <w:rPr>
          <w:spacing w:val="69"/>
          <w:w w:val="150"/>
        </w:rPr>
        <w:t xml:space="preserve"> </w:t>
      </w:r>
      <w:r>
        <w:t>le</w:t>
      </w:r>
      <w:r>
        <w:rPr>
          <w:spacing w:val="69"/>
          <w:w w:val="150"/>
        </w:rPr>
        <w:t xml:space="preserve"> </w:t>
      </w:r>
      <w:r>
        <w:t>sea</w:t>
      </w:r>
      <w:r>
        <w:rPr>
          <w:spacing w:val="69"/>
          <w:w w:val="150"/>
        </w:rPr>
        <w:t xml:space="preserve"> </w:t>
      </w:r>
      <w:r>
        <w:t>de</w:t>
      </w:r>
      <w:r>
        <w:rPr>
          <w:spacing w:val="68"/>
          <w:w w:val="150"/>
        </w:rPr>
        <w:t xml:space="preserve"> </w:t>
      </w:r>
      <w:r>
        <w:t>aplicación.</w:t>
      </w:r>
      <w:r>
        <w:rPr>
          <w:spacing w:val="69"/>
          <w:w w:val="150"/>
        </w:rPr>
        <w:t xml:space="preserve"> </w:t>
      </w:r>
      <w:r>
        <w:rPr>
          <w:spacing w:val="-2"/>
        </w:rPr>
        <w:t>Estas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firstLine="0"/>
      </w:pPr>
      <w:r>
        <w:t>obligaciones, que en todo caso se incluirán en los anuncios de licitación y en los correspondientes pliegos de condiciones o en los contratos, se consideran condiciones especiales</w:t>
      </w:r>
      <w:r>
        <w:rPr>
          <w:spacing w:val="-1"/>
        </w:rPr>
        <w:t xml:space="preserve"> </w:t>
      </w:r>
      <w:r>
        <w:t>de</w:t>
      </w:r>
      <w:r>
        <w:rPr>
          <w:spacing w:val="-1"/>
        </w:rPr>
        <w:t xml:space="preserve"> </w:t>
      </w:r>
      <w:r>
        <w:t>ejecución,</w:t>
      </w:r>
      <w:r>
        <w:rPr>
          <w:spacing w:val="-1"/>
        </w:rPr>
        <w:t xml:space="preserve"> </w:t>
      </w:r>
      <w:r>
        <w:t>cuyo</w:t>
      </w:r>
      <w:r>
        <w:rPr>
          <w:spacing w:val="-1"/>
        </w:rPr>
        <w:t xml:space="preserve"> </w:t>
      </w:r>
      <w:r>
        <w:t>incumplimiento,</w:t>
      </w:r>
      <w:r>
        <w:rPr>
          <w:spacing w:val="-1"/>
        </w:rPr>
        <w:t xml:space="preserve"> </w:t>
      </w:r>
      <w:r>
        <w:t>además</w:t>
      </w:r>
      <w:r>
        <w:rPr>
          <w:spacing w:val="-1"/>
        </w:rPr>
        <w:t xml:space="preserve"> </w:t>
      </w:r>
      <w:r>
        <w:t>de</w:t>
      </w:r>
      <w:r>
        <w:rPr>
          <w:spacing w:val="-1"/>
        </w:rPr>
        <w:t xml:space="preserve"> </w:t>
      </w:r>
      <w:r>
        <w:t>las</w:t>
      </w:r>
      <w:r>
        <w:rPr>
          <w:spacing w:val="-1"/>
        </w:rPr>
        <w:t xml:space="preserve"> </w:t>
      </w:r>
      <w:r>
        <w:t>consecuencias</w:t>
      </w:r>
      <w:r>
        <w:rPr>
          <w:spacing w:val="-1"/>
        </w:rPr>
        <w:t xml:space="preserve"> </w:t>
      </w:r>
      <w:r>
        <w:t>previstas</w:t>
      </w:r>
      <w:r>
        <w:rPr>
          <w:spacing w:val="-1"/>
        </w:rPr>
        <w:t xml:space="preserve"> </w:t>
      </w:r>
      <w:r>
        <w:t>por</w:t>
      </w:r>
      <w:r>
        <w:rPr>
          <w:spacing w:val="-1"/>
        </w:rPr>
        <w:t xml:space="preserve"> </w:t>
      </w:r>
      <w:r>
        <w:t>el ordenamiento jurídico, permitirá la imposición de las penalidades que a tal efecto se contengan en los pliegos, respondiendo la garantía definitiva de las penalidades que se impongan por este motivo.</w:t>
      </w:r>
    </w:p>
    <w:p w:rsidR="0092635B" w:rsidRDefault="00000000">
      <w:pPr>
        <w:pStyle w:val="Prrafodelista"/>
        <w:numPr>
          <w:ilvl w:val="0"/>
          <w:numId w:val="164"/>
        </w:numPr>
        <w:tabs>
          <w:tab w:val="left" w:pos="1784"/>
        </w:tabs>
        <w:spacing w:before="5" w:line="249" w:lineRule="auto"/>
        <w:ind w:right="1102" w:firstLine="340"/>
        <w:jc w:val="both"/>
        <w:rPr>
          <w:sz w:val="20"/>
        </w:rPr>
      </w:pPr>
      <w:r>
        <w:rPr>
          <w:sz w:val="20"/>
        </w:rPr>
        <w:t>Las actuaciones de comprobación y de imposición de penalidades por el incumplimiento previstas en el apartado 1, serán obligatorias para las Administraciones Públicas y demás entes públicos contratantes, en los contratos de obras y en los contratos</w:t>
      </w:r>
      <w:r>
        <w:rPr>
          <w:spacing w:val="40"/>
          <w:sz w:val="20"/>
        </w:rPr>
        <w:t xml:space="preserve"> </w:t>
      </w:r>
      <w:r>
        <w:rPr>
          <w:sz w:val="20"/>
        </w:rPr>
        <w:t>de servicios cuyo valor estimado supere los 5 millones de euros y en los que el importe de la subcontratación sea igual o superior al 30 por ciento del precio del contrato, en relación a los pagos a subcontratistas que hayan asumido contractualmente con el contratista principal el compromiso de realizar determinadas partes o unidades de obra. A tales efectos, en estos contratos el contratista deberá aportar en cada certificación de obra, certificado de los pagos a los subcontratistas del contrato.</w:t>
      </w:r>
    </w:p>
    <w:p w:rsidR="0092635B" w:rsidRDefault="00000000">
      <w:pPr>
        <w:pStyle w:val="Textoindependiente"/>
        <w:spacing w:before="7" w:line="249" w:lineRule="auto"/>
        <w:ind w:right="1104"/>
      </w:pPr>
      <w:r>
        <w:t>Mediante Orden del Ministro de Hacienda y Función Pública, a propuesta de la Oficina Independiente de Regulación y Supervisión de la Contratación, previo informe de la</w:t>
      </w:r>
      <w:r>
        <w:rPr>
          <w:spacing w:val="40"/>
        </w:rPr>
        <w:t xml:space="preserve"> </w:t>
      </w:r>
      <w:r>
        <w:t>Comisión Delegada del Gobierno para Asuntos Económicos, podrá ampliarse el ámbito de los contratos en los que estas actuaciones de comprobación e imposición de penalidades previstas en el apartado 1 sean obligatorias.</w:t>
      </w:r>
    </w:p>
    <w:p w:rsidR="0092635B" w:rsidRDefault="00000000">
      <w:pPr>
        <w:pStyle w:val="Prrafodelista"/>
        <w:numPr>
          <w:ilvl w:val="0"/>
          <w:numId w:val="164"/>
        </w:numPr>
        <w:tabs>
          <w:tab w:val="left" w:pos="1701"/>
        </w:tabs>
        <w:spacing w:before="4" w:line="249" w:lineRule="auto"/>
        <w:ind w:right="1104" w:firstLine="340"/>
        <w:jc w:val="both"/>
        <w:rPr>
          <w:sz w:val="20"/>
        </w:rPr>
      </w:pPr>
      <w:r>
        <w:rPr>
          <w:sz w:val="20"/>
        </w:rPr>
        <w:t>Sin perjuicio de lo previsto en los apartados anteriores, procederá en todo caso la imposición de penalidades al contratista cuando, mediante resolución judicial o arbitral firme aportada por el subcontratista o por el suministrador al órgano de contratación quedara acreditado el impago por el contratista a un subcontratista o suministrador vinculado a la ejecución del contrato en los plazos previstos en la Ley 3/2004, de 29 de diciembre, y que dicha demora en el pago no viene motivada por el incumplimiento de alguna de las obligaciones contractuales asumidas por el subcontratista o por el suministrador en la ejecución de la prestación. La penalidad podrá alcanzar hasta el cinco por ciento del precio del</w:t>
      </w:r>
      <w:r>
        <w:rPr>
          <w:spacing w:val="-1"/>
          <w:sz w:val="20"/>
        </w:rPr>
        <w:t xml:space="preserve"> </w:t>
      </w:r>
      <w:r>
        <w:rPr>
          <w:sz w:val="20"/>
        </w:rPr>
        <w:t>contrato,</w:t>
      </w:r>
      <w:r>
        <w:rPr>
          <w:spacing w:val="-1"/>
          <w:sz w:val="20"/>
        </w:rPr>
        <w:t xml:space="preserve"> </w:t>
      </w:r>
      <w:r>
        <w:rPr>
          <w:sz w:val="20"/>
        </w:rPr>
        <w:t>y</w:t>
      </w:r>
      <w:r>
        <w:rPr>
          <w:spacing w:val="-1"/>
          <w:sz w:val="20"/>
        </w:rPr>
        <w:t xml:space="preserve"> </w:t>
      </w:r>
      <w:r>
        <w:rPr>
          <w:sz w:val="20"/>
        </w:rPr>
        <w:t>podrá</w:t>
      </w:r>
      <w:r>
        <w:rPr>
          <w:spacing w:val="-1"/>
          <w:sz w:val="20"/>
        </w:rPr>
        <w:t xml:space="preserve"> </w:t>
      </w:r>
      <w:r>
        <w:rPr>
          <w:sz w:val="20"/>
        </w:rPr>
        <w:t>reiterarse</w:t>
      </w:r>
      <w:r>
        <w:rPr>
          <w:spacing w:val="-1"/>
          <w:sz w:val="20"/>
        </w:rPr>
        <w:t xml:space="preserve"> </w:t>
      </w:r>
      <w:r>
        <w:rPr>
          <w:sz w:val="20"/>
        </w:rPr>
        <w:t>cada</w:t>
      </w:r>
      <w:r>
        <w:rPr>
          <w:spacing w:val="-1"/>
          <w:sz w:val="20"/>
        </w:rPr>
        <w:t xml:space="preserve"> </w:t>
      </w:r>
      <w:r>
        <w:rPr>
          <w:sz w:val="20"/>
        </w:rPr>
        <w:t>mes</w:t>
      </w:r>
      <w:r>
        <w:rPr>
          <w:spacing w:val="-1"/>
          <w:sz w:val="20"/>
        </w:rPr>
        <w:t xml:space="preserve"> </w:t>
      </w:r>
      <w:r>
        <w:rPr>
          <w:sz w:val="20"/>
        </w:rPr>
        <w:t>mientras</w:t>
      </w:r>
      <w:r>
        <w:rPr>
          <w:spacing w:val="-1"/>
          <w:sz w:val="20"/>
        </w:rPr>
        <w:t xml:space="preserve"> </w:t>
      </w:r>
      <w:r>
        <w:rPr>
          <w:sz w:val="20"/>
        </w:rPr>
        <w:t>persista</w:t>
      </w:r>
      <w:r>
        <w:rPr>
          <w:spacing w:val="-1"/>
          <w:sz w:val="20"/>
        </w:rPr>
        <w:t xml:space="preserve"> </w:t>
      </w:r>
      <w:r>
        <w:rPr>
          <w:sz w:val="20"/>
        </w:rPr>
        <w:t>el</w:t>
      </w:r>
      <w:r>
        <w:rPr>
          <w:spacing w:val="-1"/>
          <w:sz w:val="20"/>
        </w:rPr>
        <w:t xml:space="preserve"> </w:t>
      </w:r>
      <w:r>
        <w:rPr>
          <w:sz w:val="20"/>
        </w:rPr>
        <w:t>impago</w:t>
      </w:r>
      <w:r>
        <w:rPr>
          <w:spacing w:val="-1"/>
          <w:sz w:val="20"/>
        </w:rPr>
        <w:t xml:space="preserve"> </w:t>
      </w:r>
      <w:r>
        <w:rPr>
          <w:sz w:val="20"/>
        </w:rPr>
        <w:t>hasta</w:t>
      </w:r>
      <w:r>
        <w:rPr>
          <w:spacing w:val="-1"/>
          <w:sz w:val="20"/>
        </w:rPr>
        <w:t xml:space="preserve"> </w:t>
      </w:r>
      <w:r>
        <w:rPr>
          <w:sz w:val="20"/>
        </w:rPr>
        <w:t>alcanzar</w:t>
      </w:r>
      <w:r>
        <w:rPr>
          <w:spacing w:val="-1"/>
          <w:sz w:val="20"/>
        </w:rPr>
        <w:t xml:space="preserve"> </w:t>
      </w:r>
      <w:r>
        <w:rPr>
          <w:sz w:val="20"/>
        </w:rPr>
        <w:t>el</w:t>
      </w:r>
      <w:r>
        <w:rPr>
          <w:spacing w:val="-1"/>
          <w:sz w:val="20"/>
        </w:rPr>
        <w:t xml:space="preserve"> </w:t>
      </w:r>
      <w:r>
        <w:rPr>
          <w:sz w:val="20"/>
        </w:rPr>
        <w:t>límite conjunto del 50 por ciento de dicho precio. La garantía definitiva responderá de las penalidades que se impongan por este motivo.</w:t>
      </w:r>
    </w:p>
    <w:p w:rsidR="0092635B" w:rsidRDefault="0092635B">
      <w:pPr>
        <w:pStyle w:val="Textoindependiente"/>
        <w:spacing w:before="119"/>
        <w:ind w:left="0" w:firstLine="0"/>
        <w:jc w:val="left"/>
      </w:pPr>
    </w:p>
    <w:p w:rsidR="0092635B" w:rsidRDefault="00000000">
      <w:pPr>
        <w:pStyle w:val="Textoindependiente"/>
        <w:spacing w:before="0"/>
        <w:ind w:left="0" w:firstLine="0"/>
        <w:jc w:val="center"/>
      </w:pPr>
      <w:bookmarkStart w:id="335" w:name="CAPÍTULO_II._Racionalización_técnica_de_"/>
      <w:bookmarkStart w:id="336" w:name="_bookmark60"/>
      <w:bookmarkEnd w:id="335"/>
      <w:bookmarkEnd w:id="336"/>
      <w:r>
        <w:t xml:space="preserve">CAPÍTULO </w:t>
      </w:r>
      <w:r>
        <w:rPr>
          <w:spacing w:val="-5"/>
        </w:rPr>
        <w:t>II</w:t>
      </w:r>
    </w:p>
    <w:p w:rsidR="0092635B" w:rsidRDefault="00000000">
      <w:pPr>
        <w:pStyle w:val="Ttulo2"/>
        <w:spacing w:before="124"/>
      </w:pPr>
      <w:r>
        <w:t>Racionalización</w:t>
      </w:r>
      <w:r>
        <w:rPr>
          <w:spacing w:val="-4"/>
        </w:rPr>
        <w:t xml:space="preserve"> </w:t>
      </w:r>
      <w:r>
        <w:t>técnica</w:t>
      </w:r>
      <w:r>
        <w:rPr>
          <w:spacing w:val="-2"/>
        </w:rPr>
        <w:t xml:space="preserve"> </w:t>
      </w:r>
      <w:r>
        <w:t>de</w:t>
      </w:r>
      <w:r>
        <w:rPr>
          <w:spacing w:val="-2"/>
        </w:rPr>
        <w:t xml:space="preserve"> </w:t>
      </w:r>
      <w:r>
        <w:t>la</w:t>
      </w:r>
      <w:r>
        <w:rPr>
          <w:spacing w:val="-2"/>
        </w:rPr>
        <w:t xml:space="preserve"> contratación</w:t>
      </w:r>
    </w:p>
    <w:p w:rsidR="0092635B" w:rsidRDefault="0092635B">
      <w:pPr>
        <w:pStyle w:val="Textoindependiente"/>
        <w:spacing w:before="6"/>
        <w:ind w:left="0" w:firstLine="0"/>
        <w:jc w:val="left"/>
        <w:rPr>
          <w:rFonts w:ascii="Arial"/>
          <w:b/>
        </w:rPr>
      </w:pPr>
    </w:p>
    <w:p w:rsidR="0092635B" w:rsidRDefault="00000000">
      <w:pPr>
        <w:pStyle w:val="Ttulo3"/>
      </w:pPr>
      <w:bookmarkStart w:id="337" w:name="Sección_1.ª_Normas_generales"/>
      <w:bookmarkStart w:id="338" w:name="_bookmark61"/>
      <w:bookmarkEnd w:id="337"/>
      <w:bookmarkEnd w:id="338"/>
      <w:r>
        <w:t>Sección</w:t>
      </w:r>
      <w:r>
        <w:rPr>
          <w:spacing w:val="-3"/>
        </w:rPr>
        <w:t xml:space="preserve"> </w:t>
      </w:r>
      <w:r>
        <w:t>1.ª</w:t>
      </w:r>
      <w:r>
        <w:rPr>
          <w:spacing w:val="-2"/>
        </w:rPr>
        <w:t xml:space="preserve"> </w:t>
      </w:r>
      <w:r>
        <w:t>Normas</w:t>
      </w:r>
      <w:r>
        <w:rPr>
          <w:spacing w:val="-2"/>
        </w:rPr>
        <w:t xml:space="preserve"> generales</w:t>
      </w:r>
    </w:p>
    <w:p w:rsidR="0092635B" w:rsidRDefault="0092635B">
      <w:pPr>
        <w:pStyle w:val="Textoindependiente"/>
        <w:spacing w:before="7"/>
        <w:ind w:left="0" w:firstLine="0"/>
        <w:jc w:val="left"/>
        <w:rPr>
          <w:rFonts w:ascii="Arial"/>
          <w:b/>
          <w:i/>
        </w:rPr>
      </w:pPr>
    </w:p>
    <w:p w:rsidR="0092635B" w:rsidRDefault="00000000">
      <w:pPr>
        <w:spacing w:line="249" w:lineRule="auto"/>
        <w:ind w:left="1106" w:right="1105"/>
        <w:jc w:val="both"/>
        <w:rPr>
          <w:rFonts w:ascii="Arial" w:hAnsi="Arial"/>
          <w:i/>
          <w:sz w:val="20"/>
        </w:rPr>
      </w:pPr>
      <w:bookmarkStart w:id="339" w:name="Artículo_218._Sistemas_para_la_racionali"/>
      <w:bookmarkEnd w:id="339"/>
      <w:r>
        <w:rPr>
          <w:rFonts w:ascii="Arial" w:hAnsi="Arial"/>
          <w:b/>
          <w:sz w:val="20"/>
        </w:rPr>
        <w:t>Artículo 218.</w:t>
      </w:r>
      <w:r>
        <w:rPr>
          <w:rFonts w:ascii="Arial" w:hAnsi="Arial"/>
          <w:b/>
          <w:spacing w:val="40"/>
          <w:sz w:val="20"/>
        </w:rPr>
        <w:t xml:space="preserve"> </w:t>
      </w:r>
      <w:r>
        <w:rPr>
          <w:rFonts w:ascii="Arial" w:hAnsi="Arial"/>
          <w:i/>
          <w:sz w:val="20"/>
        </w:rPr>
        <w:t xml:space="preserve">Sistemas para la racionalización de la contratación de las Administraciones </w:t>
      </w:r>
      <w:r>
        <w:rPr>
          <w:rFonts w:ascii="Arial" w:hAnsi="Arial"/>
          <w:i/>
          <w:spacing w:val="-2"/>
          <w:sz w:val="20"/>
        </w:rPr>
        <w:t>Públicas.</w:t>
      </w:r>
    </w:p>
    <w:p w:rsidR="0092635B" w:rsidRDefault="00000000">
      <w:pPr>
        <w:pStyle w:val="Textoindependiente"/>
        <w:spacing w:before="115" w:line="249" w:lineRule="auto"/>
        <w:ind w:right="1102"/>
      </w:pPr>
      <w:r>
        <w:t>Para racionalizar y ordenar la adjudicación de contratos las Administraciones Públicas podrán concluir acuerdos marco, articular sistemas dinámicos, o centralizar la contratación</w:t>
      </w:r>
      <w:r>
        <w:rPr>
          <w:spacing w:val="40"/>
        </w:rPr>
        <w:t xml:space="preserve"> </w:t>
      </w:r>
      <w:r>
        <w:t xml:space="preserve">de obras, servicios y suministros en servicios especializados, conforme a las normas de este </w:t>
      </w:r>
      <w:r>
        <w:rPr>
          <w:spacing w:val="-2"/>
        </w:rPr>
        <w:t>capítulo.</w:t>
      </w:r>
    </w:p>
    <w:p w:rsidR="0092635B" w:rsidRDefault="0092635B">
      <w:pPr>
        <w:pStyle w:val="Textoindependiente"/>
        <w:spacing w:before="0"/>
        <w:ind w:left="0" w:firstLine="0"/>
        <w:jc w:val="left"/>
      </w:pPr>
    </w:p>
    <w:p w:rsidR="0092635B" w:rsidRDefault="00000000">
      <w:pPr>
        <w:pStyle w:val="Ttulo3"/>
      </w:pPr>
      <w:bookmarkStart w:id="340" w:name="Sección_2.ª_Acuerdos_marco"/>
      <w:bookmarkStart w:id="341" w:name="_bookmark62"/>
      <w:bookmarkEnd w:id="340"/>
      <w:bookmarkEnd w:id="341"/>
      <w:r>
        <w:t>Sección</w:t>
      </w:r>
      <w:r>
        <w:rPr>
          <w:spacing w:val="-3"/>
        </w:rPr>
        <w:t xml:space="preserve"> </w:t>
      </w:r>
      <w:r>
        <w:t>2.ª</w:t>
      </w:r>
      <w:r>
        <w:rPr>
          <w:spacing w:val="-3"/>
        </w:rPr>
        <w:t xml:space="preserve"> </w:t>
      </w:r>
      <w:r>
        <w:t>Acuerdos</w:t>
      </w:r>
      <w:r>
        <w:rPr>
          <w:spacing w:val="-3"/>
        </w:rPr>
        <w:t xml:space="preserve"> </w:t>
      </w:r>
      <w:r>
        <w:rPr>
          <w:spacing w:val="-2"/>
        </w:rPr>
        <w:t>marco</w:t>
      </w:r>
    </w:p>
    <w:p w:rsidR="0092635B" w:rsidRDefault="0092635B">
      <w:pPr>
        <w:pStyle w:val="Textoindependiente"/>
        <w:spacing w:before="7"/>
        <w:ind w:left="0" w:firstLine="0"/>
        <w:jc w:val="left"/>
        <w:rPr>
          <w:rFonts w:ascii="Arial"/>
          <w:b/>
          <w:i/>
        </w:rPr>
      </w:pPr>
    </w:p>
    <w:p w:rsidR="0092635B" w:rsidRDefault="00000000">
      <w:pPr>
        <w:ind w:left="1106"/>
        <w:jc w:val="both"/>
        <w:rPr>
          <w:rFonts w:ascii="Arial" w:hAnsi="Arial"/>
          <w:i/>
          <w:sz w:val="20"/>
        </w:rPr>
      </w:pPr>
      <w:bookmarkStart w:id="342" w:name="Artículo_219._Funcionalidad_y_límites."/>
      <w:bookmarkEnd w:id="342"/>
      <w:r>
        <w:rPr>
          <w:rFonts w:ascii="Arial" w:hAnsi="Arial"/>
          <w:b/>
          <w:sz w:val="20"/>
        </w:rPr>
        <w:t>Artículo</w:t>
      </w:r>
      <w:r>
        <w:rPr>
          <w:rFonts w:ascii="Arial" w:hAnsi="Arial"/>
          <w:b/>
          <w:spacing w:val="-3"/>
          <w:sz w:val="20"/>
        </w:rPr>
        <w:t xml:space="preserve"> </w:t>
      </w:r>
      <w:r>
        <w:rPr>
          <w:rFonts w:ascii="Arial" w:hAnsi="Arial"/>
          <w:b/>
          <w:sz w:val="20"/>
        </w:rPr>
        <w:t>219.</w:t>
      </w:r>
      <w:r>
        <w:rPr>
          <w:rFonts w:ascii="Arial" w:hAnsi="Arial"/>
          <w:b/>
          <w:spacing w:val="49"/>
          <w:sz w:val="20"/>
        </w:rPr>
        <w:t xml:space="preserve"> </w:t>
      </w:r>
      <w:r>
        <w:rPr>
          <w:rFonts w:ascii="Arial" w:hAnsi="Arial"/>
          <w:i/>
          <w:sz w:val="20"/>
        </w:rPr>
        <w:t>Funcionalidad</w:t>
      </w:r>
      <w:r>
        <w:rPr>
          <w:rFonts w:ascii="Arial" w:hAnsi="Arial"/>
          <w:i/>
          <w:spacing w:val="-2"/>
          <w:sz w:val="20"/>
        </w:rPr>
        <w:t xml:space="preserve"> </w:t>
      </w:r>
      <w:r>
        <w:rPr>
          <w:rFonts w:ascii="Arial" w:hAnsi="Arial"/>
          <w:i/>
          <w:sz w:val="20"/>
        </w:rPr>
        <w:t>y</w:t>
      </w:r>
      <w:r>
        <w:rPr>
          <w:rFonts w:ascii="Arial" w:hAnsi="Arial"/>
          <w:i/>
          <w:spacing w:val="-2"/>
          <w:sz w:val="20"/>
        </w:rPr>
        <w:t xml:space="preserve"> límites.</w:t>
      </w:r>
    </w:p>
    <w:p w:rsidR="0092635B" w:rsidRDefault="00000000">
      <w:pPr>
        <w:pStyle w:val="Prrafodelista"/>
        <w:numPr>
          <w:ilvl w:val="0"/>
          <w:numId w:val="163"/>
        </w:numPr>
        <w:tabs>
          <w:tab w:val="left" w:pos="1704"/>
        </w:tabs>
        <w:spacing w:before="124" w:line="249" w:lineRule="auto"/>
        <w:ind w:right="1104" w:firstLine="340"/>
        <w:jc w:val="both"/>
        <w:rPr>
          <w:sz w:val="20"/>
        </w:rPr>
      </w:pPr>
      <w:r>
        <w:rPr>
          <w:sz w:val="20"/>
        </w:rPr>
        <w:t>Uno o varios órganos de contratación del sector público podrán celebrar acuerdos marco con una o varias empresas con el fin de fijar las condiciones a que habrán de ajustarse los contratos que pretendan adjudicar durante un período determinado, en particular por lo que respecta a los precios, y en su caso, a las cantidades previstas, siempre que el recurso a estos instrumentos no se efectúe de forma abusiva o de modo que la competencia se vea obstaculizada, restringida o falseada.</w:t>
      </w:r>
    </w:p>
    <w:p w:rsidR="0092635B" w:rsidRDefault="00000000">
      <w:pPr>
        <w:pStyle w:val="Prrafodelista"/>
        <w:numPr>
          <w:ilvl w:val="0"/>
          <w:numId w:val="163"/>
        </w:numPr>
        <w:tabs>
          <w:tab w:val="left" w:pos="1688"/>
        </w:tabs>
        <w:spacing w:before="5" w:line="249" w:lineRule="auto"/>
        <w:ind w:firstLine="340"/>
        <w:jc w:val="both"/>
        <w:rPr>
          <w:sz w:val="20"/>
        </w:rPr>
      </w:pPr>
      <w:r>
        <w:rPr>
          <w:sz w:val="20"/>
        </w:rPr>
        <w:t>La duración de un acuerdo marco no podrá exceder de cuatro años, salvo en casos excepcionales,</w:t>
      </w:r>
      <w:r>
        <w:rPr>
          <w:spacing w:val="40"/>
          <w:sz w:val="20"/>
        </w:rPr>
        <w:t xml:space="preserve"> </w:t>
      </w:r>
      <w:r>
        <w:rPr>
          <w:sz w:val="20"/>
        </w:rPr>
        <w:t>debidamente</w:t>
      </w:r>
      <w:r>
        <w:rPr>
          <w:spacing w:val="40"/>
          <w:sz w:val="20"/>
        </w:rPr>
        <w:t xml:space="preserve"> </w:t>
      </w:r>
      <w:r>
        <w:rPr>
          <w:sz w:val="20"/>
        </w:rPr>
        <w:t>justificados.</w:t>
      </w:r>
      <w:r>
        <w:rPr>
          <w:spacing w:val="40"/>
          <w:sz w:val="20"/>
        </w:rPr>
        <w:t xml:space="preserve"> </w:t>
      </w:r>
      <w:r>
        <w:rPr>
          <w:sz w:val="20"/>
        </w:rPr>
        <w:t>En</w:t>
      </w:r>
      <w:r>
        <w:rPr>
          <w:spacing w:val="40"/>
          <w:sz w:val="20"/>
        </w:rPr>
        <w:t xml:space="preserve"> </w:t>
      </w:r>
      <w:r>
        <w:rPr>
          <w:sz w:val="20"/>
        </w:rPr>
        <w:t>todo</w:t>
      </w:r>
      <w:r>
        <w:rPr>
          <w:spacing w:val="40"/>
          <w:sz w:val="20"/>
        </w:rPr>
        <w:t xml:space="preserve"> </w:t>
      </w:r>
      <w:r>
        <w:rPr>
          <w:sz w:val="20"/>
        </w:rPr>
        <w:t>caso,</w:t>
      </w:r>
      <w:r>
        <w:rPr>
          <w:spacing w:val="40"/>
          <w:sz w:val="20"/>
        </w:rPr>
        <w:t xml:space="preserve"> </w:t>
      </w:r>
      <w:r>
        <w:rPr>
          <w:sz w:val="20"/>
        </w:rPr>
        <w:t>la</w:t>
      </w:r>
      <w:r>
        <w:rPr>
          <w:spacing w:val="40"/>
          <w:sz w:val="20"/>
        </w:rPr>
        <w:t xml:space="preserve"> </w:t>
      </w:r>
      <w:r>
        <w:rPr>
          <w:sz w:val="20"/>
        </w:rPr>
        <w:t>duración</w:t>
      </w:r>
      <w:r>
        <w:rPr>
          <w:spacing w:val="40"/>
          <w:sz w:val="20"/>
        </w:rPr>
        <w:t xml:space="preserve"> </w:t>
      </w:r>
      <w:r>
        <w:rPr>
          <w:sz w:val="20"/>
        </w:rPr>
        <w:t>del</w:t>
      </w:r>
      <w:r>
        <w:rPr>
          <w:spacing w:val="40"/>
          <w:sz w:val="20"/>
        </w:rPr>
        <w:t xml:space="preserve"> </w:t>
      </w:r>
      <w:r>
        <w:rPr>
          <w:sz w:val="20"/>
        </w:rPr>
        <w:t>acuerdo</w:t>
      </w:r>
      <w:r>
        <w:rPr>
          <w:spacing w:val="40"/>
          <w:sz w:val="20"/>
        </w:rPr>
        <w:t xml:space="preserve"> </w:t>
      </w:r>
      <w:r>
        <w:rPr>
          <w:sz w:val="20"/>
        </w:rPr>
        <w:t>marco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deberá justificarse en el expediente y tendrá en cuenta, especialmente, las peculiaridades y características del sector de actividad a que se refiere su objeto.</w:t>
      </w:r>
    </w:p>
    <w:p w:rsidR="0092635B" w:rsidRDefault="00000000">
      <w:pPr>
        <w:pStyle w:val="Prrafodelista"/>
        <w:numPr>
          <w:ilvl w:val="0"/>
          <w:numId w:val="163"/>
        </w:numPr>
        <w:tabs>
          <w:tab w:val="left" w:pos="1682"/>
        </w:tabs>
        <w:spacing w:before="1" w:line="249" w:lineRule="auto"/>
        <w:ind w:right="1104" w:firstLine="340"/>
        <w:jc w:val="both"/>
        <w:rPr>
          <w:sz w:val="20"/>
        </w:rPr>
      </w:pPr>
      <w:r>
        <w:rPr>
          <w:sz w:val="20"/>
        </w:rPr>
        <w:t>La duración de los contratos basados en un acuerdo marco será independiente de la duración del acuerdo marco, y se regirá por lo previsto en el artículo 29 de la presente Ley, relativo al plazo de duración de los contratos y de ejecución de la prestación, así como por los pliegos reguladores del acuerdo marco.</w:t>
      </w:r>
    </w:p>
    <w:p w:rsidR="0092635B" w:rsidRDefault="00000000">
      <w:pPr>
        <w:pStyle w:val="Textoindependiente"/>
        <w:spacing w:before="4" w:line="249" w:lineRule="auto"/>
        <w:ind w:right="1106"/>
      </w:pPr>
      <w:r>
        <w:t>Solo podrán adjudicarse contratos basados en un acuerdo marco durante la vigencia del acuerdo marco. La fecha relevante para entender que se ha cumplido este requisito será:</w:t>
      </w:r>
    </w:p>
    <w:p w:rsidR="0092635B" w:rsidRDefault="00000000">
      <w:pPr>
        <w:pStyle w:val="Prrafodelista"/>
        <w:numPr>
          <w:ilvl w:val="1"/>
          <w:numId w:val="163"/>
        </w:numPr>
        <w:tabs>
          <w:tab w:val="left" w:pos="1686"/>
        </w:tabs>
        <w:spacing w:before="121" w:line="249" w:lineRule="auto"/>
        <w:ind w:firstLine="340"/>
        <w:jc w:val="both"/>
        <w:rPr>
          <w:sz w:val="20"/>
        </w:rPr>
      </w:pPr>
      <w:r>
        <w:rPr>
          <w:sz w:val="20"/>
        </w:rPr>
        <w:t xml:space="preserve">En el caso de contratos basados que para su adjudicación, de acuerdo con el artículo 221 requieran la celebración de una licitación, la fecha de envío a los adjudicatarios del acuerdo marco de las invitaciones para participar en la licitación, siempre que las propuestas de adjudicación se reciban dentro del plazo establecido para ello en el acuerdo marco </w:t>
      </w:r>
      <w:r>
        <w:rPr>
          <w:spacing w:val="-2"/>
          <w:sz w:val="20"/>
        </w:rPr>
        <w:t>correspondiente.</w:t>
      </w:r>
    </w:p>
    <w:p w:rsidR="0092635B" w:rsidRDefault="00000000">
      <w:pPr>
        <w:pStyle w:val="Prrafodelista"/>
        <w:numPr>
          <w:ilvl w:val="1"/>
          <w:numId w:val="163"/>
        </w:numPr>
        <w:tabs>
          <w:tab w:val="left" w:pos="1718"/>
        </w:tabs>
        <w:spacing w:before="4" w:line="249" w:lineRule="auto"/>
        <w:ind w:right="1106" w:firstLine="340"/>
        <w:jc w:val="both"/>
        <w:rPr>
          <w:sz w:val="20"/>
        </w:rPr>
      </w:pPr>
      <w:r>
        <w:rPr>
          <w:sz w:val="20"/>
        </w:rPr>
        <w:t>En el caso de contratos basados cuya adjudicación no requiera la celebración de licitación, la fecha relevante será la de la adjudicación del contrato basado.</w:t>
      </w:r>
    </w:p>
    <w:p w:rsidR="0092635B" w:rsidRDefault="00000000">
      <w:pPr>
        <w:spacing w:before="229"/>
        <w:ind w:left="1106"/>
        <w:jc w:val="both"/>
        <w:rPr>
          <w:rFonts w:ascii="Arial" w:hAnsi="Arial"/>
          <w:i/>
          <w:sz w:val="20"/>
        </w:rPr>
      </w:pPr>
      <w:bookmarkStart w:id="343" w:name="Artículo_220._Procedimiento_de_celebraci"/>
      <w:bookmarkEnd w:id="343"/>
      <w:r>
        <w:rPr>
          <w:rFonts w:ascii="Arial" w:hAnsi="Arial"/>
          <w:b/>
          <w:sz w:val="20"/>
        </w:rPr>
        <w:t>Artículo</w:t>
      </w:r>
      <w:r>
        <w:rPr>
          <w:rFonts w:ascii="Arial" w:hAnsi="Arial"/>
          <w:b/>
          <w:spacing w:val="-4"/>
          <w:sz w:val="20"/>
        </w:rPr>
        <w:t xml:space="preserve"> </w:t>
      </w:r>
      <w:r>
        <w:rPr>
          <w:rFonts w:ascii="Arial" w:hAnsi="Arial"/>
          <w:b/>
          <w:sz w:val="20"/>
        </w:rPr>
        <w:t>220.</w:t>
      </w:r>
      <w:r>
        <w:rPr>
          <w:rFonts w:ascii="Arial" w:hAnsi="Arial"/>
          <w:b/>
          <w:spacing w:val="49"/>
          <w:sz w:val="20"/>
        </w:rPr>
        <w:t xml:space="preserve"> </w:t>
      </w:r>
      <w:r>
        <w:rPr>
          <w:rFonts w:ascii="Arial" w:hAnsi="Arial"/>
          <w:i/>
          <w:sz w:val="20"/>
        </w:rPr>
        <w:t>Procedimiento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celebración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acuerdos</w:t>
      </w:r>
      <w:r>
        <w:rPr>
          <w:rFonts w:ascii="Arial" w:hAnsi="Arial"/>
          <w:i/>
          <w:spacing w:val="-3"/>
          <w:sz w:val="20"/>
        </w:rPr>
        <w:t xml:space="preserve"> </w:t>
      </w:r>
      <w:r>
        <w:rPr>
          <w:rFonts w:ascii="Arial" w:hAnsi="Arial"/>
          <w:i/>
          <w:spacing w:val="-2"/>
          <w:sz w:val="20"/>
        </w:rPr>
        <w:t>marco.</w:t>
      </w:r>
    </w:p>
    <w:p w:rsidR="0092635B" w:rsidRDefault="00000000">
      <w:pPr>
        <w:pStyle w:val="Prrafodelista"/>
        <w:numPr>
          <w:ilvl w:val="0"/>
          <w:numId w:val="162"/>
        </w:numPr>
        <w:tabs>
          <w:tab w:val="left" w:pos="1694"/>
        </w:tabs>
        <w:spacing w:before="123" w:line="249" w:lineRule="auto"/>
        <w:ind w:firstLine="340"/>
        <w:jc w:val="both"/>
        <w:rPr>
          <w:sz w:val="20"/>
        </w:rPr>
      </w:pPr>
      <w:r>
        <w:rPr>
          <w:sz w:val="20"/>
        </w:rPr>
        <w:t>Para la celebración de un acuerdo marco se seguirán las normas de procedimiento establecidas en las Secciones 1.ª y 2.ª del Capítulo I del Título I del Libro Segundo de la presente Ley.</w:t>
      </w:r>
    </w:p>
    <w:p w:rsidR="0092635B" w:rsidRDefault="00000000">
      <w:pPr>
        <w:pStyle w:val="Prrafodelista"/>
        <w:numPr>
          <w:ilvl w:val="0"/>
          <w:numId w:val="162"/>
        </w:numPr>
        <w:tabs>
          <w:tab w:val="left" w:pos="1754"/>
        </w:tabs>
        <w:spacing w:before="3" w:line="249" w:lineRule="auto"/>
        <w:ind w:right="1104" w:firstLine="340"/>
        <w:jc w:val="both"/>
        <w:rPr>
          <w:sz w:val="20"/>
        </w:rPr>
      </w:pPr>
      <w:r>
        <w:rPr>
          <w:sz w:val="20"/>
        </w:rPr>
        <w:t xml:space="preserve">La posibilidad de adjudicar contratos con base en un acuerdo marco estará condicionada a que en el plazo de treinta días desde su formalización, se hubiese remitido el correspondiente anuncio de la misma a la Oficina de Publicaciones de la Unión Europea, en el caso de que se trate de contratos sujetos a regulación armonizada y efectuado su publicación en el perfil de contratante del órgano de contratación, y en el «Boletín Oficial del Estado» en el caso de los acuerdos marco celebrados en la Administración General del </w:t>
      </w:r>
      <w:r>
        <w:rPr>
          <w:spacing w:val="-2"/>
          <w:sz w:val="20"/>
        </w:rPr>
        <w:t>Estado.</w:t>
      </w:r>
    </w:p>
    <w:p w:rsidR="0092635B" w:rsidRDefault="00000000">
      <w:pPr>
        <w:pStyle w:val="Prrafodelista"/>
        <w:numPr>
          <w:ilvl w:val="0"/>
          <w:numId w:val="162"/>
        </w:numPr>
        <w:tabs>
          <w:tab w:val="left" w:pos="1675"/>
        </w:tabs>
        <w:spacing w:before="5" w:line="249" w:lineRule="auto"/>
        <w:ind w:firstLine="340"/>
        <w:jc w:val="both"/>
        <w:rPr>
          <w:sz w:val="20"/>
        </w:rPr>
      </w:pPr>
      <w:r>
        <w:rPr>
          <w:sz w:val="20"/>
        </w:rPr>
        <w:t>En los casos a que se refiere el apartado 3 del artículo 155, el órgano de contratación podrá no publicar determinada información relativa al acuerdo marco, justificándolo debidamente en el expediente.</w:t>
      </w:r>
    </w:p>
    <w:p w:rsidR="0092635B" w:rsidRDefault="00000000">
      <w:pPr>
        <w:spacing w:before="230"/>
        <w:ind w:left="1106"/>
        <w:jc w:val="both"/>
        <w:rPr>
          <w:rFonts w:ascii="Arial" w:hAnsi="Arial"/>
          <w:i/>
          <w:sz w:val="20"/>
        </w:rPr>
      </w:pPr>
      <w:bookmarkStart w:id="344" w:name="Artículo_221._Adjudicación_de_contratos_"/>
      <w:bookmarkEnd w:id="344"/>
      <w:r>
        <w:rPr>
          <w:rFonts w:ascii="Arial" w:hAnsi="Arial"/>
          <w:b/>
          <w:sz w:val="20"/>
        </w:rPr>
        <w:t>Artículo</w:t>
      </w:r>
      <w:r>
        <w:rPr>
          <w:rFonts w:ascii="Arial" w:hAnsi="Arial"/>
          <w:b/>
          <w:spacing w:val="-4"/>
          <w:sz w:val="20"/>
        </w:rPr>
        <w:t xml:space="preserve"> </w:t>
      </w:r>
      <w:r>
        <w:rPr>
          <w:rFonts w:ascii="Arial" w:hAnsi="Arial"/>
          <w:b/>
          <w:sz w:val="20"/>
        </w:rPr>
        <w:t>221.</w:t>
      </w:r>
      <w:r>
        <w:rPr>
          <w:rFonts w:ascii="Arial" w:hAnsi="Arial"/>
          <w:b/>
          <w:spacing w:val="50"/>
          <w:sz w:val="20"/>
        </w:rPr>
        <w:t xml:space="preserve"> </w:t>
      </w:r>
      <w:r>
        <w:rPr>
          <w:rFonts w:ascii="Arial" w:hAnsi="Arial"/>
          <w:i/>
          <w:sz w:val="20"/>
        </w:rPr>
        <w:t>Adjudicación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contratos</w:t>
      </w:r>
      <w:r>
        <w:rPr>
          <w:rFonts w:ascii="Arial" w:hAnsi="Arial"/>
          <w:i/>
          <w:spacing w:val="-2"/>
          <w:sz w:val="20"/>
        </w:rPr>
        <w:t xml:space="preserve"> </w:t>
      </w:r>
      <w:r>
        <w:rPr>
          <w:rFonts w:ascii="Arial" w:hAnsi="Arial"/>
          <w:i/>
          <w:sz w:val="20"/>
        </w:rPr>
        <w:t>basados</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un</w:t>
      </w:r>
      <w:r>
        <w:rPr>
          <w:rFonts w:ascii="Arial" w:hAnsi="Arial"/>
          <w:i/>
          <w:spacing w:val="-2"/>
          <w:sz w:val="20"/>
        </w:rPr>
        <w:t xml:space="preserve"> </w:t>
      </w:r>
      <w:r>
        <w:rPr>
          <w:rFonts w:ascii="Arial" w:hAnsi="Arial"/>
          <w:i/>
          <w:sz w:val="20"/>
        </w:rPr>
        <w:t>acuerdo</w:t>
      </w:r>
      <w:r>
        <w:rPr>
          <w:rFonts w:ascii="Arial" w:hAnsi="Arial"/>
          <w:i/>
          <w:spacing w:val="-2"/>
          <w:sz w:val="20"/>
        </w:rPr>
        <w:t xml:space="preserve"> marco.</w:t>
      </w:r>
    </w:p>
    <w:p w:rsidR="0092635B" w:rsidRDefault="00000000">
      <w:pPr>
        <w:pStyle w:val="Prrafodelista"/>
        <w:numPr>
          <w:ilvl w:val="0"/>
          <w:numId w:val="161"/>
        </w:numPr>
        <w:tabs>
          <w:tab w:val="left" w:pos="1675"/>
        </w:tabs>
        <w:spacing w:before="123" w:line="249" w:lineRule="auto"/>
        <w:ind w:right="1105" w:firstLine="340"/>
        <w:jc w:val="both"/>
        <w:rPr>
          <w:sz w:val="20"/>
        </w:rPr>
      </w:pPr>
      <w:r>
        <w:rPr>
          <w:sz w:val="20"/>
        </w:rPr>
        <w:t>Solo podrán celebrarse contratos basados en un acuerdo marco entre las empresas y los órganos de contratación que hayan sido originariamente partes en el mismo, salvo lo dispuesto en el apartado 4 del artículo 227 en relación con los acuerdos marco celebrados por centrales de contratación.</w:t>
      </w:r>
    </w:p>
    <w:p w:rsidR="0092635B" w:rsidRDefault="00000000">
      <w:pPr>
        <w:pStyle w:val="Prrafodelista"/>
        <w:numPr>
          <w:ilvl w:val="0"/>
          <w:numId w:val="161"/>
        </w:numPr>
        <w:tabs>
          <w:tab w:val="left" w:pos="1672"/>
        </w:tabs>
        <w:spacing w:before="3" w:line="249" w:lineRule="auto"/>
        <w:ind w:right="1106" w:firstLine="340"/>
        <w:jc w:val="both"/>
        <w:rPr>
          <w:sz w:val="20"/>
        </w:rPr>
      </w:pPr>
      <w:r>
        <w:rPr>
          <w:sz w:val="20"/>
        </w:rPr>
        <w:t>Los contratos basados en el acuerdo marco se adjudicarán de acuerdo con lo previsto en los apartados 3, 4 y 5 de este artículo.</w:t>
      </w:r>
    </w:p>
    <w:p w:rsidR="0092635B" w:rsidRDefault="00000000">
      <w:pPr>
        <w:pStyle w:val="Prrafodelista"/>
        <w:numPr>
          <w:ilvl w:val="0"/>
          <w:numId w:val="161"/>
        </w:numPr>
        <w:tabs>
          <w:tab w:val="left" w:pos="1676"/>
        </w:tabs>
        <w:spacing w:line="249" w:lineRule="auto"/>
        <w:ind w:firstLine="340"/>
        <w:jc w:val="both"/>
        <w:rPr>
          <w:sz w:val="20"/>
        </w:rPr>
      </w:pPr>
      <w:r>
        <w:rPr>
          <w:sz w:val="20"/>
        </w:rPr>
        <w:t>Cuando el acuerdo marco se hubiese concluido con una única empresa, los contratos basados en aquel se adjudicarán con arreglo a los términos en él establecidos. Los órganos de contratación podrán consultar por escrito al empresario, pidiéndole, si fuere necesario, que complete su oferta.</w:t>
      </w:r>
    </w:p>
    <w:p w:rsidR="0092635B" w:rsidRDefault="00000000">
      <w:pPr>
        <w:pStyle w:val="Prrafodelista"/>
        <w:numPr>
          <w:ilvl w:val="0"/>
          <w:numId w:val="161"/>
        </w:numPr>
        <w:tabs>
          <w:tab w:val="left" w:pos="1680"/>
        </w:tabs>
        <w:spacing w:before="3" w:line="249" w:lineRule="auto"/>
        <w:ind w:right="1106" w:firstLine="340"/>
        <w:jc w:val="both"/>
        <w:rPr>
          <w:sz w:val="20"/>
        </w:rPr>
      </w:pPr>
      <w:r>
        <w:rPr>
          <w:sz w:val="20"/>
        </w:rPr>
        <w:t>Cuando el acuerdo marco se hubiese concluido con varias empresas, la adjudicación de los contratos en él basados se realizará:</w:t>
      </w:r>
    </w:p>
    <w:p w:rsidR="0092635B" w:rsidRDefault="00000000">
      <w:pPr>
        <w:pStyle w:val="Prrafodelista"/>
        <w:numPr>
          <w:ilvl w:val="1"/>
          <w:numId w:val="161"/>
        </w:numPr>
        <w:tabs>
          <w:tab w:val="left" w:pos="1714"/>
        </w:tabs>
        <w:spacing w:before="122" w:line="249" w:lineRule="auto"/>
        <w:ind w:firstLine="340"/>
        <w:jc w:val="both"/>
        <w:rPr>
          <w:sz w:val="20"/>
        </w:rPr>
      </w:pPr>
      <w:r>
        <w:rPr>
          <w:sz w:val="20"/>
        </w:rPr>
        <w:t>Cuando el acuerdo marco establezca todos los términos, bien sin nueva licitación,</w:t>
      </w:r>
      <w:r>
        <w:rPr>
          <w:spacing w:val="40"/>
          <w:sz w:val="20"/>
        </w:rPr>
        <w:t xml:space="preserve"> </w:t>
      </w:r>
      <w:r>
        <w:rPr>
          <w:sz w:val="20"/>
        </w:rPr>
        <w:t>bien con nueva licitación. La posibilidad de aplicar ambos sistemas deberá estar prevista en el pliego regulador del acuerdo marco y dicho pliego deberá determinar los supuestos en los que se acudirá o no a una nueva licitación, así como los términos que serán objeto de la nueva licitación, si este fuera el sistema de adjudicación aplicable. Para poder adjudicar contratos basados en un acuerdo marco con todos los términos definidos sin nueva</w:t>
      </w:r>
      <w:r>
        <w:rPr>
          <w:spacing w:val="80"/>
          <w:sz w:val="20"/>
        </w:rPr>
        <w:t xml:space="preserve"> </w:t>
      </w:r>
      <w:r>
        <w:rPr>
          <w:sz w:val="20"/>
        </w:rPr>
        <w:t>licitación, será necesario que el pliego del acuerdo marco prevea las condiciones objetivas para determinar qué empresa parte del acuerdo marco deberá ser adjudicatario del contrato basado y ejecutar la prestación.</w:t>
      </w:r>
    </w:p>
    <w:p w:rsidR="0092635B" w:rsidRDefault="00000000">
      <w:pPr>
        <w:pStyle w:val="Textoindependiente"/>
        <w:spacing w:before="7" w:line="249" w:lineRule="auto"/>
        <w:ind w:right="1104"/>
      </w:pPr>
      <w:r>
        <w:t>Las previsiones anteriores serán también aplicables a determinados lotes de un acuerdo marco,</w:t>
      </w:r>
      <w:r>
        <w:rPr>
          <w:spacing w:val="15"/>
        </w:rPr>
        <w:t xml:space="preserve"> </w:t>
      </w:r>
      <w:r>
        <w:t>siempre</w:t>
      </w:r>
      <w:r>
        <w:rPr>
          <w:spacing w:val="15"/>
        </w:rPr>
        <w:t xml:space="preserve"> </w:t>
      </w:r>
      <w:r>
        <w:t>que,</w:t>
      </w:r>
      <w:r>
        <w:rPr>
          <w:spacing w:val="15"/>
        </w:rPr>
        <w:t xml:space="preserve"> </w:t>
      </w:r>
      <w:r>
        <w:t>en</w:t>
      </w:r>
      <w:r>
        <w:rPr>
          <w:spacing w:val="15"/>
        </w:rPr>
        <w:t xml:space="preserve"> </w:t>
      </w:r>
      <w:r>
        <w:t>relación</w:t>
      </w:r>
      <w:r>
        <w:rPr>
          <w:spacing w:val="15"/>
        </w:rPr>
        <w:t xml:space="preserve"> </w:t>
      </w:r>
      <w:r>
        <w:t>con</w:t>
      </w:r>
      <w:r>
        <w:rPr>
          <w:spacing w:val="15"/>
        </w:rPr>
        <w:t xml:space="preserve"> </w:t>
      </w:r>
      <w:r>
        <w:t>ese</w:t>
      </w:r>
      <w:r>
        <w:rPr>
          <w:spacing w:val="15"/>
        </w:rPr>
        <w:t xml:space="preserve"> </w:t>
      </w:r>
      <w:r>
        <w:t>lote</w:t>
      </w:r>
      <w:r>
        <w:rPr>
          <w:spacing w:val="15"/>
        </w:rPr>
        <w:t xml:space="preserve"> </w:t>
      </w:r>
      <w:r>
        <w:t>o</w:t>
      </w:r>
      <w:r>
        <w:rPr>
          <w:spacing w:val="15"/>
        </w:rPr>
        <w:t xml:space="preserve"> </w:t>
      </w:r>
      <w:r>
        <w:t>lotes</w:t>
      </w:r>
      <w:r>
        <w:rPr>
          <w:spacing w:val="15"/>
        </w:rPr>
        <w:t xml:space="preserve"> </w:t>
      </w:r>
      <w:r>
        <w:t>en</w:t>
      </w:r>
      <w:r>
        <w:rPr>
          <w:spacing w:val="15"/>
        </w:rPr>
        <w:t xml:space="preserve"> </w:t>
      </w:r>
      <w:r>
        <w:t>concreto,</w:t>
      </w:r>
      <w:r>
        <w:rPr>
          <w:spacing w:val="15"/>
        </w:rPr>
        <w:t xml:space="preserve"> </w:t>
      </w:r>
      <w:r>
        <w:t>se</w:t>
      </w:r>
      <w:r>
        <w:rPr>
          <w:spacing w:val="15"/>
        </w:rPr>
        <w:t xml:space="preserve"> </w:t>
      </w:r>
      <w:r>
        <w:t>hubiera</w:t>
      </w:r>
      <w:r>
        <w:rPr>
          <w:spacing w:val="15"/>
        </w:rPr>
        <w:t xml:space="preserve"> </w:t>
      </w:r>
      <w:r>
        <w:t>cumplido</w:t>
      </w:r>
      <w:r>
        <w:rPr>
          <w:spacing w:val="15"/>
        </w:rPr>
        <w:t xml:space="preserve"> </w:t>
      </w:r>
      <w:r>
        <w:t>con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jc w:val="left"/>
      </w:pPr>
      <w:r>
        <w:t>los</w:t>
      </w:r>
      <w:r>
        <w:rPr>
          <w:spacing w:val="27"/>
        </w:rPr>
        <w:t xml:space="preserve"> </w:t>
      </w:r>
      <w:r>
        <w:t>requisitos</w:t>
      </w:r>
      <w:r>
        <w:rPr>
          <w:spacing w:val="27"/>
        </w:rPr>
        <w:t xml:space="preserve"> </w:t>
      </w:r>
      <w:r>
        <w:t>fijados</w:t>
      </w:r>
      <w:r>
        <w:rPr>
          <w:spacing w:val="27"/>
        </w:rPr>
        <w:t xml:space="preserve"> </w:t>
      </w:r>
      <w:r>
        <w:t>en</w:t>
      </w:r>
      <w:r>
        <w:rPr>
          <w:spacing w:val="27"/>
        </w:rPr>
        <w:t xml:space="preserve"> </w:t>
      </w:r>
      <w:r>
        <w:t>el</w:t>
      </w:r>
      <w:r>
        <w:rPr>
          <w:spacing w:val="27"/>
        </w:rPr>
        <w:t xml:space="preserve"> </w:t>
      </w:r>
      <w:r>
        <w:t>citado</w:t>
      </w:r>
      <w:r>
        <w:rPr>
          <w:spacing w:val="27"/>
        </w:rPr>
        <w:t xml:space="preserve"> </w:t>
      </w:r>
      <w:r>
        <w:t>apartado</w:t>
      </w:r>
      <w:r>
        <w:rPr>
          <w:spacing w:val="27"/>
        </w:rPr>
        <w:t xml:space="preserve"> </w:t>
      </w:r>
      <w:r>
        <w:t>y</w:t>
      </w:r>
      <w:r>
        <w:rPr>
          <w:spacing w:val="27"/>
        </w:rPr>
        <w:t xml:space="preserve"> </w:t>
      </w:r>
      <w:r>
        <w:t>con</w:t>
      </w:r>
      <w:r>
        <w:rPr>
          <w:spacing w:val="27"/>
        </w:rPr>
        <w:t xml:space="preserve"> </w:t>
      </w:r>
      <w:r>
        <w:t>independencia</w:t>
      </w:r>
      <w:r>
        <w:rPr>
          <w:spacing w:val="27"/>
        </w:rPr>
        <w:t xml:space="preserve"> </w:t>
      </w:r>
      <w:r>
        <w:t>de</w:t>
      </w:r>
      <w:r>
        <w:rPr>
          <w:spacing w:val="27"/>
        </w:rPr>
        <w:t xml:space="preserve"> </w:t>
      </w:r>
      <w:r>
        <w:t>las</w:t>
      </w:r>
      <w:r>
        <w:rPr>
          <w:spacing w:val="27"/>
        </w:rPr>
        <w:t xml:space="preserve"> </w:t>
      </w:r>
      <w:r>
        <w:t>previsiones</w:t>
      </w:r>
      <w:r>
        <w:rPr>
          <w:spacing w:val="27"/>
        </w:rPr>
        <w:t xml:space="preserve"> </w:t>
      </w:r>
      <w:r>
        <w:t>de</w:t>
      </w:r>
      <w:r>
        <w:rPr>
          <w:spacing w:val="27"/>
        </w:rPr>
        <w:t xml:space="preserve"> </w:t>
      </w:r>
      <w:r>
        <w:t>los pliegos en relación con el resto de lotes del acuerdo marco.</w:t>
      </w:r>
    </w:p>
    <w:p w:rsidR="0092635B" w:rsidRDefault="00000000">
      <w:pPr>
        <w:pStyle w:val="Prrafodelista"/>
        <w:numPr>
          <w:ilvl w:val="1"/>
          <w:numId w:val="161"/>
        </w:numPr>
        <w:tabs>
          <w:tab w:val="left" w:pos="1706"/>
        </w:tabs>
        <w:spacing w:before="1" w:line="249" w:lineRule="auto"/>
        <w:ind w:right="1104" w:firstLine="340"/>
        <w:jc w:val="both"/>
        <w:rPr>
          <w:sz w:val="20"/>
        </w:rPr>
      </w:pPr>
      <w:r>
        <w:rPr>
          <w:sz w:val="20"/>
        </w:rPr>
        <w:t>Cuando el acuerdo marco no establezca todos los términos, invitando a una nueva licitación a las empresas parte del acuerdo marco.</w:t>
      </w:r>
    </w:p>
    <w:p w:rsidR="0092635B" w:rsidRDefault="00000000">
      <w:pPr>
        <w:pStyle w:val="Prrafodelista"/>
        <w:numPr>
          <w:ilvl w:val="0"/>
          <w:numId w:val="161"/>
        </w:numPr>
        <w:tabs>
          <w:tab w:val="left" w:pos="1687"/>
        </w:tabs>
        <w:spacing w:before="122" w:line="249" w:lineRule="auto"/>
        <w:ind w:firstLine="340"/>
        <w:jc w:val="both"/>
        <w:rPr>
          <w:sz w:val="20"/>
        </w:rPr>
      </w:pPr>
      <w:r>
        <w:rPr>
          <w:sz w:val="20"/>
        </w:rPr>
        <w:t>Cuando en aplicación de lo dispuesto en el apartado 4 anterior, para la adjudicación</w:t>
      </w:r>
      <w:r>
        <w:rPr>
          <w:spacing w:val="40"/>
          <w:sz w:val="20"/>
        </w:rPr>
        <w:t xml:space="preserve"> </w:t>
      </w:r>
      <w:r>
        <w:rPr>
          <w:sz w:val="20"/>
        </w:rPr>
        <w:t>de un contrato basado en un acuerdo marco procediera una nueva licitación, esta se basará, bien en los mismos términos aplicados a la adjudicación del acuerdo marco, precisándolos si fuera necesario, bien en otros términos. En este último caso, será necesario que dichos términos hayan sido previstos en los pliegos de contratación del acuerdo marco y se concreten con carácter previo a la licitación para la adjudicación del contrato basado.</w:t>
      </w:r>
    </w:p>
    <w:p w:rsidR="0092635B" w:rsidRDefault="00000000">
      <w:pPr>
        <w:pStyle w:val="Textoindependiente"/>
        <w:spacing w:before="5" w:line="249" w:lineRule="auto"/>
        <w:ind w:right="1104"/>
      </w:pPr>
      <w:r>
        <w:t>Por otra parte, si los pliegos del acuerdo marco no recogieran de forma precisa la regulación aplicable a los contratos basados, esta deberá necesariamente incluirse en los documentos de licitación correspondientes a dichos contratos basados.</w:t>
      </w:r>
    </w:p>
    <w:p w:rsidR="0092635B" w:rsidRDefault="00000000">
      <w:pPr>
        <w:pStyle w:val="Prrafodelista"/>
        <w:numPr>
          <w:ilvl w:val="0"/>
          <w:numId w:val="161"/>
        </w:numPr>
        <w:tabs>
          <w:tab w:val="left" w:pos="1714"/>
        </w:tabs>
        <w:spacing w:line="249" w:lineRule="auto"/>
        <w:ind w:right="1104" w:firstLine="340"/>
        <w:jc w:val="both"/>
        <w:rPr>
          <w:sz w:val="20"/>
        </w:rPr>
      </w:pPr>
      <w:r>
        <w:rPr>
          <w:sz w:val="20"/>
        </w:rPr>
        <w:t>La licitación para la adjudicación de los contratos basados en un acuerdo marco tendrá lugar con arreglo al procedimiento siguiente:</w:t>
      </w:r>
    </w:p>
    <w:p w:rsidR="0092635B" w:rsidRDefault="00000000">
      <w:pPr>
        <w:pStyle w:val="Prrafodelista"/>
        <w:numPr>
          <w:ilvl w:val="1"/>
          <w:numId w:val="161"/>
        </w:numPr>
        <w:tabs>
          <w:tab w:val="left" w:pos="1725"/>
        </w:tabs>
        <w:spacing w:before="122" w:line="249" w:lineRule="auto"/>
        <w:ind w:firstLine="340"/>
        <w:jc w:val="both"/>
        <w:rPr>
          <w:sz w:val="20"/>
        </w:rPr>
      </w:pPr>
      <w:r>
        <w:rPr>
          <w:sz w:val="20"/>
        </w:rPr>
        <w:t>Por cada contrato que haya de adjudicarse se invitará a la licitación a todas las empresas parte del acuerdo marco que, de acuerdo con los términos de la adjudicación del mismo, estuvieran en condiciones de realizar el objeto del contrato basado. La invitación se realizará por los medios que se hubieran establecido a tal efecto en el pliego regulador del acuerdo marco.</w:t>
      </w:r>
    </w:p>
    <w:p w:rsidR="0092635B" w:rsidRDefault="00000000">
      <w:pPr>
        <w:pStyle w:val="Textoindependiente"/>
        <w:spacing w:before="4" w:line="249" w:lineRule="auto"/>
        <w:ind w:right="1105"/>
      </w:pPr>
      <w:r>
        <w:t>No obstante lo anterior, cuando los contratos a adjudicar no estén sujetos a regulación armonizada, el órgano de contratación podrá decidir, justificándolo debidamente en el expediente, no invitar a la licitación a la totalidad de las empresas, siempre que, como mínimo, solicite ofertas a tres.</w:t>
      </w:r>
    </w:p>
    <w:p w:rsidR="0092635B" w:rsidRDefault="00000000">
      <w:pPr>
        <w:pStyle w:val="Prrafodelista"/>
        <w:numPr>
          <w:ilvl w:val="1"/>
          <w:numId w:val="161"/>
        </w:numPr>
        <w:tabs>
          <w:tab w:val="left" w:pos="1693"/>
        </w:tabs>
        <w:spacing w:before="3" w:line="249" w:lineRule="auto"/>
        <w:ind w:right="1104" w:firstLine="340"/>
        <w:jc w:val="both"/>
        <w:rPr>
          <w:sz w:val="20"/>
        </w:rPr>
      </w:pPr>
      <w:r>
        <w:rPr>
          <w:sz w:val="20"/>
        </w:rPr>
        <w:t>Se concederá un plazo suficiente para presentar las ofertas relativas a cada contrato basado teniendo en cuenta factores tales como la complejidad del objeto del contrato, la pluralidad o no de criterios de valoración, así como su complejidad, y el tiempo necesario para el envío de la oferta.</w:t>
      </w:r>
    </w:p>
    <w:p w:rsidR="0092635B" w:rsidRDefault="00000000">
      <w:pPr>
        <w:pStyle w:val="Prrafodelista"/>
        <w:numPr>
          <w:ilvl w:val="1"/>
          <w:numId w:val="161"/>
        </w:numPr>
        <w:tabs>
          <w:tab w:val="left" w:pos="1720"/>
        </w:tabs>
        <w:spacing w:before="4" w:line="249" w:lineRule="auto"/>
        <w:ind w:right="1104" w:firstLine="340"/>
        <w:jc w:val="both"/>
        <w:rPr>
          <w:sz w:val="20"/>
        </w:rPr>
      </w:pPr>
      <w:r>
        <w:rPr>
          <w:sz w:val="20"/>
        </w:rPr>
        <w:t>Las ofertas se presentarán por escrito y su contenido será confidencial hasta el momento fijado para su apertura.</w:t>
      </w:r>
    </w:p>
    <w:p w:rsidR="0092635B" w:rsidRDefault="00000000">
      <w:pPr>
        <w:pStyle w:val="Textoindependiente"/>
        <w:spacing w:before="1" w:line="249" w:lineRule="auto"/>
        <w:ind w:right="1104"/>
      </w:pPr>
      <w:r>
        <w:t xml:space="preserve">Las empresas parte del acuerdo marco invitadas a la licitación de conformidad con lo dispuesto en la letra a) anterior, estarán obligadas a presentar oferta válida en la licitación para la adjudicación del contrato basado, en los términos fijados en el pliego del acuerdo </w:t>
      </w:r>
      <w:r>
        <w:rPr>
          <w:spacing w:val="-2"/>
        </w:rPr>
        <w:t>marco.</w:t>
      </w:r>
    </w:p>
    <w:p w:rsidR="0092635B" w:rsidRDefault="00000000">
      <w:pPr>
        <w:pStyle w:val="Prrafodelista"/>
        <w:numPr>
          <w:ilvl w:val="1"/>
          <w:numId w:val="161"/>
        </w:numPr>
        <w:tabs>
          <w:tab w:val="left" w:pos="1721"/>
        </w:tabs>
        <w:spacing w:before="4" w:line="249" w:lineRule="auto"/>
        <w:ind w:right="1104" w:firstLine="340"/>
        <w:jc w:val="both"/>
        <w:rPr>
          <w:sz w:val="20"/>
        </w:rPr>
      </w:pPr>
      <w:r>
        <w:rPr>
          <w:sz w:val="20"/>
        </w:rPr>
        <w:t>El órgano de contratación podrá optar por celebrar la licitación para adjudicar los contratos basados en un acuerdo marco a través de una subasta electrónica para la adjudicación del contrato basado conforme a lo establecido en el artículo 143 de la presente Ley, siempre que así se hubiera previsto en los pliegos reguladores del acuerdo marco.</w:t>
      </w:r>
    </w:p>
    <w:p w:rsidR="0092635B" w:rsidRDefault="00000000">
      <w:pPr>
        <w:pStyle w:val="Prrafodelista"/>
        <w:numPr>
          <w:ilvl w:val="1"/>
          <w:numId w:val="161"/>
        </w:numPr>
        <w:tabs>
          <w:tab w:val="left" w:pos="1755"/>
        </w:tabs>
        <w:spacing w:before="3" w:line="249" w:lineRule="auto"/>
        <w:ind w:right="1104" w:firstLine="340"/>
        <w:jc w:val="both"/>
        <w:rPr>
          <w:sz w:val="20"/>
        </w:rPr>
      </w:pPr>
      <w:r>
        <w:rPr>
          <w:sz w:val="20"/>
        </w:rPr>
        <w:t>El contrato se adjudicará al licitador que haya presentado la mejor oferta de conformidad con lo dispuesto en el artículo 145, valorada según los criterios fijados en el acuerdo marco.</w:t>
      </w:r>
    </w:p>
    <w:p w:rsidR="0092635B" w:rsidRDefault="00000000">
      <w:pPr>
        <w:pStyle w:val="Prrafodelista"/>
        <w:numPr>
          <w:ilvl w:val="1"/>
          <w:numId w:val="161"/>
        </w:numPr>
        <w:tabs>
          <w:tab w:val="left" w:pos="1652"/>
        </w:tabs>
        <w:spacing w:line="249" w:lineRule="auto"/>
        <w:ind w:firstLine="340"/>
        <w:jc w:val="both"/>
        <w:rPr>
          <w:sz w:val="20"/>
        </w:rPr>
      </w:pPr>
      <w:r>
        <w:rPr>
          <w:sz w:val="20"/>
        </w:rPr>
        <w:t>La notificación a las empresas no adjudicatarias de la adjudicación de los contratos basados en un acuerdo marco, podrá sustituirse por una publicación en el medio determinado en los pliegos reguladores del acuerdo marco.</w:t>
      </w:r>
    </w:p>
    <w:p w:rsidR="0092635B" w:rsidRDefault="00000000">
      <w:pPr>
        <w:spacing w:before="230" w:line="249" w:lineRule="auto"/>
        <w:ind w:left="1106" w:right="1120"/>
        <w:rPr>
          <w:rFonts w:ascii="Arial" w:hAnsi="Arial"/>
          <w:i/>
          <w:sz w:val="20"/>
        </w:rPr>
      </w:pPr>
      <w:bookmarkStart w:id="345" w:name="Artículo_222._Modificación_de_los_acuerd"/>
      <w:bookmarkEnd w:id="345"/>
      <w:r>
        <w:rPr>
          <w:rFonts w:ascii="Arial" w:hAnsi="Arial"/>
          <w:b/>
          <w:sz w:val="20"/>
        </w:rPr>
        <w:t>Artículo</w:t>
      </w:r>
      <w:r>
        <w:rPr>
          <w:rFonts w:ascii="Arial" w:hAnsi="Arial"/>
          <w:b/>
          <w:spacing w:val="-3"/>
          <w:sz w:val="20"/>
        </w:rPr>
        <w:t xml:space="preserve"> </w:t>
      </w:r>
      <w:r>
        <w:rPr>
          <w:rFonts w:ascii="Arial" w:hAnsi="Arial"/>
          <w:b/>
          <w:sz w:val="20"/>
        </w:rPr>
        <w:t>222.</w:t>
      </w:r>
      <w:r>
        <w:rPr>
          <w:rFonts w:ascii="Arial" w:hAnsi="Arial"/>
          <w:b/>
          <w:spacing w:val="40"/>
          <w:sz w:val="20"/>
        </w:rPr>
        <w:t xml:space="preserve"> </w:t>
      </w:r>
      <w:r>
        <w:rPr>
          <w:rFonts w:ascii="Arial" w:hAnsi="Arial"/>
          <w:i/>
          <w:sz w:val="20"/>
        </w:rPr>
        <w:t>Modificación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3"/>
          <w:sz w:val="20"/>
        </w:rPr>
        <w:t xml:space="preserve"> </w:t>
      </w:r>
      <w:r>
        <w:rPr>
          <w:rFonts w:ascii="Arial" w:hAnsi="Arial"/>
          <w:i/>
          <w:sz w:val="20"/>
        </w:rPr>
        <w:t>acuerdos</w:t>
      </w:r>
      <w:r>
        <w:rPr>
          <w:rFonts w:ascii="Arial" w:hAnsi="Arial"/>
          <w:i/>
          <w:spacing w:val="-3"/>
          <w:sz w:val="20"/>
        </w:rPr>
        <w:t xml:space="preserve"> </w:t>
      </w:r>
      <w:r>
        <w:rPr>
          <w:rFonts w:ascii="Arial" w:hAnsi="Arial"/>
          <w:i/>
          <w:sz w:val="20"/>
        </w:rPr>
        <w:t>marco</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3"/>
          <w:sz w:val="20"/>
        </w:rPr>
        <w:t xml:space="preserve"> </w:t>
      </w:r>
      <w:r>
        <w:rPr>
          <w:rFonts w:ascii="Arial" w:hAnsi="Arial"/>
          <w:i/>
          <w:sz w:val="20"/>
        </w:rPr>
        <w:t>contratos</w:t>
      </w:r>
      <w:r>
        <w:rPr>
          <w:rFonts w:ascii="Arial" w:hAnsi="Arial"/>
          <w:i/>
          <w:spacing w:val="-3"/>
          <w:sz w:val="20"/>
        </w:rPr>
        <w:t xml:space="preserve"> </w:t>
      </w:r>
      <w:r>
        <w:rPr>
          <w:rFonts w:ascii="Arial" w:hAnsi="Arial"/>
          <w:i/>
          <w:sz w:val="20"/>
        </w:rPr>
        <w:t>basados</w:t>
      </w:r>
      <w:r>
        <w:rPr>
          <w:rFonts w:ascii="Arial" w:hAnsi="Arial"/>
          <w:i/>
          <w:spacing w:val="-3"/>
          <w:sz w:val="20"/>
        </w:rPr>
        <w:t xml:space="preserve"> </w:t>
      </w:r>
      <w:r>
        <w:rPr>
          <w:rFonts w:ascii="Arial" w:hAnsi="Arial"/>
          <w:i/>
          <w:sz w:val="20"/>
        </w:rPr>
        <w:t>en</w:t>
      </w:r>
      <w:r>
        <w:rPr>
          <w:rFonts w:ascii="Arial" w:hAnsi="Arial"/>
          <w:i/>
          <w:spacing w:val="-3"/>
          <w:sz w:val="20"/>
        </w:rPr>
        <w:t xml:space="preserve"> </w:t>
      </w:r>
      <w:r>
        <w:rPr>
          <w:rFonts w:ascii="Arial" w:hAnsi="Arial"/>
          <w:i/>
          <w:sz w:val="20"/>
        </w:rPr>
        <w:t>un</w:t>
      </w:r>
      <w:r>
        <w:rPr>
          <w:rFonts w:ascii="Arial" w:hAnsi="Arial"/>
          <w:i/>
          <w:spacing w:val="-3"/>
          <w:sz w:val="20"/>
        </w:rPr>
        <w:t xml:space="preserve"> </w:t>
      </w:r>
      <w:r>
        <w:rPr>
          <w:rFonts w:ascii="Arial" w:hAnsi="Arial"/>
          <w:i/>
          <w:sz w:val="20"/>
        </w:rPr>
        <w:t xml:space="preserve">acuerdo </w:t>
      </w:r>
      <w:r>
        <w:rPr>
          <w:rFonts w:ascii="Arial" w:hAnsi="Arial"/>
          <w:i/>
          <w:spacing w:val="-2"/>
          <w:sz w:val="20"/>
        </w:rPr>
        <w:t>marco.</w:t>
      </w:r>
    </w:p>
    <w:p w:rsidR="0092635B" w:rsidRDefault="00000000">
      <w:pPr>
        <w:pStyle w:val="Prrafodelista"/>
        <w:numPr>
          <w:ilvl w:val="0"/>
          <w:numId w:val="160"/>
        </w:numPr>
        <w:tabs>
          <w:tab w:val="left" w:pos="1681"/>
        </w:tabs>
        <w:spacing w:before="115" w:line="249" w:lineRule="auto"/>
        <w:ind w:firstLine="340"/>
        <w:jc w:val="both"/>
        <w:rPr>
          <w:sz w:val="20"/>
        </w:rPr>
      </w:pPr>
      <w:r>
        <w:rPr>
          <w:sz w:val="20"/>
        </w:rPr>
        <w:t xml:space="preserve">Los acuerdos marco y los contratos basados podrán ser modificados de acuerdo con las reglas generales de modificación de los contratos. En todo caso, no se podrán introducir por contrato basado modificaciones sustanciales respecto de lo establecido en el acuerdo </w:t>
      </w:r>
      <w:r>
        <w:rPr>
          <w:spacing w:val="-2"/>
          <w:sz w:val="20"/>
        </w:rPr>
        <w:t>marco.</w:t>
      </w:r>
    </w:p>
    <w:p w:rsidR="0092635B" w:rsidRDefault="00000000">
      <w:pPr>
        <w:pStyle w:val="Textoindependiente"/>
        <w:spacing w:before="3" w:line="249" w:lineRule="auto"/>
        <w:ind w:right="1104"/>
      </w:pPr>
      <w:r>
        <w:t>Los</w:t>
      </w:r>
      <w:r>
        <w:rPr>
          <w:spacing w:val="-2"/>
        </w:rPr>
        <w:t xml:space="preserve"> </w:t>
      </w:r>
      <w:r>
        <w:t>precios</w:t>
      </w:r>
      <w:r>
        <w:rPr>
          <w:spacing w:val="-2"/>
        </w:rPr>
        <w:t xml:space="preserve"> </w:t>
      </w:r>
      <w:r>
        <w:t>unitarios</w:t>
      </w:r>
      <w:r>
        <w:rPr>
          <w:spacing w:val="-2"/>
        </w:rPr>
        <w:t xml:space="preserve"> </w:t>
      </w:r>
      <w:r>
        <w:t>resultantes</w:t>
      </w:r>
      <w:r>
        <w:rPr>
          <w:spacing w:val="-2"/>
        </w:rPr>
        <w:t xml:space="preserve"> </w:t>
      </w:r>
      <w:r>
        <w:t>de</w:t>
      </w:r>
      <w:r>
        <w:rPr>
          <w:spacing w:val="-2"/>
        </w:rPr>
        <w:t xml:space="preserve"> </w:t>
      </w:r>
      <w:r>
        <w:t>la</w:t>
      </w:r>
      <w:r>
        <w:rPr>
          <w:spacing w:val="-2"/>
        </w:rPr>
        <w:t xml:space="preserve"> </w:t>
      </w:r>
      <w:r>
        <w:t>modificación</w:t>
      </w:r>
      <w:r>
        <w:rPr>
          <w:spacing w:val="-2"/>
        </w:rPr>
        <w:t xml:space="preserve"> </w:t>
      </w:r>
      <w:r>
        <w:t>del</w:t>
      </w:r>
      <w:r>
        <w:rPr>
          <w:spacing w:val="-2"/>
        </w:rPr>
        <w:t xml:space="preserve"> </w:t>
      </w:r>
      <w:r>
        <w:t>acuerdo</w:t>
      </w:r>
      <w:r>
        <w:rPr>
          <w:spacing w:val="-2"/>
        </w:rPr>
        <w:t xml:space="preserve"> </w:t>
      </w:r>
      <w:r>
        <w:t>marco</w:t>
      </w:r>
      <w:r>
        <w:rPr>
          <w:spacing w:val="-2"/>
        </w:rPr>
        <w:t xml:space="preserve"> </w:t>
      </w:r>
      <w:r>
        <w:t>no</w:t>
      </w:r>
      <w:r>
        <w:rPr>
          <w:spacing w:val="-2"/>
        </w:rPr>
        <w:t xml:space="preserve"> </w:t>
      </w:r>
      <w:r>
        <w:t>podrán</w:t>
      </w:r>
      <w:r>
        <w:rPr>
          <w:spacing w:val="-2"/>
        </w:rPr>
        <w:t xml:space="preserve"> </w:t>
      </w:r>
      <w:r>
        <w:t>superar en un 20 por ciento a los precios anteriores a la modificación y en ningún caso podrán ser precios superiores a los que las empresas parte del acuerdo marco ofrezcan en el mercado para los mismos productos.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60"/>
        </w:numPr>
        <w:tabs>
          <w:tab w:val="left" w:pos="1683"/>
        </w:tabs>
        <w:spacing w:before="1" w:line="249" w:lineRule="auto"/>
        <w:ind w:firstLine="340"/>
        <w:jc w:val="both"/>
        <w:rPr>
          <w:sz w:val="20"/>
        </w:rPr>
      </w:pPr>
      <w:r>
        <w:rPr>
          <w:sz w:val="20"/>
        </w:rPr>
        <w:t>Sin perjuicio de lo señalado en el apartado anterior, los adjudicatarios de un acuerdo marco podrán proponer al órgano de contratación la sustitución de los bienes adjudicados</w:t>
      </w:r>
      <w:r>
        <w:rPr>
          <w:spacing w:val="40"/>
          <w:sz w:val="20"/>
        </w:rPr>
        <w:t xml:space="preserve"> </w:t>
      </w:r>
      <w:r>
        <w:rPr>
          <w:sz w:val="20"/>
        </w:rPr>
        <w:t>por otros que incorporen avances o innovaciones tecnológicas que mejoren las prestaciones o características de los adjudicados, siempre que su precio no incremente en más del 10 por 100 el inicial de adjudicación, salvo que el pliego de cláusulas administrativas particulares, hubiese establecido otro límite.</w:t>
      </w:r>
    </w:p>
    <w:p w:rsidR="0092635B" w:rsidRDefault="00000000">
      <w:pPr>
        <w:pStyle w:val="Textoindependiente"/>
        <w:spacing w:before="5" w:line="249" w:lineRule="auto"/>
        <w:ind w:right="1104"/>
      </w:pPr>
      <w:r>
        <w:t>Junto a ello, el órgano de contratación, por propia iniciativa y con la conformidad del suministrador, o a instancia de este, podrá incluir nuevos bienes del tipo adjudicado o similares al mismo cuando concurran motivos de interés público o de nueva tecnología o configuración respecto de los adjudicados, cuya comercialización se haya iniciado con posterioridad a la fecha límite de presentación de ofertas, siempre que su precio no exceda del límite que se establece en el párrafo anterior.</w:t>
      </w:r>
    </w:p>
    <w:p w:rsidR="0092635B" w:rsidRDefault="0092635B">
      <w:pPr>
        <w:pStyle w:val="Textoindependiente"/>
        <w:spacing w:before="1"/>
        <w:ind w:left="0" w:firstLine="0"/>
        <w:jc w:val="left"/>
      </w:pPr>
    </w:p>
    <w:p w:rsidR="0092635B" w:rsidRDefault="00000000">
      <w:pPr>
        <w:pStyle w:val="Ttulo3"/>
      </w:pPr>
      <w:bookmarkStart w:id="346" w:name="Sección_3.ª_Sistemas_dinámicos_de_adquis"/>
      <w:bookmarkStart w:id="347" w:name="_bookmark63"/>
      <w:bookmarkEnd w:id="346"/>
      <w:bookmarkEnd w:id="347"/>
      <w:r>
        <w:t>Sección</w:t>
      </w:r>
      <w:r>
        <w:rPr>
          <w:spacing w:val="-6"/>
        </w:rPr>
        <w:t xml:space="preserve"> </w:t>
      </w:r>
      <w:r>
        <w:t>3.ª</w:t>
      </w:r>
      <w:r>
        <w:rPr>
          <w:spacing w:val="-4"/>
        </w:rPr>
        <w:t xml:space="preserve"> </w:t>
      </w:r>
      <w:r>
        <w:t>Sistemas</w:t>
      </w:r>
      <w:r>
        <w:rPr>
          <w:spacing w:val="-3"/>
        </w:rPr>
        <w:t xml:space="preserve"> </w:t>
      </w:r>
      <w:r>
        <w:t>dinámicos</w:t>
      </w:r>
      <w:r>
        <w:rPr>
          <w:spacing w:val="-4"/>
        </w:rPr>
        <w:t xml:space="preserve"> </w:t>
      </w:r>
      <w:r>
        <w:t>de</w:t>
      </w:r>
      <w:r>
        <w:rPr>
          <w:spacing w:val="-3"/>
        </w:rPr>
        <w:t xml:space="preserve"> </w:t>
      </w:r>
      <w:r>
        <w:rPr>
          <w:spacing w:val="-2"/>
        </w:rPr>
        <w:t>adquisición</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348" w:name="Artículo_223._Delimitación."/>
      <w:bookmarkEnd w:id="348"/>
      <w:r>
        <w:rPr>
          <w:rFonts w:ascii="Arial" w:hAnsi="Arial"/>
          <w:b/>
          <w:sz w:val="20"/>
        </w:rPr>
        <w:t>Artículo</w:t>
      </w:r>
      <w:r>
        <w:rPr>
          <w:rFonts w:ascii="Arial" w:hAnsi="Arial"/>
          <w:b/>
          <w:spacing w:val="-2"/>
          <w:sz w:val="20"/>
        </w:rPr>
        <w:t xml:space="preserve"> </w:t>
      </w:r>
      <w:r>
        <w:rPr>
          <w:rFonts w:ascii="Arial" w:hAnsi="Arial"/>
          <w:b/>
          <w:sz w:val="20"/>
        </w:rPr>
        <w:t>223.</w:t>
      </w:r>
      <w:r>
        <w:rPr>
          <w:rFonts w:ascii="Arial" w:hAnsi="Arial"/>
          <w:b/>
          <w:spacing w:val="54"/>
          <w:sz w:val="20"/>
        </w:rPr>
        <w:t xml:space="preserve"> </w:t>
      </w:r>
      <w:r>
        <w:rPr>
          <w:rFonts w:ascii="Arial" w:hAnsi="Arial"/>
          <w:i/>
          <w:spacing w:val="-2"/>
          <w:sz w:val="20"/>
        </w:rPr>
        <w:t>Delimitación.</w:t>
      </w:r>
    </w:p>
    <w:p w:rsidR="0092635B" w:rsidRDefault="00000000">
      <w:pPr>
        <w:pStyle w:val="Prrafodelista"/>
        <w:numPr>
          <w:ilvl w:val="0"/>
          <w:numId w:val="159"/>
        </w:numPr>
        <w:tabs>
          <w:tab w:val="left" w:pos="1697"/>
        </w:tabs>
        <w:spacing w:before="123" w:line="249" w:lineRule="auto"/>
        <w:ind w:firstLine="340"/>
        <w:jc w:val="both"/>
        <w:rPr>
          <w:sz w:val="20"/>
        </w:rPr>
      </w:pPr>
      <w:r>
        <w:rPr>
          <w:sz w:val="20"/>
        </w:rPr>
        <w:t xml:space="preserve">Los órganos de contratación podrán articular sistemas dinámicos de adquisición de obras, servicios y suministros de uso corriente cuyas características, generalmente disponibles en el mercado, satisfagan sus necesidades, siempre que el recurso a estos instrumentos no se efectúe de forma que la competencia se vea obstaculizada, restringida o </w:t>
      </w:r>
      <w:r>
        <w:rPr>
          <w:spacing w:val="-2"/>
          <w:sz w:val="20"/>
        </w:rPr>
        <w:t>falseada.</w:t>
      </w:r>
    </w:p>
    <w:p w:rsidR="0092635B" w:rsidRDefault="00000000">
      <w:pPr>
        <w:pStyle w:val="Prrafodelista"/>
        <w:numPr>
          <w:ilvl w:val="0"/>
          <w:numId w:val="159"/>
        </w:numPr>
        <w:tabs>
          <w:tab w:val="left" w:pos="1705"/>
        </w:tabs>
        <w:spacing w:before="5" w:line="249" w:lineRule="auto"/>
        <w:ind w:firstLine="340"/>
        <w:jc w:val="both"/>
        <w:rPr>
          <w:sz w:val="20"/>
        </w:rPr>
      </w:pPr>
      <w:r>
        <w:rPr>
          <w:sz w:val="20"/>
        </w:rPr>
        <w:t>El sistema dinámico de adquisición es un proceso totalmente electrónico, con una duración limitada y determinada en los pliegos, y debe estar abierto durante todo el período de vigencia a cualquier empresa interesada que cumpla los criterios de selección.</w:t>
      </w:r>
    </w:p>
    <w:p w:rsidR="0092635B" w:rsidRDefault="00000000">
      <w:pPr>
        <w:pStyle w:val="Prrafodelista"/>
        <w:numPr>
          <w:ilvl w:val="0"/>
          <w:numId w:val="159"/>
        </w:numPr>
        <w:tabs>
          <w:tab w:val="left" w:pos="1694"/>
        </w:tabs>
        <w:spacing w:line="249" w:lineRule="auto"/>
        <w:ind w:right="1105" w:firstLine="340"/>
        <w:jc w:val="both"/>
        <w:rPr>
          <w:sz w:val="20"/>
        </w:rPr>
      </w:pPr>
      <w:r>
        <w:rPr>
          <w:sz w:val="20"/>
        </w:rPr>
        <w:t>Los órganos de contratación podrán articular el sistema dinámico de adquisición en categorías definidas objetivamente de productos, obras o servicios.</w:t>
      </w:r>
    </w:p>
    <w:p w:rsidR="0092635B" w:rsidRDefault="00000000">
      <w:pPr>
        <w:pStyle w:val="Textoindependiente"/>
        <w:spacing w:line="249" w:lineRule="auto"/>
        <w:ind w:right="1103"/>
      </w:pPr>
      <w:r>
        <w:t>A los efectos del párrafo anterior se entenderá que son criterios objetivos válidos para definir las categorías, entre otros, el volumen máximo admisible de contratos que el órgano de contratación prevea adjudicar en el marco del sistema, o la zona geográfica específica donde vayan a ejecutarse estos contratos específicos.</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349" w:name="Artículo_224._Implementación."/>
      <w:bookmarkEnd w:id="349"/>
      <w:r>
        <w:rPr>
          <w:rFonts w:ascii="Arial" w:hAnsi="Arial"/>
          <w:b/>
          <w:sz w:val="20"/>
        </w:rPr>
        <w:t>Artículo 224.</w:t>
      </w:r>
      <w:r>
        <w:rPr>
          <w:rFonts w:ascii="Arial" w:hAnsi="Arial"/>
          <w:b/>
          <w:spacing w:val="54"/>
          <w:sz w:val="20"/>
        </w:rPr>
        <w:t xml:space="preserve"> </w:t>
      </w:r>
      <w:r>
        <w:rPr>
          <w:rFonts w:ascii="Arial" w:hAnsi="Arial"/>
          <w:i/>
          <w:spacing w:val="-2"/>
          <w:sz w:val="20"/>
        </w:rPr>
        <w:t>Implementación.</w:t>
      </w:r>
    </w:p>
    <w:p w:rsidR="0092635B" w:rsidRDefault="00000000">
      <w:pPr>
        <w:pStyle w:val="Prrafodelista"/>
        <w:numPr>
          <w:ilvl w:val="0"/>
          <w:numId w:val="158"/>
        </w:numPr>
        <w:tabs>
          <w:tab w:val="left" w:pos="1702"/>
        </w:tabs>
        <w:spacing w:before="123" w:line="249" w:lineRule="auto"/>
        <w:ind w:right="1105" w:firstLine="340"/>
        <w:jc w:val="both"/>
        <w:rPr>
          <w:sz w:val="20"/>
        </w:rPr>
      </w:pPr>
      <w:r>
        <w:rPr>
          <w:sz w:val="20"/>
        </w:rPr>
        <w:t>Para contratar en el marco de un sistema dinámico de adquisición los órganos de contratación seguirán las normas del procedimiento restringido, con las especialidades que se establecen en esta Sección.</w:t>
      </w:r>
    </w:p>
    <w:p w:rsidR="0092635B" w:rsidRDefault="00000000">
      <w:pPr>
        <w:pStyle w:val="Prrafodelista"/>
        <w:numPr>
          <w:ilvl w:val="0"/>
          <w:numId w:val="158"/>
        </w:numPr>
        <w:tabs>
          <w:tab w:val="left" w:pos="1712"/>
        </w:tabs>
        <w:spacing w:before="3" w:line="249" w:lineRule="auto"/>
        <w:ind w:right="1105" w:firstLine="340"/>
        <w:jc w:val="both"/>
        <w:rPr>
          <w:sz w:val="20"/>
        </w:rPr>
      </w:pPr>
      <w:r>
        <w:rPr>
          <w:sz w:val="20"/>
        </w:rPr>
        <w:t>Serán admitidos en el sistema todos los solicitantes que cumplan los criterios de selección, sin que pueda limitarse el número de candidatos admisibles en el sistema.</w:t>
      </w:r>
    </w:p>
    <w:p w:rsidR="0092635B" w:rsidRDefault="00000000">
      <w:pPr>
        <w:pStyle w:val="Prrafodelista"/>
        <w:numPr>
          <w:ilvl w:val="0"/>
          <w:numId w:val="158"/>
        </w:numPr>
        <w:tabs>
          <w:tab w:val="left" w:pos="1722"/>
        </w:tabs>
        <w:spacing w:before="1" w:line="249" w:lineRule="auto"/>
        <w:ind w:right="1105" w:firstLine="340"/>
        <w:jc w:val="both"/>
        <w:rPr>
          <w:sz w:val="20"/>
        </w:rPr>
      </w:pPr>
      <w:r>
        <w:rPr>
          <w:sz w:val="20"/>
        </w:rPr>
        <w:t>Cuando los órganos de contratación hayan dividido el sistema en categorías de productos, obras o servicios conforme a lo dispuesto en el artículo anterior, especificarán los criterios de selección que se apliquen a cada categoría.</w:t>
      </w:r>
    </w:p>
    <w:p w:rsidR="0092635B" w:rsidRDefault="00000000">
      <w:pPr>
        <w:pStyle w:val="Prrafodelista"/>
        <w:numPr>
          <w:ilvl w:val="0"/>
          <w:numId w:val="158"/>
        </w:numPr>
        <w:tabs>
          <w:tab w:val="left" w:pos="1684"/>
        </w:tabs>
        <w:spacing w:before="3" w:line="249" w:lineRule="auto"/>
        <w:ind w:right="1105" w:firstLine="340"/>
        <w:jc w:val="both"/>
        <w:rPr>
          <w:sz w:val="20"/>
        </w:rPr>
      </w:pPr>
      <w:r>
        <w:rPr>
          <w:sz w:val="20"/>
        </w:rPr>
        <w:t>Todas las comunicaciones que se realicen en el contexto de un sistema dinámico de adquisición se harán utilizando únicamente medios electrónicos, de conformidad con lo dispuesto en esta Ley.</w:t>
      </w:r>
    </w:p>
    <w:p w:rsidR="0092635B" w:rsidRDefault="00000000">
      <w:pPr>
        <w:pStyle w:val="Prrafodelista"/>
        <w:numPr>
          <w:ilvl w:val="0"/>
          <w:numId w:val="158"/>
        </w:numPr>
        <w:tabs>
          <w:tab w:val="left" w:pos="1727"/>
        </w:tabs>
        <w:spacing w:line="249" w:lineRule="auto"/>
        <w:ind w:firstLine="340"/>
        <w:jc w:val="both"/>
        <w:rPr>
          <w:sz w:val="20"/>
        </w:rPr>
      </w:pPr>
      <w:r>
        <w:rPr>
          <w:sz w:val="20"/>
        </w:rPr>
        <w:t>Con carácter previo a la adjudicación, en el marco de un sistema dinámico de adquisición, de contratos específicos, los órganos de contratación deberán:</w:t>
      </w:r>
    </w:p>
    <w:p w:rsidR="0092635B" w:rsidRDefault="00000000">
      <w:pPr>
        <w:pStyle w:val="Prrafodelista"/>
        <w:numPr>
          <w:ilvl w:val="1"/>
          <w:numId w:val="158"/>
        </w:numPr>
        <w:tabs>
          <w:tab w:val="left" w:pos="1695"/>
        </w:tabs>
        <w:spacing w:before="122" w:line="249" w:lineRule="auto"/>
        <w:ind w:right="1105" w:firstLine="340"/>
        <w:jc w:val="both"/>
        <w:rPr>
          <w:sz w:val="20"/>
        </w:rPr>
      </w:pPr>
      <w:r>
        <w:rPr>
          <w:sz w:val="20"/>
        </w:rPr>
        <w:t>Publicar un anuncio de licitación en el perfil de contratante en el cual se precise que</w:t>
      </w:r>
      <w:r>
        <w:rPr>
          <w:spacing w:val="40"/>
          <w:sz w:val="20"/>
        </w:rPr>
        <w:t xml:space="preserve"> </w:t>
      </w:r>
      <w:r>
        <w:rPr>
          <w:sz w:val="20"/>
        </w:rPr>
        <w:t>se trata de un sistema dinámico de adquisición y el período de vigencia del mismo.</w:t>
      </w:r>
    </w:p>
    <w:p w:rsidR="0092635B" w:rsidRDefault="00000000">
      <w:pPr>
        <w:pStyle w:val="Prrafodelista"/>
        <w:numPr>
          <w:ilvl w:val="1"/>
          <w:numId w:val="158"/>
        </w:numPr>
        <w:tabs>
          <w:tab w:val="left" w:pos="1714"/>
        </w:tabs>
        <w:spacing w:before="1" w:line="249" w:lineRule="auto"/>
        <w:ind w:right="1104" w:firstLine="340"/>
        <w:jc w:val="both"/>
        <w:rPr>
          <w:sz w:val="20"/>
        </w:rPr>
      </w:pPr>
      <w:r>
        <w:rPr>
          <w:sz w:val="20"/>
        </w:rPr>
        <w:t>Indicar en los pliegos, al menos, la naturaleza y la cantidad estimada de compras previstas, así como la información necesaria relativa al sistema dinámico de adquisición, en particular el modo de funcionamiento del mismo, el equipo electrónico utilizado y las modalidades y especificaciones técnicas de conexión.</w:t>
      </w:r>
    </w:p>
    <w:p w:rsidR="0092635B" w:rsidRDefault="00000000">
      <w:pPr>
        <w:pStyle w:val="Prrafodelista"/>
        <w:numPr>
          <w:ilvl w:val="1"/>
          <w:numId w:val="158"/>
        </w:numPr>
        <w:tabs>
          <w:tab w:val="left" w:pos="1671"/>
        </w:tabs>
        <w:spacing w:before="4" w:line="249" w:lineRule="auto"/>
        <w:ind w:right="1104" w:firstLine="340"/>
        <w:jc w:val="both"/>
        <w:rPr>
          <w:sz w:val="20"/>
        </w:rPr>
      </w:pPr>
      <w:r>
        <w:rPr>
          <w:sz w:val="20"/>
        </w:rPr>
        <w:t>Indicar toda división en categorías de productos, obras o servicios y las características que definen dichas categorías.</w:t>
      </w:r>
    </w:p>
    <w:p w:rsidR="0092635B" w:rsidRDefault="00000000">
      <w:pPr>
        <w:pStyle w:val="Prrafodelista"/>
        <w:numPr>
          <w:ilvl w:val="1"/>
          <w:numId w:val="158"/>
        </w:numPr>
        <w:tabs>
          <w:tab w:val="left" w:pos="1702"/>
        </w:tabs>
        <w:spacing w:before="1" w:line="249" w:lineRule="auto"/>
        <w:ind w:right="1104" w:firstLine="340"/>
        <w:jc w:val="both"/>
        <w:rPr>
          <w:sz w:val="20"/>
        </w:rPr>
      </w:pPr>
      <w:r>
        <w:rPr>
          <w:sz w:val="20"/>
        </w:rPr>
        <w:t>Ofrecer un acceso libre, directo y completo, durante todo el período de vigencia del sistema, a los pliegos de la contratación, de conformidad con el artículo 138.</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158"/>
        </w:numPr>
        <w:tabs>
          <w:tab w:val="left" w:pos="1679"/>
        </w:tabs>
        <w:spacing w:before="1" w:line="249" w:lineRule="auto"/>
        <w:ind w:right="1107" w:firstLine="340"/>
        <w:jc w:val="both"/>
        <w:rPr>
          <w:sz w:val="20"/>
        </w:rPr>
      </w:pPr>
      <w:r>
        <w:rPr>
          <w:sz w:val="20"/>
        </w:rPr>
        <w:t>La participación en el sistema será gratuita para las empresas, a las que no se podrá cargar ningún gasto.</w:t>
      </w:r>
    </w:p>
    <w:p w:rsidR="0092635B" w:rsidRDefault="00000000">
      <w:pPr>
        <w:pStyle w:val="Prrafodelista"/>
        <w:numPr>
          <w:ilvl w:val="0"/>
          <w:numId w:val="158"/>
        </w:numPr>
        <w:tabs>
          <w:tab w:val="left" w:pos="1688"/>
        </w:tabs>
        <w:spacing w:before="1" w:line="249" w:lineRule="auto"/>
        <w:ind w:right="1105" w:firstLine="339"/>
        <w:jc w:val="both"/>
        <w:rPr>
          <w:sz w:val="20"/>
        </w:rPr>
      </w:pPr>
      <w:r>
        <w:rPr>
          <w:sz w:val="20"/>
        </w:rPr>
        <w:t>Los órganos de contratación informarán a la Comisión Europea de cualquier cambio del periodo de vigencia establecido en el anuncio de licitación de la siguiente forma:</w:t>
      </w:r>
    </w:p>
    <w:p w:rsidR="0092635B" w:rsidRDefault="00000000">
      <w:pPr>
        <w:pStyle w:val="Prrafodelista"/>
        <w:numPr>
          <w:ilvl w:val="1"/>
          <w:numId w:val="158"/>
        </w:numPr>
        <w:tabs>
          <w:tab w:val="left" w:pos="1684"/>
        </w:tabs>
        <w:spacing w:before="122" w:line="249" w:lineRule="auto"/>
        <w:ind w:right="1104" w:firstLine="340"/>
        <w:jc w:val="both"/>
        <w:rPr>
          <w:sz w:val="20"/>
        </w:rPr>
      </w:pPr>
      <w:r>
        <w:rPr>
          <w:sz w:val="20"/>
        </w:rPr>
        <w:t>En los casos en que el periodo de vigencia se modifique sin que se haya terminado el sistema, a través del modelo de anuncio utilizado inicialmente para la convocatoria de licitación del sistema dinámico de adquisición.</w:t>
      </w:r>
    </w:p>
    <w:p w:rsidR="0092635B" w:rsidRDefault="00000000">
      <w:pPr>
        <w:pStyle w:val="Prrafodelista"/>
        <w:numPr>
          <w:ilvl w:val="1"/>
          <w:numId w:val="158"/>
        </w:numPr>
        <w:tabs>
          <w:tab w:val="left" w:pos="1693"/>
        </w:tabs>
        <w:spacing w:line="249" w:lineRule="auto"/>
        <w:ind w:right="1104" w:firstLine="340"/>
        <w:jc w:val="both"/>
        <w:rPr>
          <w:sz w:val="20"/>
        </w:rPr>
      </w:pPr>
      <w:r>
        <w:rPr>
          <w:sz w:val="20"/>
        </w:rPr>
        <w:t>En los casos en que haya concluido el sistema, a través del anuncio de adjudicación del contrato.</w:t>
      </w:r>
    </w:p>
    <w:p w:rsidR="0092635B" w:rsidRDefault="00000000">
      <w:pPr>
        <w:spacing w:before="229"/>
        <w:ind w:left="1106"/>
        <w:rPr>
          <w:rFonts w:ascii="Arial" w:hAnsi="Arial"/>
          <w:i/>
          <w:sz w:val="20"/>
        </w:rPr>
      </w:pPr>
      <w:bookmarkStart w:id="350" w:name="Artículo_225._Incorporación_de_empresas_"/>
      <w:bookmarkEnd w:id="350"/>
      <w:r>
        <w:rPr>
          <w:rFonts w:ascii="Arial" w:hAnsi="Arial"/>
          <w:b/>
          <w:sz w:val="20"/>
        </w:rPr>
        <w:t>Artículo</w:t>
      </w:r>
      <w:r>
        <w:rPr>
          <w:rFonts w:ascii="Arial" w:hAnsi="Arial"/>
          <w:b/>
          <w:spacing w:val="-4"/>
          <w:sz w:val="20"/>
        </w:rPr>
        <w:t xml:space="preserve"> </w:t>
      </w:r>
      <w:r>
        <w:rPr>
          <w:rFonts w:ascii="Arial" w:hAnsi="Arial"/>
          <w:b/>
          <w:sz w:val="20"/>
        </w:rPr>
        <w:t>225.</w:t>
      </w:r>
      <w:r>
        <w:rPr>
          <w:rFonts w:ascii="Arial" w:hAnsi="Arial"/>
          <w:b/>
          <w:spacing w:val="50"/>
          <w:sz w:val="20"/>
        </w:rPr>
        <w:t xml:space="preserve"> </w:t>
      </w:r>
      <w:r>
        <w:rPr>
          <w:rFonts w:ascii="Arial" w:hAnsi="Arial"/>
          <w:i/>
          <w:sz w:val="20"/>
        </w:rPr>
        <w:t>Incorporación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empresas</w:t>
      </w:r>
      <w:r>
        <w:rPr>
          <w:rFonts w:ascii="Arial" w:hAnsi="Arial"/>
          <w:i/>
          <w:spacing w:val="-2"/>
          <w:sz w:val="20"/>
        </w:rPr>
        <w:t xml:space="preserve"> </w:t>
      </w:r>
      <w:r>
        <w:rPr>
          <w:rFonts w:ascii="Arial" w:hAnsi="Arial"/>
          <w:i/>
          <w:sz w:val="20"/>
        </w:rPr>
        <w:t>al</w:t>
      </w:r>
      <w:r>
        <w:rPr>
          <w:rFonts w:ascii="Arial" w:hAnsi="Arial"/>
          <w:i/>
          <w:spacing w:val="-2"/>
          <w:sz w:val="20"/>
        </w:rPr>
        <w:t xml:space="preserve"> sistema.</w:t>
      </w:r>
    </w:p>
    <w:p w:rsidR="0092635B" w:rsidRDefault="00000000">
      <w:pPr>
        <w:pStyle w:val="Prrafodelista"/>
        <w:numPr>
          <w:ilvl w:val="0"/>
          <w:numId w:val="157"/>
        </w:numPr>
        <w:tabs>
          <w:tab w:val="left" w:pos="1697"/>
        </w:tabs>
        <w:spacing w:before="123" w:line="249" w:lineRule="auto"/>
        <w:ind w:right="1104" w:firstLine="340"/>
        <w:jc w:val="both"/>
        <w:rPr>
          <w:sz w:val="20"/>
        </w:rPr>
      </w:pPr>
      <w:r>
        <w:rPr>
          <w:sz w:val="20"/>
        </w:rPr>
        <w:t>Durante todo el período de vigencia del sistema dinámico de adquisición, cualquier empresario interesado podrá solicitar participar en el sistema en las condiciones expuestas en el artículo anterior.</w:t>
      </w:r>
    </w:p>
    <w:p w:rsidR="0092635B" w:rsidRDefault="00000000">
      <w:pPr>
        <w:pStyle w:val="Prrafodelista"/>
        <w:numPr>
          <w:ilvl w:val="0"/>
          <w:numId w:val="157"/>
        </w:numPr>
        <w:tabs>
          <w:tab w:val="left" w:pos="1672"/>
        </w:tabs>
        <w:spacing w:before="3" w:line="249" w:lineRule="auto"/>
        <w:ind w:right="1104" w:firstLine="340"/>
        <w:jc w:val="both"/>
        <w:rPr>
          <w:sz w:val="20"/>
        </w:rPr>
      </w:pPr>
      <w:r>
        <w:rPr>
          <w:sz w:val="20"/>
        </w:rPr>
        <w:t>El plazo mínimo para la presentación de las solicitudes de participación será de treinta días, contados a partir de la fecha del envío del anuncio de licitación a la Oficina de Publicaciones de la Unión Europea. En ningún caso podrá ampliarse este plazo una vez enviada la invitación escrita a los candidatos para la primera contratación específica en el marco del sistema dinámico de adquisición.</w:t>
      </w:r>
    </w:p>
    <w:p w:rsidR="0092635B" w:rsidRDefault="00000000">
      <w:pPr>
        <w:pStyle w:val="Prrafodelista"/>
        <w:numPr>
          <w:ilvl w:val="0"/>
          <w:numId w:val="157"/>
        </w:numPr>
        <w:tabs>
          <w:tab w:val="left" w:pos="1762"/>
        </w:tabs>
        <w:spacing w:before="4" w:line="249" w:lineRule="auto"/>
        <w:ind w:firstLine="340"/>
        <w:jc w:val="both"/>
        <w:rPr>
          <w:sz w:val="20"/>
        </w:rPr>
      </w:pPr>
      <w:r>
        <w:rPr>
          <w:sz w:val="20"/>
        </w:rPr>
        <w:t>Los órganos de contratación evaluarán estas solicitudes de participación, de conformidad con los criterios de selección, en el plazo de los diez días hábiles siguientes a</w:t>
      </w:r>
      <w:r>
        <w:rPr>
          <w:spacing w:val="40"/>
          <w:sz w:val="20"/>
        </w:rPr>
        <w:t xml:space="preserve"> </w:t>
      </w:r>
      <w:r>
        <w:rPr>
          <w:sz w:val="20"/>
        </w:rPr>
        <w:t>su recepción.</w:t>
      </w:r>
    </w:p>
    <w:p w:rsidR="0092635B" w:rsidRDefault="00000000">
      <w:pPr>
        <w:pStyle w:val="Textoindependiente"/>
        <w:spacing w:line="249" w:lineRule="auto"/>
        <w:ind w:right="1104"/>
      </w:pPr>
      <w:r>
        <w:t>Dicho plazo podrá prorrogarse a quince días hábiles en casos concretos justificados, en particular si es necesario examinar documentación complementaria o verificar de otro modo si se cumplen los criterios de selección.</w:t>
      </w:r>
    </w:p>
    <w:p w:rsidR="0092635B" w:rsidRDefault="00000000">
      <w:pPr>
        <w:pStyle w:val="Textoindependiente"/>
        <w:spacing w:before="3" w:line="249" w:lineRule="auto"/>
        <w:ind w:right="1103"/>
      </w:pPr>
      <w:r>
        <w:t>No obstante lo dispuesto en el párrafo anterior, mientras la invitación para la primera contratación específica en el marco del sistema dinámico de adquisición no haya sido enviada, el órgano de contratación podrá ampliar nuevamente el plazo de evaluación. Durante este tiempo destinado a la evaluación de las solicitudes, el órgano de contratación no podrá enviar ninguna invitación para la presentación de ofertas.</w:t>
      </w:r>
    </w:p>
    <w:p w:rsidR="0092635B" w:rsidRDefault="00000000">
      <w:pPr>
        <w:pStyle w:val="Textoindependiente"/>
        <w:spacing w:before="4" w:line="249" w:lineRule="auto"/>
        <w:ind w:right="1105"/>
      </w:pPr>
      <w:r>
        <w:t>Los</w:t>
      </w:r>
      <w:r>
        <w:rPr>
          <w:spacing w:val="-1"/>
        </w:rPr>
        <w:t xml:space="preserve"> </w:t>
      </w:r>
      <w:r>
        <w:t>órganos</w:t>
      </w:r>
      <w:r>
        <w:rPr>
          <w:spacing w:val="-1"/>
        </w:rPr>
        <w:t xml:space="preserve"> </w:t>
      </w:r>
      <w:r>
        <w:t>de</w:t>
      </w:r>
      <w:r>
        <w:rPr>
          <w:spacing w:val="-1"/>
        </w:rPr>
        <w:t xml:space="preserve"> </w:t>
      </w:r>
      <w:r>
        <w:t>contratación</w:t>
      </w:r>
      <w:r>
        <w:rPr>
          <w:spacing w:val="-1"/>
        </w:rPr>
        <w:t xml:space="preserve"> </w:t>
      </w:r>
      <w:r>
        <w:t>deberán</w:t>
      </w:r>
      <w:r>
        <w:rPr>
          <w:spacing w:val="-1"/>
        </w:rPr>
        <w:t xml:space="preserve"> </w:t>
      </w:r>
      <w:r>
        <w:t>indicar</w:t>
      </w:r>
      <w:r>
        <w:rPr>
          <w:spacing w:val="-1"/>
        </w:rPr>
        <w:t xml:space="preserve"> </w:t>
      </w:r>
      <w:r>
        <w:t>en</w:t>
      </w:r>
      <w:r>
        <w:rPr>
          <w:spacing w:val="-1"/>
        </w:rPr>
        <w:t xml:space="preserve"> </w:t>
      </w:r>
      <w:r>
        <w:t>los</w:t>
      </w:r>
      <w:r>
        <w:rPr>
          <w:spacing w:val="-1"/>
        </w:rPr>
        <w:t xml:space="preserve"> </w:t>
      </w:r>
      <w:r>
        <w:t>pliegos</w:t>
      </w:r>
      <w:r>
        <w:rPr>
          <w:spacing w:val="-1"/>
        </w:rPr>
        <w:t xml:space="preserve"> </w:t>
      </w:r>
      <w:r>
        <w:t>si</w:t>
      </w:r>
      <w:r>
        <w:rPr>
          <w:spacing w:val="-1"/>
        </w:rPr>
        <w:t xml:space="preserve"> </w:t>
      </w:r>
      <w:r>
        <w:t>hay</w:t>
      </w:r>
      <w:r>
        <w:rPr>
          <w:spacing w:val="-1"/>
        </w:rPr>
        <w:t xml:space="preserve"> </w:t>
      </w:r>
      <w:r>
        <w:t>posibilidad</w:t>
      </w:r>
      <w:r>
        <w:rPr>
          <w:spacing w:val="-1"/>
        </w:rPr>
        <w:t xml:space="preserve"> </w:t>
      </w:r>
      <w:r>
        <w:t>de</w:t>
      </w:r>
      <w:r>
        <w:rPr>
          <w:spacing w:val="-1"/>
        </w:rPr>
        <w:t xml:space="preserve"> </w:t>
      </w:r>
      <w:r>
        <w:t>prórroga del plazo a que se refiere este apartado y, en caso afirmativo, su duración.</w:t>
      </w:r>
    </w:p>
    <w:p w:rsidR="0092635B" w:rsidRDefault="00000000">
      <w:pPr>
        <w:pStyle w:val="Prrafodelista"/>
        <w:numPr>
          <w:ilvl w:val="0"/>
          <w:numId w:val="157"/>
        </w:numPr>
        <w:tabs>
          <w:tab w:val="left" w:pos="1703"/>
        </w:tabs>
        <w:spacing w:before="1" w:line="249" w:lineRule="auto"/>
        <w:ind w:right="1105" w:firstLine="340"/>
        <w:jc w:val="both"/>
        <w:rPr>
          <w:sz w:val="20"/>
        </w:rPr>
      </w:pPr>
      <w:r>
        <w:rPr>
          <w:sz w:val="20"/>
        </w:rPr>
        <w:t>Los órganos de contratación informarán lo antes posible a la empresa que solicitó adherirse al sistema dinámico de adquisición de si ha sido admitida o no.</w:t>
      </w:r>
    </w:p>
    <w:p w:rsidR="0092635B" w:rsidRDefault="00000000">
      <w:pPr>
        <w:pStyle w:val="Prrafodelista"/>
        <w:numPr>
          <w:ilvl w:val="0"/>
          <w:numId w:val="157"/>
        </w:numPr>
        <w:tabs>
          <w:tab w:val="left" w:pos="1739"/>
        </w:tabs>
        <w:spacing w:line="249" w:lineRule="auto"/>
        <w:ind w:right="1104" w:firstLine="340"/>
        <w:jc w:val="both"/>
        <w:rPr>
          <w:sz w:val="20"/>
        </w:rPr>
      </w:pPr>
      <w:r>
        <w:rPr>
          <w:sz w:val="20"/>
        </w:rPr>
        <w:t>Cuando los candidatos hubieran acreditado el cumplimiento de los criterios de selección mediante la presentación de la declaración responsable a que se refiere el artículo 140 de la presente Ley, los órganos de contratación podrán exigirles en cualquier momento del período de vigencia del sistema dinámico de adquisición que presenten una nueva declaración responsable renovada y actualizada. La misma deberá ser aportada por el candidato dentro del plazo de cinco días hábiles contados a partir de la fecha en que este</w:t>
      </w:r>
      <w:r>
        <w:rPr>
          <w:spacing w:val="80"/>
          <w:sz w:val="20"/>
        </w:rPr>
        <w:t xml:space="preserve"> </w:t>
      </w:r>
      <w:r>
        <w:rPr>
          <w:sz w:val="20"/>
        </w:rPr>
        <w:t>fue requerido.</w:t>
      </w:r>
    </w:p>
    <w:p w:rsidR="0092635B" w:rsidRDefault="00000000">
      <w:pPr>
        <w:pStyle w:val="Textoindependiente"/>
        <w:spacing w:before="6" w:line="249" w:lineRule="auto"/>
        <w:ind w:right="1106"/>
      </w:pPr>
      <w:r>
        <w:t>Durante todo el período de vigencia del sistema dinámico de adquisición será de aplicación el apartado 3 del artículo 140.</w:t>
      </w:r>
    </w:p>
    <w:p w:rsidR="0092635B" w:rsidRDefault="00000000">
      <w:pPr>
        <w:spacing w:before="228" w:line="249" w:lineRule="auto"/>
        <w:ind w:left="1106" w:right="1120" w:hanging="1"/>
        <w:rPr>
          <w:rFonts w:ascii="Arial" w:hAnsi="Arial"/>
          <w:i/>
          <w:sz w:val="20"/>
        </w:rPr>
      </w:pPr>
      <w:bookmarkStart w:id="351" w:name="Artículo_226._Adjudicación_de_los_contra"/>
      <w:bookmarkEnd w:id="351"/>
      <w:r>
        <w:rPr>
          <w:rFonts w:ascii="Arial" w:hAnsi="Arial"/>
          <w:b/>
          <w:sz w:val="20"/>
        </w:rPr>
        <w:t>Artículo 226.</w:t>
      </w:r>
      <w:r>
        <w:rPr>
          <w:rFonts w:ascii="Arial" w:hAnsi="Arial"/>
          <w:b/>
          <w:spacing w:val="40"/>
          <w:sz w:val="20"/>
        </w:rPr>
        <w:t xml:space="preserve"> </w:t>
      </w:r>
      <w:r>
        <w:rPr>
          <w:rFonts w:ascii="Arial" w:hAnsi="Arial"/>
          <w:i/>
          <w:sz w:val="20"/>
        </w:rPr>
        <w:t>Adjudicación de los contratos específicos en el marco de un sistema dinámico de adquisición.</w:t>
      </w:r>
    </w:p>
    <w:p w:rsidR="0092635B" w:rsidRDefault="00000000">
      <w:pPr>
        <w:pStyle w:val="Prrafodelista"/>
        <w:numPr>
          <w:ilvl w:val="0"/>
          <w:numId w:val="156"/>
        </w:numPr>
        <w:tabs>
          <w:tab w:val="left" w:pos="1707"/>
        </w:tabs>
        <w:spacing w:before="115" w:line="249" w:lineRule="auto"/>
        <w:ind w:right="1105" w:firstLine="340"/>
        <w:jc w:val="both"/>
        <w:rPr>
          <w:sz w:val="20"/>
        </w:rPr>
      </w:pPr>
      <w:r>
        <w:rPr>
          <w:sz w:val="20"/>
        </w:rPr>
        <w:t>Cada contrato que se pretenda adjudicar en el marco de un sistema dinámico de adquisición deberá ser objeto de una licitación.</w:t>
      </w:r>
    </w:p>
    <w:p w:rsidR="0092635B" w:rsidRDefault="00000000">
      <w:pPr>
        <w:pStyle w:val="Textoindependiente"/>
        <w:spacing w:line="249" w:lineRule="auto"/>
        <w:ind w:right="1106"/>
      </w:pPr>
      <w:r>
        <w:t>En aplicación de lo dispuesto en el párrafo anterior, la adjudicación de los contratos específicos en el marco de un sistema dinámico de adquisición se basará en los términos que hayan sido previstos en los pliegos de cláusulas administrativas particulares y de prescripciones técnicas del sistema dinámico de adquisición, que deberán concretarse con mayor</w:t>
      </w:r>
      <w:r>
        <w:rPr>
          <w:spacing w:val="-2"/>
        </w:rPr>
        <w:t xml:space="preserve"> </w:t>
      </w:r>
      <w:r>
        <w:t>precisión</w:t>
      </w:r>
      <w:r>
        <w:rPr>
          <w:spacing w:val="-2"/>
        </w:rPr>
        <w:t xml:space="preserve"> </w:t>
      </w:r>
      <w:r>
        <w:t>con</w:t>
      </w:r>
      <w:r>
        <w:rPr>
          <w:spacing w:val="-2"/>
        </w:rPr>
        <w:t xml:space="preserve"> </w:t>
      </w:r>
      <w:r>
        <w:t>carácter</w:t>
      </w:r>
      <w:r>
        <w:rPr>
          <w:spacing w:val="-2"/>
        </w:rPr>
        <w:t xml:space="preserve"> </w:t>
      </w:r>
      <w:r>
        <w:t>previo</w:t>
      </w:r>
      <w:r>
        <w:rPr>
          <w:spacing w:val="-2"/>
        </w:rPr>
        <w:t xml:space="preserve"> </w:t>
      </w:r>
      <w:r>
        <w:t>a</w:t>
      </w:r>
      <w:r>
        <w:rPr>
          <w:spacing w:val="-2"/>
        </w:rPr>
        <w:t xml:space="preserve"> </w:t>
      </w:r>
      <w:r>
        <w:t>la</w:t>
      </w:r>
      <w:r>
        <w:rPr>
          <w:spacing w:val="-2"/>
        </w:rPr>
        <w:t xml:space="preserve"> </w:t>
      </w:r>
      <w:r>
        <w:t>licitación</w:t>
      </w:r>
      <w:r>
        <w:rPr>
          <w:spacing w:val="-2"/>
        </w:rPr>
        <w:t xml:space="preserve"> </w:t>
      </w:r>
      <w:r>
        <w:t>para</w:t>
      </w:r>
      <w:r>
        <w:rPr>
          <w:spacing w:val="-2"/>
        </w:rPr>
        <w:t xml:space="preserve"> </w:t>
      </w:r>
      <w:r>
        <w:t>la</w:t>
      </w:r>
      <w:r>
        <w:rPr>
          <w:spacing w:val="-2"/>
        </w:rPr>
        <w:t xml:space="preserve"> </w:t>
      </w:r>
      <w:r>
        <w:t>adjudicación</w:t>
      </w:r>
      <w:r>
        <w:rPr>
          <w:spacing w:val="-2"/>
        </w:rPr>
        <w:t xml:space="preserve"> </w:t>
      </w:r>
      <w:r>
        <w:t>del</w:t>
      </w:r>
      <w:r>
        <w:rPr>
          <w:spacing w:val="-2"/>
        </w:rPr>
        <w:t xml:space="preserve"> </w:t>
      </w:r>
      <w:r>
        <w:t>contrato</w:t>
      </w:r>
      <w:r>
        <w:rPr>
          <w:spacing w:val="-2"/>
        </w:rPr>
        <w:t xml:space="preserve"> </w:t>
      </w:r>
      <w:r>
        <w:t>específico en las correspondientes invitaciones.</w:t>
      </w:r>
    </w:p>
    <w:p w:rsidR="0092635B" w:rsidRDefault="00000000">
      <w:pPr>
        <w:pStyle w:val="Prrafodelista"/>
        <w:numPr>
          <w:ilvl w:val="0"/>
          <w:numId w:val="156"/>
        </w:numPr>
        <w:tabs>
          <w:tab w:val="left" w:pos="1732"/>
        </w:tabs>
        <w:spacing w:before="5" w:line="249" w:lineRule="auto"/>
        <w:ind w:right="1104" w:firstLine="340"/>
        <w:jc w:val="both"/>
        <w:rPr>
          <w:sz w:val="20"/>
        </w:rPr>
      </w:pPr>
      <w:r>
        <w:rPr>
          <w:sz w:val="20"/>
        </w:rPr>
        <w:t>Los órganos de contratación invitarán a todas las empresas que hubieran sido previamente</w:t>
      </w:r>
      <w:r>
        <w:rPr>
          <w:spacing w:val="24"/>
          <w:sz w:val="20"/>
        </w:rPr>
        <w:t xml:space="preserve"> </w:t>
      </w:r>
      <w:r>
        <w:rPr>
          <w:sz w:val="20"/>
        </w:rPr>
        <w:t>admitidas</w:t>
      </w:r>
      <w:r>
        <w:rPr>
          <w:spacing w:val="24"/>
          <w:sz w:val="20"/>
        </w:rPr>
        <w:t xml:space="preserve"> </w:t>
      </w:r>
      <w:r>
        <w:rPr>
          <w:sz w:val="20"/>
        </w:rPr>
        <w:t>al</w:t>
      </w:r>
      <w:r>
        <w:rPr>
          <w:spacing w:val="24"/>
          <w:sz w:val="20"/>
        </w:rPr>
        <w:t xml:space="preserve"> </w:t>
      </w:r>
      <w:r>
        <w:rPr>
          <w:sz w:val="20"/>
        </w:rPr>
        <w:t>sistema</w:t>
      </w:r>
      <w:r>
        <w:rPr>
          <w:spacing w:val="24"/>
          <w:sz w:val="20"/>
        </w:rPr>
        <w:t xml:space="preserve"> </w:t>
      </w:r>
      <w:r>
        <w:rPr>
          <w:sz w:val="20"/>
        </w:rPr>
        <w:t>dinámico</w:t>
      </w:r>
      <w:r>
        <w:rPr>
          <w:spacing w:val="24"/>
          <w:sz w:val="20"/>
        </w:rPr>
        <w:t xml:space="preserve"> </w:t>
      </w:r>
      <w:r>
        <w:rPr>
          <w:sz w:val="20"/>
        </w:rPr>
        <w:t>de</w:t>
      </w:r>
      <w:r>
        <w:rPr>
          <w:spacing w:val="24"/>
          <w:sz w:val="20"/>
        </w:rPr>
        <w:t xml:space="preserve"> </w:t>
      </w:r>
      <w:r>
        <w:rPr>
          <w:sz w:val="20"/>
        </w:rPr>
        <w:t>adquisición</w:t>
      </w:r>
      <w:r>
        <w:rPr>
          <w:spacing w:val="24"/>
          <w:sz w:val="20"/>
        </w:rPr>
        <w:t xml:space="preserve"> </w:t>
      </w:r>
      <w:r>
        <w:rPr>
          <w:sz w:val="20"/>
        </w:rPr>
        <w:t>a</w:t>
      </w:r>
      <w:r>
        <w:rPr>
          <w:spacing w:val="24"/>
          <w:sz w:val="20"/>
        </w:rPr>
        <w:t xml:space="preserve"> </w:t>
      </w:r>
      <w:r>
        <w:rPr>
          <w:sz w:val="20"/>
        </w:rPr>
        <w:t>presentar</w:t>
      </w:r>
      <w:r>
        <w:rPr>
          <w:spacing w:val="24"/>
          <w:sz w:val="20"/>
        </w:rPr>
        <w:t xml:space="preserve"> </w:t>
      </w:r>
      <w:r>
        <w:rPr>
          <w:sz w:val="20"/>
        </w:rPr>
        <w:t>una</w:t>
      </w:r>
      <w:r>
        <w:rPr>
          <w:spacing w:val="24"/>
          <w:sz w:val="20"/>
        </w:rPr>
        <w:t xml:space="preserve"> </w:t>
      </w:r>
      <w:r>
        <w:rPr>
          <w:sz w:val="20"/>
        </w:rPr>
        <w:t>oferta</w:t>
      </w:r>
      <w:r>
        <w:rPr>
          <w:spacing w:val="24"/>
          <w:sz w:val="20"/>
        </w:rPr>
        <w:t xml:space="preserve"> </w:t>
      </w:r>
      <w:r>
        <w:rPr>
          <w:sz w:val="20"/>
        </w:rPr>
        <w:t>en</w:t>
      </w:r>
      <w:r>
        <w:rPr>
          <w:spacing w:val="24"/>
          <w:sz w:val="20"/>
        </w:rPr>
        <w:t xml:space="preserve"> </w:t>
      </w:r>
      <w:r>
        <w:rPr>
          <w:sz w:val="20"/>
        </w:rPr>
        <w:t>cada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6" w:hanging="1"/>
      </w:pPr>
      <w:r>
        <w:t>licitación que se celebre en el marco de dicho sistema, con sujeción a lo dispuesto en el apartado 4 del artículo 162 y en el apartado 2 del artículo 163.</w:t>
      </w:r>
    </w:p>
    <w:p w:rsidR="0092635B" w:rsidRDefault="00000000">
      <w:pPr>
        <w:pStyle w:val="Textoindependiente"/>
        <w:spacing w:before="1" w:line="249" w:lineRule="auto"/>
        <w:ind w:right="1102"/>
      </w:pPr>
      <w:r>
        <w:t>Cuando el sistema dinámico de adquisición se hubiera articulado en varias categorías de productos, obras o servicios, los órganos de contratación invitarán a todas las empresas que previamente hubieran sido admitidas en la categoría correspondiente.</w:t>
      </w:r>
    </w:p>
    <w:p w:rsidR="0092635B" w:rsidRDefault="00000000">
      <w:pPr>
        <w:pStyle w:val="Prrafodelista"/>
        <w:numPr>
          <w:ilvl w:val="0"/>
          <w:numId w:val="156"/>
        </w:numPr>
        <w:tabs>
          <w:tab w:val="left" w:pos="1669"/>
        </w:tabs>
        <w:spacing w:before="3" w:line="249" w:lineRule="auto"/>
        <w:ind w:firstLine="340"/>
        <w:jc w:val="both"/>
        <w:rPr>
          <w:sz w:val="20"/>
        </w:rPr>
      </w:pPr>
      <w:r>
        <w:rPr>
          <w:sz w:val="20"/>
        </w:rPr>
        <w:t>El</w:t>
      </w:r>
      <w:r>
        <w:rPr>
          <w:spacing w:val="-1"/>
          <w:sz w:val="20"/>
        </w:rPr>
        <w:t xml:space="preserve"> </w:t>
      </w:r>
      <w:r>
        <w:rPr>
          <w:sz w:val="20"/>
        </w:rPr>
        <w:t>plazo</w:t>
      </w:r>
      <w:r>
        <w:rPr>
          <w:spacing w:val="-1"/>
          <w:sz w:val="20"/>
        </w:rPr>
        <w:t xml:space="preserve"> </w:t>
      </w:r>
      <w:r>
        <w:rPr>
          <w:sz w:val="20"/>
        </w:rPr>
        <w:t>mínimo</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presentación</w:t>
      </w:r>
      <w:r>
        <w:rPr>
          <w:spacing w:val="-1"/>
          <w:sz w:val="20"/>
        </w:rPr>
        <w:t xml:space="preserve"> </w:t>
      </w:r>
      <w:r>
        <w:rPr>
          <w:sz w:val="20"/>
        </w:rPr>
        <w:t>de</w:t>
      </w:r>
      <w:r>
        <w:rPr>
          <w:spacing w:val="-1"/>
          <w:sz w:val="20"/>
        </w:rPr>
        <w:t xml:space="preserve"> </w:t>
      </w:r>
      <w:r>
        <w:rPr>
          <w:sz w:val="20"/>
        </w:rPr>
        <w:t>ofertas</w:t>
      </w:r>
      <w:r>
        <w:rPr>
          <w:spacing w:val="-1"/>
          <w:sz w:val="20"/>
        </w:rPr>
        <w:t xml:space="preserve"> </w:t>
      </w:r>
      <w:r>
        <w:rPr>
          <w:sz w:val="20"/>
        </w:rPr>
        <w:t>será</w:t>
      </w:r>
      <w:r>
        <w:rPr>
          <w:spacing w:val="-1"/>
          <w:sz w:val="20"/>
        </w:rPr>
        <w:t xml:space="preserve"> </w:t>
      </w:r>
      <w:r>
        <w:rPr>
          <w:sz w:val="20"/>
        </w:rPr>
        <w:t>de</w:t>
      </w:r>
      <w:r>
        <w:rPr>
          <w:spacing w:val="-1"/>
          <w:sz w:val="20"/>
        </w:rPr>
        <w:t xml:space="preserve"> </w:t>
      </w:r>
      <w:r>
        <w:rPr>
          <w:sz w:val="20"/>
        </w:rPr>
        <w:t>diez</w:t>
      </w:r>
      <w:r>
        <w:rPr>
          <w:spacing w:val="-1"/>
          <w:sz w:val="20"/>
        </w:rPr>
        <w:t xml:space="preserve"> </w:t>
      </w:r>
      <w:r>
        <w:rPr>
          <w:sz w:val="20"/>
        </w:rPr>
        <w:t>días,</w:t>
      </w:r>
      <w:r>
        <w:rPr>
          <w:spacing w:val="-1"/>
          <w:sz w:val="20"/>
        </w:rPr>
        <w:t xml:space="preserve"> </w:t>
      </w:r>
      <w:r>
        <w:rPr>
          <w:sz w:val="20"/>
        </w:rPr>
        <w:t>contados</w:t>
      </w:r>
      <w:r>
        <w:rPr>
          <w:spacing w:val="-1"/>
          <w:sz w:val="20"/>
        </w:rPr>
        <w:t xml:space="preserve"> </w:t>
      </w:r>
      <w:r>
        <w:rPr>
          <w:sz w:val="20"/>
        </w:rPr>
        <w:t>a</w:t>
      </w:r>
      <w:r>
        <w:rPr>
          <w:spacing w:val="-1"/>
          <w:sz w:val="20"/>
        </w:rPr>
        <w:t xml:space="preserve"> </w:t>
      </w:r>
      <w:r>
        <w:rPr>
          <w:sz w:val="20"/>
        </w:rPr>
        <w:t>partir</w:t>
      </w:r>
      <w:r>
        <w:rPr>
          <w:spacing w:val="-1"/>
          <w:sz w:val="20"/>
        </w:rPr>
        <w:t xml:space="preserve"> </w:t>
      </w:r>
      <w:r>
        <w:rPr>
          <w:sz w:val="20"/>
        </w:rPr>
        <w:t>de la fecha de envío de la invitación escrita.</w:t>
      </w:r>
    </w:p>
    <w:p w:rsidR="0092635B" w:rsidRDefault="00000000">
      <w:pPr>
        <w:pStyle w:val="Prrafodelista"/>
        <w:numPr>
          <w:ilvl w:val="0"/>
          <w:numId w:val="156"/>
        </w:numPr>
        <w:tabs>
          <w:tab w:val="left" w:pos="1675"/>
        </w:tabs>
        <w:spacing w:before="1" w:line="249" w:lineRule="auto"/>
        <w:ind w:firstLine="340"/>
        <w:jc w:val="both"/>
        <w:rPr>
          <w:sz w:val="20"/>
        </w:rPr>
      </w:pPr>
      <w:r>
        <w:rPr>
          <w:sz w:val="20"/>
        </w:rPr>
        <w:t>Los órganos de contratación adjudicarán el contrato específico al licitador que hubiera presentado la mejor oferta, de acuerdo con los criterios de adjudicación detallados en el anuncio de licitación para el sistema dinámico de adquisición. Cuando proceda, estos criterios podrán formularse con más precisión en la invitación a los candidatos. Según lo dispuesto en el artículo 167 letra e), se considerarán irregulares o inaceptables las ofertas que no se ajusten a lo previsto en los pliegos; aquellas que se hayan presentado fuera de plazo; las que muestren indicios de colusión o corrupción; las que hayan sido consideradas anormalmente bajas por el órgano de contratación; o aquellas cuyo precio supere el presupuesto base de licitación.</w:t>
      </w:r>
    </w:p>
    <w:p w:rsidR="0092635B" w:rsidRDefault="0092635B">
      <w:pPr>
        <w:pStyle w:val="Textoindependiente"/>
        <w:spacing w:before="4"/>
        <w:ind w:left="0" w:firstLine="0"/>
        <w:jc w:val="left"/>
      </w:pPr>
    </w:p>
    <w:p w:rsidR="0092635B" w:rsidRDefault="00000000">
      <w:pPr>
        <w:pStyle w:val="Ttulo3"/>
        <w:spacing w:before="1"/>
      </w:pPr>
      <w:bookmarkStart w:id="352" w:name="Sección_4.ª_Centrales_de_contratación"/>
      <w:bookmarkStart w:id="353" w:name="_bookmark64"/>
      <w:bookmarkEnd w:id="352"/>
      <w:bookmarkEnd w:id="353"/>
      <w:r>
        <w:t>Sección</w:t>
      </w:r>
      <w:r>
        <w:rPr>
          <w:spacing w:val="-3"/>
        </w:rPr>
        <w:t xml:space="preserve"> </w:t>
      </w:r>
      <w:r>
        <w:t>4.ª</w:t>
      </w:r>
      <w:r>
        <w:rPr>
          <w:spacing w:val="-3"/>
        </w:rPr>
        <w:t xml:space="preserve"> </w:t>
      </w:r>
      <w:r>
        <w:t>Centrales</w:t>
      </w:r>
      <w:r>
        <w:rPr>
          <w:spacing w:val="-3"/>
        </w:rPr>
        <w:t xml:space="preserve"> </w:t>
      </w:r>
      <w:r>
        <w:t>de</w:t>
      </w:r>
      <w:r>
        <w:rPr>
          <w:spacing w:val="-2"/>
        </w:rPr>
        <w:t xml:space="preserve"> contratación</w:t>
      </w:r>
    </w:p>
    <w:p w:rsidR="0092635B" w:rsidRDefault="0092635B">
      <w:pPr>
        <w:pStyle w:val="Textoindependiente"/>
        <w:spacing w:before="63"/>
        <w:ind w:left="0" w:firstLine="0"/>
        <w:jc w:val="left"/>
        <w:rPr>
          <w:rFonts w:ascii="Arial"/>
          <w:b/>
          <w:i/>
        </w:rPr>
      </w:pPr>
    </w:p>
    <w:p w:rsidR="0092635B" w:rsidRDefault="00000000">
      <w:pPr>
        <w:pStyle w:val="Textoindependiente"/>
        <w:spacing w:before="0"/>
        <w:ind w:left="0" w:firstLine="0"/>
        <w:jc w:val="center"/>
      </w:pPr>
      <w:bookmarkStart w:id="354" w:name="Subsección_1.ª_Normas_generales"/>
      <w:bookmarkStart w:id="355" w:name="_bookmark65"/>
      <w:bookmarkEnd w:id="354"/>
      <w:bookmarkEnd w:id="355"/>
      <w:r>
        <w:t>Subsección</w:t>
      </w:r>
      <w:r>
        <w:rPr>
          <w:spacing w:val="-4"/>
        </w:rPr>
        <w:t xml:space="preserve"> </w:t>
      </w:r>
      <w:r>
        <w:t>1.ª</w:t>
      </w:r>
      <w:r>
        <w:rPr>
          <w:spacing w:val="-4"/>
        </w:rPr>
        <w:t xml:space="preserve"> </w:t>
      </w:r>
      <w:r>
        <w:t>Normas</w:t>
      </w:r>
      <w:r>
        <w:rPr>
          <w:spacing w:val="-3"/>
        </w:rPr>
        <w:t xml:space="preserve"> </w:t>
      </w:r>
      <w:r>
        <w:rPr>
          <w:spacing w:val="-2"/>
        </w:rPr>
        <w:t>generales</w:t>
      </w:r>
    </w:p>
    <w:p w:rsidR="0092635B" w:rsidRDefault="0092635B">
      <w:pPr>
        <w:pStyle w:val="Textoindependiente"/>
        <w:spacing w:before="7"/>
        <w:ind w:left="0" w:firstLine="0"/>
        <w:jc w:val="left"/>
      </w:pPr>
    </w:p>
    <w:p w:rsidR="0092635B" w:rsidRDefault="00000000">
      <w:pPr>
        <w:ind w:left="1106"/>
        <w:jc w:val="both"/>
        <w:rPr>
          <w:rFonts w:ascii="Arial" w:hAnsi="Arial"/>
          <w:i/>
          <w:sz w:val="20"/>
        </w:rPr>
      </w:pPr>
      <w:bookmarkStart w:id="356" w:name="Artículo_227._Funcionalidad_y_principios"/>
      <w:bookmarkEnd w:id="356"/>
      <w:r>
        <w:rPr>
          <w:rFonts w:ascii="Arial" w:hAnsi="Arial"/>
          <w:b/>
          <w:sz w:val="20"/>
        </w:rPr>
        <w:t>Artículo</w:t>
      </w:r>
      <w:r>
        <w:rPr>
          <w:rFonts w:ascii="Arial" w:hAnsi="Arial"/>
          <w:b/>
          <w:spacing w:val="-2"/>
          <w:sz w:val="20"/>
        </w:rPr>
        <w:t xml:space="preserve"> </w:t>
      </w:r>
      <w:r>
        <w:rPr>
          <w:rFonts w:ascii="Arial" w:hAnsi="Arial"/>
          <w:b/>
          <w:sz w:val="20"/>
        </w:rPr>
        <w:t>227.</w:t>
      </w:r>
      <w:r>
        <w:rPr>
          <w:rFonts w:ascii="Arial" w:hAnsi="Arial"/>
          <w:b/>
          <w:spacing w:val="50"/>
          <w:sz w:val="20"/>
        </w:rPr>
        <w:t xml:space="preserve"> </w:t>
      </w:r>
      <w:r>
        <w:rPr>
          <w:rFonts w:ascii="Arial" w:hAnsi="Arial"/>
          <w:i/>
          <w:sz w:val="20"/>
        </w:rPr>
        <w:t>Funcionalidad</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principios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actuación.</w:t>
      </w:r>
    </w:p>
    <w:p w:rsidR="0092635B" w:rsidRDefault="00000000">
      <w:pPr>
        <w:pStyle w:val="Prrafodelista"/>
        <w:numPr>
          <w:ilvl w:val="0"/>
          <w:numId w:val="155"/>
        </w:numPr>
        <w:tabs>
          <w:tab w:val="left" w:pos="1678"/>
        </w:tabs>
        <w:spacing w:before="123" w:line="249" w:lineRule="auto"/>
        <w:ind w:firstLine="340"/>
        <w:jc w:val="both"/>
        <w:rPr>
          <w:sz w:val="20"/>
        </w:rPr>
      </w:pPr>
      <w:r>
        <w:rPr>
          <w:sz w:val="20"/>
        </w:rPr>
        <w:t>Las entidades del sector público podrán centralizar la contratación de obras, servicios</w:t>
      </w:r>
      <w:r>
        <w:rPr>
          <w:spacing w:val="40"/>
          <w:sz w:val="20"/>
        </w:rPr>
        <w:t xml:space="preserve"> </w:t>
      </w:r>
      <w:r>
        <w:rPr>
          <w:sz w:val="20"/>
        </w:rPr>
        <w:t>y suministros, atribuyéndola a servicios especializados.</w:t>
      </w:r>
    </w:p>
    <w:p w:rsidR="0092635B" w:rsidRDefault="00000000">
      <w:pPr>
        <w:pStyle w:val="Prrafodelista"/>
        <w:numPr>
          <w:ilvl w:val="0"/>
          <w:numId w:val="155"/>
        </w:numPr>
        <w:tabs>
          <w:tab w:val="left" w:pos="1682"/>
        </w:tabs>
        <w:spacing w:line="249" w:lineRule="auto"/>
        <w:ind w:firstLine="340"/>
        <w:jc w:val="both"/>
        <w:rPr>
          <w:sz w:val="20"/>
        </w:rPr>
      </w:pPr>
      <w:r>
        <w:rPr>
          <w:sz w:val="20"/>
        </w:rPr>
        <w:t>Las centrales de contratación actuarán adquiriendo suministros y servicios para otros entes del sector público, o adjudicando contratos o celebrando acuerdos marco y sistemas dinámicos de adquisición para la realización de obras, suministros o servicios destinados a los mismos.</w:t>
      </w:r>
    </w:p>
    <w:p w:rsidR="0092635B" w:rsidRDefault="00000000">
      <w:pPr>
        <w:pStyle w:val="Prrafodelista"/>
        <w:numPr>
          <w:ilvl w:val="0"/>
          <w:numId w:val="155"/>
        </w:numPr>
        <w:tabs>
          <w:tab w:val="left" w:pos="1727"/>
        </w:tabs>
        <w:spacing w:before="3" w:line="249" w:lineRule="auto"/>
        <w:ind w:firstLine="340"/>
        <w:jc w:val="both"/>
        <w:rPr>
          <w:sz w:val="20"/>
        </w:rPr>
      </w:pPr>
      <w:r>
        <w:rPr>
          <w:sz w:val="20"/>
        </w:rPr>
        <w:t>Las centrales de contratación se sujetarán, en la adjudicación de los contratos, acuerdos marco y sistemas dinámicos de adquisición que celebren, a las disposiciones de la presente Ley y sus normas de desarrollo.</w:t>
      </w:r>
    </w:p>
    <w:p w:rsidR="0092635B" w:rsidRDefault="00000000">
      <w:pPr>
        <w:pStyle w:val="Prrafodelista"/>
        <w:numPr>
          <w:ilvl w:val="0"/>
          <w:numId w:val="155"/>
        </w:numPr>
        <w:tabs>
          <w:tab w:val="left" w:pos="1724"/>
        </w:tabs>
        <w:spacing w:before="3" w:line="249" w:lineRule="auto"/>
        <w:ind w:firstLine="340"/>
        <w:jc w:val="both"/>
        <w:rPr>
          <w:sz w:val="20"/>
        </w:rPr>
      </w:pPr>
      <w:r>
        <w:rPr>
          <w:sz w:val="20"/>
        </w:rPr>
        <w:t>En los acuerdos marco de contratación centralizada podrán celebrarse contratos basados entre las empresas y entes del sector público parte del acuerdo marco, así como</w:t>
      </w:r>
      <w:r>
        <w:rPr>
          <w:spacing w:val="40"/>
          <w:sz w:val="20"/>
        </w:rPr>
        <w:t xml:space="preserve"> </w:t>
      </w:r>
      <w:r>
        <w:rPr>
          <w:sz w:val="20"/>
        </w:rPr>
        <w:t>por otros entes del sector público, siempre que dichos entes, entidades u organismos se hubieran identificado en el pliego regulador del acuerdo marco, y se hubiera hecho constar esta circunstancia en la convocatoria de licitación.</w:t>
      </w:r>
    </w:p>
    <w:p w:rsidR="0092635B" w:rsidRDefault="0092635B">
      <w:pPr>
        <w:pStyle w:val="Textoindependiente"/>
        <w:spacing w:before="0"/>
        <w:ind w:left="0" w:firstLine="0"/>
        <w:jc w:val="left"/>
      </w:pPr>
    </w:p>
    <w:p w:rsidR="0092635B" w:rsidRDefault="00000000">
      <w:pPr>
        <w:spacing w:before="1" w:line="249" w:lineRule="auto"/>
        <w:ind w:left="1106" w:right="1103"/>
        <w:jc w:val="both"/>
        <w:rPr>
          <w:rFonts w:ascii="Arial" w:hAnsi="Arial"/>
          <w:i/>
          <w:sz w:val="20"/>
        </w:rPr>
      </w:pPr>
      <w:bookmarkStart w:id="357" w:name="Artículo_228._Creación_de_centrales_de_c"/>
      <w:bookmarkEnd w:id="357"/>
      <w:r>
        <w:rPr>
          <w:rFonts w:ascii="Arial" w:hAnsi="Arial"/>
          <w:b/>
          <w:sz w:val="20"/>
        </w:rPr>
        <w:t>Artículo 228.</w:t>
      </w:r>
      <w:r>
        <w:rPr>
          <w:rFonts w:ascii="Arial" w:hAnsi="Arial"/>
          <w:b/>
          <w:spacing w:val="40"/>
          <w:sz w:val="20"/>
        </w:rPr>
        <w:t xml:space="preserve"> </w:t>
      </w:r>
      <w:r>
        <w:rPr>
          <w:rFonts w:ascii="Arial" w:hAnsi="Arial"/>
          <w:i/>
          <w:sz w:val="20"/>
        </w:rPr>
        <w:t>Creación de centrales de contratación por las Comunidades Autónomas y Entidades Locales.</w:t>
      </w:r>
    </w:p>
    <w:p w:rsidR="0092635B" w:rsidRDefault="00000000">
      <w:pPr>
        <w:pStyle w:val="Prrafodelista"/>
        <w:numPr>
          <w:ilvl w:val="0"/>
          <w:numId w:val="154"/>
        </w:numPr>
        <w:tabs>
          <w:tab w:val="left" w:pos="1674"/>
        </w:tabs>
        <w:spacing w:before="115" w:line="249" w:lineRule="auto"/>
        <w:ind w:firstLine="340"/>
        <w:jc w:val="both"/>
        <w:rPr>
          <w:sz w:val="20"/>
        </w:rPr>
      </w:pPr>
      <w:r>
        <w:rPr>
          <w:sz w:val="20"/>
        </w:rPr>
        <w:t>La creación de centrales de contratación por las Comunidades Autónomas y el ámbito subjetivo a que se extienden, se efectuará en la forma que prevean las normas de desarrollo de esta Ley que aquellas dicten en ejercicio de sus competencias.</w:t>
      </w:r>
    </w:p>
    <w:p w:rsidR="0092635B" w:rsidRDefault="00000000">
      <w:pPr>
        <w:pStyle w:val="Prrafodelista"/>
        <w:numPr>
          <w:ilvl w:val="0"/>
          <w:numId w:val="154"/>
        </w:numPr>
        <w:tabs>
          <w:tab w:val="left" w:pos="1680"/>
        </w:tabs>
        <w:spacing w:line="249" w:lineRule="auto"/>
        <w:ind w:firstLine="340"/>
        <w:jc w:val="both"/>
        <w:rPr>
          <w:sz w:val="20"/>
        </w:rPr>
      </w:pPr>
      <w:r>
        <w:rPr>
          <w:sz w:val="20"/>
        </w:rPr>
        <w:t>Sin perjuicio de lo dispuesto en el apartado 10 de la Disposición adicional tercera, en</w:t>
      </w:r>
      <w:r>
        <w:rPr>
          <w:spacing w:val="40"/>
          <w:sz w:val="20"/>
        </w:rPr>
        <w:t xml:space="preserve"> </w:t>
      </w:r>
      <w:r>
        <w:rPr>
          <w:sz w:val="20"/>
        </w:rPr>
        <w:t>el ámbito de la Administración Local, las Corporaciones Locales podrán crear centrales de contratación por acuerdo del Pleno. Las Ciudades Autónomas de Ceuta y Melilla también podrán crear sus propias centrales de contratación.</w:t>
      </w:r>
    </w:p>
    <w:p w:rsidR="0092635B" w:rsidRDefault="00000000">
      <w:pPr>
        <w:pStyle w:val="Prrafodelista"/>
        <w:numPr>
          <w:ilvl w:val="0"/>
          <w:numId w:val="154"/>
        </w:numPr>
        <w:tabs>
          <w:tab w:val="left" w:pos="1681"/>
        </w:tabs>
        <w:spacing w:before="3" w:line="249" w:lineRule="auto"/>
        <w:ind w:firstLine="340"/>
        <w:jc w:val="both"/>
        <w:rPr>
          <w:sz w:val="20"/>
        </w:rPr>
      </w:pPr>
      <w:r>
        <w:rPr>
          <w:sz w:val="20"/>
        </w:rPr>
        <w:t>Mediante los correspondientes acuerdos, las Comunidades Autónomas, las Ciudades Autónomas de Ceuta y Melilla y las Entidades locales así como los organismos y entidades dependientes de los anteriores, podrán adherirse a sistemas de adquisición centralizada de otras entidades del sector público incluidas en el ámbito de aplicación de esta Ley. La adhesión al sistema estatal de contratación centralizada, se efectuará de acuerdo con lo dispuesto en los apartados 2, 3 y 4 del artículo 229 de la presente Ley. En ningún caso una misma Administración, ente u organismo podrá contratar la provisión de la misma prestación a través de varias centrales de contratación.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left="4132" w:right="419" w:hanging="2687"/>
        <w:jc w:val="left"/>
      </w:pPr>
      <w:bookmarkStart w:id="358" w:name="Subsección_2.ª_Contratación_centralizada"/>
      <w:bookmarkStart w:id="359" w:name="_bookmark66"/>
      <w:bookmarkEnd w:id="358"/>
      <w:bookmarkEnd w:id="359"/>
      <w:r>
        <w:t>Subsección</w:t>
      </w:r>
      <w:r>
        <w:rPr>
          <w:spacing w:val="36"/>
        </w:rPr>
        <w:t xml:space="preserve"> </w:t>
      </w:r>
      <w:r>
        <w:t>2.ª</w:t>
      </w:r>
      <w:r>
        <w:rPr>
          <w:spacing w:val="36"/>
        </w:rPr>
        <w:t xml:space="preserve"> </w:t>
      </w:r>
      <w:r>
        <w:t>Contratación</w:t>
      </w:r>
      <w:r>
        <w:rPr>
          <w:spacing w:val="36"/>
        </w:rPr>
        <w:t xml:space="preserve"> </w:t>
      </w:r>
      <w:r>
        <w:t>centralizada</w:t>
      </w:r>
      <w:r>
        <w:rPr>
          <w:spacing w:val="36"/>
        </w:rPr>
        <w:t xml:space="preserve"> </w:t>
      </w:r>
      <w:r>
        <w:t>en</w:t>
      </w:r>
      <w:r>
        <w:rPr>
          <w:spacing w:val="36"/>
        </w:rPr>
        <w:t xml:space="preserve"> </w:t>
      </w:r>
      <w:r>
        <w:t>el</w:t>
      </w:r>
      <w:r>
        <w:rPr>
          <w:spacing w:val="36"/>
        </w:rPr>
        <w:t xml:space="preserve"> </w:t>
      </w:r>
      <w:r>
        <w:t>ámbito</w:t>
      </w:r>
      <w:r>
        <w:rPr>
          <w:spacing w:val="36"/>
        </w:rPr>
        <w:t xml:space="preserve"> </w:t>
      </w:r>
      <w:r>
        <w:t>estatal.</w:t>
      </w:r>
      <w:r>
        <w:rPr>
          <w:spacing w:val="36"/>
        </w:rPr>
        <w:t xml:space="preserve"> </w:t>
      </w:r>
      <w:r>
        <w:t>Sistema</w:t>
      </w:r>
      <w:r>
        <w:rPr>
          <w:spacing w:val="36"/>
        </w:rPr>
        <w:t xml:space="preserve"> </w:t>
      </w:r>
      <w:r>
        <w:t>estatal</w:t>
      </w:r>
      <w:r>
        <w:rPr>
          <w:spacing w:val="36"/>
        </w:rPr>
        <w:t xml:space="preserve"> </w:t>
      </w:r>
      <w:r>
        <w:t>de contratación centralizada</w:t>
      </w:r>
    </w:p>
    <w:p w:rsidR="0092635B" w:rsidRDefault="00000000">
      <w:pPr>
        <w:spacing w:before="228"/>
        <w:ind w:left="1106"/>
        <w:rPr>
          <w:rFonts w:ascii="Arial" w:hAnsi="Arial"/>
          <w:i/>
          <w:sz w:val="20"/>
        </w:rPr>
      </w:pPr>
      <w:bookmarkStart w:id="360" w:name="Artículo_229._Régimen_general."/>
      <w:bookmarkEnd w:id="360"/>
      <w:r>
        <w:rPr>
          <w:rFonts w:ascii="Arial" w:hAnsi="Arial"/>
          <w:b/>
          <w:sz w:val="20"/>
        </w:rPr>
        <w:t>Artículo</w:t>
      </w:r>
      <w:r>
        <w:rPr>
          <w:rFonts w:ascii="Arial" w:hAnsi="Arial"/>
          <w:b/>
          <w:spacing w:val="-2"/>
          <w:sz w:val="20"/>
        </w:rPr>
        <w:t xml:space="preserve"> </w:t>
      </w:r>
      <w:r>
        <w:rPr>
          <w:rFonts w:ascii="Arial" w:hAnsi="Arial"/>
          <w:b/>
          <w:sz w:val="20"/>
        </w:rPr>
        <w:t>229.</w:t>
      </w:r>
      <w:r>
        <w:rPr>
          <w:rFonts w:ascii="Arial" w:hAnsi="Arial"/>
          <w:b/>
          <w:spacing w:val="51"/>
          <w:sz w:val="20"/>
        </w:rPr>
        <w:t xml:space="preserve"> </w:t>
      </w:r>
      <w:r>
        <w:rPr>
          <w:rFonts w:ascii="Arial" w:hAnsi="Arial"/>
          <w:i/>
          <w:sz w:val="20"/>
        </w:rPr>
        <w:t>Régimen</w:t>
      </w:r>
      <w:r>
        <w:rPr>
          <w:rFonts w:ascii="Arial" w:hAnsi="Arial"/>
          <w:i/>
          <w:spacing w:val="-1"/>
          <w:sz w:val="20"/>
        </w:rPr>
        <w:t xml:space="preserve"> </w:t>
      </w:r>
      <w:r>
        <w:rPr>
          <w:rFonts w:ascii="Arial" w:hAnsi="Arial"/>
          <w:i/>
          <w:spacing w:val="-2"/>
          <w:sz w:val="20"/>
        </w:rPr>
        <w:t>general.</w:t>
      </w:r>
    </w:p>
    <w:p w:rsidR="0092635B" w:rsidRDefault="00000000">
      <w:pPr>
        <w:pStyle w:val="Prrafodelista"/>
        <w:numPr>
          <w:ilvl w:val="0"/>
          <w:numId w:val="153"/>
        </w:numPr>
        <w:tabs>
          <w:tab w:val="left" w:pos="1673"/>
        </w:tabs>
        <w:spacing w:before="123" w:line="249" w:lineRule="auto"/>
        <w:ind w:right="1104" w:firstLine="340"/>
        <w:jc w:val="both"/>
        <w:rPr>
          <w:sz w:val="20"/>
        </w:rPr>
      </w:pPr>
      <w:r>
        <w:rPr>
          <w:sz w:val="20"/>
        </w:rPr>
        <w:t>El Ministro de Hacienda y Función Pública podrá declarar de contratación centralizada los suministros, obras y servicios que se contraten de forma general y con características esencialmente homogéneas determinando las condiciones en las que se producirá el</w:t>
      </w:r>
      <w:r>
        <w:rPr>
          <w:spacing w:val="40"/>
          <w:sz w:val="20"/>
        </w:rPr>
        <w:t xml:space="preserve"> </w:t>
      </w:r>
      <w:r>
        <w:rPr>
          <w:sz w:val="20"/>
        </w:rPr>
        <w:t>proceso de centralización.</w:t>
      </w:r>
    </w:p>
    <w:p w:rsidR="0092635B" w:rsidRDefault="00000000">
      <w:pPr>
        <w:pStyle w:val="Prrafodelista"/>
        <w:numPr>
          <w:ilvl w:val="0"/>
          <w:numId w:val="153"/>
        </w:numPr>
        <w:tabs>
          <w:tab w:val="left" w:pos="1689"/>
        </w:tabs>
        <w:spacing w:before="4" w:line="249" w:lineRule="auto"/>
        <w:ind w:firstLine="340"/>
        <w:jc w:val="both"/>
        <w:rPr>
          <w:sz w:val="20"/>
        </w:rPr>
      </w:pPr>
      <w:r>
        <w:rPr>
          <w:sz w:val="20"/>
        </w:rPr>
        <w:t>La declaración a que se refiere el apartado anterior implicará que la contratación de</w:t>
      </w:r>
      <w:r>
        <w:rPr>
          <w:spacing w:val="40"/>
          <w:sz w:val="20"/>
        </w:rPr>
        <w:t xml:space="preserve"> </w:t>
      </w:r>
      <w:r>
        <w:rPr>
          <w:sz w:val="20"/>
        </w:rPr>
        <w:t>los suministros, obras y servicios en ella incluidos deberá efectuarse, con carácter</w:t>
      </w:r>
      <w:r>
        <w:rPr>
          <w:spacing w:val="40"/>
          <w:sz w:val="20"/>
        </w:rPr>
        <w:t xml:space="preserve"> </w:t>
      </w:r>
      <w:r>
        <w:rPr>
          <w:sz w:val="20"/>
        </w:rPr>
        <w:t>obligatorio, a través del sistema estatal de contratación centralizada por los entes, entidades y organismos indicados en las letras a), b), c), d) y g) del apartado 1.º del artículo 3 de la presente ley que pertenezcan al sector público estatal, salvo que los contratos hayan sido declarados de carácter secreto o reservado de acuerdo con lo dispuesto en la legislación reguladora de los secretos oficiales.</w:t>
      </w:r>
    </w:p>
    <w:p w:rsidR="0092635B" w:rsidRDefault="00000000">
      <w:pPr>
        <w:pStyle w:val="Prrafodelista"/>
        <w:numPr>
          <w:ilvl w:val="0"/>
          <w:numId w:val="153"/>
        </w:numPr>
        <w:tabs>
          <w:tab w:val="left" w:pos="1677"/>
        </w:tabs>
        <w:spacing w:before="5" w:line="249" w:lineRule="auto"/>
        <w:ind w:firstLine="340"/>
        <w:jc w:val="both"/>
        <w:rPr>
          <w:sz w:val="20"/>
        </w:rPr>
      </w:pPr>
      <w:r>
        <w:rPr>
          <w:sz w:val="20"/>
        </w:rPr>
        <w:t>El resto de entidades del sector público podrán solicitar la adhesión al sistema estatal de contratación centralizada a la Dirección General de Racionalización y Centralización de la Contratación del Ministerio de Hacienda y Función Pública, a quien compete adoptar el correspondiente acuerdo de adhesión, lo que posibilitará, en su caso, la contratación de las obras, suministros y servicios declarados de contratación centralizada a través del citado sistema, siempre que el régimen presupuestario de la entidad solicitante, así como la planificación y gestión de la contratación centralizada del correspondiente suministro,</w:t>
      </w:r>
      <w:r>
        <w:rPr>
          <w:spacing w:val="40"/>
          <w:sz w:val="20"/>
        </w:rPr>
        <w:t xml:space="preserve"> </w:t>
      </w:r>
      <w:r>
        <w:rPr>
          <w:sz w:val="20"/>
        </w:rPr>
        <w:t>servicio u obra permitan la extensión a otras entidades.</w:t>
      </w:r>
    </w:p>
    <w:p w:rsidR="0092635B" w:rsidRDefault="00000000">
      <w:pPr>
        <w:pStyle w:val="Prrafodelista"/>
        <w:numPr>
          <w:ilvl w:val="0"/>
          <w:numId w:val="153"/>
        </w:numPr>
        <w:tabs>
          <w:tab w:val="left" w:pos="1670"/>
        </w:tabs>
        <w:spacing w:before="7" w:line="249" w:lineRule="auto"/>
        <w:ind w:firstLine="340"/>
        <w:jc w:val="both"/>
        <w:rPr>
          <w:sz w:val="20"/>
        </w:rPr>
      </w:pPr>
      <w:r>
        <w:rPr>
          <w:sz w:val="20"/>
        </w:rPr>
        <w:t>El</w:t>
      </w:r>
      <w:r>
        <w:rPr>
          <w:spacing w:val="-1"/>
          <w:sz w:val="20"/>
        </w:rPr>
        <w:t xml:space="preserve"> </w:t>
      </w:r>
      <w:r>
        <w:rPr>
          <w:sz w:val="20"/>
        </w:rPr>
        <w:t>contenido</w:t>
      </w:r>
      <w:r>
        <w:rPr>
          <w:spacing w:val="-1"/>
          <w:sz w:val="20"/>
        </w:rPr>
        <w:t xml:space="preserve"> </w:t>
      </w:r>
      <w:r>
        <w:rPr>
          <w:sz w:val="20"/>
        </w:rPr>
        <w:t>y</w:t>
      </w:r>
      <w:r>
        <w:rPr>
          <w:spacing w:val="-1"/>
          <w:sz w:val="20"/>
        </w:rPr>
        <w:t xml:space="preserve"> </w:t>
      </w:r>
      <w:r>
        <w:rPr>
          <w:sz w:val="20"/>
        </w:rPr>
        <w:t>procedimiento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acuerdos</w:t>
      </w:r>
      <w:r>
        <w:rPr>
          <w:spacing w:val="-1"/>
          <w:sz w:val="20"/>
        </w:rPr>
        <w:t xml:space="preserve"> </w:t>
      </w:r>
      <w:r>
        <w:rPr>
          <w:sz w:val="20"/>
        </w:rPr>
        <w:t>de</w:t>
      </w:r>
      <w:r>
        <w:rPr>
          <w:spacing w:val="-1"/>
          <w:sz w:val="20"/>
        </w:rPr>
        <w:t xml:space="preserve"> </w:t>
      </w:r>
      <w:r>
        <w:rPr>
          <w:sz w:val="20"/>
        </w:rPr>
        <w:t>adhesión</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w:t>
      </w:r>
      <w:r>
        <w:rPr>
          <w:spacing w:val="-1"/>
          <w:sz w:val="20"/>
        </w:rPr>
        <w:t xml:space="preserve"> </w:t>
      </w:r>
      <w:r>
        <w:rPr>
          <w:sz w:val="20"/>
        </w:rPr>
        <w:t>el</w:t>
      </w:r>
      <w:r>
        <w:rPr>
          <w:spacing w:val="-1"/>
          <w:sz w:val="20"/>
        </w:rPr>
        <w:t xml:space="preserve"> </w:t>
      </w:r>
      <w:r>
        <w:rPr>
          <w:sz w:val="20"/>
        </w:rPr>
        <w:t>apartado anterior, así como los criterios para determinar su alcance, se establecerán mediante Orden del Ministro de Hacienda y Función Pública.</w:t>
      </w:r>
    </w:p>
    <w:p w:rsidR="0092635B" w:rsidRDefault="00000000">
      <w:pPr>
        <w:pStyle w:val="Prrafodelista"/>
        <w:numPr>
          <w:ilvl w:val="0"/>
          <w:numId w:val="153"/>
        </w:numPr>
        <w:tabs>
          <w:tab w:val="left" w:pos="1679"/>
        </w:tabs>
        <w:spacing w:before="3" w:line="249" w:lineRule="auto"/>
        <w:ind w:right="1104" w:firstLine="340"/>
        <w:jc w:val="both"/>
        <w:rPr>
          <w:sz w:val="20"/>
        </w:rPr>
      </w:pPr>
      <w:r>
        <w:rPr>
          <w:sz w:val="20"/>
        </w:rPr>
        <w:t>El órgano de contratación del sistema estatal de contratación centralizada es la Junta de Contratación Centralizada, adscrita a la Dirección General de Racionalización y Centralización de la Contratación del Ministerio de Hacienda y Función Pública, sin perjuicio de lo dispuesto en el apartado 6 siguiente sobre la competencia para contratar en el caso de contratos basados cuyos destinatarios sean entidades adheridas.</w:t>
      </w:r>
    </w:p>
    <w:p w:rsidR="0092635B" w:rsidRDefault="00000000">
      <w:pPr>
        <w:pStyle w:val="Textoindependiente"/>
        <w:spacing w:before="4" w:line="249" w:lineRule="auto"/>
        <w:ind w:right="1104"/>
      </w:pPr>
      <w:r>
        <w:t>La Dirección General de Racionalización y Centralización de la Contratación prestará el apoyo técnico necesario para el adecuado funcionamiento del sistema estatal de</w:t>
      </w:r>
      <w:r>
        <w:rPr>
          <w:spacing w:val="40"/>
        </w:rPr>
        <w:t xml:space="preserve"> </w:t>
      </w:r>
      <w:r>
        <w:t xml:space="preserve">contratación centralizada y ejercerá el resto de funciones que le atribuya el ordenamiento </w:t>
      </w:r>
      <w:r>
        <w:rPr>
          <w:spacing w:val="-2"/>
        </w:rPr>
        <w:t>jurídico.</w:t>
      </w:r>
    </w:p>
    <w:p w:rsidR="0092635B" w:rsidRDefault="00000000">
      <w:pPr>
        <w:pStyle w:val="Prrafodelista"/>
        <w:numPr>
          <w:ilvl w:val="0"/>
          <w:numId w:val="153"/>
        </w:numPr>
        <w:tabs>
          <w:tab w:val="left" w:pos="1726"/>
        </w:tabs>
        <w:spacing w:before="3" w:line="249" w:lineRule="auto"/>
        <w:ind w:firstLine="340"/>
        <w:jc w:val="both"/>
        <w:rPr>
          <w:sz w:val="20"/>
        </w:rPr>
      </w:pPr>
      <w:r>
        <w:rPr>
          <w:sz w:val="20"/>
        </w:rPr>
        <w:t>El órgano de contratación para la adjudicación de los contratos basados en un acuerdo marco o de los contratos adjudicados en el marco de un sistema dinámico de adquisición cuyo destinatario fuera una Administración, organismo o entidad adherida, será</w:t>
      </w:r>
      <w:r>
        <w:rPr>
          <w:spacing w:val="40"/>
          <w:sz w:val="20"/>
        </w:rPr>
        <w:t xml:space="preserve"> </w:t>
      </w:r>
      <w:r>
        <w:rPr>
          <w:sz w:val="20"/>
        </w:rPr>
        <w:t xml:space="preserve">el previsto en las normas generales aplicables a dichas Administraciones, organismos o </w:t>
      </w:r>
      <w:r>
        <w:rPr>
          <w:spacing w:val="-2"/>
          <w:sz w:val="20"/>
        </w:rPr>
        <w:t>entidades.</w:t>
      </w:r>
    </w:p>
    <w:p w:rsidR="0092635B" w:rsidRDefault="00000000">
      <w:pPr>
        <w:pStyle w:val="Textoindependiente"/>
        <w:spacing w:before="4" w:line="249" w:lineRule="auto"/>
        <w:ind w:right="1103"/>
      </w:pPr>
      <w:r>
        <w:t>La adhesión a un acuerdo marco o sistema dinámico de adquisición implicará el compromiso</w:t>
      </w:r>
      <w:r>
        <w:rPr>
          <w:spacing w:val="-2"/>
        </w:rPr>
        <w:t xml:space="preserve"> </w:t>
      </w:r>
      <w:r>
        <w:t>de</w:t>
      </w:r>
      <w:r>
        <w:rPr>
          <w:spacing w:val="-2"/>
        </w:rPr>
        <w:t xml:space="preserve"> </w:t>
      </w:r>
      <w:r>
        <w:t>la</w:t>
      </w:r>
      <w:r>
        <w:rPr>
          <w:spacing w:val="-2"/>
        </w:rPr>
        <w:t xml:space="preserve"> </w:t>
      </w:r>
      <w:r>
        <w:t>entidad</w:t>
      </w:r>
      <w:r>
        <w:rPr>
          <w:spacing w:val="-2"/>
        </w:rPr>
        <w:t xml:space="preserve"> </w:t>
      </w:r>
      <w:r>
        <w:t>adherida</w:t>
      </w:r>
      <w:r>
        <w:rPr>
          <w:spacing w:val="-2"/>
        </w:rPr>
        <w:t xml:space="preserve"> </w:t>
      </w:r>
      <w:r>
        <w:t>de</w:t>
      </w:r>
      <w:r>
        <w:rPr>
          <w:spacing w:val="-2"/>
        </w:rPr>
        <w:t xml:space="preserve"> </w:t>
      </w:r>
      <w:r>
        <w:t>cumplir</w:t>
      </w:r>
      <w:r>
        <w:rPr>
          <w:spacing w:val="-2"/>
        </w:rPr>
        <w:t xml:space="preserve"> </w:t>
      </w:r>
      <w:r>
        <w:t>los</w:t>
      </w:r>
      <w:r>
        <w:rPr>
          <w:spacing w:val="-2"/>
        </w:rPr>
        <w:t xml:space="preserve"> </w:t>
      </w:r>
      <w:r>
        <w:t>términos</w:t>
      </w:r>
      <w:r>
        <w:rPr>
          <w:spacing w:val="-2"/>
        </w:rPr>
        <w:t xml:space="preserve"> </w:t>
      </w:r>
      <w:r>
        <w:t>y</w:t>
      </w:r>
      <w:r>
        <w:rPr>
          <w:spacing w:val="-2"/>
        </w:rPr>
        <w:t xml:space="preserve"> </w:t>
      </w:r>
      <w:r>
        <w:t>condiciones</w:t>
      </w:r>
      <w:r>
        <w:rPr>
          <w:spacing w:val="-2"/>
        </w:rPr>
        <w:t xml:space="preserve"> </w:t>
      </w:r>
      <w:r>
        <w:t>establecidos</w:t>
      </w:r>
      <w:r>
        <w:rPr>
          <w:spacing w:val="-2"/>
        </w:rPr>
        <w:t xml:space="preserve"> </w:t>
      </w:r>
      <w:r>
        <w:t>en</w:t>
      </w:r>
      <w:r>
        <w:rPr>
          <w:spacing w:val="-2"/>
        </w:rPr>
        <w:t xml:space="preserve"> </w:t>
      </w:r>
      <w:r>
        <w:t>los pliegos que rigen el acuerdo marco o sistema dinámico de adquisición, así como las instrucciones que la Junta de Contratación Centralizada dicte para la licitación, adjudicación</w:t>
      </w:r>
      <w:r>
        <w:rPr>
          <w:spacing w:val="40"/>
        </w:rPr>
        <w:t xml:space="preserve"> </w:t>
      </w:r>
      <w:r>
        <w:t>y ejecución de los contratos basados o de los contratos específicos tramitados por las entidades adheridas.</w:t>
      </w:r>
    </w:p>
    <w:p w:rsidR="0092635B" w:rsidRDefault="00000000">
      <w:pPr>
        <w:pStyle w:val="Textoindependiente"/>
        <w:spacing w:before="5" w:line="249" w:lineRule="auto"/>
        <w:ind w:right="1103"/>
      </w:pPr>
      <w:r>
        <w:t>La Junta de Contratación Centralizada podrá establecer, para cada acuerdo marco y sistema dinámico de adquisición, las medidas que considere adecuadas para velar por la correcta aplicación por las entidades adheridas de los términos, condiciones e instrucciones que lo regulan, pudiendo acordar la utilización de herramientas informáticas específicas, la emisión de informes preceptivos y vinculantes o cualquier otro medio adecuado a este fin.</w:t>
      </w:r>
    </w:p>
    <w:p w:rsidR="0092635B" w:rsidRDefault="00000000">
      <w:pPr>
        <w:pStyle w:val="Prrafodelista"/>
        <w:numPr>
          <w:ilvl w:val="0"/>
          <w:numId w:val="153"/>
        </w:numPr>
        <w:tabs>
          <w:tab w:val="left" w:pos="1706"/>
        </w:tabs>
        <w:spacing w:before="4" w:line="249" w:lineRule="auto"/>
        <w:ind w:right="1104" w:firstLine="340"/>
        <w:jc w:val="both"/>
        <w:rPr>
          <w:sz w:val="20"/>
        </w:rPr>
      </w:pPr>
      <w:r>
        <w:rPr>
          <w:sz w:val="20"/>
        </w:rPr>
        <w:t>La contratación de obras, suministros o servicios centralizados podrá efectuarse a través de los siguientes procedimientos:</w:t>
      </w:r>
    </w:p>
    <w:p w:rsidR="0092635B" w:rsidRDefault="00000000">
      <w:pPr>
        <w:pStyle w:val="Prrafodelista"/>
        <w:numPr>
          <w:ilvl w:val="1"/>
          <w:numId w:val="153"/>
        </w:numPr>
        <w:tabs>
          <w:tab w:val="left" w:pos="1692"/>
        </w:tabs>
        <w:spacing w:before="122" w:line="249" w:lineRule="auto"/>
        <w:ind w:right="1105" w:firstLine="340"/>
        <w:rPr>
          <w:sz w:val="20"/>
        </w:rPr>
      </w:pPr>
      <w:r>
        <w:rPr>
          <w:sz w:val="20"/>
        </w:rPr>
        <w:t>Mediante la conclusión del correspondiente contrato, que se adjudicará con arreglo a las normas procedimentales contenidas en el Capítulo I del Título I del presente Libro.</w:t>
      </w:r>
    </w:p>
    <w:p w:rsidR="0092635B" w:rsidRDefault="00000000">
      <w:pPr>
        <w:pStyle w:val="Prrafodelista"/>
        <w:numPr>
          <w:ilvl w:val="1"/>
          <w:numId w:val="153"/>
        </w:numPr>
        <w:tabs>
          <w:tab w:val="left" w:pos="1679"/>
        </w:tabs>
        <w:spacing w:before="1"/>
        <w:ind w:left="1679" w:right="0" w:hanging="233"/>
        <w:rPr>
          <w:sz w:val="20"/>
        </w:rPr>
      </w:pPr>
      <w:r>
        <w:rPr>
          <w:sz w:val="20"/>
        </w:rPr>
        <w:t>A</w:t>
      </w:r>
      <w:r>
        <w:rPr>
          <w:spacing w:val="-1"/>
          <w:sz w:val="20"/>
        </w:rPr>
        <w:t xml:space="preserve"> </w:t>
      </w:r>
      <w:r>
        <w:rPr>
          <w:sz w:val="20"/>
        </w:rPr>
        <w:t xml:space="preserve">través de acuerdos </w:t>
      </w:r>
      <w:r>
        <w:rPr>
          <w:spacing w:val="-2"/>
          <w:sz w:val="20"/>
        </w:rPr>
        <w:t>marco.</w:t>
      </w:r>
    </w:p>
    <w:p w:rsidR="0092635B" w:rsidRDefault="00000000">
      <w:pPr>
        <w:pStyle w:val="Prrafodelista"/>
        <w:numPr>
          <w:ilvl w:val="1"/>
          <w:numId w:val="153"/>
        </w:numPr>
        <w:tabs>
          <w:tab w:val="left" w:pos="1668"/>
        </w:tabs>
        <w:spacing w:before="10"/>
        <w:ind w:left="1668" w:right="0" w:hanging="222"/>
        <w:rPr>
          <w:sz w:val="20"/>
        </w:rPr>
      </w:pPr>
      <w:r>
        <w:rPr>
          <w:sz w:val="20"/>
        </w:rPr>
        <w:t>A</w:t>
      </w:r>
      <w:r>
        <w:rPr>
          <w:spacing w:val="-3"/>
          <w:sz w:val="20"/>
        </w:rPr>
        <w:t xml:space="preserve"> </w:t>
      </w:r>
      <w:r>
        <w:rPr>
          <w:sz w:val="20"/>
        </w:rPr>
        <w:t>través de sistemas</w:t>
      </w:r>
      <w:r>
        <w:rPr>
          <w:spacing w:val="-1"/>
          <w:sz w:val="20"/>
        </w:rPr>
        <w:t xml:space="preserve"> </w:t>
      </w:r>
      <w:r>
        <w:rPr>
          <w:sz w:val="20"/>
        </w:rPr>
        <w:t xml:space="preserve">dinámicos de </w:t>
      </w:r>
      <w:r>
        <w:rPr>
          <w:spacing w:val="-2"/>
          <w:sz w:val="20"/>
        </w:rPr>
        <w:t>adquisición.</w:t>
      </w:r>
    </w:p>
    <w:p w:rsidR="0092635B" w:rsidRDefault="0092635B">
      <w:pPr>
        <w:pStyle w:val="Prrafodelista"/>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3"/>
      </w:pPr>
      <w:r>
        <w:t>En los casos en los que el órgano de contratación de los contratos basados en un acuerdo marco o de los contratos específicos en el marco de un sistema dinámico de adquisición sea la Junta de Contratación Centralizada y sea necesario realizar una nueva licitación, las actuaciones relativas a dicha licitación previas a la adjudicación se realizarán, con carácter general por el organismo destinatario de la prestación.</w:t>
      </w:r>
    </w:p>
    <w:p w:rsidR="0092635B" w:rsidRDefault="00000000">
      <w:pPr>
        <w:pStyle w:val="Textoindependiente"/>
        <w:spacing w:before="4" w:line="249" w:lineRule="auto"/>
        <w:ind w:right="1102"/>
      </w:pPr>
      <w:r>
        <w:t>En el caso de que fueran varios los destinatarios, dichas actuaciones se realizarán por la Dirección General de Racionalización y Centralización de la Contratación o bien por el organismo destinatario designado por esta, en aplicación de los criterios que a tal efecto se hubieran establecido en los pliegos. En su defecto, las actuaciones serán realizadas por la Dirección General de Racionalización y Centralización de la Contratación.</w:t>
      </w:r>
    </w:p>
    <w:p w:rsidR="0092635B" w:rsidRDefault="00000000">
      <w:pPr>
        <w:pStyle w:val="Prrafodelista"/>
        <w:numPr>
          <w:ilvl w:val="0"/>
          <w:numId w:val="153"/>
        </w:numPr>
        <w:tabs>
          <w:tab w:val="left" w:pos="1681"/>
        </w:tabs>
        <w:spacing w:before="4" w:line="249" w:lineRule="auto"/>
        <w:ind w:firstLine="340"/>
        <w:jc w:val="both"/>
        <w:rPr>
          <w:sz w:val="20"/>
        </w:rPr>
      </w:pPr>
      <w:r>
        <w:rPr>
          <w:sz w:val="20"/>
        </w:rPr>
        <w:t>La conclusión por los entes integrados en el ámbito obligatorio del sistema estatal de adquisición centralizada de acuerdos marco que tengan por objeto bienes, servicios u obras no declarados de contratación centralizada y que afecten a más de uno de ellos, o de acuerdos marco cuyo objeto sean bienes, servicios u obras que se contraten de forma general y con características esencialmente homogéneas, requerirá el previo informe favorable de la Dirección General de Racionalización y Centralización de la Contratación del Ministerio de Hacienda y Función Pública, que deberá obtenerse antes de iniciar el procedimiento dirigido a su adjudicación.</w:t>
      </w:r>
    </w:p>
    <w:p w:rsidR="0092635B" w:rsidRDefault="00000000">
      <w:pPr>
        <w:pStyle w:val="Prrafodelista"/>
        <w:numPr>
          <w:ilvl w:val="0"/>
          <w:numId w:val="153"/>
        </w:numPr>
        <w:tabs>
          <w:tab w:val="left" w:pos="1707"/>
        </w:tabs>
        <w:spacing w:before="6" w:line="249" w:lineRule="auto"/>
        <w:ind w:right="1104" w:firstLine="340"/>
        <w:jc w:val="both"/>
        <w:rPr>
          <w:sz w:val="20"/>
        </w:rPr>
      </w:pPr>
      <w:r>
        <w:rPr>
          <w:sz w:val="20"/>
        </w:rPr>
        <w:t>La recepción y pago de los bienes y servicios será efectuada por los organismos peticionarios de los mismos en los contratos basados en un acuerdo marco y en los</w:t>
      </w:r>
      <w:r>
        <w:rPr>
          <w:spacing w:val="40"/>
          <w:sz w:val="20"/>
        </w:rPr>
        <w:t xml:space="preserve"> </w:t>
      </w:r>
      <w:r>
        <w:rPr>
          <w:sz w:val="20"/>
        </w:rPr>
        <w:t>contratos específicos adjudicados en el marco de un sistema dinámico de adquisición.</w:t>
      </w:r>
    </w:p>
    <w:p w:rsidR="0092635B" w:rsidRDefault="00000000">
      <w:pPr>
        <w:spacing w:before="230" w:line="249" w:lineRule="auto"/>
        <w:ind w:left="1106" w:right="1120" w:hanging="1"/>
        <w:rPr>
          <w:rFonts w:ascii="Arial" w:hAnsi="Arial"/>
          <w:i/>
          <w:sz w:val="20"/>
        </w:rPr>
      </w:pPr>
      <w:bookmarkStart w:id="361" w:name="Artículo_230._Adquisición_centralizada_d"/>
      <w:bookmarkEnd w:id="361"/>
      <w:r>
        <w:rPr>
          <w:rFonts w:ascii="Arial" w:hAnsi="Arial"/>
          <w:b/>
          <w:sz w:val="20"/>
        </w:rPr>
        <w:t>Artículo</w:t>
      </w:r>
      <w:r>
        <w:rPr>
          <w:rFonts w:ascii="Arial" w:hAnsi="Arial"/>
          <w:b/>
          <w:spacing w:val="40"/>
          <w:sz w:val="20"/>
        </w:rPr>
        <w:t xml:space="preserve"> </w:t>
      </w:r>
      <w:r>
        <w:rPr>
          <w:rFonts w:ascii="Arial" w:hAnsi="Arial"/>
          <w:b/>
          <w:sz w:val="20"/>
        </w:rPr>
        <w:t>230.</w:t>
      </w:r>
      <w:r>
        <w:rPr>
          <w:rFonts w:ascii="Arial" w:hAnsi="Arial"/>
          <w:b/>
          <w:spacing w:val="80"/>
          <w:w w:val="150"/>
          <w:sz w:val="20"/>
        </w:rPr>
        <w:t xml:space="preserve"> </w:t>
      </w:r>
      <w:r>
        <w:rPr>
          <w:rFonts w:ascii="Arial" w:hAnsi="Arial"/>
          <w:i/>
          <w:sz w:val="20"/>
        </w:rPr>
        <w:t>Adquisición</w:t>
      </w:r>
      <w:r>
        <w:rPr>
          <w:rFonts w:ascii="Arial" w:hAnsi="Arial"/>
          <w:i/>
          <w:spacing w:val="40"/>
          <w:sz w:val="20"/>
        </w:rPr>
        <w:t xml:space="preserve"> </w:t>
      </w:r>
      <w:r>
        <w:rPr>
          <w:rFonts w:ascii="Arial" w:hAnsi="Arial"/>
          <w:i/>
          <w:sz w:val="20"/>
        </w:rPr>
        <w:t>centralizada</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equipos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sistemas</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el</w:t>
      </w:r>
      <w:r>
        <w:rPr>
          <w:rFonts w:ascii="Arial" w:hAnsi="Arial"/>
          <w:i/>
          <w:spacing w:val="40"/>
          <w:sz w:val="20"/>
        </w:rPr>
        <w:t xml:space="preserve"> </w:t>
      </w:r>
      <w:r>
        <w:rPr>
          <w:rFonts w:ascii="Arial" w:hAnsi="Arial"/>
          <w:i/>
          <w:sz w:val="20"/>
        </w:rPr>
        <w:t>tratamiento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 xml:space="preserve">la </w:t>
      </w:r>
      <w:r>
        <w:rPr>
          <w:rFonts w:ascii="Arial" w:hAnsi="Arial"/>
          <w:i/>
          <w:spacing w:val="-2"/>
          <w:sz w:val="20"/>
        </w:rPr>
        <w:t>información.</w:t>
      </w:r>
    </w:p>
    <w:p w:rsidR="0092635B" w:rsidRDefault="00000000">
      <w:pPr>
        <w:pStyle w:val="Prrafodelista"/>
        <w:numPr>
          <w:ilvl w:val="0"/>
          <w:numId w:val="152"/>
        </w:numPr>
        <w:tabs>
          <w:tab w:val="left" w:pos="1673"/>
        </w:tabs>
        <w:spacing w:before="115" w:line="249" w:lineRule="auto"/>
        <w:ind w:firstLine="340"/>
        <w:jc w:val="both"/>
        <w:rPr>
          <w:sz w:val="20"/>
        </w:rPr>
      </w:pPr>
      <w:r>
        <w:rPr>
          <w:sz w:val="20"/>
        </w:rPr>
        <w:t>La competencia para adquirir equipos y sistemas para el tratamiento de la información y sus elementos complementarios o auxiliares en el ámbito obligatorio definido en el</w:t>
      </w:r>
      <w:r>
        <w:rPr>
          <w:spacing w:val="40"/>
          <w:sz w:val="20"/>
        </w:rPr>
        <w:t xml:space="preserve"> </w:t>
      </w:r>
      <w:r>
        <w:rPr>
          <w:sz w:val="20"/>
        </w:rPr>
        <w:t>apartado 2 del artículo anterior que no hayan sido declarados de adquisición centralizada conforme a lo señalado en el mismo corresponderá, en todo caso, al órgano de contratación del sistema estatal de contratación centralizada, oídos los Departamentos ministeriales u organismos interesados en la compra en cuanto sus necesidades.</w:t>
      </w:r>
    </w:p>
    <w:p w:rsidR="0092635B" w:rsidRDefault="00000000">
      <w:pPr>
        <w:pStyle w:val="Prrafodelista"/>
        <w:numPr>
          <w:ilvl w:val="0"/>
          <w:numId w:val="152"/>
        </w:numPr>
        <w:tabs>
          <w:tab w:val="left" w:pos="1680"/>
        </w:tabs>
        <w:spacing w:before="5" w:line="249" w:lineRule="auto"/>
        <w:ind w:firstLine="340"/>
        <w:jc w:val="both"/>
        <w:rPr>
          <w:sz w:val="20"/>
        </w:rPr>
      </w:pPr>
      <w:r>
        <w:rPr>
          <w:sz w:val="20"/>
        </w:rPr>
        <w:t>El Ministro de Hacienda y Función Pública podrá atribuir la competencia para adquirir los bienes a que se refiere este artículo a otros órganos de la Administración General del Estado, sus Organismos Autónomos, Entidades Gestoras y Servicios Comunes de la Seguridad Social y Entidades públicas estatales, cuando circunstancias especiales o el volumen de adquisiciones que realicen así lo aconsejen.</w:t>
      </w:r>
    </w:p>
    <w:p w:rsidR="0092635B" w:rsidRDefault="0092635B">
      <w:pPr>
        <w:pStyle w:val="Textoindependiente"/>
        <w:spacing w:before="227"/>
        <w:ind w:left="0" w:firstLine="0"/>
        <w:jc w:val="left"/>
      </w:pPr>
    </w:p>
    <w:p w:rsidR="0092635B" w:rsidRDefault="00000000">
      <w:pPr>
        <w:pStyle w:val="Textoindependiente"/>
        <w:spacing w:before="0"/>
        <w:ind w:left="0" w:firstLine="0"/>
        <w:jc w:val="center"/>
      </w:pPr>
      <w:bookmarkStart w:id="362" w:name="TÍTULO_II._De_los_distintos_tipos_de_con"/>
      <w:bookmarkStart w:id="363" w:name="_bookmark67"/>
      <w:bookmarkEnd w:id="362"/>
      <w:bookmarkEnd w:id="363"/>
      <w:r>
        <w:t xml:space="preserve">TÍTULO </w:t>
      </w:r>
      <w:r>
        <w:rPr>
          <w:spacing w:val="-5"/>
        </w:rPr>
        <w:t>II</w:t>
      </w:r>
    </w:p>
    <w:p w:rsidR="0092635B" w:rsidRDefault="00000000">
      <w:pPr>
        <w:pStyle w:val="Ttulo2"/>
        <w:spacing w:before="124"/>
        <w:ind w:right="1"/>
      </w:pPr>
      <w:r>
        <w:t>De</w:t>
      </w:r>
      <w:r>
        <w:rPr>
          <w:spacing w:val="-5"/>
        </w:rPr>
        <w:t xml:space="preserve"> </w:t>
      </w:r>
      <w:r>
        <w:t>los</w:t>
      </w:r>
      <w:r>
        <w:rPr>
          <w:spacing w:val="-5"/>
        </w:rPr>
        <w:t xml:space="preserve"> </w:t>
      </w:r>
      <w:r>
        <w:t>distintos</w:t>
      </w:r>
      <w:r>
        <w:rPr>
          <w:spacing w:val="-4"/>
        </w:rPr>
        <w:t xml:space="preserve"> </w:t>
      </w:r>
      <w:r>
        <w:t>tipos</w:t>
      </w:r>
      <w:r>
        <w:rPr>
          <w:spacing w:val="-5"/>
        </w:rPr>
        <w:t xml:space="preserve"> </w:t>
      </w:r>
      <w:r>
        <w:t>de</w:t>
      </w:r>
      <w:r>
        <w:rPr>
          <w:spacing w:val="-5"/>
        </w:rPr>
        <w:t xml:space="preserve"> </w:t>
      </w:r>
      <w:r>
        <w:t>contratos</w:t>
      </w:r>
      <w:r>
        <w:rPr>
          <w:spacing w:val="-4"/>
        </w:rPr>
        <w:t xml:space="preserve"> </w:t>
      </w:r>
      <w:r>
        <w:t>de</w:t>
      </w:r>
      <w:r>
        <w:rPr>
          <w:spacing w:val="-5"/>
        </w:rPr>
        <w:t xml:space="preserve"> </w:t>
      </w:r>
      <w:r>
        <w:t>las</w:t>
      </w:r>
      <w:r>
        <w:rPr>
          <w:spacing w:val="-5"/>
        </w:rPr>
        <w:t xml:space="preserve"> </w:t>
      </w:r>
      <w:r>
        <w:t>Administraciones</w:t>
      </w:r>
      <w:r>
        <w:rPr>
          <w:spacing w:val="-4"/>
        </w:rPr>
        <w:t xml:space="preserve"> </w:t>
      </w:r>
      <w:r>
        <w:rPr>
          <w:spacing w:val="-2"/>
        </w:rPr>
        <w:t>Públicas</w:t>
      </w:r>
    </w:p>
    <w:p w:rsidR="0092635B" w:rsidRDefault="0092635B">
      <w:pPr>
        <w:pStyle w:val="Textoindependiente"/>
        <w:spacing w:before="120"/>
        <w:ind w:left="0" w:firstLine="0"/>
        <w:jc w:val="left"/>
        <w:rPr>
          <w:rFonts w:ascii="Arial"/>
          <w:b/>
        </w:rPr>
      </w:pPr>
    </w:p>
    <w:p w:rsidR="0092635B" w:rsidRDefault="00000000">
      <w:pPr>
        <w:pStyle w:val="Textoindependiente"/>
        <w:spacing w:before="0"/>
        <w:ind w:left="0" w:firstLine="0"/>
        <w:jc w:val="center"/>
      </w:pPr>
      <w:bookmarkStart w:id="364" w:name="CAPÍTULO_I._Del_contrato_de_obras"/>
      <w:bookmarkStart w:id="365" w:name="_bookmark68"/>
      <w:bookmarkEnd w:id="364"/>
      <w:bookmarkEnd w:id="365"/>
      <w:r>
        <w:t xml:space="preserve">CAPÍTULO </w:t>
      </w:r>
      <w:r>
        <w:rPr>
          <w:spacing w:val="-10"/>
        </w:rPr>
        <w:t>I</w:t>
      </w:r>
    </w:p>
    <w:p w:rsidR="0092635B" w:rsidRDefault="00000000">
      <w:pPr>
        <w:pStyle w:val="Ttulo2"/>
      </w:pPr>
      <w:r>
        <w:t>Del</w:t>
      </w:r>
      <w:r>
        <w:rPr>
          <w:spacing w:val="-1"/>
        </w:rPr>
        <w:t xml:space="preserve"> </w:t>
      </w:r>
      <w:r>
        <w:t xml:space="preserve">contrato de </w:t>
      </w:r>
      <w:r>
        <w:rPr>
          <w:spacing w:val="-2"/>
        </w:rPr>
        <w:t>obras</w:t>
      </w:r>
    </w:p>
    <w:p w:rsidR="0092635B" w:rsidRDefault="0092635B">
      <w:pPr>
        <w:pStyle w:val="Textoindependiente"/>
        <w:spacing w:before="7"/>
        <w:ind w:left="0" w:firstLine="0"/>
        <w:jc w:val="left"/>
        <w:rPr>
          <w:rFonts w:ascii="Arial"/>
          <w:b/>
        </w:rPr>
      </w:pPr>
    </w:p>
    <w:p w:rsidR="0092635B" w:rsidRDefault="00000000">
      <w:pPr>
        <w:pStyle w:val="Ttulo3"/>
      </w:pPr>
      <w:bookmarkStart w:id="366" w:name="_bookmark69"/>
      <w:bookmarkEnd w:id="366"/>
      <w:r>
        <w:t>Sección</w:t>
      </w:r>
      <w:r>
        <w:rPr>
          <w:spacing w:val="-4"/>
        </w:rPr>
        <w:t xml:space="preserve"> </w:t>
      </w:r>
      <w:r>
        <w:t>1.ª</w:t>
      </w:r>
      <w:r>
        <w:rPr>
          <w:spacing w:val="-4"/>
        </w:rPr>
        <w:t xml:space="preserve"> </w:t>
      </w:r>
      <w:r>
        <w:t>Actuaciones</w:t>
      </w:r>
      <w:r>
        <w:rPr>
          <w:spacing w:val="-3"/>
        </w:rPr>
        <w:t xml:space="preserve"> </w:t>
      </w:r>
      <w:r>
        <w:t>preparatorias</w:t>
      </w:r>
      <w:r>
        <w:rPr>
          <w:spacing w:val="-4"/>
        </w:rPr>
        <w:t xml:space="preserve"> </w:t>
      </w:r>
      <w:r>
        <w:t>del</w:t>
      </w:r>
      <w:r>
        <w:rPr>
          <w:spacing w:val="-3"/>
        </w:rPr>
        <w:t xml:space="preserve"> </w:t>
      </w:r>
      <w:r>
        <w:t>contrato</w:t>
      </w:r>
      <w:r>
        <w:rPr>
          <w:spacing w:val="-4"/>
        </w:rPr>
        <w:t xml:space="preserve"> </w:t>
      </w:r>
      <w:r>
        <w:t>de</w:t>
      </w:r>
      <w:r>
        <w:rPr>
          <w:spacing w:val="-3"/>
        </w:rPr>
        <w:t xml:space="preserve"> </w:t>
      </w:r>
      <w:r>
        <w:rPr>
          <w:spacing w:val="-2"/>
        </w:rPr>
        <w:t>obras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367" w:name="Artículo_231._Proyecto_de_obras."/>
      <w:bookmarkEnd w:id="367"/>
      <w:r>
        <w:rPr>
          <w:rFonts w:ascii="Arial" w:hAnsi="Arial"/>
          <w:b/>
          <w:sz w:val="20"/>
        </w:rPr>
        <w:t>Artículo</w:t>
      </w:r>
      <w:r>
        <w:rPr>
          <w:rFonts w:ascii="Arial" w:hAnsi="Arial"/>
          <w:b/>
          <w:spacing w:val="-4"/>
          <w:sz w:val="20"/>
        </w:rPr>
        <w:t xml:space="preserve"> </w:t>
      </w:r>
      <w:r>
        <w:rPr>
          <w:rFonts w:ascii="Arial" w:hAnsi="Arial"/>
          <w:b/>
          <w:sz w:val="20"/>
        </w:rPr>
        <w:t>231.</w:t>
      </w:r>
      <w:r>
        <w:rPr>
          <w:rFonts w:ascii="Arial" w:hAnsi="Arial"/>
          <w:b/>
          <w:spacing w:val="51"/>
          <w:sz w:val="20"/>
        </w:rPr>
        <w:t xml:space="preserve"> </w:t>
      </w:r>
      <w:r>
        <w:rPr>
          <w:rFonts w:ascii="Arial" w:hAnsi="Arial"/>
          <w:i/>
          <w:sz w:val="20"/>
        </w:rPr>
        <w:t>Proyecto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obras.</w:t>
      </w:r>
    </w:p>
    <w:p w:rsidR="0092635B" w:rsidRDefault="00000000">
      <w:pPr>
        <w:pStyle w:val="Prrafodelista"/>
        <w:numPr>
          <w:ilvl w:val="0"/>
          <w:numId w:val="151"/>
        </w:numPr>
        <w:tabs>
          <w:tab w:val="left" w:pos="1724"/>
        </w:tabs>
        <w:spacing w:before="123" w:line="249" w:lineRule="auto"/>
        <w:ind w:right="1104" w:firstLine="340"/>
        <w:jc w:val="both"/>
        <w:rPr>
          <w:sz w:val="20"/>
        </w:rPr>
      </w:pPr>
      <w:r>
        <w:rPr>
          <w:sz w:val="20"/>
        </w:rPr>
        <w:t>En los términos previstos en esta Ley, la adjudicación de un contrato de obras requerirá la previa elaboración, supervisión, aprobación y replanteo del correspondiente proyecto que definirá con precisión el objeto del contrato. La aprobación del proyecto corresponderá al órgano de contratación salvo que tal competencia esté específicamente atribuida a otro órgano por una norma jurídica.</w:t>
      </w:r>
    </w:p>
    <w:p w:rsidR="0092635B" w:rsidRDefault="00000000">
      <w:pPr>
        <w:pStyle w:val="Prrafodelista"/>
        <w:numPr>
          <w:ilvl w:val="0"/>
          <w:numId w:val="151"/>
        </w:numPr>
        <w:tabs>
          <w:tab w:val="left" w:pos="1706"/>
        </w:tabs>
        <w:spacing w:before="4" w:line="249" w:lineRule="auto"/>
        <w:ind w:right="1105" w:firstLine="340"/>
        <w:jc w:val="both"/>
        <w:rPr>
          <w:sz w:val="20"/>
        </w:rPr>
      </w:pPr>
      <w:r>
        <w:rPr>
          <w:sz w:val="20"/>
        </w:rPr>
        <w:t xml:space="preserve">En el supuesto de adjudicación conjunta de proyecto y obra, la ejecución de esta quedará condicionada a la supervisión, aprobación y replanteo del proyecto por el órgano de </w:t>
      </w:r>
      <w:r>
        <w:rPr>
          <w:spacing w:val="-2"/>
          <w:sz w:val="20"/>
        </w:rPr>
        <w:t>contratación.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368" w:name="Artículo_232._Clasificación_de_las_obras"/>
      <w:bookmarkEnd w:id="368"/>
      <w:r>
        <w:rPr>
          <w:rFonts w:ascii="Arial" w:hAnsi="Arial"/>
          <w:b/>
          <w:sz w:val="20"/>
        </w:rPr>
        <w:t>Artículo</w:t>
      </w:r>
      <w:r>
        <w:rPr>
          <w:rFonts w:ascii="Arial" w:hAnsi="Arial"/>
          <w:b/>
          <w:spacing w:val="-3"/>
          <w:sz w:val="20"/>
        </w:rPr>
        <w:t xml:space="preserve"> </w:t>
      </w:r>
      <w:r>
        <w:rPr>
          <w:rFonts w:ascii="Arial" w:hAnsi="Arial"/>
          <w:b/>
          <w:sz w:val="20"/>
        </w:rPr>
        <w:t>232.</w:t>
      </w:r>
      <w:r>
        <w:rPr>
          <w:rFonts w:ascii="Arial" w:hAnsi="Arial"/>
          <w:b/>
          <w:spacing w:val="50"/>
          <w:sz w:val="20"/>
        </w:rPr>
        <w:t xml:space="preserve"> </w:t>
      </w:r>
      <w:r>
        <w:rPr>
          <w:rFonts w:ascii="Arial" w:hAnsi="Arial"/>
          <w:i/>
          <w:sz w:val="20"/>
        </w:rPr>
        <w:t>Clasificación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obras.</w:t>
      </w:r>
    </w:p>
    <w:p w:rsidR="0092635B" w:rsidRDefault="00000000">
      <w:pPr>
        <w:pStyle w:val="Prrafodelista"/>
        <w:numPr>
          <w:ilvl w:val="0"/>
          <w:numId w:val="150"/>
        </w:numPr>
        <w:tabs>
          <w:tab w:val="left" w:pos="1708"/>
        </w:tabs>
        <w:spacing w:before="123" w:line="249" w:lineRule="auto"/>
        <w:ind w:right="1105" w:firstLine="340"/>
        <w:rPr>
          <w:sz w:val="20"/>
        </w:rPr>
      </w:pPr>
      <w:r>
        <w:rPr>
          <w:sz w:val="20"/>
        </w:rPr>
        <w:t>A</w:t>
      </w:r>
      <w:r>
        <w:rPr>
          <w:spacing w:val="38"/>
          <w:sz w:val="20"/>
        </w:rPr>
        <w:t xml:space="preserve"> </w:t>
      </w:r>
      <w:r>
        <w:rPr>
          <w:sz w:val="20"/>
        </w:rPr>
        <w:t>los</w:t>
      </w:r>
      <w:r>
        <w:rPr>
          <w:spacing w:val="38"/>
          <w:sz w:val="20"/>
        </w:rPr>
        <w:t xml:space="preserve"> </w:t>
      </w:r>
      <w:r>
        <w:rPr>
          <w:sz w:val="20"/>
        </w:rPr>
        <w:t>efectos</w:t>
      </w:r>
      <w:r>
        <w:rPr>
          <w:spacing w:val="38"/>
          <w:sz w:val="20"/>
        </w:rPr>
        <w:t xml:space="preserve"> </w:t>
      </w:r>
      <w:r>
        <w:rPr>
          <w:sz w:val="20"/>
        </w:rPr>
        <w:t>de</w:t>
      </w:r>
      <w:r>
        <w:rPr>
          <w:spacing w:val="38"/>
          <w:sz w:val="20"/>
        </w:rPr>
        <w:t xml:space="preserve"> </w:t>
      </w:r>
      <w:r>
        <w:rPr>
          <w:sz w:val="20"/>
        </w:rPr>
        <w:t>elaboración</w:t>
      </w:r>
      <w:r>
        <w:rPr>
          <w:spacing w:val="38"/>
          <w:sz w:val="20"/>
        </w:rPr>
        <w:t xml:space="preserve"> </w:t>
      </w:r>
      <w:r>
        <w:rPr>
          <w:sz w:val="20"/>
        </w:rPr>
        <w:t>de</w:t>
      </w:r>
      <w:r>
        <w:rPr>
          <w:spacing w:val="38"/>
          <w:sz w:val="20"/>
        </w:rPr>
        <w:t xml:space="preserve"> </w:t>
      </w:r>
      <w:r>
        <w:rPr>
          <w:sz w:val="20"/>
        </w:rPr>
        <w:t>los</w:t>
      </w:r>
      <w:r>
        <w:rPr>
          <w:spacing w:val="38"/>
          <w:sz w:val="20"/>
        </w:rPr>
        <w:t xml:space="preserve"> </w:t>
      </w:r>
      <w:r>
        <w:rPr>
          <w:sz w:val="20"/>
        </w:rPr>
        <w:t>proyectos</w:t>
      </w:r>
      <w:r>
        <w:rPr>
          <w:spacing w:val="38"/>
          <w:sz w:val="20"/>
        </w:rPr>
        <w:t xml:space="preserve"> </w:t>
      </w:r>
      <w:r>
        <w:rPr>
          <w:sz w:val="20"/>
        </w:rPr>
        <w:t>se</w:t>
      </w:r>
      <w:r>
        <w:rPr>
          <w:spacing w:val="38"/>
          <w:sz w:val="20"/>
        </w:rPr>
        <w:t xml:space="preserve"> </w:t>
      </w:r>
      <w:r>
        <w:rPr>
          <w:sz w:val="20"/>
        </w:rPr>
        <w:t>clasificarán</w:t>
      </w:r>
      <w:r>
        <w:rPr>
          <w:spacing w:val="38"/>
          <w:sz w:val="20"/>
        </w:rPr>
        <w:t xml:space="preserve"> </w:t>
      </w:r>
      <w:r>
        <w:rPr>
          <w:sz w:val="20"/>
        </w:rPr>
        <w:t>las</w:t>
      </w:r>
      <w:r>
        <w:rPr>
          <w:spacing w:val="38"/>
          <w:sz w:val="20"/>
        </w:rPr>
        <w:t xml:space="preserve"> </w:t>
      </w:r>
      <w:r>
        <w:rPr>
          <w:sz w:val="20"/>
        </w:rPr>
        <w:t>obras,</w:t>
      </w:r>
      <w:r>
        <w:rPr>
          <w:spacing w:val="38"/>
          <w:sz w:val="20"/>
        </w:rPr>
        <w:t xml:space="preserve"> </w:t>
      </w:r>
      <w:r>
        <w:rPr>
          <w:sz w:val="20"/>
        </w:rPr>
        <w:t>según</w:t>
      </w:r>
      <w:r>
        <w:rPr>
          <w:spacing w:val="38"/>
          <w:sz w:val="20"/>
        </w:rPr>
        <w:t xml:space="preserve"> </w:t>
      </w:r>
      <w:r>
        <w:rPr>
          <w:sz w:val="20"/>
        </w:rPr>
        <w:t>su objeto y naturaleza, en los grupos siguientes:</w:t>
      </w:r>
    </w:p>
    <w:p w:rsidR="0092635B" w:rsidRDefault="00000000">
      <w:pPr>
        <w:pStyle w:val="Prrafodelista"/>
        <w:numPr>
          <w:ilvl w:val="1"/>
          <w:numId w:val="150"/>
        </w:numPr>
        <w:tabs>
          <w:tab w:val="left" w:pos="1777"/>
        </w:tabs>
        <w:spacing w:before="122" w:line="249" w:lineRule="auto"/>
        <w:ind w:firstLine="340"/>
        <w:rPr>
          <w:sz w:val="20"/>
        </w:rPr>
      </w:pPr>
      <w:r>
        <w:rPr>
          <w:sz w:val="20"/>
        </w:rPr>
        <w:t>Obras</w:t>
      </w:r>
      <w:r>
        <w:rPr>
          <w:spacing w:val="80"/>
          <w:sz w:val="20"/>
        </w:rPr>
        <w:t xml:space="preserve"> </w:t>
      </w:r>
      <w:r>
        <w:rPr>
          <w:sz w:val="20"/>
        </w:rPr>
        <w:t>de</w:t>
      </w:r>
      <w:r>
        <w:rPr>
          <w:spacing w:val="80"/>
          <w:sz w:val="20"/>
        </w:rPr>
        <w:t xml:space="preserve"> </w:t>
      </w:r>
      <w:r>
        <w:rPr>
          <w:sz w:val="20"/>
        </w:rPr>
        <w:t>primer</w:t>
      </w:r>
      <w:r>
        <w:rPr>
          <w:spacing w:val="80"/>
          <w:sz w:val="20"/>
        </w:rPr>
        <w:t xml:space="preserve"> </w:t>
      </w:r>
      <w:r>
        <w:rPr>
          <w:sz w:val="20"/>
        </w:rPr>
        <w:t>establecimiento,</w:t>
      </w:r>
      <w:r>
        <w:rPr>
          <w:spacing w:val="80"/>
          <w:sz w:val="20"/>
        </w:rPr>
        <w:t xml:space="preserve"> </w:t>
      </w:r>
      <w:r>
        <w:rPr>
          <w:sz w:val="20"/>
        </w:rPr>
        <w:t>reforma,</w:t>
      </w:r>
      <w:r>
        <w:rPr>
          <w:spacing w:val="80"/>
          <w:sz w:val="20"/>
        </w:rPr>
        <w:t xml:space="preserve"> </w:t>
      </w:r>
      <w:r>
        <w:rPr>
          <w:sz w:val="20"/>
        </w:rPr>
        <w:t>restauración,</w:t>
      </w:r>
      <w:r>
        <w:rPr>
          <w:spacing w:val="80"/>
          <w:sz w:val="20"/>
        </w:rPr>
        <w:t xml:space="preserve"> </w:t>
      </w:r>
      <w:r>
        <w:rPr>
          <w:sz w:val="20"/>
        </w:rPr>
        <w:t>rehabilitación</w:t>
      </w:r>
      <w:r>
        <w:rPr>
          <w:spacing w:val="80"/>
          <w:sz w:val="20"/>
        </w:rPr>
        <w:t xml:space="preserve"> </w:t>
      </w:r>
      <w:r>
        <w:rPr>
          <w:sz w:val="20"/>
        </w:rPr>
        <w:t>o</w:t>
      </w:r>
      <w:r>
        <w:rPr>
          <w:spacing w:val="80"/>
          <w:sz w:val="20"/>
        </w:rPr>
        <w:t xml:space="preserve"> </w:t>
      </w:r>
      <w:r>
        <w:rPr>
          <w:sz w:val="20"/>
        </w:rPr>
        <w:t xml:space="preserve">gran </w:t>
      </w:r>
      <w:r>
        <w:rPr>
          <w:spacing w:val="-2"/>
          <w:sz w:val="20"/>
        </w:rPr>
        <w:t>reparación.</w:t>
      </w:r>
    </w:p>
    <w:p w:rsidR="0092635B" w:rsidRDefault="00000000">
      <w:pPr>
        <w:pStyle w:val="Prrafodelista"/>
        <w:numPr>
          <w:ilvl w:val="1"/>
          <w:numId w:val="150"/>
        </w:numPr>
        <w:tabs>
          <w:tab w:val="left" w:pos="1679"/>
        </w:tabs>
        <w:spacing w:before="1"/>
        <w:ind w:left="1679" w:right="0" w:hanging="233"/>
        <w:rPr>
          <w:sz w:val="20"/>
        </w:rPr>
      </w:pPr>
      <w:r>
        <w:rPr>
          <w:sz w:val="20"/>
        </w:rPr>
        <w:t>Obras</w:t>
      </w:r>
      <w:r>
        <w:rPr>
          <w:spacing w:val="-4"/>
          <w:sz w:val="20"/>
        </w:rPr>
        <w:t xml:space="preserve"> </w:t>
      </w:r>
      <w:r>
        <w:rPr>
          <w:sz w:val="20"/>
        </w:rPr>
        <w:t>de</w:t>
      </w:r>
      <w:r>
        <w:rPr>
          <w:spacing w:val="-3"/>
          <w:sz w:val="20"/>
        </w:rPr>
        <w:t xml:space="preserve"> </w:t>
      </w:r>
      <w:r>
        <w:rPr>
          <w:sz w:val="20"/>
        </w:rPr>
        <w:t>reparación</w:t>
      </w:r>
      <w:r>
        <w:rPr>
          <w:spacing w:val="-3"/>
          <w:sz w:val="20"/>
        </w:rPr>
        <w:t xml:space="preserve"> </w:t>
      </w:r>
      <w:r>
        <w:rPr>
          <w:spacing w:val="-2"/>
          <w:sz w:val="20"/>
        </w:rPr>
        <w:t>simple.</w:t>
      </w:r>
    </w:p>
    <w:p w:rsidR="0092635B" w:rsidRDefault="00000000">
      <w:pPr>
        <w:pStyle w:val="Prrafodelista"/>
        <w:numPr>
          <w:ilvl w:val="1"/>
          <w:numId w:val="150"/>
        </w:numPr>
        <w:tabs>
          <w:tab w:val="left" w:pos="1668"/>
        </w:tabs>
        <w:spacing w:before="10"/>
        <w:ind w:left="1668" w:right="0" w:hanging="222"/>
        <w:rPr>
          <w:sz w:val="20"/>
        </w:rPr>
      </w:pPr>
      <w:r>
        <w:rPr>
          <w:sz w:val="20"/>
        </w:rPr>
        <w:t>Obras</w:t>
      </w:r>
      <w:r>
        <w:rPr>
          <w:spacing w:val="-3"/>
          <w:sz w:val="20"/>
        </w:rPr>
        <w:t xml:space="preserve"> </w:t>
      </w:r>
      <w:r>
        <w:rPr>
          <w:sz w:val="20"/>
        </w:rPr>
        <w:t>de</w:t>
      </w:r>
      <w:r>
        <w:rPr>
          <w:spacing w:val="-3"/>
          <w:sz w:val="20"/>
        </w:rPr>
        <w:t xml:space="preserve"> </w:t>
      </w:r>
      <w:r>
        <w:rPr>
          <w:sz w:val="20"/>
        </w:rPr>
        <w:t>conservación</w:t>
      </w:r>
      <w:r>
        <w:rPr>
          <w:spacing w:val="-3"/>
          <w:sz w:val="20"/>
        </w:rPr>
        <w:t xml:space="preserve"> </w:t>
      </w:r>
      <w:r>
        <w:rPr>
          <w:sz w:val="20"/>
        </w:rPr>
        <w:t>y</w:t>
      </w:r>
      <w:r>
        <w:rPr>
          <w:spacing w:val="-3"/>
          <w:sz w:val="20"/>
        </w:rPr>
        <w:t xml:space="preserve"> </w:t>
      </w:r>
      <w:r>
        <w:rPr>
          <w:spacing w:val="-2"/>
          <w:sz w:val="20"/>
        </w:rPr>
        <w:t>mantenimiento.</w:t>
      </w:r>
    </w:p>
    <w:p w:rsidR="0092635B" w:rsidRDefault="00000000">
      <w:pPr>
        <w:pStyle w:val="Prrafodelista"/>
        <w:numPr>
          <w:ilvl w:val="1"/>
          <w:numId w:val="150"/>
        </w:numPr>
        <w:tabs>
          <w:tab w:val="left" w:pos="1679"/>
        </w:tabs>
        <w:spacing w:before="10"/>
        <w:ind w:left="1679" w:right="0" w:hanging="233"/>
        <w:rPr>
          <w:sz w:val="20"/>
        </w:rPr>
      </w:pPr>
      <w:r>
        <w:rPr>
          <w:sz w:val="20"/>
        </w:rPr>
        <w:t>Obras</w:t>
      </w:r>
      <w:r>
        <w:rPr>
          <w:spacing w:val="-1"/>
          <w:sz w:val="20"/>
        </w:rPr>
        <w:t xml:space="preserve"> </w:t>
      </w:r>
      <w:r>
        <w:rPr>
          <w:sz w:val="20"/>
        </w:rPr>
        <w:t xml:space="preserve">de </w:t>
      </w:r>
      <w:r>
        <w:rPr>
          <w:spacing w:val="-2"/>
          <w:sz w:val="20"/>
        </w:rPr>
        <w:t>demolición.</w:t>
      </w:r>
    </w:p>
    <w:p w:rsidR="0092635B" w:rsidRDefault="00000000">
      <w:pPr>
        <w:pStyle w:val="Prrafodelista"/>
        <w:numPr>
          <w:ilvl w:val="0"/>
          <w:numId w:val="150"/>
        </w:numPr>
        <w:tabs>
          <w:tab w:val="left" w:pos="1713"/>
        </w:tabs>
        <w:spacing w:before="130" w:line="249" w:lineRule="auto"/>
        <w:ind w:right="1106" w:firstLine="340"/>
        <w:jc w:val="both"/>
        <w:rPr>
          <w:sz w:val="20"/>
        </w:rPr>
      </w:pPr>
      <w:r>
        <w:rPr>
          <w:sz w:val="20"/>
        </w:rPr>
        <w:t xml:space="preserve">Son obras de primer establecimiento las que dan lugar a la creación de un bien </w:t>
      </w:r>
      <w:r>
        <w:rPr>
          <w:spacing w:val="-2"/>
          <w:sz w:val="20"/>
        </w:rPr>
        <w:t>inmueble.</w:t>
      </w:r>
    </w:p>
    <w:p w:rsidR="0092635B" w:rsidRDefault="00000000">
      <w:pPr>
        <w:pStyle w:val="Prrafodelista"/>
        <w:numPr>
          <w:ilvl w:val="0"/>
          <w:numId w:val="150"/>
        </w:numPr>
        <w:tabs>
          <w:tab w:val="left" w:pos="1693"/>
        </w:tabs>
        <w:spacing w:line="249" w:lineRule="auto"/>
        <w:ind w:right="1104" w:firstLine="340"/>
        <w:jc w:val="both"/>
        <w:rPr>
          <w:sz w:val="20"/>
        </w:rPr>
      </w:pPr>
      <w:r>
        <w:rPr>
          <w:sz w:val="20"/>
        </w:rPr>
        <w:t>El concepto general de reforma abarca el conjunto de obras de ampliación, mejora, modernización, adaptación, adecuación o refuerzo de un bien inmueble ya existente.</w:t>
      </w:r>
    </w:p>
    <w:p w:rsidR="0092635B" w:rsidRDefault="00000000">
      <w:pPr>
        <w:pStyle w:val="Prrafodelista"/>
        <w:numPr>
          <w:ilvl w:val="0"/>
          <w:numId w:val="150"/>
        </w:numPr>
        <w:tabs>
          <w:tab w:val="left" w:pos="1761"/>
        </w:tabs>
        <w:spacing w:line="249" w:lineRule="auto"/>
        <w:ind w:firstLine="340"/>
        <w:jc w:val="both"/>
        <w:rPr>
          <w:sz w:val="20"/>
        </w:rPr>
      </w:pPr>
      <w:r>
        <w:rPr>
          <w:sz w:val="20"/>
        </w:rPr>
        <w:t>Se consideran como obras de reparación las necesarias para enmendar un menoscabo producido en un bien inmueble por causas fortuitas o accidentales. Cuando afecten fundamentalmente a la estructura resistente tendrán la calificación de gran reparación y, en caso contrario, de reparación simple.</w:t>
      </w:r>
    </w:p>
    <w:p w:rsidR="0092635B" w:rsidRDefault="00000000">
      <w:pPr>
        <w:pStyle w:val="Prrafodelista"/>
        <w:numPr>
          <w:ilvl w:val="0"/>
          <w:numId w:val="150"/>
        </w:numPr>
        <w:tabs>
          <w:tab w:val="left" w:pos="1715"/>
        </w:tabs>
        <w:spacing w:before="3" w:line="249" w:lineRule="auto"/>
        <w:ind w:right="1104" w:firstLine="340"/>
        <w:jc w:val="both"/>
        <w:rPr>
          <w:sz w:val="20"/>
        </w:rPr>
      </w:pPr>
      <w:r>
        <w:rPr>
          <w:sz w:val="20"/>
        </w:rPr>
        <w:t>Si el menoscabo se produce en el tiempo por el natural uso del bien, las obras necesarias para su enmienda tendrán el carácter de conservación. Las obras de mantenimiento tendrán el mismo carácter que las de conservación.</w:t>
      </w:r>
    </w:p>
    <w:p w:rsidR="0092635B" w:rsidRDefault="00000000">
      <w:pPr>
        <w:pStyle w:val="Prrafodelista"/>
        <w:numPr>
          <w:ilvl w:val="0"/>
          <w:numId w:val="150"/>
        </w:numPr>
        <w:tabs>
          <w:tab w:val="left" w:pos="1697"/>
        </w:tabs>
        <w:spacing w:line="249" w:lineRule="auto"/>
        <w:ind w:right="1105" w:firstLine="340"/>
        <w:jc w:val="both"/>
        <w:rPr>
          <w:sz w:val="20"/>
        </w:rPr>
      </w:pPr>
      <w:r>
        <w:rPr>
          <w:sz w:val="20"/>
        </w:rPr>
        <w:t>Son obras de restauración aquellas que tienen por objeto reparar una construcción conservando su estética, respetando su valor histórico y manteniendo su funcionalidad.</w:t>
      </w:r>
    </w:p>
    <w:p w:rsidR="0092635B" w:rsidRDefault="00000000">
      <w:pPr>
        <w:pStyle w:val="Prrafodelista"/>
        <w:numPr>
          <w:ilvl w:val="0"/>
          <w:numId w:val="150"/>
        </w:numPr>
        <w:tabs>
          <w:tab w:val="left" w:pos="1692"/>
        </w:tabs>
        <w:spacing w:line="249" w:lineRule="auto"/>
        <w:ind w:right="1104" w:firstLine="340"/>
        <w:jc w:val="both"/>
        <w:rPr>
          <w:sz w:val="20"/>
        </w:rPr>
      </w:pPr>
      <w:r>
        <w:rPr>
          <w:sz w:val="20"/>
        </w:rPr>
        <w:t>Son obras de rehabilitación aquellas que tienen por objeto reparar una construcción conservando su estética, respetando su valor histórico y dotándola de una nueva funcionalidad que sea compatible con los elementos y valores originales del inmueble.</w:t>
      </w:r>
    </w:p>
    <w:p w:rsidR="0092635B" w:rsidRDefault="00000000">
      <w:pPr>
        <w:pStyle w:val="Prrafodelista"/>
        <w:numPr>
          <w:ilvl w:val="0"/>
          <w:numId w:val="150"/>
        </w:numPr>
        <w:tabs>
          <w:tab w:val="left" w:pos="1686"/>
        </w:tabs>
        <w:spacing w:before="3" w:line="249" w:lineRule="auto"/>
        <w:ind w:right="1106" w:firstLine="340"/>
        <w:jc w:val="both"/>
        <w:rPr>
          <w:sz w:val="20"/>
        </w:rPr>
      </w:pPr>
      <w:r>
        <w:rPr>
          <w:sz w:val="20"/>
        </w:rPr>
        <w:t>Son obras de demolición las que tengan por objeto el derribo o la destrucción de un bien inmueble.</w:t>
      </w:r>
    </w:p>
    <w:p w:rsidR="0092635B" w:rsidRDefault="00000000">
      <w:pPr>
        <w:spacing w:before="228"/>
        <w:ind w:left="1106"/>
        <w:rPr>
          <w:rFonts w:ascii="Arial" w:hAnsi="Arial"/>
          <w:i/>
          <w:sz w:val="20"/>
        </w:rPr>
      </w:pPr>
      <w:bookmarkStart w:id="369" w:name="Artículo_233._Contenido_de_los_proyectos"/>
      <w:bookmarkEnd w:id="369"/>
      <w:r>
        <w:rPr>
          <w:rFonts w:ascii="Arial" w:hAnsi="Arial"/>
          <w:b/>
          <w:sz w:val="20"/>
        </w:rPr>
        <w:t>Artículo</w:t>
      </w:r>
      <w:r>
        <w:rPr>
          <w:rFonts w:ascii="Arial" w:hAnsi="Arial"/>
          <w:b/>
          <w:spacing w:val="-5"/>
          <w:sz w:val="20"/>
        </w:rPr>
        <w:t xml:space="preserve"> </w:t>
      </w:r>
      <w:r>
        <w:rPr>
          <w:rFonts w:ascii="Arial" w:hAnsi="Arial"/>
          <w:b/>
          <w:sz w:val="20"/>
        </w:rPr>
        <w:t>233.</w:t>
      </w:r>
      <w:r>
        <w:rPr>
          <w:rFonts w:ascii="Arial" w:hAnsi="Arial"/>
          <w:b/>
          <w:spacing w:val="49"/>
          <w:sz w:val="20"/>
        </w:rPr>
        <w:t xml:space="preserve"> </w:t>
      </w:r>
      <w:r>
        <w:rPr>
          <w:rFonts w:ascii="Arial" w:hAnsi="Arial"/>
          <w:i/>
          <w:sz w:val="20"/>
        </w:rPr>
        <w:t>Contenido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2"/>
          <w:sz w:val="20"/>
        </w:rPr>
        <w:t xml:space="preserve"> </w:t>
      </w:r>
      <w:r>
        <w:rPr>
          <w:rFonts w:ascii="Arial" w:hAnsi="Arial"/>
          <w:i/>
          <w:sz w:val="20"/>
        </w:rPr>
        <w:t>proyectos</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responsabilidad</w:t>
      </w:r>
      <w:r>
        <w:rPr>
          <w:rFonts w:ascii="Arial" w:hAnsi="Arial"/>
          <w:i/>
          <w:spacing w:val="-2"/>
          <w:sz w:val="20"/>
        </w:rPr>
        <w:t xml:space="preserve"> </w:t>
      </w:r>
      <w:r>
        <w:rPr>
          <w:rFonts w:ascii="Arial" w:hAnsi="Arial"/>
          <w:i/>
          <w:sz w:val="20"/>
        </w:rPr>
        <w:t>derivada</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su</w:t>
      </w:r>
      <w:r>
        <w:rPr>
          <w:rFonts w:ascii="Arial" w:hAnsi="Arial"/>
          <w:i/>
          <w:spacing w:val="-2"/>
          <w:sz w:val="20"/>
        </w:rPr>
        <w:t xml:space="preserve"> elaboración.</w:t>
      </w:r>
    </w:p>
    <w:p w:rsidR="0092635B" w:rsidRDefault="00000000">
      <w:pPr>
        <w:pStyle w:val="Prrafodelista"/>
        <w:numPr>
          <w:ilvl w:val="0"/>
          <w:numId w:val="149"/>
        </w:numPr>
        <w:tabs>
          <w:tab w:val="left" w:pos="1668"/>
        </w:tabs>
        <w:spacing w:before="123"/>
        <w:ind w:right="0" w:hanging="222"/>
        <w:rPr>
          <w:sz w:val="20"/>
        </w:rPr>
      </w:pPr>
      <w:r>
        <w:rPr>
          <w:sz w:val="20"/>
        </w:rPr>
        <w:t>Los</w:t>
      </w:r>
      <w:r>
        <w:rPr>
          <w:spacing w:val="-3"/>
          <w:sz w:val="20"/>
        </w:rPr>
        <w:t xml:space="preserve"> </w:t>
      </w:r>
      <w:r>
        <w:rPr>
          <w:sz w:val="20"/>
        </w:rPr>
        <w:t>proyectos</w:t>
      </w:r>
      <w:r>
        <w:rPr>
          <w:spacing w:val="-3"/>
          <w:sz w:val="20"/>
        </w:rPr>
        <w:t xml:space="preserve"> </w:t>
      </w:r>
      <w:r>
        <w:rPr>
          <w:sz w:val="20"/>
        </w:rPr>
        <w:t>de</w:t>
      </w:r>
      <w:r>
        <w:rPr>
          <w:spacing w:val="-3"/>
          <w:sz w:val="20"/>
        </w:rPr>
        <w:t xml:space="preserve"> </w:t>
      </w:r>
      <w:r>
        <w:rPr>
          <w:sz w:val="20"/>
        </w:rPr>
        <w:t>obras</w:t>
      </w:r>
      <w:r>
        <w:rPr>
          <w:spacing w:val="-2"/>
          <w:sz w:val="20"/>
        </w:rPr>
        <w:t xml:space="preserve"> </w:t>
      </w:r>
      <w:r>
        <w:rPr>
          <w:sz w:val="20"/>
        </w:rPr>
        <w:t>deberán</w:t>
      </w:r>
      <w:r>
        <w:rPr>
          <w:spacing w:val="-3"/>
          <w:sz w:val="20"/>
        </w:rPr>
        <w:t xml:space="preserve"> </w:t>
      </w:r>
      <w:r>
        <w:rPr>
          <w:sz w:val="20"/>
        </w:rPr>
        <w:t>comprender,</w:t>
      </w:r>
      <w:r>
        <w:rPr>
          <w:spacing w:val="-3"/>
          <w:sz w:val="20"/>
        </w:rPr>
        <w:t xml:space="preserve"> </w:t>
      </w:r>
      <w:r>
        <w:rPr>
          <w:sz w:val="20"/>
        </w:rPr>
        <w:t>al</w:t>
      </w:r>
      <w:r>
        <w:rPr>
          <w:spacing w:val="-2"/>
          <w:sz w:val="20"/>
        </w:rPr>
        <w:t xml:space="preserve"> menos:</w:t>
      </w:r>
    </w:p>
    <w:p w:rsidR="0092635B" w:rsidRDefault="00000000">
      <w:pPr>
        <w:pStyle w:val="Prrafodelista"/>
        <w:numPr>
          <w:ilvl w:val="1"/>
          <w:numId w:val="149"/>
        </w:numPr>
        <w:tabs>
          <w:tab w:val="left" w:pos="1744"/>
        </w:tabs>
        <w:spacing w:before="130" w:line="249" w:lineRule="auto"/>
        <w:ind w:firstLine="340"/>
        <w:jc w:val="both"/>
        <w:rPr>
          <w:sz w:val="20"/>
        </w:rPr>
      </w:pPr>
      <w:r>
        <w:rPr>
          <w:sz w:val="20"/>
        </w:rPr>
        <w:t>Una memoria en la que se describa el objeto de las obras, que recogerá los antecedentes y situación previa a las mismas, las necesidades a satisfacer y la justificación de la solución adoptada, detallándose los factores de todo orden a tener en cuenta.</w:t>
      </w:r>
    </w:p>
    <w:p w:rsidR="0092635B" w:rsidRDefault="00000000">
      <w:pPr>
        <w:pStyle w:val="Prrafodelista"/>
        <w:numPr>
          <w:ilvl w:val="1"/>
          <w:numId w:val="149"/>
        </w:numPr>
        <w:tabs>
          <w:tab w:val="left" w:pos="1685"/>
        </w:tabs>
        <w:spacing w:before="3" w:line="249" w:lineRule="auto"/>
        <w:ind w:right="1104" w:firstLine="340"/>
        <w:jc w:val="both"/>
        <w:rPr>
          <w:sz w:val="20"/>
        </w:rPr>
      </w:pPr>
      <w:r>
        <w:rPr>
          <w:sz w:val="20"/>
        </w:rPr>
        <w:t>Los planos de conjunto y de detalle necesarios para que la obra quede perfectamente definida, así como los que delimiten la ocupación de terrenos y la restitución de</w:t>
      </w:r>
      <w:r>
        <w:rPr>
          <w:spacing w:val="40"/>
          <w:sz w:val="20"/>
        </w:rPr>
        <w:t xml:space="preserve"> </w:t>
      </w:r>
      <w:r>
        <w:rPr>
          <w:sz w:val="20"/>
        </w:rPr>
        <w:t>servidumbres y demás derechos reales, en su caso, y servicios afectados por su ejecución.</w:t>
      </w:r>
    </w:p>
    <w:p w:rsidR="0092635B" w:rsidRDefault="00000000">
      <w:pPr>
        <w:pStyle w:val="Prrafodelista"/>
        <w:numPr>
          <w:ilvl w:val="1"/>
          <w:numId w:val="149"/>
        </w:numPr>
        <w:tabs>
          <w:tab w:val="left" w:pos="1682"/>
        </w:tabs>
        <w:spacing w:line="249" w:lineRule="auto"/>
        <w:ind w:right="1104" w:firstLine="340"/>
        <w:jc w:val="both"/>
        <w:rPr>
          <w:sz w:val="20"/>
        </w:rPr>
      </w:pPr>
      <w:r>
        <w:rPr>
          <w:sz w:val="20"/>
        </w:rPr>
        <w:t>El pliego de prescripciones técnicas particulares, donde se hará la descripción de las obras y se regulará su ejecución, con expresión de la forma en que esta se llevará a cabo, las obligaciones de orden técnico que correspondan al contratista, y la manera en que se llevará a cabo la medición de las unidades ejecutadas y el control de calidad de los materiales empleados y del proceso de ejecución.</w:t>
      </w:r>
    </w:p>
    <w:p w:rsidR="0092635B" w:rsidRDefault="00000000">
      <w:pPr>
        <w:pStyle w:val="Prrafodelista"/>
        <w:numPr>
          <w:ilvl w:val="1"/>
          <w:numId w:val="149"/>
        </w:numPr>
        <w:tabs>
          <w:tab w:val="left" w:pos="1714"/>
        </w:tabs>
        <w:spacing w:before="4" w:line="249" w:lineRule="auto"/>
        <w:ind w:right="1102" w:firstLine="340"/>
        <w:jc w:val="both"/>
        <w:rPr>
          <w:sz w:val="20"/>
        </w:rPr>
      </w:pPr>
      <w:r>
        <w:rPr>
          <w:sz w:val="20"/>
        </w:rPr>
        <w:t>Un presupuesto, integrado o no por varios parciales, con expresión de los precios unitarios y de los descompuestos, en su caso, estado de mediciones y los detalles precisos para su valoración. El presupuesto se ordenará por obras elementales, en los términos que reglamentariamente se establezcan.</w:t>
      </w:r>
    </w:p>
    <w:p w:rsidR="0092635B" w:rsidRDefault="00000000">
      <w:pPr>
        <w:pStyle w:val="Prrafodelista"/>
        <w:numPr>
          <w:ilvl w:val="1"/>
          <w:numId w:val="149"/>
        </w:numPr>
        <w:tabs>
          <w:tab w:val="left" w:pos="1696"/>
        </w:tabs>
        <w:spacing w:before="4" w:line="249" w:lineRule="auto"/>
        <w:ind w:right="1104" w:firstLine="340"/>
        <w:jc w:val="both"/>
        <w:rPr>
          <w:sz w:val="20"/>
        </w:rPr>
      </w:pPr>
      <w:r>
        <w:rPr>
          <w:sz w:val="20"/>
        </w:rPr>
        <w:t>Un programa de desarrollo de los trabajos o plan de obra de carácter indicativo, con previsión, en su caso, del tiempo y coste.</w:t>
      </w:r>
    </w:p>
    <w:p w:rsidR="0092635B" w:rsidRDefault="00000000">
      <w:pPr>
        <w:pStyle w:val="Prrafodelista"/>
        <w:numPr>
          <w:ilvl w:val="1"/>
          <w:numId w:val="149"/>
        </w:numPr>
        <w:tabs>
          <w:tab w:val="left" w:pos="1623"/>
        </w:tabs>
        <w:spacing w:before="1"/>
        <w:ind w:left="1623" w:right="0" w:hanging="177"/>
        <w:jc w:val="both"/>
        <w:rPr>
          <w:sz w:val="20"/>
        </w:rPr>
      </w:pPr>
      <w:r>
        <w:rPr>
          <w:sz w:val="20"/>
        </w:rPr>
        <w:t>Las</w:t>
      </w:r>
      <w:r>
        <w:rPr>
          <w:spacing w:val="-3"/>
          <w:sz w:val="20"/>
        </w:rPr>
        <w:t xml:space="preserve"> </w:t>
      </w:r>
      <w:r>
        <w:rPr>
          <w:sz w:val="20"/>
        </w:rPr>
        <w:t>referencias</w:t>
      </w:r>
      <w:r>
        <w:rPr>
          <w:spacing w:val="-3"/>
          <w:sz w:val="20"/>
        </w:rPr>
        <w:t xml:space="preserve"> </w:t>
      </w:r>
      <w:r>
        <w:rPr>
          <w:sz w:val="20"/>
        </w:rPr>
        <w:t>de</w:t>
      </w:r>
      <w:r>
        <w:rPr>
          <w:spacing w:val="-2"/>
          <w:sz w:val="20"/>
        </w:rPr>
        <w:t xml:space="preserve"> </w:t>
      </w:r>
      <w:r>
        <w:rPr>
          <w:sz w:val="20"/>
        </w:rPr>
        <w:t>todo</w:t>
      </w:r>
      <w:r>
        <w:rPr>
          <w:spacing w:val="-3"/>
          <w:sz w:val="20"/>
        </w:rPr>
        <w:t xml:space="preserve"> </w:t>
      </w:r>
      <w:r>
        <w:rPr>
          <w:sz w:val="20"/>
        </w:rPr>
        <w:t>tipo</w:t>
      </w:r>
      <w:r>
        <w:rPr>
          <w:spacing w:val="-2"/>
          <w:sz w:val="20"/>
        </w:rPr>
        <w:t xml:space="preserve"> </w:t>
      </w:r>
      <w:r>
        <w:rPr>
          <w:sz w:val="20"/>
        </w:rPr>
        <w:t>en</w:t>
      </w:r>
      <w:r>
        <w:rPr>
          <w:spacing w:val="-3"/>
          <w:sz w:val="20"/>
        </w:rPr>
        <w:t xml:space="preserve"> </w:t>
      </w:r>
      <w:r>
        <w:rPr>
          <w:sz w:val="20"/>
        </w:rPr>
        <w:t>que</w:t>
      </w:r>
      <w:r>
        <w:rPr>
          <w:spacing w:val="-2"/>
          <w:sz w:val="20"/>
        </w:rPr>
        <w:t xml:space="preserve"> </w:t>
      </w:r>
      <w:r>
        <w:rPr>
          <w:sz w:val="20"/>
        </w:rPr>
        <w:t>se</w:t>
      </w:r>
      <w:r>
        <w:rPr>
          <w:spacing w:val="-3"/>
          <w:sz w:val="20"/>
        </w:rPr>
        <w:t xml:space="preserve"> </w:t>
      </w:r>
      <w:r>
        <w:rPr>
          <w:sz w:val="20"/>
        </w:rPr>
        <w:t>fundamentará</w:t>
      </w:r>
      <w:r>
        <w:rPr>
          <w:spacing w:val="-2"/>
          <w:sz w:val="20"/>
        </w:rPr>
        <w:t xml:space="preserve"> </w:t>
      </w:r>
      <w:r>
        <w:rPr>
          <w:sz w:val="20"/>
        </w:rPr>
        <w:t>el</w:t>
      </w:r>
      <w:r>
        <w:rPr>
          <w:spacing w:val="-3"/>
          <w:sz w:val="20"/>
        </w:rPr>
        <w:t xml:space="preserve"> </w:t>
      </w:r>
      <w:r>
        <w:rPr>
          <w:sz w:val="20"/>
        </w:rPr>
        <w:t>replanteo</w:t>
      </w:r>
      <w:r>
        <w:rPr>
          <w:spacing w:val="-2"/>
          <w:sz w:val="20"/>
        </w:rPr>
        <w:t xml:space="preserve"> </w:t>
      </w:r>
      <w:r>
        <w:rPr>
          <w:sz w:val="20"/>
        </w:rPr>
        <w:t>de</w:t>
      </w:r>
      <w:r>
        <w:rPr>
          <w:spacing w:val="-3"/>
          <w:sz w:val="20"/>
        </w:rPr>
        <w:t xml:space="preserve"> </w:t>
      </w:r>
      <w:r>
        <w:rPr>
          <w:sz w:val="20"/>
        </w:rPr>
        <w:t>la</w:t>
      </w:r>
      <w:r>
        <w:rPr>
          <w:spacing w:val="-2"/>
          <w:sz w:val="20"/>
        </w:rPr>
        <w:t xml:space="preserve"> obra.</w:t>
      </w:r>
    </w:p>
    <w:p w:rsidR="0092635B" w:rsidRDefault="00000000">
      <w:pPr>
        <w:pStyle w:val="Prrafodelista"/>
        <w:numPr>
          <w:ilvl w:val="1"/>
          <w:numId w:val="149"/>
        </w:numPr>
        <w:tabs>
          <w:tab w:val="left" w:pos="1686"/>
        </w:tabs>
        <w:spacing w:before="10" w:line="249" w:lineRule="auto"/>
        <w:ind w:firstLine="340"/>
        <w:jc w:val="both"/>
        <w:rPr>
          <w:sz w:val="20"/>
        </w:rPr>
      </w:pPr>
      <w:r>
        <w:rPr>
          <w:sz w:val="20"/>
        </w:rPr>
        <w:t>El estudio de seguridad y salud o, en su caso, el estudio básico de seguridad y salud, en los términos previstos en las normas de seguridad y salud en las obras.</w:t>
      </w:r>
    </w:p>
    <w:p w:rsidR="0092635B" w:rsidRDefault="00000000">
      <w:pPr>
        <w:pStyle w:val="Prrafodelista"/>
        <w:numPr>
          <w:ilvl w:val="1"/>
          <w:numId w:val="149"/>
        </w:numPr>
        <w:tabs>
          <w:tab w:val="left" w:pos="1679"/>
        </w:tabs>
        <w:ind w:left="1679" w:right="0" w:hanging="233"/>
        <w:jc w:val="both"/>
        <w:rPr>
          <w:sz w:val="20"/>
        </w:rPr>
      </w:pPr>
      <w:r>
        <w:rPr>
          <w:sz w:val="20"/>
        </w:rPr>
        <w:t>Cuanta</w:t>
      </w:r>
      <w:r>
        <w:rPr>
          <w:spacing w:val="-4"/>
          <w:sz w:val="20"/>
        </w:rPr>
        <w:t xml:space="preserve"> </w:t>
      </w:r>
      <w:r>
        <w:rPr>
          <w:sz w:val="20"/>
        </w:rPr>
        <w:t>documentación</w:t>
      </w:r>
      <w:r>
        <w:rPr>
          <w:spacing w:val="-3"/>
          <w:sz w:val="20"/>
        </w:rPr>
        <w:t xml:space="preserve"> </w:t>
      </w:r>
      <w:r>
        <w:rPr>
          <w:sz w:val="20"/>
        </w:rPr>
        <w:t>venga</w:t>
      </w:r>
      <w:r>
        <w:rPr>
          <w:spacing w:val="-4"/>
          <w:sz w:val="20"/>
        </w:rPr>
        <w:t xml:space="preserve"> </w:t>
      </w:r>
      <w:r>
        <w:rPr>
          <w:sz w:val="20"/>
        </w:rPr>
        <w:t>prevista</w:t>
      </w:r>
      <w:r>
        <w:rPr>
          <w:spacing w:val="-3"/>
          <w:sz w:val="20"/>
        </w:rPr>
        <w:t xml:space="preserve"> </w:t>
      </w:r>
      <w:r>
        <w:rPr>
          <w:sz w:val="20"/>
        </w:rPr>
        <w:t>en</w:t>
      </w:r>
      <w:r>
        <w:rPr>
          <w:spacing w:val="-3"/>
          <w:sz w:val="20"/>
        </w:rPr>
        <w:t xml:space="preserve"> </w:t>
      </w:r>
      <w:r>
        <w:rPr>
          <w:sz w:val="20"/>
        </w:rPr>
        <w:t>normas</w:t>
      </w:r>
      <w:r>
        <w:rPr>
          <w:spacing w:val="-4"/>
          <w:sz w:val="20"/>
        </w:rPr>
        <w:t xml:space="preserve"> </w:t>
      </w:r>
      <w:r>
        <w:rPr>
          <w:sz w:val="20"/>
        </w:rPr>
        <w:t>de</w:t>
      </w:r>
      <w:r>
        <w:rPr>
          <w:spacing w:val="-3"/>
          <w:sz w:val="20"/>
        </w:rPr>
        <w:t xml:space="preserve"> </w:t>
      </w:r>
      <w:r>
        <w:rPr>
          <w:sz w:val="20"/>
        </w:rPr>
        <w:t>carácter</w:t>
      </w:r>
      <w:r>
        <w:rPr>
          <w:spacing w:val="-4"/>
          <w:sz w:val="20"/>
        </w:rPr>
        <w:t xml:space="preserve"> </w:t>
      </w:r>
      <w:r>
        <w:rPr>
          <w:sz w:val="20"/>
        </w:rPr>
        <w:t>legal</w:t>
      </w:r>
      <w:r>
        <w:rPr>
          <w:spacing w:val="-3"/>
          <w:sz w:val="20"/>
        </w:rPr>
        <w:t xml:space="preserve"> </w:t>
      </w:r>
      <w:r>
        <w:rPr>
          <w:sz w:val="20"/>
        </w:rPr>
        <w:t>o</w:t>
      </w:r>
      <w:r>
        <w:rPr>
          <w:spacing w:val="-3"/>
          <w:sz w:val="20"/>
        </w:rPr>
        <w:t xml:space="preserve"> </w:t>
      </w:r>
      <w:r>
        <w:rPr>
          <w:spacing w:val="-2"/>
          <w:sz w:val="20"/>
        </w:rPr>
        <w:t>reglamentario.</w:t>
      </w:r>
    </w:p>
    <w:p w:rsidR="0092635B" w:rsidRDefault="00000000">
      <w:pPr>
        <w:pStyle w:val="Prrafodelista"/>
        <w:numPr>
          <w:ilvl w:val="0"/>
          <w:numId w:val="149"/>
        </w:numPr>
        <w:tabs>
          <w:tab w:val="left" w:pos="1690"/>
        </w:tabs>
        <w:spacing w:before="130" w:line="249" w:lineRule="auto"/>
        <w:ind w:left="1106" w:firstLine="340"/>
        <w:jc w:val="both"/>
        <w:rPr>
          <w:sz w:val="20"/>
        </w:rPr>
      </w:pPr>
      <w:r>
        <w:rPr>
          <w:sz w:val="20"/>
        </w:rPr>
        <w:t>No obstante, para los proyectos de obras de primer establecimiento, reforma o gran reparación inferiores a 500.000 euros de presupuesto base de licitación, IVA excluido, y para los restantes proyectos enumerados en el artículo anterior, se podrá simplificar, refundir o incluso suprimir, alguno o algunos de los documentos anteriores en la forma que en las normas</w:t>
      </w:r>
      <w:r>
        <w:rPr>
          <w:spacing w:val="24"/>
          <w:sz w:val="20"/>
        </w:rPr>
        <w:t xml:space="preserve"> </w:t>
      </w:r>
      <w:r>
        <w:rPr>
          <w:sz w:val="20"/>
        </w:rPr>
        <w:t>de</w:t>
      </w:r>
      <w:r>
        <w:rPr>
          <w:spacing w:val="24"/>
          <w:sz w:val="20"/>
        </w:rPr>
        <w:t xml:space="preserve"> </w:t>
      </w:r>
      <w:r>
        <w:rPr>
          <w:sz w:val="20"/>
        </w:rPr>
        <w:t>desarrollo</w:t>
      </w:r>
      <w:r>
        <w:rPr>
          <w:spacing w:val="24"/>
          <w:sz w:val="20"/>
        </w:rPr>
        <w:t xml:space="preserve"> </w:t>
      </w:r>
      <w:r>
        <w:rPr>
          <w:sz w:val="20"/>
        </w:rPr>
        <w:t>de</w:t>
      </w:r>
      <w:r>
        <w:rPr>
          <w:spacing w:val="24"/>
          <w:sz w:val="20"/>
        </w:rPr>
        <w:t xml:space="preserve"> </w:t>
      </w:r>
      <w:r>
        <w:rPr>
          <w:sz w:val="20"/>
        </w:rPr>
        <w:t>esta</w:t>
      </w:r>
      <w:r>
        <w:rPr>
          <w:spacing w:val="24"/>
          <w:sz w:val="20"/>
        </w:rPr>
        <w:t xml:space="preserve"> </w:t>
      </w:r>
      <w:r>
        <w:rPr>
          <w:sz w:val="20"/>
        </w:rPr>
        <w:t>Ley</w:t>
      </w:r>
      <w:r>
        <w:rPr>
          <w:spacing w:val="24"/>
          <w:sz w:val="20"/>
        </w:rPr>
        <w:t xml:space="preserve"> </w:t>
      </w:r>
      <w:r>
        <w:rPr>
          <w:sz w:val="20"/>
        </w:rPr>
        <w:t>se</w:t>
      </w:r>
      <w:r>
        <w:rPr>
          <w:spacing w:val="24"/>
          <w:sz w:val="20"/>
        </w:rPr>
        <w:t xml:space="preserve"> </w:t>
      </w:r>
      <w:r>
        <w:rPr>
          <w:sz w:val="20"/>
        </w:rPr>
        <w:t>determine,</w:t>
      </w:r>
      <w:r>
        <w:rPr>
          <w:spacing w:val="24"/>
          <w:sz w:val="20"/>
        </w:rPr>
        <w:t xml:space="preserve"> </w:t>
      </w:r>
      <w:r>
        <w:rPr>
          <w:sz w:val="20"/>
        </w:rPr>
        <w:t>siempre</w:t>
      </w:r>
      <w:r>
        <w:rPr>
          <w:spacing w:val="24"/>
          <w:sz w:val="20"/>
        </w:rPr>
        <w:t xml:space="preserve"> </w:t>
      </w:r>
      <w:r>
        <w:rPr>
          <w:sz w:val="20"/>
        </w:rPr>
        <w:t>que</w:t>
      </w:r>
      <w:r>
        <w:rPr>
          <w:spacing w:val="24"/>
          <w:sz w:val="20"/>
        </w:rPr>
        <w:t xml:space="preserve"> </w:t>
      </w:r>
      <w:r>
        <w:rPr>
          <w:sz w:val="20"/>
        </w:rPr>
        <w:t>la</w:t>
      </w:r>
      <w:r>
        <w:rPr>
          <w:spacing w:val="24"/>
          <w:sz w:val="20"/>
        </w:rPr>
        <w:t xml:space="preserve"> </w:t>
      </w:r>
      <w:r>
        <w:rPr>
          <w:sz w:val="20"/>
        </w:rPr>
        <w:t>documentación</w:t>
      </w:r>
      <w:r>
        <w:rPr>
          <w:spacing w:val="24"/>
          <w:sz w:val="20"/>
        </w:rPr>
        <w:t xml:space="preserve"> </w:t>
      </w:r>
      <w:r>
        <w:rPr>
          <w:sz w:val="20"/>
        </w:rPr>
        <w:t>resultante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2" w:firstLine="0"/>
      </w:pPr>
      <w:r>
        <w:t>sea suficiente para definir, valorar y ejecutar las obras que comprenda. No obstante, solo podrá prescindirse de la documentación indicada en la letra g) del apartado anterior en los casos en que así esté previsto en la normativa específica que la regula.</w:t>
      </w:r>
    </w:p>
    <w:p w:rsidR="0092635B" w:rsidRDefault="00000000">
      <w:pPr>
        <w:pStyle w:val="Prrafodelista"/>
        <w:numPr>
          <w:ilvl w:val="0"/>
          <w:numId w:val="149"/>
        </w:numPr>
        <w:tabs>
          <w:tab w:val="left" w:pos="1691"/>
        </w:tabs>
        <w:spacing w:line="249" w:lineRule="auto"/>
        <w:ind w:left="1106" w:firstLine="340"/>
        <w:jc w:val="both"/>
        <w:rPr>
          <w:sz w:val="20"/>
        </w:rPr>
      </w:pPr>
      <w:r>
        <w:rPr>
          <w:sz w:val="20"/>
        </w:rPr>
        <w:t>Salvo que ello resulte incompatible con la naturaleza de la obra, el proyecto deberá incluir un estudio geotécnico de los terrenos sobre los que esta se va a ejecutar, así como</w:t>
      </w:r>
      <w:r>
        <w:rPr>
          <w:spacing w:val="40"/>
          <w:sz w:val="20"/>
        </w:rPr>
        <w:t xml:space="preserve"> </w:t>
      </w:r>
      <w:r>
        <w:rPr>
          <w:sz w:val="20"/>
        </w:rPr>
        <w:t xml:space="preserve">los informes y estudios previos necesarios para la mejor determinación del objeto del </w:t>
      </w:r>
      <w:r>
        <w:rPr>
          <w:spacing w:val="-2"/>
          <w:sz w:val="20"/>
        </w:rPr>
        <w:t>contrato.</w:t>
      </w:r>
    </w:p>
    <w:p w:rsidR="0092635B" w:rsidRDefault="00000000">
      <w:pPr>
        <w:pStyle w:val="Prrafodelista"/>
        <w:numPr>
          <w:ilvl w:val="0"/>
          <w:numId w:val="149"/>
        </w:numPr>
        <w:tabs>
          <w:tab w:val="left" w:pos="1746"/>
        </w:tabs>
        <w:spacing w:before="3" w:line="249" w:lineRule="auto"/>
        <w:ind w:left="1106" w:firstLine="340"/>
        <w:jc w:val="both"/>
        <w:rPr>
          <w:sz w:val="20"/>
        </w:rPr>
      </w:pPr>
      <w:r>
        <w:rPr>
          <w:sz w:val="20"/>
        </w:rPr>
        <w:t>Cuando la elaboración del proyecto haya sido contratada íntegramente por la Administración, el autor o autores del mismo incurrirán en responsabilidad en los términos establecidos en esta Ley. En el supuesto de que la prestación se llevara a cabo en colaboración con la Administración y bajo su supervisión, las responsabilidades se limitarán al ámbito de la colaboración.</w:t>
      </w:r>
    </w:p>
    <w:p w:rsidR="0092635B" w:rsidRDefault="00000000">
      <w:pPr>
        <w:pStyle w:val="Textoindependiente"/>
        <w:spacing w:before="4" w:line="249" w:lineRule="auto"/>
        <w:ind w:right="1104"/>
      </w:pPr>
      <w:r>
        <w:t>Cuando el proyecto incluyera un estudio geotécnico y el mismo no hubiera previsto determinadas circunstancias que supongan un incremento en más del 10 por ciento del precio inicial del contrato en ejecución, al autor o autores del mismo les será exigible la indemnización que establece el artículo 315, si bien el porcentaje del 20 por ciento que este indica en su apartado 1 deberá sustituirse, a estos efectos, por el 10 por ciento.</w:t>
      </w:r>
    </w:p>
    <w:p w:rsidR="0092635B" w:rsidRDefault="00000000">
      <w:pPr>
        <w:pStyle w:val="Prrafodelista"/>
        <w:numPr>
          <w:ilvl w:val="0"/>
          <w:numId w:val="149"/>
        </w:numPr>
        <w:tabs>
          <w:tab w:val="left" w:pos="1697"/>
        </w:tabs>
        <w:spacing w:before="5" w:line="249" w:lineRule="auto"/>
        <w:ind w:left="1106" w:right="1104" w:firstLine="340"/>
        <w:jc w:val="both"/>
        <w:rPr>
          <w:sz w:val="20"/>
        </w:rPr>
      </w:pPr>
      <w:r>
        <w:rPr>
          <w:sz w:val="20"/>
        </w:rPr>
        <w:t xml:space="preserve">Los proyectos deberán sujetarse a las instrucciones técnicas que sean de obligado </w:t>
      </w:r>
      <w:r>
        <w:rPr>
          <w:spacing w:val="-2"/>
          <w:sz w:val="20"/>
        </w:rPr>
        <w:t>cumplimiento.</w:t>
      </w:r>
    </w:p>
    <w:p w:rsidR="0092635B" w:rsidRDefault="00000000">
      <w:pPr>
        <w:pStyle w:val="Prrafodelista"/>
        <w:numPr>
          <w:ilvl w:val="0"/>
          <w:numId w:val="149"/>
        </w:numPr>
        <w:tabs>
          <w:tab w:val="left" w:pos="1671"/>
        </w:tabs>
        <w:spacing w:before="1" w:line="249" w:lineRule="auto"/>
        <w:ind w:left="1106" w:right="1104" w:firstLine="340"/>
        <w:jc w:val="both"/>
        <w:rPr>
          <w:sz w:val="20"/>
        </w:rPr>
      </w:pPr>
      <w:r>
        <w:rPr>
          <w:sz w:val="20"/>
        </w:rPr>
        <w:t>Cuando las obras sean objeto de explotación por la Administración Pública el proyecto deberá ir acompañado del valor actual neto de las inversiones, costes e ingresos a obtener por la Administración que vaya a explotar la obra.</w:t>
      </w:r>
    </w:p>
    <w:p w:rsidR="0092635B" w:rsidRDefault="00000000">
      <w:pPr>
        <w:spacing w:before="229"/>
        <w:ind w:left="1106"/>
        <w:jc w:val="both"/>
        <w:rPr>
          <w:rFonts w:ascii="Arial" w:hAnsi="Arial"/>
          <w:i/>
          <w:sz w:val="20"/>
        </w:rPr>
      </w:pPr>
      <w:bookmarkStart w:id="370" w:name="Artículo_234._Presentación_del_proyecto_"/>
      <w:bookmarkEnd w:id="370"/>
      <w:r>
        <w:rPr>
          <w:rFonts w:ascii="Arial" w:hAnsi="Arial"/>
          <w:b/>
          <w:sz w:val="20"/>
        </w:rPr>
        <w:t>Artículo</w:t>
      </w:r>
      <w:r>
        <w:rPr>
          <w:rFonts w:ascii="Arial" w:hAnsi="Arial"/>
          <w:b/>
          <w:spacing w:val="-3"/>
          <w:sz w:val="20"/>
        </w:rPr>
        <w:t xml:space="preserve"> </w:t>
      </w:r>
      <w:r>
        <w:rPr>
          <w:rFonts w:ascii="Arial" w:hAnsi="Arial"/>
          <w:b/>
          <w:sz w:val="20"/>
        </w:rPr>
        <w:t>234.</w:t>
      </w:r>
      <w:r>
        <w:rPr>
          <w:rFonts w:ascii="Arial" w:hAnsi="Arial"/>
          <w:b/>
          <w:spacing w:val="49"/>
          <w:sz w:val="20"/>
        </w:rPr>
        <w:t xml:space="preserve"> </w:t>
      </w:r>
      <w:r>
        <w:rPr>
          <w:rFonts w:ascii="Arial" w:hAnsi="Arial"/>
          <w:i/>
          <w:sz w:val="20"/>
        </w:rPr>
        <w:t>Presentación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proyecto</w:t>
      </w:r>
      <w:r>
        <w:rPr>
          <w:rFonts w:ascii="Arial" w:hAnsi="Arial"/>
          <w:i/>
          <w:spacing w:val="-2"/>
          <w:sz w:val="20"/>
        </w:rPr>
        <w:t xml:space="preserve"> </w:t>
      </w:r>
      <w:r>
        <w:rPr>
          <w:rFonts w:ascii="Arial" w:hAnsi="Arial"/>
          <w:i/>
          <w:sz w:val="20"/>
        </w:rPr>
        <w:t>por</w:t>
      </w:r>
      <w:r>
        <w:rPr>
          <w:rFonts w:ascii="Arial" w:hAnsi="Arial"/>
          <w:i/>
          <w:spacing w:val="-3"/>
          <w:sz w:val="20"/>
        </w:rPr>
        <w:t xml:space="preserve"> </w:t>
      </w:r>
      <w:r>
        <w:rPr>
          <w:rFonts w:ascii="Arial" w:hAnsi="Arial"/>
          <w:i/>
          <w:sz w:val="20"/>
        </w:rPr>
        <w:t>el</w:t>
      </w:r>
      <w:r>
        <w:rPr>
          <w:rFonts w:ascii="Arial" w:hAnsi="Arial"/>
          <w:i/>
          <w:spacing w:val="-2"/>
          <w:sz w:val="20"/>
        </w:rPr>
        <w:t xml:space="preserve"> empresario.</w:t>
      </w:r>
    </w:p>
    <w:p w:rsidR="0092635B" w:rsidRDefault="00000000">
      <w:pPr>
        <w:pStyle w:val="Prrafodelista"/>
        <w:numPr>
          <w:ilvl w:val="0"/>
          <w:numId w:val="148"/>
        </w:numPr>
        <w:tabs>
          <w:tab w:val="left" w:pos="1695"/>
        </w:tabs>
        <w:spacing w:before="124" w:line="249" w:lineRule="auto"/>
        <w:ind w:right="1105" w:firstLine="340"/>
        <w:jc w:val="both"/>
        <w:rPr>
          <w:sz w:val="20"/>
        </w:rPr>
      </w:pPr>
      <w:r>
        <w:rPr>
          <w:sz w:val="20"/>
        </w:rPr>
        <w:t>La contratación conjunta de la elaboración del proyecto y la ejecución de las obras correspondientes tendrá carácter excepcional y solo podrá efectuarse en los siguientes supuestos cuya concurrencia deberá justificarse debidamente en el expediente:</w:t>
      </w:r>
    </w:p>
    <w:p w:rsidR="0092635B" w:rsidRDefault="00000000">
      <w:pPr>
        <w:pStyle w:val="Prrafodelista"/>
        <w:numPr>
          <w:ilvl w:val="1"/>
          <w:numId w:val="148"/>
        </w:numPr>
        <w:tabs>
          <w:tab w:val="left" w:pos="1686"/>
        </w:tabs>
        <w:spacing w:before="122" w:line="249" w:lineRule="auto"/>
        <w:ind w:right="1104" w:firstLine="340"/>
        <w:jc w:val="both"/>
        <w:rPr>
          <w:sz w:val="20"/>
        </w:rPr>
      </w:pPr>
      <w:r>
        <w:rPr>
          <w:sz w:val="20"/>
        </w:rPr>
        <w:t>Cuando motivos de orden técnico obliguen necesariamente a vincular al empresario a los estudios de las obras. Estos motivos deben estar ligados al destino o a las técnicas de ejecución de la obra.</w:t>
      </w:r>
    </w:p>
    <w:p w:rsidR="0092635B" w:rsidRDefault="00000000">
      <w:pPr>
        <w:pStyle w:val="Prrafodelista"/>
        <w:numPr>
          <w:ilvl w:val="1"/>
          <w:numId w:val="148"/>
        </w:numPr>
        <w:tabs>
          <w:tab w:val="left" w:pos="1758"/>
        </w:tabs>
        <w:spacing w:before="3" w:line="249" w:lineRule="auto"/>
        <w:ind w:right="1104" w:firstLine="340"/>
        <w:jc w:val="both"/>
        <w:rPr>
          <w:sz w:val="20"/>
        </w:rPr>
      </w:pPr>
      <w:r>
        <w:rPr>
          <w:sz w:val="20"/>
        </w:rPr>
        <w:t xml:space="preserve">Cuando se trate de obras cuya dimensión excepcional o dificultades técnicas singulares, requieran soluciones aportadas con medios y capacidad técnica propias de las </w:t>
      </w:r>
      <w:r>
        <w:rPr>
          <w:spacing w:val="-2"/>
          <w:sz w:val="20"/>
        </w:rPr>
        <w:t>empresas.</w:t>
      </w:r>
    </w:p>
    <w:p w:rsidR="0092635B" w:rsidRDefault="00000000">
      <w:pPr>
        <w:pStyle w:val="Prrafodelista"/>
        <w:numPr>
          <w:ilvl w:val="0"/>
          <w:numId w:val="148"/>
        </w:numPr>
        <w:tabs>
          <w:tab w:val="left" w:pos="1678"/>
        </w:tabs>
        <w:spacing w:before="122" w:line="249" w:lineRule="auto"/>
        <w:ind w:firstLine="340"/>
        <w:jc w:val="both"/>
        <w:rPr>
          <w:sz w:val="20"/>
        </w:rPr>
      </w:pPr>
      <w:r>
        <w:rPr>
          <w:sz w:val="20"/>
        </w:rPr>
        <w:t>En todo caso, la licitación de este tipo de contrato requerirá la redacción previa por la Administración</w:t>
      </w:r>
      <w:r>
        <w:rPr>
          <w:spacing w:val="-3"/>
          <w:sz w:val="20"/>
        </w:rPr>
        <w:t xml:space="preserve"> </w:t>
      </w:r>
      <w:r>
        <w:rPr>
          <w:sz w:val="20"/>
        </w:rPr>
        <w:t>o</w:t>
      </w:r>
      <w:r>
        <w:rPr>
          <w:spacing w:val="-3"/>
          <w:sz w:val="20"/>
        </w:rPr>
        <w:t xml:space="preserve"> </w:t>
      </w:r>
      <w:r>
        <w:rPr>
          <w:sz w:val="20"/>
        </w:rPr>
        <w:t>entidad</w:t>
      </w:r>
      <w:r>
        <w:rPr>
          <w:spacing w:val="-3"/>
          <w:sz w:val="20"/>
        </w:rPr>
        <w:t xml:space="preserve"> </w:t>
      </w:r>
      <w:r>
        <w:rPr>
          <w:sz w:val="20"/>
        </w:rPr>
        <w:t>contratante</w:t>
      </w:r>
      <w:r>
        <w:rPr>
          <w:spacing w:val="-3"/>
          <w:sz w:val="20"/>
        </w:rPr>
        <w:t xml:space="preserve"> </w:t>
      </w:r>
      <w:r>
        <w:rPr>
          <w:sz w:val="20"/>
        </w:rPr>
        <w:t>del</w:t>
      </w:r>
      <w:r>
        <w:rPr>
          <w:spacing w:val="-3"/>
          <w:sz w:val="20"/>
        </w:rPr>
        <w:t xml:space="preserve"> </w:t>
      </w:r>
      <w:r>
        <w:rPr>
          <w:sz w:val="20"/>
        </w:rPr>
        <w:t>correspondiente</w:t>
      </w:r>
      <w:r>
        <w:rPr>
          <w:spacing w:val="-3"/>
          <w:sz w:val="20"/>
        </w:rPr>
        <w:t xml:space="preserve"> </w:t>
      </w:r>
      <w:r>
        <w:rPr>
          <w:sz w:val="20"/>
        </w:rPr>
        <w:t>anteproyecto</w:t>
      </w:r>
      <w:r>
        <w:rPr>
          <w:spacing w:val="-3"/>
          <w:sz w:val="20"/>
        </w:rPr>
        <w:t xml:space="preserve"> </w:t>
      </w:r>
      <w:r>
        <w:rPr>
          <w:sz w:val="20"/>
        </w:rPr>
        <w:t>o</w:t>
      </w:r>
      <w:r>
        <w:rPr>
          <w:spacing w:val="-3"/>
          <w:sz w:val="20"/>
        </w:rPr>
        <w:t xml:space="preserve"> </w:t>
      </w:r>
      <w:r>
        <w:rPr>
          <w:sz w:val="20"/>
        </w:rPr>
        <w:t>documento</w:t>
      </w:r>
      <w:r>
        <w:rPr>
          <w:spacing w:val="-3"/>
          <w:sz w:val="20"/>
        </w:rPr>
        <w:t xml:space="preserve"> </w:t>
      </w:r>
      <w:r>
        <w:rPr>
          <w:sz w:val="20"/>
        </w:rPr>
        <w:t>similar</w:t>
      </w:r>
      <w:r>
        <w:rPr>
          <w:spacing w:val="-3"/>
          <w:sz w:val="20"/>
        </w:rPr>
        <w:t xml:space="preserve"> </w:t>
      </w:r>
      <w:r>
        <w:rPr>
          <w:sz w:val="20"/>
        </w:rPr>
        <w:t>y solo, cuando por causas justificadas fuera conveniente al interés público, podrá limitarse a redactar las bases técnicas a que el proyecto deba ajustarse.</w:t>
      </w:r>
    </w:p>
    <w:p w:rsidR="0092635B" w:rsidRDefault="00000000">
      <w:pPr>
        <w:pStyle w:val="Prrafodelista"/>
        <w:numPr>
          <w:ilvl w:val="0"/>
          <w:numId w:val="148"/>
        </w:numPr>
        <w:tabs>
          <w:tab w:val="left" w:pos="1697"/>
        </w:tabs>
        <w:spacing w:before="4" w:line="249" w:lineRule="auto"/>
        <w:ind w:right="1104" w:firstLine="340"/>
        <w:jc w:val="both"/>
        <w:rPr>
          <w:sz w:val="20"/>
        </w:rPr>
      </w:pPr>
      <w:r>
        <w:rPr>
          <w:sz w:val="20"/>
        </w:rPr>
        <w:t>El contratista presentará el proyecto al órgano de contratación para su supervisión, aprobación y replanteo. Si se observaren defectos o referencias de precios inadecuados en el proyecto recibido se requerirá su subsanación del contratista, en los términos del artículo 314, sin que pueda iniciarse la ejecución de obra hasta que se proceda a una nueva supervisión, aprobación y replanteo del proyecto. En el supuesto de que el órgano de contratación y el contratista no llegaren a un acuerdo sobre los precios, el último quedará exonerado de ejecutar las obras, sin otro derecho frente al órgano de contratación que el pago de los trabajos de redacción del correspondiente proyecto.</w:t>
      </w:r>
    </w:p>
    <w:p w:rsidR="0092635B" w:rsidRDefault="00000000">
      <w:pPr>
        <w:pStyle w:val="Prrafodelista"/>
        <w:numPr>
          <w:ilvl w:val="0"/>
          <w:numId w:val="148"/>
        </w:numPr>
        <w:tabs>
          <w:tab w:val="left" w:pos="1675"/>
        </w:tabs>
        <w:spacing w:before="6" w:line="249" w:lineRule="auto"/>
        <w:ind w:right="1102" w:firstLine="340"/>
        <w:jc w:val="both"/>
        <w:rPr>
          <w:sz w:val="20"/>
        </w:rPr>
      </w:pPr>
      <w:r>
        <w:rPr>
          <w:sz w:val="20"/>
        </w:rPr>
        <w:t>En los casos a que se refiere este artículo, la iniciación del expediente y la reserva de crédito correspondiente fijarán el importe máximo previsto que el futuro contrato puede alcanzar. No obstante, no se procederá a la fiscalización del gasto, a su aprobación, así como a la adquisición del compromiso generado por el mismo, hasta que se conozca el importe y las condiciones del contrato de acuerdo con la proposición seleccionada, circunstancias</w:t>
      </w:r>
      <w:r>
        <w:rPr>
          <w:spacing w:val="-2"/>
          <w:sz w:val="20"/>
        </w:rPr>
        <w:t xml:space="preserve"> </w:t>
      </w:r>
      <w:r>
        <w:rPr>
          <w:sz w:val="20"/>
        </w:rPr>
        <w:t>que</w:t>
      </w:r>
      <w:r>
        <w:rPr>
          <w:spacing w:val="-2"/>
          <w:sz w:val="20"/>
        </w:rPr>
        <w:t xml:space="preserve"> </w:t>
      </w:r>
      <w:r>
        <w:rPr>
          <w:sz w:val="20"/>
        </w:rPr>
        <w:t>serán</w:t>
      </w:r>
      <w:r>
        <w:rPr>
          <w:spacing w:val="-2"/>
          <w:sz w:val="20"/>
        </w:rPr>
        <w:t xml:space="preserve"> </w:t>
      </w:r>
      <w:r>
        <w:rPr>
          <w:sz w:val="20"/>
        </w:rPr>
        <w:t>recogidas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correspondiente</w:t>
      </w:r>
      <w:r>
        <w:rPr>
          <w:spacing w:val="-2"/>
          <w:sz w:val="20"/>
        </w:rPr>
        <w:t xml:space="preserve"> </w:t>
      </w:r>
      <w:r>
        <w:rPr>
          <w:sz w:val="20"/>
        </w:rPr>
        <w:t>pliego</w:t>
      </w:r>
      <w:r>
        <w:rPr>
          <w:spacing w:val="-2"/>
          <w:sz w:val="20"/>
        </w:rPr>
        <w:t xml:space="preserve"> </w:t>
      </w:r>
      <w:r>
        <w:rPr>
          <w:sz w:val="20"/>
        </w:rPr>
        <w:t>de</w:t>
      </w:r>
      <w:r>
        <w:rPr>
          <w:spacing w:val="-2"/>
          <w:sz w:val="20"/>
        </w:rPr>
        <w:t xml:space="preserve"> </w:t>
      </w:r>
      <w:r>
        <w:rPr>
          <w:sz w:val="20"/>
        </w:rPr>
        <w:t>cláusulas</w:t>
      </w:r>
      <w:r>
        <w:rPr>
          <w:spacing w:val="-2"/>
          <w:sz w:val="20"/>
        </w:rPr>
        <w:t xml:space="preserve"> </w:t>
      </w:r>
      <w:r>
        <w:rPr>
          <w:sz w:val="20"/>
        </w:rPr>
        <w:t xml:space="preserve">administrativas </w:t>
      </w:r>
      <w:r>
        <w:rPr>
          <w:spacing w:val="-2"/>
          <w:sz w:val="20"/>
        </w:rPr>
        <w:t>particulares.</w:t>
      </w:r>
    </w:p>
    <w:p w:rsidR="0092635B" w:rsidRDefault="00000000">
      <w:pPr>
        <w:pStyle w:val="Prrafodelista"/>
        <w:numPr>
          <w:ilvl w:val="0"/>
          <w:numId w:val="148"/>
        </w:numPr>
        <w:tabs>
          <w:tab w:val="left" w:pos="1764"/>
        </w:tabs>
        <w:spacing w:before="6" w:line="249" w:lineRule="auto"/>
        <w:ind w:right="1104" w:firstLine="340"/>
        <w:jc w:val="both"/>
        <w:rPr>
          <w:sz w:val="20"/>
        </w:rPr>
      </w:pPr>
      <w:r>
        <w:rPr>
          <w:sz w:val="20"/>
        </w:rPr>
        <w:t>Cuando se trate de la elaboración de un proyecto de obras singulares de infraestructuras</w:t>
      </w:r>
      <w:r>
        <w:rPr>
          <w:spacing w:val="-1"/>
          <w:sz w:val="20"/>
        </w:rPr>
        <w:t xml:space="preserve"> </w:t>
      </w:r>
      <w:r>
        <w:rPr>
          <w:sz w:val="20"/>
        </w:rPr>
        <w:t>hidráulicas</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transporte</w:t>
      </w:r>
      <w:r>
        <w:rPr>
          <w:spacing w:val="-1"/>
          <w:sz w:val="20"/>
        </w:rPr>
        <w:t xml:space="preserve"> </w:t>
      </w:r>
      <w:r>
        <w:rPr>
          <w:sz w:val="20"/>
        </w:rPr>
        <w:t>cuya</w:t>
      </w:r>
      <w:r>
        <w:rPr>
          <w:spacing w:val="-1"/>
          <w:sz w:val="20"/>
        </w:rPr>
        <w:t xml:space="preserve"> </w:t>
      </w:r>
      <w:r>
        <w:rPr>
          <w:sz w:val="20"/>
        </w:rPr>
        <w:t>entidad</w:t>
      </w:r>
      <w:r>
        <w:rPr>
          <w:spacing w:val="-1"/>
          <w:sz w:val="20"/>
        </w:rPr>
        <w:t xml:space="preserve"> </w:t>
      </w:r>
      <w:r>
        <w:rPr>
          <w:sz w:val="20"/>
        </w:rPr>
        <w:t>o</w:t>
      </w:r>
      <w:r>
        <w:rPr>
          <w:spacing w:val="-1"/>
          <w:sz w:val="20"/>
        </w:rPr>
        <w:t xml:space="preserve"> </w:t>
      </w:r>
      <w:r>
        <w:rPr>
          <w:sz w:val="20"/>
        </w:rPr>
        <w:t>complejidad</w:t>
      </w:r>
      <w:r>
        <w:rPr>
          <w:spacing w:val="-1"/>
          <w:sz w:val="20"/>
        </w:rPr>
        <w:t xml:space="preserve"> </w:t>
      </w:r>
      <w:r>
        <w:rPr>
          <w:sz w:val="20"/>
        </w:rPr>
        <w:t>no</w:t>
      </w:r>
      <w:r>
        <w:rPr>
          <w:spacing w:val="-1"/>
          <w:sz w:val="20"/>
        </w:rPr>
        <w:t xml:space="preserve"> </w:t>
      </w:r>
      <w:r>
        <w:rPr>
          <w:sz w:val="20"/>
        </w:rPr>
        <w:t>permita</w:t>
      </w:r>
      <w:r>
        <w:rPr>
          <w:spacing w:val="-1"/>
          <w:sz w:val="20"/>
        </w:rPr>
        <w:t xml:space="preserve"> </w:t>
      </w:r>
      <w:r>
        <w:rPr>
          <w:sz w:val="20"/>
        </w:rPr>
        <w:t>establecer el importe estimativo de la realización de las obras, la previsión del precio máximo a que se refiere</w:t>
      </w:r>
      <w:r>
        <w:rPr>
          <w:spacing w:val="20"/>
          <w:sz w:val="20"/>
        </w:rPr>
        <w:t xml:space="preserve"> </w:t>
      </w:r>
      <w:r>
        <w:rPr>
          <w:sz w:val="20"/>
        </w:rPr>
        <w:t>el</w:t>
      </w:r>
      <w:r>
        <w:rPr>
          <w:spacing w:val="20"/>
          <w:sz w:val="20"/>
        </w:rPr>
        <w:t xml:space="preserve"> </w:t>
      </w:r>
      <w:r>
        <w:rPr>
          <w:sz w:val="20"/>
        </w:rPr>
        <w:t>apartado</w:t>
      </w:r>
      <w:r>
        <w:rPr>
          <w:spacing w:val="20"/>
          <w:sz w:val="20"/>
        </w:rPr>
        <w:t xml:space="preserve"> </w:t>
      </w:r>
      <w:r>
        <w:rPr>
          <w:sz w:val="20"/>
        </w:rPr>
        <w:t>anterior</w:t>
      </w:r>
      <w:r>
        <w:rPr>
          <w:spacing w:val="20"/>
          <w:sz w:val="20"/>
        </w:rPr>
        <w:t xml:space="preserve"> </w:t>
      </w:r>
      <w:r>
        <w:rPr>
          <w:sz w:val="20"/>
        </w:rPr>
        <w:t>se</w:t>
      </w:r>
      <w:r>
        <w:rPr>
          <w:spacing w:val="20"/>
          <w:sz w:val="20"/>
        </w:rPr>
        <w:t xml:space="preserve"> </w:t>
      </w:r>
      <w:r>
        <w:rPr>
          <w:sz w:val="20"/>
        </w:rPr>
        <w:t>limitará</w:t>
      </w:r>
      <w:r>
        <w:rPr>
          <w:spacing w:val="20"/>
          <w:sz w:val="20"/>
        </w:rPr>
        <w:t xml:space="preserve"> </w:t>
      </w:r>
      <w:r>
        <w:rPr>
          <w:sz w:val="20"/>
        </w:rPr>
        <w:t>exclusivamente</w:t>
      </w:r>
      <w:r>
        <w:rPr>
          <w:spacing w:val="20"/>
          <w:sz w:val="20"/>
        </w:rPr>
        <w:t xml:space="preserve"> </w:t>
      </w:r>
      <w:r>
        <w:rPr>
          <w:sz w:val="20"/>
        </w:rPr>
        <w:t>al</w:t>
      </w:r>
      <w:r>
        <w:rPr>
          <w:spacing w:val="20"/>
          <w:sz w:val="20"/>
        </w:rPr>
        <w:t xml:space="preserve"> </w:t>
      </w:r>
      <w:r>
        <w:rPr>
          <w:sz w:val="20"/>
        </w:rPr>
        <w:t>proyecto.</w:t>
      </w:r>
      <w:r>
        <w:rPr>
          <w:spacing w:val="20"/>
          <w:sz w:val="20"/>
        </w:rPr>
        <w:t xml:space="preserve"> </w:t>
      </w:r>
      <w:r>
        <w:rPr>
          <w:sz w:val="20"/>
        </w:rPr>
        <w:t>La</w:t>
      </w:r>
      <w:r>
        <w:rPr>
          <w:spacing w:val="20"/>
          <w:sz w:val="20"/>
        </w:rPr>
        <w:t xml:space="preserve"> </w:t>
      </w:r>
      <w:r>
        <w:rPr>
          <w:sz w:val="20"/>
        </w:rPr>
        <w:t>ejecución</w:t>
      </w:r>
      <w:r>
        <w:rPr>
          <w:spacing w:val="20"/>
          <w:sz w:val="20"/>
        </w:rPr>
        <w:t xml:space="preserve"> </w:t>
      </w:r>
      <w:r>
        <w:rPr>
          <w:sz w:val="20"/>
        </w:rPr>
        <w:t>de</w:t>
      </w:r>
      <w:r>
        <w:rPr>
          <w:spacing w:val="20"/>
          <w:sz w:val="20"/>
        </w:rPr>
        <w:t xml:space="preserve"> </w:t>
      </w:r>
      <w:r>
        <w:rPr>
          <w:sz w:val="20"/>
        </w:rPr>
        <w:t>la</w:t>
      </w:r>
      <w:r>
        <w:rPr>
          <w:spacing w:val="20"/>
          <w:sz w:val="20"/>
        </w:rPr>
        <w:t xml:space="preserve"> </w:t>
      </w:r>
      <w:r>
        <w:rPr>
          <w:sz w:val="20"/>
        </w:rPr>
        <w:t>obra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6" w:firstLine="0"/>
      </w:pPr>
      <w:r>
        <w:t>quedará supeditada al estudio de la viabilidad de su financiación y a la tramitación del correspondiente expediente de gasto.</w:t>
      </w:r>
    </w:p>
    <w:p w:rsidR="0092635B" w:rsidRDefault="00000000">
      <w:pPr>
        <w:pStyle w:val="Textoindependiente"/>
        <w:spacing w:before="1" w:line="249" w:lineRule="auto"/>
        <w:ind w:right="1104"/>
      </w:pPr>
      <w:r>
        <w:t>En el supuesto de que se renunciara a la ejecución de la obra o no se produzca pronunciamiento en un plazo de tres meses, salvo que el pliego de cláusulas estableciera otro mayor, el contratista tendrá derecho al pago del precio del proyecto incrementado en el</w:t>
      </w:r>
      <w:r>
        <w:rPr>
          <w:spacing w:val="40"/>
        </w:rPr>
        <w:t xml:space="preserve"> </w:t>
      </w:r>
      <w:r>
        <w:t>5 por 100 como compensación.</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371" w:name="Artículo_235._Supervisión_de_proyectos."/>
      <w:bookmarkEnd w:id="371"/>
      <w:r>
        <w:rPr>
          <w:rFonts w:ascii="Arial" w:hAnsi="Arial"/>
          <w:b/>
          <w:sz w:val="20"/>
        </w:rPr>
        <w:t>Artículo</w:t>
      </w:r>
      <w:r>
        <w:rPr>
          <w:rFonts w:ascii="Arial" w:hAnsi="Arial"/>
          <w:b/>
          <w:spacing w:val="-3"/>
          <w:sz w:val="20"/>
        </w:rPr>
        <w:t xml:space="preserve"> </w:t>
      </w:r>
      <w:r>
        <w:rPr>
          <w:rFonts w:ascii="Arial" w:hAnsi="Arial"/>
          <w:b/>
          <w:sz w:val="20"/>
        </w:rPr>
        <w:t>235.</w:t>
      </w:r>
      <w:r>
        <w:rPr>
          <w:rFonts w:ascii="Arial" w:hAnsi="Arial"/>
          <w:b/>
          <w:spacing w:val="50"/>
          <w:sz w:val="20"/>
        </w:rPr>
        <w:t xml:space="preserve"> </w:t>
      </w:r>
      <w:r>
        <w:rPr>
          <w:rFonts w:ascii="Arial" w:hAnsi="Arial"/>
          <w:i/>
          <w:sz w:val="20"/>
        </w:rPr>
        <w:t>Supervisión</w:t>
      </w:r>
      <w:r>
        <w:rPr>
          <w:rFonts w:ascii="Arial" w:hAnsi="Arial"/>
          <w:i/>
          <w:spacing w:val="-2"/>
          <w:sz w:val="20"/>
        </w:rPr>
        <w:t xml:space="preserve"> </w:t>
      </w:r>
      <w:r>
        <w:rPr>
          <w:rFonts w:ascii="Arial" w:hAnsi="Arial"/>
          <w:i/>
          <w:sz w:val="20"/>
        </w:rPr>
        <w:t>de</w:t>
      </w:r>
      <w:r>
        <w:rPr>
          <w:rFonts w:ascii="Arial" w:hAnsi="Arial"/>
          <w:i/>
          <w:spacing w:val="-2"/>
          <w:sz w:val="20"/>
        </w:rPr>
        <w:t xml:space="preserve"> proyectos.</w:t>
      </w:r>
    </w:p>
    <w:p w:rsidR="0092635B" w:rsidRDefault="00000000">
      <w:pPr>
        <w:pStyle w:val="Textoindependiente"/>
        <w:spacing w:before="124" w:line="249" w:lineRule="auto"/>
        <w:ind w:right="1103"/>
      </w:pPr>
      <w:r>
        <w:t>Antes de la aprobación del proyecto, cuando el presupuesto base de licitación del contrato de obras sea igual o superior a 500.000 euros, IVA excluido, los órganos de contratación deberán solicitar un informe de las correspondientes oficinas o unidades de supervisión de los proyectos encargadas de verificar que se han tenido en cuenta las disposiciones generales de carácter legal o reglamentario así como la normativa técnica que resulten de aplicación para cada tipo de proyecto. La responsabilidad por la aplicación incorrecta de las mismas en los diferentes estudios y cálculos se exigirá de conformidad con lo dispuesto en el apartado 4 del artículo 233 de la presente Ley.</w:t>
      </w:r>
    </w:p>
    <w:p w:rsidR="0092635B" w:rsidRDefault="00000000">
      <w:pPr>
        <w:pStyle w:val="Textoindependiente"/>
        <w:spacing w:before="6" w:line="249" w:lineRule="auto"/>
        <w:ind w:right="1103"/>
      </w:pPr>
      <w:r>
        <w:t>En los proyectos de presupuesto base de licitación inferior al señalado, el informe tendrá carácter facultativo, salvo que se trate de obras que afecten a la estabilidad, seguridad o estanqueidad de la obra en cuyo caso el informe de supervisión será igualmente preceptivo.</w:t>
      </w:r>
    </w:p>
    <w:p w:rsidR="0092635B" w:rsidRDefault="00000000">
      <w:pPr>
        <w:spacing w:before="230"/>
        <w:ind w:left="1106"/>
        <w:rPr>
          <w:rFonts w:ascii="Arial" w:hAnsi="Arial"/>
          <w:i/>
          <w:sz w:val="20"/>
        </w:rPr>
      </w:pPr>
      <w:bookmarkStart w:id="372" w:name="Artículo_236._Replanteo_del_proyecto."/>
      <w:bookmarkEnd w:id="372"/>
      <w:r>
        <w:rPr>
          <w:rFonts w:ascii="Arial" w:hAnsi="Arial"/>
          <w:b/>
          <w:sz w:val="20"/>
        </w:rPr>
        <w:t>Artículo</w:t>
      </w:r>
      <w:r>
        <w:rPr>
          <w:rFonts w:ascii="Arial" w:hAnsi="Arial"/>
          <w:b/>
          <w:spacing w:val="-3"/>
          <w:sz w:val="20"/>
        </w:rPr>
        <w:t xml:space="preserve"> </w:t>
      </w:r>
      <w:r>
        <w:rPr>
          <w:rFonts w:ascii="Arial" w:hAnsi="Arial"/>
          <w:b/>
          <w:sz w:val="20"/>
        </w:rPr>
        <w:t>236.</w:t>
      </w:r>
      <w:r>
        <w:rPr>
          <w:rFonts w:ascii="Arial" w:hAnsi="Arial"/>
          <w:b/>
          <w:spacing w:val="51"/>
          <w:sz w:val="20"/>
        </w:rPr>
        <w:t xml:space="preserve"> </w:t>
      </w:r>
      <w:r>
        <w:rPr>
          <w:rFonts w:ascii="Arial" w:hAnsi="Arial"/>
          <w:i/>
          <w:sz w:val="20"/>
        </w:rPr>
        <w:t>Replanteo</w:t>
      </w:r>
      <w:r>
        <w:rPr>
          <w:rFonts w:ascii="Arial" w:hAnsi="Arial"/>
          <w:i/>
          <w:spacing w:val="-2"/>
          <w:sz w:val="20"/>
        </w:rPr>
        <w:t xml:space="preserve"> </w:t>
      </w:r>
      <w:r>
        <w:rPr>
          <w:rFonts w:ascii="Arial" w:hAnsi="Arial"/>
          <w:i/>
          <w:sz w:val="20"/>
        </w:rPr>
        <w:t>del</w:t>
      </w:r>
      <w:r>
        <w:rPr>
          <w:rFonts w:ascii="Arial" w:hAnsi="Arial"/>
          <w:i/>
          <w:spacing w:val="-2"/>
          <w:sz w:val="20"/>
        </w:rPr>
        <w:t xml:space="preserve"> proyecto.</w:t>
      </w:r>
    </w:p>
    <w:p w:rsidR="0092635B" w:rsidRDefault="00000000">
      <w:pPr>
        <w:pStyle w:val="Prrafodelista"/>
        <w:numPr>
          <w:ilvl w:val="0"/>
          <w:numId w:val="147"/>
        </w:numPr>
        <w:tabs>
          <w:tab w:val="left" w:pos="1669"/>
        </w:tabs>
        <w:spacing w:before="123" w:line="249" w:lineRule="auto"/>
        <w:ind w:firstLine="340"/>
        <w:jc w:val="both"/>
        <w:rPr>
          <w:sz w:val="20"/>
        </w:rPr>
      </w:pPr>
      <w:r>
        <w:rPr>
          <w:sz w:val="20"/>
        </w:rPr>
        <w:t>Aprobado</w:t>
      </w:r>
      <w:r>
        <w:rPr>
          <w:spacing w:val="-2"/>
          <w:sz w:val="20"/>
        </w:rPr>
        <w:t xml:space="preserve"> </w:t>
      </w:r>
      <w:r>
        <w:rPr>
          <w:sz w:val="20"/>
        </w:rPr>
        <w:t>el</w:t>
      </w:r>
      <w:r>
        <w:rPr>
          <w:spacing w:val="-2"/>
          <w:sz w:val="20"/>
        </w:rPr>
        <w:t xml:space="preserve"> </w:t>
      </w:r>
      <w:r>
        <w:rPr>
          <w:sz w:val="20"/>
        </w:rPr>
        <w:t>proyecto</w:t>
      </w:r>
      <w:r>
        <w:rPr>
          <w:spacing w:val="-2"/>
          <w:sz w:val="20"/>
        </w:rPr>
        <w:t xml:space="preserve"> </w:t>
      </w:r>
      <w:r>
        <w:rPr>
          <w:sz w:val="20"/>
        </w:rPr>
        <w:t>y</w:t>
      </w:r>
      <w:r>
        <w:rPr>
          <w:spacing w:val="-2"/>
          <w:sz w:val="20"/>
        </w:rPr>
        <w:t xml:space="preserve"> </w:t>
      </w:r>
      <w:r>
        <w:rPr>
          <w:sz w:val="20"/>
        </w:rPr>
        <w:t>previamente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aprobación</w:t>
      </w:r>
      <w:r>
        <w:rPr>
          <w:spacing w:val="-2"/>
          <w:sz w:val="20"/>
        </w:rPr>
        <w:t xml:space="preserve"> </w:t>
      </w:r>
      <w:r>
        <w:rPr>
          <w:sz w:val="20"/>
        </w:rPr>
        <w:t>del</w:t>
      </w:r>
      <w:r>
        <w:rPr>
          <w:spacing w:val="-2"/>
          <w:sz w:val="20"/>
        </w:rPr>
        <w:t xml:space="preserve"> </w:t>
      </w:r>
      <w:r>
        <w:rPr>
          <w:sz w:val="20"/>
        </w:rPr>
        <w:t>expediente</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de la obra, se procederá a efectuar el replanteo del mismo, el cual consistirá en comprobar la realidad geométrica de la misma y la disponibilidad de los terrenos precisos para su normal ejecución. Asimismo se deberán comprobar cuantos supuestos figuren en el proyecto elaborado y sean básicos para el contrato a celebrar.</w:t>
      </w:r>
    </w:p>
    <w:p w:rsidR="0092635B" w:rsidRDefault="00000000">
      <w:pPr>
        <w:pStyle w:val="Prrafodelista"/>
        <w:numPr>
          <w:ilvl w:val="0"/>
          <w:numId w:val="147"/>
        </w:numPr>
        <w:tabs>
          <w:tab w:val="left" w:pos="1761"/>
        </w:tabs>
        <w:spacing w:before="4" w:line="249" w:lineRule="auto"/>
        <w:ind w:firstLine="340"/>
        <w:jc w:val="both"/>
        <w:rPr>
          <w:sz w:val="20"/>
        </w:rPr>
      </w:pPr>
      <w:r>
        <w:rPr>
          <w:sz w:val="20"/>
        </w:rPr>
        <w:t>En la tramitación de los expedientes de contratación referentes a obras de infraestructuras hidráulicas, de transporte y de carreteras, se dispensará del requisito previo de disponibilidad de los terrenos, si bien no se podrá iniciar la ejecución de las obras en</w:t>
      </w:r>
      <w:r>
        <w:rPr>
          <w:spacing w:val="80"/>
          <w:sz w:val="20"/>
        </w:rPr>
        <w:t xml:space="preserve"> </w:t>
      </w:r>
      <w:r>
        <w:rPr>
          <w:sz w:val="20"/>
        </w:rPr>
        <w:t xml:space="preserve">tanto no se haya formalizado la ocupación en virtud de la vigente Ley de Expropiación </w:t>
      </w:r>
      <w:r>
        <w:rPr>
          <w:spacing w:val="-2"/>
          <w:sz w:val="20"/>
        </w:rPr>
        <w:t>Forzosa.</w:t>
      </w:r>
    </w:p>
    <w:p w:rsidR="0092635B" w:rsidRDefault="00000000">
      <w:pPr>
        <w:pStyle w:val="Prrafodelista"/>
        <w:numPr>
          <w:ilvl w:val="0"/>
          <w:numId w:val="147"/>
        </w:numPr>
        <w:tabs>
          <w:tab w:val="left" w:pos="1687"/>
        </w:tabs>
        <w:spacing w:before="4" w:line="249" w:lineRule="auto"/>
        <w:ind w:firstLine="340"/>
        <w:jc w:val="both"/>
        <w:rPr>
          <w:sz w:val="20"/>
        </w:rPr>
      </w:pPr>
      <w:r>
        <w:rPr>
          <w:sz w:val="20"/>
        </w:rPr>
        <w:t>En los casos de cesión de terrenos o locales por Entidades públicas, será suficiente para acreditar la disponibilidad de los terrenos, la aportación de los acuerdos de cesión y aceptación por los órganos competentes.</w:t>
      </w:r>
    </w:p>
    <w:p w:rsidR="0092635B" w:rsidRDefault="00000000">
      <w:pPr>
        <w:pStyle w:val="Prrafodelista"/>
        <w:numPr>
          <w:ilvl w:val="0"/>
          <w:numId w:val="147"/>
        </w:numPr>
        <w:tabs>
          <w:tab w:val="left" w:pos="1761"/>
        </w:tabs>
        <w:spacing w:before="3" w:line="249" w:lineRule="auto"/>
        <w:ind w:right="1106" w:firstLine="340"/>
        <w:jc w:val="both"/>
        <w:rPr>
          <w:sz w:val="20"/>
        </w:rPr>
      </w:pPr>
      <w:r>
        <w:rPr>
          <w:sz w:val="20"/>
        </w:rPr>
        <w:t xml:space="preserve">Una vez realizado el replanteo se incorporará el proyecto al expediente de </w:t>
      </w:r>
      <w:r>
        <w:rPr>
          <w:spacing w:val="-2"/>
          <w:sz w:val="20"/>
        </w:rPr>
        <w:t>contratación.</w:t>
      </w:r>
    </w:p>
    <w:p w:rsidR="0092635B" w:rsidRDefault="00000000">
      <w:pPr>
        <w:pStyle w:val="Ttulo3"/>
        <w:spacing w:before="228"/>
        <w:ind w:left="851" w:right="3165"/>
        <w:jc w:val="right"/>
      </w:pPr>
      <w:bookmarkStart w:id="373" w:name="Sección_2.ª_Ejecución_del_contrato_de_ob"/>
      <w:bookmarkStart w:id="374" w:name="_bookmark70"/>
      <w:bookmarkEnd w:id="373"/>
      <w:bookmarkEnd w:id="374"/>
      <w:r>
        <w:t>Sección</w:t>
      </w:r>
      <w:r>
        <w:rPr>
          <w:spacing w:val="-1"/>
        </w:rPr>
        <w:t xml:space="preserve"> </w:t>
      </w:r>
      <w:r>
        <w:t>2.ª Ejecución</w:t>
      </w:r>
      <w:r>
        <w:rPr>
          <w:spacing w:val="-1"/>
        </w:rPr>
        <w:t xml:space="preserve"> </w:t>
      </w:r>
      <w:r>
        <w:t>del contrato</w:t>
      </w:r>
      <w:r>
        <w:rPr>
          <w:spacing w:val="-1"/>
        </w:rPr>
        <w:t xml:space="preserve"> </w:t>
      </w:r>
      <w:r>
        <w:t xml:space="preserve">de </w:t>
      </w:r>
      <w:r>
        <w:rPr>
          <w:spacing w:val="-2"/>
        </w:rPr>
        <w:t>obras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375" w:name="Artículo_237._Comprobación_del_replanteo"/>
      <w:bookmarkEnd w:id="375"/>
      <w:r>
        <w:rPr>
          <w:rFonts w:ascii="Arial" w:hAnsi="Arial"/>
          <w:b/>
          <w:sz w:val="20"/>
        </w:rPr>
        <w:t>Artículo</w:t>
      </w:r>
      <w:r>
        <w:rPr>
          <w:rFonts w:ascii="Arial" w:hAnsi="Arial"/>
          <w:b/>
          <w:spacing w:val="-3"/>
          <w:sz w:val="20"/>
        </w:rPr>
        <w:t xml:space="preserve"> </w:t>
      </w:r>
      <w:r>
        <w:rPr>
          <w:rFonts w:ascii="Arial" w:hAnsi="Arial"/>
          <w:b/>
          <w:sz w:val="20"/>
        </w:rPr>
        <w:t>237.</w:t>
      </w:r>
      <w:r>
        <w:rPr>
          <w:rFonts w:ascii="Arial" w:hAnsi="Arial"/>
          <w:b/>
          <w:spacing w:val="49"/>
          <w:sz w:val="20"/>
        </w:rPr>
        <w:t xml:space="preserve"> </w:t>
      </w:r>
      <w:r>
        <w:rPr>
          <w:rFonts w:ascii="Arial" w:hAnsi="Arial"/>
          <w:i/>
          <w:sz w:val="20"/>
        </w:rPr>
        <w:t>Comprobación</w:t>
      </w:r>
      <w:r>
        <w:rPr>
          <w:rFonts w:ascii="Arial" w:hAnsi="Arial"/>
          <w:i/>
          <w:spacing w:val="-3"/>
          <w:sz w:val="20"/>
        </w:rPr>
        <w:t xml:space="preserve"> </w:t>
      </w:r>
      <w:r>
        <w:rPr>
          <w:rFonts w:ascii="Arial" w:hAnsi="Arial"/>
          <w:i/>
          <w:sz w:val="20"/>
        </w:rPr>
        <w:t>del</w:t>
      </w:r>
      <w:r>
        <w:rPr>
          <w:rFonts w:ascii="Arial" w:hAnsi="Arial"/>
          <w:i/>
          <w:spacing w:val="-2"/>
          <w:sz w:val="20"/>
        </w:rPr>
        <w:t xml:space="preserve"> replanteo.</w:t>
      </w:r>
    </w:p>
    <w:p w:rsidR="0092635B" w:rsidRDefault="00000000">
      <w:pPr>
        <w:pStyle w:val="Textoindependiente"/>
        <w:spacing w:before="123" w:line="249" w:lineRule="auto"/>
        <w:ind w:right="1103"/>
      </w:pPr>
      <w:r>
        <w:t>La ejecución del contrato de obras comenzará con el acta de comprobación del</w:t>
      </w:r>
      <w:r>
        <w:rPr>
          <w:spacing w:val="40"/>
        </w:rPr>
        <w:t xml:space="preserve"> </w:t>
      </w:r>
      <w:r>
        <w:t>replanteo. A tales efectos, dentro del plazo que se consigne en el contrato que no podrá ser superior</w:t>
      </w:r>
      <w:r>
        <w:rPr>
          <w:spacing w:val="-2"/>
        </w:rPr>
        <w:t xml:space="preserve"> </w:t>
      </w:r>
      <w:r>
        <w:t>a</w:t>
      </w:r>
      <w:r>
        <w:rPr>
          <w:spacing w:val="-2"/>
        </w:rPr>
        <w:t xml:space="preserve"> </w:t>
      </w:r>
      <w:r>
        <w:t>un</w:t>
      </w:r>
      <w:r>
        <w:rPr>
          <w:spacing w:val="-2"/>
        </w:rPr>
        <w:t xml:space="preserve"> </w:t>
      </w:r>
      <w:r>
        <w:t>mes</w:t>
      </w:r>
      <w:r>
        <w:rPr>
          <w:spacing w:val="-2"/>
        </w:rPr>
        <w:t xml:space="preserve"> </w:t>
      </w:r>
      <w:r>
        <w:t>desde</w:t>
      </w:r>
      <w:r>
        <w:rPr>
          <w:spacing w:val="-2"/>
        </w:rPr>
        <w:t xml:space="preserve"> </w:t>
      </w:r>
      <w:r>
        <w:t>la</w:t>
      </w:r>
      <w:r>
        <w:rPr>
          <w:spacing w:val="-2"/>
        </w:rPr>
        <w:t xml:space="preserve"> </w:t>
      </w:r>
      <w:r>
        <w:t>fecha</w:t>
      </w:r>
      <w:r>
        <w:rPr>
          <w:spacing w:val="-2"/>
        </w:rPr>
        <w:t xml:space="preserve"> </w:t>
      </w:r>
      <w:r>
        <w:t>de</w:t>
      </w:r>
      <w:r>
        <w:rPr>
          <w:spacing w:val="-2"/>
        </w:rPr>
        <w:t xml:space="preserve"> </w:t>
      </w:r>
      <w:r>
        <w:t>su</w:t>
      </w:r>
      <w:r>
        <w:rPr>
          <w:spacing w:val="-2"/>
        </w:rPr>
        <w:t xml:space="preserve"> </w:t>
      </w:r>
      <w:r>
        <w:t>formalización</w:t>
      </w:r>
      <w:r>
        <w:rPr>
          <w:spacing w:val="-2"/>
        </w:rPr>
        <w:t xml:space="preserve"> </w:t>
      </w:r>
      <w:r>
        <w:t>salvo</w:t>
      </w:r>
      <w:r>
        <w:rPr>
          <w:spacing w:val="-2"/>
        </w:rPr>
        <w:t xml:space="preserve"> </w:t>
      </w:r>
      <w:r>
        <w:t>casos</w:t>
      </w:r>
      <w:r>
        <w:rPr>
          <w:spacing w:val="-2"/>
        </w:rPr>
        <w:t xml:space="preserve"> </w:t>
      </w:r>
      <w:r>
        <w:t>excepcionales</w:t>
      </w:r>
      <w:r>
        <w:rPr>
          <w:spacing w:val="-2"/>
        </w:rPr>
        <w:t xml:space="preserve"> </w:t>
      </w:r>
      <w:r>
        <w:t>justificados, el servicio de la Administración encargada de las obras procederá, en presencia del contratista, a efectuar la comprobación del replanteo hecho previamente a la licitación, extendiéndose acta del resultado que será firmada por ambas partes interesadas, remitiéndose un ejemplar de la misma al órgano que celebró el contrato.</w:t>
      </w:r>
    </w:p>
    <w:p w:rsidR="0092635B" w:rsidRDefault="0092635B">
      <w:pPr>
        <w:pStyle w:val="Textoindependiente"/>
        <w:spacing w:before="3"/>
        <w:ind w:left="0" w:firstLine="0"/>
        <w:jc w:val="left"/>
      </w:pPr>
    </w:p>
    <w:p w:rsidR="0092635B" w:rsidRDefault="00000000">
      <w:pPr>
        <w:ind w:left="851" w:right="3089"/>
        <w:jc w:val="right"/>
        <w:rPr>
          <w:rFonts w:ascii="Arial" w:hAnsi="Arial"/>
          <w:i/>
          <w:sz w:val="20"/>
        </w:rPr>
      </w:pPr>
      <w:bookmarkStart w:id="376" w:name="Artículo_238._Ejecución_de_las_obras_y_r"/>
      <w:bookmarkEnd w:id="376"/>
      <w:r>
        <w:rPr>
          <w:rFonts w:ascii="Arial" w:hAnsi="Arial"/>
          <w:b/>
          <w:sz w:val="20"/>
        </w:rPr>
        <w:t>Artículo</w:t>
      </w:r>
      <w:r>
        <w:rPr>
          <w:rFonts w:ascii="Arial" w:hAnsi="Arial"/>
          <w:b/>
          <w:spacing w:val="-3"/>
          <w:sz w:val="20"/>
        </w:rPr>
        <w:t xml:space="preserve"> </w:t>
      </w:r>
      <w:r>
        <w:rPr>
          <w:rFonts w:ascii="Arial" w:hAnsi="Arial"/>
          <w:b/>
          <w:sz w:val="20"/>
        </w:rPr>
        <w:t>238.</w:t>
      </w:r>
      <w:r>
        <w:rPr>
          <w:rFonts w:ascii="Arial" w:hAnsi="Arial"/>
          <w:b/>
          <w:spacing w:val="49"/>
          <w:sz w:val="20"/>
        </w:rPr>
        <w:t xml:space="preserve"> </w:t>
      </w:r>
      <w:r>
        <w:rPr>
          <w:rFonts w:ascii="Arial" w:hAnsi="Arial"/>
          <w:i/>
          <w:sz w:val="20"/>
        </w:rPr>
        <w:t>Ejecución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las</w:t>
      </w:r>
      <w:r>
        <w:rPr>
          <w:rFonts w:ascii="Arial" w:hAnsi="Arial"/>
          <w:i/>
          <w:spacing w:val="-2"/>
          <w:sz w:val="20"/>
        </w:rPr>
        <w:t xml:space="preserve"> </w:t>
      </w:r>
      <w:r>
        <w:rPr>
          <w:rFonts w:ascii="Arial" w:hAnsi="Arial"/>
          <w:i/>
          <w:sz w:val="20"/>
        </w:rPr>
        <w:t>obras</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responsabilidad</w:t>
      </w:r>
      <w:r>
        <w:rPr>
          <w:rFonts w:ascii="Arial" w:hAnsi="Arial"/>
          <w:i/>
          <w:spacing w:val="-3"/>
          <w:sz w:val="20"/>
        </w:rPr>
        <w:t xml:space="preserve"> </w:t>
      </w:r>
      <w:r>
        <w:rPr>
          <w:rFonts w:ascii="Arial" w:hAnsi="Arial"/>
          <w:i/>
          <w:sz w:val="20"/>
        </w:rPr>
        <w:t>del</w:t>
      </w:r>
      <w:r>
        <w:rPr>
          <w:rFonts w:ascii="Arial" w:hAnsi="Arial"/>
          <w:i/>
          <w:spacing w:val="-2"/>
          <w:sz w:val="20"/>
        </w:rPr>
        <w:t xml:space="preserve"> contratista.</w:t>
      </w:r>
    </w:p>
    <w:p w:rsidR="0092635B" w:rsidRDefault="00000000">
      <w:pPr>
        <w:pStyle w:val="Prrafodelista"/>
        <w:numPr>
          <w:ilvl w:val="0"/>
          <w:numId w:val="146"/>
        </w:numPr>
        <w:tabs>
          <w:tab w:val="left" w:pos="1698"/>
        </w:tabs>
        <w:spacing w:before="123" w:line="249" w:lineRule="auto"/>
        <w:ind w:firstLine="340"/>
        <w:jc w:val="both"/>
        <w:rPr>
          <w:sz w:val="20"/>
        </w:rPr>
      </w:pPr>
      <w:r>
        <w:rPr>
          <w:sz w:val="20"/>
        </w:rPr>
        <w:t>Las obras se ejecutarán con estricta sujeción a las estipulaciones contenidas en el pliego de cláusulas administrativas particulares y al proyecto que sirve de base al contrato y conforme a las instrucciones que en interpretación técnica de este diere al contratista la Dirección facultativa de las obras.</w:t>
      </w:r>
    </w:p>
    <w:p w:rsidR="0092635B" w:rsidRDefault="00000000">
      <w:pPr>
        <w:pStyle w:val="Prrafodelista"/>
        <w:numPr>
          <w:ilvl w:val="0"/>
          <w:numId w:val="146"/>
        </w:numPr>
        <w:tabs>
          <w:tab w:val="left" w:pos="1673"/>
        </w:tabs>
        <w:spacing w:before="3" w:line="249" w:lineRule="auto"/>
        <w:ind w:firstLine="340"/>
        <w:jc w:val="both"/>
        <w:rPr>
          <w:sz w:val="20"/>
        </w:rPr>
      </w:pPr>
      <w:r>
        <w:rPr>
          <w:sz w:val="20"/>
        </w:rPr>
        <w:t>Cuando las instrucciones fueren de carácter verbal, deberán ser ratificadas por escrito en el más breve plazo posible, para que sean vinculantes para las partes.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46"/>
        </w:numPr>
        <w:tabs>
          <w:tab w:val="left" w:pos="1707"/>
        </w:tabs>
        <w:spacing w:before="1" w:line="249" w:lineRule="auto"/>
        <w:ind w:right="1104" w:firstLine="340"/>
        <w:jc w:val="both"/>
        <w:rPr>
          <w:sz w:val="20"/>
        </w:rPr>
      </w:pPr>
      <w:r>
        <w:rPr>
          <w:sz w:val="20"/>
        </w:rPr>
        <w:t>Durante el desarrollo de las obras y hasta que se cumpla el plazo de garantía el contratista es responsable de todos los defectos que en la construcción puedan advertirse.</w:t>
      </w:r>
    </w:p>
    <w:p w:rsidR="0092635B" w:rsidRDefault="00000000">
      <w:pPr>
        <w:spacing w:before="228"/>
        <w:ind w:left="1106"/>
        <w:rPr>
          <w:rFonts w:ascii="Arial" w:hAnsi="Arial"/>
          <w:i/>
          <w:sz w:val="20"/>
        </w:rPr>
      </w:pPr>
      <w:bookmarkStart w:id="377" w:name="Artículo_239._Fuerza_mayor."/>
      <w:bookmarkEnd w:id="377"/>
      <w:r>
        <w:rPr>
          <w:rFonts w:ascii="Arial" w:hAnsi="Arial"/>
          <w:b/>
          <w:sz w:val="20"/>
        </w:rPr>
        <w:t>Artículo</w:t>
      </w:r>
      <w:r>
        <w:rPr>
          <w:rFonts w:ascii="Arial" w:hAnsi="Arial"/>
          <w:b/>
          <w:spacing w:val="-2"/>
          <w:sz w:val="20"/>
        </w:rPr>
        <w:t xml:space="preserve"> </w:t>
      </w:r>
      <w:r>
        <w:rPr>
          <w:rFonts w:ascii="Arial" w:hAnsi="Arial"/>
          <w:b/>
          <w:sz w:val="20"/>
        </w:rPr>
        <w:t>239.</w:t>
      </w:r>
      <w:r>
        <w:rPr>
          <w:rFonts w:ascii="Arial" w:hAnsi="Arial"/>
          <w:b/>
          <w:spacing w:val="52"/>
          <w:sz w:val="20"/>
        </w:rPr>
        <w:t xml:space="preserve"> </w:t>
      </w:r>
      <w:r>
        <w:rPr>
          <w:rFonts w:ascii="Arial" w:hAnsi="Arial"/>
          <w:i/>
          <w:sz w:val="20"/>
        </w:rPr>
        <w:t>Fuerza</w:t>
      </w:r>
      <w:r>
        <w:rPr>
          <w:rFonts w:ascii="Arial" w:hAnsi="Arial"/>
          <w:i/>
          <w:spacing w:val="-1"/>
          <w:sz w:val="20"/>
        </w:rPr>
        <w:t xml:space="preserve"> </w:t>
      </w:r>
      <w:r>
        <w:rPr>
          <w:rFonts w:ascii="Arial" w:hAnsi="Arial"/>
          <w:i/>
          <w:spacing w:val="-2"/>
          <w:sz w:val="20"/>
        </w:rPr>
        <w:t>mayor.</w:t>
      </w:r>
    </w:p>
    <w:p w:rsidR="0092635B" w:rsidRDefault="00000000">
      <w:pPr>
        <w:pStyle w:val="Prrafodelista"/>
        <w:numPr>
          <w:ilvl w:val="0"/>
          <w:numId w:val="145"/>
        </w:numPr>
        <w:tabs>
          <w:tab w:val="left" w:pos="1673"/>
        </w:tabs>
        <w:spacing w:before="123" w:line="249" w:lineRule="auto"/>
        <w:ind w:right="1104" w:firstLine="340"/>
        <w:jc w:val="both"/>
        <w:rPr>
          <w:sz w:val="20"/>
        </w:rPr>
      </w:pPr>
      <w:r>
        <w:rPr>
          <w:sz w:val="20"/>
        </w:rPr>
        <w:t>En casos de fuerza mayor y siempre que no exista actuación imprudente por parte del contratista, este tendrá derecho a una indemnización por los daños y perjuicios, que se le hubieren producido en la ejecución del contrato.</w:t>
      </w:r>
    </w:p>
    <w:p w:rsidR="0092635B" w:rsidRDefault="00000000">
      <w:pPr>
        <w:pStyle w:val="Prrafodelista"/>
        <w:numPr>
          <w:ilvl w:val="0"/>
          <w:numId w:val="145"/>
        </w:numPr>
        <w:tabs>
          <w:tab w:val="left" w:pos="1668"/>
        </w:tabs>
        <w:spacing w:before="3"/>
        <w:ind w:left="1668" w:right="0" w:hanging="222"/>
        <w:jc w:val="both"/>
        <w:rPr>
          <w:sz w:val="20"/>
        </w:rPr>
      </w:pPr>
      <w:r>
        <w:rPr>
          <w:sz w:val="20"/>
        </w:rPr>
        <w:t>Tendrán</w:t>
      </w:r>
      <w:r>
        <w:rPr>
          <w:spacing w:val="-6"/>
          <w:sz w:val="20"/>
        </w:rPr>
        <w:t xml:space="preserve"> </w:t>
      </w:r>
      <w:r>
        <w:rPr>
          <w:sz w:val="20"/>
        </w:rPr>
        <w:t>la</w:t>
      </w:r>
      <w:r>
        <w:rPr>
          <w:spacing w:val="-5"/>
          <w:sz w:val="20"/>
        </w:rPr>
        <w:t xml:space="preserve"> </w:t>
      </w:r>
      <w:r>
        <w:rPr>
          <w:sz w:val="20"/>
        </w:rPr>
        <w:t>consideración</w:t>
      </w:r>
      <w:r>
        <w:rPr>
          <w:spacing w:val="-5"/>
          <w:sz w:val="20"/>
        </w:rPr>
        <w:t xml:space="preserve"> </w:t>
      </w:r>
      <w:r>
        <w:rPr>
          <w:sz w:val="20"/>
        </w:rPr>
        <w:t>de</w:t>
      </w:r>
      <w:r>
        <w:rPr>
          <w:spacing w:val="-6"/>
          <w:sz w:val="20"/>
        </w:rPr>
        <w:t xml:space="preserve"> </w:t>
      </w:r>
      <w:r>
        <w:rPr>
          <w:sz w:val="20"/>
        </w:rPr>
        <w:t>casos</w:t>
      </w:r>
      <w:r>
        <w:rPr>
          <w:spacing w:val="-5"/>
          <w:sz w:val="20"/>
        </w:rPr>
        <w:t xml:space="preserve"> </w:t>
      </w:r>
      <w:r>
        <w:rPr>
          <w:sz w:val="20"/>
        </w:rPr>
        <w:t>de</w:t>
      </w:r>
      <w:r>
        <w:rPr>
          <w:spacing w:val="-5"/>
          <w:sz w:val="20"/>
        </w:rPr>
        <w:t xml:space="preserve"> </w:t>
      </w:r>
      <w:r>
        <w:rPr>
          <w:sz w:val="20"/>
        </w:rPr>
        <w:t>fuerza</w:t>
      </w:r>
      <w:r>
        <w:rPr>
          <w:spacing w:val="-6"/>
          <w:sz w:val="20"/>
        </w:rPr>
        <w:t xml:space="preserve"> </w:t>
      </w:r>
      <w:r>
        <w:rPr>
          <w:sz w:val="20"/>
        </w:rPr>
        <w:t>mayor</w:t>
      </w:r>
      <w:r>
        <w:rPr>
          <w:spacing w:val="-5"/>
          <w:sz w:val="20"/>
        </w:rPr>
        <w:t xml:space="preserve"> </w:t>
      </w:r>
      <w:r>
        <w:rPr>
          <w:sz w:val="20"/>
        </w:rPr>
        <w:t>los</w:t>
      </w:r>
      <w:r>
        <w:rPr>
          <w:spacing w:val="-5"/>
          <w:sz w:val="20"/>
        </w:rPr>
        <w:t xml:space="preserve"> </w:t>
      </w:r>
      <w:r>
        <w:rPr>
          <w:spacing w:val="-2"/>
          <w:sz w:val="20"/>
        </w:rPr>
        <w:t>siguientes:</w:t>
      </w:r>
    </w:p>
    <w:p w:rsidR="0092635B" w:rsidRDefault="00000000">
      <w:pPr>
        <w:pStyle w:val="Prrafodelista"/>
        <w:numPr>
          <w:ilvl w:val="1"/>
          <w:numId w:val="145"/>
        </w:numPr>
        <w:tabs>
          <w:tab w:val="left" w:pos="1679"/>
        </w:tabs>
        <w:spacing w:before="130"/>
        <w:ind w:right="0" w:hanging="233"/>
        <w:jc w:val="both"/>
        <w:rPr>
          <w:sz w:val="20"/>
        </w:rPr>
      </w:pPr>
      <w:r>
        <w:rPr>
          <w:sz w:val="20"/>
        </w:rPr>
        <w:t>Los</w:t>
      </w:r>
      <w:r>
        <w:rPr>
          <w:spacing w:val="-4"/>
          <w:sz w:val="20"/>
        </w:rPr>
        <w:t xml:space="preserve"> </w:t>
      </w:r>
      <w:r>
        <w:rPr>
          <w:sz w:val="20"/>
        </w:rPr>
        <w:t>incendios</w:t>
      </w:r>
      <w:r>
        <w:rPr>
          <w:spacing w:val="-2"/>
          <w:sz w:val="20"/>
        </w:rPr>
        <w:t xml:space="preserve"> </w:t>
      </w:r>
      <w:r>
        <w:rPr>
          <w:sz w:val="20"/>
        </w:rPr>
        <w:t>causados</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electricidad</w:t>
      </w:r>
      <w:r>
        <w:rPr>
          <w:spacing w:val="-2"/>
          <w:sz w:val="20"/>
        </w:rPr>
        <w:t xml:space="preserve"> atmosférica.</w:t>
      </w:r>
    </w:p>
    <w:p w:rsidR="0092635B" w:rsidRDefault="00000000">
      <w:pPr>
        <w:pStyle w:val="Prrafodelista"/>
        <w:numPr>
          <w:ilvl w:val="1"/>
          <w:numId w:val="145"/>
        </w:numPr>
        <w:tabs>
          <w:tab w:val="left" w:pos="1736"/>
        </w:tabs>
        <w:spacing w:before="10" w:line="249" w:lineRule="auto"/>
        <w:ind w:left="1106" w:right="1102" w:firstLine="340"/>
        <w:jc w:val="both"/>
        <w:rPr>
          <w:sz w:val="20"/>
        </w:rPr>
      </w:pPr>
      <w:r>
        <w:rPr>
          <w:sz w:val="20"/>
        </w:rPr>
        <w:t xml:space="preserve">Los fenómenos naturales de efectos catastróficos, como maremotos, terremotos, erupciones volcánicas, movimientos del terreno, temporales marítimos, inundaciones u otros </w:t>
      </w:r>
      <w:r>
        <w:rPr>
          <w:spacing w:val="-2"/>
          <w:sz w:val="20"/>
        </w:rPr>
        <w:t>semejantes.</w:t>
      </w:r>
    </w:p>
    <w:p w:rsidR="0092635B" w:rsidRDefault="00000000">
      <w:pPr>
        <w:pStyle w:val="Prrafodelista"/>
        <w:numPr>
          <w:ilvl w:val="1"/>
          <w:numId w:val="145"/>
        </w:numPr>
        <w:tabs>
          <w:tab w:val="left" w:pos="1689"/>
        </w:tabs>
        <w:spacing w:line="249" w:lineRule="auto"/>
        <w:ind w:left="1106" w:firstLine="340"/>
        <w:jc w:val="both"/>
        <w:rPr>
          <w:sz w:val="20"/>
        </w:rPr>
      </w:pPr>
      <w:r>
        <w:rPr>
          <w:sz w:val="20"/>
        </w:rPr>
        <w:t>Los destrozos ocasionados violentamente en tiempo de guerra, robos tumultuosos o alteraciones graves del orden público.</w:t>
      </w:r>
    </w:p>
    <w:p w:rsidR="0092635B" w:rsidRDefault="00000000">
      <w:pPr>
        <w:spacing w:before="229"/>
        <w:ind w:left="1106"/>
        <w:rPr>
          <w:rFonts w:ascii="Arial" w:hAnsi="Arial"/>
          <w:i/>
          <w:sz w:val="20"/>
        </w:rPr>
      </w:pPr>
      <w:bookmarkStart w:id="378" w:name="Artículo_240._Certificaciones_y_abonos_a"/>
      <w:bookmarkEnd w:id="378"/>
      <w:r>
        <w:rPr>
          <w:rFonts w:ascii="Arial" w:hAnsi="Arial"/>
          <w:b/>
          <w:sz w:val="20"/>
        </w:rPr>
        <w:t>Artículo 240.</w:t>
      </w:r>
      <w:r>
        <w:rPr>
          <w:rFonts w:ascii="Arial" w:hAnsi="Arial"/>
          <w:b/>
          <w:spacing w:val="54"/>
          <w:sz w:val="20"/>
        </w:rPr>
        <w:t xml:space="preserve"> </w:t>
      </w:r>
      <w:r>
        <w:rPr>
          <w:rFonts w:ascii="Arial" w:hAnsi="Arial"/>
          <w:i/>
          <w:sz w:val="20"/>
        </w:rPr>
        <w:t xml:space="preserve">Certificaciones y abonos a </w:t>
      </w:r>
      <w:r>
        <w:rPr>
          <w:rFonts w:ascii="Arial" w:hAnsi="Arial"/>
          <w:i/>
          <w:spacing w:val="-2"/>
          <w:sz w:val="20"/>
        </w:rPr>
        <w:t>cuenta.</w:t>
      </w:r>
    </w:p>
    <w:p w:rsidR="0092635B" w:rsidRDefault="00000000">
      <w:pPr>
        <w:pStyle w:val="Prrafodelista"/>
        <w:numPr>
          <w:ilvl w:val="0"/>
          <w:numId w:val="144"/>
        </w:numPr>
        <w:tabs>
          <w:tab w:val="left" w:pos="1669"/>
        </w:tabs>
        <w:spacing w:before="123" w:line="249" w:lineRule="auto"/>
        <w:ind w:firstLine="340"/>
        <w:jc w:val="both"/>
        <w:rPr>
          <w:sz w:val="20"/>
        </w:rPr>
      </w:pPr>
      <w:r>
        <w:rPr>
          <w:sz w:val="20"/>
        </w:rPr>
        <w:t>A</w:t>
      </w:r>
      <w:r>
        <w:rPr>
          <w:spacing w:val="-1"/>
          <w:sz w:val="20"/>
        </w:rPr>
        <w:t xml:space="preserve"> </w:t>
      </w:r>
      <w:r>
        <w:rPr>
          <w:sz w:val="20"/>
        </w:rPr>
        <w:t>los</w:t>
      </w:r>
      <w:r>
        <w:rPr>
          <w:spacing w:val="-1"/>
          <w:sz w:val="20"/>
        </w:rPr>
        <w:t xml:space="preserve"> </w:t>
      </w:r>
      <w:r>
        <w:rPr>
          <w:sz w:val="20"/>
        </w:rPr>
        <w:t>efectos</w:t>
      </w:r>
      <w:r>
        <w:rPr>
          <w:spacing w:val="-1"/>
          <w:sz w:val="20"/>
        </w:rPr>
        <w:t xml:space="preserve"> </w:t>
      </w:r>
      <w:r>
        <w:rPr>
          <w:sz w:val="20"/>
        </w:rPr>
        <w:t>del</w:t>
      </w:r>
      <w:r>
        <w:rPr>
          <w:spacing w:val="-1"/>
          <w:sz w:val="20"/>
        </w:rPr>
        <w:t xml:space="preserve"> </w:t>
      </w:r>
      <w:r>
        <w:rPr>
          <w:sz w:val="20"/>
        </w:rPr>
        <w:t>pago,</w:t>
      </w:r>
      <w:r>
        <w:rPr>
          <w:spacing w:val="-1"/>
          <w:sz w:val="20"/>
        </w:rPr>
        <w:t xml:space="preserve"> </w:t>
      </w:r>
      <w:r>
        <w:rPr>
          <w:sz w:val="20"/>
        </w:rPr>
        <w:t>la</w:t>
      </w:r>
      <w:r>
        <w:rPr>
          <w:spacing w:val="-1"/>
          <w:sz w:val="20"/>
        </w:rPr>
        <w:t xml:space="preserve"> </w:t>
      </w:r>
      <w:r>
        <w:rPr>
          <w:sz w:val="20"/>
        </w:rPr>
        <w:t>Administración</w:t>
      </w:r>
      <w:r>
        <w:rPr>
          <w:spacing w:val="-1"/>
          <w:sz w:val="20"/>
        </w:rPr>
        <w:t xml:space="preserve"> </w:t>
      </w:r>
      <w:r>
        <w:rPr>
          <w:sz w:val="20"/>
        </w:rPr>
        <w:t>expedirá</w:t>
      </w:r>
      <w:r>
        <w:rPr>
          <w:spacing w:val="-1"/>
          <w:sz w:val="20"/>
        </w:rPr>
        <w:t xml:space="preserve"> </w:t>
      </w:r>
      <w:r>
        <w:rPr>
          <w:sz w:val="20"/>
        </w:rPr>
        <w:t>mensualmente,</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primeros</w:t>
      </w:r>
      <w:r>
        <w:rPr>
          <w:spacing w:val="-1"/>
          <w:sz w:val="20"/>
        </w:rPr>
        <w:t xml:space="preserve"> </w:t>
      </w:r>
      <w:r>
        <w:rPr>
          <w:sz w:val="20"/>
        </w:rPr>
        <w:t xml:space="preserve">diez días siguientes al mes al que correspondan, certificaciones que comprendan la obra ejecutada conforme a proyecto durante dicho período de tiempo, salvo prevención en contrario en el pliego de cláusulas administrativas particulares, cuyos abonos tienen el concepto de pagos a cuenta sujetos a las rectificaciones y variaciones que se produzcan en la medición final y sin suponer en forma alguna, aprobación y recepción de las obras que </w:t>
      </w:r>
      <w:r>
        <w:rPr>
          <w:spacing w:val="-2"/>
          <w:sz w:val="20"/>
        </w:rPr>
        <w:t>comprenden.</w:t>
      </w:r>
    </w:p>
    <w:p w:rsidR="0092635B" w:rsidRDefault="00000000">
      <w:pPr>
        <w:pStyle w:val="Textoindependiente"/>
        <w:spacing w:before="6" w:line="249" w:lineRule="auto"/>
        <w:ind w:right="1105"/>
      </w:pPr>
      <w:r>
        <w:t>En estos abonos a cuenta se observará lo dispuesto en el párrafo segundo del apartado 2 del artículo 198.</w:t>
      </w:r>
    </w:p>
    <w:p w:rsidR="0092635B" w:rsidRDefault="00000000">
      <w:pPr>
        <w:pStyle w:val="Prrafodelista"/>
        <w:numPr>
          <w:ilvl w:val="0"/>
          <w:numId w:val="144"/>
        </w:numPr>
        <w:tabs>
          <w:tab w:val="left" w:pos="1674"/>
        </w:tabs>
        <w:spacing w:line="249" w:lineRule="auto"/>
        <w:ind w:firstLine="340"/>
        <w:jc w:val="both"/>
        <w:rPr>
          <w:sz w:val="20"/>
        </w:rPr>
      </w:pPr>
      <w:r>
        <w:rPr>
          <w:sz w:val="20"/>
        </w:rPr>
        <w:t>El contratista tendrá también derecho a percibir abonos a cuenta sobre su importe por las operaciones preparatorias realizadas como instalaciones y acopio de materiales o equipos de maquinaria pesada adscritos a la obra, en las condiciones que se señalen en los respectivos pliegos de cláusulas administrativas particulares y conforme al régimen y los límites que con carácter general se determinen reglamentariamente, debiendo asegurar los referidos pagos mediante la prestación de garantía.</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379" w:name="Artículo_241._Obras_a_tanto_alzado_y_obr"/>
      <w:bookmarkEnd w:id="379"/>
      <w:r>
        <w:rPr>
          <w:rFonts w:ascii="Arial" w:hAnsi="Arial"/>
          <w:b/>
          <w:sz w:val="20"/>
        </w:rPr>
        <w:t>Artículo</w:t>
      </w:r>
      <w:r>
        <w:rPr>
          <w:rFonts w:ascii="Arial" w:hAnsi="Arial"/>
          <w:b/>
          <w:spacing w:val="-2"/>
          <w:sz w:val="20"/>
        </w:rPr>
        <w:t xml:space="preserve"> </w:t>
      </w:r>
      <w:r>
        <w:rPr>
          <w:rFonts w:ascii="Arial" w:hAnsi="Arial"/>
          <w:b/>
          <w:sz w:val="20"/>
        </w:rPr>
        <w:t>241.</w:t>
      </w:r>
      <w:r>
        <w:rPr>
          <w:rFonts w:ascii="Arial" w:hAnsi="Arial"/>
          <w:b/>
          <w:spacing w:val="51"/>
          <w:sz w:val="20"/>
        </w:rPr>
        <w:t xml:space="preserve"> </w:t>
      </w:r>
      <w:r>
        <w:rPr>
          <w:rFonts w:ascii="Arial" w:hAnsi="Arial"/>
          <w:i/>
          <w:sz w:val="20"/>
        </w:rPr>
        <w:t>Obras</w:t>
      </w:r>
      <w:r>
        <w:rPr>
          <w:rFonts w:ascii="Arial" w:hAnsi="Arial"/>
          <w:i/>
          <w:spacing w:val="-1"/>
          <w:sz w:val="20"/>
        </w:rPr>
        <w:t xml:space="preserve"> </w:t>
      </w:r>
      <w:r>
        <w:rPr>
          <w:rFonts w:ascii="Arial" w:hAnsi="Arial"/>
          <w:i/>
          <w:sz w:val="20"/>
        </w:rPr>
        <w:t>a</w:t>
      </w:r>
      <w:r>
        <w:rPr>
          <w:rFonts w:ascii="Arial" w:hAnsi="Arial"/>
          <w:i/>
          <w:spacing w:val="-2"/>
          <w:sz w:val="20"/>
        </w:rPr>
        <w:t xml:space="preserve"> </w:t>
      </w:r>
      <w:r>
        <w:rPr>
          <w:rFonts w:ascii="Arial" w:hAnsi="Arial"/>
          <w:i/>
          <w:sz w:val="20"/>
        </w:rPr>
        <w:t>tanto</w:t>
      </w:r>
      <w:r>
        <w:rPr>
          <w:rFonts w:ascii="Arial" w:hAnsi="Arial"/>
          <w:i/>
          <w:spacing w:val="-1"/>
          <w:sz w:val="20"/>
        </w:rPr>
        <w:t xml:space="preserve"> </w:t>
      </w:r>
      <w:r>
        <w:rPr>
          <w:rFonts w:ascii="Arial" w:hAnsi="Arial"/>
          <w:i/>
          <w:sz w:val="20"/>
        </w:rPr>
        <w:t>alzado</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obras</w:t>
      </w:r>
      <w:r>
        <w:rPr>
          <w:rFonts w:ascii="Arial" w:hAnsi="Arial"/>
          <w:i/>
          <w:spacing w:val="-2"/>
          <w:sz w:val="20"/>
        </w:rPr>
        <w:t xml:space="preserve"> </w:t>
      </w:r>
      <w:r>
        <w:rPr>
          <w:rFonts w:ascii="Arial" w:hAnsi="Arial"/>
          <w:i/>
          <w:sz w:val="20"/>
        </w:rPr>
        <w:t>con</w:t>
      </w:r>
      <w:r>
        <w:rPr>
          <w:rFonts w:ascii="Arial" w:hAnsi="Arial"/>
          <w:i/>
          <w:spacing w:val="-1"/>
          <w:sz w:val="20"/>
        </w:rPr>
        <w:t xml:space="preserve"> </w:t>
      </w:r>
      <w:r>
        <w:rPr>
          <w:rFonts w:ascii="Arial" w:hAnsi="Arial"/>
          <w:i/>
          <w:sz w:val="20"/>
        </w:rPr>
        <w:t>precio</w:t>
      </w:r>
      <w:r>
        <w:rPr>
          <w:rFonts w:ascii="Arial" w:hAnsi="Arial"/>
          <w:i/>
          <w:spacing w:val="-1"/>
          <w:sz w:val="20"/>
        </w:rPr>
        <w:t xml:space="preserve"> </w:t>
      </w:r>
      <w:r>
        <w:rPr>
          <w:rFonts w:ascii="Arial" w:hAnsi="Arial"/>
          <w:i/>
          <w:spacing w:val="-2"/>
          <w:sz w:val="20"/>
        </w:rPr>
        <w:t>cerrado.</w:t>
      </w:r>
    </w:p>
    <w:p w:rsidR="0092635B" w:rsidRDefault="00000000">
      <w:pPr>
        <w:pStyle w:val="Prrafodelista"/>
        <w:numPr>
          <w:ilvl w:val="0"/>
          <w:numId w:val="143"/>
        </w:numPr>
        <w:tabs>
          <w:tab w:val="left" w:pos="1726"/>
        </w:tabs>
        <w:spacing w:before="124" w:line="249" w:lineRule="auto"/>
        <w:ind w:right="1104" w:firstLine="340"/>
        <w:jc w:val="both"/>
        <w:rPr>
          <w:sz w:val="20"/>
        </w:rPr>
      </w:pPr>
      <w:r>
        <w:rPr>
          <w:sz w:val="20"/>
        </w:rPr>
        <w:t>Cuando la naturaleza de la obra lo permita, se podrá establecer el sistema de retribución a tanto alzado, sin existencia de precios unitarios, de acuerdo con lo establecido en los apartados siguientes cuando el criterio de retribución se configure como de precio cerrado</w:t>
      </w:r>
      <w:r>
        <w:rPr>
          <w:spacing w:val="-2"/>
          <w:sz w:val="20"/>
        </w:rPr>
        <w:t xml:space="preserve"> </w:t>
      </w:r>
      <w:r>
        <w:rPr>
          <w:sz w:val="20"/>
        </w:rPr>
        <w:t>o</w:t>
      </w:r>
      <w:r>
        <w:rPr>
          <w:spacing w:val="-2"/>
          <w:sz w:val="20"/>
        </w:rPr>
        <w:t xml:space="preserve"> </w:t>
      </w:r>
      <w:r>
        <w:rPr>
          <w:sz w:val="20"/>
        </w:rPr>
        <w:t>en</w:t>
      </w:r>
      <w:r>
        <w:rPr>
          <w:spacing w:val="-2"/>
          <w:sz w:val="20"/>
        </w:rPr>
        <w:t xml:space="preserve"> </w:t>
      </w:r>
      <w:r>
        <w:rPr>
          <w:sz w:val="20"/>
        </w:rPr>
        <w:t>las</w:t>
      </w:r>
      <w:r>
        <w:rPr>
          <w:spacing w:val="-2"/>
          <w:sz w:val="20"/>
        </w:rPr>
        <w:t xml:space="preserve"> </w:t>
      </w:r>
      <w:r>
        <w:rPr>
          <w:sz w:val="20"/>
        </w:rPr>
        <w:t>circunstancias</w:t>
      </w:r>
      <w:r>
        <w:rPr>
          <w:spacing w:val="-2"/>
          <w:sz w:val="20"/>
        </w:rPr>
        <w:t xml:space="preserve"> </w:t>
      </w:r>
      <w:r>
        <w:rPr>
          <w:sz w:val="20"/>
        </w:rPr>
        <w:t>y</w:t>
      </w:r>
      <w:r>
        <w:rPr>
          <w:spacing w:val="-2"/>
          <w:sz w:val="20"/>
        </w:rPr>
        <w:t xml:space="preserve"> </w:t>
      </w:r>
      <w:r>
        <w:rPr>
          <w:sz w:val="20"/>
        </w:rPr>
        <w:t>condiciones</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determinen</w:t>
      </w:r>
      <w:r>
        <w:rPr>
          <w:spacing w:val="-2"/>
          <w:sz w:val="20"/>
        </w:rPr>
        <w:t xml:space="preserve"> </w:t>
      </w:r>
      <w:r>
        <w:rPr>
          <w:sz w:val="20"/>
        </w:rPr>
        <w:t>en</w:t>
      </w:r>
      <w:r>
        <w:rPr>
          <w:spacing w:val="-2"/>
          <w:sz w:val="20"/>
        </w:rPr>
        <w:t xml:space="preserve"> </w:t>
      </w:r>
      <w:r>
        <w:rPr>
          <w:sz w:val="20"/>
        </w:rPr>
        <w:t>las</w:t>
      </w:r>
      <w:r>
        <w:rPr>
          <w:spacing w:val="-2"/>
          <w:sz w:val="20"/>
        </w:rPr>
        <w:t xml:space="preserve"> </w:t>
      </w:r>
      <w:r>
        <w:rPr>
          <w:sz w:val="20"/>
        </w:rPr>
        <w:t>normas</w:t>
      </w:r>
      <w:r>
        <w:rPr>
          <w:spacing w:val="-2"/>
          <w:sz w:val="20"/>
        </w:rPr>
        <w:t xml:space="preserve"> </w:t>
      </w:r>
      <w:r>
        <w:rPr>
          <w:sz w:val="20"/>
        </w:rPr>
        <w:t>de</w:t>
      </w:r>
      <w:r>
        <w:rPr>
          <w:spacing w:val="-2"/>
          <w:sz w:val="20"/>
        </w:rPr>
        <w:t xml:space="preserve"> </w:t>
      </w:r>
      <w:r>
        <w:rPr>
          <w:sz w:val="20"/>
        </w:rPr>
        <w:t>desarrollo de esta Ley para el resto de los casos.</w:t>
      </w:r>
    </w:p>
    <w:p w:rsidR="0092635B" w:rsidRDefault="00000000">
      <w:pPr>
        <w:pStyle w:val="Prrafodelista"/>
        <w:numPr>
          <w:ilvl w:val="0"/>
          <w:numId w:val="143"/>
        </w:numPr>
        <w:tabs>
          <w:tab w:val="left" w:pos="1705"/>
        </w:tabs>
        <w:spacing w:before="4" w:line="249" w:lineRule="auto"/>
        <w:ind w:right="1104" w:firstLine="340"/>
        <w:jc w:val="both"/>
        <w:rPr>
          <w:sz w:val="20"/>
        </w:rPr>
      </w:pPr>
      <w:r>
        <w:rPr>
          <w:sz w:val="20"/>
        </w:rPr>
        <w:t>El sistema de retribución a tanto alzado podrá, en su caso, configurarse como de precio cerrado, con el efecto de que el precio ofertado por el adjudicatario se mantendrá invariable no siendo abonables las modificaciones del contrato que sean necesarias para corregir errores u omisiones padecidos en la redacción del proyecto.</w:t>
      </w:r>
    </w:p>
    <w:p w:rsidR="0092635B" w:rsidRDefault="00000000">
      <w:pPr>
        <w:pStyle w:val="Prrafodelista"/>
        <w:numPr>
          <w:ilvl w:val="0"/>
          <w:numId w:val="143"/>
        </w:numPr>
        <w:tabs>
          <w:tab w:val="left" w:pos="1679"/>
        </w:tabs>
        <w:spacing w:before="3" w:line="249" w:lineRule="auto"/>
        <w:ind w:right="1105" w:firstLine="340"/>
        <w:jc w:val="both"/>
        <w:rPr>
          <w:sz w:val="20"/>
        </w:rPr>
      </w:pPr>
      <w:r>
        <w:rPr>
          <w:sz w:val="20"/>
        </w:rPr>
        <w:t>La contratación de obras a tanto alzado con precio cerrado requerirá que se cumplan las siguientes condiciones:</w:t>
      </w:r>
    </w:p>
    <w:p w:rsidR="0092635B" w:rsidRDefault="00000000">
      <w:pPr>
        <w:pStyle w:val="Prrafodelista"/>
        <w:numPr>
          <w:ilvl w:val="1"/>
          <w:numId w:val="143"/>
        </w:numPr>
        <w:tabs>
          <w:tab w:val="left" w:pos="1693"/>
        </w:tabs>
        <w:spacing w:before="122" w:line="249" w:lineRule="auto"/>
        <w:ind w:right="1105" w:firstLine="340"/>
        <w:jc w:val="both"/>
        <w:rPr>
          <w:sz w:val="20"/>
        </w:rPr>
      </w:pPr>
      <w:r>
        <w:rPr>
          <w:sz w:val="20"/>
        </w:rPr>
        <w:t>Que así se prevea en el pliego de cláusulas administrativas particulares del contrato, pudiendo este establecer que algunas unidades o partes de la obra se excluyan de este sistema y se abonen por precios unitarios.</w:t>
      </w:r>
    </w:p>
    <w:p w:rsidR="0092635B" w:rsidRDefault="00000000">
      <w:pPr>
        <w:pStyle w:val="Prrafodelista"/>
        <w:numPr>
          <w:ilvl w:val="1"/>
          <w:numId w:val="143"/>
        </w:numPr>
        <w:tabs>
          <w:tab w:val="left" w:pos="1725"/>
        </w:tabs>
        <w:spacing w:line="249" w:lineRule="auto"/>
        <w:ind w:right="1104" w:firstLine="340"/>
        <w:jc w:val="both"/>
        <w:rPr>
          <w:sz w:val="20"/>
        </w:rPr>
      </w:pPr>
      <w:r>
        <w:rPr>
          <w:sz w:val="20"/>
        </w:rPr>
        <w:t>Las unidades de obra cuyo precio se vaya a abonar con arreglo a este sistema deberán estar previamente definidas en el proyecto y haberse replanteado antes de la licitación. El órgano de contratación deberá garantizar a los interesados el acceso al terreno donde se ubicarán las obras, a fin de que puedan realizar sobre el mismo las comprobaciones que consideren oportunas con suficiente antelación a la fecha límite de presentación de ofertas.</w:t>
      </w:r>
    </w:p>
    <w:p w:rsidR="0092635B" w:rsidRDefault="00000000">
      <w:pPr>
        <w:pStyle w:val="Prrafodelista"/>
        <w:numPr>
          <w:ilvl w:val="1"/>
          <w:numId w:val="143"/>
        </w:numPr>
        <w:tabs>
          <w:tab w:val="left" w:pos="1722"/>
        </w:tabs>
        <w:spacing w:before="5" w:line="249" w:lineRule="auto"/>
        <w:ind w:right="1105" w:firstLine="340"/>
        <w:jc w:val="both"/>
        <w:rPr>
          <w:sz w:val="20"/>
        </w:rPr>
      </w:pPr>
      <w:r>
        <w:rPr>
          <w:sz w:val="20"/>
        </w:rPr>
        <w:t>Que el precio correspondiente a los elementos del contrato o unidades de obra contratados por el sistema de tanto alzado con precio cerrado sea abonado mensualmente,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7" w:firstLine="0"/>
      </w:pPr>
      <w:r>
        <w:t>en la misma proporción que la obra ejecutada en el mes a que corresponda guarde con el total de la unidad o elemento de obra de que se trate.</w:t>
      </w:r>
    </w:p>
    <w:p w:rsidR="0092635B" w:rsidRDefault="00000000">
      <w:pPr>
        <w:pStyle w:val="Prrafodelista"/>
        <w:numPr>
          <w:ilvl w:val="1"/>
          <w:numId w:val="143"/>
        </w:numPr>
        <w:tabs>
          <w:tab w:val="left" w:pos="1703"/>
        </w:tabs>
        <w:spacing w:before="1" w:line="249" w:lineRule="auto"/>
        <w:ind w:right="1104" w:firstLine="340"/>
        <w:jc w:val="both"/>
        <w:rPr>
          <w:sz w:val="20"/>
        </w:rPr>
      </w:pPr>
      <w:r>
        <w:rPr>
          <w:sz w:val="20"/>
        </w:rPr>
        <w:t>Cuando en el pliego se autorice a los licitadores la presentación de variantes sobre determinados elementos o unidades de obra que de acuerdo con el pliego de cláusulas administrativas particulares del contrato deban ser ofertadas por el precio cerrado, las</w:t>
      </w:r>
      <w:r>
        <w:rPr>
          <w:spacing w:val="40"/>
          <w:sz w:val="20"/>
        </w:rPr>
        <w:t xml:space="preserve"> </w:t>
      </w:r>
      <w:r>
        <w:rPr>
          <w:sz w:val="20"/>
        </w:rPr>
        <w:t>citadas variantes deberán ser ofertadas bajo dicha modalidad.</w:t>
      </w:r>
    </w:p>
    <w:p w:rsidR="0092635B" w:rsidRDefault="00000000">
      <w:pPr>
        <w:pStyle w:val="Textoindependiente"/>
        <w:spacing w:before="124" w:line="249" w:lineRule="auto"/>
        <w:ind w:right="1105"/>
      </w:pPr>
      <w:r>
        <w:t>En este caso, los licitadores vendrán obligados a presentar un proyecto básico cuyo contenido se determinará en el pliego de cláusulas administrativas particulares del contrato.</w:t>
      </w:r>
    </w:p>
    <w:p w:rsidR="0092635B" w:rsidRDefault="00000000">
      <w:pPr>
        <w:pStyle w:val="Textoindependiente"/>
        <w:spacing w:before="1" w:line="249" w:lineRule="auto"/>
        <w:ind w:right="1104"/>
      </w:pPr>
      <w:r>
        <w:t>El adjudicatario del contrato en el plazo que determine dicho pliego deberá aportar el proyecto de construcción de las variantes ofertadas, para su preceptiva supervisión y aprobación. En ningún caso el precio o el plazo de la adjudicación sufrirá variación como consecuencia de la aprobación de este proyecto.</w:t>
      </w:r>
    </w:p>
    <w:p w:rsidR="0092635B" w:rsidRDefault="0092635B">
      <w:pPr>
        <w:pStyle w:val="Textoindependiente"/>
        <w:spacing w:before="0"/>
        <w:ind w:left="0" w:firstLine="0"/>
        <w:jc w:val="left"/>
      </w:pPr>
    </w:p>
    <w:p w:rsidR="0092635B" w:rsidRDefault="00000000">
      <w:pPr>
        <w:pStyle w:val="Ttulo3"/>
      </w:pPr>
      <w:bookmarkStart w:id="380" w:name="Sección_3.ª_Modificación_del_contrato_de"/>
      <w:bookmarkStart w:id="381" w:name="_bookmark71"/>
      <w:bookmarkEnd w:id="380"/>
      <w:bookmarkEnd w:id="381"/>
      <w:r>
        <w:t>Sección</w:t>
      </w:r>
      <w:r>
        <w:rPr>
          <w:spacing w:val="-1"/>
        </w:rPr>
        <w:t xml:space="preserve"> </w:t>
      </w:r>
      <w:r>
        <w:t>3.ª Modificación</w:t>
      </w:r>
      <w:r>
        <w:rPr>
          <w:spacing w:val="-1"/>
        </w:rPr>
        <w:t xml:space="preserve"> </w:t>
      </w:r>
      <w:r>
        <w:t>del contrato</w:t>
      </w:r>
      <w:r>
        <w:rPr>
          <w:spacing w:val="-1"/>
        </w:rPr>
        <w:t xml:space="preserve"> </w:t>
      </w:r>
      <w:r>
        <w:t xml:space="preserve">de </w:t>
      </w:r>
      <w:r>
        <w:rPr>
          <w:spacing w:val="-2"/>
        </w:rPr>
        <w:t>obras</w:t>
      </w:r>
    </w:p>
    <w:p w:rsidR="0092635B" w:rsidRDefault="0092635B">
      <w:pPr>
        <w:pStyle w:val="Textoindependiente"/>
        <w:spacing w:before="7"/>
        <w:ind w:left="0" w:firstLine="0"/>
        <w:jc w:val="left"/>
        <w:rPr>
          <w:rFonts w:ascii="Arial"/>
          <w:b/>
          <w:i/>
        </w:rPr>
      </w:pPr>
    </w:p>
    <w:p w:rsidR="0092635B" w:rsidRDefault="00000000">
      <w:pPr>
        <w:ind w:left="1106"/>
        <w:jc w:val="both"/>
        <w:rPr>
          <w:rFonts w:ascii="Arial" w:hAnsi="Arial"/>
          <w:i/>
          <w:sz w:val="20"/>
        </w:rPr>
      </w:pPr>
      <w:bookmarkStart w:id="382" w:name="Artículo_242._Modificación_del_contrato_"/>
      <w:bookmarkEnd w:id="382"/>
      <w:r>
        <w:rPr>
          <w:rFonts w:ascii="Arial" w:hAnsi="Arial"/>
          <w:b/>
          <w:sz w:val="20"/>
        </w:rPr>
        <w:t>Artículo</w:t>
      </w:r>
      <w:r>
        <w:rPr>
          <w:rFonts w:ascii="Arial" w:hAnsi="Arial"/>
          <w:b/>
          <w:spacing w:val="-4"/>
          <w:sz w:val="20"/>
        </w:rPr>
        <w:t xml:space="preserve"> </w:t>
      </w:r>
      <w:r>
        <w:rPr>
          <w:rFonts w:ascii="Arial" w:hAnsi="Arial"/>
          <w:b/>
          <w:sz w:val="20"/>
        </w:rPr>
        <w:t>242.</w:t>
      </w:r>
      <w:r>
        <w:rPr>
          <w:rFonts w:ascii="Arial" w:hAnsi="Arial"/>
          <w:b/>
          <w:spacing w:val="49"/>
          <w:sz w:val="20"/>
        </w:rPr>
        <w:t xml:space="preserve"> </w:t>
      </w:r>
      <w:r>
        <w:rPr>
          <w:rFonts w:ascii="Arial" w:hAnsi="Arial"/>
          <w:i/>
          <w:sz w:val="20"/>
        </w:rPr>
        <w:t>Modificación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contrato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obras.</w:t>
      </w:r>
    </w:p>
    <w:p w:rsidR="0092635B" w:rsidRDefault="00000000">
      <w:pPr>
        <w:pStyle w:val="Prrafodelista"/>
        <w:numPr>
          <w:ilvl w:val="0"/>
          <w:numId w:val="142"/>
        </w:numPr>
        <w:tabs>
          <w:tab w:val="left" w:pos="1681"/>
        </w:tabs>
        <w:spacing w:before="123" w:line="249" w:lineRule="auto"/>
        <w:ind w:right="1105" w:firstLine="340"/>
        <w:jc w:val="both"/>
        <w:rPr>
          <w:sz w:val="20"/>
        </w:rPr>
      </w:pPr>
      <w:r>
        <w:rPr>
          <w:sz w:val="20"/>
        </w:rPr>
        <w:t>Serán obligatorias para el contratista las modificaciones del contrato de obras que se acuerden de conformidad con lo establecido en el artículo 206. En caso de que la modificación suponga supresión o reducción de unidades de obra, el contratista no tendrá derecho a reclamar indemnización alguna.</w:t>
      </w:r>
    </w:p>
    <w:p w:rsidR="0092635B" w:rsidRDefault="00000000">
      <w:pPr>
        <w:pStyle w:val="Prrafodelista"/>
        <w:numPr>
          <w:ilvl w:val="0"/>
          <w:numId w:val="142"/>
        </w:numPr>
        <w:tabs>
          <w:tab w:val="left" w:pos="1670"/>
        </w:tabs>
        <w:spacing w:before="4" w:line="249" w:lineRule="auto"/>
        <w:ind w:firstLine="340"/>
        <w:jc w:val="both"/>
        <w:rPr>
          <w:sz w:val="20"/>
        </w:rPr>
      </w:pPr>
      <w:r>
        <w:rPr>
          <w:sz w:val="20"/>
        </w:rPr>
        <w:t>Cuando</w:t>
      </w:r>
      <w:r>
        <w:rPr>
          <w:spacing w:val="-1"/>
          <w:sz w:val="20"/>
        </w:rPr>
        <w:t xml:space="preserve"> </w:t>
      </w:r>
      <w:r>
        <w:rPr>
          <w:sz w:val="20"/>
        </w:rPr>
        <w:t>las</w:t>
      </w:r>
      <w:r>
        <w:rPr>
          <w:spacing w:val="-1"/>
          <w:sz w:val="20"/>
        </w:rPr>
        <w:t xml:space="preserve"> </w:t>
      </w:r>
      <w:r>
        <w:rPr>
          <w:sz w:val="20"/>
        </w:rPr>
        <w:t>modificaciones</w:t>
      </w:r>
      <w:r>
        <w:rPr>
          <w:spacing w:val="-1"/>
          <w:sz w:val="20"/>
        </w:rPr>
        <w:t xml:space="preserve"> </w:t>
      </w:r>
      <w:r>
        <w:rPr>
          <w:sz w:val="20"/>
        </w:rPr>
        <w:t>supongan</w:t>
      </w:r>
      <w:r>
        <w:rPr>
          <w:spacing w:val="-1"/>
          <w:sz w:val="20"/>
        </w:rPr>
        <w:t xml:space="preserve"> </w:t>
      </w:r>
      <w:r>
        <w:rPr>
          <w:sz w:val="20"/>
        </w:rPr>
        <w:t>la</w:t>
      </w:r>
      <w:r>
        <w:rPr>
          <w:spacing w:val="-1"/>
          <w:sz w:val="20"/>
        </w:rPr>
        <w:t xml:space="preserve"> </w:t>
      </w:r>
      <w:r>
        <w:rPr>
          <w:sz w:val="20"/>
        </w:rPr>
        <w:t>introducción</w:t>
      </w:r>
      <w:r>
        <w:rPr>
          <w:spacing w:val="-1"/>
          <w:sz w:val="20"/>
        </w:rPr>
        <w:t xml:space="preserve"> </w:t>
      </w:r>
      <w:r>
        <w:rPr>
          <w:sz w:val="20"/>
        </w:rPr>
        <w:t>de</w:t>
      </w:r>
      <w:r>
        <w:rPr>
          <w:spacing w:val="-1"/>
          <w:sz w:val="20"/>
        </w:rPr>
        <w:t xml:space="preserve"> </w:t>
      </w:r>
      <w:r>
        <w:rPr>
          <w:sz w:val="20"/>
        </w:rPr>
        <w:t>unidades</w:t>
      </w:r>
      <w:r>
        <w:rPr>
          <w:spacing w:val="-1"/>
          <w:sz w:val="20"/>
        </w:rPr>
        <w:t xml:space="preserve"> </w:t>
      </w:r>
      <w:r>
        <w:rPr>
          <w:sz w:val="20"/>
        </w:rPr>
        <w:t>de</w:t>
      </w:r>
      <w:r>
        <w:rPr>
          <w:spacing w:val="-1"/>
          <w:sz w:val="20"/>
        </w:rPr>
        <w:t xml:space="preserve"> </w:t>
      </w:r>
      <w:r>
        <w:rPr>
          <w:sz w:val="20"/>
        </w:rPr>
        <w:t>obra</w:t>
      </w:r>
      <w:r>
        <w:rPr>
          <w:spacing w:val="-1"/>
          <w:sz w:val="20"/>
        </w:rPr>
        <w:t xml:space="preserve"> </w:t>
      </w:r>
      <w:r>
        <w:rPr>
          <w:sz w:val="20"/>
        </w:rPr>
        <w:t>no</w:t>
      </w:r>
      <w:r>
        <w:rPr>
          <w:spacing w:val="-1"/>
          <w:sz w:val="20"/>
        </w:rPr>
        <w:t xml:space="preserve"> </w:t>
      </w:r>
      <w:r>
        <w:rPr>
          <w:sz w:val="20"/>
        </w:rPr>
        <w:t>previstas en el proyecto o cuyas características difieran de las fijadas en este, y no sea necesario realizar una nueva licitación, los precios aplicables a las mismas serán fijados por la Administración, previa 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w:t>
      </w:r>
    </w:p>
    <w:p w:rsidR="0092635B" w:rsidRDefault="00000000">
      <w:pPr>
        <w:pStyle w:val="Prrafodelista"/>
        <w:numPr>
          <w:ilvl w:val="0"/>
          <w:numId w:val="142"/>
        </w:numPr>
        <w:tabs>
          <w:tab w:val="left" w:pos="1677"/>
        </w:tabs>
        <w:spacing w:before="6" w:line="249" w:lineRule="auto"/>
        <w:ind w:firstLine="340"/>
        <w:jc w:val="both"/>
        <w:rPr>
          <w:sz w:val="20"/>
        </w:rPr>
      </w:pPr>
      <w:r>
        <w:rPr>
          <w:sz w:val="20"/>
        </w:rPr>
        <w:t xml:space="preserve">Cuando la modificación contemple unidades de obra que hayan de quedar posterior y definitivamente ocultas, antes de efectuar la medición parcial de las mismas, deberá comunicarse a la Intervención de la Administración correspondiente, </w:t>
      </w:r>
      <w:r>
        <w:rPr>
          <w:rFonts w:ascii="Arial" w:hAnsi="Arial"/>
          <w:b/>
          <w:sz w:val="20"/>
        </w:rPr>
        <w:t>con una antelación mínima de cinco días</w:t>
      </w:r>
      <w:r>
        <w:rPr>
          <w:sz w:val="20"/>
        </w:rPr>
        <w:t>, para que, si lo considera oportuno, pueda acudir a dicho acto en sus funciones de comprobación material de la inversión, y ello, sin perjuicio de, una vez terminadas las obras, efectuar la recepción, de conformidad con lo dispuesto en el apartado</w:t>
      </w:r>
      <w:r>
        <w:rPr>
          <w:spacing w:val="40"/>
          <w:sz w:val="20"/>
        </w:rPr>
        <w:t xml:space="preserve"> </w:t>
      </w:r>
      <w:r>
        <w:rPr>
          <w:sz w:val="20"/>
        </w:rPr>
        <w:t>1 del artículo 243, en relación con el apartado 2 del artículo 210.</w:t>
      </w:r>
    </w:p>
    <w:p w:rsidR="0092635B" w:rsidRDefault="00000000">
      <w:pPr>
        <w:pStyle w:val="Textoindependiente"/>
        <w:spacing w:before="19"/>
        <w:ind w:left="0" w:firstLine="0"/>
        <w:jc w:val="left"/>
      </w:pPr>
      <w:r>
        <w:rPr>
          <w:noProof/>
        </w:rPr>
        <mc:AlternateContent>
          <mc:Choice Requires="wps">
            <w:drawing>
              <wp:anchor distT="0" distB="0" distL="0" distR="0" simplePos="0" relativeHeight="487596032" behindDoc="1" locked="0" layoutInCell="1" allowOverlap="1">
                <wp:simplePos x="0" y="0"/>
                <wp:positionH relativeFrom="page">
                  <wp:posOffset>1156762</wp:posOffset>
                </wp:positionH>
                <wp:positionV relativeFrom="paragraph">
                  <wp:posOffset>178639</wp:posOffset>
                </wp:positionV>
                <wp:extent cx="5247005" cy="64960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70" w:right="268" w:firstLine="340"/>
                              <w:jc w:val="both"/>
                              <w:rPr>
                                <w:color w:val="000000"/>
                                <w:sz w:val="18"/>
                              </w:rPr>
                            </w:pPr>
                            <w:r>
                              <w:rPr>
                                <w:color w:val="000000"/>
                                <w:sz w:val="18"/>
                              </w:rPr>
                              <w:t xml:space="preserve">Téngase en cuenta que se declara que no es conforme con el orden constitucional de competencias el inciso destacado del apartado 3 [fundamento jurídico 7 C) e)] por la Sentencia del TC 68/2021, de 18 de marzo. </w:t>
                            </w:r>
                            <w:hyperlink r:id="rId49">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24" o:spid="_x0000_s1039" type="#_x0000_t202" style="position:absolute;margin-left:91.1pt;margin-top:14.05pt;width:413.15pt;height:51.1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" fillcolor="#f7f7ff" strokecolor="#9f9f9f">
                <v:path arrowok="t"/>
                <v:textbox inset="0,0,0,0">
                  <w:txbxContent>
                    <w:p w:rsidR="0092635B" w:rsidRDefault="00000000">
                      <w:pPr>
                        <w:spacing w:before="181" w:line="249" w:lineRule="auto"/>
                        <w:ind w:left="270" w:right="268" w:firstLine="340"/>
                        <w:jc w:val="both"/>
                        <w:rPr>
                          <w:color w:val="000000"/>
                          <w:sz w:val="18"/>
                        </w:rPr>
                      </w:pPr>
                      <w:r>
                        <w:rPr>
                          <w:color w:val="000000"/>
                          <w:sz w:val="18"/>
                        </w:rPr>
                        <w:t xml:space="preserve">Téngase en cuenta que se declara que no es conforme con el orden constitucional de competencias el inciso destacado del apartado 3 [fundamento jurídico 7 C) e)] por la Sentencia del TC 68/2021, de 18 de marzo. </w:t>
                      </w:r>
                      <w:hyperlink r:id="rId50">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142"/>
        </w:numPr>
        <w:tabs>
          <w:tab w:val="left" w:pos="1702"/>
        </w:tabs>
        <w:spacing w:before="0" w:line="249" w:lineRule="auto"/>
        <w:ind w:right="1104" w:firstLine="340"/>
        <w:jc w:val="both"/>
        <w:rPr>
          <w:sz w:val="20"/>
        </w:rPr>
      </w:pPr>
      <w:r>
        <w:rPr>
          <w:sz w:val="20"/>
        </w:rPr>
        <w:t>Cuando el Director facultativo de la obra considere necesaria una modificación del proyecto</w:t>
      </w:r>
      <w:r>
        <w:rPr>
          <w:spacing w:val="-1"/>
          <w:sz w:val="20"/>
        </w:rPr>
        <w:t xml:space="preserve"> </w:t>
      </w:r>
      <w:r>
        <w:rPr>
          <w:sz w:val="20"/>
        </w:rPr>
        <w:t>y</w:t>
      </w:r>
      <w:r>
        <w:rPr>
          <w:spacing w:val="-1"/>
          <w:sz w:val="20"/>
        </w:rPr>
        <w:t xml:space="preserve"> </w:t>
      </w:r>
      <w:r>
        <w:rPr>
          <w:sz w:val="20"/>
        </w:rPr>
        <w:t>se</w:t>
      </w:r>
      <w:r>
        <w:rPr>
          <w:spacing w:val="-1"/>
          <w:sz w:val="20"/>
        </w:rPr>
        <w:t xml:space="preserve"> </w:t>
      </w:r>
      <w:r>
        <w:rPr>
          <w:sz w:val="20"/>
        </w:rPr>
        <w:t>cumplan</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tal</w:t>
      </w:r>
      <w:r>
        <w:rPr>
          <w:spacing w:val="-1"/>
          <w:sz w:val="20"/>
        </w:rPr>
        <w:t xml:space="preserve"> </w:t>
      </w:r>
      <w:r>
        <w:rPr>
          <w:sz w:val="20"/>
        </w:rPr>
        <w:t>efecto</w:t>
      </w:r>
      <w:r>
        <w:rPr>
          <w:spacing w:val="-1"/>
          <w:sz w:val="20"/>
        </w:rPr>
        <w:t xml:space="preserve"> </w:t>
      </w:r>
      <w:r>
        <w:rPr>
          <w:sz w:val="20"/>
        </w:rPr>
        <w:t>regula</w:t>
      </w:r>
      <w:r>
        <w:rPr>
          <w:spacing w:val="-1"/>
          <w:sz w:val="20"/>
        </w:rPr>
        <w:t xml:space="preserve"> </w:t>
      </w:r>
      <w:r>
        <w:rPr>
          <w:sz w:val="20"/>
        </w:rPr>
        <w:t>esta</w:t>
      </w:r>
      <w:r>
        <w:rPr>
          <w:spacing w:val="-1"/>
          <w:sz w:val="20"/>
        </w:rPr>
        <w:t xml:space="preserve"> </w:t>
      </w:r>
      <w:r>
        <w:rPr>
          <w:sz w:val="20"/>
        </w:rPr>
        <w:t>Ley,</w:t>
      </w:r>
      <w:r>
        <w:rPr>
          <w:spacing w:val="-1"/>
          <w:sz w:val="20"/>
        </w:rPr>
        <w:t xml:space="preserve"> </w:t>
      </w:r>
      <w:r>
        <w:rPr>
          <w:sz w:val="20"/>
        </w:rPr>
        <w:t>recabará</w:t>
      </w:r>
      <w:r>
        <w:rPr>
          <w:spacing w:val="-1"/>
          <w:sz w:val="20"/>
        </w:rPr>
        <w:t xml:space="preserve"> </w:t>
      </w:r>
      <w:r>
        <w:rPr>
          <w:sz w:val="20"/>
        </w:rPr>
        <w:t>del</w:t>
      </w:r>
      <w:r>
        <w:rPr>
          <w:spacing w:val="-1"/>
          <w:sz w:val="20"/>
        </w:rPr>
        <w:t xml:space="preserve"> </w:t>
      </w:r>
      <w:r>
        <w:rPr>
          <w:sz w:val="20"/>
        </w:rPr>
        <w:t>órgano</w:t>
      </w:r>
      <w:r>
        <w:rPr>
          <w:spacing w:val="-1"/>
          <w:sz w:val="20"/>
        </w:rPr>
        <w:t xml:space="preserve"> </w:t>
      </w:r>
      <w:r>
        <w:rPr>
          <w:sz w:val="20"/>
        </w:rPr>
        <w:t>de contratación autorización para iniciar el correspondiente expediente, que se sustanciará con las siguientes actuaciones:</w:t>
      </w:r>
    </w:p>
    <w:p w:rsidR="0092635B" w:rsidRDefault="00000000">
      <w:pPr>
        <w:pStyle w:val="Prrafodelista"/>
        <w:numPr>
          <w:ilvl w:val="1"/>
          <w:numId w:val="142"/>
        </w:numPr>
        <w:tabs>
          <w:tab w:val="left" w:pos="1679"/>
        </w:tabs>
        <w:spacing w:before="123"/>
        <w:ind w:right="0" w:hanging="233"/>
        <w:rPr>
          <w:sz w:val="20"/>
        </w:rPr>
      </w:pPr>
      <w:r>
        <w:rPr>
          <w:sz w:val="20"/>
        </w:rPr>
        <w:t>Redacción</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modificación</w:t>
      </w:r>
      <w:r>
        <w:rPr>
          <w:spacing w:val="-5"/>
          <w:sz w:val="20"/>
        </w:rPr>
        <w:t xml:space="preserve"> </w:t>
      </w:r>
      <w:r>
        <w:rPr>
          <w:sz w:val="20"/>
        </w:rPr>
        <w:t>del</w:t>
      </w:r>
      <w:r>
        <w:rPr>
          <w:spacing w:val="-4"/>
          <w:sz w:val="20"/>
        </w:rPr>
        <w:t xml:space="preserve"> </w:t>
      </w:r>
      <w:r>
        <w:rPr>
          <w:sz w:val="20"/>
        </w:rPr>
        <w:t>proyecto</w:t>
      </w:r>
      <w:r>
        <w:rPr>
          <w:spacing w:val="-4"/>
          <w:sz w:val="20"/>
        </w:rPr>
        <w:t xml:space="preserve"> </w:t>
      </w:r>
      <w:r>
        <w:rPr>
          <w:sz w:val="20"/>
        </w:rPr>
        <w:t>y</w:t>
      </w:r>
      <w:r>
        <w:rPr>
          <w:spacing w:val="-4"/>
          <w:sz w:val="20"/>
        </w:rPr>
        <w:t xml:space="preserve"> </w:t>
      </w:r>
      <w:r>
        <w:rPr>
          <w:sz w:val="20"/>
        </w:rPr>
        <w:t>aprobación</w:t>
      </w:r>
      <w:r>
        <w:rPr>
          <w:spacing w:val="-5"/>
          <w:sz w:val="20"/>
        </w:rPr>
        <w:t xml:space="preserve"> </w:t>
      </w:r>
      <w:r>
        <w:rPr>
          <w:sz w:val="20"/>
        </w:rPr>
        <w:t>técnica</w:t>
      </w:r>
      <w:r>
        <w:rPr>
          <w:spacing w:val="-4"/>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misma.</w:t>
      </w:r>
    </w:p>
    <w:p w:rsidR="0092635B" w:rsidRDefault="00000000">
      <w:pPr>
        <w:pStyle w:val="Prrafodelista"/>
        <w:numPr>
          <w:ilvl w:val="1"/>
          <w:numId w:val="142"/>
        </w:numPr>
        <w:tabs>
          <w:tab w:val="left" w:pos="1679"/>
        </w:tabs>
        <w:spacing w:before="10"/>
        <w:ind w:right="0" w:hanging="233"/>
        <w:rPr>
          <w:sz w:val="20"/>
        </w:rPr>
      </w:pPr>
      <w:r>
        <w:rPr>
          <w:sz w:val="20"/>
        </w:rPr>
        <w:t>Audiencia</w:t>
      </w:r>
      <w:r>
        <w:rPr>
          <w:spacing w:val="-3"/>
          <w:sz w:val="20"/>
        </w:rPr>
        <w:t xml:space="preserve"> </w:t>
      </w:r>
      <w:r>
        <w:rPr>
          <w:sz w:val="20"/>
        </w:rPr>
        <w:t>del</w:t>
      </w:r>
      <w:r>
        <w:rPr>
          <w:spacing w:val="-3"/>
          <w:sz w:val="20"/>
        </w:rPr>
        <w:t xml:space="preserve"> </w:t>
      </w:r>
      <w:r>
        <w:rPr>
          <w:sz w:val="20"/>
        </w:rPr>
        <w:t>contratista</w:t>
      </w:r>
      <w:r>
        <w:rPr>
          <w:spacing w:val="-2"/>
          <w:sz w:val="20"/>
        </w:rPr>
        <w:t xml:space="preserve"> </w:t>
      </w:r>
      <w:r>
        <w:rPr>
          <w:sz w:val="20"/>
        </w:rPr>
        <w:t>y</w:t>
      </w:r>
      <w:r>
        <w:rPr>
          <w:spacing w:val="-3"/>
          <w:sz w:val="20"/>
        </w:rPr>
        <w:t xml:space="preserve"> </w:t>
      </w:r>
      <w:r>
        <w:rPr>
          <w:sz w:val="20"/>
        </w:rPr>
        <w:t>del</w:t>
      </w:r>
      <w:r>
        <w:rPr>
          <w:spacing w:val="-3"/>
          <w:sz w:val="20"/>
        </w:rPr>
        <w:t xml:space="preserve"> </w:t>
      </w:r>
      <w:r>
        <w:rPr>
          <w:sz w:val="20"/>
        </w:rPr>
        <w:t>redactor</w:t>
      </w:r>
      <w:r>
        <w:rPr>
          <w:spacing w:val="-2"/>
          <w:sz w:val="20"/>
        </w:rPr>
        <w:t xml:space="preserve"> </w:t>
      </w:r>
      <w:r>
        <w:rPr>
          <w:sz w:val="20"/>
        </w:rPr>
        <w:t>del</w:t>
      </w:r>
      <w:r>
        <w:rPr>
          <w:spacing w:val="-3"/>
          <w:sz w:val="20"/>
        </w:rPr>
        <w:t xml:space="preserve"> </w:t>
      </w:r>
      <w:r>
        <w:rPr>
          <w:sz w:val="20"/>
        </w:rPr>
        <w:t>proyecto,</w:t>
      </w:r>
      <w:r>
        <w:rPr>
          <w:spacing w:val="-2"/>
          <w:sz w:val="20"/>
        </w:rPr>
        <w:t xml:space="preserve"> </w:t>
      </w:r>
      <w:r>
        <w:rPr>
          <w:sz w:val="20"/>
        </w:rPr>
        <w:t>por</w:t>
      </w:r>
      <w:r>
        <w:rPr>
          <w:spacing w:val="-3"/>
          <w:sz w:val="20"/>
        </w:rPr>
        <w:t xml:space="preserve"> </w:t>
      </w:r>
      <w:r>
        <w:rPr>
          <w:sz w:val="20"/>
        </w:rPr>
        <w:t>plazo</w:t>
      </w:r>
      <w:r>
        <w:rPr>
          <w:spacing w:val="-3"/>
          <w:sz w:val="20"/>
        </w:rPr>
        <w:t xml:space="preserve"> </w:t>
      </w:r>
      <w:r>
        <w:rPr>
          <w:sz w:val="20"/>
        </w:rPr>
        <w:t>mínimo</w:t>
      </w:r>
      <w:r>
        <w:rPr>
          <w:spacing w:val="-2"/>
          <w:sz w:val="20"/>
        </w:rPr>
        <w:t xml:space="preserve"> </w:t>
      </w:r>
      <w:r>
        <w:rPr>
          <w:sz w:val="20"/>
        </w:rPr>
        <w:t>de</w:t>
      </w:r>
      <w:r>
        <w:rPr>
          <w:spacing w:val="-3"/>
          <w:sz w:val="20"/>
        </w:rPr>
        <w:t xml:space="preserve"> </w:t>
      </w:r>
      <w:r>
        <w:rPr>
          <w:sz w:val="20"/>
        </w:rPr>
        <w:t>tres</w:t>
      </w:r>
      <w:r>
        <w:rPr>
          <w:spacing w:val="-2"/>
          <w:sz w:val="20"/>
        </w:rPr>
        <w:t xml:space="preserve"> días.</w:t>
      </w:r>
    </w:p>
    <w:p w:rsidR="0092635B" w:rsidRDefault="00000000">
      <w:pPr>
        <w:pStyle w:val="Prrafodelista"/>
        <w:numPr>
          <w:ilvl w:val="1"/>
          <w:numId w:val="142"/>
        </w:numPr>
        <w:tabs>
          <w:tab w:val="left" w:pos="1708"/>
        </w:tabs>
        <w:spacing w:before="10" w:line="249" w:lineRule="auto"/>
        <w:ind w:left="1106" w:firstLine="340"/>
        <w:rPr>
          <w:sz w:val="20"/>
        </w:rPr>
      </w:pPr>
      <w:r>
        <w:rPr>
          <w:sz w:val="20"/>
        </w:rPr>
        <w:t>Aprobación</w:t>
      </w:r>
      <w:r>
        <w:rPr>
          <w:spacing w:val="38"/>
          <w:sz w:val="20"/>
        </w:rPr>
        <w:t xml:space="preserve"> </w:t>
      </w:r>
      <w:r>
        <w:rPr>
          <w:sz w:val="20"/>
        </w:rPr>
        <w:t>del</w:t>
      </w:r>
      <w:r>
        <w:rPr>
          <w:spacing w:val="38"/>
          <w:sz w:val="20"/>
        </w:rPr>
        <w:t xml:space="preserve"> </w:t>
      </w:r>
      <w:r>
        <w:rPr>
          <w:sz w:val="20"/>
        </w:rPr>
        <w:t>expediente</w:t>
      </w:r>
      <w:r>
        <w:rPr>
          <w:spacing w:val="38"/>
          <w:sz w:val="20"/>
        </w:rPr>
        <w:t xml:space="preserve"> </w:t>
      </w:r>
      <w:r>
        <w:rPr>
          <w:sz w:val="20"/>
        </w:rPr>
        <w:t>por</w:t>
      </w:r>
      <w:r>
        <w:rPr>
          <w:spacing w:val="38"/>
          <w:sz w:val="20"/>
        </w:rPr>
        <w:t xml:space="preserve"> </w:t>
      </w:r>
      <w:r>
        <w:rPr>
          <w:sz w:val="20"/>
        </w:rPr>
        <w:t>el</w:t>
      </w:r>
      <w:r>
        <w:rPr>
          <w:spacing w:val="38"/>
          <w:sz w:val="20"/>
        </w:rPr>
        <w:t xml:space="preserve"> </w:t>
      </w:r>
      <w:r>
        <w:rPr>
          <w:sz w:val="20"/>
        </w:rPr>
        <w:t>órgano</w:t>
      </w:r>
      <w:r>
        <w:rPr>
          <w:spacing w:val="38"/>
          <w:sz w:val="20"/>
        </w:rPr>
        <w:t xml:space="preserve"> </w:t>
      </w:r>
      <w:r>
        <w:rPr>
          <w:sz w:val="20"/>
        </w:rPr>
        <w:t>de</w:t>
      </w:r>
      <w:r>
        <w:rPr>
          <w:spacing w:val="38"/>
          <w:sz w:val="20"/>
        </w:rPr>
        <w:t xml:space="preserve"> </w:t>
      </w:r>
      <w:r>
        <w:rPr>
          <w:sz w:val="20"/>
        </w:rPr>
        <w:t>contratación,</w:t>
      </w:r>
      <w:r>
        <w:rPr>
          <w:spacing w:val="38"/>
          <w:sz w:val="20"/>
        </w:rPr>
        <w:t xml:space="preserve"> </w:t>
      </w:r>
      <w:r>
        <w:rPr>
          <w:sz w:val="20"/>
        </w:rPr>
        <w:t>así</w:t>
      </w:r>
      <w:r>
        <w:rPr>
          <w:spacing w:val="38"/>
          <w:sz w:val="20"/>
        </w:rPr>
        <w:t xml:space="preserve"> </w:t>
      </w:r>
      <w:r>
        <w:rPr>
          <w:sz w:val="20"/>
        </w:rPr>
        <w:t>como</w:t>
      </w:r>
      <w:r>
        <w:rPr>
          <w:spacing w:val="38"/>
          <w:sz w:val="20"/>
        </w:rPr>
        <w:t xml:space="preserve"> </w:t>
      </w:r>
      <w:r>
        <w:rPr>
          <w:sz w:val="20"/>
        </w:rPr>
        <w:t>de</w:t>
      </w:r>
      <w:r>
        <w:rPr>
          <w:spacing w:val="38"/>
          <w:sz w:val="20"/>
        </w:rPr>
        <w:t xml:space="preserve"> </w:t>
      </w:r>
      <w:r>
        <w:rPr>
          <w:sz w:val="20"/>
        </w:rPr>
        <w:t>los</w:t>
      </w:r>
      <w:r>
        <w:rPr>
          <w:spacing w:val="38"/>
          <w:sz w:val="20"/>
        </w:rPr>
        <w:t xml:space="preserve"> </w:t>
      </w:r>
      <w:r>
        <w:rPr>
          <w:sz w:val="20"/>
        </w:rPr>
        <w:t>gastos complementarios precisos.</w:t>
      </w:r>
    </w:p>
    <w:p w:rsidR="0092635B" w:rsidRDefault="00000000">
      <w:pPr>
        <w:pStyle w:val="Textoindependiente"/>
        <w:spacing w:before="122"/>
        <w:ind w:left="1446" w:firstLine="0"/>
        <w:jc w:val="left"/>
      </w:pPr>
      <w:r>
        <w:t>No</w:t>
      </w:r>
      <w:r>
        <w:rPr>
          <w:spacing w:val="-4"/>
        </w:rPr>
        <w:t xml:space="preserve"> </w:t>
      </w:r>
      <w:r>
        <w:t>obstante,</w:t>
      </w:r>
      <w:r>
        <w:rPr>
          <w:spacing w:val="-3"/>
        </w:rPr>
        <w:t xml:space="preserve"> </w:t>
      </w:r>
      <w:r>
        <w:t>no</w:t>
      </w:r>
      <w:r>
        <w:rPr>
          <w:spacing w:val="-3"/>
        </w:rPr>
        <w:t xml:space="preserve"> </w:t>
      </w:r>
      <w:r>
        <w:t>tendrán</w:t>
      </w:r>
      <w:r>
        <w:rPr>
          <w:spacing w:val="-3"/>
        </w:rPr>
        <w:t xml:space="preserve"> </w:t>
      </w:r>
      <w:r>
        <w:t>la</w:t>
      </w:r>
      <w:r>
        <w:rPr>
          <w:spacing w:val="-3"/>
        </w:rPr>
        <w:t xml:space="preserve"> </w:t>
      </w:r>
      <w:r>
        <w:t>consideración</w:t>
      </w:r>
      <w:r>
        <w:rPr>
          <w:spacing w:val="-3"/>
        </w:rPr>
        <w:t xml:space="preserve"> </w:t>
      </w:r>
      <w:r>
        <w:t>de</w:t>
      </w:r>
      <w:r>
        <w:rPr>
          <w:spacing w:val="-3"/>
        </w:rPr>
        <w:t xml:space="preserve"> </w:t>
      </w:r>
      <w:r>
        <w:rPr>
          <w:spacing w:val="-2"/>
        </w:rPr>
        <w:t>modificaciones:</w:t>
      </w:r>
    </w:p>
    <w:p w:rsidR="0092635B" w:rsidRDefault="00000000">
      <w:pPr>
        <w:pStyle w:val="Prrafodelista"/>
        <w:numPr>
          <w:ilvl w:val="2"/>
          <w:numId w:val="142"/>
        </w:numPr>
        <w:tabs>
          <w:tab w:val="left" w:pos="1640"/>
        </w:tabs>
        <w:spacing w:before="130" w:line="249" w:lineRule="auto"/>
        <w:ind w:firstLine="340"/>
        <w:jc w:val="both"/>
        <w:rPr>
          <w:sz w:val="20"/>
        </w:rPr>
      </w:pPr>
      <w:r>
        <w:rPr>
          <w:sz w:val="20"/>
        </w:rPr>
        <w:t>El exceso de mediciones, 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Dicho exceso de mediciones será recogido en la certificación final de la obra.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2"/>
          <w:numId w:val="142"/>
        </w:numPr>
        <w:tabs>
          <w:tab w:val="left" w:pos="1688"/>
        </w:tabs>
        <w:spacing w:before="1" w:line="249" w:lineRule="auto"/>
        <w:ind w:firstLine="340"/>
        <w:jc w:val="both"/>
        <w:rPr>
          <w:sz w:val="20"/>
        </w:rPr>
      </w:pPr>
      <w:r>
        <w:rPr>
          <w:sz w:val="20"/>
        </w:rPr>
        <w:t>La inclusión de precios nuevos, fijados contradictoriamente por los procedimientos establecidos en esta Ley y en sus normas de desarrollo, siempre que no supongan incremento del precio global del contrato ni afecten a unidades de obra que en su conjunto exceda del 3 por ciento del presupuesto primitivo del mismo.</w:t>
      </w:r>
    </w:p>
    <w:p w:rsidR="0092635B" w:rsidRDefault="00000000">
      <w:pPr>
        <w:pStyle w:val="Prrafodelista"/>
        <w:numPr>
          <w:ilvl w:val="0"/>
          <w:numId w:val="142"/>
        </w:numPr>
        <w:tabs>
          <w:tab w:val="left" w:pos="1700"/>
        </w:tabs>
        <w:spacing w:before="123" w:line="249" w:lineRule="auto"/>
        <w:ind w:right="1102" w:firstLine="340"/>
        <w:jc w:val="both"/>
        <w:rPr>
          <w:sz w:val="20"/>
        </w:rPr>
      </w:pPr>
      <w:r>
        <w:rPr>
          <w:sz w:val="20"/>
        </w:rPr>
        <w:t>Cuando la tramitación de una modificación exija la suspensión temporal total de la ejecución de las obras y ello ocasione graves perjuicios para el interés público, el Ministro, si se trata de la Administración General del Estado, sus Organismos Autónomos, Entidades Gestoras y Servicios Comunes de la Seguridad Social y demás entidades públicas integrantes del sector público estatal, podrá acordar que continúen provisionalmente las mismas tal y como esté previsto en la propuesta técnica que elabore la dirección facultativa, siempre que el importe máximo previsto no supere el 20 por ciento del precio inicial del contrato, IVA excluido, y exista crédito adecuado y suficiente para su financiación.</w:t>
      </w:r>
    </w:p>
    <w:p w:rsidR="0092635B" w:rsidRDefault="00000000">
      <w:pPr>
        <w:pStyle w:val="Textoindependiente"/>
        <w:spacing w:before="6" w:line="249" w:lineRule="auto"/>
        <w:ind w:right="1105"/>
      </w:pPr>
      <w:r>
        <w:t>El expediente de continuación provisional a tramitar al efecto exigirá exclusivamente la incorporación de las siguientes actuaciones:</w:t>
      </w:r>
    </w:p>
    <w:p w:rsidR="0092635B" w:rsidRDefault="00000000">
      <w:pPr>
        <w:pStyle w:val="Prrafodelista"/>
        <w:numPr>
          <w:ilvl w:val="1"/>
          <w:numId w:val="142"/>
        </w:numPr>
        <w:tabs>
          <w:tab w:val="left" w:pos="1716"/>
        </w:tabs>
        <w:spacing w:before="122" w:line="249" w:lineRule="auto"/>
        <w:ind w:left="1106" w:right="1104" w:firstLine="340"/>
        <w:jc w:val="both"/>
        <w:rPr>
          <w:sz w:val="20"/>
        </w:rPr>
      </w:pPr>
      <w:r>
        <w:rPr>
          <w:sz w:val="20"/>
        </w:rPr>
        <w:t>Propuesta técnica motivada efectuada por el director facultativo de la obra, donde figure el importe aproximado de la modificación, la descripción básica de las obras a realizar y la justificación de que la modificación se encuentra en uno de los supuestos previstos en el apartado 2 del artículo 203.</w:t>
      </w:r>
    </w:p>
    <w:p w:rsidR="0092635B" w:rsidRDefault="00000000">
      <w:pPr>
        <w:pStyle w:val="Prrafodelista"/>
        <w:numPr>
          <w:ilvl w:val="1"/>
          <w:numId w:val="142"/>
        </w:numPr>
        <w:tabs>
          <w:tab w:val="left" w:pos="1679"/>
        </w:tabs>
        <w:spacing w:before="3"/>
        <w:ind w:right="0" w:hanging="233"/>
        <w:rPr>
          <w:sz w:val="20"/>
        </w:rPr>
      </w:pPr>
      <w:r>
        <w:rPr>
          <w:sz w:val="20"/>
        </w:rPr>
        <w:t>Audiencia</w:t>
      </w:r>
      <w:r>
        <w:rPr>
          <w:spacing w:val="-5"/>
          <w:sz w:val="20"/>
        </w:rPr>
        <w:t xml:space="preserve"> </w:t>
      </w:r>
      <w:r>
        <w:rPr>
          <w:sz w:val="20"/>
        </w:rPr>
        <w:t>del</w:t>
      </w:r>
      <w:r>
        <w:rPr>
          <w:spacing w:val="-5"/>
          <w:sz w:val="20"/>
        </w:rPr>
        <w:t xml:space="preserve"> </w:t>
      </w:r>
      <w:r>
        <w:rPr>
          <w:spacing w:val="-2"/>
          <w:sz w:val="20"/>
        </w:rPr>
        <w:t>contratista.</w:t>
      </w:r>
    </w:p>
    <w:p w:rsidR="0092635B" w:rsidRDefault="00000000">
      <w:pPr>
        <w:pStyle w:val="Prrafodelista"/>
        <w:numPr>
          <w:ilvl w:val="1"/>
          <w:numId w:val="142"/>
        </w:numPr>
        <w:tabs>
          <w:tab w:val="left" w:pos="1668"/>
        </w:tabs>
        <w:spacing w:before="10"/>
        <w:ind w:left="1668" w:right="0" w:hanging="222"/>
        <w:rPr>
          <w:sz w:val="20"/>
        </w:rPr>
      </w:pPr>
      <w:r>
        <w:rPr>
          <w:sz w:val="20"/>
        </w:rPr>
        <w:t>Conformidad</w:t>
      </w:r>
      <w:r>
        <w:rPr>
          <w:spacing w:val="-5"/>
          <w:sz w:val="20"/>
        </w:rPr>
        <w:t xml:space="preserve"> </w:t>
      </w:r>
      <w:r>
        <w:rPr>
          <w:sz w:val="20"/>
        </w:rPr>
        <w:t>del</w:t>
      </w:r>
      <w:r>
        <w:rPr>
          <w:spacing w:val="-4"/>
          <w:sz w:val="20"/>
        </w:rPr>
        <w:t xml:space="preserve"> </w:t>
      </w:r>
      <w:r>
        <w:rPr>
          <w:sz w:val="20"/>
        </w:rPr>
        <w:t>órgano</w:t>
      </w:r>
      <w:r>
        <w:rPr>
          <w:spacing w:val="-5"/>
          <w:sz w:val="20"/>
        </w:rPr>
        <w:t xml:space="preserve"> </w:t>
      </w:r>
      <w:r>
        <w:rPr>
          <w:sz w:val="20"/>
        </w:rPr>
        <w:t>de</w:t>
      </w:r>
      <w:r>
        <w:rPr>
          <w:spacing w:val="-4"/>
          <w:sz w:val="20"/>
        </w:rPr>
        <w:t xml:space="preserve"> </w:t>
      </w:r>
      <w:r>
        <w:rPr>
          <w:spacing w:val="-2"/>
          <w:sz w:val="20"/>
        </w:rPr>
        <w:t>contratación.</w:t>
      </w:r>
    </w:p>
    <w:p w:rsidR="0092635B" w:rsidRDefault="00000000">
      <w:pPr>
        <w:pStyle w:val="Prrafodelista"/>
        <w:numPr>
          <w:ilvl w:val="1"/>
          <w:numId w:val="142"/>
        </w:numPr>
        <w:tabs>
          <w:tab w:val="left" w:pos="1679"/>
        </w:tabs>
        <w:spacing w:before="10"/>
        <w:ind w:right="0" w:hanging="233"/>
        <w:rPr>
          <w:sz w:val="20"/>
        </w:rPr>
      </w:pPr>
      <w:r>
        <w:rPr>
          <w:sz w:val="20"/>
        </w:rPr>
        <w:t>Certificado</w:t>
      </w:r>
      <w:r>
        <w:rPr>
          <w:spacing w:val="-8"/>
          <w:sz w:val="20"/>
        </w:rPr>
        <w:t xml:space="preserve"> </w:t>
      </w:r>
      <w:r>
        <w:rPr>
          <w:sz w:val="20"/>
        </w:rPr>
        <w:t>de</w:t>
      </w:r>
      <w:r>
        <w:rPr>
          <w:spacing w:val="-5"/>
          <w:sz w:val="20"/>
        </w:rPr>
        <w:t xml:space="preserve"> </w:t>
      </w:r>
      <w:r>
        <w:rPr>
          <w:sz w:val="20"/>
        </w:rPr>
        <w:t>existencia</w:t>
      </w:r>
      <w:r>
        <w:rPr>
          <w:spacing w:val="-5"/>
          <w:sz w:val="20"/>
        </w:rPr>
        <w:t xml:space="preserve"> </w:t>
      </w:r>
      <w:r>
        <w:rPr>
          <w:sz w:val="20"/>
        </w:rPr>
        <w:t>de</w:t>
      </w:r>
      <w:r>
        <w:rPr>
          <w:spacing w:val="-5"/>
          <w:sz w:val="20"/>
        </w:rPr>
        <w:t xml:space="preserve"> </w:t>
      </w:r>
      <w:r>
        <w:rPr>
          <w:spacing w:val="-2"/>
          <w:sz w:val="20"/>
        </w:rPr>
        <w:t>crédito.</w:t>
      </w:r>
    </w:p>
    <w:p w:rsidR="0092635B" w:rsidRDefault="00000000">
      <w:pPr>
        <w:pStyle w:val="Prrafodelista"/>
        <w:numPr>
          <w:ilvl w:val="1"/>
          <w:numId w:val="142"/>
        </w:numPr>
        <w:tabs>
          <w:tab w:val="left" w:pos="1687"/>
        </w:tabs>
        <w:spacing w:before="10" w:line="249" w:lineRule="auto"/>
        <w:ind w:left="1106" w:right="1104" w:firstLine="340"/>
        <w:jc w:val="both"/>
        <w:rPr>
          <w:sz w:val="20"/>
        </w:rPr>
      </w:pPr>
      <w:r>
        <w:rPr>
          <w:sz w:val="20"/>
        </w:rPr>
        <w:t>Informe de la Oficina de Supervisión de Proyectos, en el caso de que en la propuesta técnica</w:t>
      </w:r>
      <w:r>
        <w:rPr>
          <w:spacing w:val="-1"/>
          <w:sz w:val="20"/>
        </w:rPr>
        <w:t xml:space="preserve"> </w:t>
      </w:r>
      <w:r>
        <w:rPr>
          <w:sz w:val="20"/>
        </w:rPr>
        <w:t>motivada</w:t>
      </w:r>
      <w:r>
        <w:rPr>
          <w:spacing w:val="-1"/>
          <w:sz w:val="20"/>
        </w:rPr>
        <w:t xml:space="preserve"> </w:t>
      </w:r>
      <w:r>
        <w:rPr>
          <w:sz w:val="20"/>
        </w:rPr>
        <w:t>se</w:t>
      </w:r>
      <w:r>
        <w:rPr>
          <w:spacing w:val="-1"/>
          <w:sz w:val="20"/>
        </w:rPr>
        <w:t xml:space="preserve"> </w:t>
      </w:r>
      <w:r>
        <w:rPr>
          <w:sz w:val="20"/>
        </w:rPr>
        <w:t>introdujeran</w:t>
      </w:r>
      <w:r>
        <w:rPr>
          <w:spacing w:val="-1"/>
          <w:sz w:val="20"/>
        </w:rPr>
        <w:t xml:space="preserve"> </w:t>
      </w:r>
      <w:r>
        <w:rPr>
          <w:sz w:val="20"/>
        </w:rPr>
        <w:t>precios</w:t>
      </w:r>
      <w:r>
        <w:rPr>
          <w:spacing w:val="-1"/>
          <w:sz w:val="20"/>
        </w:rPr>
        <w:t xml:space="preserve"> </w:t>
      </w:r>
      <w:r>
        <w:rPr>
          <w:sz w:val="20"/>
        </w:rPr>
        <w:t>nuevos.</w:t>
      </w:r>
      <w:r>
        <w:rPr>
          <w:spacing w:val="-1"/>
          <w:sz w:val="20"/>
        </w:rPr>
        <w:t xml:space="preserve"> </w:t>
      </w:r>
      <w:r>
        <w:rPr>
          <w:sz w:val="20"/>
        </w:rPr>
        <w:t>El</w:t>
      </w:r>
      <w:r>
        <w:rPr>
          <w:spacing w:val="-1"/>
          <w:sz w:val="20"/>
        </w:rPr>
        <w:t xml:space="preserve"> </w:t>
      </w:r>
      <w:r>
        <w:rPr>
          <w:sz w:val="20"/>
        </w:rPr>
        <w:t>informe</w:t>
      </w:r>
      <w:r>
        <w:rPr>
          <w:spacing w:val="-1"/>
          <w:sz w:val="20"/>
        </w:rPr>
        <w:t xml:space="preserve"> </w:t>
      </w:r>
      <w:r>
        <w:rPr>
          <w:sz w:val="20"/>
        </w:rPr>
        <w:t>deberá</w:t>
      </w:r>
      <w:r>
        <w:rPr>
          <w:spacing w:val="-1"/>
          <w:sz w:val="20"/>
        </w:rPr>
        <w:t xml:space="preserve"> </w:t>
      </w:r>
      <w:r>
        <w:rPr>
          <w:sz w:val="20"/>
        </w:rPr>
        <w:t>motivar</w:t>
      </w:r>
      <w:r>
        <w:rPr>
          <w:spacing w:val="-1"/>
          <w:sz w:val="20"/>
        </w:rPr>
        <w:t xml:space="preserve"> </w:t>
      </w:r>
      <w:r>
        <w:rPr>
          <w:sz w:val="20"/>
        </w:rPr>
        <w:t>la</w:t>
      </w:r>
      <w:r>
        <w:rPr>
          <w:spacing w:val="-1"/>
          <w:sz w:val="20"/>
        </w:rPr>
        <w:t xml:space="preserve"> </w:t>
      </w:r>
      <w:r>
        <w:rPr>
          <w:sz w:val="20"/>
        </w:rPr>
        <w:t>adecuación</w:t>
      </w:r>
      <w:r>
        <w:rPr>
          <w:spacing w:val="-1"/>
          <w:sz w:val="20"/>
        </w:rPr>
        <w:t xml:space="preserve"> </w:t>
      </w:r>
      <w:r>
        <w:rPr>
          <w:sz w:val="20"/>
        </w:rPr>
        <w:t>de los nuevos precios a los precios generales del mercado, de conformidad con lo establecido en el apartado 3 del artículo 102.</w:t>
      </w:r>
    </w:p>
    <w:p w:rsidR="0092635B" w:rsidRDefault="00000000">
      <w:pPr>
        <w:pStyle w:val="Textoindependiente"/>
        <w:spacing w:before="124" w:line="249" w:lineRule="auto"/>
        <w:ind w:right="1104"/>
      </w:pPr>
      <w:r>
        <w:t>En el plazo de seis meses contados desde el acuerdo de autorización provisional deberá estar aprobado técnicamente el proyecto, y en el de ocho meses el expediente de la modificación del contrato.</w:t>
      </w:r>
    </w:p>
    <w:p w:rsidR="0092635B" w:rsidRDefault="00000000">
      <w:pPr>
        <w:pStyle w:val="Textoindependiente"/>
        <w:spacing w:line="249" w:lineRule="auto"/>
        <w:ind w:right="1103"/>
      </w:pPr>
      <w:r>
        <w:t xml:space="preserve">Dentro del citado plazo de ocho meses se ejecutarán preferentemente, de las unidades de obra previstas, aquellas partes que no hayan de quedar posterior y definitivamente </w:t>
      </w:r>
      <w:r>
        <w:rPr>
          <w:spacing w:val="-2"/>
        </w:rPr>
        <w:t>ocultas.</w:t>
      </w:r>
    </w:p>
    <w:p w:rsidR="0092635B" w:rsidRDefault="00000000">
      <w:pPr>
        <w:pStyle w:val="Textoindependiente"/>
        <w:spacing w:before="3" w:line="249" w:lineRule="auto"/>
        <w:ind w:right="1104"/>
      </w:pPr>
      <w:r>
        <w:t>La autorización del Ministro para iniciar provisionalmente las obras, que, en su caso, únicamente podrá ser objeto de delegación en los Secretarios de Estado del Departamento Ministerial, implicará en el ámbito de la Administración General del Estado la aprobación del gasto, sin perjuicio de los ajustes que deban efectuarse en el momento de la aprobación de la modificación del contrato.</w:t>
      </w:r>
    </w:p>
    <w:p w:rsidR="0092635B" w:rsidRDefault="00000000">
      <w:pPr>
        <w:pStyle w:val="Textoindependiente"/>
        <w:spacing w:before="4" w:line="249" w:lineRule="auto"/>
        <w:ind w:right="1105"/>
      </w:pPr>
      <w:r>
        <w:t>Las obras ejecutadas dentro del plazo de ocho meses, serán objeto de certificación y abono en los términos previstos en la presente Ley con la siguiente singularidad:</w:t>
      </w:r>
    </w:p>
    <w:p w:rsidR="0092635B" w:rsidRDefault="00000000">
      <w:pPr>
        <w:pStyle w:val="Textoindependiente"/>
        <w:spacing w:before="1" w:line="249" w:lineRule="auto"/>
        <w:ind w:right="1103"/>
      </w:pPr>
      <w:r>
        <w:t>Las certificaciones a expedir durante la tramitación del expediente modificado que comprendan</w:t>
      </w:r>
      <w:r>
        <w:rPr>
          <w:spacing w:val="-3"/>
        </w:rPr>
        <w:t xml:space="preserve"> </w:t>
      </w:r>
      <w:r>
        <w:t>unidades</w:t>
      </w:r>
      <w:r>
        <w:rPr>
          <w:spacing w:val="-3"/>
        </w:rPr>
        <w:t xml:space="preserve"> </w:t>
      </w:r>
      <w:r>
        <w:t>no</w:t>
      </w:r>
      <w:r>
        <w:rPr>
          <w:spacing w:val="-3"/>
        </w:rPr>
        <w:t xml:space="preserve"> </w:t>
      </w:r>
      <w:r>
        <w:t>previstas</w:t>
      </w:r>
      <w:r>
        <w:rPr>
          <w:spacing w:val="-3"/>
        </w:rPr>
        <w:t xml:space="preserve"> </w:t>
      </w:r>
      <w:r>
        <w:t>en</w:t>
      </w:r>
      <w:r>
        <w:rPr>
          <w:spacing w:val="-3"/>
        </w:rPr>
        <w:t xml:space="preserve"> </w:t>
      </w:r>
      <w:r>
        <w:t>el</w:t>
      </w:r>
      <w:r>
        <w:rPr>
          <w:spacing w:val="-3"/>
        </w:rPr>
        <w:t xml:space="preserve"> </w:t>
      </w:r>
      <w:r>
        <w:t>proyecto</w:t>
      </w:r>
      <w:r>
        <w:rPr>
          <w:spacing w:val="-3"/>
        </w:rPr>
        <w:t xml:space="preserve"> </w:t>
      </w:r>
      <w:r>
        <w:t>inicial</w:t>
      </w:r>
      <w:r>
        <w:rPr>
          <w:spacing w:val="-3"/>
        </w:rPr>
        <w:t xml:space="preserve"> </w:t>
      </w:r>
      <w:r>
        <w:t>tomarán</w:t>
      </w:r>
      <w:r>
        <w:rPr>
          <w:spacing w:val="-3"/>
        </w:rPr>
        <w:t xml:space="preserve"> </w:t>
      </w:r>
      <w:r>
        <w:t>como</w:t>
      </w:r>
      <w:r>
        <w:rPr>
          <w:spacing w:val="-3"/>
        </w:rPr>
        <w:t xml:space="preserve"> </w:t>
      </w:r>
      <w:r>
        <w:t>referencia</w:t>
      </w:r>
      <w:r>
        <w:rPr>
          <w:spacing w:val="-3"/>
        </w:rPr>
        <w:t xml:space="preserve"> </w:t>
      </w:r>
      <w:r>
        <w:t>los</w:t>
      </w:r>
      <w:r>
        <w:rPr>
          <w:spacing w:val="-3"/>
        </w:rPr>
        <w:t xml:space="preserve"> </w:t>
      </w:r>
      <w:r>
        <w:t>precios que figuren en la propuesta técnica motivada, cuyos abonos tienen el concepto de pagos a cuenta provisionales sujetos a las rectificaciones y variaciones que puedan resultar una vez se apruebe el proyecto modificado, todo ello, sin perjuicio de las rectificaciones y variaciones que se produzcan en la medición final y sin suponer en forma alguna, aprobación y</w:t>
      </w:r>
      <w:r>
        <w:rPr>
          <w:spacing w:val="80"/>
        </w:rPr>
        <w:t xml:space="preserve"> </w:t>
      </w:r>
      <w:r>
        <w:t>recepción de las obras que comprenden.</w:t>
      </w:r>
    </w:p>
    <w:p w:rsidR="0092635B" w:rsidRDefault="0092635B">
      <w:pPr>
        <w:pStyle w:val="Textoindependiente"/>
        <w:spacing w:before="3"/>
        <w:ind w:left="0" w:firstLine="0"/>
        <w:jc w:val="left"/>
      </w:pPr>
    </w:p>
    <w:p w:rsidR="0092635B" w:rsidRDefault="00000000">
      <w:pPr>
        <w:pStyle w:val="Ttulo3"/>
      </w:pPr>
      <w:bookmarkStart w:id="383" w:name="Sección_4.ª_Cumplimiento_del_contrato_de"/>
      <w:bookmarkStart w:id="384" w:name="_bookmark72"/>
      <w:bookmarkEnd w:id="383"/>
      <w:bookmarkEnd w:id="384"/>
      <w:r>
        <w:t>Sección</w:t>
      </w:r>
      <w:r>
        <w:rPr>
          <w:spacing w:val="-1"/>
        </w:rPr>
        <w:t xml:space="preserve"> </w:t>
      </w:r>
      <w:r>
        <w:t>4.ª Cumplimiento</w:t>
      </w:r>
      <w:r>
        <w:rPr>
          <w:spacing w:val="-1"/>
        </w:rPr>
        <w:t xml:space="preserve"> </w:t>
      </w:r>
      <w:r>
        <w:t>del contrato</w:t>
      </w:r>
      <w:r>
        <w:rPr>
          <w:spacing w:val="-1"/>
        </w:rPr>
        <w:t xml:space="preserve"> </w:t>
      </w:r>
      <w:r>
        <w:t xml:space="preserve">de </w:t>
      </w:r>
      <w:r>
        <w:rPr>
          <w:spacing w:val="-2"/>
        </w:rPr>
        <w:t>obras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385" w:name="Artículo_243._Recepción_y_plazo_de_garan"/>
      <w:bookmarkEnd w:id="385"/>
      <w:r>
        <w:rPr>
          <w:rFonts w:ascii="Arial" w:hAnsi="Arial"/>
          <w:b/>
          <w:sz w:val="20"/>
        </w:rPr>
        <w:t>Artículo</w:t>
      </w:r>
      <w:r>
        <w:rPr>
          <w:rFonts w:ascii="Arial" w:hAnsi="Arial"/>
          <w:b/>
          <w:spacing w:val="-2"/>
          <w:sz w:val="20"/>
        </w:rPr>
        <w:t xml:space="preserve"> </w:t>
      </w:r>
      <w:r>
        <w:rPr>
          <w:rFonts w:ascii="Arial" w:hAnsi="Arial"/>
          <w:b/>
          <w:sz w:val="20"/>
        </w:rPr>
        <w:t>243.</w:t>
      </w:r>
      <w:r>
        <w:rPr>
          <w:rFonts w:ascii="Arial" w:hAnsi="Arial"/>
          <w:b/>
          <w:spacing w:val="50"/>
          <w:sz w:val="20"/>
        </w:rPr>
        <w:t xml:space="preserve"> </w:t>
      </w:r>
      <w:r>
        <w:rPr>
          <w:rFonts w:ascii="Arial" w:hAnsi="Arial"/>
          <w:i/>
          <w:sz w:val="20"/>
        </w:rPr>
        <w:t>Recepción</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plazo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garantía.</w:t>
      </w:r>
    </w:p>
    <w:p w:rsidR="0092635B" w:rsidRDefault="00000000">
      <w:pPr>
        <w:pStyle w:val="Prrafodelista"/>
        <w:numPr>
          <w:ilvl w:val="0"/>
          <w:numId w:val="141"/>
        </w:numPr>
        <w:tabs>
          <w:tab w:val="left" w:pos="1676"/>
        </w:tabs>
        <w:spacing w:before="123" w:line="249" w:lineRule="auto"/>
        <w:ind w:right="1105" w:firstLine="340"/>
        <w:jc w:val="both"/>
        <w:rPr>
          <w:sz w:val="20"/>
        </w:rPr>
      </w:pPr>
      <w:r>
        <w:rPr>
          <w:sz w:val="20"/>
        </w:rPr>
        <w:t>A la recepción de las obras a su terminación y a los efectos establecidos en esta Ley, concurrirá</w:t>
      </w:r>
      <w:r>
        <w:rPr>
          <w:spacing w:val="-1"/>
          <w:sz w:val="20"/>
        </w:rPr>
        <w:t xml:space="preserve"> </w:t>
      </w:r>
      <w:r>
        <w:rPr>
          <w:sz w:val="20"/>
        </w:rPr>
        <w:t>un</w:t>
      </w:r>
      <w:r>
        <w:rPr>
          <w:spacing w:val="-1"/>
          <w:sz w:val="20"/>
        </w:rPr>
        <w:t xml:space="preserve"> </w:t>
      </w:r>
      <w:r>
        <w:rPr>
          <w:sz w:val="20"/>
        </w:rPr>
        <w:t>facultativo</w:t>
      </w:r>
      <w:r>
        <w:rPr>
          <w:spacing w:val="-1"/>
          <w:sz w:val="20"/>
        </w:rPr>
        <w:t xml:space="preserve"> </w:t>
      </w:r>
      <w:r>
        <w:rPr>
          <w:sz w:val="20"/>
        </w:rPr>
        <w:t>designado</w:t>
      </w:r>
      <w:r>
        <w:rPr>
          <w:spacing w:val="-1"/>
          <w:sz w:val="20"/>
        </w:rPr>
        <w:t xml:space="preserve"> </w:t>
      </w:r>
      <w:r>
        <w:rPr>
          <w:sz w:val="20"/>
        </w:rPr>
        <w:t>por</w:t>
      </w:r>
      <w:r>
        <w:rPr>
          <w:spacing w:val="-1"/>
          <w:sz w:val="20"/>
        </w:rPr>
        <w:t xml:space="preserve"> </w:t>
      </w:r>
      <w:r>
        <w:rPr>
          <w:sz w:val="20"/>
        </w:rPr>
        <w:t>la</w:t>
      </w:r>
      <w:r>
        <w:rPr>
          <w:spacing w:val="-1"/>
          <w:sz w:val="20"/>
        </w:rPr>
        <w:t xml:space="preserve"> </w:t>
      </w:r>
      <w:r>
        <w:rPr>
          <w:sz w:val="20"/>
        </w:rPr>
        <w:t>Administración</w:t>
      </w:r>
      <w:r>
        <w:rPr>
          <w:spacing w:val="-1"/>
          <w:sz w:val="20"/>
        </w:rPr>
        <w:t xml:space="preserve"> </w:t>
      </w:r>
      <w:r>
        <w:rPr>
          <w:sz w:val="20"/>
        </w:rPr>
        <w:t>representante</w:t>
      </w:r>
      <w:r>
        <w:rPr>
          <w:spacing w:val="-1"/>
          <w:sz w:val="20"/>
        </w:rPr>
        <w:t xml:space="preserve"> </w:t>
      </w:r>
      <w:r>
        <w:rPr>
          <w:sz w:val="20"/>
        </w:rPr>
        <w:t>de</w:t>
      </w:r>
      <w:r>
        <w:rPr>
          <w:spacing w:val="-1"/>
          <w:sz w:val="20"/>
        </w:rPr>
        <w:t xml:space="preserve"> </w:t>
      </w:r>
      <w:r>
        <w:rPr>
          <w:sz w:val="20"/>
        </w:rPr>
        <w:t>esta,</w:t>
      </w:r>
      <w:r>
        <w:rPr>
          <w:spacing w:val="-1"/>
          <w:sz w:val="20"/>
        </w:rPr>
        <w:t xml:space="preserve"> </w:t>
      </w:r>
      <w:r>
        <w:rPr>
          <w:sz w:val="20"/>
        </w:rPr>
        <w:t>el</w:t>
      </w:r>
      <w:r>
        <w:rPr>
          <w:spacing w:val="-1"/>
          <w:sz w:val="20"/>
        </w:rPr>
        <w:t xml:space="preserve"> </w:t>
      </w:r>
      <w:r>
        <w:rPr>
          <w:sz w:val="20"/>
        </w:rPr>
        <w:t xml:space="preserve">facultativo encargado de la dirección de las obras y el contratista asistido, si lo estima oportuno, de su </w:t>
      </w:r>
      <w:r>
        <w:rPr>
          <w:spacing w:val="-2"/>
          <w:sz w:val="20"/>
        </w:rPr>
        <w:t>facultativo.</w:t>
      </w:r>
    </w:p>
    <w:p w:rsidR="0092635B" w:rsidRDefault="00000000">
      <w:pPr>
        <w:pStyle w:val="Textoindependiente"/>
        <w:spacing w:before="3" w:line="249" w:lineRule="auto"/>
        <w:ind w:right="1104"/>
      </w:pPr>
      <w:r>
        <w:t>Dentro del plazo de tres meses contados a partir de la recepción, el órgano de contratación deberá aprobar la certificación final de las obras ejecutadas, que será abonada al contratista a cuenta de la liquidación del contrato en el plazo previsto en esta Ley.</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En el caso de obras cuyo valor estimado supere los doce millones de euros en las que</w:t>
      </w:r>
      <w:r>
        <w:rPr>
          <w:spacing w:val="40"/>
        </w:rPr>
        <w:t xml:space="preserve"> </w:t>
      </w:r>
      <w:r>
        <w:t>las operaciones de liquidación y medición fueran especialmente complejas, los pliegos podrán prever que el plazo de tres meses para la aprobación de la certificación final al que</w:t>
      </w:r>
      <w:r>
        <w:rPr>
          <w:spacing w:val="40"/>
        </w:rPr>
        <w:t xml:space="preserve"> </w:t>
      </w:r>
      <w:r>
        <w:t>se refiere el párrafo anterior, podrá ser ampliado, siempre que no supere en ningún caso los cinco meses.</w:t>
      </w:r>
    </w:p>
    <w:p w:rsidR="0092635B" w:rsidRDefault="00000000">
      <w:pPr>
        <w:pStyle w:val="Prrafodelista"/>
        <w:numPr>
          <w:ilvl w:val="0"/>
          <w:numId w:val="141"/>
        </w:numPr>
        <w:tabs>
          <w:tab w:val="left" w:pos="1730"/>
        </w:tabs>
        <w:spacing w:before="4" w:line="249" w:lineRule="auto"/>
        <w:ind w:right="1105" w:firstLine="340"/>
        <w:jc w:val="both"/>
        <w:rPr>
          <w:sz w:val="20"/>
        </w:rPr>
      </w:pPr>
      <w:r>
        <w:rPr>
          <w:sz w:val="20"/>
        </w:rPr>
        <w:t>Si se encuentran las obras en buen estado y con arreglo a las prescripciones previstas, el funcionario técnico designado por la Administración contratante y representante de esta, las dará por recibidas, levantándose la correspondiente acta y comenzando entonces el plazo de garantía.</w:t>
      </w:r>
    </w:p>
    <w:p w:rsidR="0092635B" w:rsidRDefault="00000000">
      <w:pPr>
        <w:pStyle w:val="Textoindependiente"/>
        <w:spacing w:before="3" w:line="249" w:lineRule="auto"/>
        <w:ind w:right="1103"/>
      </w:pPr>
      <w:r>
        <w:t>Cuando las obras no se hallen en estado de ser recibidas se hará constar así en el acta</w:t>
      </w:r>
      <w:r>
        <w:rPr>
          <w:spacing w:val="80"/>
        </w:rPr>
        <w:t xml:space="preserve"> </w:t>
      </w:r>
      <w:r>
        <w:t>y el Director de las mismas señalará los defectos observados y detallará las instrucciones precisas fijando un plazo para remediar aquellos. Si transcurrido dicho plazo el contratista no lo hubiere efectuado, podrá concedérsele otro nuevo plazo improrrogable o declarar resuelto el contrato.</w:t>
      </w:r>
    </w:p>
    <w:p w:rsidR="0092635B" w:rsidRDefault="00000000">
      <w:pPr>
        <w:pStyle w:val="Prrafodelista"/>
        <w:numPr>
          <w:ilvl w:val="0"/>
          <w:numId w:val="141"/>
        </w:numPr>
        <w:tabs>
          <w:tab w:val="left" w:pos="1746"/>
        </w:tabs>
        <w:spacing w:before="4" w:line="249" w:lineRule="auto"/>
        <w:ind w:right="1105" w:firstLine="340"/>
        <w:jc w:val="both"/>
        <w:rPr>
          <w:sz w:val="20"/>
        </w:rPr>
      </w:pPr>
      <w:r>
        <w:rPr>
          <w:sz w:val="20"/>
        </w:rPr>
        <w:t>El plazo de garantía se establecerá en el pliego de cláusulas administrativas particulares atendiendo a la naturaleza y complejidad de la obra y no podrá ser inferior a un año salvo casos especiales.</w:t>
      </w:r>
    </w:p>
    <w:p w:rsidR="0092635B" w:rsidRDefault="00000000">
      <w:pPr>
        <w:pStyle w:val="Textoindependiente"/>
        <w:spacing w:before="3" w:line="249" w:lineRule="auto"/>
        <w:ind w:right="1103"/>
      </w:pPr>
      <w:r>
        <w:t>Dentro del plazo de quince días anteriores al cumplimiento del plazo de garantía, el director facultativo de la obra, de oficio o a instancia del contratista, redactará un informe sobre el estado de las obras. Si este fuera favorable, el contratista quedará exonerado de toda responsabilidad, salvo lo dispuesto en el artículo siguiente, procediéndose a la devolución o cancelación de la garantía, a la liquidación del contrato y, en su caso, al pago de las obligaciones pendientes que deberá efectuarse en el plazo de sesenta días. En el caso de que el informe no fuera favorable y los defectos observados se debiesen a deficiencias en la ejecución de la obra y no al uso de lo construido, durante el plazo de garantía, el director facultativo procederá a dictar las oportunas instrucciones al contratista para la debida reparación de lo construido, concediéndole un plazo para ello durante el cual continuará encargado de la conservación de las obras, sin derecho a percibir cantidad</w:t>
      </w:r>
      <w:r>
        <w:rPr>
          <w:spacing w:val="40"/>
        </w:rPr>
        <w:t xml:space="preserve"> </w:t>
      </w:r>
      <w:r>
        <w:t>alguna por ampliación del plazo de garantía.</w:t>
      </w:r>
    </w:p>
    <w:p w:rsidR="0092635B" w:rsidRDefault="00000000">
      <w:pPr>
        <w:pStyle w:val="Prrafodelista"/>
        <w:numPr>
          <w:ilvl w:val="0"/>
          <w:numId w:val="141"/>
        </w:numPr>
        <w:tabs>
          <w:tab w:val="left" w:pos="1676"/>
        </w:tabs>
        <w:spacing w:before="9" w:line="249" w:lineRule="auto"/>
        <w:ind w:right="1104" w:firstLine="340"/>
        <w:jc w:val="both"/>
        <w:rPr>
          <w:sz w:val="20"/>
        </w:rPr>
      </w:pPr>
      <w:r>
        <w:rPr>
          <w:sz w:val="20"/>
        </w:rPr>
        <w:t>No obstante, en aquellas obras cuya perduración no tenga finalidad práctica como las de</w:t>
      </w:r>
      <w:r>
        <w:rPr>
          <w:spacing w:val="-3"/>
          <w:sz w:val="20"/>
        </w:rPr>
        <w:t xml:space="preserve"> </w:t>
      </w:r>
      <w:r>
        <w:rPr>
          <w:sz w:val="20"/>
        </w:rPr>
        <w:t>sondeos</w:t>
      </w:r>
      <w:r>
        <w:rPr>
          <w:spacing w:val="-3"/>
          <w:sz w:val="20"/>
        </w:rPr>
        <w:t xml:space="preserve"> </w:t>
      </w:r>
      <w:r>
        <w:rPr>
          <w:sz w:val="20"/>
        </w:rPr>
        <w:t>y</w:t>
      </w:r>
      <w:r>
        <w:rPr>
          <w:spacing w:val="-3"/>
          <w:sz w:val="20"/>
        </w:rPr>
        <w:t xml:space="preserve"> </w:t>
      </w:r>
      <w:r>
        <w:rPr>
          <w:sz w:val="20"/>
        </w:rPr>
        <w:t>prospecciones</w:t>
      </w:r>
      <w:r>
        <w:rPr>
          <w:spacing w:val="-3"/>
          <w:sz w:val="20"/>
        </w:rPr>
        <w:t xml:space="preserve"> </w:t>
      </w:r>
      <w:r>
        <w:rPr>
          <w:sz w:val="20"/>
        </w:rPr>
        <w:t>que</w:t>
      </w:r>
      <w:r>
        <w:rPr>
          <w:spacing w:val="-3"/>
          <w:sz w:val="20"/>
        </w:rPr>
        <w:t xml:space="preserve"> </w:t>
      </w:r>
      <w:r>
        <w:rPr>
          <w:sz w:val="20"/>
        </w:rPr>
        <w:t>hayan</w:t>
      </w:r>
      <w:r>
        <w:rPr>
          <w:spacing w:val="-3"/>
          <w:sz w:val="20"/>
        </w:rPr>
        <w:t xml:space="preserve"> </w:t>
      </w:r>
      <w:r>
        <w:rPr>
          <w:sz w:val="20"/>
        </w:rPr>
        <w:t>resultado</w:t>
      </w:r>
      <w:r>
        <w:rPr>
          <w:spacing w:val="-3"/>
          <w:sz w:val="20"/>
        </w:rPr>
        <w:t xml:space="preserve"> </w:t>
      </w:r>
      <w:r>
        <w:rPr>
          <w:sz w:val="20"/>
        </w:rPr>
        <w:t>infructuosas</w:t>
      </w:r>
      <w:r>
        <w:rPr>
          <w:spacing w:val="-3"/>
          <w:sz w:val="20"/>
        </w:rPr>
        <w:t xml:space="preserve"> </w:t>
      </w:r>
      <w:r>
        <w:rPr>
          <w:sz w:val="20"/>
        </w:rPr>
        <w:t>o</w:t>
      </w:r>
      <w:r>
        <w:rPr>
          <w:spacing w:val="-3"/>
          <w:sz w:val="20"/>
        </w:rPr>
        <w:t xml:space="preserve"> </w:t>
      </w:r>
      <w:r>
        <w:rPr>
          <w:sz w:val="20"/>
        </w:rPr>
        <w:t>que</w:t>
      </w:r>
      <w:r>
        <w:rPr>
          <w:spacing w:val="-3"/>
          <w:sz w:val="20"/>
        </w:rPr>
        <w:t xml:space="preserve"> </w:t>
      </w:r>
      <w:r>
        <w:rPr>
          <w:sz w:val="20"/>
        </w:rPr>
        <w:t>por</w:t>
      </w:r>
      <w:r>
        <w:rPr>
          <w:spacing w:val="-3"/>
          <w:sz w:val="20"/>
        </w:rPr>
        <w:t xml:space="preserve"> </w:t>
      </w:r>
      <w:r>
        <w:rPr>
          <w:sz w:val="20"/>
        </w:rPr>
        <w:t>su</w:t>
      </w:r>
      <w:r>
        <w:rPr>
          <w:spacing w:val="-3"/>
          <w:sz w:val="20"/>
        </w:rPr>
        <w:t xml:space="preserve"> </w:t>
      </w:r>
      <w:r>
        <w:rPr>
          <w:sz w:val="20"/>
        </w:rPr>
        <w:t>naturaleza</w:t>
      </w:r>
      <w:r>
        <w:rPr>
          <w:spacing w:val="-3"/>
          <w:sz w:val="20"/>
        </w:rPr>
        <w:t xml:space="preserve"> </w:t>
      </w:r>
      <w:r>
        <w:rPr>
          <w:sz w:val="20"/>
        </w:rPr>
        <w:t>exijan trabajos que excedan el concepto de mera conservación como los de dragados no se exigirá plazo de garantía.</w:t>
      </w:r>
    </w:p>
    <w:p w:rsidR="0092635B" w:rsidRDefault="00000000">
      <w:pPr>
        <w:pStyle w:val="Prrafodelista"/>
        <w:numPr>
          <w:ilvl w:val="0"/>
          <w:numId w:val="141"/>
        </w:numPr>
        <w:tabs>
          <w:tab w:val="left" w:pos="1696"/>
        </w:tabs>
        <w:spacing w:before="4" w:line="249" w:lineRule="auto"/>
        <w:ind w:right="1104" w:firstLine="340"/>
        <w:jc w:val="both"/>
        <w:rPr>
          <w:sz w:val="20"/>
        </w:rPr>
      </w:pPr>
      <w:r>
        <w:rPr>
          <w:sz w:val="20"/>
        </w:rPr>
        <w:t xml:space="preserve">Podrán ser objeto de recepción parcial aquellas partes de obra susceptibles de ser ejecutadas por fases que puedan ser entregadas al uso público, según lo establecido en el </w:t>
      </w:r>
      <w:r>
        <w:rPr>
          <w:spacing w:val="-2"/>
          <w:sz w:val="20"/>
        </w:rPr>
        <w:t>contrato.</w:t>
      </w:r>
    </w:p>
    <w:p w:rsidR="0092635B" w:rsidRDefault="00000000">
      <w:pPr>
        <w:pStyle w:val="Prrafodelista"/>
        <w:numPr>
          <w:ilvl w:val="0"/>
          <w:numId w:val="141"/>
        </w:numPr>
        <w:tabs>
          <w:tab w:val="left" w:pos="1674"/>
        </w:tabs>
        <w:spacing w:line="249" w:lineRule="auto"/>
        <w:ind w:right="1104" w:firstLine="340"/>
        <w:jc w:val="both"/>
        <w:rPr>
          <w:sz w:val="20"/>
        </w:rPr>
      </w:pPr>
      <w:r>
        <w:rPr>
          <w:sz w:val="20"/>
        </w:rPr>
        <w:t xml:space="preserve">Siempre que por razones excepcionales de interés público debidamente motivadas en el expediente el órgano de contratación acuerde la ocupación efectiva de las obras o su puesta en servicio para el uso público, aun sin el cumplimiento del acto formal de recepción, desde que concurran dichas circunstancias se producirán los efectos y consecuencias propios del acto de recepción de las obras y en los términos en que reglamentariamente se </w:t>
      </w:r>
      <w:r>
        <w:rPr>
          <w:spacing w:val="-2"/>
          <w:sz w:val="20"/>
        </w:rPr>
        <w:t>establezcan.</w:t>
      </w:r>
    </w:p>
    <w:p w:rsidR="0092635B" w:rsidRDefault="0092635B">
      <w:pPr>
        <w:pStyle w:val="Textoindependiente"/>
        <w:ind w:left="0" w:firstLine="0"/>
        <w:jc w:val="left"/>
      </w:pPr>
    </w:p>
    <w:p w:rsidR="0092635B" w:rsidRDefault="00000000">
      <w:pPr>
        <w:ind w:left="1106"/>
        <w:rPr>
          <w:rFonts w:ascii="Arial" w:hAnsi="Arial"/>
          <w:i/>
          <w:sz w:val="20"/>
        </w:rPr>
      </w:pPr>
      <w:bookmarkStart w:id="386" w:name="Artículo_244._Responsabilidad_por_vicios"/>
      <w:bookmarkEnd w:id="386"/>
      <w:r>
        <w:rPr>
          <w:rFonts w:ascii="Arial" w:hAnsi="Arial"/>
          <w:b/>
          <w:sz w:val="20"/>
        </w:rPr>
        <w:t>Artículo</w:t>
      </w:r>
      <w:r>
        <w:rPr>
          <w:rFonts w:ascii="Arial" w:hAnsi="Arial"/>
          <w:b/>
          <w:spacing w:val="-3"/>
          <w:sz w:val="20"/>
        </w:rPr>
        <w:t xml:space="preserve"> </w:t>
      </w:r>
      <w:r>
        <w:rPr>
          <w:rFonts w:ascii="Arial" w:hAnsi="Arial"/>
          <w:b/>
          <w:sz w:val="20"/>
        </w:rPr>
        <w:t>244.</w:t>
      </w:r>
      <w:r>
        <w:rPr>
          <w:rFonts w:ascii="Arial" w:hAnsi="Arial"/>
          <w:b/>
          <w:spacing w:val="50"/>
          <w:sz w:val="20"/>
        </w:rPr>
        <w:t xml:space="preserve"> </w:t>
      </w:r>
      <w:r>
        <w:rPr>
          <w:rFonts w:ascii="Arial" w:hAnsi="Arial"/>
          <w:i/>
          <w:sz w:val="20"/>
        </w:rPr>
        <w:t>Responsabilidad</w:t>
      </w:r>
      <w:r>
        <w:rPr>
          <w:rFonts w:ascii="Arial" w:hAnsi="Arial"/>
          <w:i/>
          <w:spacing w:val="-3"/>
          <w:sz w:val="20"/>
        </w:rPr>
        <w:t xml:space="preserve"> </w:t>
      </w:r>
      <w:r>
        <w:rPr>
          <w:rFonts w:ascii="Arial" w:hAnsi="Arial"/>
          <w:i/>
          <w:sz w:val="20"/>
        </w:rPr>
        <w:t>por</w:t>
      </w:r>
      <w:r>
        <w:rPr>
          <w:rFonts w:ascii="Arial" w:hAnsi="Arial"/>
          <w:i/>
          <w:spacing w:val="-2"/>
          <w:sz w:val="20"/>
        </w:rPr>
        <w:t xml:space="preserve"> </w:t>
      </w:r>
      <w:r>
        <w:rPr>
          <w:rFonts w:ascii="Arial" w:hAnsi="Arial"/>
          <w:i/>
          <w:sz w:val="20"/>
        </w:rPr>
        <w:t>vicios</w:t>
      </w:r>
      <w:r>
        <w:rPr>
          <w:rFonts w:ascii="Arial" w:hAnsi="Arial"/>
          <w:i/>
          <w:spacing w:val="-2"/>
          <w:sz w:val="20"/>
        </w:rPr>
        <w:t xml:space="preserve"> ocultos.</w:t>
      </w:r>
    </w:p>
    <w:p w:rsidR="0092635B" w:rsidRDefault="00000000">
      <w:pPr>
        <w:pStyle w:val="Prrafodelista"/>
        <w:numPr>
          <w:ilvl w:val="0"/>
          <w:numId w:val="140"/>
        </w:numPr>
        <w:tabs>
          <w:tab w:val="left" w:pos="1714"/>
        </w:tabs>
        <w:spacing w:before="123" w:line="249" w:lineRule="auto"/>
        <w:ind w:right="1104" w:firstLine="340"/>
        <w:jc w:val="both"/>
        <w:rPr>
          <w:sz w:val="20"/>
        </w:rPr>
      </w:pPr>
      <w:r>
        <w:rPr>
          <w:sz w:val="20"/>
        </w:rPr>
        <w:t>Si la obra se arruina o sufre deterioros graves incompatibles con su función con posterioridad a la expiración del plazo de garantía por vicios ocultos de la construcción, debido a incumplimiento del contrato por parte del contratista, responderá este de los daños</w:t>
      </w:r>
      <w:r>
        <w:rPr>
          <w:spacing w:val="40"/>
          <w:sz w:val="20"/>
        </w:rPr>
        <w:t xml:space="preserve"> </w:t>
      </w:r>
      <w:r>
        <w:rPr>
          <w:sz w:val="20"/>
        </w:rPr>
        <w:t>y perjuicios que se produzcan o se manifiesten durante un plazo de quince años a contar desde la recepción.</w:t>
      </w:r>
    </w:p>
    <w:p w:rsidR="0092635B" w:rsidRDefault="00000000">
      <w:pPr>
        <w:pStyle w:val="Textoindependiente"/>
        <w:spacing w:before="4" w:line="249" w:lineRule="auto"/>
        <w:ind w:right="1102"/>
      </w:pPr>
      <w:r>
        <w:t>Asimismo, el contratista responderá durante dicho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fecha de recepción de la obra sin reservas o desde la subsanación de estas.</w:t>
      </w:r>
    </w:p>
    <w:p w:rsidR="0092635B" w:rsidRDefault="00000000">
      <w:pPr>
        <w:pStyle w:val="Prrafodelista"/>
        <w:numPr>
          <w:ilvl w:val="0"/>
          <w:numId w:val="140"/>
        </w:numPr>
        <w:tabs>
          <w:tab w:val="left" w:pos="1677"/>
        </w:tabs>
        <w:spacing w:before="4" w:line="249" w:lineRule="auto"/>
        <w:ind w:firstLine="340"/>
        <w:jc w:val="both"/>
        <w:rPr>
          <w:sz w:val="20"/>
        </w:rPr>
      </w:pPr>
      <w:r>
        <w:rPr>
          <w:sz w:val="20"/>
        </w:rPr>
        <w:t>Las acciones para exigir la responsabilidad prevista en el apartado anterior por daños materiales dimanantes</w:t>
      </w:r>
      <w:r>
        <w:rPr>
          <w:spacing w:val="1"/>
          <w:sz w:val="20"/>
        </w:rPr>
        <w:t xml:space="preserve"> </w:t>
      </w:r>
      <w:r>
        <w:rPr>
          <w:sz w:val="20"/>
        </w:rPr>
        <w:t>de</w:t>
      </w:r>
      <w:r>
        <w:rPr>
          <w:spacing w:val="1"/>
          <w:sz w:val="20"/>
        </w:rPr>
        <w:t xml:space="preserve"> </w:t>
      </w:r>
      <w:r>
        <w:rPr>
          <w:sz w:val="20"/>
        </w:rPr>
        <w:t>los vicios</w:t>
      </w:r>
      <w:r>
        <w:rPr>
          <w:spacing w:val="1"/>
          <w:sz w:val="20"/>
        </w:rPr>
        <w:t xml:space="preserve"> </w:t>
      </w:r>
      <w:r>
        <w:rPr>
          <w:sz w:val="20"/>
        </w:rPr>
        <w:t>o</w:t>
      </w:r>
      <w:r>
        <w:rPr>
          <w:spacing w:val="1"/>
          <w:sz w:val="20"/>
        </w:rPr>
        <w:t xml:space="preserve"> </w:t>
      </w:r>
      <w:r>
        <w:rPr>
          <w:sz w:val="20"/>
        </w:rPr>
        <w:t>defectos,</w:t>
      </w:r>
      <w:r>
        <w:rPr>
          <w:spacing w:val="1"/>
          <w:sz w:val="20"/>
        </w:rPr>
        <w:t xml:space="preserve"> </w:t>
      </w:r>
      <w:r>
        <w:rPr>
          <w:sz w:val="20"/>
        </w:rPr>
        <w:t>prescribirán en</w:t>
      </w:r>
      <w:r>
        <w:rPr>
          <w:spacing w:val="1"/>
          <w:sz w:val="20"/>
        </w:rPr>
        <w:t xml:space="preserve"> </w:t>
      </w:r>
      <w:r>
        <w:rPr>
          <w:sz w:val="20"/>
        </w:rPr>
        <w:t>el</w:t>
      </w:r>
      <w:r>
        <w:rPr>
          <w:spacing w:val="1"/>
          <w:sz w:val="20"/>
        </w:rPr>
        <w:t xml:space="preserve"> </w:t>
      </w:r>
      <w:r>
        <w:rPr>
          <w:sz w:val="20"/>
        </w:rPr>
        <w:t>plazo</w:t>
      </w:r>
      <w:r>
        <w:rPr>
          <w:spacing w:val="1"/>
          <w:sz w:val="20"/>
        </w:rPr>
        <w:t xml:space="preserve"> </w:t>
      </w:r>
      <w:r>
        <w:rPr>
          <w:sz w:val="20"/>
        </w:rPr>
        <w:t>de dos</w:t>
      </w:r>
      <w:r>
        <w:rPr>
          <w:spacing w:val="1"/>
          <w:sz w:val="20"/>
        </w:rPr>
        <w:t xml:space="preserve"> </w:t>
      </w:r>
      <w:r>
        <w:rPr>
          <w:sz w:val="20"/>
        </w:rPr>
        <w:t>años</w:t>
      </w:r>
      <w:r>
        <w:rPr>
          <w:spacing w:val="1"/>
          <w:sz w:val="20"/>
        </w:rPr>
        <w:t xml:space="preserve"> </w:t>
      </w:r>
      <w:r>
        <w:rPr>
          <w:sz w:val="20"/>
        </w:rPr>
        <w:t>a</w:t>
      </w:r>
      <w:r>
        <w:rPr>
          <w:spacing w:val="1"/>
          <w:sz w:val="20"/>
        </w:rPr>
        <w:t xml:space="preserve"> </w:t>
      </w:r>
      <w:r>
        <w:rPr>
          <w:spacing w:val="-2"/>
          <w:sz w:val="20"/>
        </w:rPr>
        <w:t>contar</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desde que se produzcan o se manifiesten dichos daños, sin perjuicio de las acciones que puedan subsistir para exigir responsabilidades por incumplimiento contractual.</w:t>
      </w:r>
    </w:p>
    <w:p w:rsidR="0092635B" w:rsidRDefault="00000000">
      <w:pPr>
        <w:pStyle w:val="Prrafodelista"/>
        <w:numPr>
          <w:ilvl w:val="0"/>
          <w:numId w:val="140"/>
        </w:numPr>
        <w:tabs>
          <w:tab w:val="left" w:pos="1721"/>
        </w:tabs>
        <w:spacing w:before="1" w:line="249" w:lineRule="auto"/>
        <w:ind w:right="1104" w:firstLine="340"/>
        <w:jc w:val="both"/>
        <w:rPr>
          <w:sz w:val="20"/>
        </w:rPr>
      </w:pPr>
      <w:r>
        <w:rPr>
          <w:sz w:val="20"/>
        </w:rPr>
        <w:t>Transcurrido el plazo de quince años establecido en el primer apartado de este artículo, sin que se haya manifestado ningún daño o perjuicio, quedará totalmente extinguida cualquier responsabilidad del contratista.</w:t>
      </w:r>
    </w:p>
    <w:p w:rsidR="0092635B" w:rsidRDefault="00000000">
      <w:pPr>
        <w:pStyle w:val="Ttulo3"/>
        <w:spacing w:before="230"/>
      </w:pPr>
      <w:bookmarkStart w:id="387" w:name="Sección_5.ª_Resolución_del_contrato_de_o"/>
      <w:bookmarkStart w:id="388" w:name="_bookmark73"/>
      <w:bookmarkEnd w:id="387"/>
      <w:bookmarkEnd w:id="388"/>
      <w:r>
        <w:t>Sección</w:t>
      </w:r>
      <w:r>
        <w:rPr>
          <w:spacing w:val="-1"/>
        </w:rPr>
        <w:t xml:space="preserve"> </w:t>
      </w:r>
      <w:r>
        <w:t>5.ª Resolución</w:t>
      </w:r>
      <w:r>
        <w:rPr>
          <w:spacing w:val="-1"/>
        </w:rPr>
        <w:t xml:space="preserve"> </w:t>
      </w:r>
      <w:r>
        <w:t>del contrato</w:t>
      </w:r>
      <w:r>
        <w:rPr>
          <w:spacing w:val="-1"/>
        </w:rPr>
        <w:t xml:space="preserve"> </w:t>
      </w:r>
      <w:r>
        <w:t xml:space="preserve">de </w:t>
      </w:r>
      <w:r>
        <w:rPr>
          <w:spacing w:val="-2"/>
        </w:rPr>
        <w:t>obras</w:t>
      </w:r>
    </w:p>
    <w:p w:rsidR="0092635B" w:rsidRDefault="0092635B">
      <w:pPr>
        <w:pStyle w:val="Textoindependiente"/>
        <w:spacing w:before="6"/>
        <w:ind w:left="0" w:firstLine="0"/>
        <w:jc w:val="left"/>
        <w:rPr>
          <w:rFonts w:ascii="Arial"/>
          <w:b/>
          <w:i/>
        </w:rPr>
      </w:pPr>
    </w:p>
    <w:p w:rsidR="0092635B" w:rsidRDefault="00000000">
      <w:pPr>
        <w:ind w:left="1106"/>
        <w:rPr>
          <w:rFonts w:ascii="Arial" w:hAnsi="Arial"/>
          <w:i/>
          <w:sz w:val="20"/>
        </w:rPr>
      </w:pPr>
      <w:bookmarkStart w:id="389" w:name="Artículo_245._Causas_de_resolución."/>
      <w:bookmarkEnd w:id="389"/>
      <w:r>
        <w:rPr>
          <w:rFonts w:ascii="Arial" w:hAnsi="Arial"/>
          <w:b/>
          <w:sz w:val="20"/>
        </w:rPr>
        <w:t>Artículo</w:t>
      </w:r>
      <w:r>
        <w:rPr>
          <w:rFonts w:ascii="Arial" w:hAnsi="Arial"/>
          <w:b/>
          <w:spacing w:val="-3"/>
          <w:sz w:val="20"/>
        </w:rPr>
        <w:t xml:space="preserve"> </w:t>
      </w:r>
      <w:r>
        <w:rPr>
          <w:rFonts w:ascii="Arial" w:hAnsi="Arial"/>
          <w:b/>
          <w:sz w:val="20"/>
        </w:rPr>
        <w:t>245.</w:t>
      </w:r>
      <w:r>
        <w:rPr>
          <w:rFonts w:ascii="Arial" w:hAnsi="Arial"/>
          <w:b/>
          <w:spacing w:val="54"/>
          <w:sz w:val="20"/>
        </w:rPr>
        <w:t xml:space="preserve"> </w:t>
      </w:r>
      <w:r>
        <w:rPr>
          <w:rFonts w:ascii="Arial" w:hAnsi="Arial"/>
          <w:i/>
          <w:sz w:val="20"/>
        </w:rPr>
        <w:t xml:space="preserve">Causas de </w:t>
      </w:r>
      <w:r>
        <w:rPr>
          <w:rFonts w:ascii="Arial" w:hAnsi="Arial"/>
          <w:i/>
          <w:spacing w:val="-2"/>
          <w:sz w:val="20"/>
        </w:rPr>
        <w:t>resolución.</w:t>
      </w:r>
    </w:p>
    <w:p w:rsidR="0092635B" w:rsidRDefault="00000000">
      <w:pPr>
        <w:pStyle w:val="Textoindependiente"/>
        <w:spacing w:before="124" w:line="249" w:lineRule="auto"/>
        <w:ind w:right="1120"/>
        <w:jc w:val="left"/>
      </w:pPr>
      <w:r>
        <w:t xml:space="preserve">Son causas de resolución del contrato de obras, además de las generales de la Ley, las </w:t>
      </w:r>
      <w:r>
        <w:rPr>
          <w:spacing w:val="-2"/>
        </w:rPr>
        <w:t>siguientes:</w:t>
      </w:r>
    </w:p>
    <w:p w:rsidR="0092635B" w:rsidRDefault="00000000">
      <w:pPr>
        <w:pStyle w:val="Prrafodelista"/>
        <w:numPr>
          <w:ilvl w:val="1"/>
          <w:numId w:val="140"/>
        </w:numPr>
        <w:tabs>
          <w:tab w:val="left" w:pos="1679"/>
        </w:tabs>
        <w:spacing w:before="121"/>
        <w:ind w:right="0" w:hanging="233"/>
        <w:rPr>
          <w:sz w:val="20"/>
        </w:rPr>
      </w:pPr>
      <w:r>
        <w:rPr>
          <w:sz w:val="20"/>
        </w:rPr>
        <w:t>La</w:t>
      </w:r>
      <w:r>
        <w:rPr>
          <w:spacing w:val="-5"/>
          <w:sz w:val="20"/>
        </w:rPr>
        <w:t xml:space="preserve"> </w:t>
      </w:r>
      <w:r>
        <w:rPr>
          <w:sz w:val="20"/>
        </w:rPr>
        <w:t>demora</w:t>
      </w:r>
      <w:r>
        <w:rPr>
          <w:spacing w:val="-5"/>
          <w:sz w:val="20"/>
        </w:rPr>
        <w:t xml:space="preserve"> </w:t>
      </w:r>
      <w:r>
        <w:rPr>
          <w:sz w:val="20"/>
        </w:rPr>
        <w:t>injustificada</w:t>
      </w:r>
      <w:r>
        <w:rPr>
          <w:spacing w:val="-5"/>
          <w:sz w:val="20"/>
        </w:rPr>
        <w:t xml:space="preserve"> </w:t>
      </w:r>
      <w:r>
        <w:rPr>
          <w:sz w:val="20"/>
        </w:rPr>
        <w:t>en</w:t>
      </w:r>
      <w:r>
        <w:rPr>
          <w:spacing w:val="-4"/>
          <w:sz w:val="20"/>
        </w:rPr>
        <w:t xml:space="preserve"> </w:t>
      </w:r>
      <w:r>
        <w:rPr>
          <w:sz w:val="20"/>
        </w:rPr>
        <w:t>la</w:t>
      </w:r>
      <w:r>
        <w:rPr>
          <w:spacing w:val="-5"/>
          <w:sz w:val="20"/>
        </w:rPr>
        <w:t xml:space="preserve"> </w:t>
      </w:r>
      <w:r>
        <w:rPr>
          <w:sz w:val="20"/>
        </w:rPr>
        <w:t>comprobación</w:t>
      </w:r>
      <w:r>
        <w:rPr>
          <w:spacing w:val="-5"/>
          <w:sz w:val="20"/>
        </w:rPr>
        <w:t xml:space="preserve"> </w:t>
      </w:r>
      <w:r>
        <w:rPr>
          <w:sz w:val="20"/>
        </w:rPr>
        <w:t>del</w:t>
      </w:r>
      <w:r>
        <w:rPr>
          <w:spacing w:val="-4"/>
          <w:sz w:val="20"/>
        </w:rPr>
        <w:t xml:space="preserve"> </w:t>
      </w:r>
      <w:r>
        <w:rPr>
          <w:spacing w:val="-2"/>
          <w:sz w:val="20"/>
        </w:rPr>
        <w:t>replanteo.</w:t>
      </w:r>
    </w:p>
    <w:p w:rsidR="0092635B" w:rsidRDefault="00000000">
      <w:pPr>
        <w:pStyle w:val="Prrafodelista"/>
        <w:numPr>
          <w:ilvl w:val="1"/>
          <w:numId w:val="140"/>
        </w:numPr>
        <w:tabs>
          <w:tab w:val="left" w:pos="1679"/>
        </w:tabs>
        <w:spacing w:before="10"/>
        <w:ind w:right="0" w:hanging="233"/>
        <w:rPr>
          <w:sz w:val="20"/>
        </w:rPr>
      </w:pPr>
      <w:r>
        <w:rPr>
          <w:sz w:val="20"/>
        </w:rPr>
        <w:t>La</w:t>
      </w:r>
      <w:r>
        <w:rPr>
          <w:spacing w:val="-3"/>
          <w:sz w:val="20"/>
        </w:rPr>
        <w:t xml:space="preserve"> </w:t>
      </w:r>
      <w:r>
        <w:rPr>
          <w:sz w:val="20"/>
        </w:rPr>
        <w:t>suspensión</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iniciación</w:t>
      </w:r>
      <w:r>
        <w:rPr>
          <w:spacing w:val="-2"/>
          <w:sz w:val="20"/>
        </w:rPr>
        <w:t xml:space="preserve"> </w:t>
      </w:r>
      <w:r>
        <w:rPr>
          <w:sz w:val="20"/>
        </w:rPr>
        <w:t>de</w:t>
      </w:r>
      <w:r>
        <w:rPr>
          <w:spacing w:val="-3"/>
          <w:sz w:val="20"/>
        </w:rPr>
        <w:t xml:space="preserve"> </w:t>
      </w:r>
      <w:r>
        <w:rPr>
          <w:sz w:val="20"/>
        </w:rPr>
        <w:t>las</w:t>
      </w:r>
      <w:r>
        <w:rPr>
          <w:spacing w:val="-2"/>
          <w:sz w:val="20"/>
        </w:rPr>
        <w:t xml:space="preserve"> </w:t>
      </w:r>
      <w:r>
        <w:rPr>
          <w:sz w:val="20"/>
        </w:rPr>
        <w:t>obras</w:t>
      </w:r>
      <w:r>
        <w:rPr>
          <w:spacing w:val="-3"/>
          <w:sz w:val="20"/>
        </w:rPr>
        <w:t xml:space="preserve"> </w:t>
      </w:r>
      <w:r>
        <w:rPr>
          <w:sz w:val="20"/>
        </w:rPr>
        <w:t>por</w:t>
      </w:r>
      <w:r>
        <w:rPr>
          <w:spacing w:val="-2"/>
          <w:sz w:val="20"/>
        </w:rPr>
        <w:t xml:space="preserve"> </w:t>
      </w:r>
      <w:r>
        <w:rPr>
          <w:sz w:val="20"/>
        </w:rPr>
        <w:t>plazo</w:t>
      </w:r>
      <w:r>
        <w:rPr>
          <w:spacing w:val="-2"/>
          <w:sz w:val="20"/>
        </w:rPr>
        <w:t xml:space="preserve"> </w:t>
      </w:r>
      <w:r>
        <w:rPr>
          <w:sz w:val="20"/>
        </w:rPr>
        <w:t>superior</w:t>
      </w:r>
      <w:r>
        <w:rPr>
          <w:spacing w:val="-3"/>
          <w:sz w:val="20"/>
        </w:rPr>
        <w:t xml:space="preserve"> </w:t>
      </w:r>
      <w:r>
        <w:rPr>
          <w:sz w:val="20"/>
        </w:rPr>
        <w:t>a</w:t>
      </w:r>
      <w:r>
        <w:rPr>
          <w:spacing w:val="-2"/>
          <w:sz w:val="20"/>
        </w:rPr>
        <w:t xml:space="preserve"> </w:t>
      </w:r>
      <w:r>
        <w:rPr>
          <w:sz w:val="20"/>
        </w:rPr>
        <w:t>cuatro</w:t>
      </w:r>
      <w:r>
        <w:rPr>
          <w:spacing w:val="-2"/>
          <w:sz w:val="20"/>
        </w:rPr>
        <w:t xml:space="preserve"> meses.</w:t>
      </w:r>
    </w:p>
    <w:p w:rsidR="0092635B" w:rsidRDefault="00000000">
      <w:pPr>
        <w:pStyle w:val="Prrafodelista"/>
        <w:numPr>
          <w:ilvl w:val="1"/>
          <w:numId w:val="140"/>
        </w:numPr>
        <w:tabs>
          <w:tab w:val="left" w:pos="1732"/>
        </w:tabs>
        <w:spacing w:before="10" w:line="249" w:lineRule="auto"/>
        <w:ind w:left="1106" w:right="1104" w:firstLine="340"/>
        <w:rPr>
          <w:sz w:val="20"/>
        </w:rPr>
      </w:pPr>
      <w:r>
        <w:rPr>
          <w:sz w:val="20"/>
        </w:rPr>
        <w:t>La</w:t>
      </w:r>
      <w:r>
        <w:rPr>
          <w:spacing w:val="62"/>
          <w:sz w:val="20"/>
        </w:rPr>
        <w:t xml:space="preserve"> </w:t>
      </w:r>
      <w:r>
        <w:rPr>
          <w:sz w:val="20"/>
        </w:rPr>
        <w:t>suspensión</w:t>
      </w:r>
      <w:r>
        <w:rPr>
          <w:spacing w:val="62"/>
          <w:sz w:val="20"/>
        </w:rPr>
        <w:t xml:space="preserve"> </w:t>
      </w:r>
      <w:r>
        <w:rPr>
          <w:sz w:val="20"/>
        </w:rPr>
        <w:t>de</w:t>
      </w:r>
      <w:r>
        <w:rPr>
          <w:spacing w:val="62"/>
          <w:sz w:val="20"/>
        </w:rPr>
        <w:t xml:space="preserve"> </w:t>
      </w:r>
      <w:r>
        <w:rPr>
          <w:sz w:val="20"/>
        </w:rPr>
        <w:t>las</w:t>
      </w:r>
      <w:r>
        <w:rPr>
          <w:spacing w:val="62"/>
          <w:sz w:val="20"/>
        </w:rPr>
        <w:t xml:space="preserve"> </w:t>
      </w:r>
      <w:r>
        <w:rPr>
          <w:sz w:val="20"/>
        </w:rPr>
        <w:t>obras</w:t>
      </w:r>
      <w:r>
        <w:rPr>
          <w:spacing w:val="62"/>
          <w:sz w:val="20"/>
        </w:rPr>
        <w:t xml:space="preserve"> </w:t>
      </w:r>
      <w:r>
        <w:rPr>
          <w:sz w:val="20"/>
        </w:rPr>
        <w:t>por</w:t>
      </w:r>
      <w:r>
        <w:rPr>
          <w:spacing w:val="62"/>
          <w:sz w:val="20"/>
        </w:rPr>
        <w:t xml:space="preserve"> </w:t>
      </w:r>
      <w:r>
        <w:rPr>
          <w:sz w:val="20"/>
        </w:rPr>
        <w:t>plazo</w:t>
      </w:r>
      <w:r>
        <w:rPr>
          <w:spacing w:val="62"/>
          <w:sz w:val="20"/>
        </w:rPr>
        <w:t xml:space="preserve"> </w:t>
      </w:r>
      <w:r>
        <w:rPr>
          <w:sz w:val="20"/>
        </w:rPr>
        <w:t>superior</w:t>
      </w:r>
      <w:r>
        <w:rPr>
          <w:spacing w:val="62"/>
          <w:sz w:val="20"/>
        </w:rPr>
        <w:t xml:space="preserve"> </w:t>
      </w:r>
      <w:r>
        <w:rPr>
          <w:sz w:val="20"/>
        </w:rPr>
        <w:t>a</w:t>
      </w:r>
      <w:r>
        <w:rPr>
          <w:spacing w:val="62"/>
          <w:sz w:val="20"/>
        </w:rPr>
        <w:t xml:space="preserve"> </w:t>
      </w:r>
      <w:r>
        <w:rPr>
          <w:sz w:val="20"/>
        </w:rPr>
        <w:t>ocho</w:t>
      </w:r>
      <w:r>
        <w:rPr>
          <w:spacing w:val="62"/>
          <w:sz w:val="20"/>
        </w:rPr>
        <w:t xml:space="preserve"> </w:t>
      </w:r>
      <w:r>
        <w:rPr>
          <w:sz w:val="20"/>
        </w:rPr>
        <w:t>meses</w:t>
      </w:r>
      <w:r>
        <w:rPr>
          <w:spacing w:val="62"/>
          <w:sz w:val="20"/>
        </w:rPr>
        <w:t xml:space="preserve"> </w:t>
      </w:r>
      <w:r>
        <w:rPr>
          <w:sz w:val="20"/>
        </w:rPr>
        <w:t>por</w:t>
      </w:r>
      <w:r>
        <w:rPr>
          <w:spacing w:val="62"/>
          <w:sz w:val="20"/>
        </w:rPr>
        <w:t xml:space="preserve"> </w:t>
      </w:r>
      <w:r>
        <w:rPr>
          <w:sz w:val="20"/>
        </w:rPr>
        <w:t>parte</w:t>
      </w:r>
      <w:r>
        <w:rPr>
          <w:spacing w:val="62"/>
          <w:sz w:val="20"/>
        </w:rPr>
        <w:t xml:space="preserve"> </w:t>
      </w:r>
      <w:r>
        <w:rPr>
          <w:sz w:val="20"/>
        </w:rPr>
        <w:t>de</w:t>
      </w:r>
      <w:r>
        <w:rPr>
          <w:spacing w:val="62"/>
          <w:sz w:val="20"/>
        </w:rPr>
        <w:t xml:space="preserve"> </w:t>
      </w:r>
      <w:r>
        <w:rPr>
          <w:sz w:val="20"/>
        </w:rPr>
        <w:t xml:space="preserve">la </w:t>
      </w:r>
      <w:r>
        <w:rPr>
          <w:spacing w:val="-2"/>
          <w:sz w:val="20"/>
        </w:rPr>
        <w:t>Administración.</w:t>
      </w:r>
    </w:p>
    <w:p w:rsidR="0092635B" w:rsidRDefault="00000000">
      <w:pPr>
        <w:pStyle w:val="Prrafodelista"/>
        <w:numPr>
          <w:ilvl w:val="1"/>
          <w:numId w:val="140"/>
        </w:numPr>
        <w:tabs>
          <w:tab w:val="left" w:pos="1679"/>
        </w:tabs>
        <w:ind w:right="0" w:hanging="233"/>
        <w:rPr>
          <w:sz w:val="20"/>
        </w:rPr>
      </w:pPr>
      <w:r>
        <w:rPr>
          <w:sz w:val="20"/>
        </w:rPr>
        <w:t>El</w:t>
      </w:r>
      <w:r>
        <w:rPr>
          <w:spacing w:val="-1"/>
          <w:sz w:val="20"/>
        </w:rPr>
        <w:t xml:space="preserve"> </w:t>
      </w:r>
      <w:r>
        <w:rPr>
          <w:spacing w:val="-2"/>
          <w:sz w:val="20"/>
        </w:rPr>
        <w:t>desistimiento.</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390" w:name="Artículo_246._Efectos_de_la_resolución."/>
      <w:bookmarkEnd w:id="390"/>
      <w:r>
        <w:rPr>
          <w:rFonts w:ascii="Arial" w:hAnsi="Arial"/>
          <w:b/>
          <w:sz w:val="20"/>
        </w:rPr>
        <w:t>Artículo</w:t>
      </w:r>
      <w:r>
        <w:rPr>
          <w:rFonts w:ascii="Arial" w:hAnsi="Arial"/>
          <w:b/>
          <w:spacing w:val="-1"/>
          <w:sz w:val="20"/>
        </w:rPr>
        <w:t xml:space="preserve"> </w:t>
      </w:r>
      <w:r>
        <w:rPr>
          <w:rFonts w:ascii="Arial" w:hAnsi="Arial"/>
          <w:b/>
          <w:sz w:val="20"/>
        </w:rPr>
        <w:t>246.</w:t>
      </w:r>
      <w:r>
        <w:rPr>
          <w:rFonts w:ascii="Arial" w:hAnsi="Arial"/>
          <w:b/>
          <w:spacing w:val="54"/>
          <w:sz w:val="20"/>
        </w:rPr>
        <w:t xml:space="preserve"> </w:t>
      </w:r>
      <w:r>
        <w:rPr>
          <w:rFonts w:ascii="Arial" w:hAnsi="Arial"/>
          <w:i/>
          <w:sz w:val="20"/>
        </w:rPr>
        <w:t>Efectos</w:t>
      </w:r>
      <w:r>
        <w:rPr>
          <w:rFonts w:ascii="Arial" w:hAnsi="Arial"/>
          <w:i/>
          <w:spacing w:val="-1"/>
          <w:sz w:val="20"/>
        </w:rPr>
        <w:t xml:space="preserve"> </w:t>
      </w:r>
      <w:r>
        <w:rPr>
          <w:rFonts w:ascii="Arial" w:hAnsi="Arial"/>
          <w:i/>
          <w:sz w:val="20"/>
        </w:rPr>
        <w:t xml:space="preserve">de la </w:t>
      </w:r>
      <w:r>
        <w:rPr>
          <w:rFonts w:ascii="Arial" w:hAnsi="Arial"/>
          <w:i/>
          <w:spacing w:val="-2"/>
          <w:sz w:val="20"/>
        </w:rPr>
        <w:t>resolución.</w:t>
      </w:r>
    </w:p>
    <w:p w:rsidR="0092635B" w:rsidRDefault="00000000">
      <w:pPr>
        <w:pStyle w:val="Prrafodelista"/>
        <w:numPr>
          <w:ilvl w:val="0"/>
          <w:numId w:val="139"/>
        </w:numPr>
        <w:tabs>
          <w:tab w:val="left" w:pos="1676"/>
        </w:tabs>
        <w:spacing w:before="123" w:line="249" w:lineRule="auto"/>
        <w:ind w:right="1105" w:firstLine="340"/>
        <w:jc w:val="both"/>
        <w:rPr>
          <w:sz w:val="20"/>
        </w:rPr>
      </w:pPr>
      <w:r>
        <w:rPr>
          <w:sz w:val="20"/>
        </w:rPr>
        <w:t>La resolución del contrato dará lugar a la comprobación, medición y liquidación de las obras realizadas con arreglo al proyecto, fijando los saldos pertinentes a favor o en contra</w:t>
      </w:r>
      <w:r>
        <w:rPr>
          <w:spacing w:val="40"/>
          <w:sz w:val="20"/>
        </w:rPr>
        <w:t xml:space="preserve"> </w:t>
      </w:r>
      <w:r>
        <w:rPr>
          <w:sz w:val="20"/>
        </w:rPr>
        <w:t>del contratista. Será necesaria la citación de este, en el domicilio que figure en el expediente de contratación, para su asistencia al acto de comprobación y medición.</w:t>
      </w:r>
    </w:p>
    <w:p w:rsidR="0092635B" w:rsidRDefault="00000000">
      <w:pPr>
        <w:pStyle w:val="Prrafodelista"/>
        <w:numPr>
          <w:ilvl w:val="0"/>
          <w:numId w:val="139"/>
        </w:numPr>
        <w:tabs>
          <w:tab w:val="left" w:pos="1699"/>
        </w:tabs>
        <w:spacing w:before="4" w:line="249" w:lineRule="auto"/>
        <w:ind w:right="1104" w:firstLine="340"/>
        <w:jc w:val="both"/>
        <w:rPr>
          <w:sz w:val="20"/>
        </w:rPr>
      </w:pPr>
      <w:r>
        <w:rPr>
          <w:sz w:val="20"/>
        </w:rPr>
        <w:t>Si se demorase injustificadamente la comprobación del replanteo, dando lugar a la resolución del contrato, el contratista solo tendrá derecho por todos los conceptos a una indemnización equivalente al 2 por cien del precio de la adjudicación, IVA excluido.</w:t>
      </w:r>
    </w:p>
    <w:p w:rsidR="0092635B" w:rsidRDefault="00000000">
      <w:pPr>
        <w:pStyle w:val="Prrafodelista"/>
        <w:numPr>
          <w:ilvl w:val="0"/>
          <w:numId w:val="139"/>
        </w:numPr>
        <w:tabs>
          <w:tab w:val="left" w:pos="1685"/>
        </w:tabs>
        <w:spacing w:line="249" w:lineRule="auto"/>
        <w:ind w:firstLine="340"/>
        <w:jc w:val="both"/>
        <w:rPr>
          <w:sz w:val="20"/>
        </w:rPr>
      </w:pPr>
      <w:r>
        <w:rPr>
          <w:sz w:val="20"/>
        </w:rPr>
        <w:t>En el supuesto de desistimiento antes de la iniciación de las obras, o de suspensión</w:t>
      </w:r>
      <w:r>
        <w:rPr>
          <w:spacing w:val="40"/>
          <w:sz w:val="20"/>
        </w:rPr>
        <w:t xml:space="preserve"> </w:t>
      </w:r>
      <w:r>
        <w:rPr>
          <w:sz w:val="20"/>
        </w:rPr>
        <w:t>de la iniciación de las mismas por parte de la Administración por plazo superior a cuatro meses, el contratista tendrá derecho a percibir por todos los conceptos una indemnización del 3 por cien del precio de adjudicación, IVA excluido.</w:t>
      </w:r>
    </w:p>
    <w:p w:rsidR="0092635B" w:rsidRDefault="00000000">
      <w:pPr>
        <w:pStyle w:val="Prrafodelista"/>
        <w:numPr>
          <w:ilvl w:val="0"/>
          <w:numId w:val="139"/>
        </w:numPr>
        <w:tabs>
          <w:tab w:val="left" w:pos="1679"/>
        </w:tabs>
        <w:spacing w:before="3" w:line="249" w:lineRule="auto"/>
        <w:ind w:right="1104" w:firstLine="340"/>
        <w:jc w:val="both"/>
        <w:rPr>
          <w:sz w:val="20"/>
        </w:rPr>
      </w:pPr>
      <w:r>
        <w:rPr>
          <w:sz w:val="20"/>
        </w:rPr>
        <w:t>En caso de desistimiento una vez iniciada la ejecución de las obras, o de suspensión de las obras iniciadas por plazo superior a ocho meses, el contratista tendrá derecho por todos los conceptos al 6 por cien del precio de adjudicación del contrato de las obras</w:t>
      </w:r>
      <w:r>
        <w:rPr>
          <w:spacing w:val="80"/>
          <w:sz w:val="20"/>
        </w:rPr>
        <w:t xml:space="preserve"> </w:t>
      </w:r>
      <w:r>
        <w:rPr>
          <w:sz w:val="20"/>
        </w:rPr>
        <w:t>dejadas de realizar en concepto de beneficio industrial, IVA excluido, entendiéndose por obras dejadas de realizar las que resulten de la diferencia entre las reflejadas en el contrato primitivo y sus modificaciones aprobadas y las que hasta la fecha de notificación del desistimiento o de la suspensión se hubieran ejecutado.</w:t>
      </w:r>
    </w:p>
    <w:p w:rsidR="0092635B" w:rsidRDefault="00000000">
      <w:pPr>
        <w:pStyle w:val="Prrafodelista"/>
        <w:numPr>
          <w:ilvl w:val="0"/>
          <w:numId w:val="139"/>
        </w:numPr>
        <w:tabs>
          <w:tab w:val="left" w:pos="1715"/>
        </w:tabs>
        <w:spacing w:before="6" w:line="249" w:lineRule="auto"/>
        <w:ind w:firstLine="340"/>
        <w:jc w:val="both"/>
        <w:rPr>
          <w:sz w:val="20"/>
        </w:rPr>
      </w:pPr>
      <w:r>
        <w:rPr>
          <w:sz w:val="20"/>
        </w:rPr>
        <w:t>Cuando las obras hayan de ser continuadas por otro empresario o por la propia Administración, con carácter de urgencia, por motivos de seguridad o para evitar la ruina de lo construido, el órgano de contratación, una vez que haya notificado al contratista la liquidación de las ejecutadas, podrá acordar su continuación, sin perjuicio de que el contratista pueda impugnar la valoración efectuada ante el propio órgano. El órgano de contratación resolverá lo que proceda en el plazo de quince días.</w:t>
      </w:r>
    </w:p>
    <w:p w:rsidR="0092635B" w:rsidRDefault="0092635B">
      <w:pPr>
        <w:pStyle w:val="Textoindependiente"/>
        <w:spacing w:before="115"/>
        <w:ind w:left="0" w:firstLine="0"/>
        <w:jc w:val="left"/>
      </w:pPr>
    </w:p>
    <w:p w:rsidR="0092635B" w:rsidRDefault="00000000">
      <w:pPr>
        <w:pStyle w:val="Textoindependiente"/>
        <w:spacing w:before="0"/>
        <w:ind w:left="0" w:firstLine="0"/>
        <w:jc w:val="center"/>
      </w:pPr>
      <w:bookmarkStart w:id="391" w:name="CAPÍTULO_II._Del_contrato_de_concesión_d"/>
      <w:bookmarkStart w:id="392" w:name="_bookmark74"/>
      <w:bookmarkEnd w:id="391"/>
      <w:bookmarkEnd w:id="392"/>
      <w:r>
        <w:t xml:space="preserve">CAPÍTULO </w:t>
      </w:r>
      <w:r>
        <w:rPr>
          <w:spacing w:val="-5"/>
        </w:rPr>
        <w:t>II</w:t>
      </w:r>
    </w:p>
    <w:p w:rsidR="0092635B" w:rsidRDefault="00000000">
      <w:pPr>
        <w:pStyle w:val="Ttulo2"/>
        <w:spacing w:before="124"/>
      </w:pPr>
      <w:r>
        <w:t>Del</w:t>
      </w:r>
      <w:r>
        <w:rPr>
          <w:spacing w:val="-1"/>
        </w:rPr>
        <w:t xml:space="preserve"> </w:t>
      </w:r>
      <w:r>
        <w:t>contrato de</w:t>
      </w:r>
      <w:r>
        <w:rPr>
          <w:spacing w:val="-1"/>
        </w:rPr>
        <w:t xml:space="preserve"> </w:t>
      </w:r>
      <w:r>
        <w:t xml:space="preserve">concesión de </w:t>
      </w:r>
      <w:r>
        <w:rPr>
          <w:spacing w:val="-2"/>
        </w:rPr>
        <w:t>obras</w:t>
      </w:r>
    </w:p>
    <w:p w:rsidR="0092635B" w:rsidRDefault="0092635B">
      <w:pPr>
        <w:pStyle w:val="Textoindependiente"/>
        <w:spacing w:before="6"/>
        <w:ind w:left="0" w:firstLine="0"/>
        <w:jc w:val="left"/>
        <w:rPr>
          <w:rFonts w:ascii="Arial"/>
          <w:b/>
        </w:rPr>
      </w:pPr>
    </w:p>
    <w:p w:rsidR="0092635B" w:rsidRDefault="00000000">
      <w:pPr>
        <w:pStyle w:val="Ttulo3"/>
      </w:pPr>
      <w:bookmarkStart w:id="393" w:name="Sección_1.ª_Actuaciones_preparatorias_de"/>
      <w:bookmarkStart w:id="394" w:name="_bookmark75"/>
      <w:bookmarkEnd w:id="393"/>
      <w:bookmarkEnd w:id="394"/>
      <w:r>
        <w:t>Sección</w:t>
      </w:r>
      <w:r>
        <w:rPr>
          <w:spacing w:val="-3"/>
        </w:rPr>
        <w:t xml:space="preserve"> </w:t>
      </w:r>
      <w:r>
        <w:t>1.ª</w:t>
      </w:r>
      <w:r>
        <w:rPr>
          <w:spacing w:val="-3"/>
        </w:rPr>
        <w:t xml:space="preserve"> </w:t>
      </w:r>
      <w:r>
        <w:t>Actuaciones</w:t>
      </w:r>
      <w:r>
        <w:rPr>
          <w:spacing w:val="-3"/>
        </w:rPr>
        <w:t xml:space="preserve"> </w:t>
      </w:r>
      <w:r>
        <w:t>preparatorias</w:t>
      </w:r>
      <w:r>
        <w:rPr>
          <w:spacing w:val="-3"/>
        </w:rPr>
        <w:t xml:space="preserve"> </w:t>
      </w:r>
      <w:r>
        <w:t>del</w:t>
      </w:r>
      <w:r>
        <w:rPr>
          <w:spacing w:val="-3"/>
        </w:rPr>
        <w:t xml:space="preserve"> </w:t>
      </w:r>
      <w:r>
        <w:t>contrato</w:t>
      </w:r>
      <w:r>
        <w:rPr>
          <w:spacing w:val="-3"/>
        </w:rPr>
        <w:t xml:space="preserve"> </w:t>
      </w:r>
      <w:r>
        <w:t>de</w:t>
      </w:r>
      <w:r>
        <w:rPr>
          <w:spacing w:val="-3"/>
        </w:rPr>
        <w:t xml:space="preserve"> </w:t>
      </w:r>
      <w:r>
        <w:t>concesión</w:t>
      </w:r>
      <w:r>
        <w:rPr>
          <w:spacing w:val="-3"/>
        </w:rPr>
        <w:t xml:space="preserve"> </w:t>
      </w:r>
      <w:r>
        <w:t>de</w:t>
      </w:r>
      <w:r>
        <w:rPr>
          <w:spacing w:val="-2"/>
        </w:rPr>
        <w:t xml:space="preserve"> obras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395" w:name="Artículo_247._Estudio_de_viabilidad."/>
      <w:bookmarkEnd w:id="395"/>
      <w:r>
        <w:rPr>
          <w:rFonts w:ascii="Arial" w:hAnsi="Arial"/>
          <w:b/>
          <w:sz w:val="20"/>
        </w:rPr>
        <w:t>Artículo</w:t>
      </w:r>
      <w:r>
        <w:rPr>
          <w:rFonts w:ascii="Arial" w:hAnsi="Arial"/>
          <w:b/>
          <w:spacing w:val="-2"/>
          <w:sz w:val="20"/>
        </w:rPr>
        <w:t xml:space="preserve"> </w:t>
      </w:r>
      <w:r>
        <w:rPr>
          <w:rFonts w:ascii="Arial" w:hAnsi="Arial"/>
          <w:b/>
          <w:sz w:val="20"/>
        </w:rPr>
        <w:t>247.</w:t>
      </w:r>
      <w:r>
        <w:rPr>
          <w:rFonts w:ascii="Arial" w:hAnsi="Arial"/>
          <w:b/>
          <w:spacing w:val="51"/>
          <w:sz w:val="20"/>
        </w:rPr>
        <w:t xml:space="preserve"> </w:t>
      </w:r>
      <w:r>
        <w:rPr>
          <w:rFonts w:ascii="Arial" w:hAnsi="Arial"/>
          <w:i/>
          <w:sz w:val="20"/>
        </w:rPr>
        <w:t>Estudio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viabilidad.</w:t>
      </w:r>
    </w:p>
    <w:p w:rsidR="0092635B" w:rsidRDefault="00000000">
      <w:pPr>
        <w:pStyle w:val="Prrafodelista"/>
        <w:numPr>
          <w:ilvl w:val="0"/>
          <w:numId w:val="138"/>
        </w:numPr>
        <w:tabs>
          <w:tab w:val="left" w:pos="1702"/>
        </w:tabs>
        <w:spacing w:before="124" w:line="249" w:lineRule="auto"/>
        <w:ind w:right="1105" w:firstLine="340"/>
        <w:jc w:val="both"/>
        <w:rPr>
          <w:sz w:val="20"/>
        </w:rPr>
      </w:pPr>
      <w:r>
        <w:rPr>
          <w:sz w:val="20"/>
        </w:rPr>
        <w:t>Con carácter previo a la decisión de construir y explotar en régimen de concesión</w:t>
      </w:r>
      <w:r>
        <w:rPr>
          <w:spacing w:val="40"/>
          <w:sz w:val="20"/>
        </w:rPr>
        <w:t xml:space="preserve"> </w:t>
      </w:r>
      <w:r>
        <w:rPr>
          <w:sz w:val="20"/>
        </w:rPr>
        <w:t>unas obras, el órgano que corresponda de la Administración concedente acordará la realización de un estudio de viabilidad de las mismas.</w:t>
      </w:r>
    </w:p>
    <w:p w:rsidR="0092635B" w:rsidRDefault="00000000">
      <w:pPr>
        <w:pStyle w:val="Prrafodelista"/>
        <w:numPr>
          <w:ilvl w:val="0"/>
          <w:numId w:val="138"/>
        </w:numPr>
        <w:tabs>
          <w:tab w:val="left" w:pos="1706"/>
        </w:tabs>
        <w:spacing w:line="249" w:lineRule="auto"/>
        <w:ind w:right="1104" w:firstLine="340"/>
        <w:jc w:val="both"/>
        <w:rPr>
          <w:sz w:val="20"/>
        </w:rPr>
      </w:pPr>
      <w:r>
        <w:rPr>
          <w:sz w:val="20"/>
        </w:rPr>
        <w:t>El estudio de viabilidad deberá contener, al menos, los datos, análisis, informes o estudios que procedan sobre los puntos siguientes: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1"/>
          <w:numId w:val="138"/>
        </w:numPr>
        <w:tabs>
          <w:tab w:val="left" w:pos="1735"/>
        </w:tabs>
        <w:spacing w:before="1" w:line="249" w:lineRule="auto"/>
        <w:ind w:right="1105" w:firstLine="340"/>
        <w:jc w:val="both"/>
        <w:rPr>
          <w:sz w:val="20"/>
        </w:rPr>
      </w:pPr>
      <w:r>
        <w:rPr>
          <w:sz w:val="20"/>
        </w:rPr>
        <w:t xml:space="preserve">Finalidad y justificación de las obras, así como definición de sus características </w:t>
      </w:r>
      <w:r>
        <w:rPr>
          <w:spacing w:val="-2"/>
          <w:sz w:val="20"/>
        </w:rPr>
        <w:t>esenciales.</w:t>
      </w:r>
    </w:p>
    <w:p w:rsidR="0092635B" w:rsidRDefault="00000000">
      <w:pPr>
        <w:pStyle w:val="Prrafodelista"/>
        <w:numPr>
          <w:ilvl w:val="1"/>
          <w:numId w:val="138"/>
        </w:numPr>
        <w:tabs>
          <w:tab w:val="left" w:pos="1681"/>
        </w:tabs>
        <w:spacing w:before="1" w:line="249" w:lineRule="auto"/>
        <w:ind w:right="1104" w:firstLine="340"/>
        <w:jc w:val="both"/>
        <w:rPr>
          <w:sz w:val="20"/>
        </w:rPr>
      </w:pPr>
      <w:r>
        <w:rPr>
          <w:sz w:val="20"/>
        </w:rPr>
        <w:t>Justificación</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ventajas</w:t>
      </w:r>
      <w:r>
        <w:rPr>
          <w:spacing w:val="-1"/>
          <w:sz w:val="20"/>
        </w:rPr>
        <w:t xml:space="preserve"> </w:t>
      </w:r>
      <w:r>
        <w:rPr>
          <w:sz w:val="20"/>
        </w:rPr>
        <w:t>cuantitativas</w:t>
      </w:r>
      <w:r>
        <w:rPr>
          <w:spacing w:val="-1"/>
          <w:sz w:val="20"/>
        </w:rPr>
        <w:t xml:space="preserve"> </w:t>
      </w:r>
      <w:r>
        <w:rPr>
          <w:sz w:val="20"/>
        </w:rPr>
        <w:t>y</w:t>
      </w:r>
      <w:r>
        <w:rPr>
          <w:spacing w:val="-1"/>
          <w:sz w:val="20"/>
        </w:rPr>
        <w:t xml:space="preserve"> </w:t>
      </w:r>
      <w:r>
        <w:rPr>
          <w:sz w:val="20"/>
        </w:rPr>
        <w:t>cualitativas</w:t>
      </w:r>
      <w:r>
        <w:rPr>
          <w:spacing w:val="-1"/>
          <w:sz w:val="20"/>
        </w:rPr>
        <w:t xml:space="preserve"> </w:t>
      </w:r>
      <w:r>
        <w:rPr>
          <w:sz w:val="20"/>
        </w:rPr>
        <w:t>que</w:t>
      </w:r>
      <w:r>
        <w:rPr>
          <w:spacing w:val="-1"/>
          <w:sz w:val="20"/>
        </w:rPr>
        <w:t xml:space="preserve"> </w:t>
      </w:r>
      <w:r>
        <w:rPr>
          <w:sz w:val="20"/>
        </w:rPr>
        <w:t>aconsejan</w:t>
      </w:r>
      <w:r>
        <w:rPr>
          <w:spacing w:val="-1"/>
          <w:sz w:val="20"/>
        </w:rPr>
        <w:t xml:space="preserve"> </w:t>
      </w:r>
      <w:r>
        <w:rPr>
          <w:sz w:val="20"/>
        </w:rPr>
        <w:t>la</w:t>
      </w:r>
      <w:r>
        <w:rPr>
          <w:spacing w:val="-1"/>
          <w:sz w:val="20"/>
        </w:rPr>
        <w:t xml:space="preserve"> </w:t>
      </w:r>
      <w:r>
        <w:rPr>
          <w:sz w:val="20"/>
        </w:rPr>
        <w:t>utilización</w:t>
      </w:r>
      <w:r>
        <w:rPr>
          <w:spacing w:val="-1"/>
          <w:sz w:val="20"/>
        </w:rPr>
        <w:t xml:space="preserve"> </w:t>
      </w:r>
      <w:r>
        <w:rPr>
          <w:sz w:val="20"/>
        </w:rPr>
        <w:t>del contrato de concesión de obras frente a otros tipos contractuales, con indicación de los niveles de calidad que resulta necesario cumplir, la estructura administrativa necesaria para verificar la prestación, así como las variables en relación con el impacto de la concesión en</w:t>
      </w:r>
      <w:r>
        <w:rPr>
          <w:spacing w:val="40"/>
          <w:sz w:val="20"/>
        </w:rPr>
        <w:t xml:space="preserve"> </w:t>
      </w:r>
      <w:r>
        <w:rPr>
          <w:sz w:val="20"/>
        </w:rPr>
        <w:t>la estabilidad presupuestaria.</w:t>
      </w:r>
    </w:p>
    <w:p w:rsidR="0092635B" w:rsidRDefault="00000000">
      <w:pPr>
        <w:pStyle w:val="Prrafodelista"/>
        <w:numPr>
          <w:ilvl w:val="1"/>
          <w:numId w:val="138"/>
        </w:numPr>
        <w:tabs>
          <w:tab w:val="left" w:pos="1673"/>
        </w:tabs>
        <w:spacing w:before="4" w:line="249" w:lineRule="auto"/>
        <w:ind w:right="1106" w:firstLine="340"/>
        <w:jc w:val="both"/>
        <w:rPr>
          <w:sz w:val="20"/>
        </w:rPr>
      </w:pPr>
      <w:r>
        <w:rPr>
          <w:sz w:val="20"/>
        </w:rPr>
        <w:t>Previsiones sobre la demanda de uso e incidencia económica y social de las obras en su área de influencia y sobre la rentabilidad de la concesión.</w:t>
      </w:r>
    </w:p>
    <w:p w:rsidR="0092635B" w:rsidRDefault="00000000">
      <w:pPr>
        <w:pStyle w:val="Prrafodelista"/>
        <w:numPr>
          <w:ilvl w:val="1"/>
          <w:numId w:val="138"/>
        </w:numPr>
        <w:tabs>
          <w:tab w:val="left" w:pos="1702"/>
        </w:tabs>
        <w:spacing w:line="249" w:lineRule="auto"/>
        <w:ind w:right="1104" w:firstLine="340"/>
        <w:jc w:val="both"/>
        <w:rPr>
          <w:sz w:val="20"/>
        </w:rPr>
      </w:pPr>
      <w:r>
        <w:rPr>
          <w:sz w:val="20"/>
        </w:rPr>
        <w:t>Valoración de los datos e informes existentes que hagan referencia al planeamiento sectorial, territorial o urbanístico.</w:t>
      </w:r>
    </w:p>
    <w:p w:rsidR="0092635B" w:rsidRDefault="00000000">
      <w:pPr>
        <w:pStyle w:val="Prrafodelista"/>
        <w:numPr>
          <w:ilvl w:val="1"/>
          <w:numId w:val="138"/>
        </w:numPr>
        <w:tabs>
          <w:tab w:val="left" w:pos="1756"/>
        </w:tabs>
        <w:spacing w:line="249" w:lineRule="auto"/>
        <w:ind w:right="1104" w:firstLine="340"/>
        <w:jc w:val="both"/>
        <w:rPr>
          <w:sz w:val="20"/>
        </w:rPr>
      </w:pPr>
      <w:r>
        <w:rPr>
          <w:sz w:val="20"/>
        </w:rPr>
        <w:t>Estudio de impacto ambiental cuando este sea preceptivo de acuerdo con la legislación vigente. En los restantes casos, un análisis ambiental de las alternativas y las correspondientes medidas correctoras y protectoras necesarias.</w:t>
      </w:r>
    </w:p>
    <w:p w:rsidR="0092635B" w:rsidRDefault="00000000">
      <w:pPr>
        <w:pStyle w:val="Prrafodelista"/>
        <w:numPr>
          <w:ilvl w:val="1"/>
          <w:numId w:val="138"/>
        </w:numPr>
        <w:tabs>
          <w:tab w:val="left" w:pos="1627"/>
        </w:tabs>
        <w:spacing w:line="249" w:lineRule="auto"/>
        <w:ind w:firstLine="340"/>
        <w:jc w:val="both"/>
        <w:rPr>
          <w:sz w:val="20"/>
        </w:rPr>
      </w:pPr>
      <w:r>
        <w:rPr>
          <w:sz w:val="20"/>
        </w:rPr>
        <w:t>Justificación de la solución elegida, indicando, entre las alternativas consideradas si se tratara de infraestructuras viarias o lineales, las características de su trazado.</w:t>
      </w:r>
    </w:p>
    <w:p w:rsidR="0092635B" w:rsidRDefault="00000000">
      <w:pPr>
        <w:pStyle w:val="Prrafodelista"/>
        <w:numPr>
          <w:ilvl w:val="1"/>
          <w:numId w:val="138"/>
        </w:numPr>
        <w:tabs>
          <w:tab w:val="left" w:pos="1679"/>
        </w:tabs>
        <w:ind w:left="1679" w:right="0" w:hanging="233"/>
        <w:jc w:val="both"/>
        <w:rPr>
          <w:sz w:val="20"/>
        </w:rPr>
      </w:pPr>
      <w:r>
        <w:rPr>
          <w:sz w:val="20"/>
        </w:rPr>
        <w:t>Riesgos</w:t>
      </w:r>
      <w:r>
        <w:rPr>
          <w:spacing w:val="-3"/>
          <w:sz w:val="20"/>
        </w:rPr>
        <w:t xml:space="preserve"> </w:t>
      </w:r>
      <w:r>
        <w:rPr>
          <w:sz w:val="20"/>
        </w:rPr>
        <w:t>operativos</w:t>
      </w:r>
      <w:r>
        <w:rPr>
          <w:spacing w:val="-2"/>
          <w:sz w:val="20"/>
        </w:rPr>
        <w:t xml:space="preserve"> </w:t>
      </w:r>
      <w:r>
        <w:rPr>
          <w:sz w:val="20"/>
        </w:rPr>
        <w:t>y</w:t>
      </w:r>
      <w:r>
        <w:rPr>
          <w:spacing w:val="-2"/>
          <w:sz w:val="20"/>
        </w:rPr>
        <w:t xml:space="preserve"> </w:t>
      </w:r>
      <w:r>
        <w:rPr>
          <w:sz w:val="20"/>
        </w:rPr>
        <w:t>tecnológicos</w:t>
      </w:r>
      <w:r>
        <w:rPr>
          <w:spacing w:val="-2"/>
          <w:sz w:val="20"/>
        </w:rPr>
        <w:t xml:space="preserve"> </w:t>
      </w:r>
      <w:r>
        <w:rPr>
          <w:sz w:val="20"/>
        </w:rPr>
        <w:t>en</w:t>
      </w:r>
      <w:r>
        <w:rPr>
          <w:spacing w:val="-2"/>
          <w:sz w:val="20"/>
        </w:rPr>
        <w:t xml:space="preserve"> </w:t>
      </w:r>
      <w:r>
        <w:rPr>
          <w:sz w:val="20"/>
        </w:rPr>
        <w:t>la</w:t>
      </w:r>
      <w:r>
        <w:rPr>
          <w:spacing w:val="-3"/>
          <w:sz w:val="20"/>
        </w:rPr>
        <w:t xml:space="preserve"> </w:t>
      </w:r>
      <w:r>
        <w:rPr>
          <w:sz w:val="20"/>
        </w:rPr>
        <w:t>construcción</w:t>
      </w:r>
      <w:r>
        <w:rPr>
          <w:spacing w:val="-2"/>
          <w:sz w:val="20"/>
        </w:rPr>
        <w:t xml:space="preserve"> </w:t>
      </w:r>
      <w:r>
        <w:rPr>
          <w:sz w:val="20"/>
        </w:rPr>
        <w:t>y</w:t>
      </w:r>
      <w:r>
        <w:rPr>
          <w:spacing w:val="-2"/>
          <w:sz w:val="20"/>
        </w:rPr>
        <w:t xml:space="preserve"> </w:t>
      </w:r>
      <w:r>
        <w:rPr>
          <w:sz w:val="20"/>
        </w:rPr>
        <w:t>explotación</w:t>
      </w:r>
      <w:r>
        <w:rPr>
          <w:spacing w:val="-2"/>
          <w:sz w:val="20"/>
        </w:rPr>
        <w:t xml:space="preserve"> </w:t>
      </w:r>
      <w:r>
        <w:rPr>
          <w:sz w:val="20"/>
        </w:rPr>
        <w:t>de</w:t>
      </w:r>
      <w:r>
        <w:rPr>
          <w:spacing w:val="-2"/>
          <w:sz w:val="20"/>
        </w:rPr>
        <w:t xml:space="preserve"> </w:t>
      </w:r>
      <w:r>
        <w:rPr>
          <w:sz w:val="20"/>
        </w:rPr>
        <w:t>las</w:t>
      </w:r>
      <w:r>
        <w:rPr>
          <w:spacing w:val="-2"/>
          <w:sz w:val="20"/>
        </w:rPr>
        <w:t xml:space="preserve"> obras.</w:t>
      </w:r>
    </w:p>
    <w:p w:rsidR="0092635B" w:rsidRDefault="00000000">
      <w:pPr>
        <w:pStyle w:val="Prrafodelista"/>
        <w:numPr>
          <w:ilvl w:val="1"/>
          <w:numId w:val="138"/>
        </w:numPr>
        <w:tabs>
          <w:tab w:val="left" w:pos="1684"/>
        </w:tabs>
        <w:spacing w:before="10" w:line="249" w:lineRule="auto"/>
        <w:ind w:right="1106" w:firstLine="340"/>
        <w:jc w:val="both"/>
        <w:rPr>
          <w:sz w:val="20"/>
        </w:rPr>
      </w:pPr>
      <w:r>
        <w:rPr>
          <w:sz w:val="20"/>
        </w:rPr>
        <w:t>Coste de la inversión a realizar, así como el sistema de financiación propuesto para la construcción de las obras con la justificación, asimismo, de la procedencia de esta.</w:t>
      </w:r>
    </w:p>
    <w:p w:rsidR="0092635B" w:rsidRDefault="00000000">
      <w:pPr>
        <w:pStyle w:val="Prrafodelista"/>
        <w:numPr>
          <w:ilvl w:val="1"/>
          <w:numId w:val="138"/>
        </w:numPr>
        <w:tabs>
          <w:tab w:val="left" w:pos="1613"/>
        </w:tabs>
        <w:spacing w:before="1" w:line="249" w:lineRule="auto"/>
        <w:ind w:right="1104" w:firstLine="340"/>
        <w:jc w:val="both"/>
        <w:rPr>
          <w:sz w:val="20"/>
        </w:rPr>
      </w:pPr>
      <w:r>
        <w:rPr>
          <w:sz w:val="20"/>
        </w:rPr>
        <w:t>Estudio</w:t>
      </w:r>
      <w:r>
        <w:rPr>
          <w:spacing w:val="-1"/>
          <w:sz w:val="20"/>
        </w:rPr>
        <w:t xml:space="preserve"> </w:t>
      </w:r>
      <w:r>
        <w:rPr>
          <w:sz w:val="20"/>
        </w:rPr>
        <w:t>de</w:t>
      </w:r>
      <w:r>
        <w:rPr>
          <w:spacing w:val="-1"/>
          <w:sz w:val="20"/>
        </w:rPr>
        <w:t xml:space="preserve"> </w:t>
      </w:r>
      <w:r>
        <w:rPr>
          <w:sz w:val="20"/>
        </w:rPr>
        <w:t>seguridad</w:t>
      </w:r>
      <w:r>
        <w:rPr>
          <w:spacing w:val="-1"/>
          <w:sz w:val="20"/>
        </w:rPr>
        <w:t xml:space="preserve"> </w:t>
      </w:r>
      <w:r>
        <w:rPr>
          <w:sz w:val="20"/>
        </w:rPr>
        <w:t>y</w:t>
      </w:r>
      <w:r>
        <w:rPr>
          <w:spacing w:val="-1"/>
          <w:sz w:val="20"/>
        </w:rPr>
        <w:t xml:space="preserve"> </w:t>
      </w:r>
      <w:r>
        <w:rPr>
          <w:sz w:val="20"/>
        </w:rPr>
        <w:t>salud</w:t>
      </w:r>
      <w:r>
        <w:rPr>
          <w:spacing w:val="-1"/>
          <w:sz w:val="20"/>
        </w:rPr>
        <w:t xml:space="preserve"> </w:t>
      </w:r>
      <w:r>
        <w:rPr>
          <w:sz w:val="20"/>
        </w:rPr>
        <w:t>o,</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caso,</w:t>
      </w:r>
      <w:r>
        <w:rPr>
          <w:spacing w:val="-1"/>
          <w:sz w:val="20"/>
        </w:rPr>
        <w:t xml:space="preserve"> </w:t>
      </w:r>
      <w:r>
        <w:rPr>
          <w:sz w:val="20"/>
        </w:rPr>
        <w:t>estudio</w:t>
      </w:r>
      <w:r>
        <w:rPr>
          <w:spacing w:val="-1"/>
          <w:sz w:val="20"/>
        </w:rPr>
        <w:t xml:space="preserve"> </w:t>
      </w:r>
      <w:r>
        <w:rPr>
          <w:sz w:val="20"/>
        </w:rPr>
        <w:t>básico</w:t>
      </w:r>
      <w:r>
        <w:rPr>
          <w:spacing w:val="-1"/>
          <w:sz w:val="20"/>
        </w:rPr>
        <w:t xml:space="preserve"> </w:t>
      </w:r>
      <w:r>
        <w:rPr>
          <w:sz w:val="20"/>
        </w:rPr>
        <w:t>de</w:t>
      </w:r>
      <w:r>
        <w:rPr>
          <w:spacing w:val="-1"/>
          <w:sz w:val="20"/>
        </w:rPr>
        <w:t xml:space="preserve"> </w:t>
      </w:r>
      <w:r>
        <w:rPr>
          <w:sz w:val="20"/>
        </w:rPr>
        <w:t>seguridad</w:t>
      </w:r>
      <w:r>
        <w:rPr>
          <w:spacing w:val="-1"/>
          <w:sz w:val="20"/>
        </w:rPr>
        <w:t xml:space="preserve"> </w:t>
      </w:r>
      <w:r>
        <w:rPr>
          <w:sz w:val="20"/>
        </w:rPr>
        <w:t>y</w:t>
      </w:r>
      <w:r>
        <w:rPr>
          <w:spacing w:val="-1"/>
          <w:sz w:val="20"/>
        </w:rPr>
        <w:t xml:space="preserve"> </w:t>
      </w:r>
      <w:r>
        <w:rPr>
          <w:sz w:val="20"/>
        </w:rPr>
        <w:t>salud,</w:t>
      </w:r>
      <w:r>
        <w:rPr>
          <w:spacing w:val="-1"/>
          <w:sz w:val="20"/>
        </w:rPr>
        <w:t xml:space="preserve"> </w:t>
      </w:r>
      <w:r>
        <w:rPr>
          <w:sz w:val="20"/>
        </w:rPr>
        <w:t>en</w:t>
      </w:r>
      <w:r>
        <w:rPr>
          <w:spacing w:val="-1"/>
          <w:sz w:val="20"/>
        </w:rPr>
        <w:t xml:space="preserve"> </w:t>
      </w:r>
      <w:r>
        <w:rPr>
          <w:sz w:val="20"/>
        </w:rPr>
        <w:t xml:space="preserve">los términos previstos en las disposiciones mínimas de seguridad y salud en obras de </w:t>
      </w:r>
      <w:r>
        <w:rPr>
          <w:spacing w:val="-2"/>
          <w:sz w:val="20"/>
        </w:rPr>
        <w:t>construcción.</w:t>
      </w:r>
    </w:p>
    <w:p w:rsidR="0092635B" w:rsidRDefault="00000000">
      <w:pPr>
        <w:pStyle w:val="Prrafodelista"/>
        <w:numPr>
          <w:ilvl w:val="1"/>
          <w:numId w:val="138"/>
        </w:numPr>
        <w:tabs>
          <w:tab w:val="left" w:pos="1638"/>
        </w:tabs>
        <w:spacing w:before="3" w:line="249" w:lineRule="auto"/>
        <w:ind w:right="1102" w:firstLine="340"/>
        <w:jc w:val="both"/>
        <w:rPr>
          <w:sz w:val="20"/>
        </w:rPr>
      </w:pPr>
      <w:r>
        <w:rPr>
          <w:sz w:val="20"/>
        </w:rPr>
        <w:t>El valor actual neto de todas las inversiones, costes e ingresos del concesionario, a efectos de la evaluación del riesgo operacional, así como los criterios que sean precisos</w:t>
      </w:r>
      <w:r>
        <w:rPr>
          <w:spacing w:val="80"/>
          <w:sz w:val="20"/>
        </w:rPr>
        <w:t xml:space="preserve"> </w:t>
      </w:r>
      <w:r>
        <w:rPr>
          <w:sz w:val="20"/>
        </w:rPr>
        <w:t>para valorar la tasa de descuento.</w:t>
      </w:r>
    </w:p>
    <w:p w:rsidR="0092635B" w:rsidRDefault="00000000">
      <w:pPr>
        <w:pStyle w:val="Prrafodelista"/>
        <w:numPr>
          <w:ilvl w:val="1"/>
          <w:numId w:val="138"/>
        </w:numPr>
        <w:tabs>
          <w:tab w:val="left" w:pos="1715"/>
        </w:tabs>
        <w:spacing w:line="249" w:lineRule="auto"/>
        <w:ind w:right="1105" w:firstLine="340"/>
        <w:jc w:val="both"/>
        <w:rPr>
          <w:sz w:val="20"/>
        </w:rPr>
      </w:pPr>
      <w:r>
        <w:rPr>
          <w:sz w:val="20"/>
        </w:rPr>
        <w:t>Existencia de una posible ayuda de Estado y compatibilidad de la misma con el Tratado</w:t>
      </w:r>
      <w:r>
        <w:rPr>
          <w:spacing w:val="-2"/>
          <w:sz w:val="20"/>
        </w:rPr>
        <w:t xml:space="preserve"> </w:t>
      </w:r>
      <w:r>
        <w:rPr>
          <w:sz w:val="20"/>
        </w:rPr>
        <w:t>de</w:t>
      </w:r>
      <w:r>
        <w:rPr>
          <w:spacing w:val="-2"/>
          <w:sz w:val="20"/>
        </w:rPr>
        <w:t xml:space="preserve"> </w:t>
      </w:r>
      <w:r>
        <w:rPr>
          <w:sz w:val="20"/>
        </w:rPr>
        <w:t>Funcionamiento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Unión</w:t>
      </w:r>
      <w:r>
        <w:rPr>
          <w:spacing w:val="-2"/>
          <w:sz w:val="20"/>
        </w:rPr>
        <w:t xml:space="preserve"> </w:t>
      </w:r>
      <w:r>
        <w:rPr>
          <w:sz w:val="20"/>
        </w:rPr>
        <w:t>Europea,</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casos</w:t>
      </w:r>
      <w:r>
        <w:rPr>
          <w:spacing w:val="-2"/>
          <w:sz w:val="20"/>
        </w:rPr>
        <w:t xml:space="preserve"> </w:t>
      </w:r>
      <w:r>
        <w:rPr>
          <w:sz w:val="20"/>
        </w:rPr>
        <w:t>en</w:t>
      </w:r>
      <w:r>
        <w:rPr>
          <w:spacing w:val="-2"/>
          <w:sz w:val="20"/>
        </w:rPr>
        <w:t xml:space="preserve"> </w:t>
      </w:r>
      <w:r>
        <w:rPr>
          <w:sz w:val="20"/>
        </w:rPr>
        <w:t>que</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viabilidad</w:t>
      </w:r>
      <w:r>
        <w:rPr>
          <w:spacing w:val="-2"/>
          <w:sz w:val="20"/>
        </w:rPr>
        <w:t xml:space="preserve"> </w:t>
      </w:r>
      <w:r>
        <w:rPr>
          <w:sz w:val="20"/>
        </w:rPr>
        <w:t>de</w:t>
      </w:r>
      <w:r>
        <w:rPr>
          <w:spacing w:val="-2"/>
          <w:sz w:val="20"/>
        </w:rPr>
        <w:t xml:space="preserve"> </w:t>
      </w:r>
      <w:r>
        <w:rPr>
          <w:sz w:val="20"/>
        </w:rPr>
        <w:t>la concesión se contemplen ayudas a la construcción o explotación de la misma.</w:t>
      </w:r>
    </w:p>
    <w:p w:rsidR="0092635B" w:rsidRDefault="00000000">
      <w:pPr>
        <w:pStyle w:val="Prrafodelista"/>
        <w:numPr>
          <w:ilvl w:val="0"/>
          <w:numId w:val="138"/>
        </w:numPr>
        <w:tabs>
          <w:tab w:val="left" w:pos="1679"/>
        </w:tabs>
        <w:spacing w:before="123" w:line="249" w:lineRule="auto"/>
        <w:ind w:firstLine="340"/>
        <w:jc w:val="both"/>
        <w:rPr>
          <w:sz w:val="20"/>
        </w:rPr>
      </w:pPr>
      <w:r>
        <w:rPr>
          <w:sz w:val="20"/>
        </w:rPr>
        <w:t>La Administración concedente someterá el estudio de viabilidad a información pública por el plazo de un mes, prorrogable por idéntico plazo en razón de la complejidad del mismo y dará traslado del mismo para informe a los órganos de la Administración General del Estado, las Comunidades Autónomas y Entidades Locales afectados cuando la obra no figure en el correspondiente planeamiento urbanístico, que deberán emitirlo en el plazo de</w:t>
      </w:r>
      <w:r>
        <w:rPr>
          <w:spacing w:val="80"/>
          <w:sz w:val="20"/>
        </w:rPr>
        <w:t xml:space="preserve"> </w:t>
      </w:r>
      <w:r>
        <w:rPr>
          <w:sz w:val="20"/>
        </w:rPr>
        <w:t>un mes.</w:t>
      </w:r>
    </w:p>
    <w:p w:rsidR="0092635B" w:rsidRDefault="00000000">
      <w:pPr>
        <w:pStyle w:val="Prrafodelista"/>
        <w:numPr>
          <w:ilvl w:val="0"/>
          <w:numId w:val="138"/>
        </w:numPr>
        <w:tabs>
          <w:tab w:val="left" w:pos="1676"/>
        </w:tabs>
        <w:spacing w:before="5" w:line="249" w:lineRule="auto"/>
        <w:ind w:right="1104" w:firstLine="340"/>
        <w:jc w:val="both"/>
        <w:rPr>
          <w:sz w:val="20"/>
        </w:rPr>
      </w:pPr>
      <w:r>
        <w:rPr>
          <w:sz w:val="20"/>
        </w:rPr>
        <w:t>El trámite de información pública previsto en el apartado anterior servirá también para cumplimentar el concerniente al estudio de impacto ambiental, en los casos en que la declaración de impacto ambiental resulte preceptiva.</w:t>
      </w:r>
    </w:p>
    <w:p w:rsidR="0092635B" w:rsidRDefault="00000000">
      <w:pPr>
        <w:pStyle w:val="Prrafodelista"/>
        <w:numPr>
          <w:ilvl w:val="0"/>
          <w:numId w:val="138"/>
        </w:numPr>
        <w:tabs>
          <w:tab w:val="left" w:pos="1724"/>
        </w:tabs>
        <w:spacing w:line="249" w:lineRule="auto"/>
        <w:ind w:right="1104" w:firstLine="340"/>
        <w:jc w:val="both"/>
        <w:rPr>
          <w:sz w:val="20"/>
        </w:rPr>
      </w:pPr>
      <w:r>
        <w:rPr>
          <w:sz w:val="20"/>
        </w:rPr>
        <w:t>Se admitirá la iniciativa privada en la presentación de estudios de viabilidad de eventuales concesiones. Presentado el estudio será elevado al órgano competente para que en el plazo de tres meses comunique al particular la decisión de tramitar o no tramitar el mismo o fije un plazo mayor para su estudio que, en ningún caso, será superior a seis meses. El silencio de la Administración o de la entidad que corresponda equivaldrá a la no aceptación del estudio.</w:t>
      </w:r>
    </w:p>
    <w:p w:rsidR="0092635B" w:rsidRDefault="00000000">
      <w:pPr>
        <w:pStyle w:val="Textoindependiente"/>
        <w:spacing w:before="5" w:line="249" w:lineRule="auto"/>
        <w:ind w:right="1103"/>
      </w:pPr>
      <w:r>
        <w:t>En el supuesto de que el estudio de viabilidad culminara en el otorgamiento de la correspondiente concesión, salvo que dicho estudio hubiera resultado insuficiente de</w:t>
      </w:r>
      <w:r>
        <w:rPr>
          <w:spacing w:val="40"/>
        </w:rPr>
        <w:t xml:space="preserve"> </w:t>
      </w:r>
      <w:r>
        <w:t>acuerdo con su propia finalidad, su autor tendrá derecho en la correspondiente licitación a 5 puntos porcentuales adicionales a los obtenidos por aplicación de los criterios de adjudicación establecidos en el correspondiente pliego de cláusulas administrativas particulares. Para el caso de que no haya resultado adjudicatario tendrá derecho al resarcimiento de los gastos efectuados para su elaboración, incrementados en un 5 por cien como compensación, gastos que podrán imponerse al concesionario como condición contractual en el correspondiente pliego de cláusulas administrativas particulares. El importe de los gastos será determinado en función de los que resulten justificados por quien haya presentado el estudio.</w:t>
      </w:r>
    </w:p>
    <w:p w:rsidR="0092635B" w:rsidRDefault="00000000">
      <w:pPr>
        <w:pStyle w:val="Prrafodelista"/>
        <w:numPr>
          <w:ilvl w:val="0"/>
          <w:numId w:val="138"/>
        </w:numPr>
        <w:tabs>
          <w:tab w:val="left" w:pos="1675"/>
        </w:tabs>
        <w:spacing w:before="9" w:line="249" w:lineRule="auto"/>
        <w:ind w:right="1104" w:firstLine="340"/>
        <w:jc w:val="both"/>
        <w:rPr>
          <w:sz w:val="20"/>
        </w:rPr>
      </w:pPr>
      <w:r>
        <w:rPr>
          <w:sz w:val="20"/>
        </w:rPr>
        <w:t>La Administración concedente podrá acordar motivadamente la sustitución del estudio de viabilidad a que se refieren los apartados anteriores por un estudio de viabilidad económico-financiera cuando por la naturaleza y finalidad de las obras o por la cuantía de 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inversión requerida considerara que este es suficiente. En estos supuestos la Administración elaborará además, antes de licitar la concesión, el correspondiente anteproyecto o proyecto para asegurar los trámites establecidos en los apartados 3 y 4 del artículo siguiente.</w:t>
      </w:r>
    </w:p>
    <w:p w:rsidR="0092635B" w:rsidRDefault="00000000">
      <w:pPr>
        <w:pStyle w:val="Prrafodelista"/>
        <w:numPr>
          <w:ilvl w:val="0"/>
          <w:numId w:val="138"/>
        </w:numPr>
        <w:tabs>
          <w:tab w:val="left" w:pos="1669"/>
        </w:tabs>
        <w:spacing w:line="249" w:lineRule="auto"/>
        <w:ind w:right="1104" w:firstLine="340"/>
        <w:jc w:val="both"/>
        <w:rPr>
          <w:sz w:val="20"/>
        </w:rPr>
      </w:pPr>
      <w:r>
        <w:rPr>
          <w:sz w:val="20"/>
        </w:rPr>
        <w:t>El</w:t>
      </w:r>
      <w:r>
        <w:rPr>
          <w:spacing w:val="-2"/>
          <w:sz w:val="20"/>
        </w:rPr>
        <w:t xml:space="preserve"> </w:t>
      </w:r>
      <w:r>
        <w:rPr>
          <w:sz w:val="20"/>
        </w:rPr>
        <w:t>órgano</w:t>
      </w:r>
      <w:r>
        <w:rPr>
          <w:spacing w:val="-2"/>
          <w:sz w:val="20"/>
        </w:rPr>
        <w:t xml:space="preserve"> </w:t>
      </w:r>
      <w:r>
        <w:rPr>
          <w:sz w:val="20"/>
        </w:rPr>
        <w:t>que</w:t>
      </w:r>
      <w:r>
        <w:rPr>
          <w:spacing w:val="-2"/>
          <w:sz w:val="20"/>
        </w:rPr>
        <w:t xml:space="preserve"> </w:t>
      </w:r>
      <w:r>
        <w:rPr>
          <w:sz w:val="20"/>
        </w:rPr>
        <w:t>corresponda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concedente</w:t>
      </w:r>
      <w:r>
        <w:rPr>
          <w:spacing w:val="-2"/>
          <w:sz w:val="20"/>
        </w:rPr>
        <w:t xml:space="preserve"> </w:t>
      </w:r>
      <w:r>
        <w:rPr>
          <w:sz w:val="20"/>
        </w:rPr>
        <w:t>deberá</w:t>
      </w:r>
      <w:r>
        <w:rPr>
          <w:spacing w:val="-2"/>
          <w:sz w:val="20"/>
        </w:rPr>
        <w:t xml:space="preserve"> </w:t>
      </w:r>
      <w:r>
        <w:rPr>
          <w:sz w:val="20"/>
        </w:rPr>
        <w:t>aprobar</w:t>
      </w:r>
      <w:r>
        <w:rPr>
          <w:spacing w:val="-2"/>
          <w:sz w:val="20"/>
        </w:rPr>
        <w:t xml:space="preserve"> </w:t>
      </w:r>
      <w:r>
        <w:rPr>
          <w:sz w:val="20"/>
        </w:rPr>
        <w:t>el</w:t>
      </w:r>
      <w:r>
        <w:rPr>
          <w:spacing w:val="-2"/>
          <w:sz w:val="20"/>
        </w:rPr>
        <w:t xml:space="preserve"> </w:t>
      </w:r>
      <w:r>
        <w:rPr>
          <w:sz w:val="20"/>
        </w:rPr>
        <w:t>estudio de viabilidad o, en su caso, adoptar la decisión de sustitución mencionada en el apartado anterior, y publicar estas decisiones en el correspondiente perfil del contratante.</w:t>
      </w:r>
    </w:p>
    <w:p w:rsidR="0092635B" w:rsidRDefault="00000000">
      <w:pPr>
        <w:spacing w:before="229"/>
        <w:ind w:left="1106"/>
        <w:jc w:val="both"/>
        <w:rPr>
          <w:rFonts w:ascii="Arial" w:hAnsi="Arial"/>
          <w:i/>
          <w:sz w:val="20"/>
        </w:rPr>
      </w:pPr>
      <w:bookmarkStart w:id="396" w:name="Artículo_248._Anteproyecto_de_construcci"/>
      <w:bookmarkEnd w:id="396"/>
      <w:r>
        <w:rPr>
          <w:rFonts w:ascii="Arial" w:hAnsi="Arial"/>
          <w:b/>
          <w:sz w:val="20"/>
        </w:rPr>
        <w:t>Artículo</w:t>
      </w:r>
      <w:r>
        <w:rPr>
          <w:rFonts w:ascii="Arial" w:hAnsi="Arial"/>
          <w:b/>
          <w:spacing w:val="-6"/>
          <w:sz w:val="20"/>
        </w:rPr>
        <w:t xml:space="preserve"> </w:t>
      </w:r>
      <w:r>
        <w:rPr>
          <w:rFonts w:ascii="Arial" w:hAnsi="Arial"/>
          <w:b/>
          <w:sz w:val="20"/>
        </w:rPr>
        <w:t>248.</w:t>
      </w:r>
      <w:r>
        <w:rPr>
          <w:rFonts w:ascii="Arial" w:hAnsi="Arial"/>
          <w:b/>
          <w:spacing w:val="47"/>
          <w:sz w:val="20"/>
        </w:rPr>
        <w:t xml:space="preserve"> </w:t>
      </w:r>
      <w:r>
        <w:rPr>
          <w:rFonts w:ascii="Arial" w:hAnsi="Arial"/>
          <w:i/>
          <w:sz w:val="20"/>
        </w:rPr>
        <w:t>Anteproyecto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construcción</w:t>
      </w:r>
      <w:r>
        <w:rPr>
          <w:rFonts w:ascii="Arial" w:hAnsi="Arial"/>
          <w:i/>
          <w:spacing w:val="-4"/>
          <w:sz w:val="20"/>
        </w:rPr>
        <w:t xml:space="preserve"> </w:t>
      </w:r>
      <w:r>
        <w:rPr>
          <w:rFonts w:ascii="Arial" w:hAnsi="Arial"/>
          <w:i/>
          <w:sz w:val="20"/>
        </w:rPr>
        <w:t>y</w:t>
      </w:r>
      <w:r>
        <w:rPr>
          <w:rFonts w:ascii="Arial" w:hAnsi="Arial"/>
          <w:i/>
          <w:spacing w:val="-3"/>
          <w:sz w:val="20"/>
        </w:rPr>
        <w:t xml:space="preserve"> </w:t>
      </w:r>
      <w:r>
        <w:rPr>
          <w:rFonts w:ascii="Arial" w:hAnsi="Arial"/>
          <w:i/>
          <w:sz w:val="20"/>
        </w:rPr>
        <w:t>explotación</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las</w:t>
      </w:r>
      <w:r>
        <w:rPr>
          <w:rFonts w:ascii="Arial" w:hAnsi="Arial"/>
          <w:i/>
          <w:spacing w:val="-3"/>
          <w:sz w:val="20"/>
        </w:rPr>
        <w:t xml:space="preserve"> </w:t>
      </w:r>
      <w:r>
        <w:rPr>
          <w:rFonts w:ascii="Arial" w:hAnsi="Arial"/>
          <w:i/>
          <w:spacing w:val="-2"/>
          <w:sz w:val="20"/>
        </w:rPr>
        <w:t>obras.</w:t>
      </w:r>
    </w:p>
    <w:p w:rsidR="0092635B" w:rsidRDefault="00000000">
      <w:pPr>
        <w:pStyle w:val="Prrafodelista"/>
        <w:numPr>
          <w:ilvl w:val="0"/>
          <w:numId w:val="137"/>
        </w:numPr>
        <w:tabs>
          <w:tab w:val="left" w:pos="1743"/>
        </w:tabs>
        <w:spacing w:before="124" w:line="249" w:lineRule="auto"/>
        <w:ind w:firstLine="340"/>
        <w:jc w:val="both"/>
        <w:rPr>
          <w:sz w:val="20"/>
        </w:rPr>
      </w:pPr>
      <w:r>
        <w:rPr>
          <w:sz w:val="20"/>
        </w:rPr>
        <w:t>En función de la complejidad de las obras y del grado de definición de sus características, la Administración concedente, aprobado el estudio de viabilidad, podrá acordar la redacción del correspondiente anteproyecto. Este podrá incluir, de acuerdo con la naturaleza de las obras, zonas complementarias de explotación comercial.</w:t>
      </w:r>
    </w:p>
    <w:p w:rsidR="0092635B" w:rsidRDefault="00000000">
      <w:pPr>
        <w:pStyle w:val="Prrafodelista"/>
        <w:numPr>
          <w:ilvl w:val="0"/>
          <w:numId w:val="137"/>
        </w:numPr>
        <w:tabs>
          <w:tab w:val="left" w:pos="1700"/>
        </w:tabs>
        <w:spacing w:before="3" w:line="249" w:lineRule="auto"/>
        <w:ind w:right="1106" w:firstLine="340"/>
        <w:jc w:val="both"/>
        <w:rPr>
          <w:sz w:val="20"/>
        </w:rPr>
      </w:pPr>
      <w:r>
        <w:rPr>
          <w:sz w:val="20"/>
        </w:rPr>
        <w:t>El anteproyecto de construcción y explotación de las obras deberá contener, como mínimo, la siguiente documentación:</w:t>
      </w:r>
    </w:p>
    <w:p w:rsidR="0092635B" w:rsidRDefault="00000000">
      <w:pPr>
        <w:pStyle w:val="Prrafodelista"/>
        <w:numPr>
          <w:ilvl w:val="1"/>
          <w:numId w:val="137"/>
        </w:numPr>
        <w:tabs>
          <w:tab w:val="left" w:pos="1729"/>
        </w:tabs>
        <w:spacing w:before="122" w:line="249" w:lineRule="auto"/>
        <w:ind w:right="1102" w:firstLine="340"/>
        <w:jc w:val="both"/>
        <w:rPr>
          <w:sz w:val="20"/>
        </w:rPr>
      </w:pPr>
      <w:r>
        <w:rPr>
          <w:sz w:val="20"/>
        </w:rPr>
        <w:t>Una memoria en la que se expondrán las necesidades a satisfacer, los factores sociales, técnicos, económicos, medioambientales y administrativos considerados para atender el objetivo fijado y la justificación de la solución que se propone. La memoria se acompañará de los datos y cálculos básicos correspondientes.</w:t>
      </w:r>
    </w:p>
    <w:p w:rsidR="0092635B" w:rsidRDefault="00000000">
      <w:pPr>
        <w:pStyle w:val="Prrafodelista"/>
        <w:numPr>
          <w:ilvl w:val="1"/>
          <w:numId w:val="137"/>
        </w:numPr>
        <w:tabs>
          <w:tab w:val="left" w:pos="1697"/>
        </w:tabs>
        <w:spacing w:before="3" w:line="249" w:lineRule="auto"/>
        <w:ind w:right="1104" w:firstLine="340"/>
        <w:jc w:val="both"/>
        <w:rPr>
          <w:sz w:val="20"/>
        </w:rPr>
      </w:pPr>
      <w:r>
        <w:rPr>
          <w:sz w:val="20"/>
        </w:rPr>
        <w:t xml:space="preserve">Los planos de situación generales y de conjunto necesarios para la definición de las </w:t>
      </w:r>
      <w:r>
        <w:rPr>
          <w:spacing w:val="-2"/>
          <w:sz w:val="20"/>
        </w:rPr>
        <w:t>obras.</w:t>
      </w:r>
    </w:p>
    <w:p w:rsidR="0092635B" w:rsidRDefault="00000000">
      <w:pPr>
        <w:pStyle w:val="Prrafodelista"/>
        <w:numPr>
          <w:ilvl w:val="1"/>
          <w:numId w:val="137"/>
        </w:numPr>
        <w:tabs>
          <w:tab w:val="left" w:pos="1671"/>
        </w:tabs>
        <w:spacing w:line="249" w:lineRule="auto"/>
        <w:ind w:firstLine="340"/>
        <w:jc w:val="both"/>
        <w:rPr>
          <w:sz w:val="20"/>
        </w:rPr>
      </w:pPr>
      <w:r>
        <w:rPr>
          <w:sz w:val="20"/>
        </w:rPr>
        <w:t>Un presupuesto que comprenda los gastos de ejecución de las obras, incluido el coste de las expropiaciones que hubiese que llevar a cabo, partiendo de las correspondientes mediciones aproximadas y valoraciones. Para el cálculo del coste de las expropiaciones se tendrá en cuenta el sistema legal de valoraciones vigente.</w:t>
      </w:r>
    </w:p>
    <w:p w:rsidR="0092635B" w:rsidRDefault="00000000">
      <w:pPr>
        <w:pStyle w:val="Prrafodelista"/>
        <w:numPr>
          <w:ilvl w:val="1"/>
          <w:numId w:val="137"/>
        </w:numPr>
        <w:tabs>
          <w:tab w:val="left" w:pos="1686"/>
        </w:tabs>
        <w:spacing w:before="3" w:line="249" w:lineRule="auto"/>
        <w:ind w:firstLine="340"/>
        <w:jc w:val="both"/>
        <w:rPr>
          <w:sz w:val="20"/>
        </w:rPr>
      </w:pPr>
      <w:r>
        <w:rPr>
          <w:sz w:val="20"/>
        </w:rPr>
        <w:t>Un estudio relativo al régimen de utilización y explotación de las obras, con indicación de su forma de financiación y del régimen tarifario que regirá en la concesión, incluyendo, en su</w:t>
      </w:r>
      <w:r>
        <w:rPr>
          <w:spacing w:val="-2"/>
          <w:sz w:val="20"/>
        </w:rPr>
        <w:t xml:space="preserve"> </w:t>
      </w:r>
      <w:r>
        <w:rPr>
          <w:sz w:val="20"/>
        </w:rPr>
        <w:t>caso,</w:t>
      </w:r>
      <w:r>
        <w:rPr>
          <w:spacing w:val="-2"/>
          <w:sz w:val="20"/>
        </w:rPr>
        <w:t xml:space="preserve"> </w:t>
      </w:r>
      <w:r>
        <w:rPr>
          <w:sz w:val="20"/>
        </w:rPr>
        <w:t>la</w:t>
      </w:r>
      <w:r>
        <w:rPr>
          <w:spacing w:val="-2"/>
          <w:sz w:val="20"/>
        </w:rPr>
        <w:t xml:space="preserve"> </w:t>
      </w:r>
      <w:r>
        <w:rPr>
          <w:sz w:val="20"/>
        </w:rPr>
        <w:t>incidencia</w:t>
      </w:r>
      <w:r>
        <w:rPr>
          <w:spacing w:val="-2"/>
          <w:sz w:val="20"/>
        </w:rPr>
        <w:t xml:space="preserve"> </w:t>
      </w:r>
      <w:r>
        <w:rPr>
          <w:sz w:val="20"/>
        </w:rPr>
        <w:t>o</w:t>
      </w:r>
      <w:r>
        <w:rPr>
          <w:spacing w:val="-2"/>
          <w:sz w:val="20"/>
        </w:rPr>
        <w:t xml:space="preserve"> </w:t>
      </w:r>
      <w:r>
        <w:rPr>
          <w:sz w:val="20"/>
        </w:rPr>
        <w:t>contribución</w:t>
      </w:r>
      <w:r>
        <w:rPr>
          <w:spacing w:val="-2"/>
          <w:sz w:val="20"/>
        </w:rPr>
        <w:t xml:space="preserve"> </w:t>
      </w:r>
      <w:r>
        <w:rPr>
          <w:sz w:val="20"/>
        </w:rPr>
        <w:t>en</w:t>
      </w:r>
      <w:r>
        <w:rPr>
          <w:spacing w:val="-2"/>
          <w:sz w:val="20"/>
        </w:rPr>
        <w:t xml:space="preserve"> </w:t>
      </w:r>
      <w:r>
        <w:rPr>
          <w:sz w:val="20"/>
        </w:rPr>
        <w:t>estas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rendimientos</w:t>
      </w:r>
      <w:r>
        <w:rPr>
          <w:spacing w:val="-2"/>
          <w:sz w:val="20"/>
        </w:rPr>
        <w:t xml:space="preserve"> </w:t>
      </w:r>
      <w:r>
        <w:rPr>
          <w:sz w:val="20"/>
        </w:rPr>
        <w:t>que</w:t>
      </w:r>
      <w:r>
        <w:rPr>
          <w:spacing w:val="-2"/>
          <w:sz w:val="20"/>
        </w:rPr>
        <w:t xml:space="preserve"> </w:t>
      </w:r>
      <w:r>
        <w:rPr>
          <w:sz w:val="20"/>
        </w:rPr>
        <w:t>pudieran</w:t>
      </w:r>
      <w:r>
        <w:rPr>
          <w:spacing w:val="-2"/>
          <w:sz w:val="20"/>
        </w:rPr>
        <w:t xml:space="preserve"> </w:t>
      </w:r>
      <w:r>
        <w:rPr>
          <w:sz w:val="20"/>
        </w:rPr>
        <w:t>corresponder a la zona de explotación comercial.</w:t>
      </w:r>
    </w:p>
    <w:p w:rsidR="0092635B" w:rsidRDefault="00000000">
      <w:pPr>
        <w:pStyle w:val="Prrafodelista"/>
        <w:numPr>
          <w:ilvl w:val="0"/>
          <w:numId w:val="137"/>
        </w:numPr>
        <w:tabs>
          <w:tab w:val="left" w:pos="1668"/>
        </w:tabs>
        <w:spacing w:before="123" w:line="249" w:lineRule="auto"/>
        <w:ind w:firstLine="340"/>
        <w:jc w:val="both"/>
        <w:rPr>
          <w:sz w:val="20"/>
        </w:rPr>
      </w:pPr>
      <w:r>
        <w:rPr>
          <w:sz w:val="20"/>
        </w:rPr>
        <w:t>El</w:t>
      </w:r>
      <w:r>
        <w:rPr>
          <w:spacing w:val="-2"/>
          <w:sz w:val="20"/>
        </w:rPr>
        <w:t xml:space="preserve"> </w:t>
      </w:r>
      <w:r>
        <w:rPr>
          <w:sz w:val="20"/>
        </w:rPr>
        <w:t>anteproyecto</w:t>
      </w:r>
      <w:r>
        <w:rPr>
          <w:spacing w:val="-2"/>
          <w:sz w:val="20"/>
        </w:rPr>
        <w:t xml:space="preserve"> </w:t>
      </w:r>
      <w:r>
        <w:rPr>
          <w:sz w:val="20"/>
        </w:rPr>
        <w:t>se</w:t>
      </w:r>
      <w:r>
        <w:rPr>
          <w:spacing w:val="-2"/>
          <w:sz w:val="20"/>
        </w:rPr>
        <w:t xml:space="preserve"> </w:t>
      </w:r>
      <w:r>
        <w:rPr>
          <w:sz w:val="20"/>
        </w:rPr>
        <w:t>someterá</w:t>
      </w:r>
      <w:r>
        <w:rPr>
          <w:spacing w:val="-2"/>
          <w:sz w:val="20"/>
        </w:rPr>
        <w:t xml:space="preserve"> </w:t>
      </w:r>
      <w:r>
        <w:rPr>
          <w:sz w:val="20"/>
        </w:rPr>
        <w:t>a</w:t>
      </w:r>
      <w:r>
        <w:rPr>
          <w:spacing w:val="-2"/>
          <w:sz w:val="20"/>
        </w:rPr>
        <w:t xml:space="preserve"> </w:t>
      </w:r>
      <w:r>
        <w:rPr>
          <w:sz w:val="20"/>
        </w:rPr>
        <w:t>información</w:t>
      </w:r>
      <w:r>
        <w:rPr>
          <w:spacing w:val="-2"/>
          <w:sz w:val="20"/>
        </w:rPr>
        <w:t xml:space="preserve"> </w:t>
      </w:r>
      <w:r>
        <w:rPr>
          <w:sz w:val="20"/>
        </w:rPr>
        <w:t>pública</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plazo</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mes,</w:t>
      </w:r>
      <w:r>
        <w:rPr>
          <w:spacing w:val="-2"/>
          <w:sz w:val="20"/>
        </w:rPr>
        <w:t xml:space="preserve"> </w:t>
      </w:r>
      <w:r>
        <w:rPr>
          <w:sz w:val="20"/>
        </w:rPr>
        <w:t>prorrogable por idéntico plazo en razón de su complejidad, para que puedan formularse cuantas observaciones se consideren oportunas sobre la ubicación y características de las obras, así como cualquier otra circunstancia referente a su declaración de utilidad pública, y dará traslado de este para informe a los órganos de la Administración General del Estado, las Comunidades Autónomas y Entidades Locales afectados. Este trámite de información</w:t>
      </w:r>
      <w:r>
        <w:rPr>
          <w:spacing w:val="40"/>
          <w:sz w:val="20"/>
        </w:rPr>
        <w:t xml:space="preserve"> </w:t>
      </w:r>
      <w:r>
        <w:rPr>
          <w:sz w:val="20"/>
        </w:rPr>
        <w:t>pública servirá también para cumplimentar el concerniente al estudio de impacto ambiental, en los casos en que la declaración de impacto ambiental resulte preceptiva y no se hubiera efectuado dicho trámite anteriormente por tratarse de un supuesto incluido en el apartado 6 del artículo anterior.</w:t>
      </w:r>
    </w:p>
    <w:p w:rsidR="0092635B" w:rsidRDefault="00000000">
      <w:pPr>
        <w:pStyle w:val="Prrafodelista"/>
        <w:numPr>
          <w:ilvl w:val="0"/>
          <w:numId w:val="137"/>
        </w:numPr>
        <w:tabs>
          <w:tab w:val="left" w:pos="1697"/>
        </w:tabs>
        <w:spacing w:before="8" w:line="249" w:lineRule="auto"/>
        <w:ind w:right="1104" w:firstLine="340"/>
        <w:jc w:val="both"/>
        <w:rPr>
          <w:sz w:val="20"/>
        </w:rPr>
      </w:pPr>
      <w:r>
        <w:rPr>
          <w:sz w:val="20"/>
        </w:rPr>
        <w:t>La Administración concedente aprobará el anteproyecto de las obras, considerando</w:t>
      </w:r>
      <w:r>
        <w:rPr>
          <w:spacing w:val="40"/>
          <w:sz w:val="20"/>
        </w:rPr>
        <w:t xml:space="preserve"> </w:t>
      </w:r>
      <w:r>
        <w:rPr>
          <w:sz w:val="20"/>
        </w:rPr>
        <w:t>las alegaciones formuladas e incorporando las prescripciones de la declaración de impacto ambiental, e instará el reconocimiento concreto de la utilidad pública de esta a los efectos previstos en la legislación de expropiación forzosa.</w:t>
      </w:r>
    </w:p>
    <w:p w:rsidR="0092635B" w:rsidRDefault="00000000">
      <w:pPr>
        <w:pStyle w:val="Prrafodelista"/>
        <w:numPr>
          <w:ilvl w:val="0"/>
          <w:numId w:val="137"/>
        </w:numPr>
        <w:tabs>
          <w:tab w:val="left" w:pos="1733"/>
        </w:tabs>
        <w:spacing w:before="4" w:line="249" w:lineRule="auto"/>
        <w:ind w:firstLine="340"/>
        <w:jc w:val="both"/>
        <w:rPr>
          <w:sz w:val="20"/>
        </w:rPr>
      </w:pPr>
      <w:r>
        <w:rPr>
          <w:sz w:val="20"/>
        </w:rPr>
        <w:t>Cuando el pliego de cláusulas administrativas particulares lo autorice, y en los términos que este establezca, los licitadores a la concesión podrán introducir en el anteproyecto las variantes que estimen convenientes.</w:t>
      </w:r>
    </w:p>
    <w:p w:rsidR="0092635B" w:rsidRDefault="00000000">
      <w:pPr>
        <w:spacing w:before="229"/>
        <w:ind w:left="1106"/>
        <w:jc w:val="both"/>
        <w:rPr>
          <w:rFonts w:ascii="Arial" w:hAnsi="Arial"/>
          <w:i/>
          <w:sz w:val="20"/>
        </w:rPr>
      </w:pPr>
      <w:bookmarkStart w:id="397" w:name="Artículo_249._Proyecto_de_las_obras_y_re"/>
      <w:bookmarkEnd w:id="397"/>
      <w:r>
        <w:rPr>
          <w:rFonts w:ascii="Arial" w:hAnsi="Arial"/>
          <w:b/>
          <w:sz w:val="20"/>
        </w:rPr>
        <w:t>Artículo</w:t>
      </w:r>
      <w:r>
        <w:rPr>
          <w:rFonts w:ascii="Arial" w:hAnsi="Arial"/>
          <w:b/>
          <w:spacing w:val="-2"/>
          <w:sz w:val="20"/>
        </w:rPr>
        <w:t xml:space="preserve"> </w:t>
      </w:r>
      <w:r>
        <w:rPr>
          <w:rFonts w:ascii="Arial" w:hAnsi="Arial"/>
          <w:b/>
          <w:sz w:val="20"/>
        </w:rPr>
        <w:t>249.</w:t>
      </w:r>
      <w:r>
        <w:rPr>
          <w:rFonts w:ascii="Arial" w:hAnsi="Arial"/>
          <w:b/>
          <w:spacing w:val="50"/>
          <w:sz w:val="20"/>
        </w:rPr>
        <w:t xml:space="preserve"> </w:t>
      </w:r>
      <w:r>
        <w:rPr>
          <w:rFonts w:ascii="Arial" w:hAnsi="Arial"/>
          <w:i/>
          <w:sz w:val="20"/>
        </w:rPr>
        <w:t>Proyecto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w:t>
      </w:r>
      <w:r>
        <w:rPr>
          <w:rFonts w:ascii="Arial" w:hAnsi="Arial"/>
          <w:i/>
          <w:sz w:val="20"/>
        </w:rPr>
        <w:t>obras</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replanteo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este.</w:t>
      </w:r>
    </w:p>
    <w:p w:rsidR="0092635B" w:rsidRDefault="00000000">
      <w:pPr>
        <w:pStyle w:val="Prrafodelista"/>
        <w:numPr>
          <w:ilvl w:val="0"/>
          <w:numId w:val="136"/>
        </w:numPr>
        <w:tabs>
          <w:tab w:val="left" w:pos="1695"/>
        </w:tabs>
        <w:spacing w:before="123" w:line="249" w:lineRule="auto"/>
        <w:ind w:firstLine="340"/>
        <w:jc w:val="both"/>
        <w:rPr>
          <w:sz w:val="20"/>
        </w:rPr>
      </w:pPr>
      <w:r>
        <w:rPr>
          <w:sz w:val="20"/>
        </w:rPr>
        <w:t>En el supuesto de que las obras sean definidas en todas sus características por la Administración</w:t>
      </w:r>
      <w:r>
        <w:rPr>
          <w:spacing w:val="-1"/>
          <w:sz w:val="20"/>
        </w:rPr>
        <w:t xml:space="preserve"> </w:t>
      </w:r>
      <w:r>
        <w:rPr>
          <w:sz w:val="20"/>
        </w:rPr>
        <w:t>concedente,</w:t>
      </w:r>
      <w:r>
        <w:rPr>
          <w:spacing w:val="-1"/>
          <w:sz w:val="20"/>
        </w:rPr>
        <w:t xml:space="preserve"> </w:t>
      </w:r>
      <w:r>
        <w:rPr>
          <w:sz w:val="20"/>
        </w:rPr>
        <w:t>se</w:t>
      </w:r>
      <w:r>
        <w:rPr>
          <w:spacing w:val="-1"/>
          <w:sz w:val="20"/>
        </w:rPr>
        <w:t xml:space="preserve"> </w:t>
      </w:r>
      <w:r>
        <w:rPr>
          <w:sz w:val="20"/>
        </w:rPr>
        <w:t>procederá</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redacción,</w:t>
      </w:r>
      <w:r>
        <w:rPr>
          <w:spacing w:val="-1"/>
          <w:sz w:val="20"/>
        </w:rPr>
        <w:t xml:space="preserve"> </w:t>
      </w:r>
      <w:r>
        <w:rPr>
          <w:sz w:val="20"/>
        </w:rPr>
        <w:t>supervisión,</w:t>
      </w:r>
      <w:r>
        <w:rPr>
          <w:spacing w:val="-1"/>
          <w:sz w:val="20"/>
        </w:rPr>
        <w:t xml:space="preserve"> </w:t>
      </w:r>
      <w:r>
        <w:rPr>
          <w:sz w:val="20"/>
        </w:rPr>
        <w:t>aprobación</w:t>
      </w:r>
      <w:r>
        <w:rPr>
          <w:spacing w:val="-1"/>
          <w:sz w:val="20"/>
        </w:rPr>
        <w:t xml:space="preserve"> </w:t>
      </w:r>
      <w:r>
        <w:rPr>
          <w:sz w:val="20"/>
        </w:rPr>
        <w:t>y</w:t>
      </w:r>
      <w:r>
        <w:rPr>
          <w:spacing w:val="-1"/>
          <w:sz w:val="20"/>
        </w:rPr>
        <w:t xml:space="preserve"> </w:t>
      </w:r>
      <w:r>
        <w:rPr>
          <w:sz w:val="20"/>
        </w:rPr>
        <w:t>replanteo del correspondiente proyecto de acuerdo con lo dispuesto en los correspondientes artículos de esta Ley y al reconocimiento de la utilidad pública de la obra a los efectos previstos en la legislación de expropiación forzosa.</w:t>
      </w:r>
    </w:p>
    <w:p w:rsidR="0092635B" w:rsidRDefault="00000000">
      <w:pPr>
        <w:pStyle w:val="Prrafodelista"/>
        <w:numPr>
          <w:ilvl w:val="0"/>
          <w:numId w:val="136"/>
        </w:numPr>
        <w:tabs>
          <w:tab w:val="left" w:pos="1670"/>
        </w:tabs>
        <w:spacing w:before="4" w:line="249" w:lineRule="auto"/>
        <w:ind w:right="1104" w:firstLine="340"/>
        <w:jc w:val="both"/>
        <w:rPr>
          <w:sz w:val="20"/>
        </w:rPr>
      </w:pPr>
      <w:r>
        <w:rPr>
          <w:sz w:val="20"/>
        </w:rPr>
        <w:t>Cuando</w:t>
      </w:r>
      <w:r>
        <w:rPr>
          <w:spacing w:val="-2"/>
          <w:sz w:val="20"/>
        </w:rPr>
        <w:t xml:space="preserve"> </w:t>
      </w:r>
      <w:r>
        <w:rPr>
          <w:sz w:val="20"/>
        </w:rPr>
        <w:t>no</w:t>
      </w:r>
      <w:r>
        <w:rPr>
          <w:spacing w:val="-2"/>
          <w:sz w:val="20"/>
        </w:rPr>
        <w:t xml:space="preserve"> </w:t>
      </w:r>
      <w:r>
        <w:rPr>
          <w:sz w:val="20"/>
        </w:rPr>
        <w:t>existiera</w:t>
      </w:r>
      <w:r>
        <w:rPr>
          <w:spacing w:val="-2"/>
          <w:sz w:val="20"/>
        </w:rPr>
        <w:t xml:space="preserve"> </w:t>
      </w:r>
      <w:r>
        <w:rPr>
          <w:sz w:val="20"/>
        </w:rPr>
        <w:t>anteproyecto,</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concedente</w:t>
      </w:r>
      <w:r>
        <w:rPr>
          <w:spacing w:val="-2"/>
          <w:sz w:val="20"/>
        </w:rPr>
        <w:t xml:space="preserve"> </w:t>
      </w:r>
      <w:r>
        <w:rPr>
          <w:sz w:val="20"/>
        </w:rPr>
        <w:t>someterá</w:t>
      </w:r>
      <w:r>
        <w:rPr>
          <w:spacing w:val="-2"/>
          <w:sz w:val="20"/>
        </w:rPr>
        <w:t xml:space="preserve"> </w:t>
      </w:r>
      <w:r>
        <w:rPr>
          <w:sz w:val="20"/>
        </w:rPr>
        <w:t>el</w:t>
      </w:r>
      <w:r>
        <w:rPr>
          <w:spacing w:val="-2"/>
          <w:sz w:val="20"/>
        </w:rPr>
        <w:t xml:space="preserve"> </w:t>
      </w:r>
      <w:r>
        <w:rPr>
          <w:sz w:val="20"/>
        </w:rPr>
        <w:t>proyecto, antes de su aprobación definitiva, a la tramitación establecida en los apartados 3 y 4 del artículo anterior para los anteproyectos.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36"/>
        </w:numPr>
        <w:tabs>
          <w:tab w:val="left" w:pos="1700"/>
        </w:tabs>
        <w:spacing w:before="1" w:line="249" w:lineRule="auto"/>
        <w:ind w:right="1106" w:firstLine="340"/>
        <w:jc w:val="both"/>
        <w:rPr>
          <w:sz w:val="20"/>
        </w:rPr>
      </w:pPr>
      <w:r>
        <w:rPr>
          <w:sz w:val="20"/>
        </w:rPr>
        <w:t>Será de aplicación en lo que se refiere a las posibles mejoras del proyecto de las obras lo dispuesto en el apartado 5 del artículo anterior.</w:t>
      </w:r>
    </w:p>
    <w:p w:rsidR="0092635B" w:rsidRDefault="00000000">
      <w:pPr>
        <w:pStyle w:val="Prrafodelista"/>
        <w:numPr>
          <w:ilvl w:val="0"/>
          <w:numId w:val="136"/>
        </w:numPr>
        <w:tabs>
          <w:tab w:val="left" w:pos="1710"/>
        </w:tabs>
        <w:spacing w:before="1" w:line="249" w:lineRule="auto"/>
        <w:ind w:right="1104" w:firstLine="340"/>
        <w:jc w:val="both"/>
        <w:rPr>
          <w:sz w:val="20"/>
        </w:rPr>
      </w:pPr>
      <w:r>
        <w:rPr>
          <w:sz w:val="20"/>
        </w:rPr>
        <w:t>El concesionario responderá de los daños derivados de los defectos del proyecto cuando, según los términos de la concesión, le corresponda su presentación o haya introducido mejoras en el propuesto por la Administración.</w:t>
      </w:r>
    </w:p>
    <w:p w:rsidR="0092635B" w:rsidRDefault="00000000">
      <w:pPr>
        <w:spacing w:before="230"/>
        <w:ind w:left="1106"/>
        <w:rPr>
          <w:rFonts w:ascii="Arial" w:hAnsi="Arial"/>
          <w:i/>
          <w:sz w:val="20"/>
        </w:rPr>
      </w:pPr>
      <w:bookmarkStart w:id="398" w:name="Artículo_250._Pliegos_de_cláusulas_admin"/>
      <w:bookmarkEnd w:id="398"/>
      <w:r>
        <w:rPr>
          <w:rFonts w:ascii="Arial" w:hAnsi="Arial"/>
          <w:b/>
          <w:sz w:val="20"/>
        </w:rPr>
        <w:t>Artículo</w:t>
      </w:r>
      <w:r>
        <w:rPr>
          <w:rFonts w:ascii="Arial" w:hAnsi="Arial"/>
          <w:b/>
          <w:spacing w:val="-1"/>
          <w:sz w:val="20"/>
        </w:rPr>
        <w:t xml:space="preserve"> </w:t>
      </w:r>
      <w:r>
        <w:rPr>
          <w:rFonts w:ascii="Arial" w:hAnsi="Arial"/>
          <w:b/>
          <w:sz w:val="20"/>
        </w:rPr>
        <w:t>250.</w:t>
      </w:r>
      <w:r>
        <w:rPr>
          <w:rFonts w:ascii="Arial" w:hAnsi="Arial"/>
          <w:b/>
          <w:spacing w:val="54"/>
          <w:sz w:val="20"/>
        </w:rPr>
        <w:t xml:space="preserve"> </w:t>
      </w:r>
      <w:r>
        <w:rPr>
          <w:rFonts w:ascii="Arial" w:hAnsi="Arial"/>
          <w:i/>
          <w:sz w:val="20"/>
        </w:rPr>
        <w:t xml:space="preserve">Pliegos de cláusulas administrativas </w:t>
      </w:r>
      <w:r>
        <w:rPr>
          <w:rFonts w:ascii="Arial" w:hAnsi="Arial"/>
          <w:i/>
          <w:spacing w:val="-2"/>
          <w:sz w:val="20"/>
        </w:rPr>
        <w:t>particulares.</w:t>
      </w:r>
    </w:p>
    <w:p w:rsidR="0092635B" w:rsidRDefault="00000000">
      <w:pPr>
        <w:pStyle w:val="Prrafodelista"/>
        <w:numPr>
          <w:ilvl w:val="0"/>
          <w:numId w:val="135"/>
        </w:numPr>
        <w:tabs>
          <w:tab w:val="left" w:pos="1674"/>
        </w:tabs>
        <w:spacing w:before="123" w:line="249" w:lineRule="auto"/>
        <w:ind w:right="1104" w:firstLine="340"/>
        <w:jc w:val="both"/>
        <w:rPr>
          <w:sz w:val="20"/>
        </w:rPr>
      </w:pPr>
      <w:r>
        <w:rPr>
          <w:sz w:val="20"/>
        </w:rPr>
        <w:t>Los pliegos de cláusulas administrativas particulares de los contratos de concesión de obras deberán hacer referencia, al menos, a los siguientes aspectos:</w:t>
      </w:r>
    </w:p>
    <w:p w:rsidR="0092635B" w:rsidRDefault="00000000">
      <w:pPr>
        <w:pStyle w:val="Prrafodelista"/>
        <w:numPr>
          <w:ilvl w:val="1"/>
          <w:numId w:val="135"/>
        </w:numPr>
        <w:tabs>
          <w:tab w:val="left" w:pos="1684"/>
        </w:tabs>
        <w:spacing w:before="122" w:line="249" w:lineRule="auto"/>
        <w:ind w:right="1104" w:firstLine="340"/>
        <w:jc w:val="both"/>
        <w:rPr>
          <w:sz w:val="20"/>
        </w:rPr>
      </w:pPr>
      <w:r>
        <w:rPr>
          <w:sz w:val="20"/>
        </w:rPr>
        <w:t>Definición del objeto del contrato, con referencia al anteproyecto o proyecto de que se trate y mención expresa de los documentos de este que revistan carácter contractual. En su caso determinación de la zona complementaria de explotación comercial.</w:t>
      </w:r>
    </w:p>
    <w:p w:rsidR="0092635B" w:rsidRDefault="00000000">
      <w:pPr>
        <w:pStyle w:val="Prrafodelista"/>
        <w:numPr>
          <w:ilvl w:val="1"/>
          <w:numId w:val="135"/>
        </w:numPr>
        <w:tabs>
          <w:tab w:val="left" w:pos="1747"/>
        </w:tabs>
        <w:spacing w:line="249" w:lineRule="auto"/>
        <w:ind w:firstLine="340"/>
        <w:jc w:val="both"/>
        <w:rPr>
          <w:sz w:val="20"/>
        </w:rPr>
      </w:pPr>
      <w:r>
        <w:rPr>
          <w:sz w:val="20"/>
        </w:rPr>
        <w:t>Requisitos de capacidad y solvencia financiera, económica y técnica que sean exigibles a los licitadores, pudiendo fijarse distintos requisitos de solvencia en función de las diferentes fases del contrato, de conformidad con lo dispuesto en el artículo 86.3, a los efectos de una posible cesión en los términos establecidos en el artículo 214.2.c).</w:t>
      </w:r>
    </w:p>
    <w:p w:rsidR="0092635B" w:rsidRDefault="00000000">
      <w:pPr>
        <w:pStyle w:val="Prrafodelista"/>
        <w:numPr>
          <w:ilvl w:val="1"/>
          <w:numId w:val="135"/>
        </w:numPr>
        <w:tabs>
          <w:tab w:val="left" w:pos="1735"/>
        </w:tabs>
        <w:spacing w:before="3" w:line="249" w:lineRule="auto"/>
        <w:ind w:right="1104" w:firstLine="340"/>
        <w:jc w:val="both"/>
        <w:rPr>
          <w:sz w:val="20"/>
        </w:rPr>
      </w:pPr>
      <w:r>
        <w:rPr>
          <w:sz w:val="20"/>
        </w:rPr>
        <w:t>Preverán también la posibilidad de que se produzca la cesión del contrato de conformidad con lo previsto en el artículo 214, así como de las participaciones en la</w:t>
      </w:r>
      <w:r>
        <w:rPr>
          <w:spacing w:val="80"/>
          <w:sz w:val="20"/>
        </w:rPr>
        <w:t xml:space="preserve"> </w:t>
      </w:r>
      <w:r>
        <w:rPr>
          <w:sz w:val="20"/>
        </w:rPr>
        <w:t>sociedad concesionaria cuando se constituyera una sociedad de propósito específico por los licitadores para la ejecución del contrato.</w:t>
      </w:r>
    </w:p>
    <w:p w:rsidR="0092635B" w:rsidRDefault="00000000">
      <w:pPr>
        <w:pStyle w:val="Textoindependiente"/>
        <w:spacing w:before="4" w:line="249" w:lineRule="auto"/>
        <w:ind w:right="1104"/>
      </w:pPr>
      <w:r>
        <w:t>Asimismo, establecerán criterios para la determinación de cuándo la cesión de las participaciones deberá considerarse por suponer un efectivo cambio de control y, en el caso de que estuviera justificado por las características del contrato, se establecerán también mecanismos de control para cesiones de participaciones en la sociedad concesionaria que no puedan equipararse a una cesión del contrato. En todo caso se considerará que se produce un efectivo cambio de control cuando se ceda el 51 por ciento de las</w:t>
      </w:r>
      <w:r>
        <w:rPr>
          <w:spacing w:val="80"/>
        </w:rPr>
        <w:t xml:space="preserve"> </w:t>
      </w:r>
      <w:r>
        <w:rPr>
          <w:spacing w:val="-2"/>
        </w:rPr>
        <w:t>participaciones.</w:t>
      </w:r>
    </w:p>
    <w:p w:rsidR="0092635B" w:rsidRDefault="00000000">
      <w:pPr>
        <w:pStyle w:val="Prrafodelista"/>
        <w:numPr>
          <w:ilvl w:val="1"/>
          <w:numId w:val="135"/>
        </w:numPr>
        <w:tabs>
          <w:tab w:val="left" w:pos="1738"/>
        </w:tabs>
        <w:spacing w:before="5" w:line="249" w:lineRule="auto"/>
        <w:ind w:right="1102" w:firstLine="340"/>
        <w:jc w:val="both"/>
        <w:rPr>
          <w:sz w:val="20"/>
        </w:rPr>
      </w:pPr>
      <w:r>
        <w:rPr>
          <w:sz w:val="20"/>
        </w:rPr>
        <w:t>Contenido de las proposiciones, que deberán hacer referencia, al menos, a los siguientes extremos:</w:t>
      </w:r>
    </w:p>
    <w:p w:rsidR="0092635B" w:rsidRDefault="00000000">
      <w:pPr>
        <w:pStyle w:val="Prrafodelista"/>
        <w:numPr>
          <w:ilvl w:val="2"/>
          <w:numId w:val="135"/>
        </w:numPr>
        <w:tabs>
          <w:tab w:val="left" w:pos="1610"/>
        </w:tabs>
        <w:spacing w:before="122" w:line="249" w:lineRule="auto"/>
        <w:ind w:right="1104" w:firstLine="340"/>
        <w:jc w:val="both"/>
        <w:rPr>
          <w:sz w:val="20"/>
        </w:rPr>
      </w:pPr>
      <w:r>
        <w:rPr>
          <w:sz w:val="20"/>
        </w:rPr>
        <w:t xml:space="preserve">º Relación de promotores de la futura sociedad concesionaria, en el supuesto de que estuviera prevista su constitución, y características de la misma tanto jurídicas como </w:t>
      </w:r>
      <w:r>
        <w:rPr>
          <w:spacing w:val="-2"/>
          <w:sz w:val="20"/>
        </w:rPr>
        <w:t>financieras.</w:t>
      </w:r>
    </w:p>
    <w:p w:rsidR="0092635B" w:rsidRDefault="00000000">
      <w:pPr>
        <w:pStyle w:val="Prrafodelista"/>
        <w:numPr>
          <w:ilvl w:val="2"/>
          <w:numId w:val="135"/>
        </w:numPr>
        <w:tabs>
          <w:tab w:val="left" w:pos="1610"/>
        </w:tabs>
        <w:spacing w:line="249" w:lineRule="auto"/>
        <w:ind w:firstLine="340"/>
        <w:jc w:val="both"/>
        <w:rPr>
          <w:sz w:val="20"/>
        </w:rPr>
      </w:pPr>
      <w:r>
        <w:rPr>
          <w:sz w:val="20"/>
        </w:rPr>
        <w:t>º Plan de realización de las obras con indicación de las fechas previstas para su inicio, terminación y apertura al uso al que se destinen.</w:t>
      </w:r>
    </w:p>
    <w:p w:rsidR="0092635B" w:rsidRDefault="00000000">
      <w:pPr>
        <w:pStyle w:val="Prrafodelista"/>
        <w:numPr>
          <w:ilvl w:val="2"/>
          <w:numId w:val="135"/>
        </w:numPr>
        <w:tabs>
          <w:tab w:val="left" w:pos="1610"/>
        </w:tabs>
        <w:spacing w:line="249" w:lineRule="auto"/>
        <w:ind w:right="1104" w:firstLine="340"/>
        <w:jc w:val="both"/>
        <w:rPr>
          <w:sz w:val="20"/>
        </w:rPr>
      </w:pPr>
      <w:r>
        <w:rPr>
          <w:sz w:val="20"/>
        </w:rPr>
        <w:t xml:space="preserve">º Plazo de duración de la concesión vinculado al sistema de financiación de la </w:t>
      </w:r>
      <w:r>
        <w:rPr>
          <w:spacing w:val="-2"/>
          <w:sz w:val="20"/>
        </w:rPr>
        <w:t>concesión.</w:t>
      </w:r>
    </w:p>
    <w:p w:rsidR="0092635B" w:rsidRDefault="00000000">
      <w:pPr>
        <w:pStyle w:val="Prrafodelista"/>
        <w:numPr>
          <w:ilvl w:val="2"/>
          <w:numId w:val="135"/>
        </w:numPr>
        <w:tabs>
          <w:tab w:val="left" w:pos="1610"/>
        </w:tabs>
        <w:spacing w:line="249" w:lineRule="auto"/>
        <w:ind w:firstLine="340"/>
        <w:jc w:val="both"/>
        <w:rPr>
          <w:sz w:val="20"/>
        </w:rPr>
      </w:pPr>
      <w:r>
        <w:rPr>
          <w:sz w:val="20"/>
        </w:rPr>
        <w:t>º Plan económico-financiero de la concesión que incluirá, entre los aspectos que le son propios, el sistema de tarifas, la inversión y los costes de explotación, la tasa interna de rentabilidad o retorno estimada, y las obligaciones de pago y gastos financieros, directos o indirectos, estimados. Deberá ser objeto de consideración específica la incidencia en las tarifas, así como en las previsiones de amortización, en el plazo concesional y en otras variables de la concesión previstas en el pliego, en su caso, de los rendimientos de la demanda de utilización de las obras y, cuando exista, de los beneficios derivados de la explotación de la zona comercial, cuando no alcancen o cuando superen los niveles mínimo</w:t>
      </w:r>
      <w:r>
        <w:rPr>
          <w:spacing w:val="40"/>
          <w:sz w:val="20"/>
        </w:rPr>
        <w:t xml:space="preserve"> </w:t>
      </w:r>
      <w:r>
        <w:rPr>
          <w:sz w:val="20"/>
        </w:rPr>
        <w:t>y máximo, respectivamente, que se consideren en la oferta. En cualquier caso, si los rendimientos de la zona comercial no superan el umbral mínimo fijado en el pliego de cláusulas administrativas, dichos rendimientos no podrán considerarse a los efectos de la revisión de los elementos señalados anteriormente.</w:t>
      </w:r>
    </w:p>
    <w:p w:rsidR="0092635B" w:rsidRDefault="00000000">
      <w:pPr>
        <w:pStyle w:val="Prrafodelista"/>
        <w:numPr>
          <w:ilvl w:val="2"/>
          <w:numId w:val="135"/>
        </w:numPr>
        <w:tabs>
          <w:tab w:val="left" w:pos="1610"/>
        </w:tabs>
        <w:spacing w:before="10" w:line="249" w:lineRule="auto"/>
        <w:ind w:right="1104" w:firstLine="340"/>
        <w:jc w:val="both"/>
        <w:rPr>
          <w:sz w:val="20"/>
        </w:rPr>
      </w:pPr>
      <w:r>
        <w:rPr>
          <w:sz w:val="20"/>
        </w:rPr>
        <w:t>º En los casos de financiación mixta de la obra, propuesta del porcentaje de financiación con cargo a recursos públicos, por debajo de los establecidos en el pliego de cláusulas administrativas particulares.</w:t>
      </w:r>
    </w:p>
    <w:p w:rsidR="0092635B" w:rsidRDefault="00000000">
      <w:pPr>
        <w:pStyle w:val="Prrafodelista"/>
        <w:numPr>
          <w:ilvl w:val="2"/>
          <w:numId w:val="135"/>
        </w:numPr>
        <w:tabs>
          <w:tab w:val="left" w:pos="1610"/>
        </w:tabs>
        <w:spacing w:line="249" w:lineRule="auto"/>
        <w:ind w:firstLine="340"/>
        <w:jc w:val="both"/>
        <w:rPr>
          <w:sz w:val="20"/>
        </w:rPr>
      </w:pPr>
      <w:r>
        <w:rPr>
          <w:sz w:val="20"/>
        </w:rPr>
        <w:t xml:space="preserve">º Compromiso de que la sociedad concesionaria adoptará el modelo de contabilidad que establezca el pliego, de conformidad con la normativa aplicable, incluido el que pudiera corresponder a la gestión de las zonas complementarias de explotación comercial, sin perjuicio de que los rendimientos de estas se integren a todos los efectos en los de la </w:t>
      </w:r>
      <w:r>
        <w:rPr>
          <w:spacing w:val="-2"/>
          <w:sz w:val="20"/>
        </w:rPr>
        <w:t>concesión.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2"/>
          <w:numId w:val="135"/>
        </w:numPr>
        <w:tabs>
          <w:tab w:val="left" w:pos="1610"/>
        </w:tabs>
        <w:spacing w:before="1" w:line="249" w:lineRule="auto"/>
        <w:ind w:firstLine="340"/>
        <w:jc w:val="both"/>
        <w:rPr>
          <w:sz w:val="20"/>
        </w:rPr>
      </w:pPr>
      <w:r>
        <w:rPr>
          <w:sz w:val="20"/>
        </w:rPr>
        <w:t xml:space="preserve">º En los términos y con el alcance que se fije en el pliego, los licitadores podrán introducir las mejoras que consideren convenientes, y que podrán referirse a características estructurales de la obra, a su régimen de explotación, a las medidas tendentes a evitar los daños al medio ambiente y los recursos naturales, o a mejoras sustanciales, pero no a su </w:t>
      </w:r>
      <w:r>
        <w:rPr>
          <w:spacing w:val="-2"/>
          <w:sz w:val="20"/>
        </w:rPr>
        <w:t>ubicación.</w:t>
      </w:r>
    </w:p>
    <w:p w:rsidR="0092635B" w:rsidRDefault="00000000">
      <w:pPr>
        <w:pStyle w:val="Prrafodelista"/>
        <w:numPr>
          <w:ilvl w:val="1"/>
          <w:numId w:val="135"/>
        </w:numPr>
        <w:tabs>
          <w:tab w:val="left" w:pos="1694"/>
        </w:tabs>
        <w:spacing w:before="124" w:line="249" w:lineRule="auto"/>
        <w:ind w:firstLine="340"/>
        <w:jc w:val="both"/>
        <w:rPr>
          <w:sz w:val="20"/>
        </w:rPr>
      </w:pPr>
      <w:r>
        <w:rPr>
          <w:sz w:val="20"/>
        </w:rPr>
        <w:t>Sistema de retribución del concesionario en el que se incluirán las opciones posibles sobre las que deberá versar la oferta, así como, en su caso, las fórmulas de actualización de costes durante la explotación de la obra, con referencia obligada a su repercusión en las correspondientes tarifas en función del objeto de la concesión.</w:t>
      </w:r>
    </w:p>
    <w:p w:rsidR="0092635B" w:rsidRDefault="00000000">
      <w:pPr>
        <w:pStyle w:val="Prrafodelista"/>
        <w:numPr>
          <w:ilvl w:val="1"/>
          <w:numId w:val="135"/>
        </w:numPr>
        <w:tabs>
          <w:tab w:val="left" w:pos="1641"/>
        </w:tabs>
        <w:spacing w:before="3" w:line="249" w:lineRule="auto"/>
        <w:ind w:right="1104" w:firstLine="340"/>
        <w:jc w:val="both"/>
        <w:rPr>
          <w:sz w:val="20"/>
        </w:rPr>
      </w:pPr>
      <w:r>
        <w:rPr>
          <w:sz w:val="20"/>
        </w:rPr>
        <w:t>El umbral mínimo de beneficios derivados de la explotación de la zona comercial por debajo del cual no podrá incidirse en los elementos económicos de la concesión, quedando el mismo a riesgo del concesionario.</w:t>
      </w:r>
    </w:p>
    <w:p w:rsidR="0092635B" w:rsidRDefault="00000000">
      <w:pPr>
        <w:pStyle w:val="Prrafodelista"/>
        <w:numPr>
          <w:ilvl w:val="1"/>
          <w:numId w:val="135"/>
        </w:numPr>
        <w:tabs>
          <w:tab w:val="left" w:pos="1679"/>
        </w:tabs>
        <w:ind w:left="1679" w:right="0" w:hanging="233"/>
        <w:jc w:val="both"/>
        <w:rPr>
          <w:sz w:val="20"/>
        </w:rPr>
      </w:pPr>
      <w:r>
        <w:rPr>
          <w:sz w:val="20"/>
        </w:rPr>
        <w:t>Cuantía</w:t>
      </w:r>
      <w:r>
        <w:rPr>
          <w:spacing w:val="-5"/>
          <w:sz w:val="20"/>
        </w:rPr>
        <w:t xml:space="preserve"> </w:t>
      </w:r>
      <w:r>
        <w:rPr>
          <w:sz w:val="20"/>
        </w:rPr>
        <w:t>y</w:t>
      </w:r>
      <w:r>
        <w:rPr>
          <w:spacing w:val="-2"/>
          <w:sz w:val="20"/>
        </w:rPr>
        <w:t xml:space="preserve"> </w:t>
      </w:r>
      <w:r>
        <w:rPr>
          <w:sz w:val="20"/>
        </w:rPr>
        <w:t>forma</w:t>
      </w:r>
      <w:r>
        <w:rPr>
          <w:spacing w:val="-2"/>
          <w:sz w:val="20"/>
        </w:rPr>
        <w:t xml:space="preserve"> </w:t>
      </w:r>
      <w:r>
        <w:rPr>
          <w:sz w:val="20"/>
        </w:rPr>
        <w:t>de</w:t>
      </w:r>
      <w:r>
        <w:rPr>
          <w:spacing w:val="-2"/>
          <w:sz w:val="20"/>
        </w:rPr>
        <w:t xml:space="preserve"> </w:t>
      </w:r>
      <w:r>
        <w:rPr>
          <w:sz w:val="20"/>
        </w:rPr>
        <w:t>las</w:t>
      </w:r>
      <w:r>
        <w:rPr>
          <w:spacing w:val="-2"/>
          <w:sz w:val="20"/>
        </w:rPr>
        <w:t xml:space="preserve"> garantías.</w:t>
      </w:r>
    </w:p>
    <w:p w:rsidR="0092635B" w:rsidRDefault="00000000">
      <w:pPr>
        <w:pStyle w:val="Prrafodelista"/>
        <w:numPr>
          <w:ilvl w:val="1"/>
          <w:numId w:val="135"/>
        </w:numPr>
        <w:tabs>
          <w:tab w:val="left" w:pos="1679"/>
        </w:tabs>
        <w:spacing w:before="11"/>
        <w:ind w:left="1679" w:right="0" w:hanging="233"/>
        <w:jc w:val="both"/>
        <w:rPr>
          <w:sz w:val="20"/>
        </w:rPr>
      </w:pPr>
      <w:r>
        <w:rPr>
          <w:sz w:val="20"/>
        </w:rPr>
        <w:t>Características</w:t>
      </w:r>
      <w:r>
        <w:rPr>
          <w:spacing w:val="-2"/>
          <w:sz w:val="20"/>
        </w:rPr>
        <w:t xml:space="preserve"> </w:t>
      </w:r>
      <w:r>
        <w:rPr>
          <w:sz w:val="20"/>
        </w:rPr>
        <w:t>especiales,</w:t>
      </w:r>
      <w:r>
        <w:rPr>
          <w:spacing w:val="-1"/>
          <w:sz w:val="20"/>
        </w:rPr>
        <w:t xml:space="preserve"> </w:t>
      </w:r>
      <w:r>
        <w:rPr>
          <w:sz w:val="20"/>
        </w:rPr>
        <w:t>en</w:t>
      </w:r>
      <w:r>
        <w:rPr>
          <w:spacing w:val="-2"/>
          <w:sz w:val="20"/>
        </w:rPr>
        <w:t xml:space="preserve"> </w:t>
      </w:r>
      <w:r>
        <w:rPr>
          <w:sz w:val="20"/>
        </w:rPr>
        <w:t>su</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sociedad</w:t>
      </w:r>
      <w:r>
        <w:rPr>
          <w:spacing w:val="-1"/>
          <w:sz w:val="20"/>
        </w:rPr>
        <w:t xml:space="preserve"> </w:t>
      </w:r>
      <w:r>
        <w:rPr>
          <w:spacing w:val="-2"/>
          <w:sz w:val="20"/>
        </w:rPr>
        <w:t>concesionaria.</w:t>
      </w:r>
    </w:p>
    <w:p w:rsidR="0092635B" w:rsidRDefault="00000000">
      <w:pPr>
        <w:pStyle w:val="Prrafodelista"/>
        <w:numPr>
          <w:ilvl w:val="1"/>
          <w:numId w:val="135"/>
        </w:numPr>
        <w:tabs>
          <w:tab w:val="left" w:pos="1645"/>
        </w:tabs>
        <w:spacing w:before="10" w:line="249" w:lineRule="auto"/>
        <w:ind w:firstLine="340"/>
        <w:jc w:val="both"/>
        <w:rPr>
          <w:sz w:val="20"/>
        </w:rPr>
      </w:pPr>
      <w:r>
        <w:rPr>
          <w:sz w:val="20"/>
        </w:rPr>
        <w:t>Plazo, en su caso, para la elaboración del proyecto, plazo para la ejecución de las obras y plazo de explotación de las mismas, que podrá ser fijo o variable en función de los criterios establecidos en el pliego.</w:t>
      </w:r>
    </w:p>
    <w:p w:rsidR="0092635B" w:rsidRDefault="00000000">
      <w:pPr>
        <w:pStyle w:val="Prrafodelista"/>
        <w:numPr>
          <w:ilvl w:val="1"/>
          <w:numId w:val="135"/>
        </w:numPr>
        <w:tabs>
          <w:tab w:val="left" w:pos="1625"/>
        </w:tabs>
        <w:spacing w:line="249" w:lineRule="auto"/>
        <w:ind w:right="1105" w:firstLine="340"/>
        <w:jc w:val="both"/>
        <w:rPr>
          <w:sz w:val="20"/>
        </w:rPr>
      </w:pPr>
      <w:r>
        <w:rPr>
          <w:sz w:val="20"/>
        </w:rPr>
        <w:t>Derechos y obligaciones específicas de las partes durante la fase de ejecución de las obras y durante su explotación.</w:t>
      </w:r>
    </w:p>
    <w:p w:rsidR="0092635B" w:rsidRDefault="00000000">
      <w:pPr>
        <w:pStyle w:val="Prrafodelista"/>
        <w:numPr>
          <w:ilvl w:val="1"/>
          <w:numId w:val="135"/>
        </w:numPr>
        <w:tabs>
          <w:tab w:val="left" w:pos="1761"/>
        </w:tabs>
        <w:spacing w:line="249" w:lineRule="auto"/>
        <w:ind w:right="1105" w:firstLine="340"/>
        <w:jc w:val="both"/>
        <w:rPr>
          <w:sz w:val="20"/>
        </w:rPr>
      </w:pPr>
      <w:r>
        <w:rPr>
          <w:sz w:val="20"/>
        </w:rPr>
        <w:t>Régimen de penalidades y supuestos que puedan dar lugar al secuestro o intervención de la concesión.</w:t>
      </w:r>
    </w:p>
    <w:p w:rsidR="0092635B" w:rsidRDefault="00000000">
      <w:pPr>
        <w:pStyle w:val="Prrafodelista"/>
        <w:numPr>
          <w:ilvl w:val="1"/>
          <w:numId w:val="135"/>
        </w:numPr>
        <w:tabs>
          <w:tab w:val="left" w:pos="1612"/>
        </w:tabs>
        <w:spacing w:before="1"/>
        <w:ind w:left="1612" w:right="0" w:hanging="166"/>
        <w:jc w:val="both"/>
        <w:rPr>
          <w:sz w:val="20"/>
        </w:rPr>
      </w:pPr>
      <w:r>
        <w:rPr>
          <w:sz w:val="20"/>
        </w:rPr>
        <w:t>Lugar,</w:t>
      </w:r>
      <w:r>
        <w:rPr>
          <w:spacing w:val="-5"/>
          <w:sz w:val="20"/>
        </w:rPr>
        <w:t xml:space="preserve"> </w:t>
      </w:r>
      <w:r>
        <w:rPr>
          <w:sz w:val="20"/>
        </w:rPr>
        <w:t>fecha</w:t>
      </w:r>
      <w:r>
        <w:rPr>
          <w:spacing w:val="-4"/>
          <w:sz w:val="20"/>
        </w:rPr>
        <w:t xml:space="preserve"> </w:t>
      </w:r>
      <w:r>
        <w:rPr>
          <w:sz w:val="20"/>
        </w:rPr>
        <w:t>y</w:t>
      </w:r>
      <w:r>
        <w:rPr>
          <w:spacing w:val="-5"/>
          <w:sz w:val="20"/>
        </w:rPr>
        <w:t xml:space="preserve"> </w:t>
      </w:r>
      <w:r>
        <w:rPr>
          <w:sz w:val="20"/>
        </w:rPr>
        <w:t>plazo</w:t>
      </w:r>
      <w:r>
        <w:rPr>
          <w:spacing w:val="-4"/>
          <w:sz w:val="20"/>
        </w:rPr>
        <w:t xml:space="preserve"> </w:t>
      </w:r>
      <w:r>
        <w:rPr>
          <w:sz w:val="20"/>
        </w:rPr>
        <w:t>para</w:t>
      </w:r>
      <w:r>
        <w:rPr>
          <w:spacing w:val="-4"/>
          <w:sz w:val="20"/>
        </w:rPr>
        <w:t xml:space="preserve"> </w:t>
      </w:r>
      <w:r>
        <w:rPr>
          <w:sz w:val="20"/>
        </w:rPr>
        <w:t>la</w:t>
      </w:r>
      <w:r>
        <w:rPr>
          <w:spacing w:val="-5"/>
          <w:sz w:val="20"/>
        </w:rPr>
        <w:t xml:space="preserve"> </w:t>
      </w:r>
      <w:r>
        <w:rPr>
          <w:sz w:val="20"/>
        </w:rPr>
        <w:t>presentación</w:t>
      </w:r>
      <w:r>
        <w:rPr>
          <w:spacing w:val="-4"/>
          <w:sz w:val="20"/>
        </w:rPr>
        <w:t xml:space="preserve"> </w:t>
      </w:r>
      <w:r>
        <w:rPr>
          <w:sz w:val="20"/>
        </w:rPr>
        <w:t>de</w:t>
      </w:r>
      <w:r>
        <w:rPr>
          <w:spacing w:val="-4"/>
          <w:sz w:val="20"/>
        </w:rPr>
        <w:t xml:space="preserve"> </w:t>
      </w:r>
      <w:r>
        <w:rPr>
          <w:spacing w:val="-2"/>
          <w:sz w:val="20"/>
        </w:rPr>
        <w:t>ofertas.</w:t>
      </w:r>
    </w:p>
    <w:p w:rsidR="0092635B" w:rsidRDefault="00000000">
      <w:pPr>
        <w:pStyle w:val="Prrafodelista"/>
        <w:numPr>
          <w:ilvl w:val="1"/>
          <w:numId w:val="135"/>
        </w:numPr>
        <w:tabs>
          <w:tab w:val="left" w:pos="1760"/>
        </w:tabs>
        <w:spacing w:before="10" w:line="249" w:lineRule="auto"/>
        <w:ind w:right="1104" w:firstLine="340"/>
        <w:jc w:val="both"/>
        <w:rPr>
          <w:sz w:val="20"/>
        </w:rPr>
      </w:pPr>
      <w:r>
        <w:rPr>
          <w:sz w:val="20"/>
        </w:rPr>
        <w:t>Distribución entre la Administración y el concesionario de los riesgos relevantes en función de las características del contrato, si bien en todo caso el riesgo operacional le corresponderá al contratista.</w:t>
      </w:r>
    </w:p>
    <w:p w:rsidR="0092635B" w:rsidRDefault="00000000">
      <w:pPr>
        <w:pStyle w:val="Prrafodelista"/>
        <w:numPr>
          <w:ilvl w:val="0"/>
          <w:numId w:val="135"/>
        </w:numPr>
        <w:tabs>
          <w:tab w:val="left" w:pos="1679"/>
        </w:tabs>
        <w:spacing w:before="123" w:line="249" w:lineRule="auto"/>
        <w:ind w:right="1104" w:firstLine="340"/>
        <w:jc w:val="both"/>
        <w:rPr>
          <w:sz w:val="20"/>
        </w:rPr>
      </w:pPr>
      <w:r>
        <w:rPr>
          <w:sz w:val="20"/>
        </w:rPr>
        <w:t>Sin perjuicio del derecho de información a que se refiere el artículo 138, el órgano de contratación podrá incluir en el pliego, en función de la naturaleza y complejidad de este, un plazo para que los licitadores puedan solicitar las aclaraciones que estimen pertinentes</w:t>
      </w:r>
      <w:r>
        <w:rPr>
          <w:spacing w:val="80"/>
          <w:sz w:val="20"/>
        </w:rPr>
        <w:t xml:space="preserve"> </w:t>
      </w:r>
      <w:r>
        <w:rPr>
          <w:sz w:val="20"/>
        </w:rPr>
        <w:t>sobre su contenido. Este plazo, como mínimo, deberá respetar lo establecido en el apartado 3</w:t>
      </w:r>
      <w:r>
        <w:rPr>
          <w:spacing w:val="-1"/>
          <w:sz w:val="20"/>
        </w:rPr>
        <w:t xml:space="preserve"> </w:t>
      </w:r>
      <w:r>
        <w:rPr>
          <w:sz w:val="20"/>
        </w:rPr>
        <w:t>del</w:t>
      </w:r>
      <w:r>
        <w:rPr>
          <w:spacing w:val="-1"/>
          <w:sz w:val="20"/>
        </w:rPr>
        <w:t xml:space="preserve"> </w:t>
      </w:r>
      <w:r>
        <w:rPr>
          <w:sz w:val="20"/>
        </w:rPr>
        <w:t>artículo</w:t>
      </w:r>
      <w:r>
        <w:rPr>
          <w:spacing w:val="-1"/>
          <w:sz w:val="20"/>
        </w:rPr>
        <w:t xml:space="preserve"> </w:t>
      </w:r>
      <w:r>
        <w:rPr>
          <w:sz w:val="20"/>
        </w:rPr>
        <w:t>138.</w:t>
      </w:r>
      <w:r>
        <w:rPr>
          <w:spacing w:val="-1"/>
          <w:sz w:val="20"/>
        </w:rPr>
        <w:t xml:space="preserve"> </w:t>
      </w:r>
      <w:r>
        <w:rPr>
          <w:sz w:val="20"/>
        </w:rPr>
        <w:t>Las</w:t>
      </w:r>
      <w:r>
        <w:rPr>
          <w:spacing w:val="-1"/>
          <w:sz w:val="20"/>
        </w:rPr>
        <w:t xml:space="preserve"> </w:t>
      </w:r>
      <w:r>
        <w:rPr>
          <w:sz w:val="20"/>
        </w:rPr>
        <w:t>respuestas</w:t>
      </w:r>
      <w:r>
        <w:rPr>
          <w:spacing w:val="-1"/>
          <w:sz w:val="20"/>
        </w:rPr>
        <w:t xml:space="preserve"> </w:t>
      </w:r>
      <w:r>
        <w:rPr>
          <w:sz w:val="20"/>
        </w:rPr>
        <w:t>tendrán</w:t>
      </w:r>
      <w:r>
        <w:rPr>
          <w:spacing w:val="-1"/>
          <w:sz w:val="20"/>
        </w:rPr>
        <w:t xml:space="preserve"> </w:t>
      </w:r>
      <w:r>
        <w:rPr>
          <w:sz w:val="20"/>
        </w:rPr>
        <w:t>carácter</w:t>
      </w:r>
      <w:r>
        <w:rPr>
          <w:spacing w:val="-1"/>
          <w:sz w:val="20"/>
        </w:rPr>
        <w:t xml:space="preserve"> </w:t>
      </w:r>
      <w:r>
        <w:rPr>
          <w:sz w:val="20"/>
        </w:rPr>
        <w:t>vinculante</w:t>
      </w:r>
      <w:r>
        <w:rPr>
          <w:spacing w:val="-1"/>
          <w:sz w:val="20"/>
        </w:rPr>
        <w:t xml:space="preserve"> </w:t>
      </w:r>
      <w:r>
        <w:rPr>
          <w:sz w:val="20"/>
        </w:rPr>
        <w:t>y</w:t>
      </w:r>
      <w:r>
        <w:rPr>
          <w:spacing w:val="-1"/>
          <w:sz w:val="20"/>
        </w:rPr>
        <w:t xml:space="preserve"> </w:t>
      </w:r>
      <w:r>
        <w:rPr>
          <w:sz w:val="20"/>
        </w:rPr>
        <w:t>deberán</w:t>
      </w:r>
      <w:r>
        <w:rPr>
          <w:spacing w:val="-1"/>
          <w:sz w:val="20"/>
        </w:rPr>
        <w:t xml:space="preserve"> </w:t>
      </w:r>
      <w:r>
        <w:rPr>
          <w:sz w:val="20"/>
        </w:rPr>
        <w:t>hacerse</w:t>
      </w:r>
      <w:r>
        <w:rPr>
          <w:spacing w:val="-1"/>
          <w:sz w:val="20"/>
        </w:rPr>
        <w:t xml:space="preserve"> </w:t>
      </w:r>
      <w:r>
        <w:rPr>
          <w:sz w:val="20"/>
        </w:rPr>
        <w:t>públicas</w:t>
      </w:r>
      <w:r>
        <w:rPr>
          <w:spacing w:val="-1"/>
          <w:sz w:val="20"/>
        </w:rPr>
        <w:t xml:space="preserve"> </w:t>
      </w:r>
      <w:r>
        <w:rPr>
          <w:sz w:val="20"/>
        </w:rPr>
        <w:t>en términos que garanticen la igualdad y concurrencia en el proceso de licitación.</w:t>
      </w:r>
    </w:p>
    <w:p w:rsidR="0092635B" w:rsidRDefault="0092635B">
      <w:pPr>
        <w:pStyle w:val="Textoindependiente"/>
        <w:spacing w:before="1"/>
        <w:ind w:left="0" w:firstLine="0"/>
        <w:jc w:val="left"/>
      </w:pPr>
    </w:p>
    <w:p w:rsidR="0092635B" w:rsidRDefault="00000000">
      <w:pPr>
        <w:pStyle w:val="Ttulo3"/>
      </w:pPr>
      <w:bookmarkStart w:id="399" w:name="Sección_2.ª_Efectos,_cumplimiento_y_exti"/>
      <w:bookmarkStart w:id="400" w:name="_bookmark76"/>
      <w:bookmarkEnd w:id="399"/>
      <w:bookmarkEnd w:id="400"/>
      <w:r>
        <w:t>Sección</w:t>
      </w:r>
      <w:r>
        <w:rPr>
          <w:spacing w:val="-1"/>
        </w:rPr>
        <w:t xml:space="preserve"> </w:t>
      </w:r>
      <w:r>
        <w:t>2.ª</w:t>
      </w:r>
      <w:r>
        <w:rPr>
          <w:spacing w:val="-1"/>
        </w:rPr>
        <w:t xml:space="preserve"> </w:t>
      </w:r>
      <w:r>
        <w:t>Efectos, cumplimiento</w:t>
      </w:r>
      <w:r>
        <w:rPr>
          <w:spacing w:val="-1"/>
        </w:rPr>
        <w:t xml:space="preserve"> </w:t>
      </w:r>
      <w:r>
        <w:t>y</w:t>
      </w:r>
      <w:r>
        <w:rPr>
          <w:spacing w:val="-1"/>
        </w:rPr>
        <w:t xml:space="preserve"> </w:t>
      </w:r>
      <w:r>
        <w:t>extinción de</w:t>
      </w:r>
      <w:r>
        <w:rPr>
          <w:spacing w:val="-1"/>
        </w:rPr>
        <w:t xml:space="preserve"> </w:t>
      </w:r>
      <w:r>
        <w:t xml:space="preserve">las </w:t>
      </w:r>
      <w:r>
        <w:rPr>
          <w:spacing w:val="-2"/>
        </w:rPr>
        <w:t>concesiones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01" w:name="Artículo_251._Efectos,_cumplimiento_y_ex"/>
      <w:bookmarkEnd w:id="401"/>
      <w:r>
        <w:rPr>
          <w:rFonts w:ascii="Arial" w:hAnsi="Arial"/>
          <w:b/>
          <w:sz w:val="20"/>
        </w:rPr>
        <w:t>Artículo</w:t>
      </w:r>
      <w:r>
        <w:rPr>
          <w:rFonts w:ascii="Arial" w:hAnsi="Arial"/>
          <w:b/>
          <w:spacing w:val="-2"/>
          <w:sz w:val="20"/>
        </w:rPr>
        <w:t xml:space="preserve"> </w:t>
      </w:r>
      <w:r>
        <w:rPr>
          <w:rFonts w:ascii="Arial" w:hAnsi="Arial"/>
          <w:b/>
          <w:sz w:val="20"/>
        </w:rPr>
        <w:t>251.</w:t>
      </w:r>
      <w:r>
        <w:rPr>
          <w:rFonts w:ascii="Arial" w:hAnsi="Arial"/>
          <w:b/>
          <w:spacing w:val="50"/>
          <w:sz w:val="20"/>
        </w:rPr>
        <w:t xml:space="preserve"> </w:t>
      </w:r>
      <w:r>
        <w:rPr>
          <w:rFonts w:ascii="Arial" w:hAnsi="Arial"/>
          <w:i/>
          <w:sz w:val="20"/>
        </w:rPr>
        <w:t>Efectos,</w:t>
      </w:r>
      <w:r>
        <w:rPr>
          <w:rFonts w:ascii="Arial" w:hAnsi="Arial"/>
          <w:i/>
          <w:spacing w:val="-2"/>
          <w:sz w:val="20"/>
        </w:rPr>
        <w:t xml:space="preserve"> </w:t>
      </w:r>
      <w:r>
        <w:rPr>
          <w:rFonts w:ascii="Arial" w:hAnsi="Arial"/>
          <w:i/>
          <w:sz w:val="20"/>
        </w:rPr>
        <w:t>cumplimiento</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extinción.</w:t>
      </w:r>
    </w:p>
    <w:p w:rsidR="0092635B" w:rsidRDefault="00000000">
      <w:pPr>
        <w:pStyle w:val="Textoindependiente"/>
        <w:spacing w:before="124" w:line="249" w:lineRule="auto"/>
        <w:ind w:right="1103"/>
      </w:pPr>
      <w:r>
        <w:t>Los efectos, cumplimiento y extinción de los contratos de concesión de obras se regularán por la presente Ley, excluidos los artículos 208 y 210. Tampoco resultarán de aplicación, salvo en la fase de construcción, el apartado 2 del artículo 192, el artículo 193 y</w:t>
      </w:r>
      <w:r>
        <w:rPr>
          <w:spacing w:val="80"/>
        </w:rPr>
        <w:t xml:space="preserve"> </w:t>
      </w:r>
      <w:r>
        <w:t>el artículo 195.</w:t>
      </w:r>
    </w:p>
    <w:p w:rsidR="0092635B" w:rsidRDefault="0092635B">
      <w:pPr>
        <w:pStyle w:val="Textoindependiente"/>
        <w:spacing w:before="0"/>
        <w:ind w:left="0" w:firstLine="0"/>
        <w:jc w:val="left"/>
      </w:pPr>
    </w:p>
    <w:p w:rsidR="0092635B" w:rsidRDefault="00000000">
      <w:pPr>
        <w:pStyle w:val="Ttulo3"/>
        <w:ind w:left="1"/>
      </w:pPr>
      <w:bookmarkStart w:id="402" w:name="Sección_3.ª_Construcción_de_las_obras_ob"/>
      <w:bookmarkStart w:id="403" w:name="_bookmark77"/>
      <w:bookmarkEnd w:id="402"/>
      <w:bookmarkEnd w:id="403"/>
      <w:r>
        <w:t>Sección</w:t>
      </w:r>
      <w:r>
        <w:rPr>
          <w:spacing w:val="-2"/>
        </w:rPr>
        <w:t xml:space="preserve"> </w:t>
      </w:r>
      <w:r>
        <w:t>3.ª</w:t>
      </w:r>
      <w:r>
        <w:rPr>
          <w:spacing w:val="-1"/>
        </w:rPr>
        <w:t xml:space="preserve"> </w:t>
      </w:r>
      <w:r>
        <w:t>Construcción</w:t>
      </w:r>
      <w:r>
        <w:rPr>
          <w:spacing w:val="-1"/>
        </w:rPr>
        <w:t xml:space="preserve"> </w:t>
      </w:r>
      <w:r>
        <w:t>de</w:t>
      </w:r>
      <w:r>
        <w:rPr>
          <w:spacing w:val="-1"/>
        </w:rPr>
        <w:t xml:space="preserve"> </w:t>
      </w:r>
      <w:r>
        <w:t>las</w:t>
      </w:r>
      <w:r>
        <w:rPr>
          <w:spacing w:val="-2"/>
        </w:rPr>
        <w:t xml:space="preserve"> </w:t>
      </w:r>
      <w:r>
        <w:t>obras</w:t>
      </w:r>
      <w:r>
        <w:rPr>
          <w:spacing w:val="-1"/>
        </w:rPr>
        <w:t xml:space="preserve"> </w:t>
      </w:r>
      <w:r>
        <w:t>objeto</w:t>
      </w:r>
      <w:r>
        <w:rPr>
          <w:spacing w:val="-1"/>
        </w:rPr>
        <w:t xml:space="preserve"> </w:t>
      </w:r>
      <w:r>
        <w:t>de</w:t>
      </w:r>
      <w:r>
        <w:rPr>
          <w:spacing w:val="-1"/>
        </w:rPr>
        <w:t xml:space="preserve"> </w:t>
      </w:r>
      <w:r>
        <w:rPr>
          <w:spacing w:val="-2"/>
        </w:rPr>
        <w:t>concesión</w:t>
      </w:r>
    </w:p>
    <w:p w:rsidR="0092635B" w:rsidRDefault="0092635B">
      <w:pPr>
        <w:pStyle w:val="Textoindependiente"/>
        <w:spacing w:before="6"/>
        <w:ind w:left="0" w:firstLine="0"/>
        <w:jc w:val="left"/>
        <w:rPr>
          <w:rFonts w:ascii="Arial"/>
          <w:b/>
          <w:i/>
        </w:rPr>
      </w:pPr>
    </w:p>
    <w:p w:rsidR="0092635B" w:rsidRDefault="00000000">
      <w:pPr>
        <w:spacing w:before="1"/>
        <w:ind w:left="1106"/>
        <w:rPr>
          <w:rFonts w:ascii="Arial" w:hAnsi="Arial"/>
          <w:i/>
          <w:sz w:val="20"/>
        </w:rPr>
      </w:pPr>
      <w:bookmarkStart w:id="404" w:name="Artículo_252._Modalidades_de_ejecución_d"/>
      <w:bookmarkEnd w:id="404"/>
      <w:r>
        <w:rPr>
          <w:rFonts w:ascii="Arial" w:hAnsi="Arial"/>
          <w:b/>
          <w:sz w:val="20"/>
        </w:rPr>
        <w:t>Artículo</w:t>
      </w:r>
      <w:r>
        <w:rPr>
          <w:rFonts w:ascii="Arial" w:hAnsi="Arial"/>
          <w:b/>
          <w:spacing w:val="-2"/>
          <w:sz w:val="20"/>
        </w:rPr>
        <w:t xml:space="preserve"> </w:t>
      </w:r>
      <w:r>
        <w:rPr>
          <w:rFonts w:ascii="Arial" w:hAnsi="Arial"/>
          <w:b/>
          <w:sz w:val="20"/>
        </w:rPr>
        <w:t>252.</w:t>
      </w:r>
      <w:r>
        <w:rPr>
          <w:rFonts w:ascii="Arial" w:hAnsi="Arial"/>
          <w:b/>
          <w:spacing w:val="52"/>
          <w:sz w:val="20"/>
        </w:rPr>
        <w:t xml:space="preserve"> </w:t>
      </w:r>
      <w:r>
        <w:rPr>
          <w:rFonts w:ascii="Arial" w:hAnsi="Arial"/>
          <w:i/>
          <w:sz w:val="20"/>
        </w:rPr>
        <w:t>Modalidades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ejecución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las</w:t>
      </w:r>
      <w:r>
        <w:rPr>
          <w:rFonts w:ascii="Arial" w:hAnsi="Arial"/>
          <w:i/>
          <w:spacing w:val="-1"/>
          <w:sz w:val="20"/>
        </w:rPr>
        <w:t xml:space="preserve"> </w:t>
      </w:r>
      <w:r>
        <w:rPr>
          <w:rFonts w:ascii="Arial" w:hAnsi="Arial"/>
          <w:i/>
          <w:spacing w:val="-2"/>
          <w:sz w:val="20"/>
        </w:rPr>
        <w:t>obras.</w:t>
      </w:r>
    </w:p>
    <w:p w:rsidR="0092635B" w:rsidRDefault="00000000">
      <w:pPr>
        <w:pStyle w:val="Prrafodelista"/>
        <w:numPr>
          <w:ilvl w:val="0"/>
          <w:numId w:val="134"/>
        </w:numPr>
        <w:tabs>
          <w:tab w:val="left" w:pos="1679"/>
        </w:tabs>
        <w:spacing w:before="123" w:line="249" w:lineRule="auto"/>
        <w:ind w:right="1104" w:firstLine="340"/>
        <w:jc w:val="both"/>
        <w:rPr>
          <w:sz w:val="20"/>
        </w:rPr>
      </w:pPr>
      <w:r>
        <w:rPr>
          <w:sz w:val="20"/>
        </w:rPr>
        <w:t>Las obras se realizarán conforme al proyecto aprobado por el órgano de contratación</w:t>
      </w:r>
      <w:r>
        <w:rPr>
          <w:spacing w:val="40"/>
          <w:sz w:val="20"/>
        </w:rPr>
        <w:t xml:space="preserve"> </w:t>
      </w:r>
      <w:r>
        <w:rPr>
          <w:sz w:val="20"/>
        </w:rPr>
        <w:t>y en los plazos establecidos en el pliego de cláusulas administrativas particulares, pudiendo ser ejecutadas con ayuda de la Administración. La ejecución de la obra que corresponda al concesionario podrá ser contratada en todo o en parte con terceros, de acuerdo con lo dispuesto en esta Ley y en el pliego de cláusulas administrativas particulares.</w:t>
      </w:r>
    </w:p>
    <w:p w:rsidR="0092635B" w:rsidRDefault="00000000">
      <w:pPr>
        <w:pStyle w:val="Prrafodelista"/>
        <w:numPr>
          <w:ilvl w:val="0"/>
          <w:numId w:val="134"/>
        </w:numPr>
        <w:tabs>
          <w:tab w:val="left" w:pos="1693"/>
        </w:tabs>
        <w:spacing w:before="4" w:line="249" w:lineRule="auto"/>
        <w:ind w:firstLine="340"/>
        <w:jc w:val="both"/>
        <w:rPr>
          <w:sz w:val="20"/>
        </w:rPr>
      </w:pPr>
      <w:r>
        <w:rPr>
          <w:sz w:val="20"/>
        </w:rPr>
        <w:t xml:space="preserve">La ayuda de la Administración en la construcción de las obras podrá consistir en la ejecución por su cuenta de parte de la misma o en su financiación parcial. En el primer supuesto la parte de obra que ejecute deberá presentar características propias que permitan su tratamiento diferenciado, y deberá ser objeto a su terminación de la correspondiente recepción formal. Si no dispusiera otra cosa el pliego de cláusulas administrativas particulares, el importe de la obra se abonará de acuerdo con lo establecido en el artículo </w:t>
      </w:r>
      <w:r>
        <w:rPr>
          <w:spacing w:val="-4"/>
          <w:sz w:val="20"/>
        </w:rPr>
        <w:t>240.</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pPr>
      <w:r>
        <w:t>En el segundo supuesto, el importe de la financiación que se otorgue podrá abonarse en los</w:t>
      </w:r>
      <w:r>
        <w:rPr>
          <w:spacing w:val="-1"/>
        </w:rPr>
        <w:t xml:space="preserve"> </w:t>
      </w:r>
      <w:r>
        <w:t>términos</w:t>
      </w:r>
      <w:r>
        <w:rPr>
          <w:spacing w:val="-1"/>
        </w:rPr>
        <w:t xml:space="preserve"> </w:t>
      </w:r>
      <w:r>
        <w:t>pactados,</w:t>
      </w:r>
      <w:r>
        <w:rPr>
          <w:spacing w:val="-1"/>
        </w:rPr>
        <w:t xml:space="preserve"> </w:t>
      </w:r>
      <w:r>
        <w:t>durante</w:t>
      </w:r>
      <w:r>
        <w:rPr>
          <w:spacing w:val="-1"/>
        </w:rPr>
        <w:t xml:space="preserve"> </w:t>
      </w:r>
      <w:r>
        <w:t>la</w:t>
      </w:r>
      <w:r>
        <w:rPr>
          <w:spacing w:val="-1"/>
        </w:rPr>
        <w:t xml:space="preserve"> </w:t>
      </w:r>
      <w:r>
        <w:t>ejecución</w:t>
      </w:r>
      <w:r>
        <w:rPr>
          <w:spacing w:val="-1"/>
        </w:rPr>
        <w:t xml:space="preserve"> </w:t>
      </w:r>
      <w:r>
        <w:t>de</w:t>
      </w:r>
      <w:r>
        <w:rPr>
          <w:spacing w:val="-1"/>
        </w:rPr>
        <w:t xml:space="preserve"> </w:t>
      </w:r>
      <w:r>
        <w:t>las</w:t>
      </w:r>
      <w:r>
        <w:rPr>
          <w:spacing w:val="-1"/>
        </w:rPr>
        <w:t xml:space="preserve"> </w:t>
      </w:r>
      <w:r>
        <w:t>obras,</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establecido</w:t>
      </w:r>
      <w:r>
        <w:rPr>
          <w:spacing w:val="-1"/>
        </w:rPr>
        <w:t xml:space="preserve"> </w:t>
      </w:r>
      <w:r>
        <w:t>en</w:t>
      </w:r>
      <w:r>
        <w:rPr>
          <w:spacing w:val="-1"/>
        </w:rPr>
        <w:t xml:space="preserve"> </w:t>
      </w:r>
      <w:r>
        <w:t>el artículo 240, o bien una vez que aquellas hayan concluido, en la forma en que se especifica en el artículo 266.</w:t>
      </w:r>
    </w:p>
    <w:p w:rsidR="0092635B" w:rsidRDefault="00000000">
      <w:pPr>
        <w:pStyle w:val="Prrafodelista"/>
        <w:numPr>
          <w:ilvl w:val="0"/>
          <w:numId w:val="134"/>
        </w:numPr>
        <w:tabs>
          <w:tab w:val="left" w:pos="1682"/>
        </w:tabs>
        <w:spacing w:before="3" w:line="249" w:lineRule="auto"/>
        <w:ind w:right="1106" w:firstLine="340"/>
        <w:jc w:val="both"/>
        <w:rPr>
          <w:sz w:val="20"/>
        </w:rPr>
      </w:pPr>
      <w:r>
        <w:rPr>
          <w:sz w:val="20"/>
        </w:rPr>
        <w:t>El sistema de ayudas públicas deberá respetar en todo caso la transferencia efectiva del riesgo operacional.</w:t>
      </w:r>
    </w:p>
    <w:p w:rsidR="0092635B" w:rsidRDefault="00000000">
      <w:pPr>
        <w:spacing w:before="228"/>
        <w:ind w:left="1106"/>
        <w:rPr>
          <w:rFonts w:ascii="Arial" w:hAnsi="Arial"/>
          <w:i/>
          <w:sz w:val="20"/>
        </w:rPr>
      </w:pPr>
      <w:bookmarkStart w:id="405" w:name="Artículo_253._Responsabilidad_en_la_ejec"/>
      <w:bookmarkEnd w:id="405"/>
      <w:r>
        <w:rPr>
          <w:rFonts w:ascii="Arial" w:hAnsi="Arial"/>
          <w:b/>
          <w:sz w:val="20"/>
        </w:rPr>
        <w:t>Artículo</w:t>
      </w:r>
      <w:r>
        <w:rPr>
          <w:rFonts w:ascii="Arial" w:hAnsi="Arial"/>
          <w:b/>
          <w:spacing w:val="-3"/>
          <w:sz w:val="20"/>
        </w:rPr>
        <w:t xml:space="preserve"> </w:t>
      </w:r>
      <w:r>
        <w:rPr>
          <w:rFonts w:ascii="Arial" w:hAnsi="Arial"/>
          <w:b/>
          <w:sz w:val="20"/>
        </w:rPr>
        <w:t>253.</w:t>
      </w:r>
      <w:r>
        <w:rPr>
          <w:rFonts w:ascii="Arial" w:hAnsi="Arial"/>
          <w:b/>
          <w:spacing w:val="50"/>
          <w:sz w:val="20"/>
        </w:rPr>
        <w:t xml:space="preserve"> </w:t>
      </w:r>
      <w:r>
        <w:rPr>
          <w:rFonts w:ascii="Arial" w:hAnsi="Arial"/>
          <w:i/>
          <w:sz w:val="20"/>
        </w:rPr>
        <w:t>Responsabilidad</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ejecución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las</w:t>
      </w:r>
      <w:r>
        <w:rPr>
          <w:rFonts w:ascii="Arial" w:hAnsi="Arial"/>
          <w:i/>
          <w:spacing w:val="-2"/>
          <w:sz w:val="20"/>
        </w:rPr>
        <w:t xml:space="preserve"> </w:t>
      </w:r>
      <w:r>
        <w:rPr>
          <w:rFonts w:ascii="Arial" w:hAnsi="Arial"/>
          <w:i/>
          <w:sz w:val="20"/>
        </w:rPr>
        <w:t>obras</w:t>
      </w:r>
      <w:r>
        <w:rPr>
          <w:rFonts w:ascii="Arial" w:hAnsi="Arial"/>
          <w:i/>
          <w:spacing w:val="-2"/>
          <w:sz w:val="20"/>
        </w:rPr>
        <w:t xml:space="preserve"> </w:t>
      </w:r>
      <w:r>
        <w:rPr>
          <w:rFonts w:ascii="Arial" w:hAnsi="Arial"/>
          <w:i/>
          <w:sz w:val="20"/>
        </w:rPr>
        <w:t>por</w:t>
      </w:r>
      <w:r>
        <w:rPr>
          <w:rFonts w:ascii="Arial" w:hAnsi="Arial"/>
          <w:i/>
          <w:spacing w:val="-2"/>
          <w:sz w:val="20"/>
        </w:rPr>
        <w:t xml:space="preserve"> terceros.</w:t>
      </w:r>
    </w:p>
    <w:p w:rsidR="0092635B" w:rsidRDefault="00000000">
      <w:pPr>
        <w:pStyle w:val="Textoindependiente"/>
        <w:spacing w:before="124" w:line="249" w:lineRule="auto"/>
        <w:ind w:right="1103"/>
      </w:pPr>
      <w:r>
        <w:t>Corresponde al concesionario el control de la ejecución de las obras que contrate con terceros debiendo ajustarse el control al plan que el concesionario elabore y resulte</w:t>
      </w:r>
      <w:r>
        <w:rPr>
          <w:spacing w:val="40"/>
        </w:rPr>
        <w:t xml:space="preserve"> </w:t>
      </w:r>
      <w:r>
        <w:t>aprobado por el órgano de contratación. Este podrá en cualquier momento recabar información sobre la marcha de las obras y girar a las mismas las visitas de inspección que estime oportunas.</w:t>
      </w:r>
    </w:p>
    <w:p w:rsidR="0092635B" w:rsidRDefault="0092635B">
      <w:pPr>
        <w:pStyle w:val="Textoindependiente"/>
        <w:spacing w:before="0"/>
        <w:ind w:left="0" w:firstLine="0"/>
        <w:jc w:val="left"/>
      </w:pPr>
    </w:p>
    <w:p w:rsidR="0092635B" w:rsidRDefault="00000000">
      <w:pPr>
        <w:spacing w:before="1"/>
        <w:ind w:left="1106"/>
        <w:rPr>
          <w:rFonts w:ascii="Arial" w:hAnsi="Arial"/>
          <w:i/>
          <w:sz w:val="20"/>
        </w:rPr>
      </w:pPr>
      <w:bookmarkStart w:id="406" w:name="Artículo_254._Principio_de_riesgo_y_vent"/>
      <w:bookmarkEnd w:id="406"/>
      <w:r>
        <w:rPr>
          <w:rFonts w:ascii="Arial" w:hAnsi="Arial"/>
          <w:b/>
          <w:sz w:val="20"/>
        </w:rPr>
        <w:t>Artículo</w:t>
      </w:r>
      <w:r>
        <w:rPr>
          <w:rFonts w:ascii="Arial" w:hAnsi="Arial"/>
          <w:b/>
          <w:spacing w:val="-5"/>
          <w:sz w:val="20"/>
        </w:rPr>
        <w:t xml:space="preserve"> </w:t>
      </w:r>
      <w:r>
        <w:rPr>
          <w:rFonts w:ascii="Arial" w:hAnsi="Arial"/>
          <w:b/>
          <w:sz w:val="20"/>
        </w:rPr>
        <w:t>254.</w:t>
      </w:r>
      <w:r>
        <w:rPr>
          <w:rFonts w:ascii="Arial" w:hAnsi="Arial"/>
          <w:b/>
          <w:spacing w:val="49"/>
          <w:sz w:val="20"/>
        </w:rPr>
        <w:t xml:space="preserve"> </w:t>
      </w:r>
      <w:r>
        <w:rPr>
          <w:rFonts w:ascii="Arial" w:hAnsi="Arial"/>
          <w:i/>
          <w:sz w:val="20"/>
        </w:rPr>
        <w:t>Principio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riesgo</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ventura</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ejecución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obras.</w:t>
      </w:r>
    </w:p>
    <w:p w:rsidR="0092635B" w:rsidRDefault="00000000">
      <w:pPr>
        <w:pStyle w:val="Prrafodelista"/>
        <w:numPr>
          <w:ilvl w:val="0"/>
          <w:numId w:val="133"/>
        </w:numPr>
        <w:tabs>
          <w:tab w:val="left" w:pos="1674"/>
        </w:tabs>
        <w:spacing w:before="123" w:line="249" w:lineRule="auto"/>
        <w:ind w:right="1102" w:firstLine="340"/>
        <w:jc w:val="both"/>
        <w:rPr>
          <w:sz w:val="20"/>
        </w:rPr>
      </w:pPr>
      <w:r>
        <w:rPr>
          <w:sz w:val="20"/>
        </w:rPr>
        <w:t>Las obras se ejecutarán a riesgo y ventura del concesionario, quien, además, asumirá el riesgo operacional de la concesión, de acuerdo con lo dispuesto en los artículos 197 y</w:t>
      </w:r>
      <w:r>
        <w:rPr>
          <w:spacing w:val="40"/>
          <w:sz w:val="20"/>
        </w:rPr>
        <w:t xml:space="preserve"> </w:t>
      </w:r>
      <w:r>
        <w:rPr>
          <w:sz w:val="20"/>
        </w:rPr>
        <w:t>239, salvo para aquella parte de la obra que pudiera ser ejecutada por cuenta de la Administración, según lo previsto en el apartado 2 del artículo 252, en cuyo caso regirá el régimen general previsto para el contrato de obras.</w:t>
      </w:r>
    </w:p>
    <w:p w:rsidR="0092635B" w:rsidRDefault="00000000">
      <w:pPr>
        <w:pStyle w:val="Prrafodelista"/>
        <w:numPr>
          <w:ilvl w:val="0"/>
          <w:numId w:val="133"/>
        </w:numPr>
        <w:tabs>
          <w:tab w:val="left" w:pos="1672"/>
        </w:tabs>
        <w:spacing w:before="4" w:line="249" w:lineRule="auto"/>
        <w:ind w:firstLine="340"/>
        <w:jc w:val="both"/>
        <w:rPr>
          <w:sz w:val="20"/>
        </w:rPr>
      </w:pPr>
      <w:r>
        <w:rPr>
          <w:sz w:val="20"/>
        </w:rPr>
        <w:t>Si la concurrencia de fuerza mayor implicase mayores costes para el concesionario se procederá a ajustar el plan económico-financiero. Si la fuerza mayor impidiera por completo la realización de las obras se procederá a resolver el contrato, debiendo abonar el órgano de contratación</w:t>
      </w:r>
      <w:r>
        <w:rPr>
          <w:spacing w:val="-2"/>
          <w:sz w:val="20"/>
        </w:rPr>
        <w:t xml:space="preserve"> </w:t>
      </w:r>
      <w:r>
        <w:rPr>
          <w:sz w:val="20"/>
        </w:rPr>
        <w:t>al</w:t>
      </w:r>
      <w:r>
        <w:rPr>
          <w:spacing w:val="-2"/>
          <w:sz w:val="20"/>
        </w:rPr>
        <w:t xml:space="preserve"> </w:t>
      </w:r>
      <w:r>
        <w:rPr>
          <w:sz w:val="20"/>
        </w:rPr>
        <w:t>concesionario</w:t>
      </w:r>
      <w:r>
        <w:rPr>
          <w:spacing w:val="-2"/>
          <w:sz w:val="20"/>
        </w:rPr>
        <w:t xml:space="preserve"> </w:t>
      </w:r>
      <w:r>
        <w:rPr>
          <w:sz w:val="20"/>
        </w:rPr>
        <w:t>el</w:t>
      </w:r>
      <w:r>
        <w:rPr>
          <w:spacing w:val="-2"/>
          <w:sz w:val="20"/>
        </w:rPr>
        <w:t xml:space="preserve"> </w:t>
      </w:r>
      <w:r>
        <w:rPr>
          <w:sz w:val="20"/>
        </w:rPr>
        <w:t>importe</w:t>
      </w:r>
      <w:r>
        <w:rPr>
          <w:spacing w:val="-2"/>
          <w:sz w:val="20"/>
        </w:rPr>
        <w:t xml:space="preserve"> </w:t>
      </w:r>
      <w:r>
        <w:rPr>
          <w:sz w:val="20"/>
        </w:rPr>
        <w:t>total</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ejecutadas,</w:t>
      </w:r>
      <w:r>
        <w:rPr>
          <w:spacing w:val="-2"/>
          <w:sz w:val="20"/>
        </w:rPr>
        <w:t xml:space="preserve"> </w:t>
      </w:r>
      <w:r>
        <w:rPr>
          <w:sz w:val="20"/>
        </w:rPr>
        <w:t>así</w:t>
      </w:r>
      <w:r>
        <w:rPr>
          <w:spacing w:val="-2"/>
          <w:sz w:val="20"/>
        </w:rPr>
        <w:t xml:space="preserve"> </w:t>
      </w:r>
      <w:r>
        <w:rPr>
          <w:sz w:val="20"/>
        </w:rPr>
        <w:t>como</w:t>
      </w:r>
      <w:r>
        <w:rPr>
          <w:spacing w:val="-2"/>
          <w:sz w:val="20"/>
        </w:rPr>
        <w:t xml:space="preserve"> </w:t>
      </w:r>
      <w:r>
        <w:rPr>
          <w:sz w:val="20"/>
        </w:rPr>
        <w:t>los</w:t>
      </w:r>
      <w:r>
        <w:rPr>
          <w:spacing w:val="-2"/>
          <w:sz w:val="20"/>
        </w:rPr>
        <w:t xml:space="preserve"> </w:t>
      </w:r>
      <w:r>
        <w:rPr>
          <w:sz w:val="20"/>
        </w:rPr>
        <w:t>mayores</w:t>
      </w:r>
      <w:r>
        <w:rPr>
          <w:spacing w:val="-2"/>
          <w:sz w:val="20"/>
        </w:rPr>
        <w:t xml:space="preserve"> </w:t>
      </w:r>
      <w:r>
        <w:rPr>
          <w:sz w:val="20"/>
        </w:rPr>
        <w:t>costes en que hubiese incurrido como consecuencia del endeudamiento con terceros.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407" w:name="Artículo_255._Modificación_del_proyecto."/>
      <w:bookmarkEnd w:id="407"/>
      <w:r>
        <w:rPr>
          <w:rFonts w:ascii="Arial" w:hAnsi="Arial"/>
          <w:b/>
          <w:sz w:val="20"/>
        </w:rPr>
        <w:t>Artículo</w:t>
      </w:r>
      <w:r>
        <w:rPr>
          <w:rFonts w:ascii="Arial" w:hAnsi="Arial"/>
          <w:b/>
          <w:spacing w:val="-3"/>
          <w:sz w:val="20"/>
        </w:rPr>
        <w:t xml:space="preserve"> </w:t>
      </w:r>
      <w:r>
        <w:rPr>
          <w:rFonts w:ascii="Arial" w:hAnsi="Arial"/>
          <w:b/>
          <w:sz w:val="20"/>
        </w:rPr>
        <w:t>255.</w:t>
      </w:r>
      <w:r>
        <w:rPr>
          <w:rFonts w:ascii="Arial" w:hAnsi="Arial"/>
          <w:b/>
          <w:spacing w:val="49"/>
          <w:sz w:val="20"/>
        </w:rPr>
        <w:t xml:space="preserve"> </w:t>
      </w:r>
      <w:r>
        <w:rPr>
          <w:rFonts w:ascii="Arial" w:hAnsi="Arial"/>
          <w:i/>
          <w:sz w:val="20"/>
        </w:rPr>
        <w:t>Modificación</w:t>
      </w:r>
      <w:r>
        <w:rPr>
          <w:rFonts w:ascii="Arial" w:hAnsi="Arial"/>
          <w:i/>
          <w:spacing w:val="-3"/>
          <w:sz w:val="20"/>
        </w:rPr>
        <w:t xml:space="preserve"> </w:t>
      </w:r>
      <w:r>
        <w:rPr>
          <w:rFonts w:ascii="Arial" w:hAnsi="Arial"/>
          <w:i/>
          <w:sz w:val="20"/>
        </w:rPr>
        <w:t>del</w:t>
      </w:r>
      <w:r>
        <w:rPr>
          <w:rFonts w:ascii="Arial" w:hAnsi="Arial"/>
          <w:i/>
          <w:spacing w:val="-2"/>
          <w:sz w:val="20"/>
        </w:rPr>
        <w:t xml:space="preserve"> proyecto.</w:t>
      </w:r>
    </w:p>
    <w:p w:rsidR="0092635B" w:rsidRDefault="00000000">
      <w:pPr>
        <w:pStyle w:val="Textoindependiente"/>
        <w:spacing w:before="123" w:line="249" w:lineRule="auto"/>
        <w:ind w:right="1104"/>
      </w:pPr>
      <w:r>
        <w:t>Una vez perfeccionado el contrato, el órgano de contratación solo podrá introducir modificaciones</w:t>
      </w:r>
      <w:r>
        <w:rPr>
          <w:spacing w:val="40"/>
        </w:rPr>
        <w:t xml:space="preserve"> </w:t>
      </w:r>
      <w:r>
        <w:t>en</w:t>
      </w:r>
      <w:r>
        <w:rPr>
          <w:spacing w:val="40"/>
        </w:rPr>
        <w:t xml:space="preserve"> </w:t>
      </w:r>
      <w:r>
        <w:t>el</w:t>
      </w:r>
      <w:r>
        <w:rPr>
          <w:spacing w:val="40"/>
        </w:rPr>
        <w:t xml:space="preserve"> </w:t>
      </w:r>
      <w:r>
        <w:t>proyecto</w:t>
      </w:r>
      <w:r>
        <w:rPr>
          <w:spacing w:val="40"/>
        </w:rPr>
        <w:t xml:space="preserve"> </w:t>
      </w:r>
      <w:r>
        <w:t>de</w:t>
      </w:r>
      <w:r>
        <w:rPr>
          <w:spacing w:val="40"/>
        </w:rPr>
        <w:t xml:space="preserve"> </w:t>
      </w:r>
      <w:r>
        <w:t>acuerdo</w:t>
      </w:r>
      <w:r>
        <w:rPr>
          <w:spacing w:val="40"/>
        </w:rPr>
        <w:t xml:space="preserve"> </w:t>
      </w:r>
      <w:r>
        <w:t>con</w:t>
      </w:r>
      <w:r>
        <w:rPr>
          <w:spacing w:val="40"/>
        </w:rPr>
        <w:t xml:space="preserve"> </w:t>
      </w:r>
      <w:r>
        <w:t>lo</w:t>
      </w:r>
      <w:r>
        <w:rPr>
          <w:spacing w:val="40"/>
        </w:rPr>
        <w:t xml:space="preserve"> </w:t>
      </w:r>
      <w:r>
        <w:t>establecido</w:t>
      </w:r>
      <w:r>
        <w:rPr>
          <w:spacing w:val="40"/>
        </w:rPr>
        <w:t xml:space="preserve"> </w:t>
      </w:r>
      <w:r>
        <w:t>en</w:t>
      </w:r>
      <w:r>
        <w:rPr>
          <w:spacing w:val="40"/>
        </w:rPr>
        <w:t xml:space="preserve"> </w:t>
      </w:r>
      <w:r>
        <w:t>la</w:t>
      </w:r>
      <w:r>
        <w:rPr>
          <w:spacing w:val="40"/>
        </w:rPr>
        <w:t xml:space="preserve"> </w:t>
      </w:r>
      <w:r>
        <w:t>Subsección</w:t>
      </w:r>
      <w:r>
        <w:rPr>
          <w:spacing w:val="40"/>
        </w:rPr>
        <w:t xml:space="preserve"> </w:t>
      </w:r>
      <w:r>
        <w:t xml:space="preserve">4.ª, Sección 3.ª, Capítulo I, Título I, del Libro Segundo de esta Ley y en la letra b) del apartado 1 del artículo 261. El plan económico-financiero de la concesión deberá recoger en todo caso, mediante los oportunos ajustes, los efectos derivados del incremento o disminución de los </w:t>
      </w:r>
      <w:r>
        <w:rPr>
          <w:spacing w:val="-2"/>
        </w:rPr>
        <w:t>costes.</w:t>
      </w:r>
    </w:p>
    <w:p w:rsidR="0092635B" w:rsidRDefault="0092635B">
      <w:pPr>
        <w:pStyle w:val="Textoindependiente"/>
        <w:ind w:left="0" w:firstLine="0"/>
        <w:jc w:val="left"/>
      </w:pPr>
    </w:p>
    <w:p w:rsidR="0092635B" w:rsidRDefault="00000000">
      <w:pPr>
        <w:ind w:left="1106"/>
        <w:rPr>
          <w:rFonts w:ascii="Arial" w:hAnsi="Arial"/>
          <w:i/>
          <w:sz w:val="20"/>
        </w:rPr>
      </w:pPr>
      <w:bookmarkStart w:id="408" w:name="Artículo_256._Comprobación_de_las_obras."/>
      <w:bookmarkEnd w:id="408"/>
      <w:r>
        <w:rPr>
          <w:rFonts w:ascii="Arial" w:hAnsi="Arial"/>
          <w:b/>
          <w:sz w:val="20"/>
        </w:rPr>
        <w:t>Artículo</w:t>
      </w:r>
      <w:r>
        <w:rPr>
          <w:rFonts w:ascii="Arial" w:hAnsi="Arial"/>
          <w:b/>
          <w:spacing w:val="-2"/>
          <w:sz w:val="20"/>
        </w:rPr>
        <w:t xml:space="preserve"> </w:t>
      </w:r>
      <w:r>
        <w:rPr>
          <w:rFonts w:ascii="Arial" w:hAnsi="Arial"/>
          <w:b/>
          <w:sz w:val="20"/>
        </w:rPr>
        <w:t>256.</w:t>
      </w:r>
      <w:r>
        <w:rPr>
          <w:rFonts w:ascii="Arial" w:hAnsi="Arial"/>
          <w:b/>
          <w:spacing w:val="50"/>
          <w:sz w:val="20"/>
        </w:rPr>
        <w:t xml:space="preserve"> </w:t>
      </w:r>
      <w:r>
        <w:rPr>
          <w:rFonts w:ascii="Arial" w:hAnsi="Arial"/>
          <w:i/>
          <w:sz w:val="20"/>
        </w:rPr>
        <w:t>Comprobación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obras.</w:t>
      </w:r>
    </w:p>
    <w:p w:rsidR="0092635B" w:rsidRDefault="00000000">
      <w:pPr>
        <w:pStyle w:val="Prrafodelista"/>
        <w:numPr>
          <w:ilvl w:val="0"/>
          <w:numId w:val="132"/>
        </w:numPr>
        <w:tabs>
          <w:tab w:val="left" w:pos="1687"/>
        </w:tabs>
        <w:spacing w:before="124" w:line="249" w:lineRule="auto"/>
        <w:ind w:right="1105" w:firstLine="340"/>
        <w:jc w:val="both"/>
        <w:rPr>
          <w:sz w:val="20"/>
        </w:rPr>
      </w:pPr>
      <w:r>
        <w:rPr>
          <w:sz w:val="20"/>
        </w:rPr>
        <w:t>A la terminación de las obras, y a efectos del seguimiento del correcto cumplimiento del</w:t>
      </w:r>
      <w:r>
        <w:rPr>
          <w:spacing w:val="-2"/>
          <w:sz w:val="20"/>
        </w:rPr>
        <w:t xml:space="preserve"> </w:t>
      </w:r>
      <w:r>
        <w:rPr>
          <w:sz w:val="20"/>
        </w:rPr>
        <w:t>contrato</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concesionario,</w:t>
      </w:r>
      <w:r>
        <w:rPr>
          <w:spacing w:val="-2"/>
          <w:sz w:val="20"/>
        </w:rPr>
        <w:t xml:space="preserve"> </w:t>
      </w:r>
      <w:r>
        <w:rPr>
          <w:sz w:val="20"/>
        </w:rPr>
        <w:t>se</w:t>
      </w:r>
      <w:r>
        <w:rPr>
          <w:spacing w:val="-2"/>
          <w:sz w:val="20"/>
        </w:rPr>
        <w:t xml:space="preserve"> </w:t>
      </w:r>
      <w:r>
        <w:rPr>
          <w:sz w:val="20"/>
        </w:rPr>
        <w:t>procederá</w:t>
      </w:r>
      <w:r>
        <w:rPr>
          <w:spacing w:val="-2"/>
          <w:sz w:val="20"/>
        </w:rPr>
        <w:t xml:space="preserve"> </w:t>
      </w:r>
      <w:r>
        <w:rPr>
          <w:sz w:val="20"/>
        </w:rPr>
        <w:t>al</w:t>
      </w:r>
      <w:r>
        <w:rPr>
          <w:spacing w:val="-2"/>
          <w:sz w:val="20"/>
        </w:rPr>
        <w:t xml:space="preserve"> </w:t>
      </w:r>
      <w:r>
        <w:rPr>
          <w:sz w:val="20"/>
        </w:rPr>
        <w:t>levantamiento</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acta</w:t>
      </w:r>
      <w:r>
        <w:rPr>
          <w:spacing w:val="-2"/>
          <w:sz w:val="20"/>
        </w:rPr>
        <w:t xml:space="preserve"> </w:t>
      </w:r>
      <w:r>
        <w:rPr>
          <w:sz w:val="20"/>
        </w:rPr>
        <w:t>de</w:t>
      </w:r>
      <w:r>
        <w:rPr>
          <w:spacing w:val="-2"/>
          <w:sz w:val="20"/>
        </w:rPr>
        <w:t xml:space="preserve"> </w:t>
      </w:r>
      <w:r>
        <w:rPr>
          <w:sz w:val="20"/>
        </w:rPr>
        <w:t xml:space="preserve">comprobación por parte de la Administración concedente. El levantamiento y contenido del acta de comprobación se ajustarán a lo dispuesto en el pliego de cláusulas administrativas </w:t>
      </w:r>
      <w:r>
        <w:rPr>
          <w:spacing w:val="-2"/>
          <w:sz w:val="20"/>
        </w:rPr>
        <w:t>particulares.</w:t>
      </w:r>
    </w:p>
    <w:p w:rsidR="0092635B" w:rsidRDefault="00000000">
      <w:pPr>
        <w:pStyle w:val="Prrafodelista"/>
        <w:numPr>
          <w:ilvl w:val="0"/>
          <w:numId w:val="132"/>
        </w:numPr>
        <w:tabs>
          <w:tab w:val="left" w:pos="1711"/>
        </w:tabs>
        <w:spacing w:before="4" w:line="249" w:lineRule="auto"/>
        <w:ind w:right="1104" w:firstLine="340"/>
        <w:jc w:val="both"/>
        <w:rPr>
          <w:sz w:val="20"/>
        </w:rPr>
      </w:pPr>
      <w:r>
        <w:rPr>
          <w:sz w:val="20"/>
        </w:rPr>
        <w:t>Al acta de comprobación se acompañará un documento de valoración de la obra pública ejecutada y, en su caso, una declaración del cumplimiento de las condiciones impuestas en la declaración de impacto ambiental, que será expedido por el órgano de contratación y en el que se hará constar la inversión realizada.</w:t>
      </w:r>
    </w:p>
    <w:p w:rsidR="0092635B" w:rsidRDefault="00000000">
      <w:pPr>
        <w:pStyle w:val="Prrafodelista"/>
        <w:numPr>
          <w:ilvl w:val="0"/>
          <w:numId w:val="132"/>
        </w:numPr>
        <w:tabs>
          <w:tab w:val="left" w:pos="1706"/>
        </w:tabs>
        <w:spacing w:before="3" w:line="249" w:lineRule="auto"/>
        <w:ind w:right="1104" w:firstLine="340"/>
        <w:jc w:val="both"/>
        <w:rPr>
          <w:sz w:val="20"/>
        </w:rPr>
      </w:pPr>
      <w:r>
        <w:rPr>
          <w:sz w:val="20"/>
        </w:rPr>
        <w:t>En las obras financiadas parcialmente por la Administración concedente, mediante abonos parciales al concesionario con base en las certificaciones mensuales de la obra ejecutada, la certificación final de la obra acompañará al documento de valoración y al acta de comprobación a que se refiere el apartado anterior.</w:t>
      </w:r>
    </w:p>
    <w:p w:rsidR="0092635B" w:rsidRDefault="00000000">
      <w:pPr>
        <w:pStyle w:val="Prrafodelista"/>
        <w:numPr>
          <w:ilvl w:val="0"/>
          <w:numId w:val="132"/>
        </w:numPr>
        <w:tabs>
          <w:tab w:val="left" w:pos="1755"/>
        </w:tabs>
        <w:spacing w:before="3" w:line="249" w:lineRule="auto"/>
        <w:ind w:right="1105" w:firstLine="340"/>
        <w:jc w:val="both"/>
        <w:rPr>
          <w:sz w:val="20"/>
        </w:rPr>
      </w:pPr>
      <w:r>
        <w:rPr>
          <w:sz w:val="20"/>
        </w:rPr>
        <w:t>La aprobación del acta de comprobación de las obras por el órgano de la Administración concedente llevará implícita la autorización para la apertura de las mismas al uso público, comenzando desde ese momento el plazo de garantía de la obra cuando haya sido ejecutada por terceros distintos del concesionario, así como la fase de explotación.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line="249" w:lineRule="auto"/>
        <w:ind w:left="1446" w:right="1444"/>
      </w:pPr>
      <w:bookmarkStart w:id="409" w:name="Sección_4.ª_Derechos_y_obligaciones_del_"/>
      <w:bookmarkStart w:id="410" w:name="_bookmark78"/>
      <w:bookmarkEnd w:id="409"/>
      <w:bookmarkEnd w:id="410"/>
      <w:r>
        <w:t>Sección</w:t>
      </w:r>
      <w:r>
        <w:rPr>
          <w:spacing w:val="32"/>
        </w:rPr>
        <w:t xml:space="preserve"> </w:t>
      </w:r>
      <w:r>
        <w:t>4.ª</w:t>
      </w:r>
      <w:r>
        <w:rPr>
          <w:spacing w:val="32"/>
        </w:rPr>
        <w:t xml:space="preserve"> </w:t>
      </w:r>
      <w:r>
        <w:t>Derechos</w:t>
      </w:r>
      <w:r>
        <w:rPr>
          <w:spacing w:val="32"/>
        </w:rPr>
        <w:t xml:space="preserve"> </w:t>
      </w:r>
      <w:r>
        <w:t>y</w:t>
      </w:r>
      <w:r>
        <w:rPr>
          <w:spacing w:val="32"/>
        </w:rPr>
        <w:t xml:space="preserve"> </w:t>
      </w:r>
      <w:r>
        <w:t>obligaciones</w:t>
      </w:r>
      <w:r>
        <w:rPr>
          <w:spacing w:val="32"/>
        </w:rPr>
        <w:t xml:space="preserve"> </w:t>
      </w:r>
      <w:r>
        <w:t>del</w:t>
      </w:r>
      <w:r>
        <w:rPr>
          <w:spacing w:val="32"/>
        </w:rPr>
        <w:t xml:space="preserve"> </w:t>
      </w:r>
      <w:r>
        <w:t>concesionario</w:t>
      </w:r>
      <w:r>
        <w:rPr>
          <w:spacing w:val="32"/>
        </w:rPr>
        <w:t xml:space="preserve"> </w:t>
      </w:r>
      <w:r>
        <w:t>y</w:t>
      </w:r>
      <w:r>
        <w:rPr>
          <w:spacing w:val="32"/>
        </w:rPr>
        <w:t xml:space="preserve"> </w:t>
      </w:r>
      <w:r>
        <w:t>prerrogativas</w:t>
      </w:r>
      <w:r>
        <w:rPr>
          <w:spacing w:val="32"/>
        </w:rPr>
        <w:t xml:space="preserve"> </w:t>
      </w:r>
      <w:r>
        <w:t>de</w:t>
      </w:r>
      <w:r>
        <w:rPr>
          <w:spacing w:val="32"/>
        </w:rPr>
        <w:t xml:space="preserve"> </w:t>
      </w:r>
      <w:r>
        <w:t>la Administración concedente</w:t>
      </w:r>
    </w:p>
    <w:p w:rsidR="0092635B" w:rsidRDefault="0092635B">
      <w:pPr>
        <w:pStyle w:val="Textoindependiente"/>
        <w:spacing w:before="55"/>
        <w:ind w:left="0" w:firstLine="0"/>
        <w:jc w:val="left"/>
        <w:rPr>
          <w:rFonts w:ascii="Arial"/>
          <w:b/>
          <w:i/>
        </w:rPr>
      </w:pPr>
    </w:p>
    <w:p w:rsidR="0092635B" w:rsidRDefault="00000000">
      <w:pPr>
        <w:pStyle w:val="Textoindependiente"/>
        <w:spacing w:before="0"/>
        <w:ind w:left="0" w:firstLine="0"/>
        <w:jc w:val="center"/>
      </w:pPr>
      <w:bookmarkStart w:id="411" w:name="Subsección_1.ª_Derechos_y_obligaciones_d"/>
      <w:bookmarkStart w:id="412" w:name="_bookmark79"/>
      <w:bookmarkEnd w:id="411"/>
      <w:bookmarkEnd w:id="412"/>
      <w:r>
        <w:t>Subsección</w:t>
      </w:r>
      <w:r>
        <w:rPr>
          <w:spacing w:val="-3"/>
        </w:rPr>
        <w:t xml:space="preserve"> </w:t>
      </w:r>
      <w:r>
        <w:t>1.ª</w:t>
      </w:r>
      <w:r>
        <w:rPr>
          <w:spacing w:val="-2"/>
        </w:rPr>
        <w:t xml:space="preserve"> </w:t>
      </w:r>
      <w:r>
        <w:t>Derechos</w:t>
      </w:r>
      <w:r>
        <w:rPr>
          <w:spacing w:val="-2"/>
        </w:rPr>
        <w:t xml:space="preserve"> </w:t>
      </w:r>
      <w:r>
        <w:t>y</w:t>
      </w:r>
      <w:r>
        <w:rPr>
          <w:spacing w:val="-2"/>
        </w:rPr>
        <w:t xml:space="preserve"> </w:t>
      </w:r>
      <w:r>
        <w:t>obligaciones</w:t>
      </w:r>
      <w:r>
        <w:rPr>
          <w:spacing w:val="-2"/>
        </w:rPr>
        <w:t xml:space="preserve"> </w:t>
      </w:r>
      <w:r>
        <w:t>del</w:t>
      </w:r>
      <w:r>
        <w:rPr>
          <w:spacing w:val="-2"/>
        </w:rPr>
        <w:t xml:space="preserve"> concesionario</w:t>
      </w:r>
    </w:p>
    <w:p w:rsidR="0092635B" w:rsidRDefault="0092635B">
      <w:pPr>
        <w:pStyle w:val="Textoindependiente"/>
        <w:spacing w:before="6"/>
        <w:ind w:left="0" w:firstLine="0"/>
        <w:jc w:val="left"/>
      </w:pPr>
    </w:p>
    <w:p w:rsidR="0092635B" w:rsidRDefault="00000000">
      <w:pPr>
        <w:spacing w:before="1"/>
        <w:ind w:left="1106"/>
        <w:rPr>
          <w:rFonts w:ascii="Arial" w:hAnsi="Arial"/>
          <w:i/>
          <w:sz w:val="20"/>
        </w:rPr>
      </w:pPr>
      <w:bookmarkStart w:id="413" w:name="Artículo_257._Derechos_del_concesionario"/>
      <w:bookmarkEnd w:id="413"/>
      <w:r>
        <w:rPr>
          <w:rFonts w:ascii="Arial" w:hAnsi="Arial"/>
          <w:b/>
          <w:sz w:val="20"/>
        </w:rPr>
        <w:t>Artículo</w:t>
      </w:r>
      <w:r>
        <w:rPr>
          <w:rFonts w:ascii="Arial" w:hAnsi="Arial"/>
          <w:b/>
          <w:spacing w:val="-1"/>
          <w:sz w:val="20"/>
        </w:rPr>
        <w:t xml:space="preserve"> </w:t>
      </w:r>
      <w:r>
        <w:rPr>
          <w:rFonts w:ascii="Arial" w:hAnsi="Arial"/>
          <w:b/>
          <w:sz w:val="20"/>
        </w:rPr>
        <w:t>257.</w:t>
      </w:r>
      <w:r>
        <w:rPr>
          <w:rFonts w:ascii="Arial" w:hAnsi="Arial"/>
          <w:b/>
          <w:spacing w:val="53"/>
          <w:sz w:val="20"/>
        </w:rPr>
        <w:t xml:space="preserve"> </w:t>
      </w:r>
      <w:r>
        <w:rPr>
          <w:rFonts w:ascii="Arial" w:hAnsi="Arial"/>
          <w:i/>
          <w:sz w:val="20"/>
        </w:rPr>
        <w:t xml:space="preserve">Derechos del </w:t>
      </w:r>
      <w:r>
        <w:rPr>
          <w:rFonts w:ascii="Arial" w:hAnsi="Arial"/>
          <w:i/>
          <w:spacing w:val="-2"/>
          <w:sz w:val="20"/>
        </w:rPr>
        <w:t>concesionario.</w:t>
      </w:r>
    </w:p>
    <w:p w:rsidR="0092635B" w:rsidRDefault="00000000">
      <w:pPr>
        <w:pStyle w:val="Textoindependiente"/>
        <w:spacing w:before="123"/>
        <w:ind w:left="1446" w:firstLine="0"/>
        <w:jc w:val="left"/>
      </w:pPr>
      <w:r>
        <w:t>Los</w:t>
      </w:r>
      <w:r>
        <w:rPr>
          <w:spacing w:val="-2"/>
        </w:rPr>
        <w:t xml:space="preserve"> </w:t>
      </w:r>
      <w:r>
        <w:t>concesionarios</w:t>
      </w:r>
      <w:r>
        <w:rPr>
          <w:spacing w:val="-1"/>
        </w:rPr>
        <w:t xml:space="preserve"> </w:t>
      </w:r>
      <w:r>
        <w:t>tendrán</w:t>
      </w:r>
      <w:r>
        <w:rPr>
          <w:spacing w:val="-1"/>
        </w:rPr>
        <w:t xml:space="preserve"> </w:t>
      </w:r>
      <w:r>
        <w:t>los</w:t>
      </w:r>
      <w:r>
        <w:rPr>
          <w:spacing w:val="-1"/>
        </w:rPr>
        <w:t xml:space="preserve"> </w:t>
      </w:r>
      <w:r>
        <w:t>siguientes</w:t>
      </w:r>
      <w:r>
        <w:rPr>
          <w:spacing w:val="-1"/>
        </w:rPr>
        <w:t xml:space="preserve"> </w:t>
      </w:r>
      <w:r>
        <w:rPr>
          <w:spacing w:val="-2"/>
        </w:rPr>
        <w:t>derechos:</w:t>
      </w:r>
    </w:p>
    <w:p w:rsidR="0092635B" w:rsidRDefault="00000000">
      <w:pPr>
        <w:pStyle w:val="Prrafodelista"/>
        <w:numPr>
          <w:ilvl w:val="1"/>
          <w:numId w:val="132"/>
        </w:numPr>
        <w:tabs>
          <w:tab w:val="left" w:pos="1717"/>
        </w:tabs>
        <w:spacing w:before="130" w:line="249" w:lineRule="auto"/>
        <w:ind w:right="1106" w:firstLine="340"/>
        <w:jc w:val="both"/>
        <w:rPr>
          <w:sz w:val="20"/>
        </w:rPr>
      </w:pPr>
      <w:r>
        <w:rPr>
          <w:sz w:val="20"/>
        </w:rPr>
        <w:t>El derecho a explotar las obras y percibir la tarifa por uso prevista en el contrato durante el tiempo de la concesión como contraprestación económica.</w:t>
      </w:r>
    </w:p>
    <w:p w:rsidR="0092635B" w:rsidRDefault="00000000">
      <w:pPr>
        <w:pStyle w:val="Prrafodelista"/>
        <w:numPr>
          <w:ilvl w:val="1"/>
          <w:numId w:val="132"/>
        </w:numPr>
        <w:tabs>
          <w:tab w:val="left" w:pos="1697"/>
        </w:tabs>
        <w:spacing w:line="249" w:lineRule="auto"/>
        <w:ind w:right="1105" w:firstLine="340"/>
        <w:jc w:val="both"/>
        <w:rPr>
          <w:sz w:val="20"/>
        </w:rPr>
      </w:pPr>
      <w:r>
        <w:rPr>
          <w:sz w:val="20"/>
        </w:rPr>
        <w:t>El derecho al mantenimiento del equilibrio económico de la concesión, en la forma y con la extensión prevista en el artículo 270.</w:t>
      </w:r>
    </w:p>
    <w:p w:rsidR="0092635B" w:rsidRDefault="00000000">
      <w:pPr>
        <w:pStyle w:val="Prrafodelista"/>
        <w:numPr>
          <w:ilvl w:val="1"/>
          <w:numId w:val="132"/>
        </w:numPr>
        <w:tabs>
          <w:tab w:val="left" w:pos="1693"/>
        </w:tabs>
        <w:spacing w:before="1" w:line="249" w:lineRule="auto"/>
        <w:ind w:right="1104" w:firstLine="340"/>
        <w:jc w:val="both"/>
        <w:rPr>
          <w:sz w:val="20"/>
        </w:rPr>
      </w:pPr>
      <w:r>
        <w:rPr>
          <w:sz w:val="20"/>
        </w:rPr>
        <w:t>El derecho a utilizar los bienes de dominio público de la Administración concedente necesarios para la construcción, modificación, conservación y explotación de las obras.</w:t>
      </w:r>
      <w:r>
        <w:rPr>
          <w:spacing w:val="40"/>
          <w:sz w:val="20"/>
        </w:rPr>
        <w:t xml:space="preserve"> </w:t>
      </w:r>
      <w:r>
        <w:rPr>
          <w:sz w:val="20"/>
        </w:rPr>
        <w:t xml:space="preserve">Dicho derecho incluirá el de utilizar, exclusivamente para la construcción de las obras, las aguas que afloren o los materiales que aparezcan durante su ejecución, previa autorización de la Administración competente, en cada caso, para la gestión del dominio público </w:t>
      </w:r>
      <w:r>
        <w:rPr>
          <w:spacing w:val="-2"/>
          <w:sz w:val="20"/>
        </w:rPr>
        <w:t>correspondiente.</w:t>
      </w:r>
    </w:p>
    <w:p w:rsidR="0092635B" w:rsidRDefault="00000000">
      <w:pPr>
        <w:pStyle w:val="Prrafodelista"/>
        <w:numPr>
          <w:ilvl w:val="1"/>
          <w:numId w:val="132"/>
        </w:numPr>
        <w:tabs>
          <w:tab w:val="left" w:pos="1714"/>
        </w:tabs>
        <w:spacing w:before="5" w:line="249" w:lineRule="auto"/>
        <w:ind w:right="1104" w:firstLine="340"/>
        <w:jc w:val="both"/>
        <w:rPr>
          <w:sz w:val="20"/>
        </w:rPr>
      </w:pPr>
      <w:r>
        <w:rPr>
          <w:sz w:val="20"/>
        </w:rPr>
        <w:t>El derecho a recabar de la Administración la tramitación de los procedimientos de expropiación forzosa, imposición de servidumbres y desahucio administrativo que resulten necesarios para la construcción, modificación y explotación de las obras, así como la realización de cuantas acciones sean necesarias para hacer viable el ejercicio de los derechos del concesionario.</w:t>
      </w:r>
    </w:p>
    <w:p w:rsidR="0092635B" w:rsidRDefault="00000000">
      <w:pPr>
        <w:pStyle w:val="Textoindependiente"/>
        <w:spacing w:before="4" w:line="249" w:lineRule="auto"/>
        <w:ind w:right="1104"/>
      </w:pPr>
      <w:r>
        <w:t>En todo caso, los bienes y derechos expropiados que queden afectos a la concesión se incorporarán al dominio público.</w:t>
      </w:r>
    </w:p>
    <w:p w:rsidR="0092635B" w:rsidRDefault="00000000">
      <w:pPr>
        <w:pStyle w:val="Prrafodelista"/>
        <w:numPr>
          <w:ilvl w:val="1"/>
          <w:numId w:val="132"/>
        </w:numPr>
        <w:tabs>
          <w:tab w:val="left" w:pos="1710"/>
        </w:tabs>
        <w:spacing w:line="249" w:lineRule="auto"/>
        <w:ind w:firstLine="340"/>
        <w:jc w:val="both"/>
        <w:rPr>
          <w:sz w:val="20"/>
        </w:rPr>
      </w:pPr>
      <w:r>
        <w:rPr>
          <w:sz w:val="20"/>
        </w:rPr>
        <w:t>El derecho a ceder la concesión de acuerdo con lo previsto en el artículo 214 y a hipotecar la misma en las condiciones establecidas en la Ley, previa autorización del órgano de contratación en ambos casos.</w:t>
      </w:r>
    </w:p>
    <w:p w:rsidR="0092635B" w:rsidRDefault="00000000">
      <w:pPr>
        <w:pStyle w:val="Prrafodelista"/>
        <w:numPr>
          <w:ilvl w:val="1"/>
          <w:numId w:val="132"/>
        </w:numPr>
        <w:tabs>
          <w:tab w:val="left" w:pos="1623"/>
        </w:tabs>
        <w:ind w:left="1623" w:right="0" w:hanging="177"/>
        <w:jc w:val="both"/>
        <w:rPr>
          <w:sz w:val="20"/>
        </w:rPr>
      </w:pPr>
      <w:r>
        <w:rPr>
          <w:sz w:val="20"/>
        </w:rPr>
        <w:t>La</w:t>
      </w:r>
      <w:r>
        <w:rPr>
          <w:spacing w:val="-1"/>
          <w:sz w:val="20"/>
        </w:rPr>
        <w:t xml:space="preserve"> </w:t>
      </w:r>
      <w:r>
        <w:rPr>
          <w:sz w:val="20"/>
        </w:rPr>
        <w:t>facultad</w:t>
      </w:r>
      <w:r>
        <w:rPr>
          <w:spacing w:val="-1"/>
          <w:sz w:val="20"/>
        </w:rPr>
        <w:t xml:space="preserve"> </w:t>
      </w:r>
      <w:r>
        <w:rPr>
          <w:sz w:val="20"/>
        </w:rPr>
        <w:t>de</w:t>
      </w:r>
      <w:r>
        <w:rPr>
          <w:spacing w:val="-1"/>
          <w:sz w:val="20"/>
        </w:rPr>
        <w:t xml:space="preserve"> </w:t>
      </w:r>
      <w:r>
        <w:rPr>
          <w:sz w:val="20"/>
        </w:rPr>
        <w:t>titulizar</w:t>
      </w:r>
      <w:r>
        <w:rPr>
          <w:spacing w:val="-1"/>
          <w:sz w:val="20"/>
        </w:rPr>
        <w:t xml:space="preserve"> </w:t>
      </w:r>
      <w:r>
        <w:rPr>
          <w:sz w:val="20"/>
        </w:rPr>
        <w:t>sus</w:t>
      </w:r>
      <w:r>
        <w:rPr>
          <w:spacing w:val="-1"/>
          <w:sz w:val="20"/>
        </w:rPr>
        <w:t xml:space="preserve"> </w:t>
      </w:r>
      <w:r>
        <w:rPr>
          <w:sz w:val="20"/>
        </w:rPr>
        <w:t>derechos</w:t>
      </w:r>
      <w:r>
        <w:rPr>
          <w:spacing w:val="-1"/>
          <w:sz w:val="20"/>
        </w:rPr>
        <w:t xml:space="preserve"> </w:t>
      </w:r>
      <w:r>
        <w:rPr>
          <w:sz w:val="20"/>
        </w:rPr>
        <w:t>de</w:t>
      </w:r>
      <w:r>
        <w:rPr>
          <w:spacing w:val="-1"/>
          <w:sz w:val="20"/>
        </w:rPr>
        <w:t xml:space="preserve"> </w:t>
      </w:r>
      <w:r>
        <w:rPr>
          <w:sz w:val="20"/>
        </w:rPr>
        <w:t>crédito,</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términos</w:t>
      </w:r>
      <w:r>
        <w:rPr>
          <w:spacing w:val="-1"/>
          <w:sz w:val="20"/>
        </w:rPr>
        <w:t xml:space="preserve"> </w:t>
      </w:r>
      <w:r>
        <w:rPr>
          <w:sz w:val="20"/>
        </w:rPr>
        <w:t>previstos</w:t>
      </w:r>
      <w:r>
        <w:rPr>
          <w:spacing w:val="-1"/>
          <w:sz w:val="20"/>
        </w:rPr>
        <w:t xml:space="preserve"> </w:t>
      </w:r>
      <w:r>
        <w:rPr>
          <w:sz w:val="20"/>
        </w:rPr>
        <w:t>en</w:t>
      </w:r>
      <w:r>
        <w:rPr>
          <w:spacing w:val="-1"/>
          <w:sz w:val="20"/>
        </w:rPr>
        <w:t xml:space="preserve"> </w:t>
      </w:r>
      <w:r>
        <w:rPr>
          <w:sz w:val="20"/>
        </w:rPr>
        <w:t xml:space="preserve">la </w:t>
      </w:r>
      <w:r>
        <w:rPr>
          <w:spacing w:val="-4"/>
          <w:sz w:val="20"/>
        </w:rPr>
        <w:t>Ley.</w:t>
      </w:r>
    </w:p>
    <w:p w:rsidR="0092635B" w:rsidRDefault="00000000">
      <w:pPr>
        <w:pStyle w:val="Prrafodelista"/>
        <w:numPr>
          <w:ilvl w:val="1"/>
          <w:numId w:val="132"/>
        </w:numPr>
        <w:tabs>
          <w:tab w:val="left" w:pos="1696"/>
        </w:tabs>
        <w:spacing w:before="10" w:line="249" w:lineRule="auto"/>
        <w:ind w:right="1104" w:firstLine="340"/>
        <w:jc w:val="both"/>
        <w:rPr>
          <w:sz w:val="20"/>
        </w:rPr>
      </w:pPr>
      <w:r>
        <w:rPr>
          <w:sz w:val="20"/>
        </w:rPr>
        <w:t>Cualesquiera otros que le sean reconocidos por esta u otras Leyes o por los pliegos</w:t>
      </w:r>
      <w:r>
        <w:rPr>
          <w:spacing w:val="40"/>
          <w:sz w:val="20"/>
        </w:rPr>
        <w:t xml:space="preserve"> </w:t>
      </w:r>
      <w:r>
        <w:rPr>
          <w:sz w:val="20"/>
        </w:rPr>
        <w:t>de condiciones.</w:t>
      </w:r>
    </w:p>
    <w:p w:rsidR="0092635B" w:rsidRDefault="00000000">
      <w:pPr>
        <w:spacing w:before="229"/>
        <w:ind w:left="1106"/>
        <w:rPr>
          <w:rFonts w:ascii="Arial" w:hAnsi="Arial"/>
          <w:i/>
          <w:sz w:val="20"/>
        </w:rPr>
      </w:pPr>
      <w:bookmarkStart w:id="414" w:name="Artículo_258._Obligaciones_del_concesion"/>
      <w:bookmarkEnd w:id="414"/>
      <w:r>
        <w:rPr>
          <w:rFonts w:ascii="Arial" w:hAnsi="Arial"/>
          <w:b/>
          <w:sz w:val="20"/>
        </w:rPr>
        <w:t>Artículo</w:t>
      </w:r>
      <w:r>
        <w:rPr>
          <w:rFonts w:ascii="Arial" w:hAnsi="Arial"/>
          <w:b/>
          <w:spacing w:val="-3"/>
          <w:sz w:val="20"/>
        </w:rPr>
        <w:t xml:space="preserve"> </w:t>
      </w:r>
      <w:r>
        <w:rPr>
          <w:rFonts w:ascii="Arial" w:hAnsi="Arial"/>
          <w:b/>
          <w:sz w:val="20"/>
        </w:rPr>
        <w:t>258.</w:t>
      </w:r>
      <w:r>
        <w:rPr>
          <w:rFonts w:ascii="Arial" w:hAnsi="Arial"/>
          <w:b/>
          <w:spacing w:val="53"/>
          <w:sz w:val="20"/>
        </w:rPr>
        <w:t xml:space="preserve"> </w:t>
      </w:r>
      <w:r>
        <w:rPr>
          <w:rFonts w:ascii="Arial" w:hAnsi="Arial"/>
          <w:i/>
          <w:sz w:val="20"/>
        </w:rPr>
        <w:t xml:space="preserve">Obligaciones del </w:t>
      </w:r>
      <w:r>
        <w:rPr>
          <w:rFonts w:ascii="Arial" w:hAnsi="Arial"/>
          <w:i/>
          <w:spacing w:val="-2"/>
          <w:sz w:val="20"/>
        </w:rPr>
        <w:t>concesionario.</w:t>
      </w:r>
    </w:p>
    <w:p w:rsidR="0092635B" w:rsidRDefault="00000000">
      <w:pPr>
        <w:pStyle w:val="Textoindependiente"/>
        <w:spacing w:before="123"/>
        <w:ind w:left="1446" w:firstLine="0"/>
        <w:jc w:val="left"/>
      </w:pPr>
      <w:r>
        <w:t>Serán</w:t>
      </w:r>
      <w:r>
        <w:rPr>
          <w:spacing w:val="-2"/>
        </w:rPr>
        <w:t xml:space="preserve"> </w:t>
      </w:r>
      <w:r>
        <w:t>obligaciones</w:t>
      </w:r>
      <w:r>
        <w:rPr>
          <w:spacing w:val="-1"/>
        </w:rPr>
        <w:t xml:space="preserve"> </w:t>
      </w:r>
      <w:r>
        <w:t>generales</w:t>
      </w:r>
      <w:r>
        <w:rPr>
          <w:spacing w:val="-2"/>
        </w:rPr>
        <w:t xml:space="preserve"> </w:t>
      </w:r>
      <w:r>
        <w:t>del</w:t>
      </w:r>
      <w:r>
        <w:rPr>
          <w:spacing w:val="-1"/>
        </w:rPr>
        <w:t xml:space="preserve"> </w:t>
      </w:r>
      <w:r>
        <w:rPr>
          <w:spacing w:val="-2"/>
        </w:rPr>
        <w:t>concesionario:</w:t>
      </w:r>
    </w:p>
    <w:p w:rsidR="0092635B" w:rsidRDefault="00000000">
      <w:pPr>
        <w:pStyle w:val="Prrafodelista"/>
        <w:numPr>
          <w:ilvl w:val="0"/>
          <w:numId w:val="131"/>
        </w:numPr>
        <w:tabs>
          <w:tab w:val="left" w:pos="1679"/>
        </w:tabs>
        <w:spacing w:before="130"/>
        <w:ind w:right="0" w:hanging="233"/>
        <w:jc w:val="both"/>
        <w:rPr>
          <w:sz w:val="20"/>
        </w:rPr>
      </w:pPr>
      <w:r>
        <w:rPr>
          <w:sz w:val="20"/>
        </w:rPr>
        <w:t>Ejecutar</w:t>
      </w:r>
      <w:r>
        <w:rPr>
          <w:spacing w:val="-4"/>
          <w:sz w:val="20"/>
        </w:rPr>
        <w:t xml:space="preserve"> </w:t>
      </w:r>
      <w:r>
        <w:rPr>
          <w:sz w:val="20"/>
        </w:rPr>
        <w:t>las</w:t>
      </w:r>
      <w:r>
        <w:rPr>
          <w:spacing w:val="-2"/>
          <w:sz w:val="20"/>
        </w:rPr>
        <w:t xml:space="preserve"> </w:t>
      </w:r>
      <w:r>
        <w:rPr>
          <w:sz w:val="20"/>
        </w:rPr>
        <w:t>obras</w:t>
      </w:r>
      <w:r>
        <w:rPr>
          <w:spacing w:val="-2"/>
          <w:sz w:val="20"/>
        </w:rPr>
        <w:t xml:space="preserve"> </w:t>
      </w:r>
      <w:r>
        <w:rPr>
          <w:sz w:val="20"/>
        </w:rPr>
        <w:t>con</w:t>
      </w:r>
      <w:r>
        <w:rPr>
          <w:spacing w:val="-2"/>
          <w:sz w:val="20"/>
        </w:rPr>
        <w:t xml:space="preserve"> </w:t>
      </w:r>
      <w:r>
        <w:rPr>
          <w:sz w:val="20"/>
        </w:rPr>
        <w:t>arreglo</w:t>
      </w:r>
      <w:r>
        <w:rPr>
          <w:spacing w:val="-2"/>
          <w:sz w:val="20"/>
        </w:rPr>
        <w:t xml:space="preserve"> </w:t>
      </w:r>
      <w:r>
        <w:rPr>
          <w:sz w:val="20"/>
        </w:rPr>
        <w:t>a</w:t>
      </w:r>
      <w:r>
        <w:rPr>
          <w:spacing w:val="-2"/>
          <w:sz w:val="20"/>
        </w:rPr>
        <w:t xml:space="preserve"> </w:t>
      </w:r>
      <w:r>
        <w:rPr>
          <w:sz w:val="20"/>
        </w:rPr>
        <w:t>lo</w:t>
      </w:r>
      <w:r>
        <w:rPr>
          <w:spacing w:val="-2"/>
          <w:sz w:val="20"/>
        </w:rPr>
        <w:t xml:space="preserve"> </w:t>
      </w:r>
      <w:r>
        <w:rPr>
          <w:sz w:val="20"/>
        </w:rPr>
        <w:t>dispuesto</w:t>
      </w:r>
      <w:r>
        <w:rPr>
          <w:spacing w:val="-2"/>
          <w:sz w:val="20"/>
        </w:rPr>
        <w:t xml:space="preserve"> </w:t>
      </w:r>
      <w:r>
        <w:rPr>
          <w:sz w:val="20"/>
        </w:rPr>
        <w:t>en</w:t>
      </w:r>
      <w:r>
        <w:rPr>
          <w:spacing w:val="-2"/>
          <w:sz w:val="20"/>
        </w:rPr>
        <w:t xml:space="preserve"> </w:t>
      </w:r>
      <w:r>
        <w:rPr>
          <w:sz w:val="20"/>
        </w:rPr>
        <w:t>el</w:t>
      </w:r>
      <w:r>
        <w:rPr>
          <w:spacing w:val="-1"/>
          <w:sz w:val="20"/>
        </w:rPr>
        <w:t xml:space="preserve"> </w:t>
      </w:r>
      <w:r>
        <w:rPr>
          <w:spacing w:val="-2"/>
          <w:sz w:val="20"/>
        </w:rPr>
        <w:t>contrato.</w:t>
      </w:r>
    </w:p>
    <w:p w:rsidR="0092635B" w:rsidRDefault="00000000">
      <w:pPr>
        <w:pStyle w:val="Prrafodelista"/>
        <w:numPr>
          <w:ilvl w:val="0"/>
          <w:numId w:val="131"/>
        </w:numPr>
        <w:tabs>
          <w:tab w:val="left" w:pos="1682"/>
        </w:tabs>
        <w:spacing w:before="10" w:line="249" w:lineRule="auto"/>
        <w:ind w:left="1106" w:right="1105" w:firstLine="340"/>
        <w:jc w:val="both"/>
        <w:rPr>
          <w:sz w:val="20"/>
        </w:rPr>
      </w:pPr>
      <w:r>
        <w:rPr>
          <w:sz w:val="20"/>
        </w:rPr>
        <w:t xml:space="preserve">Explotar las obras, asumiendo el riesgo operacional de su gestión con la continuidad y en los términos establecidos en el contrato u ordenados posteriormente por el órgano de </w:t>
      </w:r>
      <w:r>
        <w:rPr>
          <w:spacing w:val="-2"/>
          <w:sz w:val="20"/>
        </w:rPr>
        <w:t>contratación.</w:t>
      </w:r>
    </w:p>
    <w:p w:rsidR="0092635B" w:rsidRDefault="00000000">
      <w:pPr>
        <w:pStyle w:val="Prrafodelista"/>
        <w:numPr>
          <w:ilvl w:val="0"/>
          <w:numId w:val="131"/>
        </w:numPr>
        <w:tabs>
          <w:tab w:val="left" w:pos="1676"/>
        </w:tabs>
        <w:spacing w:before="3" w:line="249" w:lineRule="auto"/>
        <w:ind w:left="1106" w:right="1104" w:firstLine="340"/>
        <w:jc w:val="both"/>
        <w:rPr>
          <w:sz w:val="20"/>
        </w:rPr>
      </w:pPr>
      <w:r>
        <w:rPr>
          <w:sz w:val="20"/>
        </w:rPr>
        <w:t>Admitir la utilización de las obras por todo usuario, en las condiciones que hayan sido establecidas de acuerdo con los principios de igualdad, universalidad y no discriminación, mediante el abono, en su caso, de la correspondiente tarifa.</w:t>
      </w:r>
    </w:p>
    <w:p w:rsidR="0092635B" w:rsidRDefault="00000000">
      <w:pPr>
        <w:pStyle w:val="Prrafodelista"/>
        <w:numPr>
          <w:ilvl w:val="0"/>
          <w:numId w:val="131"/>
        </w:numPr>
        <w:tabs>
          <w:tab w:val="left" w:pos="1696"/>
        </w:tabs>
        <w:spacing w:line="249" w:lineRule="auto"/>
        <w:ind w:left="1106" w:right="1104" w:firstLine="340"/>
        <w:jc w:val="both"/>
        <w:rPr>
          <w:sz w:val="20"/>
        </w:rPr>
      </w:pPr>
      <w:r>
        <w:rPr>
          <w:sz w:val="20"/>
        </w:rPr>
        <w:t>Cuidar del buen orden y de la calidad de las obras, y de su uso, pudiendo dictar las oportunas instrucciones, sin perjuicio de los poderes de policía que correspondan al órgano de contratación.</w:t>
      </w:r>
    </w:p>
    <w:p w:rsidR="0092635B" w:rsidRDefault="00000000">
      <w:pPr>
        <w:pStyle w:val="Prrafodelista"/>
        <w:numPr>
          <w:ilvl w:val="0"/>
          <w:numId w:val="131"/>
        </w:numPr>
        <w:tabs>
          <w:tab w:val="left" w:pos="1700"/>
        </w:tabs>
        <w:spacing w:before="3" w:line="249" w:lineRule="auto"/>
        <w:ind w:left="1106" w:right="1104" w:firstLine="340"/>
        <w:jc w:val="both"/>
        <w:rPr>
          <w:sz w:val="20"/>
        </w:rPr>
      </w:pPr>
      <w:r>
        <w:rPr>
          <w:sz w:val="20"/>
        </w:rPr>
        <w:t>Indemnizar los daños que se ocasionen a terceros por causa de la ejecución de las obras o de su explotación, cuando le sean imputables de acuerdo con el artículo 196 de la presente Ley.</w:t>
      </w:r>
    </w:p>
    <w:p w:rsidR="0092635B" w:rsidRDefault="00000000">
      <w:pPr>
        <w:pStyle w:val="Prrafodelista"/>
        <w:numPr>
          <w:ilvl w:val="0"/>
          <w:numId w:val="131"/>
        </w:numPr>
        <w:tabs>
          <w:tab w:val="left" w:pos="1700"/>
        </w:tabs>
        <w:spacing w:line="249" w:lineRule="auto"/>
        <w:ind w:left="1106" w:right="1104" w:firstLine="340"/>
        <w:jc w:val="both"/>
        <w:rPr>
          <w:sz w:val="20"/>
        </w:rPr>
      </w:pPr>
      <w:r>
        <w:rPr>
          <w:sz w:val="20"/>
        </w:rPr>
        <w:t>Proteger el dominio público que quede vinculado a la concesión, en especial, preservando los valores ecológicos y ambientales del mismo.</w:t>
      </w:r>
    </w:p>
    <w:p w:rsidR="0092635B" w:rsidRDefault="00000000">
      <w:pPr>
        <w:pStyle w:val="Prrafodelista"/>
        <w:numPr>
          <w:ilvl w:val="0"/>
          <w:numId w:val="131"/>
        </w:numPr>
        <w:tabs>
          <w:tab w:val="left" w:pos="1757"/>
        </w:tabs>
        <w:spacing w:line="249" w:lineRule="auto"/>
        <w:ind w:left="1106" w:right="1104" w:firstLine="340"/>
        <w:jc w:val="both"/>
        <w:rPr>
          <w:sz w:val="20"/>
        </w:rPr>
      </w:pPr>
      <w:r>
        <w:rPr>
          <w:sz w:val="20"/>
        </w:rPr>
        <w:t>Cualesquiera otras previstas en esta u otra Ley o en el pliego de cláusulas administrativas particulares.</w:t>
      </w:r>
    </w:p>
    <w:p w:rsidR="0092635B" w:rsidRDefault="00000000">
      <w:pPr>
        <w:spacing w:before="228"/>
        <w:ind w:left="1106"/>
        <w:rPr>
          <w:rFonts w:ascii="Arial" w:hAnsi="Arial"/>
          <w:i/>
          <w:sz w:val="20"/>
        </w:rPr>
      </w:pPr>
      <w:bookmarkStart w:id="415" w:name="Artículo_259._Uso_y_conservación_de_las_"/>
      <w:bookmarkEnd w:id="415"/>
      <w:r>
        <w:rPr>
          <w:rFonts w:ascii="Arial" w:hAnsi="Arial"/>
          <w:b/>
          <w:sz w:val="20"/>
        </w:rPr>
        <w:t>Artículo</w:t>
      </w:r>
      <w:r>
        <w:rPr>
          <w:rFonts w:ascii="Arial" w:hAnsi="Arial"/>
          <w:b/>
          <w:spacing w:val="-2"/>
          <w:sz w:val="20"/>
        </w:rPr>
        <w:t xml:space="preserve"> </w:t>
      </w:r>
      <w:r>
        <w:rPr>
          <w:rFonts w:ascii="Arial" w:hAnsi="Arial"/>
          <w:b/>
          <w:sz w:val="20"/>
        </w:rPr>
        <w:t>259.</w:t>
      </w:r>
      <w:r>
        <w:rPr>
          <w:rFonts w:ascii="Arial" w:hAnsi="Arial"/>
          <w:b/>
          <w:spacing w:val="50"/>
          <w:sz w:val="20"/>
        </w:rPr>
        <w:t xml:space="preserve"> </w:t>
      </w:r>
      <w:r>
        <w:rPr>
          <w:rFonts w:ascii="Arial" w:hAnsi="Arial"/>
          <w:i/>
          <w:sz w:val="20"/>
        </w:rPr>
        <w:t>Uso</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conservación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1"/>
          <w:sz w:val="20"/>
        </w:rPr>
        <w:t xml:space="preserve"> </w:t>
      </w:r>
      <w:r>
        <w:rPr>
          <w:rFonts w:ascii="Arial" w:hAnsi="Arial"/>
          <w:i/>
          <w:spacing w:val="-2"/>
          <w:sz w:val="20"/>
        </w:rPr>
        <w:t>obras.</w:t>
      </w:r>
    </w:p>
    <w:p w:rsidR="0092635B" w:rsidRDefault="00000000">
      <w:pPr>
        <w:pStyle w:val="Prrafodelista"/>
        <w:numPr>
          <w:ilvl w:val="0"/>
          <w:numId w:val="130"/>
        </w:numPr>
        <w:tabs>
          <w:tab w:val="left" w:pos="1691"/>
        </w:tabs>
        <w:spacing w:before="124" w:line="249" w:lineRule="auto"/>
        <w:ind w:right="1106" w:firstLine="340"/>
        <w:jc w:val="both"/>
        <w:rPr>
          <w:sz w:val="20"/>
        </w:rPr>
      </w:pPr>
      <w:r>
        <w:rPr>
          <w:sz w:val="20"/>
        </w:rPr>
        <w:t>El concesionario deberá cuidar de la adecuada aplicación de las normas sobre uso, policía y conservación de las obras.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30"/>
        </w:numPr>
        <w:tabs>
          <w:tab w:val="left" w:pos="1687"/>
        </w:tabs>
        <w:spacing w:before="1" w:line="249" w:lineRule="auto"/>
        <w:ind w:firstLine="340"/>
        <w:jc w:val="both"/>
        <w:rPr>
          <w:sz w:val="20"/>
        </w:rPr>
      </w:pPr>
      <w:r>
        <w:rPr>
          <w:sz w:val="20"/>
        </w:rPr>
        <w:t>El personal encargado de la explotación de las obras, en ausencia de agentes de la autoridad, podrá adoptar las medidas necesarias en orden a la utilización de las obras, formulando, en su caso, las denuncias pertinentes. A estos efectos, servirán de medio de prueba las obtenidas por el personal del concesionario debidamente acreditado y con los medios</w:t>
      </w:r>
      <w:r>
        <w:rPr>
          <w:spacing w:val="-3"/>
          <w:sz w:val="20"/>
        </w:rPr>
        <w:t xml:space="preserve"> </w:t>
      </w:r>
      <w:r>
        <w:rPr>
          <w:sz w:val="20"/>
        </w:rPr>
        <w:t>previamente</w:t>
      </w:r>
      <w:r>
        <w:rPr>
          <w:spacing w:val="-3"/>
          <w:sz w:val="20"/>
        </w:rPr>
        <w:t xml:space="preserve"> </w:t>
      </w:r>
      <w:r>
        <w:rPr>
          <w:sz w:val="20"/>
        </w:rPr>
        <w:t>homologados</w:t>
      </w:r>
      <w:r>
        <w:rPr>
          <w:spacing w:val="-3"/>
          <w:sz w:val="20"/>
        </w:rPr>
        <w:t xml:space="preserve"> </w:t>
      </w:r>
      <w:r>
        <w:rPr>
          <w:sz w:val="20"/>
        </w:rPr>
        <w:t>por</w:t>
      </w:r>
      <w:r>
        <w:rPr>
          <w:spacing w:val="-3"/>
          <w:sz w:val="20"/>
        </w:rPr>
        <w:t xml:space="preserve"> </w:t>
      </w:r>
      <w:r>
        <w:rPr>
          <w:sz w:val="20"/>
        </w:rPr>
        <w:t>la</w:t>
      </w:r>
      <w:r>
        <w:rPr>
          <w:spacing w:val="-3"/>
          <w:sz w:val="20"/>
        </w:rPr>
        <w:t xml:space="preserve"> </w:t>
      </w:r>
      <w:r>
        <w:rPr>
          <w:sz w:val="20"/>
        </w:rPr>
        <w:t>Administración</w:t>
      </w:r>
      <w:r>
        <w:rPr>
          <w:spacing w:val="-3"/>
          <w:sz w:val="20"/>
        </w:rPr>
        <w:t xml:space="preserve"> </w:t>
      </w:r>
      <w:r>
        <w:rPr>
          <w:sz w:val="20"/>
        </w:rPr>
        <w:t>competente,</w:t>
      </w:r>
      <w:r>
        <w:rPr>
          <w:spacing w:val="-3"/>
          <w:sz w:val="20"/>
        </w:rPr>
        <w:t xml:space="preserve"> </w:t>
      </w:r>
      <w:r>
        <w:rPr>
          <w:sz w:val="20"/>
        </w:rPr>
        <w:t>así</w:t>
      </w:r>
      <w:r>
        <w:rPr>
          <w:spacing w:val="-3"/>
          <w:sz w:val="20"/>
        </w:rPr>
        <w:t xml:space="preserve"> </w:t>
      </w:r>
      <w:r>
        <w:rPr>
          <w:sz w:val="20"/>
        </w:rPr>
        <w:t>como</w:t>
      </w:r>
      <w:r>
        <w:rPr>
          <w:spacing w:val="-3"/>
          <w:sz w:val="20"/>
        </w:rPr>
        <w:t xml:space="preserve"> </w:t>
      </w:r>
      <w:r>
        <w:rPr>
          <w:sz w:val="20"/>
        </w:rPr>
        <w:t>cualquier</w:t>
      </w:r>
      <w:r>
        <w:rPr>
          <w:spacing w:val="-3"/>
          <w:sz w:val="20"/>
        </w:rPr>
        <w:t xml:space="preserve"> </w:t>
      </w:r>
      <w:r>
        <w:rPr>
          <w:sz w:val="20"/>
        </w:rPr>
        <w:t>otro admitido en derecho.</w:t>
      </w:r>
    </w:p>
    <w:p w:rsidR="0092635B" w:rsidRDefault="00000000">
      <w:pPr>
        <w:pStyle w:val="Prrafodelista"/>
        <w:numPr>
          <w:ilvl w:val="0"/>
          <w:numId w:val="130"/>
        </w:numPr>
        <w:tabs>
          <w:tab w:val="left" w:pos="1672"/>
        </w:tabs>
        <w:spacing w:before="5" w:line="249" w:lineRule="auto"/>
        <w:ind w:firstLine="340"/>
        <w:jc w:val="both"/>
        <w:rPr>
          <w:sz w:val="20"/>
        </w:rPr>
      </w:pPr>
      <w:r>
        <w:rPr>
          <w:sz w:val="20"/>
        </w:rPr>
        <w:t>El concesionario podrá impedir el uso de las obras a aquellos usuarios que no abonen la tarifa correspondiente, sin perjuicio de lo que, a este respecto, se establezca en la legislación sectorial correspondiente.</w:t>
      </w:r>
    </w:p>
    <w:p w:rsidR="0092635B" w:rsidRDefault="00000000">
      <w:pPr>
        <w:pStyle w:val="Prrafodelista"/>
        <w:numPr>
          <w:ilvl w:val="0"/>
          <w:numId w:val="130"/>
        </w:numPr>
        <w:tabs>
          <w:tab w:val="left" w:pos="1711"/>
        </w:tabs>
        <w:spacing w:line="249" w:lineRule="auto"/>
        <w:ind w:firstLine="340"/>
        <w:jc w:val="both"/>
        <w:rPr>
          <w:sz w:val="20"/>
        </w:rPr>
      </w:pPr>
      <w:r>
        <w:rPr>
          <w:sz w:val="20"/>
        </w:rPr>
        <w:t xml:space="preserve">El concesionario deberá mantener las obras de conformidad con lo que, en cada momento y según el progreso de la ciencia, disponga la normativa técnica, medioambiental, de accesibilidad y eliminación de barreras y de seguridad de los usuarios que resulte de </w:t>
      </w:r>
      <w:r>
        <w:rPr>
          <w:spacing w:val="-2"/>
          <w:sz w:val="20"/>
        </w:rPr>
        <w:t>aplicación.</w:t>
      </w:r>
    </w:p>
    <w:p w:rsidR="0092635B" w:rsidRDefault="00000000">
      <w:pPr>
        <w:pStyle w:val="Prrafodelista"/>
        <w:numPr>
          <w:ilvl w:val="0"/>
          <w:numId w:val="130"/>
        </w:numPr>
        <w:tabs>
          <w:tab w:val="left" w:pos="1678"/>
        </w:tabs>
        <w:spacing w:before="3" w:line="249" w:lineRule="auto"/>
        <w:ind w:firstLine="340"/>
        <w:jc w:val="both"/>
        <w:rPr>
          <w:sz w:val="20"/>
        </w:rPr>
      </w:pPr>
      <w:r>
        <w:rPr>
          <w:sz w:val="20"/>
        </w:rPr>
        <w:t>La Administración podrá incluir en los pliegos de condiciones mecanismos para medir la calidad del servicio ofrecida por el concesionario, y otorgar ventajas o penalizaciones económicas a este en función de los mismos.</w:t>
      </w:r>
    </w:p>
    <w:p w:rsidR="0092635B" w:rsidRDefault="00000000">
      <w:pPr>
        <w:pStyle w:val="Textoindependiente"/>
        <w:spacing w:before="3" w:line="249" w:lineRule="auto"/>
        <w:ind w:right="1105"/>
      </w:pPr>
      <w:r>
        <w:t xml:space="preserve">En todo caso esta opción no podrá ser utilizada para limitar el riesgo operacional de la </w:t>
      </w:r>
      <w:r>
        <w:rPr>
          <w:spacing w:val="-2"/>
        </w:rPr>
        <w:t>concesión.</w:t>
      </w:r>
    </w:p>
    <w:p w:rsidR="0092635B" w:rsidRDefault="00000000">
      <w:pPr>
        <w:spacing w:before="228"/>
        <w:ind w:left="1106"/>
        <w:rPr>
          <w:rFonts w:ascii="Arial" w:hAnsi="Arial"/>
          <w:i/>
          <w:sz w:val="20"/>
        </w:rPr>
      </w:pPr>
      <w:bookmarkStart w:id="416" w:name="Artículo_260._Zonas_complementarias_de_e"/>
      <w:bookmarkEnd w:id="416"/>
      <w:r>
        <w:rPr>
          <w:rFonts w:ascii="Arial" w:hAnsi="Arial"/>
          <w:b/>
          <w:sz w:val="20"/>
        </w:rPr>
        <w:t>Artículo</w:t>
      </w:r>
      <w:r>
        <w:rPr>
          <w:rFonts w:ascii="Arial" w:hAnsi="Arial"/>
          <w:b/>
          <w:spacing w:val="-2"/>
          <w:sz w:val="20"/>
        </w:rPr>
        <w:t xml:space="preserve"> </w:t>
      </w:r>
      <w:r>
        <w:rPr>
          <w:rFonts w:ascii="Arial" w:hAnsi="Arial"/>
          <w:b/>
          <w:sz w:val="20"/>
        </w:rPr>
        <w:t>260.</w:t>
      </w:r>
      <w:r>
        <w:rPr>
          <w:rFonts w:ascii="Arial" w:hAnsi="Arial"/>
          <w:b/>
          <w:spacing w:val="51"/>
          <w:sz w:val="20"/>
        </w:rPr>
        <w:t xml:space="preserve"> </w:t>
      </w:r>
      <w:r>
        <w:rPr>
          <w:rFonts w:ascii="Arial" w:hAnsi="Arial"/>
          <w:i/>
          <w:sz w:val="20"/>
        </w:rPr>
        <w:t>Zonas</w:t>
      </w:r>
      <w:r>
        <w:rPr>
          <w:rFonts w:ascii="Arial" w:hAnsi="Arial"/>
          <w:i/>
          <w:spacing w:val="-2"/>
          <w:sz w:val="20"/>
        </w:rPr>
        <w:t xml:space="preserve"> </w:t>
      </w:r>
      <w:r>
        <w:rPr>
          <w:rFonts w:ascii="Arial" w:hAnsi="Arial"/>
          <w:i/>
          <w:sz w:val="20"/>
        </w:rPr>
        <w:t>complementarias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explotación</w:t>
      </w:r>
      <w:r>
        <w:rPr>
          <w:rFonts w:ascii="Arial" w:hAnsi="Arial"/>
          <w:i/>
          <w:spacing w:val="-1"/>
          <w:sz w:val="20"/>
        </w:rPr>
        <w:t xml:space="preserve"> </w:t>
      </w:r>
      <w:r>
        <w:rPr>
          <w:rFonts w:ascii="Arial" w:hAnsi="Arial"/>
          <w:i/>
          <w:spacing w:val="-2"/>
          <w:sz w:val="20"/>
        </w:rPr>
        <w:t>comercial.</w:t>
      </w:r>
    </w:p>
    <w:p w:rsidR="0092635B" w:rsidRDefault="00000000">
      <w:pPr>
        <w:pStyle w:val="Prrafodelista"/>
        <w:numPr>
          <w:ilvl w:val="0"/>
          <w:numId w:val="129"/>
        </w:numPr>
        <w:tabs>
          <w:tab w:val="left" w:pos="1705"/>
        </w:tabs>
        <w:spacing w:before="124" w:line="249" w:lineRule="auto"/>
        <w:ind w:firstLine="340"/>
        <w:jc w:val="both"/>
        <w:rPr>
          <w:sz w:val="20"/>
        </w:rPr>
      </w:pPr>
      <w:r>
        <w:rPr>
          <w:sz w:val="20"/>
        </w:rPr>
        <w:t>Atendiendo a su finalidad, las obras podrán incluir, además de las superficies que sean precisas según su naturaleza, otras zonas o terrenos para la ejecución de actividades complementarias, comerciales o industriales que sean necesarias o convenientes por la utilidad que prestan a los usuarios de las obras y que sean susceptibles de un aprovechamiento económico diferenciado, tales como establecimientos de hostelería, estaciones de servicio, zonas de ocio, estacionamientos, locales comerciales y otros susceptibles de explotación.</w:t>
      </w:r>
    </w:p>
    <w:p w:rsidR="0092635B" w:rsidRDefault="00000000">
      <w:pPr>
        <w:pStyle w:val="Prrafodelista"/>
        <w:numPr>
          <w:ilvl w:val="0"/>
          <w:numId w:val="129"/>
        </w:numPr>
        <w:tabs>
          <w:tab w:val="left" w:pos="1680"/>
        </w:tabs>
        <w:spacing w:before="5" w:line="249" w:lineRule="auto"/>
        <w:ind w:firstLine="340"/>
        <w:jc w:val="both"/>
        <w:rPr>
          <w:sz w:val="20"/>
        </w:rPr>
      </w:pPr>
      <w:r>
        <w:rPr>
          <w:sz w:val="20"/>
        </w:rPr>
        <w:t>Estas actividades complementarias se implantarán de conformidad con lo establecido en los pliegos generales o particulares que rijan la concesión y, en su caso, con lo determinado en la legislación o el planeamiento urbanístico que resulte de aplicación.</w:t>
      </w:r>
    </w:p>
    <w:p w:rsidR="0092635B" w:rsidRDefault="00000000">
      <w:pPr>
        <w:pStyle w:val="Prrafodelista"/>
        <w:numPr>
          <w:ilvl w:val="0"/>
          <w:numId w:val="129"/>
        </w:numPr>
        <w:tabs>
          <w:tab w:val="left" w:pos="1699"/>
        </w:tabs>
        <w:spacing w:before="3" w:line="249" w:lineRule="auto"/>
        <w:ind w:firstLine="340"/>
        <w:jc w:val="both"/>
        <w:rPr>
          <w:sz w:val="20"/>
        </w:rPr>
      </w:pPr>
      <w:r>
        <w:rPr>
          <w:sz w:val="20"/>
        </w:rPr>
        <w:t>Las correspondientes zonas o espacios quedarán sujetos al principio de unidad de gestión y control de la Administración Pública concedente y serán explotados conjuntamente con las obras por el concesionario, directamente o a través de terceros, en los términos establecidos en el oportuno pliego de la concesión.</w:t>
      </w:r>
    </w:p>
    <w:p w:rsidR="0092635B" w:rsidRDefault="0092635B">
      <w:pPr>
        <w:pStyle w:val="Textoindependiente"/>
        <w:spacing w:before="56"/>
        <w:ind w:left="0" w:firstLine="0"/>
        <w:jc w:val="left"/>
      </w:pPr>
    </w:p>
    <w:p w:rsidR="0092635B" w:rsidRDefault="00000000">
      <w:pPr>
        <w:pStyle w:val="Textoindependiente"/>
        <w:spacing w:before="1"/>
        <w:ind w:left="0" w:firstLine="0"/>
        <w:jc w:val="center"/>
      </w:pPr>
      <w:bookmarkStart w:id="417" w:name="Subsección_2.ª_Prerrogativas_y_derechos_"/>
      <w:bookmarkStart w:id="418" w:name="_bookmark80"/>
      <w:bookmarkEnd w:id="417"/>
      <w:bookmarkEnd w:id="418"/>
      <w:r>
        <w:t>Subsección</w:t>
      </w:r>
      <w:r>
        <w:rPr>
          <w:spacing w:val="-2"/>
        </w:rPr>
        <w:t xml:space="preserve"> </w:t>
      </w:r>
      <w:r>
        <w:t>2.ª</w:t>
      </w:r>
      <w:r>
        <w:rPr>
          <w:spacing w:val="-2"/>
        </w:rPr>
        <w:t xml:space="preserve"> </w:t>
      </w:r>
      <w:r>
        <w:t>Prerrogativas</w:t>
      </w:r>
      <w:r>
        <w:rPr>
          <w:spacing w:val="-2"/>
        </w:rPr>
        <w:t xml:space="preserve"> </w:t>
      </w:r>
      <w:r>
        <w:t>y</w:t>
      </w:r>
      <w:r>
        <w:rPr>
          <w:spacing w:val="-2"/>
        </w:rPr>
        <w:t xml:space="preserve"> </w:t>
      </w:r>
      <w:r>
        <w:t>derechos</w:t>
      </w:r>
      <w:r>
        <w:rPr>
          <w:spacing w:val="-2"/>
        </w:rPr>
        <w:t xml:space="preserve"> </w:t>
      </w:r>
      <w:r>
        <w:t>de</w:t>
      </w:r>
      <w:r>
        <w:rPr>
          <w:spacing w:val="-2"/>
        </w:rPr>
        <w:t xml:space="preserve"> </w:t>
      </w:r>
      <w:r>
        <w:t>la</w:t>
      </w:r>
      <w:r>
        <w:rPr>
          <w:spacing w:val="-1"/>
        </w:rPr>
        <w:t xml:space="preserve"> </w:t>
      </w:r>
      <w:r>
        <w:rPr>
          <w:spacing w:val="-2"/>
        </w:rPr>
        <w:t>Administración</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419" w:name="Artículo_261._Prerrogativas_y_derechos_d"/>
      <w:bookmarkEnd w:id="419"/>
      <w:r>
        <w:rPr>
          <w:rFonts w:ascii="Arial" w:hAnsi="Arial"/>
          <w:b/>
          <w:sz w:val="20"/>
        </w:rPr>
        <w:t>Artículo</w:t>
      </w:r>
      <w:r>
        <w:rPr>
          <w:rFonts w:ascii="Arial" w:hAnsi="Arial"/>
          <w:b/>
          <w:spacing w:val="-3"/>
          <w:sz w:val="20"/>
        </w:rPr>
        <w:t xml:space="preserve"> </w:t>
      </w:r>
      <w:r>
        <w:rPr>
          <w:rFonts w:ascii="Arial" w:hAnsi="Arial"/>
          <w:b/>
          <w:sz w:val="20"/>
        </w:rPr>
        <w:t>261.</w:t>
      </w:r>
      <w:r>
        <w:rPr>
          <w:rFonts w:ascii="Arial" w:hAnsi="Arial"/>
          <w:b/>
          <w:spacing w:val="54"/>
          <w:sz w:val="20"/>
        </w:rPr>
        <w:t xml:space="preserve"> </w:t>
      </w:r>
      <w:r>
        <w:rPr>
          <w:rFonts w:ascii="Arial" w:hAnsi="Arial"/>
          <w:i/>
          <w:sz w:val="20"/>
        </w:rPr>
        <w:t>Prerrogativas y</w:t>
      </w:r>
      <w:r>
        <w:rPr>
          <w:rFonts w:ascii="Arial" w:hAnsi="Arial"/>
          <w:i/>
          <w:spacing w:val="-1"/>
          <w:sz w:val="20"/>
        </w:rPr>
        <w:t xml:space="preserve"> </w:t>
      </w:r>
      <w:r>
        <w:rPr>
          <w:rFonts w:ascii="Arial" w:hAnsi="Arial"/>
          <w:i/>
          <w:sz w:val="20"/>
        </w:rPr>
        <w:t xml:space="preserve">derechos de la </w:t>
      </w:r>
      <w:r>
        <w:rPr>
          <w:rFonts w:ascii="Arial" w:hAnsi="Arial"/>
          <w:i/>
          <w:spacing w:val="-2"/>
          <w:sz w:val="20"/>
        </w:rPr>
        <w:t>Administración.</w:t>
      </w:r>
    </w:p>
    <w:p w:rsidR="0092635B" w:rsidRDefault="00000000">
      <w:pPr>
        <w:pStyle w:val="Prrafodelista"/>
        <w:numPr>
          <w:ilvl w:val="0"/>
          <w:numId w:val="128"/>
        </w:numPr>
        <w:tabs>
          <w:tab w:val="left" w:pos="1692"/>
        </w:tabs>
        <w:spacing w:before="124" w:line="249" w:lineRule="auto"/>
        <w:ind w:firstLine="340"/>
        <w:jc w:val="both"/>
        <w:rPr>
          <w:sz w:val="20"/>
        </w:rPr>
      </w:pPr>
      <w:r>
        <w:rPr>
          <w:sz w:val="20"/>
        </w:rPr>
        <w:t>Dentro de los límites y con sujeción a los requisitos y con los efectos señalados en esta Ley, el órgano de contratación o, en su caso, el órgano que se determine en la legislación específica, ostentará las siguientes prerrogativas y derechos en relación con los contratos de concesión de obras:</w:t>
      </w:r>
    </w:p>
    <w:p w:rsidR="0092635B" w:rsidRDefault="00000000">
      <w:pPr>
        <w:pStyle w:val="Prrafodelista"/>
        <w:numPr>
          <w:ilvl w:val="1"/>
          <w:numId w:val="128"/>
        </w:numPr>
        <w:tabs>
          <w:tab w:val="left" w:pos="1679"/>
        </w:tabs>
        <w:spacing w:before="123"/>
        <w:ind w:right="0" w:hanging="233"/>
        <w:rPr>
          <w:sz w:val="20"/>
        </w:rPr>
      </w:pPr>
      <w:r>
        <w:rPr>
          <w:sz w:val="20"/>
        </w:rPr>
        <w:t>Interpretar</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y</w:t>
      </w:r>
      <w:r>
        <w:rPr>
          <w:spacing w:val="-1"/>
          <w:sz w:val="20"/>
        </w:rPr>
        <w:t xml:space="preserve"> </w:t>
      </w:r>
      <w:r>
        <w:rPr>
          <w:sz w:val="20"/>
        </w:rPr>
        <w:t>resolver</w:t>
      </w:r>
      <w:r>
        <w:rPr>
          <w:spacing w:val="-1"/>
          <w:sz w:val="20"/>
        </w:rPr>
        <w:t xml:space="preserve"> </w:t>
      </w:r>
      <w:r>
        <w:rPr>
          <w:sz w:val="20"/>
        </w:rPr>
        <w:t>las</w:t>
      </w:r>
      <w:r>
        <w:rPr>
          <w:spacing w:val="-1"/>
          <w:sz w:val="20"/>
        </w:rPr>
        <w:t xml:space="preserve"> </w:t>
      </w:r>
      <w:r>
        <w:rPr>
          <w:sz w:val="20"/>
        </w:rPr>
        <w:t>dudas</w:t>
      </w:r>
      <w:r>
        <w:rPr>
          <w:spacing w:val="-1"/>
          <w:sz w:val="20"/>
        </w:rPr>
        <w:t xml:space="preserve"> </w:t>
      </w:r>
      <w:r>
        <w:rPr>
          <w:sz w:val="20"/>
        </w:rPr>
        <w:t>que</w:t>
      </w:r>
      <w:r>
        <w:rPr>
          <w:spacing w:val="-1"/>
          <w:sz w:val="20"/>
        </w:rPr>
        <w:t xml:space="preserve"> </w:t>
      </w:r>
      <w:r>
        <w:rPr>
          <w:sz w:val="20"/>
        </w:rPr>
        <w:t>ofrezca</w:t>
      </w:r>
      <w:r>
        <w:rPr>
          <w:spacing w:val="-1"/>
          <w:sz w:val="20"/>
        </w:rPr>
        <w:t xml:space="preserve"> </w:t>
      </w:r>
      <w:r>
        <w:rPr>
          <w:sz w:val="20"/>
        </w:rPr>
        <w:t xml:space="preserve">su </w:t>
      </w:r>
      <w:r>
        <w:rPr>
          <w:spacing w:val="-2"/>
          <w:sz w:val="20"/>
        </w:rPr>
        <w:t>cumplimiento.</w:t>
      </w:r>
    </w:p>
    <w:p w:rsidR="0092635B" w:rsidRDefault="00000000">
      <w:pPr>
        <w:pStyle w:val="Prrafodelista"/>
        <w:numPr>
          <w:ilvl w:val="1"/>
          <w:numId w:val="128"/>
        </w:numPr>
        <w:tabs>
          <w:tab w:val="left" w:pos="1711"/>
        </w:tabs>
        <w:spacing w:before="10" w:line="249" w:lineRule="auto"/>
        <w:ind w:left="1106" w:right="1105" w:firstLine="340"/>
        <w:rPr>
          <w:sz w:val="20"/>
        </w:rPr>
      </w:pPr>
      <w:r>
        <w:rPr>
          <w:sz w:val="20"/>
        </w:rPr>
        <w:t>Modificar</w:t>
      </w:r>
      <w:r>
        <w:rPr>
          <w:spacing w:val="29"/>
          <w:sz w:val="20"/>
        </w:rPr>
        <w:t xml:space="preserve"> </w:t>
      </w:r>
      <w:r>
        <w:rPr>
          <w:sz w:val="20"/>
        </w:rPr>
        <w:t>unilateralmente</w:t>
      </w:r>
      <w:r>
        <w:rPr>
          <w:spacing w:val="29"/>
          <w:sz w:val="20"/>
        </w:rPr>
        <w:t xml:space="preserve"> </w:t>
      </w:r>
      <w:r>
        <w:rPr>
          <w:sz w:val="20"/>
        </w:rPr>
        <w:t>los</w:t>
      </w:r>
      <w:r>
        <w:rPr>
          <w:spacing w:val="29"/>
          <w:sz w:val="20"/>
        </w:rPr>
        <w:t xml:space="preserve"> </w:t>
      </w:r>
      <w:r>
        <w:rPr>
          <w:sz w:val="20"/>
        </w:rPr>
        <w:t>contratos</w:t>
      </w:r>
      <w:r>
        <w:rPr>
          <w:spacing w:val="29"/>
          <w:sz w:val="20"/>
        </w:rPr>
        <w:t xml:space="preserve"> </w:t>
      </w:r>
      <w:r>
        <w:rPr>
          <w:sz w:val="20"/>
        </w:rPr>
        <w:t>por</w:t>
      </w:r>
      <w:r>
        <w:rPr>
          <w:spacing w:val="29"/>
          <w:sz w:val="20"/>
        </w:rPr>
        <w:t xml:space="preserve"> </w:t>
      </w:r>
      <w:r>
        <w:rPr>
          <w:sz w:val="20"/>
        </w:rPr>
        <w:t>razones</w:t>
      </w:r>
      <w:r>
        <w:rPr>
          <w:spacing w:val="29"/>
          <w:sz w:val="20"/>
        </w:rPr>
        <w:t xml:space="preserve"> </w:t>
      </w:r>
      <w:r>
        <w:rPr>
          <w:sz w:val="20"/>
        </w:rPr>
        <w:t>de</w:t>
      </w:r>
      <w:r>
        <w:rPr>
          <w:spacing w:val="29"/>
          <w:sz w:val="20"/>
        </w:rPr>
        <w:t xml:space="preserve"> </w:t>
      </w:r>
      <w:r>
        <w:rPr>
          <w:sz w:val="20"/>
        </w:rPr>
        <w:t>interés</w:t>
      </w:r>
      <w:r>
        <w:rPr>
          <w:spacing w:val="29"/>
          <w:sz w:val="20"/>
        </w:rPr>
        <w:t xml:space="preserve"> </w:t>
      </w:r>
      <w:r>
        <w:rPr>
          <w:sz w:val="20"/>
        </w:rPr>
        <w:t>público</w:t>
      </w:r>
      <w:r>
        <w:rPr>
          <w:spacing w:val="29"/>
          <w:sz w:val="20"/>
        </w:rPr>
        <w:t xml:space="preserve"> </w:t>
      </w:r>
      <w:r>
        <w:rPr>
          <w:sz w:val="20"/>
        </w:rPr>
        <w:t>debidamente justificadas, de acuerdo con lo previsto en esta Ley.</w:t>
      </w:r>
    </w:p>
    <w:p w:rsidR="0092635B" w:rsidRDefault="00000000">
      <w:pPr>
        <w:pStyle w:val="Prrafodelista"/>
        <w:numPr>
          <w:ilvl w:val="1"/>
          <w:numId w:val="128"/>
        </w:numPr>
        <w:tabs>
          <w:tab w:val="left" w:pos="1674"/>
        </w:tabs>
        <w:spacing w:line="249" w:lineRule="auto"/>
        <w:ind w:left="1106" w:right="1104" w:firstLine="340"/>
        <w:rPr>
          <w:sz w:val="20"/>
        </w:rPr>
      </w:pPr>
      <w:r>
        <w:rPr>
          <w:sz w:val="20"/>
        </w:rPr>
        <w:t>Decidir el restablecimiento del equilibrio económico de la concesión a favor del interés público, en la forma y con la extensión prevista en el artículo 270.</w:t>
      </w:r>
    </w:p>
    <w:p w:rsidR="0092635B" w:rsidRDefault="00000000">
      <w:pPr>
        <w:pStyle w:val="Prrafodelista"/>
        <w:numPr>
          <w:ilvl w:val="1"/>
          <w:numId w:val="128"/>
        </w:numPr>
        <w:tabs>
          <w:tab w:val="left" w:pos="1723"/>
        </w:tabs>
        <w:spacing w:before="1" w:line="249" w:lineRule="auto"/>
        <w:ind w:left="1106" w:firstLine="340"/>
        <w:rPr>
          <w:sz w:val="20"/>
        </w:rPr>
      </w:pPr>
      <w:r>
        <w:rPr>
          <w:sz w:val="20"/>
        </w:rPr>
        <w:t>Acordar</w:t>
      </w:r>
      <w:r>
        <w:rPr>
          <w:spacing w:val="40"/>
          <w:sz w:val="20"/>
        </w:rPr>
        <w:t xml:space="preserve"> </w:t>
      </w:r>
      <w:r>
        <w:rPr>
          <w:sz w:val="20"/>
        </w:rPr>
        <w:t>la</w:t>
      </w:r>
      <w:r>
        <w:rPr>
          <w:spacing w:val="40"/>
          <w:sz w:val="20"/>
        </w:rPr>
        <w:t xml:space="preserve"> </w:t>
      </w:r>
      <w:r>
        <w:rPr>
          <w:sz w:val="20"/>
        </w:rPr>
        <w:t>resolución</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contratos</w:t>
      </w:r>
      <w:r>
        <w:rPr>
          <w:spacing w:val="40"/>
          <w:sz w:val="20"/>
        </w:rPr>
        <w:t xml:space="preserve"> </w:t>
      </w:r>
      <w:r>
        <w:rPr>
          <w:sz w:val="20"/>
        </w:rPr>
        <w:t>en</w:t>
      </w:r>
      <w:r>
        <w:rPr>
          <w:spacing w:val="40"/>
          <w:sz w:val="20"/>
        </w:rPr>
        <w:t xml:space="preserve"> </w:t>
      </w:r>
      <w:r>
        <w:rPr>
          <w:sz w:val="20"/>
        </w:rPr>
        <w:t>los</w:t>
      </w:r>
      <w:r>
        <w:rPr>
          <w:spacing w:val="40"/>
          <w:sz w:val="20"/>
        </w:rPr>
        <w:t xml:space="preserve"> </w:t>
      </w:r>
      <w:r>
        <w:rPr>
          <w:sz w:val="20"/>
        </w:rPr>
        <w:t>casos</w:t>
      </w:r>
      <w:r>
        <w:rPr>
          <w:spacing w:val="40"/>
          <w:sz w:val="20"/>
        </w:rPr>
        <w:t xml:space="preserve"> </w:t>
      </w:r>
      <w:r>
        <w:rPr>
          <w:sz w:val="20"/>
        </w:rPr>
        <w:t>y</w:t>
      </w:r>
      <w:r>
        <w:rPr>
          <w:spacing w:val="40"/>
          <w:sz w:val="20"/>
        </w:rPr>
        <w:t xml:space="preserve"> </w:t>
      </w:r>
      <w:r>
        <w:rPr>
          <w:sz w:val="20"/>
        </w:rPr>
        <w:t>en</w:t>
      </w:r>
      <w:r>
        <w:rPr>
          <w:spacing w:val="40"/>
          <w:sz w:val="20"/>
        </w:rPr>
        <w:t xml:space="preserve"> </w:t>
      </w:r>
      <w:r>
        <w:rPr>
          <w:sz w:val="20"/>
        </w:rPr>
        <w:t>las</w:t>
      </w:r>
      <w:r>
        <w:rPr>
          <w:spacing w:val="40"/>
          <w:sz w:val="20"/>
        </w:rPr>
        <w:t xml:space="preserve"> </w:t>
      </w:r>
      <w:r>
        <w:rPr>
          <w:sz w:val="20"/>
        </w:rPr>
        <w:t>condiciones</w:t>
      </w:r>
      <w:r>
        <w:rPr>
          <w:spacing w:val="40"/>
          <w:sz w:val="20"/>
        </w:rPr>
        <w:t xml:space="preserve"> </w:t>
      </w:r>
      <w:r>
        <w:rPr>
          <w:sz w:val="20"/>
        </w:rPr>
        <w:t>que</w:t>
      </w:r>
      <w:r>
        <w:rPr>
          <w:spacing w:val="40"/>
          <w:sz w:val="20"/>
        </w:rPr>
        <w:t xml:space="preserve"> </w:t>
      </w:r>
      <w:r>
        <w:rPr>
          <w:sz w:val="20"/>
        </w:rPr>
        <w:t>se establecen en los artículos 279 y 280.</w:t>
      </w:r>
    </w:p>
    <w:p w:rsidR="0092635B" w:rsidRDefault="00000000">
      <w:pPr>
        <w:pStyle w:val="Prrafodelista"/>
        <w:numPr>
          <w:ilvl w:val="1"/>
          <w:numId w:val="128"/>
        </w:numPr>
        <w:tabs>
          <w:tab w:val="left" w:pos="1679"/>
        </w:tabs>
        <w:ind w:right="0" w:hanging="233"/>
        <w:rPr>
          <w:sz w:val="20"/>
        </w:rPr>
      </w:pPr>
      <w:r>
        <w:rPr>
          <w:sz w:val="20"/>
        </w:rPr>
        <w:t>Establecer,</w:t>
      </w:r>
      <w:r>
        <w:rPr>
          <w:spacing w:val="-3"/>
          <w:sz w:val="20"/>
        </w:rPr>
        <w:t xml:space="preserve"> </w:t>
      </w:r>
      <w:r>
        <w:rPr>
          <w:sz w:val="20"/>
        </w:rPr>
        <w:t>en</w:t>
      </w:r>
      <w:r>
        <w:rPr>
          <w:spacing w:val="-2"/>
          <w:sz w:val="20"/>
        </w:rPr>
        <w:t xml:space="preserve"> </w:t>
      </w:r>
      <w:r>
        <w:rPr>
          <w:sz w:val="20"/>
        </w:rPr>
        <w:t>su</w:t>
      </w:r>
      <w:r>
        <w:rPr>
          <w:spacing w:val="-2"/>
          <w:sz w:val="20"/>
        </w:rPr>
        <w:t xml:space="preserve"> </w:t>
      </w:r>
      <w:r>
        <w:rPr>
          <w:sz w:val="20"/>
        </w:rPr>
        <w:t>caso,</w:t>
      </w:r>
      <w:r>
        <w:rPr>
          <w:spacing w:val="-2"/>
          <w:sz w:val="20"/>
        </w:rPr>
        <w:t xml:space="preserve"> </w:t>
      </w:r>
      <w:r>
        <w:rPr>
          <w:sz w:val="20"/>
        </w:rPr>
        <w:t>las</w:t>
      </w:r>
      <w:r>
        <w:rPr>
          <w:spacing w:val="-2"/>
          <w:sz w:val="20"/>
        </w:rPr>
        <w:t xml:space="preserve"> </w:t>
      </w:r>
      <w:r>
        <w:rPr>
          <w:sz w:val="20"/>
        </w:rPr>
        <w:t>tarifas</w:t>
      </w:r>
      <w:r>
        <w:rPr>
          <w:spacing w:val="-2"/>
          <w:sz w:val="20"/>
        </w:rPr>
        <w:t xml:space="preserve"> </w:t>
      </w:r>
      <w:r>
        <w:rPr>
          <w:sz w:val="20"/>
        </w:rPr>
        <w:t>máximas</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utilización</w:t>
      </w:r>
      <w:r>
        <w:rPr>
          <w:spacing w:val="-2"/>
          <w:sz w:val="20"/>
        </w:rPr>
        <w:t xml:space="preserve"> </w:t>
      </w:r>
      <w:r>
        <w:rPr>
          <w:sz w:val="20"/>
        </w:rPr>
        <w:t>de</w:t>
      </w:r>
      <w:r>
        <w:rPr>
          <w:spacing w:val="-2"/>
          <w:sz w:val="20"/>
        </w:rPr>
        <w:t xml:space="preserve"> </w:t>
      </w:r>
      <w:r>
        <w:rPr>
          <w:sz w:val="20"/>
        </w:rPr>
        <w:t>las</w:t>
      </w:r>
      <w:r>
        <w:rPr>
          <w:spacing w:val="-2"/>
          <w:sz w:val="20"/>
        </w:rPr>
        <w:t xml:space="preserve"> obras.</w:t>
      </w:r>
    </w:p>
    <w:p w:rsidR="0092635B" w:rsidRDefault="00000000">
      <w:pPr>
        <w:pStyle w:val="Prrafodelista"/>
        <w:numPr>
          <w:ilvl w:val="1"/>
          <w:numId w:val="128"/>
        </w:numPr>
        <w:tabs>
          <w:tab w:val="left" w:pos="1631"/>
        </w:tabs>
        <w:spacing w:before="10" w:line="249" w:lineRule="auto"/>
        <w:ind w:left="1106" w:right="1102" w:firstLine="340"/>
        <w:jc w:val="both"/>
        <w:rPr>
          <w:sz w:val="20"/>
        </w:rPr>
      </w:pPr>
      <w:r>
        <w:rPr>
          <w:sz w:val="20"/>
        </w:rPr>
        <w:t>Vigilar y controlar el cumplimiento de las obligaciones del concesionario, a cuyo efecto podrá inspeccionar el servicio, sus obras, instalaciones y locales, así como la</w:t>
      </w:r>
      <w:r>
        <w:rPr>
          <w:spacing w:val="40"/>
          <w:sz w:val="20"/>
        </w:rPr>
        <w:t xml:space="preserve"> </w:t>
      </w:r>
      <w:r>
        <w:rPr>
          <w:sz w:val="20"/>
        </w:rPr>
        <w:t>documentación, relacionados con el objeto de la concesión.</w:t>
      </w:r>
    </w:p>
    <w:p w:rsidR="0092635B" w:rsidRDefault="00000000">
      <w:pPr>
        <w:pStyle w:val="Prrafodelista"/>
        <w:numPr>
          <w:ilvl w:val="1"/>
          <w:numId w:val="128"/>
        </w:numPr>
        <w:tabs>
          <w:tab w:val="left" w:pos="1689"/>
        </w:tabs>
        <w:spacing w:line="249" w:lineRule="auto"/>
        <w:ind w:left="1106" w:firstLine="340"/>
        <w:jc w:val="both"/>
        <w:rPr>
          <w:sz w:val="20"/>
        </w:rPr>
      </w:pPr>
      <w:r>
        <w:rPr>
          <w:sz w:val="20"/>
        </w:rPr>
        <w:t>Asumir la explotación de las obras en los supuestos en que se produzca el secuestro</w:t>
      </w:r>
      <w:r>
        <w:rPr>
          <w:spacing w:val="40"/>
          <w:sz w:val="20"/>
        </w:rPr>
        <w:t xml:space="preserve"> </w:t>
      </w:r>
      <w:r>
        <w:rPr>
          <w:sz w:val="20"/>
        </w:rPr>
        <w:t>o intervención de la concesión.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128"/>
        </w:numPr>
        <w:tabs>
          <w:tab w:val="left" w:pos="1828"/>
        </w:tabs>
        <w:spacing w:before="1" w:line="249" w:lineRule="auto"/>
        <w:ind w:left="1106" w:right="1105" w:firstLine="340"/>
        <w:jc w:val="both"/>
        <w:rPr>
          <w:sz w:val="20"/>
        </w:rPr>
      </w:pPr>
      <w:r>
        <w:rPr>
          <w:sz w:val="20"/>
        </w:rPr>
        <w:t>Imponer al concesionario las penalidades pertinentes por razón de los incumplimientos en que incurra.</w:t>
      </w:r>
    </w:p>
    <w:p w:rsidR="0092635B" w:rsidRDefault="00000000">
      <w:pPr>
        <w:pStyle w:val="Prrafodelista"/>
        <w:numPr>
          <w:ilvl w:val="1"/>
          <w:numId w:val="128"/>
        </w:numPr>
        <w:tabs>
          <w:tab w:val="left" w:pos="1634"/>
        </w:tabs>
        <w:spacing w:before="1" w:line="249" w:lineRule="auto"/>
        <w:ind w:left="1106" w:right="1104" w:firstLine="340"/>
        <w:jc w:val="both"/>
        <w:rPr>
          <w:sz w:val="20"/>
        </w:rPr>
      </w:pPr>
      <w:r>
        <w:rPr>
          <w:sz w:val="20"/>
        </w:rPr>
        <w:t>Ejercer las funciones de policía en el uso y explotación de las obras en los términos que se establezcan en la legislación sectorial específica.</w:t>
      </w:r>
    </w:p>
    <w:p w:rsidR="0092635B" w:rsidRDefault="00000000">
      <w:pPr>
        <w:pStyle w:val="Prrafodelista"/>
        <w:numPr>
          <w:ilvl w:val="1"/>
          <w:numId w:val="128"/>
        </w:numPr>
        <w:tabs>
          <w:tab w:val="left" w:pos="1642"/>
        </w:tabs>
        <w:spacing w:line="249" w:lineRule="auto"/>
        <w:ind w:left="1106" w:firstLine="340"/>
        <w:jc w:val="both"/>
        <w:rPr>
          <w:sz w:val="20"/>
        </w:rPr>
      </w:pPr>
      <w:r>
        <w:rPr>
          <w:sz w:val="20"/>
        </w:rPr>
        <w:t>Imponer con carácter temporal las condiciones de utilización de las obras que sean necesarias para solucionar situaciones excepcionales de interés general, abonando la indemnización que en su caso proceda.</w:t>
      </w:r>
    </w:p>
    <w:p w:rsidR="0092635B" w:rsidRDefault="00000000">
      <w:pPr>
        <w:pStyle w:val="Prrafodelista"/>
        <w:numPr>
          <w:ilvl w:val="1"/>
          <w:numId w:val="128"/>
        </w:numPr>
        <w:tabs>
          <w:tab w:val="left" w:pos="1668"/>
        </w:tabs>
        <w:ind w:left="1668" w:right="0" w:hanging="222"/>
        <w:jc w:val="both"/>
        <w:rPr>
          <w:sz w:val="20"/>
        </w:rPr>
      </w:pPr>
      <w:r>
        <w:rPr>
          <w:sz w:val="20"/>
        </w:rPr>
        <w:t>Cualesquiera</w:t>
      </w:r>
      <w:r>
        <w:rPr>
          <w:spacing w:val="-2"/>
          <w:sz w:val="20"/>
        </w:rPr>
        <w:t xml:space="preserve"> </w:t>
      </w:r>
      <w:r>
        <w:rPr>
          <w:sz w:val="20"/>
        </w:rPr>
        <w:t>otros</w:t>
      </w:r>
      <w:r>
        <w:rPr>
          <w:spacing w:val="-2"/>
          <w:sz w:val="20"/>
        </w:rPr>
        <w:t xml:space="preserve"> </w:t>
      </w:r>
      <w:r>
        <w:rPr>
          <w:sz w:val="20"/>
        </w:rPr>
        <w:t>derechos</w:t>
      </w:r>
      <w:r>
        <w:rPr>
          <w:spacing w:val="-2"/>
          <w:sz w:val="20"/>
        </w:rPr>
        <w:t xml:space="preserve"> </w:t>
      </w:r>
      <w:r>
        <w:rPr>
          <w:sz w:val="20"/>
        </w:rPr>
        <w:t>reconocidos</w:t>
      </w:r>
      <w:r>
        <w:rPr>
          <w:spacing w:val="-2"/>
          <w:sz w:val="20"/>
        </w:rPr>
        <w:t xml:space="preserve"> </w:t>
      </w:r>
      <w:r>
        <w:rPr>
          <w:sz w:val="20"/>
        </w:rPr>
        <w:t>en</w:t>
      </w:r>
      <w:r>
        <w:rPr>
          <w:spacing w:val="-1"/>
          <w:sz w:val="20"/>
        </w:rPr>
        <w:t xml:space="preserve"> </w:t>
      </w:r>
      <w:r>
        <w:rPr>
          <w:sz w:val="20"/>
        </w:rPr>
        <w:t>esta</w:t>
      </w:r>
      <w:r>
        <w:rPr>
          <w:spacing w:val="-2"/>
          <w:sz w:val="20"/>
        </w:rPr>
        <w:t xml:space="preserve"> </w:t>
      </w:r>
      <w:r>
        <w:rPr>
          <w:sz w:val="20"/>
        </w:rPr>
        <w:t>o</w:t>
      </w:r>
      <w:r>
        <w:rPr>
          <w:spacing w:val="-2"/>
          <w:sz w:val="20"/>
        </w:rPr>
        <w:t xml:space="preserve"> </w:t>
      </w:r>
      <w:r>
        <w:rPr>
          <w:sz w:val="20"/>
        </w:rPr>
        <w:t>en</w:t>
      </w:r>
      <w:r>
        <w:rPr>
          <w:spacing w:val="-2"/>
          <w:sz w:val="20"/>
        </w:rPr>
        <w:t xml:space="preserve"> </w:t>
      </w:r>
      <w:r>
        <w:rPr>
          <w:sz w:val="20"/>
        </w:rPr>
        <w:t>otras</w:t>
      </w:r>
      <w:r>
        <w:rPr>
          <w:spacing w:val="-1"/>
          <w:sz w:val="20"/>
        </w:rPr>
        <w:t xml:space="preserve"> </w:t>
      </w:r>
      <w:r>
        <w:rPr>
          <w:spacing w:val="-2"/>
          <w:sz w:val="20"/>
        </w:rPr>
        <w:t>leyes.</w:t>
      </w:r>
    </w:p>
    <w:p w:rsidR="0092635B" w:rsidRDefault="00000000">
      <w:pPr>
        <w:pStyle w:val="Prrafodelista"/>
        <w:numPr>
          <w:ilvl w:val="0"/>
          <w:numId w:val="128"/>
        </w:numPr>
        <w:tabs>
          <w:tab w:val="left" w:pos="1673"/>
        </w:tabs>
        <w:spacing w:before="130" w:line="249" w:lineRule="auto"/>
        <w:ind w:firstLine="340"/>
        <w:jc w:val="both"/>
        <w:rPr>
          <w:sz w:val="20"/>
        </w:rPr>
      </w:pPr>
      <w:r>
        <w:rPr>
          <w:sz w:val="20"/>
        </w:rPr>
        <w:t>El ejercicio de las prerrogativas administrativas previstas en este artículo se ajustará a lo dispuesto en esta Ley y en la legislación específica que resulte de aplicación.</w:t>
      </w:r>
    </w:p>
    <w:p w:rsidR="0092635B" w:rsidRDefault="00000000">
      <w:pPr>
        <w:spacing w:before="229"/>
        <w:ind w:left="1106"/>
        <w:rPr>
          <w:rFonts w:ascii="Arial" w:hAnsi="Arial"/>
          <w:i/>
          <w:sz w:val="20"/>
        </w:rPr>
      </w:pPr>
      <w:bookmarkStart w:id="420" w:name="Artículo_262._Modificación_de_las_obras."/>
      <w:bookmarkEnd w:id="420"/>
      <w:r>
        <w:rPr>
          <w:rFonts w:ascii="Arial" w:hAnsi="Arial"/>
          <w:b/>
          <w:sz w:val="20"/>
        </w:rPr>
        <w:t>Artículo</w:t>
      </w:r>
      <w:r>
        <w:rPr>
          <w:rFonts w:ascii="Arial" w:hAnsi="Arial"/>
          <w:b/>
          <w:spacing w:val="-4"/>
          <w:sz w:val="20"/>
        </w:rPr>
        <w:t xml:space="preserve"> </w:t>
      </w:r>
      <w:r>
        <w:rPr>
          <w:rFonts w:ascii="Arial" w:hAnsi="Arial"/>
          <w:b/>
          <w:sz w:val="20"/>
        </w:rPr>
        <w:t>262.</w:t>
      </w:r>
      <w:r>
        <w:rPr>
          <w:rFonts w:ascii="Arial" w:hAnsi="Arial"/>
          <w:b/>
          <w:spacing w:val="50"/>
          <w:sz w:val="20"/>
        </w:rPr>
        <w:t xml:space="preserve"> </w:t>
      </w:r>
      <w:r>
        <w:rPr>
          <w:rFonts w:ascii="Arial" w:hAnsi="Arial"/>
          <w:i/>
          <w:sz w:val="20"/>
        </w:rPr>
        <w:t>Modificación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obras.</w:t>
      </w:r>
    </w:p>
    <w:p w:rsidR="0092635B" w:rsidRDefault="00000000">
      <w:pPr>
        <w:pStyle w:val="Prrafodelista"/>
        <w:numPr>
          <w:ilvl w:val="0"/>
          <w:numId w:val="127"/>
        </w:numPr>
        <w:tabs>
          <w:tab w:val="left" w:pos="1723"/>
        </w:tabs>
        <w:spacing w:before="123" w:line="249" w:lineRule="auto"/>
        <w:ind w:firstLine="340"/>
        <w:jc w:val="both"/>
        <w:rPr>
          <w:sz w:val="20"/>
        </w:rPr>
      </w:pPr>
      <w:r>
        <w:rPr>
          <w:sz w:val="20"/>
        </w:rPr>
        <w:t>El órgano de contratación podrá acordar, cuando el interés público lo exija y si concurren las circunstancias previstas en esta Ley, la modificación de las obras, así como su ampliación, procediéndose, en su caso, a la revisión del plan económico-financiero al objeto de acomodarlo a las nuevas circunstancias.</w:t>
      </w:r>
    </w:p>
    <w:p w:rsidR="0092635B" w:rsidRDefault="00000000">
      <w:pPr>
        <w:pStyle w:val="Prrafodelista"/>
        <w:numPr>
          <w:ilvl w:val="0"/>
          <w:numId w:val="127"/>
        </w:numPr>
        <w:tabs>
          <w:tab w:val="left" w:pos="1675"/>
        </w:tabs>
        <w:spacing w:before="4" w:line="249" w:lineRule="auto"/>
        <w:ind w:right="1106" w:firstLine="340"/>
        <w:jc w:val="both"/>
        <w:rPr>
          <w:sz w:val="20"/>
        </w:rPr>
      </w:pPr>
      <w:r>
        <w:rPr>
          <w:sz w:val="20"/>
        </w:rPr>
        <w:t>Toda modificación que afecte el equilibrio económico de la concesión se regirá por las normas generales de modificación y por lo dispuesto en el artículo 270 de la presente Ley.</w:t>
      </w:r>
    </w:p>
    <w:p w:rsidR="0092635B" w:rsidRDefault="00000000">
      <w:pPr>
        <w:spacing w:before="228"/>
        <w:ind w:left="1106"/>
        <w:rPr>
          <w:rFonts w:ascii="Arial" w:hAnsi="Arial"/>
          <w:i/>
          <w:sz w:val="20"/>
        </w:rPr>
      </w:pPr>
      <w:bookmarkStart w:id="421" w:name="Artículo_263._Secuestro_o_intervención_d"/>
      <w:bookmarkEnd w:id="421"/>
      <w:r>
        <w:rPr>
          <w:rFonts w:ascii="Arial" w:hAnsi="Arial"/>
          <w:b/>
          <w:sz w:val="20"/>
        </w:rPr>
        <w:t>Artículo</w:t>
      </w:r>
      <w:r>
        <w:rPr>
          <w:rFonts w:ascii="Arial" w:hAnsi="Arial"/>
          <w:b/>
          <w:spacing w:val="-3"/>
          <w:sz w:val="20"/>
        </w:rPr>
        <w:t xml:space="preserve"> </w:t>
      </w:r>
      <w:r>
        <w:rPr>
          <w:rFonts w:ascii="Arial" w:hAnsi="Arial"/>
          <w:b/>
          <w:sz w:val="20"/>
        </w:rPr>
        <w:t>263.</w:t>
      </w:r>
      <w:r>
        <w:rPr>
          <w:rFonts w:ascii="Arial" w:hAnsi="Arial"/>
          <w:b/>
          <w:spacing w:val="49"/>
          <w:sz w:val="20"/>
        </w:rPr>
        <w:t xml:space="preserve"> </w:t>
      </w:r>
      <w:r>
        <w:rPr>
          <w:rFonts w:ascii="Arial" w:hAnsi="Arial"/>
          <w:i/>
          <w:sz w:val="20"/>
        </w:rPr>
        <w:t>Secuestro</w:t>
      </w:r>
      <w:r>
        <w:rPr>
          <w:rFonts w:ascii="Arial" w:hAnsi="Arial"/>
          <w:i/>
          <w:spacing w:val="-3"/>
          <w:sz w:val="20"/>
        </w:rPr>
        <w:t xml:space="preserve"> </w:t>
      </w:r>
      <w:r>
        <w:rPr>
          <w:rFonts w:ascii="Arial" w:hAnsi="Arial"/>
          <w:i/>
          <w:sz w:val="20"/>
        </w:rPr>
        <w:t>o</w:t>
      </w:r>
      <w:r>
        <w:rPr>
          <w:rFonts w:ascii="Arial" w:hAnsi="Arial"/>
          <w:i/>
          <w:spacing w:val="-3"/>
          <w:sz w:val="20"/>
        </w:rPr>
        <w:t xml:space="preserve"> </w:t>
      </w:r>
      <w:r>
        <w:rPr>
          <w:rFonts w:ascii="Arial" w:hAnsi="Arial"/>
          <w:i/>
          <w:sz w:val="20"/>
        </w:rPr>
        <w:t>intervención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concesión.</w:t>
      </w:r>
    </w:p>
    <w:p w:rsidR="0092635B" w:rsidRDefault="00000000">
      <w:pPr>
        <w:pStyle w:val="Prrafodelista"/>
        <w:numPr>
          <w:ilvl w:val="0"/>
          <w:numId w:val="126"/>
        </w:numPr>
        <w:tabs>
          <w:tab w:val="left" w:pos="1730"/>
        </w:tabs>
        <w:spacing w:before="123" w:line="249" w:lineRule="auto"/>
        <w:ind w:firstLine="340"/>
        <w:jc w:val="both"/>
        <w:rPr>
          <w:sz w:val="20"/>
        </w:rPr>
      </w:pPr>
      <w:r>
        <w:rPr>
          <w:sz w:val="20"/>
        </w:rPr>
        <w:t xml:space="preserve">El órgano de contratación, previa audiencia del concesionario, podrá acordar el secuestro o intervención de la concesión en los casos en que el concesionario no pueda hacer frente, temporalmente y con grave daño social, a la explotación de la obra por causas ajenas al mismo o incurriese en un incumplimiento grave de sus obligaciones que pusiera en peligro dicha explotación. El acuerdo del órgano de contratación será notificado al concesionario y si este, dentro del plazo que se le hubiera fijado, no corrigiera la deficiencia se ejecutará el secuestro o intervención. Asimismo, se podrá acordar el secuestro o intervención en los demás casos recogidos en esta Ley con los efectos previstos en la </w:t>
      </w:r>
      <w:r>
        <w:rPr>
          <w:spacing w:val="-2"/>
          <w:sz w:val="20"/>
        </w:rPr>
        <w:t>misma.</w:t>
      </w:r>
    </w:p>
    <w:p w:rsidR="0092635B" w:rsidRDefault="00000000">
      <w:pPr>
        <w:pStyle w:val="Prrafodelista"/>
        <w:numPr>
          <w:ilvl w:val="0"/>
          <w:numId w:val="126"/>
        </w:numPr>
        <w:tabs>
          <w:tab w:val="left" w:pos="1708"/>
        </w:tabs>
        <w:spacing w:before="8" w:line="249" w:lineRule="auto"/>
        <w:ind w:firstLine="340"/>
        <w:jc w:val="both"/>
        <w:rPr>
          <w:sz w:val="20"/>
        </w:rPr>
      </w:pPr>
      <w:r>
        <w:rPr>
          <w:sz w:val="20"/>
        </w:rPr>
        <w:t xml:space="preserve">Efectuado el secuestro o intervención, corresponderá al órgano de contratación la explotación directa de la obra pública y la percepción de la contraprestación establecida, pudiendo utilizar el mismo personal y material del concesionario. El órgano de contratación designará uno o varios interventores que sustituirán plena o parcialmente al personal directivo de la empresa concesionaria. La explotación de la obra objeto de secuestro o intervención se efectuará por cuenta y riesgo del concesionario, a quien se devolverá, al finalizar aquel, con el saldo que resulte después de satisfacer todos los gastos, incluidos los honorarios de los interventores, y deducir, en su caso la cuantía de las penalidades </w:t>
      </w:r>
      <w:r>
        <w:rPr>
          <w:spacing w:val="-2"/>
          <w:sz w:val="20"/>
        </w:rPr>
        <w:t>impuestas.</w:t>
      </w:r>
    </w:p>
    <w:p w:rsidR="0092635B" w:rsidRDefault="00000000">
      <w:pPr>
        <w:pStyle w:val="Prrafodelista"/>
        <w:numPr>
          <w:ilvl w:val="0"/>
          <w:numId w:val="126"/>
        </w:numPr>
        <w:tabs>
          <w:tab w:val="left" w:pos="1728"/>
        </w:tabs>
        <w:spacing w:before="7" w:line="249" w:lineRule="auto"/>
        <w:ind w:right="1104" w:firstLine="340"/>
        <w:jc w:val="both"/>
        <w:rPr>
          <w:sz w:val="20"/>
        </w:rPr>
      </w:pPr>
      <w:r>
        <w:rPr>
          <w:sz w:val="20"/>
        </w:rPr>
        <w:t>El secuestro o intervención tendrá carácter temporal y su duración será la que determine el órgano de contratación sin que pueda exceder, incluidas las posibles prórrogas, de tres años. El órgano de contratación acordará de oficio o a petición del concesionario el cese del secuestro o intervención cuando resultara acreditada la desaparición de las causas que lo hubieran motivado y el concesionario justificase estar en condiciones de proseguir la normal explotación de la obra. Transcurrido el plazo fijado para el secuestro o intervención sin que el concesionario haya garantizado la asunción completa de sus obligaciones, el órgano de contratación resolverá el contrato de concesión.</w:t>
      </w:r>
    </w:p>
    <w:p w:rsidR="0092635B" w:rsidRDefault="0092635B">
      <w:pPr>
        <w:pStyle w:val="Textoindependiente"/>
        <w:spacing w:before="3"/>
        <w:ind w:left="0" w:firstLine="0"/>
        <w:jc w:val="left"/>
      </w:pPr>
    </w:p>
    <w:p w:rsidR="0092635B" w:rsidRDefault="00000000">
      <w:pPr>
        <w:ind w:left="1106"/>
        <w:rPr>
          <w:rFonts w:ascii="Arial" w:hAnsi="Arial"/>
          <w:i/>
          <w:sz w:val="20"/>
        </w:rPr>
      </w:pPr>
      <w:bookmarkStart w:id="422" w:name="Artículo_264._Penalidades_por_incumplimi"/>
      <w:bookmarkEnd w:id="422"/>
      <w:r>
        <w:rPr>
          <w:rFonts w:ascii="Arial" w:hAnsi="Arial"/>
          <w:b/>
          <w:sz w:val="20"/>
        </w:rPr>
        <w:t>Artículo</w:t>
      </w:r>
      <w:r>
        <w:rPr>
          <w:rFonts w:ascii="Arial" w:hAnsi="Arial"/>
          <w:b/>
          <w:spacing w:val="-5"/>
          <w:sz w:val="20"/>
        </w:rPr>
        <w:t xml:space="preserve"> </w:t>
      </w:r>
      <w:r>
        <w:rPr>
          <w:rFonts w:ascii="Arial" w:hAnsi="Arial"/>
          <w:b/>
          <w:sz w:val="20"/>
        </w:rPr>
        <w:t>264.</w:t>
      </w:r>
      <w:r>
        <w:rPr>
          <w:rFonts w:ascii="Arial" w:hAnsi="Arial"/>
          <w:b/>
          <w:spacing w:val="50"/>
          <w:sz w:val="20"/>
        </w:rPr>
        <w:t xml:space="preserve"> </w:t>
      </w:r>
      <w:r>
        <w:rPr>
          <w:rFonts w:ascii="Arial" w:hAnsi="Arial"/>
          <w:i/>
          <w:sz w:val="20"/>
        </w:rPr>
        <w:t>Penalidades</w:t>
      </w:r>
      <w:r>
        <w:rPr>
          <w:rFonts w:ascii="Arial" w:hAnsi="Arial"/>
          <w:i/>
          <w:spacing w:val="-2"/>
          <w:sz w:val="20"/>
        </w:rPr>
        <w:t xml:space="preserve"> </w:t>
      </w:r>
      <w:r>
        <w:rPr>
          <w:rFonts w:ascii="Arial" w:hAnsi="Arial"/>
          <w:i/>
          <w:sz w:val="20"/>
        </w:rPr>
        <w:t>por</w:t>
      </w:r>
      <w:r>
        <w:rPr>
          <w:rFonts w:ascii="Arial" w:hAnsi="Arial"/>
          <w:i/>
          <w:spacing w:val="-2"/>
          <w:sz w:val="20"/>
        </w:rPr>
        <w:t xml:space="preserve"> </w:t>
      </w:r>
      <w:r>
        <w:rPr>
          <w:rFonts w:ascii="Arial" w:hAnsi="Arial"/>
          <w:i/>
          <w:sz w:val="20"/>
        </w:rPr>
        <w:t>incumplimiento</w:t>
      </w:r>
      <w:r>
        <w:rPr>
          <w:rFonts w:ascii="Arial" w:hAnsi="Arial"/>
          <w:i/>
          <w:spacing w:val="-2"/>
          <w:sz w:val="20"/>
        </w:rPr>
        <w:t xml:space="preserve"> </w:t>
      </w:r>
      <w:r>
        <w:rPr>
          <w:rFonts w:ascii="Arial" w:hAnsi="Arial"/>
          <w:i/>
          <w:sz w:val="20"/>
        </w:rPr>
        <w:t>del</w:t>
      </w:r>
      <w:r>
        <w:rPr>
          <w:rFonts w:ascii="Arial" w:hAnsi="Arial"/>
          <w:i/>
          <w:spacing w:val="-2"/>
          <w:sz w:val="20"/>
        </w:rPr>
        <w:t xml:space="preserve"> concesionario.</w:t>
      </w:r>
    </w:p>
    <w:p w:rsidR="0092635B" w:rsidRDefault="00000000">
      <w:pPr>
        <w:pStyle w:val="Prrafodelista"/>
        <w:numPr>
          <w:ilvl w:val="0"/>
          <w:numId w:val="125"/>
        </w:numPr>
        <w:tabs>
          <w:tab w:val="left" w:pos="1716"/>
        </w:tabs>
        <w:spacing w:before="124" w:line="249" w:lineRule="auto"/>
        <w:ind w:right="1105" w:firstLine="340"/>
        <w:jc w:val="both"/>
        <w:rPr>
          <w:sz w:val="20"/>
        </w:rPr>
      </w:pPr>
      <w:r>
        <w:rPr>
          <w:sz w:val="20"/>
        </w:rPr>
        <w:t>Los pliegos de cláusulas administrativas particulares establecerán un catálogo de incumplimientos de las obligaciones del concesionario, distinguiendo entre los de carácter leve y grave. Deberán considerarse penalizables el incumplimiento total o parcial por el concesionario de las prohibiciones establecidas en esta Ley, la omisión de actuaciones que fueran obligatorias conforme a ella y, en particular, el incumplimiento de los plazos para la ejecución de las obras, la negligencia en el cumplimiento de sus deberes de uso, policía y conservación de la obra pública, la interrupción injustificada total o parcial de su utilización, y el cobro al usuario de cantidades superiores a las legalmente autorizadas.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25"/>
        </w:numPr>
        <w:tabs>
          <w:tab w:val="left" w:pos="1681"/>
        </w:tabs>
        <w:spacing w:before="1" w:line="249" w:lineRule="auto"/>
        <w:ind w:firstLine="340"/>
        <w:jc w:val="both"/>
        <w:rPr>
          <w:sz w:val="20"/>
        </w:rPr>
      </w:pPr>
      <w:r>
        <w:rPr>
          <w:sz w:val="20"/>
        </w:rPr>
        <w:t>El órgano de contratación podrá imponer penalidades de carácter económico, que se establecerán en los pliegos de forma proporcional al tipo de incumplimiento y a la</w:t>
      </w:r>
      <w:r>
        <w:rPr>
          <w:spacing w:val="40"/>
          <w:sz w:val="20"/>
        </w:rPr>
        <w:t xml:space="preserve"> </w:t>
      </w:r>
      <w:r>
        <w:rPr>
          <w:sz w:val="20"/>
        </w:rPr>
        <w:t>importancia económica de la explotación. El límite máximo de las penalidades a imponer no podrá exceder del 10 por cien del presupuesto total de la obra durante su fase de construcción. Si la concesión estuviera en fase de explotación, el límite máximo de las penalidades anuales no podrá exceder del 20 por cien de los ingresos obtenidos por la explotación de la obra pública durante el año anterior.</w:t>
      </w:r>
    </w:p>
    <w:p w:rsidR="0092635B" w:rsidRDefault="00000000">
      <w:pPr>
        <w:pStyle w:val="Textoindependiente"/>
        <w:spacing w:before="5" w:line="249" w:lineRule="auto"/>
        <w:ind w:right="1104"/>
      </w:pPr>
      <w:r>
        <w:t>Los límites establecidos para las penalizaciones serán los fijados en el párrafo anterior siempre que el daño causado no supere la cuantía máxima fijada en los mismos. Si la cuantía del daño causado es superior a la penalización máxima establecida en este artículo, se ampliará el límite hasta el valor del daño causado.</w:t>
      </w:r>
    </w:p>
    <w:p w:rsidR="0092635B" w:rsidRDefault="00000000">
      <w:pPr>
        <w:pStyle w:val="Prrafodelista"/>
        <w:numPr>
          <w:ilvl w:val="0"/>
          <w:numId w:val="125"/>
        </w:numPr>
        <w:tabs>
          <w:tab w:val="left" w:pos="1686"/>
        </w:tabs>
        <w:spacing w:before="4" w:line="249" w:lineRule="auto"/>
        <w:ind w:firstLine="340"/>
        <w:jc w:val="both"/>
        <w:rPr>
          <w:sz w:val="20"/>
        </w:rPr>
      </w:pPr>
      <w:r>
        <w:rPr>
          <w:sz w:val="20"/>
        </w:rPr>
        <w:t>Los incumplimientos graves darán lugar, además, a la resolución de la concesión en los casos previstos en el correspondiente pliego.</w:t>
      </w:r>
    </w:p>
    <w:p w:rsidR="0092635B" w:rsidRDefault="00000000">
      <w:pPr>
        <w:pStyle w:val="Prrafodelista"/>
        <w:numPr>
          <w:ilvl w:val="0"/>
          <w:numId w:val="125"/>
        </w:numPr>
        <w:tabs>
          <w:tab w:val="left" w:pos="1695"/>
        </w:tabs>
        <w:spacing w:before="1" w:line="249" w:lineRule="auto"/>
        <w:ind w:right="1104" w:firstLine="340"/>
        <w:jc w:val="both"/>
        <w:rPr>
          <w:sz w:val="20"/>
        </w:rPr>
      </w:pPr>
      <w:r>
        <w:rPr>
          <w:sz w:val="20"/>
        </w:rPr>
        <w:t>Además de los supuestos previstos en esta Ley, en los pliegos se establecerán los incumplimientos graves que pueden dar lugar al secuestro temporal de la concesión, con independencia de las penalidades que en cada caso procedan por razón del incumplimiento.</w:t>
      </w:r>
    </w:p>
    <w:p w:rsidR="0092635B" w:rsidRDefault="00000000">
      <w:pPr>
        <w:pStyle w:val="Prrafodelista"/>
        <w:numPr>
          <w:ilvl w:val="0"/>
          <w:numId w:val="125"/>
        </w:numPr>
        <w:tabs>
          <w:tab w:val="left" w:pos="1712"/>
        </w:tabs>
        <w:spacing w:before="3" w:line="249" w:lineRule="auto"/>
        <w:ind w:firstLine="340"/>
        <w:jc w:val="both"/>
        <w:rPr>
          <w:sz w:val="20"/>
        </w:rPr>
      </w:pPr>
      <w:r>
        <w:rPr>
          <w:sz w:val="20"/>
        </w:rPr>
        <w:t>Durante la fase de ejecución de la obra el régimen de penalidades a imponer al concesionario será el establecido en el artículo 192 de la presente Ley.</w:t>
      </w:r>
    </w:p>
    <w:p w:rsidR="0092635B" w:rsidRDefault="00000000">
      <w:pPr>
        <w:pStyle w:val="Prrafodelista"/>
        <w:numPr>
          <w:ilvl w:val="0"/>
          <w:numId w:val="125"/>
        </w:numPr>
        <w:tabs>
          <w:tab w:val="left" w:pos="1668"/>
        </w:tabs>
        <w:spacing w:before="1" w:line="249" w:lineRule="auto"/>
        <w:ind w:right="1104" w:firstLine="340"/>
        <w:jc w:val="both"/>
        <w:rPr>
          <w:sz w:val="20"/>
        </w:rPr>
      </w:pPr>
      <w:r>
        <w:rPr>
          <w:sz w:val="20"/>
        </w:rPr>
        <w:t>Con</w:t>
      </w:r>
      <w:r>
        <w:rPr>
          <w:spacing w:val="-3"/>
          <w:sz w:val="20"/>
        </w:rPr>
        <w:t xml:space="preserve"> </w:t>
      </w:r>
      <w:r>
        <w:rPr>
          <w:sz w:val="20"/>
        </w:rPr>
        <w:t>independencia</w:t>
      </w:r>
      <w:r>
        <w:rPr>
          <w:spacing w:val="-3"/>
          <w:sz w:val="20"/>
        </w:rPr>
        <w:t xml:space="preserve"> </w:t>
      </w:r>
      <w:r>
        <w:rPr>
          <w:sz w:val="20"/>
        </w:rPr>
        <w:t>del</w:t>
      </w:r>
      <w:r>
        <w:rPr>
          <w:spacing w:val="-3"/>
          <w:sz w:val="20"/>
        </w:rPr>
        <w:t xml:space="preserve"> </w:t>
      </w:r>
      <w:r>
        <w:rPr>
          <w:sz w:val="20"/>
        </w:rPr>
        <w:t>régimen</w:t>
      </w:r>
      <w:r>
        <w:rPr>
          <w:spacing w:val="-3"/>
          <w:sz w:val="20"/>
        </w:rPr>
        <w:t xml:space="preserve"> </w:t>
      </w:r>
      <w:r>
        <w:rPr>
          <w:sz w:val="20"/>
        </w:rPr>
        <w:t>de</w:t>
      </w:r>
      <w:r>
        <w:rPr>
          <w:spacing w:val="-3"/>
          <w:sz w:val="20"/>
        </w:rPr>
        <w:t xml:space="preserve"> </w:t>
      </w:r>
      <w:r>
        <w:rPr>
          <w:sz w:val="20"/>
        </w:rPr>
        <w:t>penalidades</w:t>
      </w:r>
      <w:r>
        <w:rPr>
          <w:spacing w:val="-3"/>
          <w:sz w:val="20"/>
        </w:rPr>
        <w:t xml:space="preserve"> </w:t>
      </w:r>
      <w:r>
        <w:rPr>
          <w:sz w:val="20"/>
        </w:rPr>
        <w:t>previsto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pliego,</w:t>
      </w:r>
      <w:r>
        <w:rPr>
          <w:spacing w:val="-3"/>
          <w:sz w:val="20"/>
        </w:rPr>
        <w:t xml:space="preserve"> </w:t>
      </w:r>
      <w:r>
        <w:rPr>
          <w:sz w:val="20"/>
        </w:rPr>
        <w:t>la</w:t>
      </w:r>
      <w:r>
        <w:rPr>
          <w:spacing w:val="-3"/>
          <w:sz w:val="20"/>
        </w:rPr>
        <w:t xml:space="preserve"> </w:t>
      </w:r>
      <w:r>
        <w:rPr>
          <w:sz w:val="20"/>
        </w:rPr>
        <w:t>Administración podrá también imponer al concesionario multas coercitivas cuando persista en el incumplimiento de sus obligaciones, siempre que hubiera sido requerido previamente y no</w:t>
      </w:r>
      <w:r>
        <w:rPr>
          <w:spacing w:val="40"/>
          <w:sz w:val="20"/>
        </w:rPr>
        <w:t xml:space="preserve"> </w:t>
      </w:r>
      <w:r>
        <w:rPr>
          <w:sz w:val="20"/>
        </w:rPr>
        <w:t>las hubiera cumplido en el plazo fijado. A falta de determinación por la legislación específica, el importe diario de la multa será de 3.000 euros.</w:t>
      </w:r>
    </w:p>
    <w:p w:rsidR="0092635B" w:rsidRDefault="0092635B">
      <w:pPr>
        <w:pStyle w:val="Textoindependiente"/>
        <w:spacing w:before="1"/>
        <w:ind w:left="0" w:firstLine="0"/>
        <w:jc w:val="left"/>
      </w:pPr>
    </w:p>
    <w:p w:rsidR="0092635B" w:rsidRDefault="00000000">
      <w:pPr>
        <w:pStyle w:val="Ttulo3"/>
        <w:ind w:left="1"/>
      </w:pPr>
      <w:bookmarkStart w:id="423" w:name="Sección_5.ª_Régimen_económico_financiero"/>
      <w:bookmarkStart w:id="424" w:name="_bookmark81"/>
      <w:bookmarkEnd w:id="423"/>
      <w:bookmarkEnd w:id="424"/>
      <w:r>
        <w:t>Sección</w:t>
      </w:r>
      <w:r>
        <w:rPr>
          <w:spacing w:val="-1"/>
        </w:rPr>
        <w:t xml:space="preserve"> </w:t>
      </w:r>
      <w:r>
        <w:t>5.ª</w:t>
      </w:r>
      <w:r>
        <w:rPr>
          <w:spacing w:val="-1"/>
        </w:rPr>
        <w:t xml:space="preserve"> </w:t>
      </w:r>
      <w:r>
        <w:t>Régimen económico</w:t>
      </w:r>
      <w:r>
        <w:rPr>
          <w:spacing w:val="-1"/>
        </w:rPr>
        <w:t xml:space="preserve"> </w:t>
      </w:r>
      <w:r>
        <w:t>financiero de</w:t>
      </w:r>
      <w:r>
        <w:rPr>
          <w:spacing w:val="-1"/>
        </w:rPr>
        <w:t xml:space="preserve"> </w:t>
      </w:r>
      <w:r>
        <w:t xml:space="preserve">la </w:t>
      </w:r>
      <w:r>
        <w:rPr>
          <w:spacing w:val="-2"/>
        </w:rPr>
        <w:t>concesión</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25" w:name="Artículo_265._Financiación_de_las_obras."/>
      <w:bookmarkEnd w:id="425"/>
      <w:r>
        <w:rPr>
          <w:rFonts w:ascii="Arial" w:hAnsi="Arial"/>
          <w:b/>
          <w:sz w:val="20"/>
        </w:rPr>
        <w:t>Artículo</w:t>
      </w:r>
      <w:r>
        <w:rPr>
          <w:rFonts w:ascii="Arial" w:hAnsi="Arial"/>
          <w:b/>
          <w:spacing w:val="-4"/>
          <w:sz w:val="20"/>
        </w:rPr>
        <w:t xml:space="preserve"> </w:t>
      </w:r>
      <w:r>
        <w:rPr>
          <w:rFonts w:ascii="Arial" w:hAnsi="Arial"/>
          <w:b/>
          <w:sz w:val="20"/>
        </w:rPr>
        <w:t>265.</w:t>
      </w:r>
      <w:r>
        <w:rPr>
          <w:rFonts w:ascii="Arial" w:hAnsi="Arial"/>
          <w:b/>
          <w:spacing w:val="50"/>
          <w:sz w:val="20"/>
        </w:rPr>
        <w:t xml:space="preserve"> </w:t>
      </w:r>
      <w:r>
        <w:rPr>
          <w:rFonts w:ascii="Arial" w:hAnsi="Arial"/>
          <w:i/>
          <w:sz w:val="20"/>
        </w:rPr>
        <w:t>Financiación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obras.</w:t>
      </w:r>
    </w:p>
    <w:p w:rsidR="0092635B" w:rsidRDefault="00000000">
      <w:pPr>
        <w:pStyle w:val="Prrafodelista"/>
        <w:numPr>
          <w:ilvl w:val="0"/>
          <w:numId w:val="124"/>
        </w:numPr>
        <w:tabs>
          <w:tab w:val="left" w:pos="1743"/>
        </w:tabs>
        <w:spacing w:before="124" w:line="249" w:lineRule="auto"/>
        <w:ind w:right="1104" w:firstLine="340"/>
        <w:jc w:val="both"/>
        <w:rPr>
          <w:sz w:val="20"/>
        </w:rPr>
      </w:pPr>
      <w:r>
        <w:rPr>
          <w:sz w:val="20"/>
        </w:rPr>
        <w:t>Las obras objeto de concesión serán financiadas, total o parcialmente, por el concesionario que, en todo caso, asumirá el riesgo operacional en los términos definidos en el apartado cuarto del artículo 14.</w:t>
      </w:r>
    </w:p>
    <w:p w:rsidR="0092635B" w:rsidRDefault="00000000">
      <w:pPr>
        <w:pStyle w:val="Prrafodelista"/>
        <w:numPr>
          <w:ilvl w:val="0"/>
          <w:numId w:val="124"/>
        </w:numPr>
        <w:tabs>
          <w:tab w:val="left" w:pos="1695"/>
        </w:tabs>
        <w:spacing w:line="249" w:lineRule="auto"/>
        <w:ind w:right="1104" w:firstLine="340"/>
        <w:jc w:val="both"/>
        <w:rPr>
          <w:sz w:val="20"/>
        </w:rPr>
      </w:pPr>
      <w:r>
        <w:rPr>
          <w:sz w:val="20"/>
        </w:rPr>
        <w:t>Cuando existan razones de rentabilidad económica o social, o concurran singulares exigencias derivadas del fin público o interés general de las obras objeto de concesión, la Administración podrá también aportar recursos públicos para su financiación, que adoptará</w:t>
      </w:r>
      <w:r>
        <w:rPr>
          <w:spacing w:val="80"/>
          <w:sz w:val="20"/>
        </w:rPr>
        <w:t xml:space="preserve"> </w:t>
      </w:r>
      <w:r>
        <w:rPr>
          <w:sz w:val="20"/>
        </w:rPr>
        <w:t>la forma de financiación conjunta de la obra, mediante subvenciones o préstamos reintegrables, con o sin interés, de acuerdo con lo establecido en el artículo 252 y en esta Sección, y de conformidad con las previsiones del correspondiente pliego de cláusulas administrativas particulares, debiendo respetarse en todo caso el principio de asunción del riesgo operacional por el concesionario.</w:t>
      </w:r>
    </w:p>
    <w:p w:rsidR="0092635B" w:rsidRDefault="00000000">
      <w:pPr>
        <w:pStyle w:val="Prrafodelista"/>
        <w:numPr>
          <w:ilvl w:val="0"/>
          <w:numId w:val="124"/>
        </w:numPr>
        <w:tabs>
          <w:tab w:val="left" w:pos="1682"/>
        </w:tabs>
        <w:spacing w:before="7" w:line="249" w:lineRule="auto"/>
        <w:ind w:firstLine="340"/>
        <w:jc w:val="both"/>
        <w:rPr>
          <w:sz w:val="20"/>
        </w:rPr>
      </w:pPr>
      <w:r>
        <w:rPr>
          <w:sz w:val="20"/>
        </w:rPr>
        <w:t>La construcción de las obras objeto de concesión podrá asimismo ser financiada con aportaciones de otras Administraciones Públicas distintas a la concedente, en los términos que se contengan en el correspondiente convenio, y con la financiación que pueda provenir de otros organismos nacionales o internacionales.</w:t>
      </w:r>
    </w:p>
    <w:p w:rsidR="0092635B" w:rsidRDefault="00000000">
      <w:pPr>
        <w:spacing w:before="230"/>
        <w:ind w:left="1106"/>
        <w:rPr>
          <w:rFonts w:ascii="Arial" w:hAnsi="Arial"/>
          <w:i/>
          <w:sz w:val="20"/>
        </w:rPr>
      </w:pPr>
      <w:bookmarkStart w:id="426" w:name="Artículo_266._Aportaciones_Públicas_a_la"/>
      <w:bookmarkEnd w:id="426"/>
      <w:r>
        <w:rPr>
          <w:rFonts w:ascii="Arial" w:hAnsi="Arial"/>
          <w:b/>
          <w:sz w:val="20"/>
        </w:rPr>
        <w:t>Artículo</w:t>
      </w:r>
      <w:r>
        <w:rPr>
          <w:rFonts w:ascii="Arial" w:hAnsi="Arial"/>
          <w:b/>
          <w:spacing w:val="-2"/>
          <w:sz w:val="20"/>
        </w:rPr>
        <w:t xml:space="preserve"> </w:t>
      </w:r>
      <w:r>
        <w:rPr>
          <w:rFonts w:ascii="Arial" w:hAnsi="Arial"/>
          <w:b/>
          <w:sz w:val="20"/>
        </w:rPr>
        <w:t>266.</w:t>
      </w:r>
      <w:r>
        <w:rPr>
          <w:rFonts w:ascii="Arial" w:hAnsi="Arial"/>
          <w:b/>
          <w:spacing w:val="52"/>
          <w:sz w:val="20"/>
        </w:rPr>
        <w:t xml:space="preserve"> </w:t>
      </w:r>
      <w:r>
        <w:rPr>
          <w:rFonts w:ascii="Arial" w:hAnsi="Arial"/>
          <w:i/>
          <w:sz w:val="20"/>
        </w:rPr>
        <w:t>Aportaciones</w:t>
      </w:r>
      <w:r>
        <w:rPr>
          <w:rFonts w:ascii="Arial" w:hAnsi="Arial"/>
          <w:i/>
          <w:spacing w:val="-1"/>
          <w:sz w:val="20"/>
        </w:rPr>
        <w:t xml:space="preserve"> </w:t>
      </w:r>
      <w:r>
        <w:rPr>
          <w:rFonts w:ascii="Arial" w:hAnsi="Arial"/>
          <w:i/>
          <w:sz w:val="20"/>
        </w:rPr>
        <w:t>Públicas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z w:val="20"/>
        </w:rPr>
        <w:t>construcción</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garantías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financiación.</w:t>
      </w:r>
    </w:p>
    <w:p w:rsidR="0092635B" w:rsidRDefault="00000000">
      <w:pPr>
        <w:pStyle w:val="Prrafodelista"/>
        <w:numPr>
          <w:ilvl w:val="0"/>
          <w:numId w:val="123"/>
        </w:numPr>
        <w:tabs>
          <w:tab w:val="left" w:pos="1741"/>
        </w:tabs>
        <w:spacing w:before="123" w:line="249" w:lineRule="auto"/>
        <w:ind w:firstLine="340"/>
        <w:jc w:val="both"/>
        <w:rPr>
          <w:sz w:val="20"/>
        </w:rPr>
      </w:pPr>
      <w:r>
        <w:rPr>
          <w:sz w:val="20"/>
        </w:rPr>
        <w:t xml:space="preserve">Las Administraciones Públicas podrán contribuir a la financiación de las obras mediante aportaciones que serán realizadas durante la fase de ejecución de las obras, tal como dispone el artículo 252, o una vez concluidas estas, y cuyo importe será fijado por los licitadores en sus ofertas dentro de la cuantía máxima que establezcan los pliegos de </w:t>
      </w:r>
      <w:r>
        <w:rPr>
          <w:spacing w:val="-2"/>
          <w:sz w:val="20"/>
        </w:rPr>
        <w:t>condiciones.</w:t>
      </w:r>
    </w:p>
    <w:p w:rsidR="0092635B" w:rsidRDefault="00000000">
      <w:pPr>
        <w:pStyle w:val="Prrafodelista"/>
        <w:numPr>
          <w:ilvl w:val="0"/>
          <w:numId w:val="123"/>
        </w:numPr>
        <w:tabs>
          <w:tab w:val="left" w:pos="1699"/>
        </w:tabs>
        <w:spacing w:before="4" w:line="249" w:lineRule="auto"/>
        <w:ind w:right="1104" w:firstLine="340"/>
        <w:jc w:val="both"/>
        <w:rPr>
          <w:sz w:val="20"/>
        </w:rPr>
      </w:pPr>
      <w:r>
        <w:rPr>
          <w:sz w:val="20"/>
        </w:rPr>
        <w:t>Las aportaciones públicas a que se refiere el apartado anterior podrán consistir en aportaciones no dinerarias del órgano de contratación o de cualquier otra Administración con la que exista convenio al efecto, de acuerdo con la valoración de las mismas que se contenga en el pliego de cláusulas administrativas particulares.</w:t>
      </w:r>
    </w:p>
    <w:p w:rsidR="0092635B" w:rsidRDefault="00000000">
      <w:pPr>
        <w:pStyle w:val="Textoindependiente"/>
        <w:spacing w:before="3" w:line="249" w:lineRule="auto"/>
        <w:ind w:right="1104"/>
      </w:pPr>
      <w:r>
        <w:t>Los bienes inmuebles que se entreguen al concesionario se integrarán en el patrimonio afecto</w:t>
      </w:r>
      <w:r>
        <w:rPr>
          <w:spacing w:val="-2"/>
        </w:rPr>
        <w:t xml:space="preserve"> </w:t>
      </w:r>
      <w:r>
        <w:t>a</w:t>
      </w:r>
      <w:r>
        <w:rPr>
          <w:spacing w:val="-2"/>
        </w:rPr>
        <w:t xml:space="preserve"> </w:t>
      </w:r>
      <w:r>
        <w:t>la</w:t>
      </w:r>
      <w:r>
        <w:rPr>
          <w:spacing w:val="-2"/>
        </w:rPr>
        <w:t xml:space="preserve"> </w:t>
      </w:r>
      <w:r>
        <w:t>concesión,</w:t>
      </w:r>
      <w:r>
        <w:rPr>
          <w:spacing w:val="-2"/>
        </w:rPr>
        <w:t xml:space="preserve"> </w:t>
      </w:r>
      <w:r>
        <w:t>destinándose</w:t>
      </w:r>
      <w:r>
        <w:rPr>
          <w:spacing w:val="-2"/>
        </w:rPr>
        <w:t xml:space="preserve"> </w:t>
      </w:r>
      <w:r>
        <w:t>al</w:t>
      </w:r>
      <w:r>
        <w:rPr>
          <w:spacing w:val="-2"/>
        </w:rPr>
        <w:t xml:space="preserve"> </w:t>
      </w:r>
      <w:r>
        <w:t>uso</w:t>
      </w:r>
      <w:r>
        <w:rPr>
          <w:spacing w:val="-2"/>
        </w:rPr>
        <w:t xml:space="preserve"> </w:t>
      </w:r>
      <w:r>
        <w:t>previsto</w:t>
      </w:r>
      <w:r>
        <w:rPr>
          <w:spacing w:val="-2"/>
        </w:rPr>
        <w:t xml:space="preserve"> </w:t>
      </w:r>
      <w:r>
        <w:t>en</w:t>
      </w:r>
      <w:r>
        <w:rPr>
          <w:spacing w:val="-2"/>
        </w:rPr>
        <w:t xml:space="preserve"> </w:t>
      </w:r>
      <w:r>
        <w:t>el</w:t>
      </w:r>
      <w:r>
        <w:rPr>
          <w:spacing w:val="-2"/>
        </w:rPr>
        <w:t xml:space="preserve"> </w:t>
      </w:r>
      <w:r>
        <w:t>proyecto</w:t>
      </w:r>
      <w:r>
        <w:rPr>
          <w:spacing w:val="-2"/>
        </w:rPr>
        <w:t xml:space="preserve"> </w:t>
      </w:r>
      <w:r>
        <w:t>de</w:t>
      </w:r>
      <w:r>
        <w:rPr>
          <w:spacing w:val="-2"/>
        </w:rPr>
        <w:t xml:space="preserve"> </w:t>
      </w:r>
      <w:r>
        <w:t>las</w:t>
      </w:r>
      <w:r>
        <w:rPr>
          <w:spacing w:val="-2"/>
        </w:rPr>
        <w:t xml:space="preserve"> </w:t>
      </w:r>
      <w:r>
        <w:t>obras,</w:t>
      </w:r>
      <w:r>
        <w:rPr>
          <w:spacing w:val="-2"/>
        </w:rPr>
        <w:t xml:space="preserve"> </w:t>
      </w:r>
      <w:r>
        <w:t>y</w:t>
      </w:r>
      <w:r>
        <w:rPr>
          <w:spacing w:val="-2"/>
        </w:rPr>
        <w:t xml:space="preserve"> </w:t>
      </w:r>
      <w:r>
        <w:t>revertirán</w:t>
      </w:r>
      <w:r>
        <w:rPr>
          <w:spacing w:val="-2"/>
        </w:rPr>
        <w:t xml:space="preserve"> </w:t>
      </w:r>
      <w:r>
        <w:t>a la Administración en el momento de su extinción, debiendo respetarse, en todo caso, lo dispuesto en los planes de ordenación urbanística o sectorial que les afecten.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23"/>
        </w:numPr>
        <w:tabs>
          <w:tab w:val="left" w:pos="1697"/>
        </w:tabs>
        <w:spacing w:before="1" w:line="249" w:lineRule="auto"/>
        <w:ind w:right="1104" w:firstLine="340"/>
        <w:jc w:val="both"/>
        <w:rPr>
          <w:sz w:val="20"/>
        </w:rPr>
      </w:pPr>
      <w:r>
        <w:rPr>
          <w:sz w:val="20"/>
        </w:rPr>
        <w:t>Todas las aportaciones públicas han de estar previstas en el pliego de condiciones determinándose su cuantía en el procedimiento de adjudicación y no podrán incrementarse con posterioridad a la adjudicación del contrato.</w:t>
      </w:r>
    </w:p>
    <w:p w:rsidR="0092635B" w:rsidRDefault="00000000">
      <w:pPr>
        <w:pStyle w:val="Prrafodelista"/>
        <w:numPr>
          <w:ilvl w:val="0"/>
          <w:numId w:val="123"/>
        </w:numPr>
        <w:tabs>
          <w:tab w:val="left" w:pos="1675"/>
        </w:tabs>
        <w:spacing w:line="249" w:lineRule="auto"/>
        <w:ind w:right="1105" w:firstLine="340"/>
        <w:jc w:val="both"/>
        <w:rPr>
          <w:sz w:val="20"/>
        </w:rPr>
      </w:pPr>
      <w:r>
        <w:rPr>
          <w:sz w:val="20"/>
        </w:rPr>
        <w:t>El mismo régimen establecido para las aportaciones será aplicable a cualquier tipo de garantía, avales y otras medidas de apoyo a la financiación del concesionario que, en todo caso, tendrán que estar previstas en los pliegos.</w:t>
      </w:r>
    </w:p>
    <w:p w:rsidR="0092635B" w:rsidRDefault="00000000">
      <w:pPr>
        <w:spacing w:before="229"/>
        <w:ind w:left="1106"/>
        <w:rPr>
          <w:rFonts w:ascii="Arial" w:hAnsi="Arial"/>
          <w:i/>
          <w:sz w:val="20"/>
        </w:rPr>
      </w:pPr>
      <w:bookmarkStart w:id="427" w:name="Artículo_267._Retribución_por_la_utiliza"/>
      <w:bookmarkEnd w:id="427"/>
      <w:r>
        <w:rPr>
          <w:rFonts w:ascii="Arial" w:hAnsi="Arial"/>
          <w:b/>
          <w:sz w:val="20"/>
        </w:rPr>
        <w:t>Artículo</w:t>
      </w:r>
      <w:r>
        <w:rPr>
          <w:rFonts w:ascii="Arial" w:hAnsi="Arial"/>
          <w:b/>
          <w:spacing w:val="-3"/>
          <w:sz w:val="20"/>
        </w:rPr>
        <w:t xml:space="preserve"> </w:t>
      </w:r>
      <w:r>
        <w:rPr>
          <w:rFonts w:ascii="Arial" w:hAnsi="Arial"/>
          <w:b/>
          <w:sz w:val="20"/>
        </w:rPr>
        <w:t>267.</w:t>
      </w:r>
      <w:r>
        <w:rPr>
          <w:rFonts w:ascii="Arial" w:hAnsi="Arial"/>
          <w:b/>
          <w:spacing w:val="49"/>
          <w:sz w:val="20"/>
        </w:rPr>
        <w:t xml:space="preserve"> </w:t>
      </w:r>
      <w:r>
        <w:rPr>
          <w:rFonts w:ascii="Arial" w:hAnsi="Arial"/>
          <w:i/>
          <w:sz w:val="20"/>
        </w:rPr>
        <w:t>Retribución</w:t>
      </w:r>
      <w:r>
        <w:rPr>
          <w:rFonts w:ascii="Arial" w:hAnsi="Arial"/>
          <w:i/>
          <w:spacing w:val="-2"/>
          <w:sz w:val="20"/>
        </w:rPr>
        <w:t xml:space="preserve"> </w:t>
      </w:r>
      <w:r>
        <w:rPr>
          <w:rFonts w:ascii="Arial" w:hAnsi="Arial"/>
          <w:i/>
          <w:sz w:val="20"/>
        </w:rPr>
        <w:t>por</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utilización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obras.</w:t>
      </w:r>
    </w:p>
    <w:p w:rsidR="0092635B" w:rsidRDefault="00000000">
      <w:pPr>
        <w:pStyle w:val="Prrafodelista"/>
        <w:numPr>
          <w:ilvl w:val="0"/>
          <w:numId w:val="122"/>
        </w:numPr>
        <w:tabs>
          <w:tab w:val="left" w:pos="1679"/>
        </w:tabs>
        <w:spacing w:before="124" w:line="249" w:lineRule="auto"/>
        <w:ind w:right="1104" w:firstLine="340"/>
        <w:jc w:val="both"/>
        <w:rPr>
          <w:sz w:val="20"/>
        </w:rPr>
      </w:pPr>
      <w:r>
        <w:rPr>
          <w:sz w:val="20"/>
        </w:rPr>
        <w:t xml:space="preserve">El concesionario tendrá derecho a percibir de los usuarios o de la Administración una retribución por la utilización de las obras en la forma prevista en el pliego de cláusulas administrativas particulares y de conformidad con lo establecido en este artículo, que se denominará tarifa y tendrá la naturaleza de prestación patrimonial de carácter público no </w:t>
      </w:r>
      <w:r>
        <w:rPr>
          <w:spacing w:val="-2"/>
          <w:sz w:val="20"/>
        </w:rPr>
        <w:t>tributario.</w:t>
      </w:r>
    </w:p>
    <w:p w:rsidR="0092635B" w:rsidRDefault="00000000">
      <w:pPr>
        <w:pStyle w:val="Prrafodelista"/>
        <w:numPr>
          <w:ilvl w:val="0"/>
          <w:numId w:val="122"/>
        </w:numPr>
        <w:tabs>
          <w:tab w:val="left" w:pos="1679"/>
        </w:tabs>
        <w:spacing w:before="4" w:line="249" w:lineRule="auto"/>
        <w:ind w:right="1104" w:firstLine="340"/>
        <w:jc w:val="both"/>
        <w:rPr>
          <w:sz w:val="20"/>
        </w:rPr>
      </w:pPr>
      <w:r>
        <w:rPr>
          <w:sz w:val="20"/>
        </w:rPr>
        <w:t xml:space="preserve">Las tarifas que abonen los usuarios por la utilización de las obras serán fijadas por el órgano de contratación en el acuerdo de adjudicación. Las tarifas tendrán el carácter de máximas y los concesionarios podrán aplicar tarifas inferiores cuando así lo estimen </w:t>
      </w:r>
      <w:r>
        <w:rPr>
          <w:spacing w:val="-2"/>
          <w:sz w:val="20"/>
        </w:rPr>
        <w:t>conveniente.</w:t>
      </w:r>
    </w:p>
    <w:p w:rsidR="0092635B" w:rsidRDefault="00000000">
      <w:pPr>
        <w:pStyle w:val="Prrafodelista"/>
        <w:numPr>
          <w:ilvl w:val="0"/>
          <w:numId w:val="122"/>
        </w:numPr>
        <w:tabs>
          <w:tab w:val="left" w:pos="1675"/>
        </w:tabs>
        <w:spacing w:before="3" w:line="249" w:lineRule="auto"/>
        <w:ind w:right="1104" w:firstLine="340"/>
        <w:jc w:val="both"/>
        <w:rPr>
          <w:sz w:val="20"/>
        </w:rPr>
      </w:pPr>
      <w:r>
        <w:rPr>
          <w:sz w:val="20"/>
        </w:rPr>
        <w:t>Las tarifas serán objeto de revisión de acuerdo con lo establecido en el Capítulo II del Título III del Libro I de la presente Ley.</w:t>
      </w:r>
    </w:p>
    <w:p w:rsidR="0092635B" w:rsidRDefault="00000000">
      <w:pPr>
        <w:pStyle w:val="Prrafodelista"/>
        <w:numPr>
          <w:ilvl w:val="0"/>
          <w:numId w:val="122"/>
        </w:numPr>
        <w:tabs>
          <w:tab w:val="left" w:pos="1696"/>
        </w:tabs>
        <w:spacing w:line="249" w:lineRule="auto"/>
        <w:ind w:firstLine="340"/>
        <w:jc w:val="both"/>
        <w:rPr>
          <w:sz w:val="20"/>
        </w:rPr>
      </w:pPr>
      <w:r>
        <w:rPr>
          <w:sz w:val="20"/>
        </w:rPr>
        <w:t>La retribución por la utilización de la obra podrá ser abonada por la Administración teniendo en cuenta el grado de disponibilidad ofrecido por el concesionario y/o su utilización por los usuarios, en la forma prevista en el pliego de cláusulas administrativas particulares. En caso de que la retribución se efectuase mediante pagos por disponibilidad deberá preverse en los pliegos de cláusulas administrativas particulares la inclusión de índices de corrección automáticos por nivel de disponibilidad independientes de las posibles penalidades en que pueda incurrir el concesionario en la prestación del servicio.</w:t>
      </w:r>
    </w:p>
    <w:p w:rsidR="0092635B" w:rsidRDefault="00000000">
      <w:pPr>
        <w:pStyle w:val="Prrafodelista"/>
        <w:numPr>
          <w:ilvl w:val="0"/>
          <w:numId w:val="122"/>
        </w:numPr>
        <w:tabs>
          <w:tab w:val="left" w:pos="1754"/>
        </w:tabs>
        <w:spacing w:before="6" w:line="249" w:lineRule="auto"/>
        <w:ind w:right="1105" w:firstLine="340"/>
        <w:jc w:val="both"/>
        <w:rPr>
          <w:sz w:val="20"/>
        </w:rPr>
      </w:pPr>
      <w:r>
        <w:rPr>
          <w:sz w:val="20"/>
        </w:rPr>
        <w:t>El concesionario se retribuirá igualmente con los ingresos procedentes de la explotación de la zona comercial directamente vinculada a la concesión, en el caso de existir esta, según lo establecido en el pliego de cláusulas administrativas particulares.</w:t>
      </w:r>
    </w:p>
    <w:p w:rsidR="0092635B" w:rsidRDefault="00000000">
      <w:pPr>
        <w:pStyle w:val="Prrafodelista"/>
        <w:numPr>
          <w:ilvl w:val="0"/>
          <w:numId w:val="122"/>
        </w:numPr>
        <w:tabs>
          <w:tab w:val="left" w:pos="1722"/>
        </w:tabs>
        <w:spacing w:line="249" w:lineRule="auto"/>
        <w:ind w:firstLine="340"/>
        <w:jc w:val="both"/>
        <w:rPr>
          <w:sz w:val="20"/>
        </w:rPr>
      </w:pPr>
      <w:r>
        <w:rPr>
          <w:sz w:val="20"/>
        </w:rPr>
        <w:t>El concesionario deberá separar contablemente los ingresos provenientes de las aportaciones públicas y aquellos otros procedentes de las tarifas abonadas por los usuarios de las obras y, en su caso, los procedentes de la explotación de la zona comercial.</w:t>
      </w:r>
    </w:p>
    <w:p w:rsidR="0092635B" w:rsidRDefault="00000000">
      <w:pPr>
        <w:spacing w:before="229"/>
        <w:ind w:left="1106"/>
        <w:rPr>
          <w:rFonts w:ascii="Arial" w:hAnsi="Arial"/>
          <w:i/>
          <w:sz w:val="20"/>
        </w:rPr>
      </w:pPr>
      <w:bookmarkStart w:id="428" w:name="Artículo_268._Aportaciones_públicas_a_la"/>
      <w:bookmarkEnd w:id="428"/>
      <w:r>
        <w:rPr>
          <w:rFonts w:ascii="Arial" w:hAnsi="Arial"/>
          <w:b/>
          <w:sz w:val="20"/>
        </w:rPr>
        <w:t>Artículo</w:t>
      </w:r>
      <w:r>
        <w:rPr>
          <w:rFonts w:ascii="Arial" w:hAnsi="Arial"/>
          <w:b/>
          <w:spacing w:val="-3"/>
          <w:sz w:val="20"/>
        </w:rPr>
        <w:t xml:space="preserve"> </w:t>
      </w:r>
      <w:r>
        <w:rPr>
          <w:rFonts w:ascii="Arial" w:hAnsi="Arial"/>
          <w:b/>
          <w:sz w:val="20"/>
        </w:rPr>
        <w:t>268.</w:t>
      </w:r>
      <w:r>
        <w:rPr>
          <w:rFonts w:ascii="Arial" w:hAnsi="Arial"/>
          <w:b/>
          <w:spacing w:val="54"/>
          <w:sz w:val="20"/>
        </w:rPr>
        <w:t xml:space="preserve"> </w:t>
      </w:r>
      <w:r>
        <w:rPr>
          <w:rFonts w:ascii="Arial" w:hAnsi="Arial"/>
          <w:i/>
          <w:sz w:val="20"/>
        </w:rPr>
        <w:t xml:space="preserve">Aportaciones públicas a la </w:t>
      </w:r>
      <w:r>
        <w:rPr>
          <w:rFonts w:ascii="Arial" w:hAnsi="Arial"/>
          <w:i/>
          <w:spacing w:val="-2"/>
          <w:sz w:val="20"/>
        </w:rPr>
        <w:t>explotación.</w:t>
      </w:r>
    </w:p>
    <w:p w:rsidR="0092635B" w:rsidRDefault="00000000">
      <w:pPr>
        <w:pStyle w:val="Textoindependiente"/>
        <w:spacing w:before="124" w:line="249" w:lineRule="auto"/>
        <w:ind w:right="1103"/>
      </w:pPr>
      <w:r>
        <w:t>Las Administraciones Públicas podrán otorgar al concesionario las siguientes aportaciones a fin de garantizar la viabilidad económica de la explotación de las obras, que, en todo caso, tendrán que estar previstas en el pliego de condiciones y no podrán incrementarse con posterioridad a la adjudicación del contrato, sin perjuicio del reequilibrio previsto en el artículo 270:</w:t>
      </w:r>
    </w:p>
    <w:p w:rsidR="0092635B" w:rsidRDefault="00000000">
      <w:pPr>
        <w:pStyle w:val="Prrafodelista"/>
        <w:numPr>
          <w:ilvl w:val="1"/>
          <w:numId w:val="122"/>
        </w:numPr>
        <w:tabs>
          <w:tab w:val="left" w:pos="1717"/>
        </w:tabs>
        <w:spacing w:before="124" w:line="249" w:lineRule="auto"/>
        <w:ind w:right="1102" w:firstLine="340"/>
        <w:jc w:val="both"/>
        <w:rPr>
          <w:sz w:val="20"/>
        </w:rPr>
      </w:pPr>
      <w:r>
        <w:rPr>
          <w:sz w:val="20"/>
        </w:rPr>
        <w:t>Subvenciones, anticipos reintegrables, préstamos participativos, subordinados o de otra naturaleza, para ser aportados desde el inicio de la explotación de las obras o en el transcurso de las mismas. La devolución de los préstamos y el pago de los intereses devengados en su caso por los mismos se ajustarán a los términos previstos en la</w:t>
      </w:r>
      <w:r>
        <w:rPr>
          <w:spacing w:val="40"/>
          <w:sz w:val="20"/>
        </w:rPr>
        <w:t xml:space="preserve"> </w:t>
      </w:r>
      <w:r>
        <w:rPr>
          <w:spacing w:val="-2"/>
          <w:sz w:val="20"/>
        </w:rPr>
        <w:t>concesión.</w:t>
      </w:r>
    </w:p>
    <w:p w:rsidR="0092635B" w:rsidRDefault="00000000">
      <w:pPr>
        <w:pStyle w:val="Prrafodelista"/>
        <w:numPr>
          <w:ilvl w:val="1"/>
          <w:numId w:val="122"/>
        </w:numPr>
        <w:tabs>
          <w:tab w:val="left" w:pos="1706"/>
        </w:tabs>
        <w:spacing w:before="4" w:line="249" w:lineRule="auto"/>
        <w:ind w:firstLine="340"/>
        <w:jc w:val="both"/>
        <w:rPr>
          <w:sz w:val="20"/>
        </w:rPr>
      </w:pPr>
      <w:r>
        <w:rPr>
          <w:sz w:val="20"/>
        </w:rPr>
        <w:t>Ayudas, incluyendo todo tipo de garantías, en los casos excepcionales en que, por razones de interés público, resulte aconsejable la promoción de la utilización de las obras antes de que su explotación alcance el umbral mínimo de rentabilidad.</w:t>
      </w:r>
    </w:p>
    <w:p w:rsidR="0092635B" w:rsidRDefault="00000000">
      <w:pPr>
        <w:spacing w:before="229"/>
        <w:ind w:left="1106"/>
        <w:rPr>
          <w:rFonts w:ascii="Arial" w:hAnsi="Arial"/>
          <w:i/>
          <w:sz w:val="20"/>
        </w:rPr>
      </w:pPr>
      <w:bookmarkStart w:id="429" w:name="Artículo_269._Obras_diferenciadas."/>
      <w:bookmarkEnd w:id="429"/>
      <w:r>
        <w:rPr>
          <w:rFonts w:ascii="Arial" w:hAnsi="Arial"/>
          <w:b/>
          <w:sz w:val="20"/>
        </w:rPr>
        <w:t>Artículo 269.</w:t>
      </w:r>
      <w:r>
        <w:rPr>
          <w:rFonts w:ascii="Arial" w:hAnsi="Arial"/>
          <w:b/>
          <w:spacing w:val="54"/>
          <w:sz w:val="20"/>
        </w:rPr>
        <w:t xml:space="preserve"> </w:t>
      </w:r>
      <w:r>
        <w:rPr>
          <w:rFonts w:ascii="Arial" w:hAnsi="Arial"/>
          <w:i/>
          <w:sz w:val="20"/>
        </w:rPr>
        <w:t xml:space="preserve">Obras </w:t>
      </w:r>
      <w:r>
        <w:rPr>
          <w:rFonts w:ascii="Arial" w:hAnsi="Arial"/>
          <w:i/>
          <w:spacing w:val="-2"/>
          <w:sz w:val="20"/>
        </w:rPr>
        <w:t>diferenciadas.</w:t>
      </w:r>
    </w:p>
    <w:p w:rsidR="0092635B" w:rsidRDefault="00000000">
      <w:pPr>
        <w:pStyle w:val="Prrafodelista"/>
        <w:numPr>
          <w:ilvl w:val="0"/>
          <w:numId w:val="121"/>
        </w:numPr>
        <w:tabs>
          <w:tab w:val="left" w:pos="1676"/>
        </w:tabs>
        <w:spacing w:before="123" w:line="249" w:lineRule="auto"/>
        <w:ind w:right="1104" w:firstLine="340"/>
        <w:jc w:val="both"/>
        <w:rPr>
          <w:sz w:val="20"/>
        </w:rPr>
      </w:pPr>
      <w:r>
        <w:rPr>
          <w:sz w:val="20"/>
        </w:rPr>
        <w:t>Cuando dos o más obras mantengan una relación funcional entre ellas, el contrato de concesión de obras no pierde su naturaleza por el hecho de que la utilización de una parte</w:t>
      </w:r>
      <w:r>
        <w:rPr>
          <w:spacing w:val="40"/>
          <w:sz w:val="20"/>
        </w:rPr>
        <w:t xml:space="preserve"> </w:t>
      </w:r>
      <w:r>
        <w:rPr>
          <w:sz w:val="20"/>
        </w:rPr>
        <w:t xml:space="preserve">de las obras construidas no esté sujeta a remuneración siempre que dicha parte sea, asimismo, competencia de la Administración concedente e incida en la explotación de la </w:t>
      </w:r>
      <w:r>
        <w:rPr>
          <w:spacing w:val="-2"/>
          <w:sz w:val="20"/>
        </w:rPr>
        <w:t>concesión.</w:t>
      </w:r>
    </w:p>
    <w:p w:rsidR="0092635B" w:rsidRDefault="00000000">
      <w:pPr>
        <w:pStyle w:val="Prrafodelista"/>
        <w:numPr>
          <w:ilvl w:val="0"/>
          <w:numId w:val="121"/>
        </w:numPr>
        <w:tabs>
          <w:tab w:val="left" w:pos="1702"/>
        </w:tabs>
        <w:spacing w:before="5" w:line="249" w:lineRule="auto"/>
        <w:ind w:right="1104" w:firstLine="340"/>
        <w:jc w:val="both"/>
        <w:rPr>
          <w:sz w:val="20"/>
        </w:rPr>
      </w:pPr>
      <w:r>
        <w:rPr>
          <w:sz w:val="20"/>
        </w:rPr>
        <w:t>El correspondiente pliego de cláusulas administrativas particulares especificará con claridad</w:t>
      </w:r>
      <w:r>
        <w:rPr>
          <w:spacing w:val="5"/>
          <w:sz w:val="20"/>
        </w:rPr>
        <w:t xml:space="preserve"> </w:t>
      </w:r>
      <w:r>
        <w:rPr>
          <w:sz w:val="20"/>
        </w:rPr>
        <w:t>los</w:t>
      </w:r>
      <w:r>
        <w:rPr>
          <w:spacing w:val="5"/>
          <w:sz w:val="20"/>
        </w:rPr>
        <w:t xml:space="preserve"> </w:t>
      </w:r>
      <w:r>
        <w:rPr>
          <w:sz w:val="20"/>
        </w:rPr>
        <w:t>aspectos</w:t>
      </w:r>
      <w:r>
        <w:rPr>
          <w:spacing w:val="5"/>
          <w:sz w:val="20"/>
        </w:rPr>
        <w:t xml:space="preserve"> </w:t>
      </w:r>
      <w:r>
        <w:rPr>
          <w:sz w:val="20"/>
        </w:rPr>
        <w:t>concernientes</w:t>
      </w:r>
      <w:r>
        <w:rPr>
          <w:spacing w:val="5"/>
          <w:sz w:val="20"/>
        </w:rPr>
        <w:t xml:space="preserve"> </w:t>
      </w:r>
      <w:r>
        <w:rPr>
          <w:sz w:val="20"/>
        </w:rPr>
        <w:t>a</w:t>
      </w:r>
      <w:r>
        <w:rPr>
          <w:spacing w:val="5"/>
          <w:sz w:val="20"/>
        </w:rPr>
        <w:t xml:space="preserve"> </w:t>
      </w:r>
      <w:r>
        <w:rPr>
          <w:sz w:val="20"/>
        </w:rPr>
        <w:t>las</w:t>
      </w:r>
      <w:r>
        <w:rPr>
          <w:spacing w:val="5"/>
          <w:sz w:val="20"/>
        </w:rPr>
        <w:t xml:space="preserve"> </w:t>
      </w:r>
      <w:r>
        <w:rPr>
          <w:sz w:val="20"/>
        </w:rPr>
        <w:t>obras</w:t>
      </w:r>
      <w:r>
        <w:rPr>
          <w:spacing w:val="5"/>
          <w:sz w:val="20"/>
        </w:rPr>
        <w:t xml:space="preserve"> </w:t>
      </w:r>
      <w:r>
        <w:rPr>
          <w:sz w:val="20"/>
        </w:rPr>
        <w:t>objeto</w:t>
      </w:r>
      <w:r>
        <w:rPr>
          <w:spacing w:val="5"/>
          <w:sz w:val="20"/>
        </w:rPr>
        <w:t xml:space="preserve"> </w:t>
      </w:r>
      <w:r>
        <w:rPr>
          <w:sz w:val="20"/>
        </w:rPr>
        <w:t>de</w:t>
      </w:r>
      <w:r>
        <w:rPr>
          <w:spacing w:val="5"/>
          <w:sz w:val="20"/>
        </w:rPr>
        <w:t xml:space="preserve"> </w:t>
      </w:r>
      <w:r>
        <w:rPr>
          <w:sz w:val="20"/>
        </w:rPr>
        <w:t>concesión,</w:t>
      </w:r>
      <w:r>
        <w:rPr>
          <w:spacing w:val="5"/>
          <w:sz w:val="20"/>
        </w:rPr>
        <w:t xml:space="preserve"> </w:t>
      </w:r>
      <w:r>
        <w:rPr>
          <w:sz w:val="20"/>
        </w:rPr>
        <w:t>según</w:t>
      </w:r>
      <w:r>
        <w:rPr>
          <w:spacing w:val="5"/>
          <w:sz w:val="20"/>
        </w:rPr>
        <w:t xml:space="preserve"> </w:t>
      </w:r>
      <w:r>
        <w:rPr>
          <w:sz w:val="20"/>
        </w:rPr>
        <w:t>se</w:t>
      </w:r>
      <w:r>
        <w:rPr>
          <w:spacing w:val="5"/>
          <w:sz w:val="20"/>
        </w:rPr>
        <w:t xml:space="preserve"> </w:t>
      </w:r>
      <w:r>
        <w:rPr>
          <w:sz w:val="20"/>
        </w:rPr>
        <w:t>determina</w:t>
      </w:r>
      <w:r>
        <w:rPr>
          <w:spacing w:val="5"/>
          <w:sz w:val="20"/>
        </w:rPr>
        <w:t xml:space="preserve"> </w:t>
      </w:r>
      <w:r>
        <w:rPr>
          <w:spacing w:val="-5"/>
          <w:sz w:val="20"/>
        </w:rPr>
        <w:t>en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50" w:hanging="1"/>
        <w:jc w:val="left"/>
      </w:pPr>
      <w:r>
        <w:t>esta Ley, distinguiendo, a estos efectos, la parte objeto de remuneración de aquella que no</w:t>
      </w:r>
      <w:r>
        <w:rPr>
          <w:spacing w:val="40"/>
        </w:rPr>
        <w:t xml:space="preserve"> </w:t>
      </w:r>
      <w:r>
        <w:t>lo es.</w:t>
      </w:r>
    </w:p>
    <w:p w:rsidR="0092635B" w:rsidRDefault="00000000">
      <w:pPr>
        <w:pStyle w:val="Textoindependiente"/>
        <w:spacing w:before="1" w:line="249" w:lineRule="auto"/>
        <w:ind w:right="1120"/>
        <w:jc w:val="left"/>
      </w:pPr>
      <w:r>
        <w:t>Los</w:t>
      </w:r>
      <w:r>
        <w:rPr>
          <w:spacing w:val="40"/>
        </w:rPr>
        <w:t xml:space="preserve"> </w:t>
      </w:r>
      <w:r>
        <w:t>licitadores</w:t>
      </w:r>
      <w:r>
        <w:rPr>
          <w:spacing w:val="40"/>
        </w:rPr>
        <w:t xml:space="preserve"> </w:t>
      </w:r>
      <w:r>
        <w:t>deberán</w:t>
      </w:r>
      <w:r>
        <w:rPr>
          <w:spacing w:val="40"/>
        </w:rPr>
        <w:t xml:space="preserve"> </w:t>
      </w:r>
      <w:r>
        <w:t>presentar</w:t>
      </w:r>
      <w:r>
        <w:rPr>
          <w:spacing w:val="40"/>
        </w:rPr>
        <w:t xml:space="preserve"> </w:t>
      </w:r>
      <w:r>
        <w:t>el</w:t>
      </w:r>
      <w:r>
        <w:rPr>
          <w:spacing w:val="40"/>
        </w:rPr>
        <w:t xml:space="preserve"> </w:t>
      </w:r>
      <w:r>
        <w:t>correspondiente</w:t>
      </w:r>
      <w:r>
        <w:rPr>
          <w:spacing w:val="40"/>
        </w:rPr>
        <w:t xml:space="preserve"> </w:t>
      </w:r>
      <w:r>
        <w:t>plan</w:t>
      </w:r>
      <w:r>
        <w:rPr>
          <w:spacing w:val="40"/>
        </w:rPr>
        <w:t xml:space="preserve"> </w:t>
      </w:r>
      <w:r>
        <w:t>económico-financiero</w:t>
      </w:r>
      <w:r>
        <w:rPr>
          <w:spacing w:val="40"/>
        </w:rPr>
        <w:t xml:space="preserve"> </w:t>
      </w:r>
      <w:r>
        <w:t>que contemple ambas partes de las obras.</w:t>
      </w:r>
    </w:p>
    <w:p w:rsidR="0092635B" w:rsidRDefault="00000000">
      <w:pPr>
        <w:pStyle w:val="Prrafodelista"/>
        <w:numPr>
          <w:ilvl w:val="0"/>
          <w:numId w:val="121"/>
        </w:numPr>
        <w:tabs>
          <w:tab w:val="left" w:pos="1695"/>
        </w:tabs>
        <w:spacing w:line="249" w:lineRule="auto"/>
        <w:ind w:right="1105" w:firstLine="340"/>
        <w:rPr>
          <w:sz w:val="20"/>
        </w:rPr>
      </w:pPr>
      <w:r>
        <w:rPr>
          <w:sz w:val="20"/>
        </w:rPr>
        <w:t>En</w:t>
      </w:r>
      <w:r>
        <w:rPr>
          <w:spacing w:val="24"/>
          <w:sz w:val="20"/>
        </w:rPr>
        <w:t xml:space="preserve"> </w:t>
      </w:r>
      <w:r>
        <w:rPr>
          <w:sz w:val="20"/>
        </w:rPr>
        <w:t>todo</w:t>
      </w:r>
      <w:r>
        <w:rPr>
          <w:spacing w:val="24"/>
          <w:sz w:val="20"/>
        </w:rPr>
        <w:t xml:space="preserve"> </w:t>
      </w:r>
      <w:r>
        <w:rPr>
          <w:sz w:val="20"/>
        </w:rPr>
        <w:t>caso,</w:t>
      </w:r>
      <w:r>
        <w:rPr>
          <w:spacing w:val="24"/>
          <w:sz w:val="20"/>
        </w:rPr>
        <w:t xml:space="preserve"> </w:t>
      </w:r>
      <w:r>
        <w:rPr>
          <w:sz w:val="20"/>
        </w:rPr>
        <w:t>para</w:t>
      </w:r>
      <w:r>
        <w:rPr>
          <w:spacing w:val="24"/>
          <w:sz w:val="20"/>
        </w:rPr>
        <w:t xml:space="preserve"> </w:t>
      </w:r>
      <w:r>
        <w:rPr>
          <w:sz w:val="20"/>
        </w:rPr>
        <w:t>la</w:t>
      </w:r>
      <w:r>
        <w:rPr>
          <w:spacing w:val="24"/>
          <w:sz w:val="20"/>
        </w:rPr>
        <w:t xml:space="preserve"> </w:t>
      </w:r>
      <w:r>
        <w:rPr>
          <w:sz w:val="20"/>
        </w:rPr>
        <w:t>determinación</w:t>
      </w:r>
      <w:r>
        <w:rPr>
          <w:spacing w:val="24"/>
          <w:sz w:val="20"/>
        </w:rPr>
        <w:t xml:space="preserve"> </w:t>
      </w:r>
      <w:r>
        <w:rPr>
          <w:sz w:val="20"/>
        </w:rPr>
        <w:t>de</w:t>
      </w:r>
      <w:r>
        <w:rPr>
          <w:spacing w:val="24"/>
          <w:sz w:val="20"/>
        </w:rPr>
        <w:t xml:space="preserve"> </w:t>
      </w:r>
      <w:r>
        <w:rPr>
          <w:sz w:val="20"/>
        </w:rPr>
        <w:t>las</w:t>
      </w:r>
      <w:r>
        <w:rPr>
          <w:spacing w:val="24"/>
          <w:sz w:val="20"/>
        </w:rPr>
        <w:t xml:space="preserve"> </w:t>
      </w:r>
      <w:r>
        <w:rPr>
          <w:sz w:val="20"/>
        </w:rPr>
        <w:t>tarifas</w:t>
      </w:r>
      <w:r>
        <w:rPr>
          <w:spacing w:val="24"/>
          <w:sz w:val="20"/>
        </w:rPr>
        <w:t xml:space="preserve"> </w:t>
      </w:r>
      <w:r>
        <w:rPr>
          <w:sz w:val="20"/>
        </w:rPr>
        <w:t>a</w:t>
      </w:r>
      <w:r>
        <w:rPr>
          <w:spacing w:val="24"/>
          <w:sz w:val="20"/>
        </w:rPr>
        <w:t xml:space="preserve"> </w:t>
      </w:r>
      <w:r>
        <w:rPr>
          <w:sz w:val="20"/>
        </w:rPr>
        <w:t>aplicar</w:t>
      </w:r>
      <w:r>
        <w:rPr>
          <w:spacing w:val="24"/>
          <w:sz w:val="20"/>
        </w:rPr>
        <w:t xml:space="preserve"> </w:t>
      </w:r>
      <w:r>
        <w:rPr>
          <w:sz w:val="20"/>
        </w:rPr>
        <w:t>por</w:t>
      </w:r>
      <w:r>
        <w:rPr>
          <w:spacing w:val="24"/>
          <w:sz w:val="20"/>
        </w:rPr>
        <w:t xml:space="preserve"> </w:t>
      </w:r>
      <w:r>
        <w:rPr>
          <w:sz w:val="20"/>
        </w:rPr>
        <w:t>la</w:t>
      </w:r>
      <w:r>
        <w:rPr>
          <w:spacing w:val="24"/>
          <w:sz w:val="20"/>
        </w:rPr>
        <w:t xml:space="preserve"> </w:t>
      </w:r>
      <w:r>
        <w:rPr>
          <w:sz w:val="20"/>
        </w:rPr>
        <w:t>utilización</w:t>
      </w:r>
      <w:r>
        <w:rPr>
          <w:spacing w:val="24"/>
          <w:sz w:val="20"/>
        </w:rPr>
        <w:t xml:space="preserve"> </w:t>
      </w:r>
      <w:r>
        <w:rPr>
          <w:sz w:val="20"/>
        </w:rPr>
        <w:t>de</w:t>
      </w:r>
      <w:r>
        <w:rPr>
          <w:spacing w:val="24"/>
          <w:sz w:val="20"/>
        </w:rPr>
        <w:t xml:space="preserve"> </w:t>
      </w:r>
      <w:r>
        <w:rPr>
          <w:sz w:val="20"/>
        </w:rPr>
        <w:t>las obras objeto de concesión se tendrá en cuenta el importe total de las obras realizadas.</w:t>
      </w:r>
    </w:p>
    <w:p w:rsidR="0092635B" w:rsidRDefault="00000000">
      <w:pPr>
        <w:spacing w:before="228"/>
        <w:ind w:left="1106"/>
        <w:rPr>
          <w:rFonts w:ascii="Arial" w:hAnsi="Arial"/>
          <w:i/>
          <w:sz w:val="20"/>
        </w:rPr>
      </w:pPr>
      <w:bookmarkStart w:id="430" w:name="Artículo_270._Mantenimiento_del_equilibr"/>
      <w:bookmarkEnd w:id="430"/>
      <w:r>
        <w:rPr>
          <w:rFonts w:ascii="Arial" w:hAnsi="Arial"/>
          <w:b/>
          <w:sz w:val="20"/>
        </w:rPr>
        <w:t>Artículo</w:t>
      </w:r>
      <w:r>
        <w:rPr>
          <w:rFonts w:ascii="Arial" w:hAnsi="Arial"/>
          <w:b/>
          <w:spacing w:val="-5"/>
          <w:sz w:val="20"/>
        </w:rPr>
        <w:t xml:space="preserve"> </w:t>
      </w:r>
      <w:r>
        <w:rPr>
          <w:rFonts w:ascii="Arial" w:hAnsi="Arial"/>
          <w:b/>
          <w:sz w:val="20"/>
        </w:rPr>
        <w:t>270.</w:t>
      </w:r>
      <w:r>
        <w:rPr>
          <w:rFonts w:ascii="Arial" w:hAnsi="Arial"/>
          <w:b/>
          <w:spacing w:val="46"/>
          <w:sz w:val="20"/>
        </w:rPr>
        <w:t xml:space="preserve"> </w:t>
      </w:r>
      <w:r>
        <w:rPr>
          <w:rFonts w:ascii="Arial" w:hAnsi="Arial"/>
          <w:i/>
          <w:sz w:val="20"/>
        </w:rPr>
        <w:t>Mantenimiento</w:t>
      </w:r>
      <w:r>
        <w:rPr>
          <w:rFonts w:ascii="Arial" w:hAnsi="Arial"/>
          <w:i/>
          <w:spacing w:val="-4"/>
          <w:sz w:val="20"/>
        </w:rPr>
        <w:t xml:space="preserve"> </w:t>
      </w:r>
      <w:r>
        <w:rPr>
          <w:rFonts w:ascii="Arial" w:hAnsi="Arial"/>
          <w:i/>
          <w:sz w:val="20"/>
        </w:rPr>
        <w:t>del</w:t>
      </w:r>
      <w:r>
        <w:rPr>
          <w:rFonts w:ascii="Arial" w:hAnsi="Arial"/>
          <w:i/>
          <w:spacing w:val="-4"/>
          <w:sz w:val="20"/>
        </w:rPr>
        <w:t xml:space="preserve"> </w:t>
      </w:r>
      <w:r>
        <w:rPr>
          <w:rFonts w:ascii="Arial" w:hAnsi="Arial"/>
          <w:i/>
          <w:sz w:val="20"/>
        </w:rPr>
        <w:t>equilibrio</w:t>
      </w:r>
      <w:r>
        <w:rPr>
          <w:rFonts w:ascii="Arial" w:hAnsi="Arial"/>
          <w:i/>
          <w:spacing w:val="-4"/>
          <w:sz w:val="20"/>
        </w:rPr>
        <w:t xml:space="preserve"> </w:t>
      </w:r>
      <w:r>
        <w:rPr>
          <w:rFonts w:ascii="Arial" w:hAnsi="Arial"/>
          <w:i/>
          <w:sz w:val="20"/>
        </w:rPr>
        <w:t>económico</w:t>
      </w:r>
      <w:r>
        <w:rPr>
          <w:rFonts w:ascii="Arial" w:hAnsi="Arial"/>
          <w:i/>
          <w:spacing w:val="-4"/>
          <w:sz w:val="20"/>
        </w:rPr>
        <w:t xml:space="preserve"> </w:t>
      </w:r>
      <w:r>
        <w:rPr>
          <w:rFonts w:ascii="Arial" w:hAnsi="Arial"/>
          <w:i/>
          <w:sz w:val="20"/>
        </w:rPr>
        <w:t>del</w:t>
      </w:r>
      <w:r>
        <w:rPr>
          <w:rFonts w:ascii="Arial" w:hAnsi="Arial"/>
          <w:i/>
          <w:spacing w:val="-4"/>
          <w:sz w:val="20"/>
        </w:rPr>
        <w:t xml:space="preserve"> </w:t>
      </w:r>
      <w:r>
        <w:rPr>
          <w:rFonts w:ascii="Arial" w:hAnsi="Arial"/>
          <w:i/>
          <w:spacing w:val="-2"/>
          <w:sz w:val="20"/>
        </w:rPr>
        <w:t>contrato.</w:t>
      </w:r>
    </w:p>
    <w:p w:rsidR="0092635B" w:rsidRDefault="00000000">
      <w:pPr>
        <w:pStyle w:val="Prrafodelista"/>
        <w:numPr>
          <w:ilvl w:val="0"/>
          <w:numId w:val="120"/>
        </w:numPr>
        <w:tabs>
          <w:tab w:val="left" w:pos="1696"/>
        </w:tabs>
        <w:spacing w:before="124" w:line="249" w:lineRule="auto"/>
        <w:ind w:firstLine="340"/>
        <w:jc w:val="both"/>
        <w:rPr>
          <w:sz w:val="20"/>
        </w:rPr>
      </w:pPr>
      <w:r>
        <w:rPr>
          <w:sz w:val="20"/>
        </w:rPr>
        <w:t>El contrato de concesión de obras deberá mantener su equilibrio económico en los términos que fueron considerados para su adjudicación, teniendo en cuenta el interés</w:t>
      </w:r>
      <w:r>
        <w:rPr>
          <w:spacing w:val="40"/>
          <w:sz w:val="20"/>
        </w:rPr>
        <w:t xml:space="preserve"> </w:t>
      </w:r>
      <w:r>
        <w:rPr>
          <w:sz w:val="20"/>
        </w:rPr>
        <w:t xml:space="preserve">general y el interés del concesionario, de conformidad con lo dispuesto en el apartado </w:t>
      </w:r>
      <w:r>
        <w:rPr>
          <w:spacing w:val="-2"/>
          <w:sz w:val="20"/>
        </w:rPr>
        <w:t>siguiente.</w:t>
      </w:r>
    </w:p>
    <w:p w:rsidR="0092635B" w:rsidRDefault="00000000">
      <w:pPr>
        <w:pStyle w:val="Prrafodelista"/>
        <w:numPr>
          <w:ilvl w:val="0"/>
          <w:numId w:val="120"/>
        </w:numPr>
        <w:tabs>
          <w:tab w:val="left" w:pos="1695"/>
        </w:tabs>
        <w:spacing w:before="3" w:line="249" w:lineRule="auto"/>
        <w:ind w:right="1104" w:firstLine="340"/>
        <w:jc w:val="both"/>
        <w:rPr>
          <w:sz w:val="20"/>
        </w:rPr>
      </w:pPr>
      <w:r>
        <w:rPr>
          <w:sz w:val="20"/>
        </w:rPr>
        <w:t>Se deberá restablecer el equilibrio económico del contrato, en beneficio de la parte que corresponda, en los siguientes supuestos:</w:t>
      </w:r>
    </w:p>
    <w:p w:rsidR="0092635B" w:rsidRDefault="00000000">
      <w:pPr>
        <w:pStyle w:val="Prrafodelista"/>
        <w:numPr>
          <w:ilvl w:val="1"/>
          <w:numId w:val="120"/>
        </w:numPr>
        <w:tabs>
          <w:tab w:val="left" w:pos="1679"/>
        </w:tabs>
        <w:spacing w:before="122"/>
        <w:ind w:right="0" w:hanging="233"/>
        <w:jc w:val="both"/>
        <w:rPr>
          <w:sz w:val="20"/>
        </w:rPr>
      </w:pPr>
      <w:r>
        <w:rPr>
          <w:sz w:val="20"/>
        </w:rPr>
        <w:t>Cuando</w:t>
      </w:r>
      <w:r>
        <w:rPr>
          <w:spacing w:val="-6"/>
          <w:sz w:val="20"/>
        </w:rPr>
        <w:t xml:space="preserve"> </w:t>
      </w:r>
      <w:r>
        <w:rPr>
          <w:sz w:val="20"/>
        </w:rPr>
        <w:t>la</w:t>
      </w:r>
      <w:r>
        <w:rPr>
          <w:spacing w:val="-4"/>
          <w:sz w:val="20"/>
        </w:rPr>
        <w:t xml:space="preserve"> </w:t>
      </w:r>
      <w:r>
        <w:rPr>
          <w:sz w:val="20"/>
        </w:rPr>
        <w:t>Administración</w:t>
      </w:r>
      <w:r>
        <w:rPr>
          <w:spacing w:val="-4"/>
          <w:sz w:val="20"/>
        </w:rPr>
        <w:t xml:space="preserve"> </w:t>
      </w:r>
      <w:r>
        <w:rPr>
          <w:sz w:val="20"/>
        </w:rPr>
        <w:t>realice</w:t>
      </w:r>
      <w:r>
        <w:rPr>
          <w:spacing w:val="-4"/>
          <w:sz w:val="20"/>
        </w:rPr>
        <w:t xml:space="preserve"> </w:t>
      </w:r>
      <w:r>
        <w:rPr>
          <w:sz w:val="20"/>
        </w:rPr>
        <w:t>una</w:t>
      </w:r>
      <w:r>
        <w:rPr>
          <w:spacing w:val="-4"/>
          <w:sz w:val="20"/>
        </w:rPr>
        <w:t xml:space="preserve"> </w:t>
      </w:r>
      <w:r>
        <w:rPr>
          <w:sz w:val="20"/>
        </w:rPr>
        <w:t>modificación</w:t>
      </w:r>
      <w:r>
        <w:rPr>
          <w:spacing w:val="-4"/>
          <w:sz w:val="20"/>
        </w:rPr>
        <w:t xml:space="preserve"> </w:t>
      </w:r>
      <w:r>
        <w:rPr>
          <w:sz w:val="20"/>
        </w:rPr>
        <w:t>de</w:t>
      </w:r>
      <w:r>
        <w:rPr>
          <w:spacing w:val="-4"/>
          <w:sz w:val="20"/>
        </w:rPr>
        <w:t xml:space="preserve"> </w:t>
      </w:r>
      <w:r>
        <w:rPr>
          <w:sz w:val="20"/>
        </w:rPr>
        <w:t>las</w:t>
      </w:r>
      <w:r>
        <w:rPr>
          <w:spacing w:val="-4"/>
          <w:sz w:val="20"/>
        </w:rPr>
        <w:t xml:space="preserve"> </w:t>
      </w:r>
      <w:r>
        <w:rPr>
          <w:sz w:val="20"/>
        </w:rPr>
        <w:t>señaladas</w:t>
      </w:r>
      <w:r>
        <w:rPr>
          <w:spacing w:val="-4"/>
          <w:sz w:val="20"/>
        </w:rPr>
        <w:t xml:space="preserve"> </w:t>
      </w:r>
      <w:r>
        <w:rPr>
          <w:sz w:val="20"/>
        </w:rPr>
        <w:t>en</w:t>
      </w:r>
      <w:r>
        <w:rPr>
          <w:spacing w:val="-4"/>
          <w:sz w:val="20"/>
        </w:rPr>
        <w:t xml:space="preserve"> </w:t>
      </w:r>
      <w:r>
        <w:rPr>
          <w:sz w:val="20"/>
        </w:rPr>
        <w:t>el</w:t>
      </w:r>
      <w:r>
        <w:rPr>
          <w:spacing w:val="-4"/>
          <w:sz w:val="20"/>
        </w:rPr>
        <w:t xml:space="preserve"> </w:t>
      </w:r>
      <w:r>
        <w:rPr>
          <w:sz w:val="20"/>
        </w:rPr>
        <w:t>artículo</w:t>
      </w:r>
      <w:r>
        <w:rPr>
          <w:spacing w:val="-4"/>
          <w:sz w:val="20"/>
        </w:rPr>
        <w:t xml:space="preserve"> 262.</w:t>
      </w:r>
    </w:p>
    <w:p w:rsidR="0092635B" w:rsidRDefault="00000000">
      <w:pPr>
        <w:pStyle w:val="Prrafodelista"/>
        <w:numPr>
          <w:ilvl w:val="1"/>
          <w:numId w:val="120"/>
        </w:numPr>
        <w:tabs>
          <w:tab w:val="left" w:pos="1756"/>
        </w:tabs>
        <w:spacing w:before="10" w:line="249" w:lineRule="auto"/>
        <w:ind w:left="1106" w:firstLine="340"/>
        <w:jc w:val="both"/>
        <w:rPr>
          <w:sz w:val="20"/>
        </w:rPr>
      </w:pPr>
      <w:r>
        <w:rPr>
          <w:sz w:val="20"/>
        </w:rPr>
        <w:t>Cuando actuaciones de la Administración Pública concedente, por su carácter obligatorio para el concesionario determinaran de forma directa la ruptura sustancial de la economía del contrato.</w:t>
      </w:r>
    </w:p>
    <w:p w:rsidR="0092635B" w:rsidRDefault="00000000">
      <w:pPr>
        <w:pStyle w:val="Textoindependiente"/>
        <w:spacing w:before="122" w:line="249" w:lineRule="auto"/>
        <w:ind w:right="1103"/>
      </w:pPr>
      <w:r>
        <w:t>Fuera de los casos previstos en las letras anteriores, únicamente procederá el restablecimiento del equilibrio económico del contrato cuando causas de fuerza mayor determinaran de forma directa la ruptura sustancial de la economía del contrato. A estos efectos, se entenderá por causas de fuerza mayor las enumeradas en el artículo 239.</w:t>
      </w:r>
    </w:p>
    <w:p w:rsidR="0092635B" w:rsidRDefault="00000000">
      <w:pPr>
        <w:pStyle w:val="Textoindependiente"/>
        <w:spacing w:before="3" w:line="249" w:lineRule="auto"/>
        <w:ind w:right="1104"/>
      </w:pPr>
      <w:r>
        <w:t>En todo caso, no existirá derecho al restablecimiento del equilibrio económico financiero por incumplimiento de las previsiones de la demanda recogidas en el estudio de la Administración o en el estudio que haya podido realizar el concesionario.</w:t>
      </w:r>
    </w:p>
    <w:p w:rsidR="0092635B" w:rsidRDefault="00000000">
      <w:pPr>
        <w:pStyle w:val="Prrafodelista"/>
        <w:numPr>
          <w:ilvl w:val="0"/>
          <w:numId w:val="120"/>
        </w:numPr>
        <w:tabs>
          <w:tab w:val="left" w:pos="1694"/>
        </w:tabs>
        <w:spacing w:before="3" w:line="249" w:lineRule="auto"/>
        <w:ind w:firstLine="340"/>
        <w:jc w:val="both"/>
        <w:rPr>
          <w:sz w:val="20"/>
        </w:rPr>
      </w:pPr>
      <w:r>
        <w:rPr>
          <w:sz w:val="20"/>
        </w:rPr>
        <w:t>En los supuestos previstos en el apartado anterior, el restablecimiento del equilibrio económico del contrato se realizará mediante la adopción de las medidas que en cada caso procedan. Estas medidas podrán consistir en la modificación de las tarifas establecidas por</w:t>
      </w:r>
      <w:r>
        <w:rPr>
          <w:spacing w:val="40"/>
          <w:sz w:val="20"/>
        </w:rPr>
        <w:t xml:space="preserve"> </w:t>
      </w:r>
      <w:r>
        <w:rPr>
          <w:sz w:val="20"/>
        </w:rPr>
        <w:t>la utilización de las obras, la modificación en la retribución a abonar por la Administración concedente, la reducción del plazo concesional, y, en general, en cualquier modificación de las cláusulas de contenido económico incluidas en el contrato. Asimismo, en los casos previstos en la letra b) y en el último párrafo del apartado 2 anterior, y siempre que la retribución del concesionario proviniere en más de un 50 por ciento de tarifas abonadas por los</w:t>
      </w:r>
      <w:r>
        <w:rPr>
          <w:spacing w:val="-1"/>
          <w:sz w:val="20"/>
        </w:rPr>
        <w:t xml:space="preserve"> </w:t>
      </w:r>
      <w:r>
        <w:rPr>
          <w:sz w:val="20"/>
        </w:rPr>
        <w:t>usuarios,</w:t>
      </w:r>
      <w:r>
        <w:rPr>
          <w:spacing w:val="-1"/>
          <w:sz w:val="20"/>
        </w:rPr>
        <w:t xml:space="preserve"> </w:t>
      </w:r>
      <w:r>
        <w:rPr>
          <w:sz w:val="20"/>
        </w:rPr>
        <w:t>podrá</w:t>
      </w:r>
      <w:r>
        <w:rPr>
          <w:spacing w:val="-1"/>
          <w:sz w:val="20"/>
        </w:rPr>
        <w:t xml:space="preserve"> </w:t>
      </w:r>
      <w:r>
        <w:rPr>
          <w:sz w:val="20"/>
        </w:rPr>
        <w:t>prorrogarse</w:t>
      </w:r>
      <w:r>
        <w:rPr>
          <w:spacing w:val="-1"/>
          <w:sz w:val="20"/>
        </w:rPr>
        <w:t xml:space="preserve"> </w:t>
      </w:r>
      <w:r>
        <w:rPr>
          <w:sz w:val="20"/>
        </w:rPr>
        <w:t>el</w:t>
      </w:r>
      <w:r>
        <w:rPr>
          <w:spacing w:val="-1"/>
          <w:sz w:val="20"/>
        </w:rPr>
        <w:t xml:space="preserve"> </w:t>
      </w:r>
      <w:r>
        <w:rPr>
          <w:sz w:val="20"/>
        </w:rPr>
        <w:t>plazo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concesión</w:t>
      </w:r>
      <w:r>
        <w:rPr>
          <w:spacing w:val="-1"/>
          <w:sz w:val="20"/>
        </w:rPr>
        <w:t xml:space="preserve"> </w:t>
      </w:r>
      <w:r>
        <w:rPr>
          <w:sz w:val="20"/>
        </w:rPr>
        <w:t>por</w:t>
      </w:r>
      <w:r>
        <w:rPr>
          <w:spacing w:val="-1"/>
          <w:sz w:val="20"/>
        </w:rPr>
        <w:t xml:space="preserve"> </w:t>
      </w:r>
      <w:r>
        <w:rPr>
          <w:sz w:val="20"/>
        </w:rPr>
        <w:t>un</w:t>
      </w:r>
      <w:r>
        <w:rPr>
          <w:spacing w:val="-1"/>
          <w:sz w:val="20"/>
        </w:rPr>
        <w:t xml:space="preserve"> </w:t>
      </w:r>
      <w:r>
        <w:rPr>
          <w:sz w:val="20"/>
        </w:rPr>
        <w:t>período</w:t>
      </w:r>
      <w:r>
        <w:rPr>
          <w:spacing w:val="-1"/>
          <w:sz w:val="20"/>
        </w:rPr>
        <w:t xml:space="preserve"> </w:t>
      </w:r>
      <w:r>
        <w:rPr>
          <w:sz w:val="20"/>
        </w:rPr>
        <w:t>que</w:t>
      </w:r>
      <w:r>
        <w:rPr>
          <w:spacing w:val="-1"/>
          <w:sz w:val="20"/>
        </w:rPr>
        <w:t xml:space="preserve"> </w:t>
      </w:r>
      <w:r>
        <w:rPr>
          <w:sz w:val="20"/>
        </w:rPr>
        <w:t>no</w:t>
      </w:r>
      <w:r>
        <w:rPr>
          <w:spacing w:val="-1"/>
          <w:sz w:val="20"/>
        </w:rPr>
        <w:t xml:space="preserve"> </w:t>
      </w:r>
      <w:r>
        <w:rPr>
          <w:sz w:val="20"/>
        </w:rPr>
        <w:t>exceda</w:t>
      </w:r>
      <w:r>
        <w:rPr>
          <w:spacing w:val="-1"/>
          <w:sz w:val="20"/>
        </w:rPr>
        <w:t xml:space="preserve"> </w:t>
      </w:r>
      <w:r>
        <w:rPr>
          <w:sz w:val="20"/>
        </w:rPr>
        <w:t>de</w:t>
      </w:r>
      <w:r>
        <w:rPr>
          <w:spacing w:val="-1"/>
          <w:sz w:val="20"/>
        </w:rPr>
        <w:t xml:space="preserve"> </w:t>
      </w:r>
      <w:r>
        <w:rPr>
          <w:sz w:val="20"/>
        </w:rPr>
        <w:t>un 15 por ciento de su duración inicial.</w:t>
      </w:r>
    </w:p>
    <w:p w:rsidR="0092635B" w:rsidRDefault="00000000">
      <w:pPr>
        <w:pStyle w:val="Prrafodelista"/>
        <w:numPr>
          <w:ilvl w:val="0"/>
          <w:numId w:val="120"/>
        </w:numPr>
        <w:tabs>
          <w:tab w:val="left" w:pos="1795"/>
        </w:tabs>
        <w:spacing w:before="8" w:line="249" w:lineRule="auto"/>
        <w:ind w:right="1104" w:firstLine="340"/>
        <w:jc w:val="both"/>
        <w:rPr>
          <w:sz w:val="20"/>
        </w:rPr>
      </w:pPr>
      <w:r>
        <w:rPr>
          <w:sz w:val="20"/>
        </w:rPr>
        <w:t xml:space="preserve">El contratista tendrá derecho a desistir del contrato cuando este resulte extraordinariamente oneroso para él, como consecuencia de una de las siguientes </w:t>
      </w:r>
      <w:r>
        <w:rPr>
          <w:spacing w:val="-2"/>
          <w:sz w:val="20"/>
        </w:rPr>
        <w:t>circunstancias:</w:t>
      </w:r>
    </w:p>
    <w:p w:rsidR="0092635B" w:rsidRDefault="00000000">
      <w:pPr>
        <w:pStyle w:val="Prrafodelista"/>
        <w:numPr>
          <w:ilvl w:val="1"/>
          <w:numId w:val="120"/>
        </w:numPr>
        <w:tabs>
          <w:tab w:val="left" w:pos="1738"/>
        </w:tabs>
        <w:spacing w:before="123" w:line="249" w:lineRule="auto"/>
        <w:ind w:left="1106" w:right="1104" w:firstLine="340"/>
        <w:jc w:val="both"/>
        <w:rPr>
          <w:sz w:val="20"/>
        </w:rPr>
      </w:pPr>
      <w:r>
        <w:rPr>
          <w:sz w:val="20"/>
        </w:rPr>
        <w:t>La aprobación de una disposición general por una Administración distinta de la concedente con posterioridad a la formalización del contrato.</w:t>
      </w:r>
    </w:p>
    <w:p w:rsidR="0092635B" w:rsidRDefault="00000000">
      <w:pPr>
        <w:pStyle w:val="Prrafodelista"/>
        <w:numPr>
          <w:ilvl w:val="1"/>
          <w:numId w:val="120"/>
        </w:numPr>
        <w:tabs>
          <w:tab w:val="left" w:pos="1776"/>
        </w:tabs>
        <w:spacing w:before="1" w:line="249" w:lineRule="auto"/>
        <w:ind w:left="1106" w:right="1104" w:firstLine="340"/>
        <w:jc w:val="both"/>
        <w:rPr>
          <w:sz w:val="20"/>
        </w:rPr>
      </w:pPr>
      <w:r>
        <w:rPr>
          <w:sz w:val="20"/>
        </w:rPr>
        <w:t>Cuando el concesionario deba incorporar, por venir obligado a ello legal o contractualmente, a las obras o a su explotación avances técnicos que las mejoren notoriamente</w:t>
      </w:r>
      <w:r>
        <w:rPr>
          <w:spacing w:val="-1"/>
          <w:sz w:val="20"/>
        </w:rPr>
        <w:t xml:space="preserve"> </w:t>
      </w:r>
      <w:r>
        <w:rPr>
          <w:sz w:val="20"/>
        </w:rPr>
        <w:t>y</w:t>
      </w:r>
      <w:r>
        <w:rPr>
          <w:spacing w:val="-1"/>
          <w:sz w:val="20"/>
        </w:rPr>
        <w:t xml:space="preserve"> </w:t>
      </w:r>
      <w:r>
        <w:rPr>
          <w:sz w:val="20"/>
        </w:rPr>
        <w:t>cuya</w:t>
      </w:r>
      <w:r>
        <w:rPr>
          <w:spacing w:val="-1"/>
          <w:sz w:val="20"/>
        </w:rPr>
        <w:t xml:space="preserve"> </w:t>
      </w:r>
      <w:r>
        <w:rPr>
          <w:sz w:val="20"/>
        </w:rPr>
        <w:t>disponibilidad</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mercado,</w:t>
      </w:r>
      <w:r>
        <w:rPr>
          <w:spacing w:val="-1"/>
          <w:sz w:val="20"/>
        </w:rPr>
        <w:t xml:space="preserve"> </w:t>
      </w:r>
      <w:r>
        <w:rPr>
          <w:sz w:val="20"/>
        </w:rPr>
        <w:t>de</w:t>
      </w:r>
      <w:r>
        <w:rPr>
          <w:spacing w:val="-1"/>
          <w:sz w:val="20"/>
        </w:rPr>
        <w:t xml:space="preserve"> </w:t>
      </w:r>
      <w:r>
        <w:rPr>
          <w:sz w:val="20"/>
        </w:rPr>
        <w:t>acuerdo</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estado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técnica,</w:t>
      </w:r>
      <w:r>
        <w:rPr>
          <w:spacing w:val="-1"/>
          <w:sz w:val="20"/>
        </w:rPr>
        <w:t xml:space="preserve"> </w:t>
      </w:r>
      <w:r>
        <w:rPr>
          <w:sz w:val="20"/>
        </w:rPr>
        <w:t>se haya producido con posterioridad a la formalización del contrato.</w:t>
      </w:r>
    </w:p>
    <w:p w:rsidR="0092635B" w:rsidRDefault="00000000">
      <w:pPr>
        <w:pStyle w:val="Textoindependiente"/>
        <w:spacing w:before="123" w:line="249" w:lineRule="auto"/>
        <w:ind w:right="1102"/>
      </w:pPr>
      <w:r>
        <w:t>Se entenderá que el cumplimiento del contrato deviene extraordinariamente oneroso</w:t>
      </w:r>
      <w:r>
        <w:rPr>
          <w:spacing w:val="40"/>
        </w:rPr>
        <w:t xml:space="preserve"> </w:t>
      </w:r>
      <w:r>
        <w:t>para el concesionario cuando la incidencia de las disposiciones de las Administraciones o el importe de las mejoras técnicas que deban incorporarse supongan un incremento neto anualizado de los costes de, al menos, el 5 por ciento del importe neto de la cifra de</w:t>
      </w:r>
      <w:r>
        <w:rPr>
          <w:spacing w:val="40"/>
        </w:rPr>
        <w:t xml:space="preserve"> </w:t>
      </w:r>
      <w:r>
        <w:t>negocios de la concesión por el período que reste hasta la conclusión de la misma. Para el cálculo del incremento se deducirán, en su caso, los posibles ingresos adicionales que la medida pudiera generar.</w:t>
      </w:r>
    </w:p>
    <w:p w:rsidR="0092635B" w:rsidRDefault="00000000">
      <w:pPr>
        <w:pStyle w:val="Textoindependiente"/>
        <w:spacing w:before="6" w:line="249" w:lineRule="auto"/>
        <w:ind w:right="1106"/>
      </w:pPr>
      <w:r>
        <w:t xml:space="preserve">Cuando el contratista desistiera del contrato como consecuencia de lo establecido en este apartado la resolución no dará derecho a indemnización alguna para ninguna de las </w:t>
      </w:r>
      <w:r>
        <w:rPr>
          <w:spacing w:val="-2"/>
        </w:rPr>
        <w:t>partes.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20"/>
        </w:numPr>
        <w:tabs>
          <w:tab w:val="left" w:pos="1714"/>
        </w:tabs>
        <w:spacing w:before="1" w:line="249" w:lineRule="auto"/>
        <w:ind w:right="1104" w:firstLine="340"/>
        <w:jc w:val="both"/>
        <w:rPr>
          <w:sz w:val="20"/>
        </w:rPr>
      </w:pPr>
      <w:r>
        <w:rPr>
          <w:sz w:val="20"/>
        </w:rPr>
        <w:t xml:space="preserve">En el caso de que los acuerdos que dicte el órgano de contratación respecto al desarrollo de la explotación de la concesión de obras carezcan de trascendencia económica el concesionario no tendrá derecho a indemnización o compensación por razón de los </w:t>
      </w:r>
      <w:r>
        <w:rPr>
          <w:spacing w:val="-2"/>
          <w:sz w:val="20"/>
        </w:rPr>
        <w:t>mismos.</w:t>
      </w:r>
    </w:p>
    <w:p w:rsidR="0092635B" w:rsidRDefault="0092635B">
      <w:pPr>
        <w:pStyle w:val="Textoindependiente"/>
        <w:spacing w:before="0"/>
        <w:ind w:left="0" w:firstLine="0"/>
        <w:jc w:val="left"/>
      </w:pPr>
    </w:p>
    <w:p w:rsidR="0092635B" w:rsidRDefault="00000000">
      <w:pPr>
        <w:pStyle w:val="Ttulo3"/>
      </w:pPr>
      <w:bookmarkStart w:id="431" w:name="Sección_6.ª_Financiación_privada"/>
      <w:bookmarkStart w:id="432" w:name="_bookmark82"/>
      <w:bookmarkEnd w:id="431"/>
      <w:bookmarkEnd w:id="432"/>
      <w:r>
        <w:t>Sección</w:t>
      </w:r>
      <w:r>
        <w:rPr>
          <w:spacing w:val="-1"/>
        </w:rPr>
        <w:t xml:space="preserve"> </w:t>
      </w:r>
      <w:r>
        <w:t>6.ª</w:t>
      </w:r>
      <w:r>
        <w:rPr>
          <w:spacing w:val="-1"/>
        </w:rPr>
        <w:t xml:space="preserve"> </w:t>
      </w:r>
      <w:r>
        <w:t xml:space="preserve">Financiación </w:t>
      </w:r>
      <w:r>
        <w:rPr>
          <w:spacing w:val="-2"/>
        </w:rPr>
        <w:t>privada</w:t>
      </w:r>
    </w:p>
    <w:p w:rsidR="0092635B" w:rsidRDefault="0092635B">
      <w:pPr>
        <w:pStyle w:val="Textoindependiente"/>
        <w:spacing w:before="63"/>
        <w:ind w:left="0" w:firstLine="0"/>
        <w:jc w:val="left"/>
        <w:rPr>
          <w:rFonts w:ascii="Arial"/>
          <w:b/>
          <w:i/>
        </w:rPr>
      </w:pPr>
    </w:p>
    <w:p w:rsidR="0092635B" w:rsidRDefault="00000000">
      <w:pPr>
        <w:pStyle w:val="Textoindependiente"/>
        <w:spacing w:before="0"/>
        <w:ind w:left="0" w:firstLine="0"/>
        <w:jc w:val="center"/>
      </w:pPr>
      <w:bookmarkStart w:id="433" w:name="Subsección_1.ª_Emisión_de_títulos_por_el"/>
      <w:bookmarkStart w:id="434" w:name="_bookmark83"/>
      <w:bookmarkEnd w:id="433"/>
      <w:bookmarkEnd w:id="434"/>
      <w:r>
        <w:t>Subsección</w:t>
      </w:r>
      <w:r>
        <w:rPr>
          <w:spacing w:val="-3"/>
        </w:rPr>
        <w:t xml:space="preserve"> </w:t>
      </w:r>
      <w:r>
        <w:t>1.ª</w:t>
      </w:r>
      <w:r>
        <w:rPr>
          <w:spacing w:val="-3"/>
        </w:rPr>
        <w:t xml:space="preserve"> </w:t>
      </w:r>
      <w:r>
        <w:t>Emisión</w:t>
      </w:r>
      <w:r>
        <w:rPr>
          <w:spacing w:val="-3"/>
        </w:rPr>
        <w:t xml:space="preserve"> </w:t>
      </w:r>
      <w:r>
        <w:t>de</w:t>
      </w:r>
      <w:r>
        <w:rPr>
          <w:spacing w:val="-2"/>
        </w:rPr>
        <w:t xml:space="preserve"> </w:t>
      </w:r>
      <w:r>
        <w:t>títulos</w:t>
      </w:r>
      <w:r>
        <w:rPr>
          <w:spacing w:val="-3"/>
        </w:rPr>
        <w:t xml:space="preserve"> </w:t>
      </w:r>
      <w:r>
        <w:t>por</w:t>
      </w:r>
      <w:r>
        <w:rPr>
          <w:spacing w:val="-3"/>
        </w:rPr>
        <w:t xml:space="preserve"> </w:t>
      </w:r>
      <w:r>
        <w:t>el</w:t>
      </w:r>
      <w:r>
        <w:rPr>
          <w:spacing w:val="-2"/>
        </w:rPr>
        <w:t xml:space="preserve"> concesionario</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435" w:name="Artículo_271._Emisión_de_obligaciones_y_"/>
      <w:bookmarkEnd w:id="435"/>
      <w:r>
        <w:rPr>
          <w:rFonts w:ascii="Arial" w:hAnsi="Arial"/>
          <w:b/>
          <w:sz w:val="20"/>
        </w:rPr>
        <w:t>Artículo</w:t>
      </w:r>
      <w:r>
        <w:rPr>
          <w:rFonts w:ascii="Arial" w:hAnsi="Arial"/>
          <w:b/>
          <w:spacing w:val="-1"/>
          <w:sz w:val="20"/>
        </w:rPr>
        <w:t xml:space="preserve"> </w:t>
      </w:r>
      <w:r>
        <w:rPr>
          <w:rFonts w:ascii="Arial" w:hAnsi="Arial"/>
          <w:b/>
          <w:sz w:val="20"/>
        </w:rPr>
        <w:t>271.</w:t>
      </w:r>
      <w:r>
        <w:rPr>
          <w:rFonts w:ascii="Arial" w:hAnsi="Arial"/>
          <w:b/>
          <w:spacing w:val="52"/>
          <w:sz w:val="20"/>
        </w:rPr>
        <w:t xml:space="preserve"> </w:t>
      </w:r>
      <w:r>
        <w:rPr>
          <w:rFonts w:ascii="Arial" w:hAnsi="Arial"/>
          <w:i/>
          <w:sz w:val="20"/>
        </w:rPr>
        <w:t>Emisión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obligaciones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 xml:space="preserve">otros </w:t>
      </w:r>
      <w:r>
        <w:rPr>
          <w:rFonts w:ascii="Arial" w:hAnsi="Arial"/>
          <w:i/>
          <w:spacing w:val="-2"/>
          <w:sz w:val="20"/>
        </w:rPr>
        <w:t>títulos.</w:t>
      </w:r>
    </w:p>
    <w:p w:rsidR="0092635B" w:rsidRDefault="00000000">
      <w:pPr>
        <w:pStyle w:val="Prrafodelista"/>
        <w:numPr>
          <w:ilvl w:val="0"/>
          <w:numId w:val="119"/>
        </w:numPr>
        <w:tabs>
          <w:tab w:val="left" w:pos="1704"/>
        </w:tabs>
        <w:spacing w:before="123" w:line="249" w:lineRule="auto"/>
        <w:ind w:firstLine="340"/>
        <w:jc w:val="both"/>
        <w:rPr>
          <w:sz w:val="20"/>
        </w:rPr>
      </w:pPr>
      <w:r>
        <w:rPr>
          <w:sz w:val="20"/>
        </w:rPr>
        <w:t>El concesionario podrá apelar al crédito en el mercado de capitales, tanto exterior como interior, mediante la emisión de toda clase de obligaciones, bonos u otros títulos semejantes admitidos en derecho.</w:t>
      </w:r>
    </w:p>
    <w:p w:rsidR="0092635B" w:rsidRDefault="00000000">
      <w:pPr>
        <w:pStyle w:val="Prrafodelista"/>
        <w:numPr>
          <w:ilvl w:val="0"/>
          <w:numId w:val="119"/>
        </w:numPr>
        <w:tabs>
          <w:tab w:val="left" w:pos="1696"/>
        </w:tabs>
        <w:spacing w:before="3" w:line="249" w:lineRule="auto"/>
        <w:ind w:right="1104" w:firstLine="340"/>
        <w:jc w:val="both"/>
        <w:rPr>
          <w:sz w:val="20"/>
        </w:rPr>
      </w:pPr>
      <w:r>
        <w:rPr>
          <w:sz w:val="20"/>
        </w:rPr>
        <w:t>No podrán emitirse títulos cuyo plazo de reembolso total o parcial finalice en fecha posterior al término de la concesión.</w:t>
      </w:r>
    </w:p>
    <w:p w:rsidR="0092635B" w:rsidRDefault="00000000">
      <w:pPr>
        <w:pStyle w:val="Prrafodelista"/>
        <w:numPr>
          <w:ilvl w:val="0"/>
          <w:numId w:val="119"/>
        </w:numPr>
        <w:tabs>
          <w:tab w:val="left" w:pos="1730"/>
        </w:tabs>
        <w:spacing w:line="249" w:lineRule="auto"/>
        <w:ind w:right="1102" w:firstLine="340"/>
        <w:jc w:val="both"/>
        <w:rPr>
          <w:sz w:val="20"/>
        </w:rPr>
      </w:pPr>
      <w:r>
        <w:rPr>
          <w:sz w:val="20"/>
        </w:rPr>
        <w:t>Las emisiones de obligaciones podrán contar con el aval del Estado y de sus organismos públicos, que se otorgará con arreglo a las prescripciones de la normativa presupuestaria. La concesión del aval por parte de las Comunidades Autónomas, entidades locales, de sus organismos públicos respectivos y demás sujetos sometidos a esta Ley se otorgará conforme a lo que establezca su normativa específica.</w:t>
      </w:r>
    </w:p>
    <w:p w:rsidR="0092635B" w:rsidRDefault="00000000">
      <w:pPr>
        <w:pStyle w:val="Prrafodelista"/>
        <w:numPr>
          <w:ilvl w:val="0"/>
          <w:numId w:val="119"/>
        </w:numPr>
        <w:tabs>
          <w:tab w:val="left" w:pos="1675"/>
        </w:tabs>
        <w:spacing w:before="4" w:line="249" w:lineRule="auto"/>
        <w:ind w:right="1104" w:firstLine="340"/>
        <w:jc w:val="both"/>
        <w:rPr>
          <w:sz w:val="20"/>
        </w:rPr>
      </w:pPr>
      <w:r>
        <w:rPr>
          <w:sz w:val="20"/>
        </w:rPr>
        <w:t>La emisión de las obligaciones, bonos u otros títulos referidos deberá ser comunicada al órgano de contratación en el plazo máximo de un mes desde la fecha en que cada</w:t>
      </w:r>
      <w:r>
        <w:rPr>
          <w:spacing w:val="80"/>
          <w:sz w:val="20"/>
        </w:rPr>
        <w:t xml:space="preserve"> </w:t>
      </w:r>
      <w:r>
        <w:rPr>
          <w:sz w:val="20"/>
        </w:rPr>
        <w:t>emisión se realice.</w:t>
      </w:r>
    </w:p>
    <w:p w:rsidR="0092635B" w:rsidRDefault="00000000">
      <w:pPr>
        <w:pStyle w:val="Prrafodelista"/>
        <w:numPr>
          <w:ilvl w:val="0"/>
          <w:numId w:val="119"/>
        </w:numPr>
        <w:tabs>
          <w:tab w:val="left" w:pos="1671"/>
        </w:tabs>
        <w:spacing w:line="249" w:lineRule="auto"/>
        <w:ind w:right="1105" w:firstLine="340"/>
        <w:jc w:val="both"/>
        <w:rPr>
          <w:sz w:val="20"/>
        </w:rPr>
      </w:pPr>
      <w:r>
        <w:rPr>
          <w:sz w:val="20"/>
        </w:rPr>
        <w:t>A las emisiones de valores reguladas en este artículo y en el siguiente les resultará de aplicación lo dispuesto en el texto refundido de la Ley del Mercado de Valores, aprobado por Real Decreto Legislativo 4/2015, de 23 de octubre.</w:t>
      </w:r>
    </w:p>
    <w:p w:rsidR="0092635B" w:rsidRDefault="00000000">
      <w:pPr>
        <w:pStyle w:val="Prrafodelista"/>
        <w:numPr>
          <w:ilvl w:val="0"/>
          <w:numId w:val="119"/>
        </w:numPr>
        <w:tabs>
          <w:tab w:val="left" w:pos="1698"/>
        </w:tabs>
        <w:spacing w:before="3" w:line="249" w:lineRule="auto"/>
        <w:ind w:right="1104" w:firstLine="340"/>
        <w:jc w:val="both"/>
        <w:rPr>
          <w:sz w:val="20"/>
        </w:rPr>
      </w:pPr>
      <w:r>
        <w:rPr>
          <w:sz w:val="20"/>
        </w:rPr>
        <w:t>Si la emisión ha sido objeto de registro ante la Comisión Nacional del Mercado de Valores y el riesgo financiero correspondiente a los valores ha sido evaluado positivamente por una entidad calificadora reconocida por dicha entidad supervisora, no será de aplicación el límite del importe previsto en el artículo 401 del texto refundido de la Ley de Sociedades</w:t>
      </w:r>
      <w:r>
        <w:rPr>
          <w:spacing w:val="40"/>
          <w:sz w:val="20"/>
        </w:rPr>
        <w:t xml:space="preserve"> </w:t>
      </w:r>
      <w:r>
        <w:rPr>
          <w:sz w:val="20"/>
        </w:rPr>
        <w:t>de Capital, aprobado mediante Real Decreto Legislativo 1/2010, de 2 de julio.</w:t>
      </w:r>
    </w:p>
    <w:p w:rsidR="0092635B" w:rsidRDefault="0092635B">
      <w:pPr>
        <w:pStyle w:val="Textoindependiente"/>
        <w:spacing w:before="0"/>
        <w:ind w:left="0" w:firstLine="0"/>
        <w:jc w:val="left"/>
      </w:pPr>
    </w:p>
    <w:p w:rsidR="0092635B" w:rsidRDefault="00000000">
      <w:pPr>
        <w:tabs>
          <w:tab w:val="left" w:pos="2705"/>
        </w:tabs>
        <w:spacing w:line="249" w:lineRule="auto"/>
        <w:ind w:left="1106" w:right="1120"/>
        <w:rPr>
          <w:rFonts w:ascii="Arial" w:hAnsi="Arial"/>
          <w:i/>
          <w:sz w:val="20"/>
        </w:rPr>
      </w:pPr>
      <w:bookmarkStart w:id="436" w:name="Artículo_272._Incorporación_a_títulos_ne"/>
      <w:bookmarkEnd w:id="436"/>
      <w:r>
        <w:rPr>
          <w:rFonts w:ascii="Arial" w:hAnsi="Arial"/>
          <w:b/>
          <w:sz w:val="20"/>
        </w:rPr>
        <w:t>Artículo</w:t>
      </w:r>
      <w:r>
        <w:rPr>
          <w:rFonts w:ascii="Arial" w:hAnsi="Arial"/>
          <w:b/>
          <w:spacing w:val="80"/>
          <w:sz w:val="20"/>
        </w:rPr>
        <w:t xml:space="preserve"> </w:t>
      </w:r>
      <w:r>
        <w:rPr>
          <w:rFonts w:ascii="Arial" w:hAnsi="Arial"/>
          <w:b/>
          <w:sz w:val="20"/>
        </w:rPr>
        <w:t>272.</w:t>
      </w:r>
      <w:r>
        <w:rPr>
          <w:rFonts w:ascii="Arial" w:hAnsi="Arial"/>
          <w:b/>
          <w:sz w:val="20"/>
        </w:rPr>
        <w:tab/>
      </w:r>
      <w:r>
        <w:rPr>
          <w:rFonts w:ascii="Arial" w:hAnsi="Arial"/>
          <w:i/>
          <w:sz w:val="20"/>
        </w:rPr>
        <w:t>Incorporación</w:t>
      </w:r>
      <w:r>
        <w:rPr>
          <w:rFonts w:ascii="Arial" w:hAnsi="Arial"/>
          <w:i/>
          <w:spacing w:val="80"/>
          <w:sz w:val="20"/>
        </w:rPr>
        <w:t xml:space="preserve"> </w:t>
      </w:r>
      <w:r>
        <w:rPr>
          <w:rFonts w:ascii="Arial" w:hAnsi="Arial"/>
          <w:i/>
          <w:sz w:val="20"/>
        </w:rPr>
        <w:t>a</w:t>
      </w:r>
      <w:r>
        <w:rPr>
          <w:rFonts w:ascii="Arial" w:hAnsi="Arial"/>
          <w:i/>
          <w:spacing w:val="80"/>
          <w:sz w:val="20"/>
        </w:rPr>
        <w:t xml:space="preserve"> </w:t>
      </w:r>
      <w:r>
        <w:rPr>
          <w:rFonts w:ascii="Arial" w:hAnsi="Arial"/>
          <w:i/>
          <w:sz w:val="20"/>
        </w:rPr>
        <w:t>títulos</w:t>
      </w:r>
      <w:r>
        <w:rPr>
          <w:rFonts w:ascii="Arial" w:hAnsi="Arial"/>
          <w:i/>
          <w:spacing w:val="80"/>
          <w:sz w:val="20"/>
        </w:rPr>
        <w:t xml:space="preserve"> </w:t>
      </w:r>
      <w:r>
        <w:rPr>
          <w:rFonts w:ascii="Arial" w:hAnsi="Arial"/>
          <w:i/>
          <w:sz w:val="20"/>
        </w:rPr>
        <w:t>negociables</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los</w:t>
      </w:r>
      <w:r>
        <w:rPr>
          <w:rFonts w:ascii="Arial" w:hAnsi="Arial"/>
          <w:i/>
          <w:spacing w:val="80"/>
          <w:sz w:val="20"/>
        </w:rPr>
        <w:t xml:space="preserve"> </w:t>
      </w:r>
      <w:r>
        <w:rPr>
          <w:rFonts w:ascii="Arial" w:hAnsi="Arial"/>
          <w:i/>
          <w:sz w:val="20"/>
        </w:rPr>
        <w:t>derechos</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crédito</w:t>
      </w:r>
      <w:r>
        <w:rPr>
          <w:rFonts w:ascii="Arial" w:hAnsi="Arial"/>
          <w:i/>
          <w:spacing w:val="80"/>
          <w:sz w:val="20"/>
        </w:rPr>
        <w:t xml:space="preserve"> </w:t>
      </w:r>
      <w:r>
        <w:rPr>
          <w:rFonts w:ascii="Arial" w:hAnsi="Arial"/>
          <w:i/>
          <w:sz w:val="20"/>
        </w:rPr>
        <w:t xml:space="preserve">del </w:t>
      </w:r>
      <w:r>
        <w:rPr>
          <w:rFonts w:ascii="Arial" w:hAnsi="Arial"/>
          <w:i/>
          <w:spacing w:val="-2"/>
          <w:sz w:val="20"/>
        </w:rPr>
        <w:t>concesionario.</w:t>
      </w:r>
    </w:p>
    <w:p w:rsidR="0092635B" w:rsidRDefault="00000000">
      <w:pPr>
        <w:pStyle w:val="Prrafodelista"/>
        <w:numPr>
          <w:ilvl w:val="0"/>
          <w:numId w:val="118"/>
        </w:numPr>
        <w:tabs>
          <w:tab w:val="left" w:pos="1707"/>
        </w:tabs>
        <w:spacing w:before="115" w:line="249" w:lineRule="auto"/>
        <w:ind w:right="1102" w:firstLine="340"/>
        <w:jc w:val="both"/>
        <w:rPr>
          <w:sz w:val="20"/>
        </w:rPr>
      </w:pPr>
      <w:r>
        <w:rPr>
          <w:sz w:val="20"/>
        </w:rPr>
        <w:t>Podrán emitirse valores que representen una participación en uno o varios de los derechos de crédito a favor del concesionario consistentes en el derecho al cobro de las tarifas, los ingresos que pueda obtener por la explotación de los elementos comerciales relacionados</w:t>
      </w:r>
      <w:r>
        <w:rPr>
          <w:spacing w:val="-1"/>
          <w:sz w:val="20"/>
        </w:rPr>
        <w:t xml:space="preserve"> </w:t>
      </w:r>
      <w:r>
        <w:rPr>
          <w:sz w:val="20"/>
        </w:rPr>
        <w:t>con</w:t>
      </w:r>
      <w:r>
        <w:rPr>
          <w:spacing w:val="-1"/>
          <w:sz w:val="20"/>
        </w:rPr>
        <w:t xml:space="preserve"> </w:t>
      </w:r>
      <w:r>
        <w:rPr>
          <w:sz w:val="20"/>
        </w:rPr>
        <w:t>la</w:t>
      </w:r>
      <w:r>
        <w:rPr>
          <w:spacing w:val="-1"/>
          <w:sz w:val="20"/>
        </w:rPr>
        <w:t xml:space="preserve"> </w:t>
      </w:r>
      <w:r>
        <w:rPr>
          <w:sz w:val="20"/>
        </w:rPr>
        <w:t>concesión,</w:t>
      </w:r>
      <w:r>
        <w:rPr>
          <w:spacing w:val="-1"/>
          <w:sz w:val="20"/>
        </w:rPr>
        <w:t xml:space="preserve"> </w:t>
      </w:r>
      <w:r>
        <w:rPr>
          <w:sz w:val="20"/>
        </w:rPr>
        <w:t>así</w:t>
      </w:r>
      <w:r>
        <w:rPr>
          <w:spacing w:val="-1"/>
          <w:sz w:val="20"/>
        </w:rPr>
        <w:t xml:space="preserve"> </w:t>
      </w:r>
      <w:r>
        <w:rPr>
          <w:sz w:val="20"/>
        </w:rPr>
        <w:t>como</w:t>
      </w:r>
      <w:r>
        <w:rPr>
          <w:spacing w:val="-1"/>
          <w:sz w:val="20"/>
        </w:rPr>
        <w:t xml:space="preserve"> </w:t>
      </w:r>
      <w:r>
        <w:rPr>
          <w:sz w:val="20"/>
        </w:rPr>
        <w:t>los</w:t>
      </w:r>
      <w:r>
        <w:rPr>
          <w:spacing w:val="-1"/>
          <w:sz w:val="20"/>
        </w:rPr>
        <w:t xml:space="preserve"> </w:t>
      </w:r>
      <w:r>
        <w:rPr>
          <w:sz w:val="20"/>
        </w:rPr>
        <w:t>que</w:t>
      </w:r>
      <w:r>
        <w:rPr>
          <w:spacing w:val="-1"/>
          <w:sz w:val="20"/>
        </w:rPr>
        <w:t xml:space="preserve"> </w:t>
      </w:r>
      <w:r>
        <w:rPr>
          <w:sz w:val="20"/>
        </w:rPr>
        <w:t>correspondan</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aportaciones</w:t>
      </w:r>
      <w:r>
        <w:rPr>
          <w:spacing w:val="-1"/>
          <w:sz w:val="20"/>
        </w:rPr>
        <w:t xml:space="preserve"> </w:t>
      </w:r>
      <w:r>
        <w:rPr>
          <w:sz w:val="20"/>
        </w:rPr>
        <w:t>que,</w:t>
      </w:r>
      <w:r>
        <w:rPr>
          <w:spacing w:val="-1"/>
          <w:sz w:val="20"/>
        </w:rPr>
        <w:t xml:space="preserve"> </w:t>
      </w:r>
      <w:r>
        <w:rPr>
          <w:sz w:val="20"/>
        </w:rPr>
        <w:t>en</w:t>
      </w:r>
      <w:r>
        <w:rPr>
          <w:spacing w:val="-1"/>
          <w:sz w:val="20"/>
        </w:rPr>
        <w:t xml:space="preserve"> </w:t>
      </w:r>
      <w:r>
        <w:rPr>
          <w:sz w:val="20"/>
        </w:rPr>
        <w:t>su caso, deba realizar la Administración. La cesión de estos derechos se formalizará en escritura pública que, en el supuesto de cesión de las aportaciones a efectuar por la Administración, se deberá notificar al órgano contratante y ello sin perjuicio de lo dispuesto en el párrafo quinto de este apartado.</w:t>
      </w:r>
    </w:p>
    <w:p w:rsidR="0092635B" w:rsidRDefault="00000000">
      <w:pPr>
        <w:pStyle w:val="Textoindependiente"/>
        <w:spacing w:before="7" w:line="249" w:lineRule="auto"/>
        <w:ind w:right="1104"/>
      </w:pPr>
      <w:r>
        <w:t>Los valores negociables anteriormente referidos se representarán en títulos o en anotaciones en cuenta, podrán realizarse una o varias emisiones y podrán afectar derechos de crédito previstos para uno o varios ejercicios económicos distintos.</w:t>
      </w:r>
    </w:p>
    <w:p w:rsidR="0092635B" w:rsidRDefault="00000000">
      <w:pPr>
        <w:pStyle w:val="Textoindependiente"/>
        <w:spacing w:before="3" w:line="249" w:lineRule="auto"/>
        <w:ind w:right="1104"/>
      </w:pPr>
      <w:r>
        <w:t>Tanto las participaciones como directamente los derechos de crédito a que se refiere el primer párrafo de este apartado podrán incorporarse a fondos de titulización de activos que se regirán por la normativa específica que les corresponda.</w:t>
      </w:r>
    </w:p>
    <w:p w:rsidR="0092635B" w:rsidRDefault="00000000">
      <w:pPr>
        <w:pStyle w:val="Textoindependiente"/>
        <w:spacing w:line="249" w:lineRule="auto"/>
        <w:ind w:right="1103"/>
      </w:pPr>
      <w:r>
        <w:t>De la suscripción y tenencia de estos valores que no esté limitada a inversores institucionales o profesionales, se dejará nota marginal en la inscripción registral de la concesión correspondiente. Asimismo, las características de las emisiones deberán constar en las memorias anuales de las sociedades que las realicen.</w:t>
      </w:r>
    </w:p>
    <w:p w:rsidR="0092635B" w:rsidRDefault="00000000">
      <w:pPr>
        <w:pStyle w:val="Textoindependiente"/>
        <w:spacing w:before="3" w:line="249" w:lineRule="auto"/>
        <w:ind w:right="1105"/>
      </w:pPr>
      <w:r>
        <w:t>La emisión de estos valores requerirá autorización administrativa previa del órgano de contratación, cuyo otorgamiento solo podrá denegarse cuando el buen fin de la concesión u otra razón de interés público relevante lo justifiquen. El plazo para notificar la resolución sobre la solicitud de autorización será de dos meses, transcurrido el cual sin resolución expresa la solicitud deberá entenderse estimada.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18"/>
        </w:numPr>
        <w:tabs>
          <w:tab w:val="left" w:pos="1695"/>
        </w:tabs>
        <w:spacing w:before="1" w:line="249" w:lineRule="auto"/>
        <w:ind w:firstLine="340"/>
        <w:jc w:val="both"/>
        <w:rPr>
          <w:sz w:val="20"/>
        </w:rPr>
      </w:pPr>
      <w:r>
        <w:rPr>
          <w:sz w:val="20"/>
        </w:rPr>
        <w:t>Siempre que designen previamente a una persona física o jurídica que actúe como representante</w:t>
      </w:r>
      <w:r>
        <w:rPr>
          <w:spacing w:val="-3"/>
          <w:sz w:val="20"/>
        </w:rPr>
        <w:t xml:space="preserve"> </w:t>
      </w:r>
      <w:r>
        <w:rPr>
          <w:sz w:val="20"/>
        </w:rPr>
        <w:t>único</w:t>
      </w:r>
      <w:r>
        <w:rPr>
          <w:spacing w:val="-3"/>
          <w:sz w:val="20"/>
        </w:rPr>
        <w:t xml:space="preserve"> </w:t>
      </w:r>
      <w:r>
        <w:rPr>
          <w:sz w:val="20"/>
        </w:rPr>
        <w:t>ante</w:t>
      </w:r>
      <w:r>
        <w:rPr>
          <w:spacing w:val="-3"/>
          <w:sz w:val="20"/>
        </w:rPr>
        <w:t xml:space="preserve"> </w:t>
      </w:r>
      <w:r>
        <w:rPr>
          <w:sz w:val="20"/>
        </w:rPr>
        <w:t>la</w:t>
      </w:r>
      <w:r>
        <w:rPr>
          <w:spacing w:val="-3"/>
          <w:sz w:val="20"/>
        </w:rPr>
        <w:t xml:space="preserve"> </w:t>
      </w:r>
      <w:r>
        <w:rPr>
          <w:sz w:val="20"/>
        </w:rPr>
        <w:t>Administración</w:t>
      </w:r>
      <w:r>
        <w:rPr>
          <w:spacing w:val="-3"/>
          <w:sz w:val="20"/>
        </w:rPr>
        <w:t xml:space="preserve"> </w:t>
      </w:r>
      <w:r>
        <w:rPr>
          <w:sz w:val="20"/>
        </w:rPr>
        <w:t>a</w:t>
      </w:r>
      <w:r>
        <w:rPr>
          <w:spacing w:val="-3"/>
          <w:sz w:val="20"/>
        </w:rPr>
        <w:t xml:space="preserve"> </w:t>
      </w:r>
      <w:r>
        <w:rPr>
          <w:sz w:val="20"/>
        </w:rPr>
        <w:t>los</w:t>
      </w:r>
      <w:r>
        <w:rPr>
          <w:spacing w:val="-3"/>
          <w:sz w:val="20"/>
        </w:rPr>
        <w:t xml:space="preserve"> </w:t>
      </w:r>
      <w:r>
        <w:rPr>
          <w:sz w:val="20"/>
        </w:rPr>
        <w:t>solos</w:t>
      </w:r>
      <w:r>
        <w:rPr>
          <w:spacing w:val="-3"/>
          <w:sz w:val="20"/>
        </w:rPr>
        <w:t xml:space="preserve"> </w:t>
      </w:r>
      <w:r>
        <w:rPr>
          <w:sz w:val="20"/>
        </w:rPr>
        <w:t>efectos</w:t>
      </w:r>
      <w:r>
        <w:rPr>
          <w:spacing w:val="-3"/>
          <w:sz w:val="20"/>
        </w:rPr>
        <w:t xml:space="preserve"> </w:t>
      </w:r>
      <w:r>
        <w:rPr>
          <w:sz w:val="20"/>
        </w:rPr>
        <w:t>previstos</w:t>
      </w:r>
      <w:r>
        <w:rPr>
          <w:spacing w:val="-3"/>
          <w:sz w:val="20"/>
        </w:rPr>
        <w:t xml:space="preserve"> </w:t>
      </w:r>
      <w:r>
        <w:rPr>
          <w:sz w:val="20"/>
        </w:rPr>
        <w:t>en</w:t>
      </w:r>
      <w:r>
        <w:rPr>
          <w:spacing w:val="-3"/>
          <w:sz w:val="20"/>
        </w:rPr>
        <w:t xml:space="preserve"> </w:t>
      </w:r>
      <w:r>
        <w:rPr>
          <w:sz w:val="20"/>
        </w:rPr>
        <w:t>este</w:t>
      </w:r>
      <w:r>
        <w:rPr>
          <w:spacing w:val="-3"/>
          <w:sz w:val="20"/>
        </w:rPr>
        <w:t xml:space="preserve"> </w:t>
      </w:r>
      <w:r>
        <w:rPr>
          <w:sz w:val="20"/>
        </w:rPr>
        <w:t>apartado,</w:t>
      </w:r>
      <w:r>
        <w:rPr>
          <w:spacing w:val="-3"/>
          <w:sz w:val="20"/>
        </w:rPr>
        <w:t xml:space="preserve"> </w:t>
      </w:r>
      <w:r>
        <w:rPr>
          <w:sz w:val="20"/>
        </w:rPr>
        <w:t>los tenedores de valores a que se refiere el apartado 1 de este artículo podrán ejercer las facultades que se atribuyen al acreedor hipotecario en el artículo 274. Si, además, las operaciones a que dicho apartado 1 se refiere hubieran previsto expresamente la</w:t>
      </w:r>
      <w:r>
        <w:rPr>
          <w:spacing w:val="40"/>
          <w:sz w:val="20"/>
        </w:rPr>
        <w:t xml:space="preserve"> </w:t>
      </w:r>
      <w:r>
        <w:rPr>
          <w:sz w:val="20"/>
        </w:rPr>
        <w:t>satisfacción de los derechos de los tenedores antes del transcurso del plazo concesional, estos podrán ejercer las facultades a que se refiere el apartado 3 del citado artículo 274, a partir del vencimiento de los títulos.</w:t>
      </w:r>
    </w:p>
    <w:p w:rsidR="0092635B" w:rsidRDefault="00000000">
      <w:pPr>
        <w:pStyle w:val="Prrafodelista"/>
        <w:numPr>
          <w:ilvl w:val="0"/>
          <w:numId w:val="118"/>
        </w:numPr>
        <w:tabs>
          <w:tab w:val="left" w:pos="1681"/>
        </w:tabs>
        <w:spacing w:before="6" w:line="249" w:lineRule="auto"/>
        <w:ind w:right="1105" w:firstLine="340"/>
        <w:jc w:val="both"/>
        <w:rPr>
          <w:sz w:val="20"/>
        </w:rPr>
      </w:pPr>
      <w:r>
        <w:rPr>
          <w:sz w:val="20"/>
        </w:rPr>
        <w:t>Cuando se produzca causa de resolución de la concesión imputable al concesionario sin que los acreedores hayan obtenido el reembolso correspondiente a sus títulos, la Administración concedente podrá optar por alguna de las siguientes actuaciones:</w:t>
      </w:r>
    </w:p>
    <w:p w:rsidR="0092635B" w:rsidRDefault="00000000">
      <w:pPr>
        <w:pStyle w:val="Prrafodelista"/>
        <w:numPr>
          <w:ilvl w:val="1"/>
          <w:numId w:val="118"/>
        </w:numPr>
        <w:tabs>
          <w:tab w:val="left" w:pos="1694"/>
        </w:tabs>
        <w:spacing w:before="123" w:line="249" w:lineRule="auto"/>
        <w:ind w:right="1102" w:firstLine="340"/>
        <w:jc w:val="both"/>
        <w:rPr>
          <w:sz w:val="20"/>
        </w:rPr>
      </w:pPr>
      <w:r>
        <w:rPr>
          <w:sz w:val="20"/>
        </w:rPr>
        <w:t>Salvo que las causas de resolución fuesen las previstas en la letra b) del apartado 1 del artículo 211, acordar el secuestro o intervención de la concesión conforme a lo previsto en el artículo 263 de esta Ley a los solos efectos de satisfacer los derechos de los acreedores sin que el concesionario pueda percibir ingreso alguno.</w:t>
      </w:r>
    </w:p>
    <w:p w:rsidR="0092635B" w:rsidRDefault="00000000">
      <w:pPr>
        <w:pStyle w:val="Prrafodelista"/>
        <w:numPr>
          <w:ilvl w:val="1"/>
          <w:numId w:val="118"/>
        </w:numPr>
        <w:tabs>
          <w:tab w:val="left" w:pos="1768"/>
        </w:tabs>
        <w:spacing w:before="3" w:line="249" w:lineRule="auto"/>
        <w:ind w:right="1105" w:firstLine="340"/>
        <w:jc w:val="both"/>
        <w:rPr>
          <w:sz w:val="20"/>
        </w:rPr>
      </w:pPr>
      <w:r>
        <w:rPr>
          <w:sz w:val="20"/>
        </w:rPr>
        <w:t>Resolver la concesión, quedando la Administración liberada con la puesta a disposición de los acreedores de la menor de las siguientes cantidades:</w:t>
      </w:r>
    </w:p>
    <w:p w:rsidR="0092635B" w:rsidRDefault="00000000">
      <w:pPr>
        <w:pStyle w:val="Prrafodelista"/>
        <w:numPr>
          <w:ilvl w:val="2"/>
          <w:numId w:val="118"/>
        </w:numPr>
        <w:tabs>
          <w:tab w:val="left" w:pos="1610"/>
        </w:tabs>
        <w:spacing w:before="122" w:line="249" w:lineRule="auto"/>
        <w:ind w:right="1106" w:firstLine="340"/>
        <w:jc w:val="both"/>
        <w:rPr>
          <w:sz w:val="20"/>
        </w:rPr>
      </w:pPr>
      <w:r>
        <w:rPr>
          <w:sz w:val="20"/>
        </w:rPr>
        <w:t>º El importe de la indemnización que correspondiera al concesionario por aplicación de lo previsto en el artículo 280.</w:t>
      </w:r>
    </w:p>
    <w:p w:rsidR="0092635B" w:rsidRDefault="00000000">
      <w:pPr>
        <w:pStyle w:val="Prrafodelista"/>
        <w:numPr>
          <w:ilvl w:val="2"/>
          <w:numId w:val="118"/>
        </w:numPr>
        <w:tabs>
          <w:tab w:val="left" w:pos="1610"/>
        </w:tabs>
        <w:spacing w:before="1" w:line="249" w:lineRule="auto"/>
        <w:ind w:right="1104" w:firstLine="340"/>
        <w:jc w:val="both"/>
        <w:rPr>
          <w:sz w:val="20"/>
        </w:rPr>
      </w:pPr>
      <w:r>
        <w:rPr>
          <w:sz w:val="20"/>
        </w:rPr>
        <w:t>º La diferencia entre el valor nominal de la emisión y las cantidades percibidas hasta el momento de resolución de la concesión tanto en concepto de intereses como de amortizaciones parciales.</w:t>
      </w:r>
    </w:p>
    <w:p w:rsidR="0092635B" w:rsidRDefault="00000000">
      <w:pPr>
        <w:pStyle w:val="Prrafodelista"/>
        <w:numPr>
          <w:ilvl w:val="0"/>
          <w:numId w:val="117"/>
        </w:numPr>
        <w:tabs>
          <w:tab w:val="left" w:pos="1670"/>
        </w:tabs>
        <w:spacing w:before="123" w:line="249" w:lineRule="auto"/>
        <w:ind w:right="1104" w:firstLine="340"/>
        <w:jc w:val="both"/>
        <w:rPr>
          <w:sz w:val="20"/>
        </w:rPr>
      </w:pPr>
      <w:r>
        <w:rPr>
          <w:sz w:val="20"/>
        </w:rPr>
        <w:t>Si</w:t>
      </w:r>
      <w:r>
        <w:rPr>
          <w:spacing w:val="-1"/>
          <w:sz w:val="20"/>
        </w:rPr>
        <w:t xml:space="preserve"> </w:t>
      </w:r>
      <w:r>
        <w:rPr>
          <w:sz w:val="20"/>
        </w:rPr>
        <w:t>se</w:t>
      </w:r>
      <w:r>
        <w:rPr>
          <w:spacing w:val="-1"/>
          <w:sz w:val="20"/>
        </w:rPr>
        <w:t xml:space="preserve"> </w:t>
      </w:r>
      <w:r>
        <w:rPr>
          <w:sz w:val="20"/>
        </w:rPr>
        <w:t>produjera</w:t>
      </w:r>
      <w:r>
        <w:rPr>
          <w:spacing w:val="-1"/>
          <w:sz w:val="20"/>
        </w:rPr>
        <w:t xml:space="preserve"> </w:t>
      </w:r>
      <w:r>
        <w:rPr>
          <w:sz w:val="20"/>
        </w:rPr>
        <w:t>causa</w:t>
      </w:r>
      <w:r>
        <w:rPr>
          <w:spacing w:val="-1"/>
          <w:sz w:val="20"/>
        </w:rPr>
        <w:t xml:space="preserve"> </w:t>
      </w:r>
      <w:r>
        <w:rPr>
          <w:sz w:val="20"/>
        </w:rPr>
        <w:t>de</w:t>
      </w:r>
      <w:r>
        <w:rPr>
          <w:spacing w:val="-1"/>
          <w:sz w:val="20"/>
        </w:rPr>
        <w:t xml:space="preserve"> </w:t>
      </w:r>
      <w:r>
        <w:rPr>
          <w:sz w:val="20"/>
        </w:rPr>
        <w:t>resolución</w:t>
      </w:r>
      <w:r>
        <w:rPr>
          <w:spacing w:val="-1"/>
          <w:sz w:val="20"/>
        </w:rPr>
        <w:t xml:space="preserve"> </w:t>
      </w:r>
      <w:r>
        <w:rPr>
          <w:sz w:val="20"/>
        </w:rPr>
        <w:t>no</w:t>
      </w:r>
      <w:r>
        <w:rPr>
          <w:spacing w:val="-1"/>
          <w:sz w:val="20"/>
        </w:rPr>
        <w:t xml:space="preserve"> </w:t>
      </w:r>
      <w:r>
        <w:rPr>
          <w:sz w:val="20"/>
        </w:rPr>
        <w:t>imputable</w:t>
      </w:r>
      <w:r>
        <w:rPr>
          <w:spacing w:val="-1"/>
          <w:sz w:val="20"/>
        </w:rPr>
        <w:t xml:space="preserve"> </w:t>
      </w:r>
      <w:r>
        <w:rPr>
          <w:sz w:val="20"/>
        </w:rPr>
        <w:t>al</w:t>
      </w:r>
      <w:r>
        <w:rPr>
          <w:spacing w:val="-1"/>
          <w:sz w:val="20"/>
        </w:rPr>
        <w:t xml:space="preserve"> </w:t>
      </w:r>
      <w:r>
        <w:rPr>
          <w:sz w:val="20"/>
        </w:rPr>
        <w:t>concesionario</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acreedores</w:t>
      </w:r>
      <w:r>
        <w:rPr>
          <w:spacing w:val="-1"/>
          <w:sz w:val="20"/>
        </w:rPr>
        <w:t xml:space="preserve"> </w:t>
      </w:r>
      <w:r>
        <w:rPr>
          <w:sz w:val="20"/>
        </w:rPr>
        <w:t>no se hubiesen satisfecho íntegramente de sus derechos, la Administración podrá optar por actuar conforme a lo previsto en el párrafo a) del apartado anterior o bien por resolver la concesión acordando con el representante de los acreedores la cuantía de la deuda y las condiciones en que deberá ser amortizada. A falta de acuerdo, la Administración quedará liberada con la puesta a disposición de la diferencia entre el valor nominal de su inversión y las cantidades percibidas hasta el momento de resolución de la concesión tanto en concepto de intereses como de amortizaciones parciales.</w:t>
      </w:r>
    </w:p>
    <w:p w:rsidR="0092635B" w:rsidRDefault="00000000">
      <w:pPr>
        <w:pStyle w:val="Prrafodelista"/>
        <w:numPr>
          <w:ilvl w:val="0"/>
          <w:numId w:val="117"/>
        </w:numPr>
        <w:tabs>
          <w:tab w:val="left" w:pos="1685"/>
        </w:tabs>
        <w:spacing w:before="6" w:line="249" w:lineRule="auto"/>
        <w:ind w:right="1105" w:firstLine="340"/>
        <w:jc w:val="both"/>
        <w:rPr>
          <w:sz w:val="20"/>
        </w:rPr>
      </w:pPr>
      <w:r>
        <w:rPr>
          <w:sz w:val="20"/>
        </w:rPr>
        <w:t>Quedará siempre a salvo la facultad de acordar la licitación de una nueva concesión una vez resuelta la anterior.</w:t>
      </w:r>
    </w:p>
    <w:p w:rsidR="0092635B" w:rsidRDefault="00000000">
      <w:pPr>
        <w:pStyle w:val="Prrafodelista"/>
        <w:numPr>
          <w:ilvl w:val="0"/>
          <w:numId w:val="117"/>
        </w:numPr>
        <w:tabs>
          <w:tab w:val="left" w:pos="1734"/>
        </w:tabs>
        <w:spacing w:line="249" w:lineRule="auto"/>
        <w:ind w:right="1104" w:firstLine="340"/>
        <w:jc w:val="both"/>
        <w:rPr>
          <w:sz w:val="20"/>
        </w:rPr>
      </w:pPr>
      <w:r>
        <w:rPr>
          <w:sz w:val="20"/>
        </w:rPr>
        <w:t>Las solicitudes referentes a las autorizaciones administrativas previstas en este artículo</w:t>
      </w:r>
      <w:r>
        <w:rPr>
          <w:spacing w:val="-1"/>
          <w:sz w:val="20"/>
        </w:rPr>
        <w:t xml:space="preserve"> </w:t>
      </w:r>
      <w:r>
        <w:rPr>
          <w:sz w:val="20"/>
        </w:rPr>
        <w:t>se</w:t>
      </w:r>
      <w:r>
        <w:rPr>
          <w:spacing w:val="-1"/>
          <w:sz w:val="20"/>
        </w:rPr>
        <w:t xml:space="preserve"> </w:t>
      </w:r>
      <w:r>
        <w:rPr>
          <w:sz w:val="20"/>
        </w:rPr>
        <w:t>resolverán</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competente</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plazo</w:t>
      </w:r>
      <w:r>
        <w:rPr>
          <w:spacing w:val="-1"/>
          <w:sz w:val="20"/>
        </w:rPr>
        <w:t xml:space="preserve"> </w:t>
      </w:r>
      <w:r>
        <w:rPr>
          <w:sz w:val="20"/>
        </w:rPr>
        <w:t>de</w:t>
      </w:r>
      <w:r>
        <w:rPr>
          <w:spacing w:val="-1"/>
          <w:sz w:val="20"/>
        </w:rPr>
        <w:t xml:space="preserve"> </w:t>
      </w:r>
      <w:r>
        <w:rPr>
          <w:sz w:val="20"/>
        </w:rPr>
        <w:t>un</w:t>
      </w:r>
      <w:r>
        <w:rPr>
          <w:spacing w:val="-1"/>
          <w:sz w:val="20"/>
        </w:rPr>
        <w:t xml:space="preserve"> </w:t>
      </w:r>
      <w:r>
        <w:rPr>
          <w:sz w:val="20"/>
        </w:rPr>
        <w:t>mes,</w:t>
      </w:r>
      <w:r>
        <w:rPr>
          <w:spacing w:val="-1"/>
          <w:sz w:val="20"/>
        </w:rPr>
        <w:t xml:space="preserve"> </w:t>
      </w:r>
      <w:r>
        <w:rPr>
          <w:sz w:val="20"/>
        </w:rPr>
        <w:t>debiendo</w:t>
      </w:r>
      <w:r>
        <w:rPr>
          <w:spacing w:val="-1"/>
          <w:sz w:val="20"/>
        </w:rPr>
        <w:t xml:space="preserve"> </w:t>
      </w:r>
      <w:r>
        <w:rPr>
          <w:sz w:val="20"/>
        </w:rPr>
        <w:t>entenderse desestimadas si no resolviera y notificara en ese plazo.</w:t>
      </w:r>
    </w:p>
    <w:p w:rsidR="0092635B" w:rsidRDefault="0092635B">
      <w:pPr>
        <w:pStyle w:val="Textoindependiente"/>
        <w:spacing w:before="56"/>
        <w:ind w:left="0" w:firstLine="0"/>
        <w:jc w:val="left"/>
      </w:pPr>
    </w:p>
    <w:p w:rsidR="0092635B" w:rsidRDefault="00000000">
      <w:pPr>
        <w:pStyle w:val="Textoindependiente"/>
        <w:spacing w:before="0"/>
        <w:ind w:left="0" w:firstLine="0"/>
        <w:jc w:val="center"/>
      </w:pPr>
      <w:bookmarkStart w:id="437" w:name="Subsección_2.ª_Hipoteca_de_la_concesión"/>
      <w:bookmarkStart w:id="438" w:name="_bookmark84"/>
      <w:bookmarkEnd w:id="437"/>
      <w:bookmarkEnd w:id="438"/>
      <w:r>
        <w:t>Subsección</w:t>
      </w:r>
      <w:r>
        <w:rPr>
          <w:spacing w:val="-4"/>
        </w:rPr>
        <w:t xml:space="preserve"> </w:t>
      </w:r>
      <w:r>
        <w:t>2.ª</w:t>
      </w:r>
      <w:r>
        <w:rPr>
          <w:spacing w:val="-4"/>
        </w:rPr>
        <w:t xml:space="preserve"> </w:t>
      </w:r>
      <w:r>
        <w:t>Hipoteca</w:t>
      </w:r>
      <w:r>
        <w:rPr>
          <w:spacing w:val="-4"/>
        </w:rPr>
        <w:t xml:space="preserve"> </w:t>
      </w:r>
      <w:r>
        <w:t>de</w:t>
      </w:r>
      <w:r>
        <w:rPr>
          <w:spacing w:val="-4"/>
        </w:rPr>
        <w:t xml:space="preserve"> </w:t>
      </w:r>
      <w:r>
        <w:t>la</w:t>
      </w:r>
      <w:r>
        <w:rPr>
          <w:spacing w:val="-4"/>
        </w:rPr>
        <w:t xml:space="preserve"> </w:t>
      </w:r>
      <w:r>
        <w:rPr>
          <w:spacing w:val="-2"/>
        </w:rPr>
        <w:t>concesión</w:t>
      </w:r>
    </w:p>
    <w:p w:rsidR="0092635B" w:rsidRDefault="0092635B">
      <w:pPr>
        <w:pStyle w:val="Textoindependiente"/>
        <w:spacing w:before="6"/>
        <w:ind w:left="0" w:firstLine="0"/>
        <w:jc w:val="left"/>
      </w:pPr>
    </w:p>
    <w:p w:rsidR="0092635B" w:rsidRDefault="00000000">
      <w:pPr>
        <w:spacing w:before="1"/>
        <w:ind w:left="1106"/>
        <w:rPr>
          <w:rFonts w:ascii="Arial" w:hAnsi="Arial"/>
          <w:i/>
          <w:sz w:val="20"/>
        </w:rPr>
      </w:pPr>
      <w:bookmarkStart w:id="439" w:name="Artículo_273._Objeto_de_la_hipoteca_de_l"/>
      <w:bookmarkEnd w:id="439"/>
      <w:r>
        <w:rPr>
          <w:rFonts w:ascii="Arial" w:hAnsi="Arial"/>
          <w:b/>
          <w:sz w:val="20"/>
        </w:rPr>
        <w:t>Artículo</w:t>
      </w:r>
      <w:r>
        <w:rPr>
          <w:rFonts w:ascii="Arial" w:hAnsi="Arial"/>
          <w:b/>
          <w:spacing w:val="-3"/>
          <w:sz w:val="20"/>
        </w:rPr>
        <w:t xml:space="preserve"> </w:t>
      </w:r>
      <w:r>
        <w:rPr>
          <w:rFonts w:ascii="Arial" w:hAnsi="Arial"/>
          <w:b/>
          <w:sz w:val="20"/>
        </w:rPr>
        <w:t>273.</w:t>
      </w:r>
      <w:r>
        <w:rPr>
          <w:rFonts w:ascii="Arial" w:hAnsi="Arial"/>
          <w:b/>
          <w:spacing w:val="48"/>
          <w:sz w:val="20"/>
        </w:rPr>
        <w:t xml:space="preserve"> </w:t>
      </w:r>
      <w:r>
        <w:rPr>
          <w:rFonts w:ascii="Arial" w:hAnsi="Arial"/>
          <w:i/>
          <w:sz w:val="20"/>
        </w:rPr>
        <w:t>Objeto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hipoteca</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concesión</w:t>
      </w:r>
      <w:r>
        <w:rPr>
          <w:rFonts w:ascii="Arial" w:hAnsi="Arial"/>
          <w:i/>
          <w:spacing w:val="-2"/>
          <w:sz w:val="20"/>
        </w:rPr>
        <w:t xml:space="preserve"> </w:t>
      </w:r>
      <w:r>
        <w:rPr>
          <w:rFonts w:ascii="Arial" w:hAnsi="Arial"/>
          <w:i/>
          <w:sz w:val="20"/>
        </w:rPr>
        <w:t>y</w:t>
      </w:r>
      <w:r>
        <w:rPr>
          <w:rFonts w:ascii="Arial" w:hAnsi="Arial"/>
          <w:i/>
          <w:spacing w:val="-3"/>
          <w:sz w:val="20"/>
        </w:rPr>
        <w:t xml:space="preserve"> </w:t>
      </w:r>
      <w:r>
        <w:rPr>
          <w:rFonts w:ascii="Arial" w:hAnsi="Arial"/>
          <w:i/>
          <w:sz w:val="20"/>
        </w:rPr>
        <w:t>pignoración</w:t>
      </w:r>
      <w:r>
        <w:rPr>
          <w:rFonts w:ascii="Arial" w:hAnsi="Arial"/>
          <w:i/>
          <w:spacing w:val="-3"/>
          <w:sz w:val="20"/>
        </w:rPr>
        <w:t xml:space="preserve"> </w:t>
      </w:r>
      <w:r>
        <w:rPr>
          <w:rFonts w:ascii="Arial" w:hAnsi="Arial"/>
          <w:i/>
          <w:sz w:val="20"/>
        </w:rPr>
        <w:t>de</w:t>
      </w:r>
      <w:r>
        <w:rPr>
          <w:rFonts w:ascii="Arial" w:hAnsi="Arial"/>
          <w:i/>
          <w:spacing w:val="-2"/>
          <w:sz w:val="20"/>
        </w:rPr>
        <w:t xml:space="preserve"> derechos.</w:t>
      </w:r>
    </w:p>
    <w:p w:rsidR="0092635B" w:rsidRDefault="00000000">
      <w:pPr>
        <w:pStyle w:val="Prrafodelista"/>
        <w:numPr>
          <w:ilvl w:val="0"/>
          <w:numId w:val="116"/>
        </w:numPr>
        <w:tabs>
          <w:tab w:val="left" w:pos="1690"/>
        </w:tabs>
        <w:spacing w:before="123" w:line="249" w:lineRule="auto"/>
        <w:ind w:firstLine="340"/>
        <w:jc w:val="both"/>
        <w:rPr>
          <w:sz w:val="20"/>
        </w:rPr>
      </w:pPr>
      <w:r>
        <w:rPr>
          <w:sz w:val="20"/>
        </w:rPr>
        <w:t>Las concesiones de obras con los bienes y derechos que lleven incorporados serán hipotecables conforme a lo dispuesto en la legislación hipotecaria, previa autorización del órgano de contratación.</w:t>
      </w:r>
    </w:p>
    <w:p w:rsidR="0092635B" w:rsidRDefault="00000000">
      <w:pPr>
        <w:pStyle w:val="Textoindependiente"/>
        <w:spacing w:before="3" w:line="249" w:lineRule="auto"/>
        <w:ind w:right="1104"/>
      </w:pPr>
      <w:r>
        <w:t>No se admitirá la hipoteca de concesiones de obras en garantía de deudas que no guarden relación con la concesión correspondiente.</w:t>
      </w:r>
    </w:p>
    <w:p w:rsidR="0092635B" w:rsidRDefault="00000000">
      <w:pPr>
        <w:pStyle w:val="Prrafodelista"/>
        <w:numPr>
          <w:ilvl w:val="0"/>
          <w:numId w:val="116"/>
        </w:numPr>
        <w:tabs>
          <w:tab w:val="left" w:pos="1734"/>
        </w:tabs>
        <w:spacing w:before="1" w:line="249" w:lineRule="auto"/>
        <w:ind w:right="1104" w:firstLine="340"/>
        <w:jc w:val="both"/>
        <w:rPr>
          <w:sz w:val="20"/>
        </w:rPr>
      </w:pPr>
      <w:r>
        <w:rPr>
          <w:sz w:val="20"/>
        </w:rPr>
        <w:t>Las solicitudes referentes a las autorizaciones administrativas previstas en este artículo y en el siguiente se resolverán por el órgano competente en el plazo de un mes, debiendo entenderse desestimadas si no se resuelven y notifican en ese plazo.</w:t>
      </w:r>
    </w:p>
    <w:p w:rsidR="0092635B" w:rsidRDefault="00000000">
      <w:pPr>
        <w:pStyle w:val="Prrafodelista"/>
        <w:numPr>
          <w:ilvl w:val="0"/>
          <w:numId w:val="116"/>
        </w:numPr>
        <w:tabs>
          <w:tab w:val="left" w:pos="1687"/>
        </w:tabs>
        <w:spacing w:before="3" w:line="249" w:lineRule="auto"/>
        <w:ind w:right="1102" w:firstLine="340"/>
        <w:jc w:val="both"/>
        <w:rPr>
          <w:sz w:val="20"/>
        </w:rPr>
      </w:pPr>
      <w:r>
        <w:rPr>
          <w:sz w:val="20"/>
        </w:rPr>
        <w:t>Los derechos derivados de la resolución de un contrato de concesión de obras o de concesión de servicios, a que se refieren los primeros apartados de los artículos 282 y 295, así como los derivados de las aportaciones públicas y de la ejecución de garantías establecidos en los artículos 266 y 268, solo podrán pignorase en garantía de deudas que guarden relación con la concesión o el contrato, previa autorización del órgano de contratación, que deberá publicarse en el «Boletín Oficial del Estado» o en el correspondiente boletín oficial autonómico o local.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ind w:left="1106"/>
        <w:rPr>
          <w:rFonts w:ascii="Arial" w:hAnsi="Arial"/>
          <w:i/>
          <w:sz w:val="20"/>
        </w:rPr>
      </w:pPr>
      <w:bookmarkStart w:id="440" w:name="Artículo_274._Derechos_del_acreedor_hipo"/>
      <w:bookmarkEnd w:id="440"/>
      <w:r>
        <w:rPr>
          <w:rFonts w:ascii="Arial" w:hAnsi="Arial"/>
          <w:b/>
          <w:sz w:val="20"/>
        </w:rPr>
        <w:t>Artículo</w:t>
      </w:r>
      <w:r>
        <w:rPr>
          <w:rFonts w:ascii="Arial" w:hAnsi="Arial"/>
          <w:b/>
          <w:spacing w:val="-1"/>
          <w:sz w:val="20"/>
        </w:rPr>
        <w:t xml:space="preserve"> </w:t>
      </w:r>
      <w:r>
        <w:rPr>
          <w:rFonts w:ascii="Arial" w:hAnsi="Arial"/>
          <w:b/>
          <w:sz w:val="20"/>
        </w:rPr>
        <w:t>274.</w:t>
      </w:r>
      <w:r>
        <w:rPr>
          <w:rFonts w:ascii="Arial" w:hAnsi="Arial"/>
          <w:b/>
          <w:spacing w:val="54"/>
          <w:sz w:val="20"/>
        </w:rPr>
        <w:t xml:space="preserve"> </w:t>
      </w:r>
      <w:r>
        <w:rPr>
          <w:rFonts w:ascii="Arial" w:hAnsi="Arial"/>
          <w:i/>
          <w:sz w:val="20"/>
        </w:rPr>
        <w:t>Derechos</w:t>
      </w:r>
      <w:r>
        <w:rPr>
          <w:rFonts w:ascii="Arial" w:hAnsi="Arial"/>
          <w:i/>
          <w:spacing w:val="-1"/>
          <w:sz w:val="20"/>
        </w:rPr>
        <w:t xml:space="preserve"> </w:t>
      </w:r>
      <w:r>
        <w:rPr>
          <w:rFonts w:ascii="Arial" w:hAnsi="Arial"/>
          <w:i/>
          <w:sz w:val="20"/>
        </w:rPr>
        <w:t xml:space="preserve">del acreedor </w:t>
      </w:r>
      <w:r>
        <w:rPr>
          <w:rFonts w:ascii="Arial" w:hAnsi="Arial"/>
          <w:i/>
          <w:spacing w:val="-2"/>
          <w:sz w:val="20"/>
        </w:rPr>
        <w:t>hipotecario.</w:t>
      </w:r>
    </w:p>
    <w:p w:rsidR="0092635B" w:rsidRDefault="00000000">
      <w:pPr>
        <w:pStyle w:val="Prrafodelista"/>
        <w:numPr>
          <w:ilvl w:val="0"/>
          <w:numId w:val="115"/>
        </w:numPr>
        <w:tabs>
          <w:tab w:val="left" w:pos="1732"/>
        </w:tabs>
        <w:spacing w:before="123" w:line="249" w:lineRule="auto"/>
        <w:ind w:firstLine="340"/>
        <w:jc w:val="both"/>
        <w:rPr>
          <w:sz w:val="20"/>
        </w:rPr>
      </w:pPr>
      <w:r>
        <w:rPr>
          <w:sz w:val="20"/>
        </w:rPr>
        <w:t>Cuando el valor de la concesión hipotecada sufriera grave deterioro por causa imputable al concesionario, el acreedor hipotecario podrá solicitar del órgano de contratación pronunciamiento sobre la existencia efectiva de dicho deterioro. Si este se confirmara podrá, asimismo, solicitar de la Administración que, previa audiencia del concesionario, ordene a este hacer o no hacer lo que proceda para evitar o remediar el daño, sin perjuicio del posible ejercicio de la acción de devastación prevista en el artículo 117 de la Ley Hipotecaria. No obstante, en el caso de ejercitarse la acción administrativa prevista en este apartado, se entenderá que el acreedor hipotecario renuncia a la acción prevista en el citado artículo 117 de la Ley Hipotecaria.</w:t>
      </w:r>
    </w:p>
    <w:p w:rsidR="0092635B" w:rsidRDefault="00000000">
      <w:pPr>
        <w:pStyle w:val="Prrafodelista"/>
        <w:numPr>
          <w:ilvl w:val="0"/>
          <w:numId w:val="115"/>
        </w:numPr>
        <w:tabs>
          <w:tab w:val="left" w:pos="1678"/>
        </w:tabs>
        <w:spacing w:before="7" w:line="249" w:lineRule="auto"/>
        <w:ind w:firstLine="340"/>
        <w:jc w:val="both"/>
        <w:rPr>
          <w:sz w:val="20"/>
        </w:rPr>
      </w:pPr>
      <w:r>
        <w:rPr>
          <w:sz w:val="20"/>
        </w:rPr>
        <w:t>Cuando procediera la resolución de la concesión por incumplimiento de alguna de las obligaciones del concesionario, la Administración, antes de resolver, dará audiencia al acreedor hipotecario por si este ofreciera subrogarse en su cumplimiento y la Administración considerara compatible tal ofrecimiento con el buen fin de la concesión.</w:t>
      </w:r>
    </w:p>
    <w:p w:rsidR="0092635B" w:rsidRDefault="00000000">
      <w:pPr>
        <w:pStyle w:val="Prrafodelista"/>
        <w:numPr>
          <w:ilvl w:val="0"/>
          <w:numId w:val="115"/>
        </w:numPr>
        <w:tabs>
          <w:tab w:val="left" w:pos="1685"/>
        </w:tabs>
        <w:spacing w:before="4" w:line="249" w:lineRule="auto"/>
        <w:ind w:right="1102" w:firstLine="340"/>
        <w:jc w:val="both"/>
        <w:rPr>
          <w:sz w:val="20"/>
        </w:rPr>
      </w:pPr>
      <w:r>
        <w:rPr>
          <w:sz w:val="20"/>
        </w:rPr>
        <w:t>Si la obligación garantizada no hubiera sido satisfecha total o parcialmente al tiempo de su vencimiento, antes de promover el procedimiento de ejecución correspondiente, el acreedor hipotecario podrá ejercer las siguientes facultades siempre que así se hubiera previsto en la correspondiente escritura de constitución de hipoteca:</w:t>
      </w:r>
    </w:p>
    <w:p w:rsidR="0092635B" w:rsidRDefault="00000000">
      <w:pPr>
        <w:pStyle w:val="Prrafodelista"/>
        <w:numPr>
          <w:ilvl w:val="1"/>
          <w:numId w:val="115"/>
        </w:numPr>
        <w:tabs>
          <w:tab w:val="left" w:pos="1720"/>
        </w:tabs>
        <w:spacing w:before="123" w:line="249" w:lineRule="auto"/>
        <w:ind w:firstLine="340"/>
        <w:jc w:val="both"/>
        <w:rPr>
          <w:sz w:val="20"/>
        </w:rPr>
      </w:pPr>
      <w:r>
        <w:rPr>
          <w:sz w:val="20"/>
        </w:rPr>
        <w:t>Solicitar de la Administración concedente que, previa audiencia del concesionario, disponga que se asigne a la amortización de la deuda una parte de la recaudación y de las cantidades que, en su caso, la Administración tuviese que hacer efectivas al concesionario.</w:t>
      </w:r>
      <w:r>
        <w:rPr>
          <w:spacing w:val="40"/>
          <w:sz w:val="20"/>
        </w:rPr>
        <w:t xml:space="preserve"> </w:t>
      </w:r>
      <w:r>
        <w:rPr>
          <w:sz w:val="20"/>
        </w:rPr>
        <w:t>A tal efecto, se podrá, por cuenta y riesgo del acreedor, designar un interventor que compruebe los ingresos así obtenidos y se haga cargo de la parte que se haya señalado, la cual no podrá exceder del porcentaje o cuantía que previamente se determine.</w:t>
      </w:r>
    </w:p>
    <w:p w:rsidR="0092635B" w:rsidRDefault="00000000">
      <w:pPr>
        <w:pStyle w:val="Prrafodelista"/>
        <w:numPr>
          <w:ilvl w:val="1"/>
          <w:numId w:val="115"/>
        </w:numPr>
        <w:tabs>
          <w:tab w:val="left" w:pos="1710"/>
        </w:tabs>
        <w:spacing w:before="5" w:line="249" w:lineRule="auto"/>
        <w:ind w:right="1104" w:firstLine="340"/>
        <w:jc w:val="both"/>
        <w:rPr>
          <w:sz w:val="20"/>
        </w:rPr>
      </w:pPr>
      <w:r>
        <w:rPr>
          <w:sz w:val="20"/>
        </w:rPr>
        <w:t>Si existiesen bienes aptos para ello, solicitar de la Administración concedente que, previa audiencia al concesionario, le otorgue la explotación durante un determinado período de tiempo de todas o de parte de las zonas complementarias de explotación comercial. En el caso de que estas zonas estuvieran siendo explotadas por un tercero en virtud de una relación jurídico-privada con el concesionario, la medida contemplada por este apartado deberá serle notificada a dicho tercero con la indicación de que queda obligado a efectuar al acreedor hipotecario los pagos que debiera hacer al concesionario.</w:t>
      </w:r>
    </w:p>
    <w:p w:rsidR="0092635B" w:rsidRDefault="0092635B">
      <w:pPr>
        <w:pStyle w:val="Textoindependiente"/>
        <w:ind w:left="0" w:firstLine="0"/>
        <w:jc w:val="left"/>
      </w:pPr>
    </w:p>
    <w:p w:rsidR="0092635B" w:rsidRDefault="00000000">
      <w:pPr>
        <w:ind w:left="1106"/>
        <w:rPr>
          <w:rFonts w:ascii="Arial" w:hAnsi="Arial"/>
          <w:i/>
          <w:sz w:val="20"/>
        </w:rPr>
      </w:pPr>
      <w:bookmarkStart w:id="441" w:name="Artículo_275._Ejecución_de_la_hipoteca."/>
      <w:bookmarkEnd w:id="441"/>
      <w:r>
        <w:rPr>
          <w:rFonts w:ascii="Arial" w:hAnsi="Arial"/>
          <w:b/>
          <w:sz w:val="20"/>
        </w:rPr>
        <w:t>Artículo</w:t>
      </w:r>
      <w:r>
        <w:rPr>
          <w:rFonts w:ascii="Arial" w:hAnsi="Arial"/>
          <w:b/>
          <w:spacing w:val="-2"/>
          <w:sz w:val="20"/>
        </w:rPr>
        <w:t xml:space="preserve"> </w:t>
      </w:r>
      <w:r>
        <w:rPr>
          <w:rFonts w:ascii="Arial" w:hAnsi="Arial"/>
          <w:b/>
          <w:sz w:val="20"/>
        </w:rPr>
        <w:t>275.</w:t>
      </w:r>
      <w:r>
        <w:rPr>
          <w:rFonts w:ascii="Arial" w:hAnsi="Arial"/>
          <w:b/>
          <w:spacing w:val="51"/>
          <w:sz w:val="20"/>
        </w:rPr>
        <w:t xml:space="preserve"> </w:t>
      </w:r>
      <w:r>
        <w:rPr>
          <w:rFonts w:ascii="Arial" w:hAnsi="Arial"/>
          <w:i/>
          <w:sz w:val="20"/>
        </w:rPr>
        <w:t>Ejecución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hipoteca.</w:t>
      </w:r>
    </w:p>
    <w:p w:rsidR="0092635B" w:rsidRDefault="00000000">
      <w:pPr>
        <w:pStyle w:val="Prrafodelista"/>
        <w:numPr>
          <w:ilvl w:val="0"/>
          <w:numId w:val="114"/>
        </w:numPr>
        <w:tabs>
          <w:tab w:val="left" w:pos="1672"/>
        </w:tabs>
        <w:spacing w:before="124" w:line="249" w:lineRule="auto"/>
        <w:ind w:right="1104" w:firstLine="340"/>
        <w:jc w:val="both"/>
        <w:rPr>
          <w:sz w:val="20"/>
        </w:rPr>
      </w:pPr>
      <w:r>
        <w:rPr>
          <w:sz w:val="20"/>
        </w:rPr>
        <w:t>El adjudicatario en el procedimiento de ejecución hipotecaria quedará subrogado en la posición del concesionario, previa autorización administrativa, en los términos que se establecen en el apartado siguiente.</w:t>
      </w:r>
    </w:p>
    <w:p w:rsidR="0092635B" w:rsidRDefault="00000000">
      <w:pPr>
        <w:pStyle w:val="Prrafodelista"/>
        <w:numPr>
          <w:ilvl w:val="0"/>
          <w:numId w:val="114"/>
        </w:numPr>
        <w:tabs>
          <w:tab w:val="left" w:pos="1685"/>
        </w:tabs>
        <w:spacing w:line="249" w:lineRule="auto"/>
        <w:ind w:right="1104" w:firstLine="340"/>
        <w:jc w:val="both"/>
        <w:rPr>
          <w:sz w:val="20"/>
        </w:rPr>
      </w:pPr>
      <w:r>
        <w:rPr>
          <w:sz w:val="20"/>
        </w:rPr>
        <w:t>Todo el que desee participar en el procedimiento de ejecución hipotecaria en calidad de postor o eventual adjudicatario, incluso el propio acreedor hipotecario si la legislación sectorial no lo impidiera, deberá comunicarlo al órgano de contratación para obtener la oportuna autorización administrativa, que deberá notificarse al interesado en el plazo</w:t>
      </w:r>
      <w:r>
        <w:rPr>
          <w:spacing w:val="80"/>
          <w:sz w:val="20"/>
        </w:rPr>
        <w:t xml:space="preserve"> </w:t>
      </w:r>
      <w:r>
        <w:rPr>
          <w:sz w:val="20"/>
        </w:rPr>
        <w:t>máximo</w:t>
      </w:r>
      <w:r>
        <w:rPr>
          <w:spacing w:val="-1"/>
          <w:sz w:val="20"/>
        </w:rPr>
        <w:t xml:space="preserve"> </w:t>
      </w:r>
      <w:r>
        <w:rPr>
          <w:sz w:val="20"/>
        </w:rPr>
        <w:t>de</w:t>
      </w:r>
      <w:r>
        <w:rPr>
          <w:spacing w:val="-1"/>
          <w:sz w:val="20"/>
        </w:rPr>
        <w:t xml:space="preserve"> </w:t>
      </w:r>
      <w:r>
        <w:rPr>
          <w:sz w:val="20"/>
        </w:rPr>
        <w:t>15</w:t>
      </w:r>
      <w:r>
        <w:rPr>
          <w:spacing w:val="-1"/>
          <w:sz w:val="20"/>
        </w:rPr>
        <w:t xml:space="preserve"> </w:t>
      </w:r>
      <w:r>
        <w:rPr>
          <w:sz w:val="20"/>
        </w:rPr>
        <w:t>días,</w:t>
      </w:r>
      <w:r>
        <w:rPr>
          <w:spacing w:val="-1"/>
          <w:sz w:val="20"/>
        </w:rPr>
        <w:t xml:space="preserve"> </w:t>
      </w:r>
      <w:r>
        <w:rPr>
          <w:sz w:val="20"/>
        </w:rPr>
        <w:t>y</w:t>
      </w:r>
      <w:r>
        <w:rPr>
          <w:spacing w:val="-1"/>
          <w:sz w:val="20"/>
        </w:rPr>
        <w:t xml:space="preserve"> </w:t>
      </w:r>
      <w:r>
        <w:rPr>
          <w:sz w:val="20"/>
        </w:rPr>
        <w:t>sin</w:t>
      </w:r>
      <w:r>
        <w:rPr>
          <w:spacing w:val="-1"/>
          <w:sz w:val="20"/>
        </w:rPr>
        <w:t xml:space="preserve"> </w:t>
      </w:r>
      <w:r>
        <w:rPr>
          <w:sz w:val="20"/>
        </w:rPr>
        <w:t>la</w:t>
      </w:r>
      <w:r>
        <w:rPr>
          <w:spacing w:val="-1"/>
          <w:sz w:val="20"/>
        </w:rPr>
        <w:t xml:space="preserve"> </w:t>
      </w:r>
      <w:r>
        <w:rPr>
          <w:sz w:val="20"/>
        </w:rPr>
        <w:t>cual</w:t>
      </w:r>
      <w:r>
        <w:rPr>
          <w:spacing w:val="-1"/>
          <w:sz w:val="20"/>
        </w:rPr>
        <w:t xml:space="preserve"> </w:t>
      </w:r>
      <w:r>
        <w:rPr>
          <w:sz w:val="20"/>
        </w:rPr>
        <w:t>no</w:t>
      </w:r>
      <w:r>
        <w:rPr>
          <w:spacing w:val="-1"/>
          <w:sz w:val="20"/>
        </w:rPr>
        <w:t xml:space="preserve"> </w:t>
      </w:r>
      <w:r>
        <w:rPr>
          <w:sz w:val="20"/>
        </w:rPr>
        <w:t>se</w:t>
      </w:r>
      <w:r>
        <w:rPr>
          <w:spacing w:val="-1"/>
          <w:sz w:val="20"/>
        </w:rPr>
        <w:t xml:space="preserve"> </w:t>
      </w:r>
      <w:r>
        <w:rPr>
          <w:sz w:val="20"/>
        </w:rPr>
        <w:t>le</w:t>
      </w:r>
      <w:r>
        <w:rPr>
          <w:spacing w:val="-1"/>
          <w:sz w:val="20"/>
        </w:rPr>
        <w:t xml:space="preserve"> </w:t>
      </w:r>
      <w:r>
        <w:rPr>
          <w:sz w:val="20"/>
        </w:rPr>
        <w:t>admitirá</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La</w:t>
      </w:r>
      <w:r>
        <w:rPr>
          <w:spacing w:val="-1"/>
          <w:sz w:val="20"/>
        </w:rPr>
        <w:t xml:space="preserve"> </w:t>
      </w:r>
      <w:r>
        <w:rPr>
          <w:sz w:val="20"/>
        </w:rPr>
        <w:t>autorización</w:t>
      </w:r>
      <w:r>
        <w:rPr>
          <w:spacing w:val="-1"/>
          <w:sz w:val="20"/>
        </w:rPr>
        <w:t xml:space="preserve"> </w:t>
      </w:r>
      <w:r>
        <w:rPr>
          <w:sz w:val="20"/>
        </w:rPr>
        <w:t xml:space="preserve">tendrá carácter reglado y se otorgará siempre que el peticionario cumpla los requisitos exigidos al </w:t>
      </w:r>
      <w:r>
        <w:rPr>
          <w:spacing w:val="-2"/>
          <w:sz w:val="20"/>
        </w:rPr>
        <w:t>concesionario.</w:t>
      </w:r>
    </w:p>
    <w:p w:rsidR="0092635B" w:rsidRDefault="00000000">
      <w:pPr>
        <w:pStyle w:val="Textoindependiente"/>
        <w:spacing w:before="6" w:line="249" w:lineRule="auto"/>
        <w:ind w:right="1103"/>
      </w:pPr>
      <w:r>
        <w:t xml:space="preserve">Si hubiera finalizado la fase de construcción o esta no formara parte del objeto de la concesión, solo se exigirán los requisitos necesarios para llevar a cabo la explotación de la </w:t>
      </w:r>
      <w:r>
        <w:rPr>
          <w:spacing w:val="-2"/>
        </w:rPr>
        <w:t>obra.</w:t>
      </w:r>
    </w:p>
    <w:p w:rsidR="0092635B" w:rsidRDefault="00000000">
      <w:pPr>
        <w:pStyle w:val="Prrafodelista"/>
        <w:numPr>
          <w:ilvl w:val="0"/>
          <w:numId w:val="114"/>
        </w:numPr>
        <w:tabs>
          <w:tab w:val="left" w:pos="1679"/>
        </w:tabs>
        <w:spacing w:before="3" w:line="249" w:lineRule="auto"/>
        <w:ind w:firstLine="340"/>
        <w:jc w:val="both"/>
        <w:rPr>
          <w:sz w:val="20"/>
        </w:rPr>
      </w:pPr>
      <w:r>
        <w:rPr>
          <w:sz w:val="20"/>
        </w:rPr>
        <w:t>Si la subasta quedara desierta o ningún interesado fuese autorizado por el órgano de contratación para participar en el procedimiento de ejecución hipotecaria, la Administración concedente podrá optar por alguna de las siguientes actuaciones en el supuesto de que el acreedor hipotecario autorizado, en su caso, para ser concesionario no opte por el ejercicio del derecho que le atribuye el artículo 671 de la Ley 1/2000, de 7 de enero, de</w:t>
      </w:r>
      <w:r>
        <w:rPr>
          <w:spacing w:val="40"/>
          <w:sz w:val="20"/>
        </w:rPr>
        <w:t xml:space="preserve"> </w:t>
      </w:r>
      <w:r>
        <w:rPr>
          <w:sz w:val="20"/>
        </w:rPr>
        <w:t>Enjuiciamiento Civil:</w:t>
      </w:r>
    </w:p>
    <w:p w:rsidR="0092635B" w:rsidRDefault="00000000">
      <w:pPr>
        <w:pStyle w:val="Prrafodelista"/>
        <w:numPr>
          <w:ilvl w:val="1"/>
          <w:numId w:val="114"/>
        </w:numPr>
        <w:tabs>
          <w:tab w:val="left" w:pos="1722"/>
        </w:tabs>
        <w:spacing w:before="124" w:line="249" w:lineRule="auto"/>
        <w:ind w:right="1104" w:firstLine="340"/>
        <w:jc w:val="both"/>
        <w:rPr>
          <w:sz w:val="20"/>
        </w:rPr>
      </w:pPr>
      <w:r>
        <w:rPr>
          <w:sz w:val="20"/>
        </w:rPr>
        <w:t>Acordar el secuestro o intervención de la concesión conforme a lo previsto en el artículo 263 de esta Ley sin que el concesionario pueda percibir ingreso alguno. Se dará trámite de audiencia al acreedor hipotecario para ofrecerle la posibilidad de proponer un nuevo concesionario. Si la propuesta no se produjera o el candidato propuesto no cumpliera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6" w:hanging="1"/>
      </w:pPr>
      <w:r>
        <w:t>los requisitos exigibles conforme a lo establecido en el apartado anterior, se procederá a la licitación de la misma concesión en el menor plazo posible.</w:t>
      </w:r>
    </w:p>
    <w:p w:rsidR="0092635B" w:rsidRDefault="00000000">
      <w:pPr>
        <w:pStyle w:val="Prrafodelista"/>
        <w:numPr>
          <w:ilvl w:val="1"/>
          <w:numId w:val="114"/>
        </w:numPr>
        <w:tabs>
          <w:tab w:val="left" w:pos="1773"/>
        </w:tabs>
        <w:spacing w:before="1" w:line="249" w:lineRule="auto"/>
        <w:ind w:right="1104" w:firstLine="340"/>
        <w:jc w:val="both"/>
        <w:rPr>
          <w:sz w:val="20"/>
        </w:rPr>
      </w:pPr>
      <w:r>
        <w:rPr>
          <w:sz w:val="20"/>
        </w:rPr>
        <w:t>Resolver la concesión quedando la Administración liberada con la puesta a disposición de los acreedores del importe de la indemnización que correspondiera al concesionario por aplicación de lo previsto en el artículo 280.</w:t>
      </w:r>
    </w:p>
    <w:p w:rsidR="0092635B" w:rsidRDefault="00000000">
      <w:pPr>
        <w:spacing w:before="230" w:line="249" w:lineRule="auto"/>
        <w:ind w:left="1106" w:right="1120" w:hanging="1"/>
        <w:rPr>
          <w:rFonts w:ascii="Arial" w:hAnsi="Arial"/>
          <w:i/>
          <w:sz w:val="20"/>
        </w:rPr>
      </w:pPr>
      <w:bookmarkStart w:id="442" w:name="Artículo_276._Derechos_de_titulares_de_c"/>
      <w:bookmarkEnd w:id="442"/>
      <w:r>
        <w:rPr>
          <w:rFonts w:ascii="Arial" w:hAnsi="Arial"/>
          <w:b/>
          <w:sz w:val="20"/>
        </w:rPr>
        <w:t>Artículo 276.</w:t>
      </w:r>
      <w:r>
        <w:rPr>
          <w:rFonts w:ascii="Arial" w:hAnsi="Arial"/>
          <w:b/>
          <w:spacing w:val="40"/>
          <w:sz w:val="20"/>
        </w:rPr>
        <w:t xml:space="preserve"> </w:t>
      </w:r>
      <w:r>
        <w:rPr>
          <w:rFonts w:ascii="Arial" w:hAnsi="Arial"/>
          <w:i/>
          <w:sz w:val="20"/>
        </w:rPr>
        <w:t>Derechos de titulares de cargas inscritas o anotadas sobre la concesión para el caso de resolución concesional.</w:t>
      </w:r>
    </w:p>
    <w:p w:rsidR="0092635B" w:rsidRDefault="00000000">
      <w:pPr>
        <w:pStyle w:val="Textoindependiente"/>
        <w:spacing w:before="115" w:line="249" w:lineRule="auto"/>
        <w:ind w:right="1104"/>
      </w:pPr>
      <w:r>
        <w:t>Cuando procediera la resolución de la concesión y existieran titulares de derechos o cargas inscritos o anotados en el Registro de la Propiedad sobre la concesión, se</w:t>
      </w:r>
      <w:r>
        <w:rPr>
          <w:spacing w:val="80"/>
        </w:rPr>
        <w:t xml:space="preserve"> </w:t>
      </w:r>
      <w:r>
        <w:t>observarán las siguientes reglas:</w:t>
      </w:r>
    </w:p>
    <w:p w:rsidR="0092635B" w:rsidRDefault="00000000">
      <w:pPr>
        <w:pStyle w:val="Prrafodelista"/>
        <w:numPr>
          <w:ilvl w:val="0"/>
          <w:numId w:val="113"/>
        </w:numPr>
        <w:tabs>
          <w:tab w:val="left" w:pos="1818"/>
        </w:tabs>
        <w:spacing w:before="122" w:line="249" w:lineRule="auto"/>
        <w:ind w:right="1102" w:firstLine="340"/>
        <w:jc w:val="both"/>
        <w:rPr>
          <w:sz w:val="20"/>
        </w:rPr>
      </w:pPr>
      <w:r>
        <w:rPr>
          <w:sz w:val="20"/>
        </w:rPr>
        <w:t>La Administración, comenzado el procedimiento, deberá solicitar para su incorporación al expediente certificación del Registro de la Propiedad, al objeto de que puedan ser oídos todos los titulares de tales cargas y derechos.</w:t>
      </w:r>
    </w:p>
    <w:p w:rsidR="0092635B" w:rsidRDefault="00000000">
      <w:pPr>
        <w:pStyle w:val="Prrafodelista"/>
        <w:numPr>
          <w:ilvl w:val="0"/>
          <w:numId w:val="113"/>
        </w:numPr>
        <w:tabs>
          <w:tab w:val="left" w:pos="1690"/>
        </w:tabs>
        <w:spacing w:line="249" w:lineRule="auto"/>
        <w:ind w:right="1104" w:firstLine="340"/>
        <w:jc w:val="both"/>
        <w:rPr>
          <w:sz w:val="20"/>
        </w:rPr>
      </w:pPr>
      <w:r>
        <w:rPr>
          <w:sz w:val="20"/>
        </w:rPr>
        <w:t>El registrador, al tiempo de expedir la certificación a que se refiere el párrafo anterior, deberá extender nota al margen de la inscripción de la concesión sobre la iniciación del procedimiento de resolución.</w:t>
      </w:r>
    </w:p>
    <w:p w:rsidR="0092635B" w:rsidRDefault="00000000">
      <w:pPr>
        <w:pStyle w:val="Prrafodelista"/>
        <w:numPr>
          <w:ilvl w:val="0"/>
          <w:numId w:val="113"/>
        </w:numPr>
        <w:tabs>
          <w:tab w:val="left" w:pos="1680"/>
        </w:tabs>
        <w:spacing w:before="3" w:line="249" w:lineRule="auto"/>
        <w:ind w:firstLine="340"/>
        <w:jc w:val="both"/>
        <w:rPr>
          <w:sz w:val="20"/>
        </w:rPr>
      </w:pPr>
      <w:r>
        <w:rPr>
          <w:sz w:val="20"/>
        </w:rPr>
        <w:t>Para cancelar los asientos practicados a favor de los titulares de las citadas cargas y derechos, deberá mediar resolución administrativa firme que declare la resolución de la concesión</w:t>
      </w:r>
      <w:r>
        <w:rPr>
          <w:spacing w:val="-1"/>
          <w:sz w:val="20"/>
        </w:rPr>
        <w:t xml:space="preserve"> </w:t>
      </w:r>
      <w:r>
        <w:rPr>
          <w:sz w:val="20"/>
        </w:rPr>
        <w:t>y</w:t>
      </w:r>
      <w:r>
        <w:rPr>
          <w:spacing w:val="-1"/>
          <w:sz w:val="20"/>
        </w:rPr>
        <w:t xml:space="preserve"> </w:t>
      </w:r>
      <w:r>
        <w:rPr>
          <w:sz w:val="20"/>
        </w:rPr>
        <w:t>el</w:t>
      </w:r>
      <w:r>
        <w:rPr>
          <w:spacing w:val="-1"/>
          <w:sz w:val="20"/>
        </w:rPr>
        <w:t xml:space="preserve"> </w:t>
      </w:r>
      <w:r>
        <w:rPr>
          <w:sz w:val="20"/>
        </w:rPr>
        <w:t>abono</w:t>
      </w:r>
      <w:r>
        <w:rPr>
          <w:spacing w:val="-1"/>
          <w:sz w:val="20"/>
        </w:rPr>
        <w:t xml:space="preserve"> </w:t>
      </w:r>
      <w:r>
        <w:rPr>
          <w:sz w:val="20"/>
        </w:rPr>
        <w:t>o</w:t>
      </w:r>
      <w:r>
        <w:rPr>
          <w:spacing w:val="-1"/>
          <w:sz w:val="20"/>
        </w:rPr>
        <w:t xml:space="preserve"> </w:t>
      </w:r>
      <w:r>
        <w:rPr>
          <w:sz w:val="20"/>
        </w:rPr>
        <w:t>depósito</w:t>
      </w:r>
      <w:r>
        <w:rPr>
          <w:spacing w:val="-1"/>
          <w:sz w:val="20"/>
        </w:rPr>
        <w:t xml:space="preserve"> </w:t>
      </w:r>
      <w:r>
        <w:rPr>
          <w:sz w:val="20"/>
        </w:rPr>
        <w:t>a</w:t>
      </w:r>
      <w:r>
        <w:rPr>
          <w:spacing w:val="-1"/>
          <w:sz w:val="20"/>
        </w:rPr>
        <w:t xml:space="preserve"> </w:t>
      </w:r>
      <w:r>
        <w:rPr>
          <w:sz w:val="20"/>
        </w:rPr>
        <w:t>favor</w:t>
      </w:r>
      <w:r>
        <w:rPr>
          <w:spacing w:val="-1"/>
          <w:sz w:val="20"/>
        </w:rPr>
        <w:t xml:space="preserve"> </w:t>
      </w:r>
      <w:r>
        <w:rPr>
          <w:sz w:val="20"/>
        </w:rPr>
        <w:t>de</w:t>
      </w:r>
      <w:r>
        <w:rPr>
          <w:spacing w:val="-1"/>
          <w:sz w:val="20"/>
        </w:rPr>
        <w:t xml:space="preserve"> </w:t>
      </w:r>
      <w:r>
        <w:rPr>
          <w:sz w:val="20"/>
        </w:rPr>
        <w:t>dichos</w:t>
      </w:r>
      <w:r>
        <w:rPr>
          <w:spacing w:val="-1"/>
          <w:sz w:val="20"/>
        </w:rPr>
        <w:t xml:space="preserve"> </w:t>
      </w:r>
      <w:r>
        <w:rPr>
          <w:sz w:val="20"/>
        </w:rPr>
        <w:t>titulares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cantidades</w:t>
      </w:r>
      <w:r>
        <w:rPr>
          <w:spacing w:val="-1"/>
          <w:sz w:val="20"/>
        </w:rPr>
        <w:t xml:space="preserve"> </w:t>
      </w:r>
      <w:r>
        <w:rPr>
          <w:sz w:val="20"/>
        </w:rPr>
        <w:t>garantizadas</w:t>
      </w:r>
      <w:r>
        <w:rPr>
          <w:spacing w:val="-1"/>
          <w:sz w:val="20"/>
        </w:rPr>
        <w:t xml:space="preserve"> </w:t>
      </w:r>
      <w:r>
        <w:rPr>
          <w:sz w:val="20"/>
        </w:rPr>
        <w:t>por las indicadas cargas con el límite de las eventuales indemnizaciones que la Administración debiera abonar conforme a lo previsto en el artículo 280.</w:t>
      </w:r>
    </w:p>
    <w:p w:rsidR="0092635B" w:rsidRDefault="0092635B">
      <w:pPr>
        <w:pStyle w:val="Textoindependiente"/>
        <w:spacing w:before="57"/>
        <w:ind w:left="0" w:firstLine="0"/>
        <w:jc w:val="left"/>
      </w:pPr>
    </w:p>
    <w:p w:rsidR="0092635B" w:rsidRDefault="00000000">
      <w:pPr>
        <w:pStyle w:val="Textoindependiente"/>
        <w:spacing w:before="1"/>
        <w:ind w:left="0" w:firstLine="0"/>
        <w:jc w:val="center"/>
      </w:pPr>
      <w:bookmarkStart w:id="443" w:name="Subsección_3.ª_Otras_fuentes_de_financia"/>
      <w:bookmarkStart w:id="444" w:name="_bookmark85"/>
      <w:bookmarkEnd w:id="443"/>
      <w:bookmarkEnd w:id="444"/>
      <w:r>
        <w:t>Subsección</w:t>
      </w:r>
      <w:r>
        <w:rPr>
          <w:spacing w:val="-3"/>
        </w:rPr>
        <w:t xml:space="preserve"> </w:t>
      </w:r>
      <w:r>
        <w:t>3.ª</w:t>
      </w:r>
      <w:r>
        <w:rPr>
          <w:spacing w:val="-2"/>
        </w:rPr>
        <w:t xml:space="preserve"> </w:t>
      </w:r>
      <w:r>
        <w:t>Otras</w:t>
      </w:r>
      <w:r>
        <w:rPr>
          <w:spacing w:val="-3"/>
        </w:rPr>
        <w:t xml:space="preserve"> </w:t>
      </w:r>
      <w:r>
        <w:t>fuentes</w:t>
      </w:r>
      <w:r>
        <w:rPr>
          <w:spacing w:val="-2"/>
        </w:rPr>
        <w:t xml:space="preserve"> </w:t>
      </w:r>
      <w:r>
        <w:t>de</w:t>
      </w:r>
      <w:r>
        <w:rPr>
          <w:spacing w:val="-2"/>
        </w:rPr>
        <w:t xml:space="preserve"> financiación</w:t>
      </w:r>
    </w:p>
    <w:p w:rsidR="0092635B" w:rsidRDefault="0092635B">
      <w:pPr>
        <w:pStyle w:val="Textoindependiente"/>
        <w:spacing w:before="6"/>
        <w:ind w:left="0" w:firstLine="0"/>
        <w:jc w:val="left"/>
      </w:pPr>
    </w:p>
    <w:p w:rsidR="0092635B" w:rsidRDefault="00000000">
      <w:pPr>
        <w:ind w:left="1106"/>
        <w:rPr>
          <w:rFonts w:ascii="Arial" w:hAnsi="Arial"/>
          <w:i/>
          <w:sz w:val="20"/>
        </w:rPr>
      </w:pPr>
      <w:bookmarkStart w:id="445" w:name="Artículo_277._Créditos_participativos."/>
      <w:bookmarkEnd w:id="445"/>
      <w:r>
        <w:rPr>
          <w:rFonts w:ascii="Arial" w:hAnsi="Arial"/>
          <w:b/>
          <w:sz w:val="20"/>
        </w:rPr>
        <w:t>Artículo 277.</w:t>
      </w:r>
      <w:r>
        <w:rPr>
          <w:rFonts w:ascii="Arial" w:hAnsi="Arial"/>
          <w:b/>
          <w:spacing w:val="54"/>
          <w:sz w:val="20"/>
        </w:rPr>
        <w:t xml:space="preserve"> </w:t>
      </w:r>
      <w:r>
        <w:rPr>
          <w:rFonts w:ascii="Arial" w:hAnsi="Arial"/>
          <w:i/>
          <w:sz w:val="20"/>
        </w:rPr>
        <w:t xml:space="preserve">Créditos </w:t>
      </w:r>
      <w:r>
        <w:rPr>
          <w:rFonts w:ascii="Arial" w:hAnsi="Arial"/>
          <w:i/>
          <w:spacing w:val="-2"/>
          <w:sz w:val="20"/>
        </w:rPr>
        <w:t>participativos.</w:t>
      </w:r>
    </w:p>
    <w:p w:rsidR="0092635B" w:rsidRDefault="00000000">
      <w:pPr>
        <w:pStyle w:val="Prrafodelista"/>
        <w:numPr>
          <w:ilvl w:val="0"/>
          <w:numId w:val="112"/>
        </w:numPr>
        <w:tabs>
          <w:tab w:val="left" w:pos="1735"/>
        </w:tabs>
        <w:spacing w:before="124" w:line="249" w:lineRule="auto"/>
        <w:ind w:right="1104" w:firstLine="340"/>
        <w:jc w:val="both"/>
        <w:rPr>
          <w:sz w:val="20"/>
        </w:rPr>
      </w:pPr>
      <w:r>
        <w:rPr>
          <w:sz w:val="20"/>
        </w:rPr>
        <w:t>Se admiten los créditos participativos para la financiación de la construcción y explotación, o solo la explotación, de las obras objeto de concesión. En dichos supuestos la participación del prestamista se producirá sobre los ingresos del concesionario.</w:t>
      </w:r>
    </w:p>
    <w:p w:rsidR="0092635B" w:rsidRDefault="00000000">
      <w:pPr>
        <w:pStyle w:val="Prrafodelista"/>
        <w:numPr>
          <w:ilvl w:val="0"/>
          <w:numId w:val="112"/>
        </w:numPr>
        <w:tabs>
          <w:tab w:val="left" w:pos="1767"/>
        </w:tabs>
        <w:spacing w:line="249" w:lineRule="auto"/>
        <w:ind w:right="1105" w:firstLine="340"/>
        <w:jc w:val="both"/>
        <w:rPr>
          <w:sz w:val="20"/>
        </w:rPr>
      </w:pPr>
      <w:r>
        <w:rPr>
          <w:sz w:val="20"/>
        </w:rPr>
        <w:t>El concesionario podrá amortizar anticipadamente el capital prestado en las condiciones pactadas.</w:t>
      </w:r>
    </w:p>
    <w:p w:rsidR="0092635B" w:rsidRDefault="00000000">
      <w:pPr>
        <w:pStyle w:val="Prrafodelista"/>
        <w:numPr>
          <w:ilvl w:val="0"/>
          <w:numId w:val="112"/>
        </w:numPr>
        <w:tabs>
          <w:tab w:val="left" w:pos="1698"/>
        </w:tabs>
        <w:spacing w:line="249" w:lineRule="auto"/>
        <w:ind w:firstLine="340"/>
        <w:jc w:val="both"/>
        <w:rPr>
          <w:sz w:val="20"/>
        </w:rPr>
      </w:pPr>
      <w:r>
        <w:rPr>
          <w:sz w:val="20"/>
        </w:rPr>
        <w:t>Excepcionalmente, las Administraciones Públicas podrán contribuir a la financiación</w:t>
      </w:r>
      <w:r>
        <w:rPr>
          <w:spacing w:val="40"/>
          <w:sz w:val="20"/>
        </w:rPr>
        <w:t xml:space="preserve"> </w:t>
      </w:r>
      <w:r>
        <w:rPr>
          <w:sz w:val="20"/>
        </w:rPr>
        <w:t>de la obra mediante el otorgamiento de créditos participativos. En tales casos, y salvo estipulación expresa en contrario, el concesionario no podrá amortizar anticipadamente el capital prestado, a no ser que la amortización anticipada implique el abono por el concesionario del valor actual neto de los beneficios futuros esperados según el plan económico-financiero revisado y aprobado por el órgano competente de la Administración en el momento de la devolución del capital.</w:t>
      </w:r>
    </w:p>
    <w:p w:rsidR="0092635B" w:rsidRDefault="00000000">
      <w:pPr>
        <w:pStyle w:val="Prrafodelista"/>
        <w:numPr>
          <w:ilvl w:val="0"/>
          <w:numId w:val="112"/>
        </w:numPr>
        <w:tabs>
          <w:tab w:val="left" w:pos="1693"/>
        </w:tabs>
        <w:spacing w:before="6" w:line="249" w:lineRule="auto"/>
        <w:ind w:right="1104" w:firstLine="340"/>
        <w:jc w:val="both"/>
        <w:rPr>
          <w:sz w:val="20"/>
        </w:rPr>
      </w:pPr>
      <w:r>
        <w:rPr>
          <w:sz w:val="20"/>
        </w:rPr>
        <w:t>La obtención de estos créditos deberá comunicarse al órgano de contratación en el plazo máximo de un mes desde la fecha en que cada uno hubiera sido concedido.</w:t>
      </w:r>
    </w:p>
    <w:p w:rsidR="0092635B" w:rsidRDefault="00000000">
      <w:pPr>
        <w:pStyle w:val="Ttulo3"/>
        <w:spacing w:before="228"/>
      </w:pPr>
      <w:bookmarkStart w:id="446" w:name="Sección_7.ª_Extinción_de_las_concesiones"/>
      <w:bookmarkStart w:id="447" w:name="_bookmark86"/>
      <w:bookmarkEnd w:id="446"/>
      <w:bookmarkEnd w:id="447"/>
      <w:r>
        <w:t>Sección</w:t>
      </w:r>
      <w:r>
        <w:rPr>
          <w:spacing w:val="-1"/>
        </w:rPr>
        <w:t xml:space="preserve"> </w:t>
      </w:r>
      <w:r>
        <w:t>7.ª</w:t>
      </w:r>
      <w:r>
        <w:rPr>
          <w:spacing w:val="-1"/>
        </w:rPr>
        <w:t xml:space="preserve"> </w:t>
      </w:r>
      <w:r>
        <w:t>Extinción</w:t>
      </w:r>
      <w:r>
        <w:rPr>
          <w:spacing w:val="-1"/>
        </w:rPr>
        <w:t xml:space="preserve"> </w:t>
      </w:r>
      <w:r>
        <w:t>de</w:t>
      </w:r>
      <w:r>
        <w:rPr>
          <w:spacing w:val="-1"/>
        </w:rPr>
        <w:t xml:space="preserve"> </w:t>
      </w:r>
      <w:r>
        <w:t>las</w:t>
      </w:r>
      <w:r>
        <w:rPr>
          <w:spacing w:val="-1"/>
        </w:rPr>
        <w:t xml:space="preserve"> </w:t>
      </w:r>
      <w:r>
        <w:rPr>
          <w:spacing w:val="-2"/>
        </w:rPr>
        <w:t>concesiones</w:t>
      </w:r>
    </w:p>
    <w:p w:rsidR="0092635B" w:rsidRDefault="0092635B">
      <w:pPr>
        <w:pStyle w:val="Textoindependiente"/>
        <w:spacing w:before="7"/>
        <w:ind w:left="0" w:firstLine="0"/>
        <w:jc w:val="left"/>
        <w:rPr>
          <w:rFonts w:ascii="Arial"/>
          <w:b/>
          <w:i/>
        </w:rPr>
      </w:pPr>
    </w:p>
    <w:p w:rsidR="0092635B" w:rsidRDefault="00000000">
      <w:pPr>
        <w:tabs>
          <w:tab w:val="left" w:pos="2585"/>
        </w:tabs>
        <w:spacing w:line="249" w:lineRule="auto"/>
        <w:ind w:left="1106" w:right="1120" w:hanging="1"/>
        <w:rPr>
          <w:rFonts w:ascii="Arial" w:hAnsi="Arial"/>
          <w:i/>
          <w:sz w:val="20"/>
        </w:rPr>
      </w:pPr>
      <w:bookmarkStart w:id="448" w:name="Artículo_278._Prórroga_del_plazo_de_las_"/>
      <w:bookmarkEnd w:id="448"/>
      <w:r>
        <w:rPr>
          <w:rFonts w:ascii="Arial" w:hAnsi="Arial"/>
          <w:b/>
          <w:sz w:val="20"/>
        </w:rPr>
        <w:t>Artículo</w:t>
      </w:r>
      <w:r>
        <w:rPr>
          <w:rFonts w:ascii="Arial" w:hAnsi="Arial"/>
          <w:b/>
          <w:spacing w:val="40"/>
          <w:sz w:val="20"/>
        </w:rPr>
        <w:t xml:space="preserve"> </w:t>
      </w:r>
      <w:r>
        <w:rPr>
          <w:rFonts w:ascii="Arial" w:hAnsi="Arial"/>
          <w:b/>
          <w:sz w:val="20"/>
        </w:rPr>
        <w:t>278.</w:t>
      </w:r>
      <w:r>
        <w:rPr>
          <w:rFonts w:ascii="Arial" w:hAnsi="Arial"/>
          <w:b/>
          <w:sz w:val="20"/>
        </w:rPr>
        <w:tab/>
      </w:r>
      <w:r>
        <w:rPr>
          <w:rFonts w:ascii="Arial" w:hAnsi="Arial"/>
          <w:i/>
          <w:sz w:val="20"/>
        </w:rPr>
        <w:t>Prórroga</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plazo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las</w:t>
      </w:r>
      <w:r>
        <w:rPr>
          <w:rFonts w:ascii="Arial" w:hAnsi="Arial"/>
          <w:i/>
          <w:spacing w:val="40"/>
          <w:sz w:val="20"/>
        </w:rPr>
        <w:t xml:space="preserve"> </w:t>
      </w:r>
      <w:r>
        <w:rPr>
          <w:rFonts w:ascii="Arial" w:hAnsi="Arial"/>
          <w:i/>
          <w:sz w:val="20"/>
        </w:rPr>
        <w:t>concesiones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extinción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concesión</w:t>
      </w:r>
      <w:r>
        <w:rPr>
          <w:rFonts w:ascii="Arial" w:hAnsi="Arial"/>
          <w:i/>
          <w:spacing w:val="40"/>
          <w:sz w:val="20"/>
        </w:rPr>
        <w:t xml:space="preserve"> </w:t>
      </w:r>
      <w:r>
        <w:rPr>
          <w:rFonts w:ascii="Arial" w:hAnsi="Arial"/>
          <w:i/>
          <w:sz w:val="20"/>
        </w:rPr>
        <w:t>por transcurso del plazo.</w:t>
      </w:r>
    </w:p>
    <w:p w:rsidR="0092635B" w:rsidRDefault="00000000">
      <w:pPr>
        <w:pStyle w:val="Prrafodelista"/>
        <w:numPr>
          <w:ilvl w:val="0"/>
          <w:numId w:val="111"/>
        </w:numPr>
        <w:tabs>
          <w:tab w:val="left" w:pos="1695"/>
        </w:tabs>
        <w:spacing w:before="115" w:line="249" w:lineRule="auto"/>
        <w:ind w:firstLine="340"/>
        <w:jc w:val="both"/>
        <w:rPr>
          <w:sz w:val="20"/>
        </w:rPr>
      </w:pPr>
      <w:r>
        <w:rPr>
          <w:sz w:val="20"/>
        </w:rPr>
        <w:t>Los plazos fijados en los pliegos de condiciones de acuerdo con lo dispuesto en el artículo 29, solo podrán ser prorrogados de acuerdo con lo establecido en el último inciso del apartado 3 del artículo 270.</w:t>
      </w:r>
    </w:p>
    <w:p w:rsidR="0092635B" w:rsidRDefault="00000000">
      <w:pPr>
        <w:pStyle w:val="Prrafodelista"/>
        <w:numPr>
          <w:ilvl w:val="0"/>
          <w:numId w:val="111"/>
        </w:numPr>
        <w:tabs>
          <w:tab w:val="left" w:pos="1675"/>
        </w:tabs>
        <w:spacing w:line="249" w:lineRule="auto"/>
        <w:ind w:right="1104" w:firstLine="340"/>
        <w:jc w:val="both"/>
        <w:rPr>
          <w:sz w:val="20"/>
        </w:rPr>
      </w:pPr>
      <w:r>
        <w:rPr>
          <w:sz w:val="20"/>
        </w:rPr>
        <w:t>Las concesiones relativas a obras hidráulicas se regirán, en cuanto a su duración, por el artículo 134.a) del texto refundido de la Ley de Aguas, aprobado por el Real Decreto Legislativo 1/2001, de 20 de julio.</w:t>
      </w:r>
    </w:p>
    <w:p w:rsidR="0092635B" w:rsidRDefault="00000000">
      <w:pPr>
        <w:pStyle w:val="Prrafodelista"/>
        <w:numPr>
          <w:ilvl w:val="0"/>
          <w:numId w:val="111"/>
        </w:numPr>
        <w:tabs>
          <w:tab w:val="left" w:pos="1699"/>
        </w:tabs>
        <w:spacing w:before="3" w:line="249" w:lineRule="auto"/>
        <w:ind w:right="1105" w:firstLine="340"/>
        <w:jc w:val="both"/>
        <w:rPr>
          <w:sz w:val="20"/>
        </w:rPr>
      </w:pPr>
      <w:r>
        <w:rPr>
          <w:sz w:val="20"/>
        </w:rPr>
        <w:t>La concesión se entenderá extinguida por cumplimiento cuando transcurra el plazo inicialmente establecido o, en su caso, el resultante de las prórrogas acordadas conforme al apartado 3 del artículo 270, o de las reducciones que se hubiesen decidido.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11"/>
        </w:numPr>
        <w:tabs>
          <w:tab w:val="left" w:pos="1677"/>
        </w:tabs>
        <w:spacing w:before="1" w:line="249" w:lineRule="auto"/>
        <w:ind w:firstLine="340"/>
        <w:jc w:val="both"/>
        <w:rPr>
          <w:sz w:val="20"/>
        </w:rPr>
      </w:pPr>
      <w:r>
        <w:rPr>
          <w:sz w:val="20"/>
        </w:rPr>
        <w:t>Quedarán igualmente extinguidos todos los contratos vinculados a la concesión y a la explotación de sus zonas comerciales.</w:t>
      </w:r>
    </w:p>
    <w:p w:rsidR="0092635B" w:rsidRDefault="00000000">
      <w:pPr>
        <w:spacing w:before="228"/>
        <w:ind w:left="1106"/>
        <w:rPr>
          <w:rFonts w:ascii="Arial" w:hAnsi="Arial"/>
          <w:i/>
          <w:sz w:val="20"/>
        </w:rPr>
      </w:pPr>
      <w:bookmarkStart w:id="449" w:name="Artículo_279._Causas_de_resolución."/>
      <w:bookmarkEnd w:id="449"/>
      <w:r>
        <w:rPr>
          <w:rFonts w:ascii="Arial" w:hAnsi="Arial"/>
          <w:b/>
          <w:sz w:val="20"/>
        </w:rPr>
        <w:t>Artículo</w:t>
      </w:r>
      <w:r>
        <w:rPr>
          <w:rFonts w:ascii="Arial" w:hAnsi="Arial"/>
          <w:b/>
          <w:spacing w:val="-3"/>
          <w:sz w:val="20"/>
        </w:rPr>
        <w:t xml:space="preserve"> </w:t>
      </w:r>
      <w:r>
        <w:rPr>
          <w:rFonts w:ascii="Arial" w:hAnsi="Arial"/>
          <w:b/>
          <w:sz w:val="20"/>
        </w:rPr>
        <w:t>279.</w:t>
      </w:r>
      <w:r>
        <w:rPr>
          <w:rFonts w:ascii="Arial" w:hAnsi="Arial"/>
          <w:b/>
          <w:spacing w:val="54"/>
          <w:sz w:val="20"/>
        </w:rPr>
        <w:t xml:space="preserve"> </w:t>
      </w:r>
      <w:r>
        <w:rPr>
          <w:rFonts w:ascii="Arial" w:hAnsi="Arial"/>
          <w:i/>
          <w:sz w:val="20"/>
        </w:rPr>
        <w:t xml:space="preserve">Causas de </w:t>
      </w:r>
      <w:r>
        <w:rPr>
          <w:rFonts w:ascii="Arial" w:hAnsi="Arial"/>
          <w:i/>
          <w:spacing w:val="-2"/>
          <w:sz w:val="20"/>
        </w:rPr>
        <w:t>resolución.</w:t>
      </w:r>
    </w:p>
    <w:p w:rsidR="0092635B" w:rsidRDefault="00000000">
      <w:pPr>
        <w:pStyle w:val="Textoindependiente"/>
        <w:spacing w:before="123" w:line="249" w:lineRule="auto"/>
        <w:ind w:right="1104"/>
      </w:pPr>
      <w:r>
        <w:t>Son causas de resolución del contrato de concesión de obras, además de las señaladas en el artículo 211, con la excepción de las contempladas en sus letras d) y e), las siguientes:</w:t>
      </w:r>
    </w:p>
    <w:p w:rsidR="0092635B" w:rsidRDefault="00000000">
      <w:pPr>
        <w:pStyle w:val="Prrafodelista"/>
        <w:numPr>
          <w:ilvl w:val="1"/>
          <w:numId w:val="111"/>
        </w:numPr>
        <w:tabs>
          <w:tab w:val="left" w:pos="1786"/>
        </w:tabs>
        <w:spacing w:before="122" w:line="249" w:lineRule="auto"/>
        <w:ind w:right="1105" w:firstLine="340"/>
        <w:jc w:val="both"/>
        <w:rPr>
          <w:sz w:val="20"/>
        </w:rPr>
      </w:pPr>
      <w:r>
        <w:rPr>
          <w:sz w:val="20"/>
        </w:rPr>
        <w:t>La ejecución hipotecaria declarada desierta o la imposibilidad de iniciar el procedimiento de ejecución hipotecaria por falta de interesados autorizados para ello en los casos en que así procediera, de acuerdo con lo establecido en la Ley.</w:t>
      </w:r>
    </w:p>
    <w:p w:rsidR="0092635B" w:rsidRDefault="00000000">
      <w:pPr>
        <w:pStyle w:val="Prrafodelista"/>
        <w:numPr>
          <w:ilvl w:val="1"/>
          <w:numId w:val="111"/>
        </w:numPr>
        <w:tabs>
          <w:tab w:val="left" w:pos="1681"/>
        </w:tabs>
        <w:spacing w:before="3" w:line="249" w:lineRule="auto"/>
        <w:ind w:right="1104" w:firstLine="340"/>
        <w:jc w:val="both"/>
        <w:rPr>
          <w:sz w:val="20"/>
        </w:rPr>
      </w:pPr>
      <w:r>
        <w:rPr>
          <w:sz w:val="20"/>
        </w:rPr>
        <w:t>La</w:t>
      </w:r>
      <w:r>
        <w:rPr>
          <w:spacing w:val="-1"/>
          <w:sz w:val="20"/>
        </w:rPr>
        <w:t xml:space="preserve"> </w:t>
      </w:r>
      <w:r>
        <w:rPr>
          <w:sz w:val="20"/>
        </w:rPr>
        <w:t>demora</w:t>
      </w:r>
      <w:r>
        <w:rPr>
          <w:spacing w:val="-1"/>
          <w:sz w:val="20"/>
        </w:rPr>
        <w:t xml:space="preserve"> </w:t>
      </w:r>
      <w:r>
        <w:rPr>
          <w:sz w:val="20"/>
        </w:rPr>
        <w:t>superior</w:t>
      </w:r>
      <w:r>
        <w:rPr>
          <w:spacing w:val="-1"/>
          <w:sz w:val="20"/>
        </w:rPr>
        <w:t xml:space="preserve"> </w:t>
      </w:r>
      <w:r>
        <w:rPr>
          <w:sz w:val="20"/>
        </w:rPr>
        <w:t>a</w:t>
      </w:r>
      <w:r>
        <w:rPr>
          <w:spacing w:val="-1"/>
          <w:sz w:val="20"/>
        </w:rPr>
        <w:t xml:space="preserve"> </w:t>
      </w:r>
      <w:r>
        <w:rPr>
          <w:sz w:val="20"/>
        </w:rPr>
        <w:t>seis</w:t>
      </w:r>
      <w:r>
        <w:rPr>
          <w:spacing w:val="-1"/>
          <w:sz w:val="20"/>
        </w:rPr>
        <w:t xml:space="preserve"> </w:t>
      </w:r>
      <w:r>
        <w:rPr>
          <w:sz w:val="20"/>
        </w:rPr>
        <w:t>meses</w:t>
      </w:r>
      <w:r>
        <w:rPr>
          <w:spacing w:val="-1"/>
          <w:sz w:val="20"/>
        </w:rPr>
        <w:t xml:space="preserve"> </w:t>
      </w:r>
      <w:r>
        <w:rPr>
          <w:sz w:val="20"/>
        </w:rPr>
        <w:t>por</w:t>
      </w:r>
      <w:r>
        <w:rPr>
          <w:spacing w:val="-1"/>
          <w:sz w:val="20"/>
        </w:rPr>
        <w:t xml:space="preserve"> </w:t>
      </w:r>
      <w:r>
        <w:rPr>
          <w:sz w:val="20"/>
        </w:rPr>
        <w:t>parte</w:t>
      </w:r>
      <w:r>
        <w:rPr>
          <w:spacing w:val="-1"/>
          <w:sz w:val="20"/>
        </w:rPr>
        <w:t xml:space="preserve"> </w:t>
      </w:r>
      <w:r>
        <w:rPr>
          <w:sz w:val="20"/>
        </w:rPr>
        <w:t>del</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entrega</w:t>
      </w:r>
      <w:r>
        <w:rPr>
          <w:spacing w:val="-1"/>
          <w:sz w:val="20"/>
        </w:rPr>
        <w:t xml:space="preserve"> </w:t>
      </w:r>
      <w:r>
        <w:rPr>
          <w:sz w:val="20"/>
        </w:rPr>
        <w:t>al concesionario de la contraprestación, de los terrenos o de los medios auxiliares a que se obligó según el contrato.</w:t>
      </w:r>
    </w:p>
    <w:p w:rsidR="0092635B" w:rsidRDefault="00000000">
      <w:pPr>
        <w:pStyle w:val="Prrafodelista"/>
        <w:numPr>
          <w:ilvl w:val="1"/>
          <w:numId w:val="111"/>
        </w:numPr>
        <w:tabs>
          <w:tab w:val="left" w:pos="1678"/>
        </w:tabs>
        <w:spacing w:line="249" w:lineRule="auto"/>
        <w:ind w:right="1104" w:firstLine="340"/>
        <w:jc w:val="both"/>
        <w:rPr>
          <w:sz w:val="20"/>
        </w:rPr>
      </w:pPr>
      <w:r>
        <w:rPr>
          <w:sz w:val="20"/>
        </w:rPr>
        <w:t>El rescate de la explotación de las obras por el órgano de contratación. Se entenderá por rescate la declaración unilateral del órgano contratante, adoptada por razones de interés público, por la que dé por terminada la concesión, no obstante la buena gestión de su titular, para su gestión directa por la Administración. El rescate de la concesión requerirá además la acreditación de que dicha gestión directa es más eficaz y eficiente que la concesional.</w:t>
      </w:r>
    </w:p>
    <w:p w:rsidR="0092635B" w:rsidRDefault="00000000">
      <w:pPr>
        <w:pStyle w:val="Prrafodelista"/>
        <w:numPr>
          <w:ilvl w:val="1"/>
          <w:numId w:val="111"/>
        </w:numPr>
        <w:tabs>
          <w:tab w:val="left" w:pos="1679"/>
        </w:tabs>
        <w:spacing w:before="4"/>
        <w:ind w:left="1679" w:right="0" w:hanging="233"/>
        <w:jc w:val="both"/>
        <w:rPr>
          <w:sz w:val="20"/>
        </w:rPr>
      </w:pPr>
      <w:r>
        <w:rPr>
          <w:sz w:val="20"/>
        </w:rPr>
        <w:t>La</w:t>
      </w:r>
      <w:r>
        <w:rPr>
          <w:spacing w:val="-2"/>
          <w:sz w:val="20"/>
        </w:rPr>
        <w:t xml:space="preserve"> </w:t>
      </w:r>
      <w:r>
        <w:rPr>
          <w:sz w:val="20"/>
        </w:rPr>
        <w:t>supresión</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explotación</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obras</w:t>
      </w:r>
      <w:r>
        <w:rPr>
          <w:spacing w:val="-2"/>
          <w:sz w:val="20"/>
        </w:rPr>
        <w:t xml:space="preserve"> </w:t>
      </w:r>
      <w:r>
        <w:rPr>
          <w:sz w:val="20"/>
        </w:rPr>
        <w:t>por</w:t>
      </w:r>
      <w:r>
        <w:rPr>
          <w:spacing w:val="-2"/>
          <w:sz w:val="20"/>
        </w:rPr>
        <w:t xml:space="preserve"> </w:t>
      </w:r>
      <w:r>
        <w:rPr>
          <w:sz w:val="20"/>
        </w:rPr>
        <w:t>razones</w:t>
      </w:r>
      <w:r>
        <w:rPr>
          <w:spacing w:val="-2"/>
          <w:sz w:val="20"/>
        </w:rPr>
        <w:t xml:space="preserve"> </w:t>
      </w:r>
      <w:r>
        <w:rPr>
          <w:sz w:val="20"/>
        </w:rPr>
        <w:t>de</w:t>
      </w:r>
      <w:r>
        <w:rPr>
          <w:spacing w:val="-2"/>
          <w:sz w:val="20"/>
        </w:rPr>
        <w:t xml:space="preserve"> </w:t>
      </w:r>
      <w:r>
        <w:rPr>
          <w:sz w:val="20"/>
        </w:rPr>
        <w:t>interés</w:t>
      </w:r>
      <w:r>
        <w:rPr>
          <w:spacing w:val="-1"/>
          <w:sz w:val="20"/>
        </w:rPr>
        <w:t xml:space="preserve"> </w:t>
      </w:r>
      <w:r>
        <w:rPr>
          <w:spacing w:val="-2"/>
          <w:sz w:val="20"/>
        </w:rPr>
        <w:t>público.</w:t>
      </w:r>
    </w:p>
    <w:p w:rsidR="0092635B" w:rsidRDefault="00000000">
      <w:pPr>
        <w:pStyle w:val="Prrafodelista"/>
        <w:numPr>
          <w:ilvl w:val="1"/>
          <w:numId w:val="111"/>
        </w:numPr>
        <w:tabs>
          <w:tab w:val="left" w:pos="1727"/>
        </w:tabs>
        <w:spacing w:before="10" w:line="249" w:lineRule="auto"/>
        <w:ind w:right="1105" w:firstLine="340"/>
        <w:jc w:val="both"/>
        <w:rPr>
          <w:sz w:val="20"/>
        </w:rPr>
      </w:pPr>
      <w:r>
        <w:rPr>
          <w:sz w:val="20"/>
        </w:rPr>
        <w:t>La imposibilidad de la explotación de las obras como consecuencia de acuerdos adoptados por la Administración concedente con posterioridad al contrato.</w:t>
      </w:r>
    </w:p>
    <w:p w:rsidR="0092635B" w:rsidRDefault="00000000">
      <w:pPr>
        <w:pStyle w:val="Prrafodelista"/>
        <w:numPr>
          <w:ilvl w:val="1"/>
          <w:numId w:val="111"/>
        </w:numPr>
        <w:tabs>
          <w:tab w:val="left" w:pos="1653"/>
        </w:tabs>
        <w:spacing w:line="249" w:lineRule="auto"/>
        <w:ind w:right="1104" w:firstLine="340"/>
        <w:jc w:val="both"/>
        <w:rPr>
          <w:sz w:val="20"/>
        </w:rPr>
      </w:pPr>
      <w:r>
        <w:rPr>
          <w:sz w:val="20"/>
        </w:rPr>
        <w:t>El secuestro o intervención de la concesión por un plazo superior al establecido de conformidad con el apartado 3 del artículo 263, sin que el contratista haya garantizado la asunción completa de sus obligaciones.</w:t>
      </w:r>
    </w:p>
    <w:p w:rsidR="0092635B" w:rsidRDefault="00000000">
      <w:pPr>
        <w:spacing w:before="229"/>
        <w:ind w:left="1106"/>
        <w:rPr>
          <w:rFonts w:ascii="Arial" w:hAnsi="Arial"/>
          <w:i/>
          <w:sz w:val="20"/>
        </w:rPr>
      </w:pPr>
      <w:bookmarkStart w:id="450" w:name="Artículo_280._Efectos_de_la_resolución."/>
      <w:bookmarkEnd w:id="450"/>
      <w:r>
        <w:rPr>
          <w:rFonts w:ascii="Arial" w:hAnsi="Arial"/>
          <w:b/>
          <w:sz w:val="20"/>
        </w:rPr>
        <w:t>Artículo</w:t>
      </w:r>
      <w:r>
        <w:rPr>
          <w:rFonts w:ascii="Arial" w:hAnsi="Arial"/>
          <w:b/>
          <w:spacing w:val="-1"/>
          <w:sz w:val="20"/>
        </w:rPr>
        <w:t xml:space="preserve"> </w:t>
      </w:r>
      <w:r>
        <w:rPr>
          <w:rFonts w:ascii="Arial" w:hAnsi="Arial"/>
          <w:b/>
          <w:sz w:val="20"/>
        </w:rPr>
        <w:t>280.</w:t>
      </w:r>
      <w:r>
        <w:rPr>
          <w:rFonts w:ascii="Arial" w:hAnsi="Arial"/>
          <w:b/>
          <w:spacing w:val="54"/>
          <w:sz w:val="20"/>
        </w:rPr>
        <w:t xml:space="preserve"> </w:t>
      </w:r>
      <w:r>
        <w:rPr>
          <w:rFonts w:ascii="Arial" w:hAnsi="Arial"/>
          <w:i/>
          <w:sz w:val="20"/>
        </w:rPr>
        <w:t>Efectos</w:t>
      </w:r>
      <w:r>
        <w:rPr>
          <w:rFonts w:ascii="Arial" w:hAnsi="Arial"/>
          <w:i/>
          <w:spacing w:val="-1"/>
          <w:sz w:val="20"/>
        </w:rPr>
        <w:t xml:space="preserve"> </w:t>
      </w:r>
      <w:r>
        <w:rPr>
          <w:rFonts w:ascii="Arial" w:hAnsi="Arial"/>
          <w:i/>
          <w:sz w:val="20"/>
        </w:rPr>
        <w:t xml:space="preserve">de la </w:t>
      </w:r>
      <w:r>
        <w:rPr>
          <w:rFonts w:ascii="Arial" w:hAnsi="Arial"/>
          <w:i/>
          <w:spacing w:val="-2"/>
          <w:sz w:val="20"/>
        </w:rPr>
        <w:t>resolución.</w:t>
      </w:r>
    </w:p>
    <w:p w:rsidR="0092635B" w:rsidRDefault="00000000">
      <w:pPr>
        <w:pStyle w:val="Prrafodelista"/>
        <w:numPr>
          <w:ilvl w:val="0"/>
          <w:numId w:val="110"/>
        </w:numPr>
        <w:tabs>
          <w:tab w:val="left" w:pos="1673"/>
        </w:tabs>
        <w:spacing w:before="123" w:line="249" w:lineRule="auto"/>
        <w:ind w:firstLine="340"/>
        <w:jc w:val="both"/>
        <w:rPr>
          <w:sz w:val="20"/>
        </w:rPr>
      </w:pPr>
      <w:r>
        <w:rPr>
          <w:sz w:val="20"/>
        </w:rPr>
        <w:t>En los supuestos de resolución por causa imputable a la Administración, esta abonará en todo caso al concesionario el importe de las inversiones realizadas por razón de la expropiación de terrenos, ejecución de obras de construcción y adquisición de bienes que sean necesarios para la explotación de la obra objeto de la concesión, atendiendo a su</w:t>
      </w:r>
      <w:r>
        <w:rPr>
          <w:spacing w:val="80"/>
          <w:sz w:val="20"/>
        </w:rPr>
        <w:t xml:space="preserve"> </w:t>
      </w:r>
      <w:r>
        <w:rPr>
          <w:sz w:val="20"/>
        </w:rPr>
        <w:t>grado de amortización. Al efecto, se aplicará un criterio de amortización lineal. La cantidad resultante</w:t>
      </w:r>
      <w:r>
        <w:rPr>
          <w:spacing w:val="-2"/>
          <w:sz w:val="20"/>
        </w:rPr>
        <w:t xml:space="preserve"> </w:t>
      </w:r>
      <w:r>
        <w:rPr>
          <w:sz w:val="20"/>
        </w:rPr>
        <w:t>se</w:t>
      </w:r>
      <w:r>
        <w:rPr>
          <w:spacing w:val="-2"/>
          <w:sz w:val="20"/>
        </w:rPr>
        <w:t xml:space="preserve"> </w:t>
      </w:r>
      <w:r>
        <w:rPr>
          <w:sz w:val="20"/>
        </w:rPr>
        <w:t>fijará</w:t>
      </w:r>
      <w:r>
        <w:rPr>
          <w:spacing w:val="-2"/>
          <w:sz w:val="20"/>
        </w:rPr>
        <w:t xml:space="preserve"> </w:t>
      </w:r>
      <w:r>
        <w:rPr>
          <w:sz w:val="20"/>
        </w:rPr>
        <w:t>dentro</w:t>
      </w:r>
      <w:r>
        <w:rPr>
          <w:spacing w:val="-2"/>
          <w:sz w:val="20"/>
        </w:rPr>
        <w:t xml:space="preserve"> </w:t>
      </w:r>
      <w:r>
        <w:rPr>
          <w:sz w:val="20"/>
        </w:rPr>
        <w:t>del</w:t>
      </w:r>
      <w:r>
        <w:rPr>
          <w:spacing w:val="-2"/>
          <w:sz w:val="20"/>
        </w:rPr>
        <w:t xml:space="preserve"> </w:t>
      </w:r>
      <w:r>
        <w:rPr>
          <w:sz w:val="20"/>
        </w:rPr>
        <w:t>plazo</w:t>
      </w:r>
      <w:r>
        <w:rPr>
          <w:spacing w:val="-2"/>
          <w:sz w:val="20"/>
        </w:rPr>
        <w:t xml:space="preserve"> </w:t>
      </w:r>
      <w:r>
        <w:rPr>
          <w:sz w:val="20"/>
        </w:rPr>
        <w:t>de</w:t>
      </w:r>
      <w:r>
        <w:rPr>
          <w:spacing w:val="-2"/>
          <w:sz w:val="20"/>
        </w:rPr>
        <w:t xml:space="preserve"> </w:t>
      </w:r>
      <w:r>
        <w:rPr>
          <w:sz w:val="20"/>
        </w:rPr>
        <w:t>tres</w:t>
      </w:r>
      <w:r>
        <w:rPr>
          <w:spacing w:val="-2"/>
          <w:sz w:val="20"/>
        </w:rPr>
        <w:t xml:space="preserve"> </w:t>
      </w:r>
      <w:r>
        <w:rPr>
          <w:sz w:val="20"/>
        </w:rPr>
        <w:t>meses,</w:t>
      </w:r>
      <w:r>
        <w:rPr>
          <w:spacing w:val="-2"/>
          <w:sz w:val="20"/>
        </w:rPr>
        <w:t xml:space="preserve"> </w:t>
      </w:r>
      <w:r>
        <w:rPr>
          <w:sz w:val="20"/>
        </w:rPr>
        <w:t>salvo</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estableciera</w:t>
      </w:r>
      <w:r>
        <w:rPr>
          <w:spacing w:val="-2"/>
          <w:sz w:val="20"/>
        </w:rPr>
        <w:t xml:space="preserve"> </w:t>
      </w:r>
      <w:r>
        <w:rPr>
          <w:sz w:val="20"/>
        </w:rPr>
        <w:t>otro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pliego de cláusulas administrativas particulares.</w:t>
      </w:r>
    </w:p>
    <w:p w:rsidR="0092635B" w:rsidRDefault="00000000">
      <w:pPr>
        <w:pStyle w:val="Textoindependiente"/>
        <w:spacing w:before="6" w:line="249" w:lineRule="auto"/>
        <w:ind w:right="1103"/>
      </w:pPr>
      <w:r>
        <w:t>En los casos en que la resolución se produzca por causas no imputables a la Administración, el importe a abonar al concesionario por cualquiera de las causas posibles será</w:t>
      </w:r>
      <w:r>
        <w:rPr>
          <w:spacing w:val="-2"/>
        </w:rPr>
        <w:t xml:space="preserve"> </w:t>
      </w:r>
      <w:r>
        <w:t>el</w:t>
      </w:r>
      <w:r>
        <w:rPr>
          <w:spacing w:val="-2"/>
        </w:rPr>
        <w:t xml:space="preserve"> </w:t>
      </w:r>
      <w:r>
        <w:t>que</w:t>
      </w:r>
      <w:r>
        <w:rPr>
          <w:spacing w:val="-2"/>
        </w:rPr>
        <w:t xml:space="preserve"> </w:t>
      </w:r>
      <w:r>
        <w:t>resulte</w:t>
      </w:r>
      <w:r>
        <w:rPr>
          <w:spacing w:val="-2"/>
        </w:rPr>
        <w:t xml:space="preserve"> </w:t>
      </w:r>
      <w:r>
        <w:t>de</w:t>
      </w:r>
      <w:r>
        <w:rPr>
          <w:spacing w:val="-2"/>
        </w:rPr>
        <w:t xml:space="preserve"> </w:t>
      </w:r>
      <w:r>
        <w:t>la</w:t>
      </w:r>
      <w:r>
        <w:rPr>
          <w:spacing w:val="-2"/>
        </w:rPr>
        <w:t xml:space="preserve"> </w:t>
      </w:r>
      <w:r>
        <w:t>valoración</w:t>
      </w:r>
      <w:r>
        <w:rPr>
          <w:spacing w:val="-2"/>
        </w:rPr>
        <w:t xml:space="preserve"> </w:t>
      </w:r>
      <w:r>
        <w:t>de</w:t>
      </w:r>
      <w:r>
        <w:rPr>
          <w:spacing w:val="-2"/>
        </w:rPr>
        <w:t xml:space="preserve"> </w:t>
      </w:r>
      <w:r>
        <w:t>la</w:t>
      </w:r>
      <w:r>
        <w:rPr>
          <w:spacing w:val="-2"/>
        </w:rPr>
        <w:t xml:space="preserve"> </w:t>
      </w:r>
      <w:r>
        <w:t>concesión,</w:t>
      </w:r>
      <w:r>
        <w:rPr>
          <w:spacing w:val="-2"/>
        </w:rPr>
        <w:t xml:space="preserve"> </w:t>
      </w:r>
      <w:r>
        <w:t>determinado</w:t>
      </w:r>
      <w:r>
        <w:rPr>
          <w:spacing w:val="-2"/>
        </w:rPr>
        <w:t xml:space="preserve"> </w:t>
      </w:r>
      <w:r>
        <w:t>conforme</w:t>
      </w:r>
      <w:r>
        <w:rPr>
          <w:spacing w:val="-2"/>
        </w:rPr>
        <w:t xml:space="preserve"> </w:t>
      </w:r>
      <w:r>
        <w:t>lo</w:t>
      </w:r>
      <w:r>
        <w:rPr>
          <w:spacing w:val="-2"/>
        </w:rPr>
        <w:t xml:space="preserve"> </w:t>
      </w:r>
      <w:r>
        <w:t>dispuesto</w:t>
      </w:r>
      <w:r>
        <w:rPr>
          <w:spacing w:val="-2"/>
        </w:rPr>
        <w:t xml:space="preserve"> </w:t>
      </w:r>
      <w:r>
        <w:t>en</w:t>
      </w:r>
      <w:r>
        <w:rPr>
          <w:spacing w:val="-2"/>
        </w:rPr>
        <w:t xml:space="preserve"> </w:t>
      </w:r>
      <w:r>
        <w:t>el artículo 281.</w:t>
      </w:r>
    </w:p>
    <w:p w:rsidR="0092635B" w:rsidRDefault="00000000">
      <w:pPr>
        <w:pStyle w:val="Textoindependiente"/>
        <w:spacing w:before="3" w:line="249" w:lineRule="auto"/>
        <w:ind w:right="1104"/>
      </w:pPr>
      <w:r>
        <w:t>En todo caso, se entenderá que la resolución de la concesión no es imputable a la Administración cuando obedezca a alguna de las causas previstas en las letras a), b) y f) del artículo 211, así como en las letras a) y f) del artículo 279.</w:t>
      </w:r>
    </w:p>
    <w:p w:rsidR="0092635B" w:rsidRDefault="00000000">
      <w:pPr>
        <w:pStyle w:val="Prrafodelista"/>
        <w:numPr>
          <w:ilvl w:val="0"/>
          <w:numId w:val="110"/>
        </w:numPr>
        <w:tabs>
          <w:tab w:val="left" w:pos="1740"/>
        </w:tabs>
        <w:spacing w:before="3" w:line="249" w:lineRule="auto"/>
        <w:ind w:firstLine="340"/>
        <w:jc w:val="both"/>
        <w:rPr>
          <w:sz w:val="20"/>
        </w:rPr>
      </w:pPr>
      <w:r>
        <w:rPr>
          <w:sz w:val="20"/>
        </w:rPr>
        <w:t>Cuando el contrato se resuelva por causa imputable al concesionario, le será incautada la garantía y deberá, además, indemnizar a la Administración los daños y perjuicios ocasionados en lo que exceda del importe de la garantía incautada.</w:t>
      </w:r>
    </w:p>
    <w:p w:rsidR="0092635B" w:rsidRDefault="00000000">
      <w:pPr>
        <w:pStyle w:val="Prrafodelista"/>
        <w:numPr>
          <w:ilvl w:val="0"/>
          <w:numId w:val="110"/>
        </w:numPr>
        <w:tabs>
          <w:tab w:val="left" w:pos="1671"/>
        </w:tabs>
        <w:spacing w:line="249" w:lineRule="auto"/>
        <w:ind w:right="1102" w:firstLine="340"/>
        <w:jc w:val="both"/>
        <w:rPr>
          <w:sz w:val="20"/>
        </w:rPr>
      </w:pPr>
      <w:r>
        <w:rPr>
          <w:sz w:val="20"/>
        </w:rPr>
        <w:t>En los supuestos de las letras b), c), d) y e) del artículo 279, y en general en los casos en que la resolución del contrato se produjera por causas imputables a la Administración y sin perjuicio de lo dispuesto en el apartado 1 de este artículo, la Administración concedente indemnizará al concesionario por los daños y perjuicios que se le irroguen.</w:t>
      </w:r>
    </w:p>
    <w:p w:rsidR="0092635B" w:rsidRDefault="00000000">
      <w:pPr>
        <w:pStyle w:val="Textoindependiente"/>
        <w:spacing w:before="4"/>
        <w:ind w:left="1446" w:firstLine="0"/>
      </w:pPr>
      <w:r>
        <w:t>Para</w:t>
      </w:r>
      <w:r>
        <w:rPr>
          <w:spacing w:val="-4"/>
        </w:rPr>
        <w:t xml:space="preserve"> </w:t>
      </w:r>
      <w:r>
        <w:t>determinar</w:t>
      </w:r>
      <w:r>
        <w:rPr>
          <w:spacing w:val="-3"/>
        </w:rPr>
        <w:t xml:space="preserve"> </w:t>
      </w:r>
      <w:r>
        <w:t>la</w:t>
      </w:r>
      <w:r>
        <w:rPr>
          <w:spacing w:val="-3"/>
        </w:rPr>
        <w:t xml:space="preserve"> </w:t>
      </w:r>
      <w:r>
        <w:t>cuantía</w:t>
      </w:r>
      <w:r>
        <w:rPr>
          <w:spacing w:val="-3"/>
        </w:rPr>
        <w:t xml:space="preserve"> </w:t>
      </w:r>
      <w:r>
        <w:t>de</w:t>
      </w:r>
      <w:r>
        <w:rPr>
          <w:spacing w:val="-3"/>
        </w:rPr>
        <w:t xml:space="preserve"> </w:t>
      </w:r>
      <w:r>
        <w:t>la</w:t>
      </w:r>
      <w:r>
        <w:rPr>
          <w:spacing w:val="-4"/>
        </w:rPr>
        <w:t xml:space="preserve"> </w:t>
      </w:r>
      <w:r>
        <w:t>indemnización</w:t>
      </w:r>
      <w:r>
        <w:rPr>
          <w:spacing w:val="-3"/>
        </w:rPr>
        <w:t xml:space="preserve"> </w:t>
      </w:r>
      <w:r>
        <w:t>se</w:t>
      </w:r>
      <w:r>
        <w:rPr>
          <w:spacing w:val="-3"/>
        </w:rPr>
        <w:t xml:space="preserve"> </w:t>
      </w:r>
      <w:r>
        <w:t>tendrán</w:t>
      </w:r>
      <w:r>
        <w:rPr>
          <w:spacing w:val="-3"/>
        </w:rPr>
        <w:t xml:space="preserve"> </w:t>
      </w:r>
      <w:r>
        <w:t>en</w:t>
      </w:r>
      <w:r>
        <w:rPr>
          <w:spacing w:val="-3"/>
        </w:rPr>
        <w:t xml:space="preserve"> </w:t>
      </w:r>
      <w:r>
        <w:rPr>
          <w:spacing w:val="-2"/>
        </w:rPr>
        <w:t>cuenta:</w:t>
      </w:r>
    </w:p>
    <w:p w:rsidR="0092635B" w:rsidRDefault="00000000">
      <w:pPr>
        <w:pStyle w:val="Prrafodelista"/>
        <w:numPr>
          <w:ilvl w:val="1"/>
          <w:numId w:val="110"/>
        </w:numPr>
        <w:tabs>
          <w:tab w:val="left" w:pos="1699"/>
        </w:tabs>
        <w:spacing w:before="130" w:line="249" w:lineRule="auto"/>
        <w:ind w:right="1104" w:firstLine="340"/>
        <w:jc w:val="both"/>
        <w:rPr>
          <w:sz w:val="20"/>
        </w:rPr>
      </w:pPr>
      <w:r>
        <w:rPr>
          <w:sz w:val="20"/>
        </w:rPr>
        <w:t>Los beneficios futuros que el concesionario dejará de percibir, cuantificándolos en la media aritmética de los beneficios antes de impuestos obtenidos durante un período de tiempo equivalente a los años que restan hasta la terminación de la concesión. En caso de que el tiempo restante fuese superior al transcurrido, se tomará como referencia este último. La tasa de descuento aplicable será la que resulte del coste de capital medio ponderado correspondiente a las últimas cuentas anuales del concesionario.</w:t>
      </w:r>
    </w:p>
    <w:p w:rsidR="0092635B" w:rsidRDefault="00000000">
      <w:pPr>
        <w:pStyle w:val="Prrafodelista"/>
        <w:numPr>
          <w:ilvl w:val="1"/>
          <w:numId w:val="110"/>
        </w:numPr>
        <w:tabs>
          <w:tab w:val="left" w:pos="1699"/>
        </w:tabs>
        <w:spacing w:before="5" w:line="249" w:lineRule="auto"/>
        <w:ind w:right="1105" w:firstLine="340"/>
        <w:jc w:val="both"/>
        <w:rPr>
          <w:sz w:val="20"/>
        </w:rPr>
      </w:pPr>
      <w:r>
        <w:rPr>
          <w:sz w:val="20"/>
        </w:rPr>
        <w:t>La pérdida del valor de las obras e instalaciones que no hayan de ser entregadas a aquella, considerando su grado de amortización.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110"/>
        </w:numPr>
        <w:tabs>
          <w:tab w:val="left" w:pos="1727"/>
        </w:tabs>
        <w:spacing w:before="1" w:line="249" w:lineRule="auto"/>
        <w:ind w:firstLine="340"/>
        <w:jc w:val="both"/>
        <w:rPr>
          <w:sz w:val="20"/>
        </w:rPr>
      </w:pPr>
      <w:r>
        <w:rPr>
          <w:sz w:val="20"/>
        </w:rPr>
        <w:t>El órgano de contratación podrá acordar también la resolución de los contratos otorgados por el concesionario para el aprovechamiento de las zonas complementarias. El órgano de contratación podrá acordar también, como consecuencia de la resolución de la concesión, la resolución de los contratos otorgados de explotación comercial, abonando la indemnización que en su caso correspondiera. Esta indemnización será abonada con cargo al concesionario cuando la resolución se produjera como consecuencia de causa imputable</w:t>
      </w:r>
      <w:r>
        <w:rPr>
          <w:spacing w:val="80"/>
          <w:sz w:val="20"/>
        </w:rPr>
        <w:t xml:space="preserve"> </w:t>
      </w:r>
      <w:r>
        <w:rPr>
          <w:sz w:val="20"/>
        </w:rPr>
        <w:t>a este. Cuando no se acuerde la resolución de los citados contratos, los titulares de los derechos de aprovechamiento seguirán ejerciéndolos, quedando obligados frente al órgano de contratación en los mismos términos en que lo estuvieran frente al concesionario, salvo que se llegara, de mutuo acuerdo, a la revisión del correspondiente contrato.</w:t>
      </w:r>
    </w:p>
    <w:p w:rsidR="0092635B" w:rsidRDefault="00000000">
      <w:pPr>
        <w:pStyle w:val="Prrafodelista"/>
        <w:numPr>
          <w:ilvl w:val="0"/>
          <w:numId w:val="110"/>
        </w:numPr>
        <w:tabs>
          <w:tab w:val="left" w:pos="1749"/>
        </w:tabs>
        <w:spacing w:before="8" w:line="249" w:lineRule="auto"/>
        <w:ind w:right="1105" w:firstLine="340"/>
        <w:jc w:val="both"/>
        <w:rPr>
          <w:sz w:val="20"/>
        </w:rPr>
      </w:pPr>
      <w:r>
        <w:rPr>
          <w:sz w:val="20"/>
        </w:rPr>
        <w:t>Si el concesionario no cumpliera con las obligaciones del beneficiario en las expropiaciones y en virtud de resolución judicial, cualquiera que fuera su fecha, la Administración concedente tuviera que hacerse cargo de abonar las indemnizaciones a los expropiados, esta quedará subrogada en el crédito del expropiado. En todo caso, desde el momento en que se declare la obligación de pago a cargo de la Administración concedente, las</w:t>
      </w:r>
      <w:r>
        <w:rPr>
          <w:spacing w:val="-3"/>
          <w:sz w:val="20"/>
        </w:rPr>
        <w:t xml:space="preserve"> </w:t>
      </w:r>
      <w:r>
        <w:rPr>
          <w:sz w:val="20"/>
        </w:rPr>
        <w:t>cantidades</w:t>
      </w:r>
      <w:r>
        <w:rPr>
          <w:spacing w:val="-3"/>
          <w:sz w:val="20"/>
        </w:rPr>
        <w:t xml:space="preserve"> </w:t>
      </w:r>
      <w:r>
        <w:rPr>
          <w:sz w:val="20"/>
        </w:rPr>
        <w:t>que</w:t>
      </w:r>
      <w:r>
        <w:rPr>
          <w:spacing w:val="-3"/>
          <w:sz w:val="20"/>
        </w:rPr>
        <w:t xml:space="preserve"> </w:t>
      </w:r>
      <w:r>
        <w:rPr>
          <w:sz w:val="20"/>
        </w:rPr>
        <w:t>no</w:t>
      </w:r>
      <w:r>
        <w:rPr>
          <w:spacing w:val="-3"/>
          <w:sz w:val="20"/>
        </w:rPr>
        <w:t xml:space="preserve"> </w:t>
      </w:r>
      <w:r>
        <w:rPr>
          <w:sz w:val="20"/>
        </w:rPr>
        <w:t>le</w:t>
      </w:r>
      <w:r>
        <w:rPr>
          <w:spacing w:val="-3"/>
          <w:sz w:val="20"/>
        </w:rPr>
        <w:t xml:space="preserve"> </w:t>
      </w:r>
      <w:r>
        <w:rPr>
          <w:sz w:val="20"/>
        </w:rPr>
        <w:t>sean</w:t>
      </w:r>
      <w:r>
        <w:rPr>
          <w:spacing w:val="-3"/>
          <w:sz w:val="20"/>
        </w:rPr>
        <w:t xml:space="preserve"> </w:t>
      </w:r>
      <w:r>
        <w:rPr>
          <w:sz w:val="20"/>
        </w:rPr>
        <w:t>reembolsadas</w:t>
      </w:r>
      <w:r>
        <w:rPr>
          <w:spacing w:val="-3"/>
          <w:sz w:val="20"/>
        </w:rPr>
        <w:t xml:space="preserve"> </w:t>
      </w:r>
      <w:r>
        <w:rPr>
          <w:sz w:val="20"/>
        </w:rPr>
        <w:t>minorarán</w:t>
      </w:r>
      <w:r>
        <w:rPr>
          <w:spacing w:val="-3"/>
          <w:sz w:val="20"/>
        </w:rPr>
        <w:t xml:space="preserve"> </w:t>
      </w:r>
      <w:r>
        <w:rPr>
          <w:sz w:val="20"/>
        </w:rPr>
        <w:t>el</w:t>
      </w:r>
      <w:r>
        <w:rPr>
          <w:spacing w:val="-3"/>
          <w:sz w:val="20"/>
        </w:rPr>
        <w:t xml:space="preserve"> </w:t>
      </w:r>
      <w:r>
        <w:rPr>
          <w:sz w:val="20"/>
        </w:rPr>
        <w:t>importe</w:t>
      </w:r>
      <w:r>
        <w:rPr>
          <w:spacing w:val="-3"/>
          <w:sz w:val="20"/>
        </w:rPr>
        <w:t xml:space="preserve"> </w:t>
      </w:r>
      <w:r>
        <w:rPr>
          <w:sz w:val="20"/>
        </w:rPr>
        <w:t>global</w:t>
      </w:r>
      <w:r>
        <w:rPr>
          <w:spacing w:val="-3"/>
          <w:sz w:val="20"/>
        </w:rPr>
        <w:t xml:space="preserve"> </w:t>
      </w:r>
      <w:r>
        <w:rPr>
          <w:sz w:val="20"/>
        </w:rPr>
        <w:t>que</w:t>
      </w:r>
      <w:r>
        <w:rPr>
          <w:spacing w:val="-3"/>
          <w:sz w:val="20"/>
        </w:rPr>
        <w:t xml:space="preserve"> </w:t>
      </w:r>
      <w:r>
        <w:rPr>
          <w:sz w:val="20"/>
        </w:rPr>
        <w:t>corresponda</w:t>
      </w:r>
      <w:r>
        <w:rPr>
          <w:spacing w:val="-3"/>
          <w:sz w:val="20"/>
        </w:rPr>
        <w:t xml:space="preserve"> </w:t>
      </w:r>
      <w:r>
        <w:rPr>
          <w:sz w:val="20"/>
        </w:rPr>
        <w:t>de conformidad con lo dispuesto en el apartado primero de este artículo.</w:t>
      </w:r>
    </w:p>
    <w:p w:rsidR="0092635B" w:rsidRDefault="00000000">
      <w:pPr>
        <w:pStyle w:val="Prrafodelista"/>
        <w:numPr>
          <w:ilvl w:val="0"/>
          <w:numId w:val="110"/>
        </w:numPr>
        <w:tabs>
          <w:tab w:val="left" w:pos="1668"/>
        </w:tabs>
        <w:spacing w:before="6" w:line="249" w:lineRule="auto"/>
        <w:ind w:right="1104" w:firstLine="340"/>
        <w:jc w:val="both"/>
        <w:rPr>
          <w:sz w:val="20"/>
        </w:rPr>
      </w:pPr>
      <w:r>
        <w:rPr>
          <w:sz w:val="20"/>
        </w:rPr>
        <w:t>En</w:t>
      </w:r>
      <w:r>
        <w:rPr>
          <w:spacing w:val="-2"/>
          <w:sz w:val="20"/>
        </w:rPr>
        <w:t xml:space="preserve"> </w:t>
      </w:r>
      <w:r>
        <w:rPr>
          <w:sz w:val="20"/>
        </w:rPr>
        <w:t>el</w:t>
      </w:r>
      <w:r>
        <w:rPr>
          <w:spacing w:val="-2"/>
          <w:sz w:val="20"/>
        </w:rPr>
        <w:t xml:space="preserve"> </w:t>
      </w:r>
      <w:r>
        <w:rPr>
          <w:sz w:val="20"/>
        </w:rPr>
        <w:t>supuesto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letra</w:t>
      </w:r>
      <w:r>
        <w:rPr>
          <w:spacing w:val="-2"/>
          <w:sz w:val="20"/>
        </w:rPr>
        <w:t xml:space="preserve"> </w:t>
      </w:r>
      <w:r>
        <w:rPr>
          <w:sz w:val="20"/>
        </w:rPr>
        <w:t>b)</w:t>
      </w:r>
      <w:r>
        <w:rPr>
          <w:spacing w:val="-2"/>
          <w:sz w:val="20"/>
        </w:rPr>
        <w:t xml:space="preserve"> </w:t>
      </w:r>
      <w:r>
        <w:rPr>
          <w:sz w:val="20"/>
        </w:rPr>
        <w:t>del</w:t>
      </w:r>
      <w:r>
        <w:rPr>
          <w:spacing w:val="-2"/>
          <w:sz w:val="20"/>
        </w:rPr>
        <w:t xml:space="preserve"> </w:t>
      </w:r>
      <w:r>
        <w:rPr>
          <w:sz w:val="20"/>
        </w:rPr>
        <w:t>artículo</w:t>
      </w:r>
      <w:r>
        <w:rPr>
          <w:spacing w:val="-2"/>
          <w:sz w:val="20"/>
        </w:rPr>
        <w:t xml:space="preserve"> </w:t>
      </w:r>
      <w:r>
        <w:rPr>
          <w:sz w:val="20"/>
        </w:rPr>
        <w:t>279,</w:t>
      </w:r>
      <w:r>
        <w:rPr>
          <w:spacing w:val="-2"/>
          <w:sz w:val="20"/>
        </w:rPr>
        <w:t xml:space="preserve"> </w:t>
      </w:r>
      <w:r>
        <w:rPr>
          <w:sz w:val="20"/>
        </w:rPr>
        <w:t>el</w:t>
      </w:r>
      <w:r>
        <w:rPr>
          <w:spacing w:val="-2"/>
          <w:sz w:val="20"/>
        </w:rPr>
        <w:t xml:space="preserve"> </w:t>
      </w:r>
      <w:r>
        <w:rPr>
          <w:sz w:val="20"/>
        </w:rPr>
        <w:t>contratista</w:t>
      </w:r>
      <w:r>
        <w:rPr>
          <w:spacing w:val="-2"/>
          <w:sz w:val="20"/>
        </w:rPr>
        <w:t xml:space="preserve"> </w:t>
      </w:r>
      <w:r>
        <w:rPr>
          <w:sz w:val="20"/>
        </w:rPr>
        <w:t>tendrá</w:t>
      </w:r>
      <w:r>
        <w:rPr>
          <w:spacing w:val="-2"/>
          <w:sz w:val="20"/>
        </w:rPr>
        <w:t xml:space="preserve"> </w:t>
      </w:r>
      <w:r>
        <w:rPr>
          <w:sz w:val="20"/>
        </w:rPr>
        <w:t>derecho</w:t>
      </w:r>
      <w:r>
        <w:rPr>
          <w:spacing w:val="-2"/>
          <w:sz w:val="20"/>
        </w:rPr>
        <w:t xml:space="preserve"> </w:t>
      </w:r>
      <w:r>
        <w:rPr>
          <w:sz w:val="20"/>
        </w:rPr>
        <w:t>al</w:t>
      </w:r>
      <w:r>
        <w:rPr>
          <w:spacing w:val="-2"/>
          <w:sz w:val="20"/>
        </w:rPr>
        <w:t xml:space="preserve"> </w:t>
      </w:r>
      <w:r>
        <w:rPr>
          <w:sz w:val="20"/>
        </w:rPr>
        <w:t>abono</w:t>
      </w:r>
      <w:r>
        <w:rPr>
          <w:spacing w:val="-2"/>
          <w:sz w:val="20"/>
        </w:rPr>
        <w:t xml:space="preserve"> </w:t>
      </w:r>
      <w:r>
        <w:rPr>
          <w:sz w:val="20"/>
        </w:rPr>
        <w:t>del interés de demora previsto en la Ley 3/2004, de 29 de diciembre, por la que se establecen medidas de lucha contra la morosidad en operaciones comerciales de las cantidades</w:t>
      </w:r>
      <w:r>
        <w:rPr>
          <w:spacing w:val="40"/>
          <w:sz w:val="20"/>
        </w:rPr>
        <w:t xml:space="preserve"> </w:t>
      </w:r>
      <w:r>
        <w:rPr>
          <w:sz w:val="20"/>
        </w:rPr>
        <w:t>debidas</w:t>
      </w:r>
      <w:r>
        <w:rPr>
          <w:spacing w:val="-3"/>
          <w:sz w:val="20"/>
        </w:rPr>
        <w:t xml:space="preserve"> </w:t>
      </w:r>
      <w:r>
        <w:rPr>
          <w:sz w:val="20"/>
        </w:rPr>
        <w:t>o</w:t>
      </w:r>
      <w:r>
        <w:rPr>
          <w:spacing w:val="-3"/>
          <w:sz w:val="20"/>
        </w:rPr>
        <w:t xml:space="preserve"> </w:t>
      </w:r>
      <w:r>
        <w:rPr>
          <w:sz w:val="20"/>
        </w:rPr>
        <w:t>valores</w:t>
      </w:r>
      <w:r>
        <w:rPr>
          <w:spacing w:val="-3"/>
          <w:sz w:val="20"/>
        </w:rPr>
        <w:t xml:space="preserve"> </w:t>
      </w:r>
      <w:r>
        <w:rPr>
          <w:sz w:val="20"/>
        </w:rPr>
        <w:t>económicos</w:t>
      </w:r>
      <w:r>
        <w:rPr>
          <w:spacing w:val="-3"/>
          <w:sz w:val="20"/>
        </w:rPr>
        <w:t xml:space="preserve"> </w:t>
      </w:r>
      <w:r>
        <w:rPr>
          <w:sz w:val="20"/>
        </w:rPr>
        <w:t>convenidos,</w:t>
      </w:r>
      <w:r>
        <w:rPr>
          <w:spacing w:val="-3"/>
          <w:sz w:val="20"/>
        </w:rPr>
        <w:t xml:space="preserve"> </w:t>
      </w:r>
      <w:r>
        <w:rPr>
          <w:sz w:val="20"/>
        </w:rPr>
        <w:t>a</w:t>
      </w:r>
      <w:r>
        <w:rPr>
          <w:spacing w:val="-3"/>
          <w:sz w:val="20"/>
        </w:rPr>
        <w:t xml:space="preserve"> </w:t>
      </w:r>
      <w:r>
        <w:rPr>
          <w:sz w:val="20"/>
        </w:rPr>
        <w:t>partir</w:t>
      </w:r>
      <w:r>
        <w:rPr>
          <w:spacing w:val="-3"/>
          <w:sz w:val="20"/>
        </w:rPr>
        <w:t xml:space="preserve"> </w:t>
      </w:r>
      <w:r>
        <w:rPr>
          <w:sz w:val="20"/>
        </w:rPr>
        <w:t>del</w:t>
      </w:r>
      <w:r>
        <w:rPr>
          <w:spacing w:val="-3"/>
          <w:sz w:val="20"/>
        </w:rPr>
        <w:t xml:space="preserve"> </w:t>
      </w:r>
      <w:r>
        <w:rPr>
          <w:sz w:val="20"/>
        </w:rPr>
        <w:t>vencimiento</w:t>
      </w:r>
      <w:r>
        <w:rPr>
          <w:spacing w:val="-3"/>
          <w:sz w:val="20"/>
        </w:rPr>
        <w:t xml:space="preserve"> </w:t>
      </w:r>
      <w:r>
        <w:rPr>
          <w:sz w:val="20"/>
        </w:rPr>
        <w:t>del</w:t>
      </w:r>
      <w:r>
        <w:rPr>
          <w:spacing w:val="-3"/>
          <w:sz w:val="20"/>
        </w:rPr>
        <w:t xml:space="preserve"> </w:t>
      </w:r>
      <w:r>
        <w:rPr>
          <w:sz w:val="20"/>
        </w:rPr>
        <w:t>plazo</w:t>
      </w:r>
      <w:r>
        <w:rPr>
          <w:spacing w:val="-3"/>
          <w:sz w:val="20"/>
        </w:rPr>
        <w:t xml:space="preserve"> </w:t>
      </w:r>
      <w:r>
        <w:rPr>
          <w:sz w:val="20"/>
        </w:rPr>
        <w:t>previsto</w:t>
      </w:r>
      <w:r>
        <w:rPr>
          <w:spacing w:val="-3"/>
          <w:sz w:val="20"/>
        </w:rPr>
        <w:t xml:space="preserve"> </w:t>
      </w:r>
      <w:r>
        <w:rPr>
          <w:sz w:val="20"/>
        </w:rPr>
        <w:t>para</w:t>
      </w:r>
      <w:r>
        <w:rPr>
          <w:spacing w:val="-3"/>
          <w:sz w:val="20"/>
        </w:rPr>
        <w:t xml:space="preserve"> </w:t>
      </w:r>
      <w:r>
        <w:rPr>
          <w:sz w:val="20"/>
        </w:rPr>
        <w:t>su entrega y hasta la liquidación de la indemnización resultante de la resolución, así como de</w:t>
      </w:r>
      <w:r>
        <w:rPr>
          <w:spacing w:val="40"/>
          <w:sz w:val="20"/>
        </w:rPr>
        <w:t xml:space="preserve"> </w:t>
      </w:r>
      <w:r>
        <w:rPr>
          <w:sz w:val="20"/>
        </w:rPr>
        <w:t>los daños y perjuicios sufridos.</w:t>
      </w:r>
    </w:p>
    <w:p w:rsidR="0092635B" w:rsidRDefault="0092635B">
      <w:pPr>
        <w:pStyle w:val="Textoindependiente"/>
        <w:spacing w:before="1"/>
        <w:ind w:left="0" w:firstLine="0"/>
        <w:jc w:val="left"/>
      </w:pPr>
    </w:p>
    <w:p w:rsidR="0092635B" w:rsidRDefault="00000000">
      <w:pPr>
        <w:spacing w:line="249" w:lineRule="auto"/>
        <w:ind w:left="1106" w:right="1120" w:hanging="1"/>
        <w:rPr>
          <w:rFonts w:ascii="Arial" w:hAnsi="Arial"/>
          <w:i/>
          <w:sz w:val="20"/>
        </w:rPr>
      </w:pPr>
      <w:bookmarkStart w:id="451" w:name="Artículo_281._Nuevo_proceso_de_adjudicac"/>
      <w:bookmarkEnd w:id="451"/>
      <w:r>
        <w:rPr>
          <w:rFonts w:ascii="Arial" w:hAnsi="Arial"/>
          <w:b/>
          <w:sz w:val="20"/>
        </w:rPr>
        <w:t>Artículo</w:t>
      </w:r>
      <w:r>
        <w:rPr>
          <w:rFonts w:ascii="Arial" w:hAnsi="Arial"/>
          <w:b/>
          <w:spacing w:val="21"/>
          <w:sz w:val="20"/>
        </w:rPr>
        <w:t xml:space="preserve"> </w:t>
      </w:r>
      <w:r>
        <w:rPr>
          <w:rFonts w:ascii="Arial" w:hAnsi="Arial"/>
          <w:b/>
          <w:sz w:val="20"/>
        </w:rPr>
        <w:t>281.</w:t>
      </w:r>
      <w:r>
        <w:rPr>
          <w:rFonts w:ascii="Arial" w:hAnsi="Arial"/>
          <w:b/>
          <w:spacing w:val="80"/>
          <w:sz w:val="20"/>
        </w:rPr>
        <w:t xml:space="preserve"> </w:t>
      </w:r>
      <w:r>
        <w:rPr>
          <w:rFonts w:ascii="Arial" w:hAnsi="Arial"/>
          <w:i/>
          <w:sz w:val="20"/>
        </w:rPr>
        <w:t>Nuevo</w:t>
      </w:r>
      <w:r>
        <w:rPr>
          <w:rFonts w:ascii="Arial" w:hAnsi="Arial"/>
          <w:i/>
          <w:spacing w:val="21"/>
          <w:sz w:val="20"/>
        </w:rPr>
        <w:t xml:space="preserve"> </w:t>
      </w:r>
      <w:r>
        <w:rPr>
          <w:rFonts w:ascii="Arial" w:hAnsi="Arial"/>
          <w:i/>
          <w:sz w:val="20"/>
        </w:rPr>
        <w:t>proceso</w:t>
      </w:r>
      <w:r>
        <w:rPr>
          <w:rFonts w:ascii="Arial" w:hAnsi="Arial"/>
          <w:i/>
          <w:spacing w:val="21"/>
          <w:sz w:val="20"/>
        </w:rPr>
        <w:t xml:space="preserve"> </w:t>
      </w:r>
      <w:r>
        <w:rPr>
          <w:rFonts w:ascii="Arial" w:hAnsi="Arial"/>
          <w:i/>
          <w:sz w:val="20"/>
        </w:rPr>
        <w:t>de</w:t>
      </w:r>
      <w:r>
        <w:rPr>
          <w:rFonts w:ascii="Arial" w:hAnsi="Arial"/>
          <w:i/>
          <w:spacing w:val="21"/>
          <w:sz w:val="20"/>
        </w:rPr>
        <w:t xml:space="preserve"> </w:t>
      </w:r>
      <w:r>
        <w:rPr>
          <w:rFonts w:ascii="Arial" w:hAnsi="Arial"/>
          <w:i/>
          <w:sz w:val="20"/>
        </w:rPr>
        <w:t>adjudicación</w:t>
      </w:r>
      <w:r>
        <w:rPr>
          <w:rFonts w:ascii="Arial" w:hAnsi="Arial"/>
          <w:i/>
          <w:spacing w:val="21"/>
          <w:sz w:val="20"/>
        </w:rPr>
        <w:t xml:space="preserve"> </w:t>
      </w:r>
      <w:r>
        <w:rPr>
          <w:rFonts w:ascii="Arial" w:hAnsi="Arial"/>
          <w:i/>
          <w:sz w:val="20"/>
        </w:rPr>
        <w:t>en</w:t>
      </w:r>
      <w:r>
        <w:rPr>
          <w:rFonts w:ascii="Arial" w:hAnsi="Arial"/>
          <w:i/>
          <w:spacing w:val="21"/>
          <w:sz w:val="20"/>
        </w:rPr>
        <w:t xml:space="preserve"> </w:t>
      </w:r>
      <w:r>
        <w:rPr>
          <w:rFonts w:ascii="Arial" w:hAnsi="Arial"/>
          <w:i/>
          <w:sz w:val="20"/>
        </w:rPr>
        <w:t>concesión</w:t>
      </w:r>
      <w:r>
        <w:rPr>
          <w:rFonts w:ascii="Arial" w:hAnsi="Arial"/>
          <w:i/>
          <w:spacing w:val="21"/>
          <w:sz w:val="20"/>
        </w:rPr>
        <w:t xml:space="preserve"> </w:t>
      </w:r>
      <w:r>
        <w:rPr>
          <w:rFonts w:ascii="Arial" w:hAnsi="Arial"/>
          <w:i/>
          <w:sz w:val="20"/>
        </w:rPr>
        <w:t>de</w:t>
      </w:r>
      <w:r>
        <w:rPr>
          <w:rFonts w:ascii="Arial" w:hAnsi="Arial"/>
          <w:i/>
          <w:spacing w:val="21"/>
          <w:sz w:val="20"/>
        </w:rPr>
        <w:t xml:space="preserve"> </w:t>
      </w:r>
      <w:r>
        <w:rPr>
          <w:rFonts w:ascii="Arial" w:hAnsi="Arial"/>
          <w:i/>
          <w:sz w:val="20"/>
        </w:rPr>
        <w:t>obras</w:t>
      </w:r>
      <w:r>
        <w:rPr>
          <w:rFonts w:ascii="Arial" w:hAnsi="Arial"/>
          <w:i/>
          <w:spacing w:val="21"/>
          <w:sz w:val="20"/>
        </w:rPr>
        <w:t xml:space="preserve"> </w:t>
      </w:r>
      <w:r>
        <w:rPr>
          <w:rFonts w:ascii="Arial" w:hAnsi="Arial"/>
          <w:i/>
          <w:sz w:val="20"/>
        </w:rPr>
        <w:t>en</w:t>
      </w:r>
      <w:r>
        <w:rPr>
          <w:rFonts w:ascii="Arial" w:hAnsi="Arial"/>
          <w:i/>
          <w:spacing w:val="21"/>
          <w:sz w:val="20"/>
        </w:rPr>
        <w:t xml:space="preserve"> </w:t>
      </w:r>
      <w:r>
        <w:rPr>
          <w:rFonts w:ascii="Arial" w:hAnsi="Arial"/>
          <w:i/>
          <w:sz w:val="20"/>
        </w:rPr>
        <w:t>los</w:t>
      </w:r>
      <w:r>
        <w:rPr>
          <w:rFonts w:ascii="Arial" w:hAnsi="Arial"/>
          <w:i/>
          <w:spacing w:val="21"/>
          <w:sz w:val="20"/>
        </w:rPr>
        <w:t xml:space="preserve"> </w:t>
      </w:r>
      <w:r>
        <w:rPr>
          <w:rFonts w:ascii="Arial" w:hAnsi="Arial"/>
          <w:i/>
          <w:sz w:val="20"/>
        </w:rPr>
        <w:t>casos</w:t>
      </w:r>
      <w:r>
        <w:rPr>
          <w:rFonts w:ascii="Arial" w:hAnsi="Arial"/>
          <w:i/>
          <w:spacing w:val="21"/>
          <w:sz w:val="20"/>
        </w:rPr>
        <w:t xml:space="preserve"> </w:t>
      </w:r>
      <w:r>
        <w:rPr>
          <w:rFonts w:ascii="Arial" w:hAnsi="Arial"/>
          <w:i/>
          <w:sz w:val="20"/>
        </w:rPr>
        <w:t>en</w:t>
      </w:r>
      <w:r>
        <w:rPr>
          <w:rFonts w:ascii="Arial" w:hAnsi="Arial"/>
          <w:i/>
          <w:spacing w:val="21"/>
          <w:sz w:val="20"/>
        </w:rPr>
        <w:t xml:space="preserve"> </w:t>
      </w:r>
      <w:r>
        <w:rPr>
          <w:rFonts w:ascii="Arial" w:hAnsi="Arial"/>
          <w:i/>
          <w:sz w:val="20"/>
        </w:rPr>
        <w:t>los que la resolución obedezca a causas no imputables a la Administración.</w:t>
      </w:r>
    </w:p>
    <w:p w:rsidR="0092635B" w:rsidRDefault="00000000">
      <w:pPr>
        <w:pStyle w:val="Prrafodelista"/>
        <w:numPr>
          <w:ilvl w:val="0"/>
          <w:numId w:val="109"/>
        </w:numPr>
        <w:tabs>
          <w:tab w:val="left" w:pos="1676"/>
        </w:tabs>
        <w:spacing w:before="115" w:line="249" w:lineRule="auto"/>
        <w:ind w:right="1104" w:firstLine="340"/>
        <w:jc w:val="both"/>
        <w:rPr>
          <w:sz w:val="20"/>
        </w:rPr>
      </w:pPr>
      <w:r>
        <w:rPr>
          <w:sz w:val="20"/>
        </w:rPr>
        <w:t>En el supuesto de resolución por causas no imputables a la Administración, el órgano de contratación deberá licitar nuevamente la concesión, siendo el tipo de licitación el que resulte del artículo siguiente. La licitación se realizará mediante subasta al alza siendo el único criterio de adjudicación el precio.</w:t>
      </w:r>
    </w:p>
    <w:p w:rsidR="0092635B" w:rsidRDefault="00000000">
      <w:pPr>
        <w:pStyle w:val="Textoindependiente"/>
        <w:spacing w:before="4" w:line="249" w:lineRule="auto"/>
        <w:ind w:right="1105"/>
      </w:pPr>
      <w:r>
        <w:t>En el caso que quedara desierta la primera licitación, se convocará una nueva licitación en el plazo máximo de un mes, siendo el tipo de licitación el 50 por ciento de la primera.</w:t>
      </w:r>
    </w:p>
    <w:p w:rsidR="0092635B" w:rsidRDefault="00000000">
      <w:pPr>
        <w:pStyle w:val="Textoindependiente"/>
        <w:spacing w:before="1" w:line="249" w:lineRule="auto"/>
        <w:ind w:right="1104"/>
      </w:pPr>
      <w:r>
        <w:t>El adjudicatario de la licitación deberá abonar el importe de esta en el plazo de dos meses desde que se haya adjudicado la concesión. En el supuesto de que no se abone el citado importe en el indicado plazo, la adjudicación quedará sin efecto, adjudicándose al siguiente licitador por orden o, en el caso de no haber más licitadores, declarando la</w:t>
      </w:r>
      <w:r>
        <w:rPr>
          <w:spacing w:val="40"/>
        </w:rPr>
        <w:t xml:space="preserve"> </w:t>
      </w:r>
      <w:r>
        <w:t>licitación desierta.</w:t>
      </w:r>
    </w:p>
    <w:p w:rsidR="0092635B" w:rsidRDefault="00000000">
      <w:pPr>
        <w:pStyle w:val="Textoindependiente"/>
        <w:spacing w:before="4" w:line="249" w:lineRule="auto"/>
        <w:ind w:right="1103"/>
      </w:pPr>
      <w:r>
        <w:t>La convocatoria de la licitación podrá realizarse siempre que se haya incoado el expediente de resolución, si bien no podrá adjudicarse hasta que este no haya concluido. En todo caso, desde la resolución de la concesión a la apertura de las ofertas de la primera licitación no podrá transcurrir un plazo superior a tres meses.</w:t>
      </w:r>
    </w:p>
    <w:p w:rsidR="0092635B" w:rsidRDefault="00000000">
      <w:pPr>
        <w:pStyle w:val="Textoindependiente"/>
        <w:spacing w:before="4" w:line="249" w:lineRule="auto"/>
        <w:ind w:right="1105"/>
      </w:pPr>
      <w:r>
        <w:t>Podrá participar en la licitación todo empresario que haya obtenido la oportuna autorización administrativa en los términos previstos en el apartado 2 del artículo 275.</w:t>
      </w:r>
    </w:p>
    <w:p w:rsidR="0092635B" w:rsidRDefault="00000000">
      <w:pPr>
        <w:pStyle w:val="Prrafodelista"/>
        <w:numPr>
          <w:ilvl w:val="0"/>
          <w:numId w:val="109"/>
        </w:numPr>
        <w:tabs>
          <w:tab w:val="left" w:pos="1686"/>
        </w:tabs>
        <w:spacing w:before="1" w:line="249" w:lineRule="auto"/>
        <w:ind w:firstLine="340"/>
        <w:jc w:val="both"/>
        <w:rPr>
          <w:sz w:val="20"/>
        </w:rPr>
      </w:pPr>
      <w:r>
        <w:rPr>
          <w:sz w:val="20"/>
        </w:rPr>
        <w:t>El valor de la concesión, en el supuesto de que la resolución obedezca a causas no imputables a la Administración, será el que resulte de la adjudicación de las licitaciones a las que se refiere el apartado anterior.</w:t>
      </w:r>
    </w:p>
    <w:p w:rsidR="0092635B" w:rsidRDefault="00000000">
      <w:pPr>
        <w:pStyle w:val="Textoindependiente"/>
        <w:spacing w:before="3" w:line="249" w:lineRule="auto"/>
        <w:ind w:right="1103"/>
      </w:pPr>
      <w:r>
        <w:t>En el caso de que la segunda licitación quedara desierta, el valor de la concesión será el tipo de esta, sin perjuicio de la posibilidad de presentar por el concesionario originario o acreedores titulares al menos de un 5 por ciento del pasivo exigible de la concesionaria, en</w:t>
      </w:r>
      <w:r>
        <w:rPr>
          <w:spacing w:val="40"/>
        </w:rPr>
        <w:t xml:space="preserve"> </w:t>
      </w:r>
      <w:r>
        <w:t>el plazo máximo de tres meses a contar desde que quedó desierta, un nuevo comprador que abone al menos el citado tipo de licitación, en cuyo caso el valor de la concesión será el importe abonado por el nuevo comprador.</w:t>
      </w:r>
    </w:p>
    <w:p w:rsidR="0092635B" w:rsidRDefault="00000000">
      <w:pPr>
        <w:pStyle w:val="Textoindependiente"/>
        <w:spacing w:before="5" w:line="249" w:lineRule="auto"/>
        <w:ind w:right="1105"/>
      </w:pPr>
      <w:r>
        <w:t>La</w:t>
      </w:r>
      <w:r>
        <w:rPr>
          <w:spacing w:val="-1"/>
        </w:rPr>
        <w:t xml:space="preserve"> </w:t>
      </w:r>
      <w:r>
        <w:t>Administración</w:t>
      </w:r>
      <w:r>
        <w:rPr>
          <w:spacing w:val="-1"/>
        </w:rPr>
        <w:t xml:space="preserve"> </w:t>
      </w:r>
      <w:r>
        <w:t>abonara</w:t>
      </w:r>
      <w:r>
        <w:rPr>
          <w:spacing w:val="-1"/>
        </w:rPr>
        <w:t xml:space="preserve"> </w:t>
      </w:r>
      <w:r>
        <w:t>al</w:t>
      </w:r>
      <w:r>
        <w:rPr>
          <w:spacing w:val="-1"/>
        </w:rPr>
        <w:t xml:space="preserve"> </w:t>
      </w:r>
      <w:r>
        <w:t>primitivo</w:t>
      </w:r>
      <w:r>
        <w:rPr>
          <w:spacing w:val="-1"/>
        </w:rPr>
        <w:t xml:space="preserve"> </w:t>
      </w:r>
      <w:r>
        <w:t>concesionario</w:t>
      </w:r>
      <w:r>
        <w:rPr>
          <w:spacing w:val="-1"/>
        </w:rPr>
        <w:t xml:space="preserve"> </w:t>
      </w:r>
      <w:r>
        <w:t>el</w:t>
      </w:r>
      <w:r>
        <w:rPr>
          <w:spacing w:val="-1"/>
        </w:rPr>
        <w:t xml:space="preserve"> </w:t>
      </w:r>
      <w:r>
        <w:t>valor</w:t>
      </w:r>
      <w:r>
        <w:rPr>
          <w:spacing w:val="-1"/>
        </w:rPr>
        <w:t xml:space="preserve"> </w:t>
      </w:r>
      <w:r>
        <w:t>de</w:t>
      </w:r>
      <w:r>
        <w:rPr>
          <w:spacing w:val="-1"/>
        </w:rPr>
        <w:t xml:space="preserve"> </w:t>
      </w:r>
      <w:r>
        <w:t>la</w:t>
      </w:r>
      <w:r>
        <w:rPr>
          <w:spacing w:val="-1"/>
        </w:rPr>
        <w:t xml:space="preserve"> </w:t>
      </w:r>
      <w:r>
        <w:t>concesión</w:t>
      </w:r>
      <w:r>
        <w:rPr>
          <w:spacing w:val="-1"/>
        </w:rPr>
        <w:t xml:space="preserve"> </w:t>
      </w:r>
      <w:r>
        <w:t>en</w:t>
      </w:r>
      <w:r>
        <w:rPr>
          <w:spacing w:val="-1"/>
        </w:rPr>
        <w:t xml:space="preserve"> </w:t>
      </w:r>
      <w:r>
        <w:t>un</w:t>
      </w:r>
      <w:r>
        <w:rPr>
          <w:spacing w:val="-1"/>
        </w:rPr>
        <w:t xml:space="preserve"> </w:t>
      </w:r>
      <w:r>
        <w:t>plazo de tres meses desde que se haya realizado la adjudicación de la licitación a la que se refiere el apartado anterior o desde que la segunda licitación haya quedado desierta.</w:t>
      </w:r>
    </w:p>
    <w:p w:rsidR="0092635B" w:rsidRDefault="00000000">
      <w:pPr>
        <w:pStyle w:val="Textoindependiente"/>
        <w:spacing w:line="249" w:lineRule="auto"/>
        <w:ind w:right="1104"/>
      </w:pPr>
      <w:r>
        <w:t>En todo caso, el nuevo concesionario se subrogará en la posición del primitivo concesionario</w:t>
      </w:r>
      <w:r>
        <w:rPr>
          <w:spacing w:val="61"/>
        </w:rPr>
        <w:t xml:space="preserve"> </w:t>
      </w:r>
      <w:r>
        <w:t>quedando</w:t>
      </w:r>
      <w:r>
        <w:rPr>
          <w:spacing w:val="61"/>
        </w:rPr>
        <w:t xml:space="preserve"> </w:t>
      </w:r>
      <w:r>
        <w:t>obligado</w:t>
      </w:r>
      <w:r>
        <w:rPr>
          <w:spacing w:val="61"/>
        </w:rPr>
        <w:t xml:space="preserve"> </w:t>
      </w:r>
      <w:r>
        <w:t>a</w:t>
      </w:r>
      <w:r>
        <w:rPr>
          <w:spacing w:val="61"/>
        </w:rPr>
        <w:t xml:space="preserve"> </w:t>
      </w:r>
      <w:r>
        <w:t>la</w:t>
      </w:r>
      <w:r>
        <w:rPr>
          <w:spacing w:val="61"/>
        </w:rPr>
        <w:t xml:space="preserve"> </w:t>
      </w:r>
      <w:r>
        <w:t>realización</w:t>
      </w:r>
      <w:r>
        <w:rPr>
          <w:spacing w:val="61"/>
        </w:rPr>
        <w:t xml:space="preserve"> </w:t>
      </w:r>
      <w:r>
        <w:t>de</w:t>
      </w:r>
      <w:r>
        <w:rPr>
          <w:spacing w:val="61"/>
        </w:rPr>
        <w:t xml:space="preserve"> </w:t>
      </w:r>
      <w:r>
        <w:t>las</w:t>
      </w:r>
      <w:r>
        <w:rPr>
          <w:spacing w:val="61"/>
        </w:rPr>
        <w:t xml:space="preserve"> </w:t>
      </w:r>
      <w:r>
        <w:t>actuaciones</w:t>
      </w:r>
      <w:r>
        <w:rPr>
          <w:spacing w:val="61"/>
        </w:rPr>
        <w:t xml:space="preserve"> </w:t>
      </w:r>
      <w:r>
        <w:t>vinculadas</w:t>
      </w:r>
      <w:r>
        <w:rPr>
          <w:spacing w:val="61"/>
        </w:rPr>
        <w:t xml:space="preserve"> </w:t>
      </w:r>
      <w:r>
        <w:t>a</w:t>
      </w:r>
      <w:r>
        <w:rPr>
          <w:spacing w:val="61"/>
        </w:rPr>
        <w:t xml:space="preserve"> </w:t>
      </w:r>
      <w:r>
        <w:t>las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subvenciones de capital percibidas cuando no se haya cumplido la finalidad para la que se concedió la subvención.</w:t>
      </w:r>
    </w:p>
    <w:p w:rsidR="0092635B" w:rsidRDefault="00000000">
      <w:pPr>
        <w:pStyle w:val="Prrafodelista"/>
        <w:numPr>
          <w:ilvl w:val="0"/>
          <w:numId w:val="109"/>
        </w:numPr>
        <w:tabs>
          <w:tab w:val="left" w:pos="1683"/>
        </w:tabs>
        <w:spacing w:before="1" w:line="249" w:lineRule="auto"/>
        <w:ind w:firstLine="340"/>
        <w:jc w:val="both"/>
        <w:rPr>
          <w:sz w:val="20"/>
        </w:rPr>
      </w:pPr>
      <w:r>
        <w:rPr>
          <w:sz w:val="20"/>
        </w:rPr>
        <w:t>El contrato resultante de la licitación referida en el apartado 1 tendrá en todo caso la naturaleza de contrato de concesión de obras, siendo las condiciones del mismo las establecidas en el contrato primitivo que se ha resuelto, incluyendo el plazo de duración.</w:t>
      </w:r>
    </w:p>
    <w:p w:rsidR="0092635B" w:rsidRDefault="00000000">
      <w:pPr>
        <w:spacing w:before="230" w:line="249" w:lineRule="auto"/>
        <w:ind w:left="1106" w:right="1105" w:hanging="1"/>
        <w:jc w:val="both"/>
        <w:rPr>
          <w:rFonts w:ascii="Arial" w:hAnsi="Arial"/>
          <w:i/>
          <w:sz w:val="20"/>
        </w:rPr>
      </w:pPr>
      <w:bookmarkStart w:id="452" w:name="Artículo_282._Determinación_del_tipo_de_"/>
      <w:bookmarkEnd w:id="452"/>
      <w:r>
        <w:rPr>
          <w:rFonts w:ascii="Arial" w:hAnsi="Arial"/>
          <w:b/>
          <w:sz w:val="20"/>
        </w:rPr>
        <w:t>Artículo 282.</w:t>
      </w:r>
      <w:r>
        <w:rPr>
          <w:rFonts w:ascii="Arial" w:hAnsi="Arial"/>
          <w:b/>
          <w:spacing w:val="40"/>
          <w:sz w:val="20"/>
        </w:rPr>
        <w:t xml:space="preserve"> </w:t>
      </w:r>
      <w:r>
        <w:rPr>
          <w:rFonts w:ascii="Arial" w:hAnsi="Arial"/>
          <w:i/>
          <w:sz w:val="20"/>
        </w:rPr>
        <w:t>Determinación del tipo de licitación de la concesión de obras en los casos en los que la resolución obedezca a causas no imputables a la Administración.</w:t>
      </w:r>
    </w:p>
    <w:p w:rsidR="0092635B" w:rsidRDefault="00000000">
      <w:pPr>
        <w:pStyle w:val="Textoindependiente"/>
        <w:spacing w:before="115" w:line="249" w:lineRule="auto"/>
        <w:ind w:right="1104"/>
      </w:pPr>
      <w:r>
        <w:t>Para la fijación del tipo de la primera licitación, al que se refiere el artículo 281, se seguirán las siguientes reglas:</w:t>
      </w:r>
    </w:p>
    <w:p w:rsidR="0092635B" w:rsidRDefault="00000000">
      <w:pPr>
        <w:pStyle w:val="Prrafodelista"/>
        <w:numPr>
          <w:ilvl w:val="1"/>
          <w:numId w:val="109"/>
        </w:numPr>
        <w:tabs>
          <w:tab w:val="left" w:pos="1694"/>
        </w:tabs>
        <w:spacing w:before="121" w:line="249" w:lineRule="auto"/>
        <w:ind w:right="1104" w:firstLine="340"/>
        <w:jc w:val="both"/>
        <w:rPr>
          <w:sz w:val="20"/>
        </w:rPr>
      </w:pPr>
      <w:r>
        <w:rPr>
          <w:sz w:val="20"/>
        </w:rPr>
        <w:t>El tipo se determinará en función de los flujos futuros de caja que se prevea obtener por la sociedad concesionaria, por la explotación de la concesión, en el periodo que resta desde la resolución del contrato hasta su reversión, actualizados al tipo de descuento del interés de las obligaciones del Tesoro a diez años incrementado en 300 puntos básicos.</w:t>
      </w:r>
    </w:p>
    <w:p w:rsidR="0092635B" w:rsidRDefault="00000000">
      <w:pPr>
        <w:pStyle w:val="Textoindependiente"/>
        <w:spacing w:before="3" w:line="249" w:lineRule="auto"/>
        <w:ind w:right="1105"/>
      </w:pPr>
      <w:r>
        <w:t>Se tomará como referencia para el cálculo de dicho rendimiento medio los últimos datos disponibles publicados por el Banco de España en el Boletín del Mercado de Deuda Pública.</w:t>
      </w:r>
    </w:p>
    <w:p w:rsidR="0092635B" w:rsidRDefault="00000000">
      <w:pPr>
        <w:pStyle w:val="Prrafodelista"/>
        <w:numPr>
          <w:ilvl w:val="1"/>
          <w:numId w:val="109"/>
        </w:numPr>
        <w:tabs>
          <w:tab w:val="left" w:pos="1687"/>
        </w:tabs>
        <w:spacing w:line="249" w:lineRule="auto"/>
        <w:ind w:firstLine="340"/>
        <w:jc w:val="both"/>
        <w:rPr>
          <w:sz w:val="20"/>
        </w:rPr>
      </w:pPr>
      <w:r>
        <w:rPr>
          <w:sz w:val="20"/>
        </w:rPr>
        <w:t>El instrumento de deuda que sirve de base al cálculo de la rentabilidad razonable y el diferencial citados podrán ser modificados por la Comisión Delegada del Gobierno para Asuntos Económicos, previo informe de la Oficina Nacional de Evaluación, para adaptarlo a las condiciones de riesgo y rentabilidad observadas en los contratos del sector público.</w:t>
      </w:r>
    </w:p>
    <w:p w:rsidR="0092635B" w:rsidRDefault="00000000">
      <w:pPr>
        <w:pStyle w:val="Prrafodelista"/>
        <w:numPr>
          <w:ilvl w:val="1"/>
          <w:numId w:val="109"/>
        </w:numPr>
        <w:tabs>
          <w:tab w:val="left" w:pos="1674"/>
        </w:tabs>
        <w:spacing w:before="3" w:line="249" w:lineRule="auto"/>
        <w:ind w:right="1104" w:firstLine="340"/>
        <w:jc w:val="both"/>
        <w:rPr>
          <w:sz w:val="20"/>
        </w:rPr>
      </w:pPr>
      <w:r>
        <w:rPr>
          <w:sz w:val="20"/>
        </w:rPr>
        <w:t>Los flujos netos de caja futuros se cuantificarán en la media aritmética de los flujos de caja obtenidos por la entidad durante un período de tiempo equivalente a los años que</w:t>
      </w:r>
      <w:r>
        <w:rPr>
          <w:spacing w:val="80"/>
          <w:sz w:val="20"/>
        </w:rPr>
        <w:t xml:space="preserve"> </w:t>
      </w:r>
      <w:r>
        <w:rPr>
          <w:sz w:val="20"/>
        </w:rPr>
        <w:t>restan</w:t>
      </w:r>
      <w:r>
        <w:rPr>
          <w:spacing w:val="-1"/>
          <w:sz w:val="20"/>
        </w:rPr>
        <w:t xml:space="preserve"> </w:t>
      </w:r>
      <w:r>
        <w:rPr>
          <w:sz w:val="20"/>
        </w:rPr>
        <w:t>hasta</w:t>
      </w:r>
      <w:r>
        <w:rPr>
          <w:spacing w:val="-1"/>
          <w:sz w:val="20"/>
        </w:rPr>
        <w:t xml:space="preserve"> </w:t>
      </w:r>
      <w:r>
        <w:rPr>
          <w:sz w:val="20"/>
        </w:rPr>
        <w:t>la</w:t>
      </w:r>
      <w:r>
        <w:rPr>
          <w:spacing w:val="-1"/>
          <w:sz w:val="20"/>
        </w:rPr>
        <w:t xml:space="preserve"> </w:t>
      </w:r>
      <w:r>
        <w:rPr>
          <w:sz w:val="20"/>
        </w:rPr>
        <w:t>terminación.</w:t>
      </w:r>
      <w:r>
        <w:rPr>
          <w:spacing w:val="-1"/>
          <w:sz w:val="20"/>
        </w:rPr>
        <w:t xml:space="preserve"> </w:t>
      </w: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el</w:t>
      </w:r>
      <w:r>
        <w:rPr>
          <w:spacing w:val="-1"/>
          <w:sz w:val="20"/>
        </w:rPr>
        <w:t xml:space="preserve"> </w:t>
      </w:r>
      <w:r>
        <w:rPr>
          <w:sz w:val="20"/>
        </w:rPr>
        <w:t>tiempo</w:t>
      </w:r>
      <w:r>
        <w:rPr>
          <w:spacing w:val="-1"/>
          <w:sz w:val="20"/>
        </w:rPr>
        <w:t xml:space="preserve"> </w:t>
      </w:r>
      <w:r>
        <w:rPr>
          <w:sz w:val="20"/>
        </w:rPr>
        <w:t>restante</w:t>
      </w:r>
      <w:r>
        <w:rPr>
          <w:spacing w:val="-1"/>
          <w:sz w:val="20"/>
        </w:rPr>
        <w:t xml:space="preserve"> </w:t>
      </w:r>
      <w:r>
        <w:rPr>
          <w:sz w:val="20"/>
        </w:rPr>
        <w:t>fuese</w:t>
      </w:r>
      <w:r>
        <w:rPr>
          <w:spacing w:val="-1"/>
          <w:sz w:val="20"/>
        </w:rPr>
        <w:t xml:space="preserve"> </w:t>
      </w:r>
      <w:r>
        <w:rPr>
          <w:sz w:val="20"/>
        </w:rPr>
        <w:t>superior</w:t>
      </w:r>
      <w:r>
        <w:rPr>
          <w:spacing w:val="-1"/>
          <w:sz w:val="20"/>
        </w:rPr>
        <w:t xml:space="preserve"> </w:t>
      </w:r>
      <w:r>
        <w:rPr>
          <w:sz w:val="20"/>
        </w:rPr>
        <w:t>al</w:t>
      </w:r>
      <w:r>
        <w:rPr>
          <w:spacing w:val="-1"/>
          <w:sz w:val="20"/>
        </w:rPr>
        <w:t xml:space="preserve"> </w:t>
      </w:r>
      <w:r>
        <w:rPr>
          <w:sz w:val="20"/>
        </w:rPr>
        <w:t>transcurrido, se tomará como referencia este último. No se incorporará ninguna actualización de precios en función de la inflación futura estimada.</w:t>
      </w:r>
    </w:p>
    <w:p w:rsidR="0092635B" w:rsidRDefault="00000000">
      <w:pPr>
        <w:pStyle w:val="Prrafodelista"/>
        <w:numPr>
          <w:ilvl w:val="1"/>
          <w:numId w:val="109"/>
        </w:numPr>
        <w:tabs>
          <w:tab w:val="left" w:pos="1685"/>
        </w:tabs>
        <w:spacing w:before="4" w:line="249" w:lineRule="auto"/>
        <w:ind w:firstLine="340"/>
        <w:jc w:val="both"/>
        <w:rPr>
          <w:sz w:val="20"/>
        </w:rPr>
      </w:pPr>
      <w:r>
        <w:rPr>
          <w:sz w:val="20"/>
        </w:rPr>
        <w:t>El valor de los flujos de caja será el que el Plan General de Contabilidad establece en el</w:t>
      </w:r>
      <w:r>
        <w:rPr>
          <w:spacing w:val="-2"/>
          <w:sz w:val="20"/>
        </w:rPr>
        <w:t xml:space="preserve"> </w:t>
      </w:r>
      <w:r>
        <w:rPr>
          <w:sz w:val="20"/>
        </w:rPr>
        <w:t>Estado</w:t>
      </w:r>
      <w:r>
        <w:rPr>
          <w:spacing w:val="-2"/>
          <w:sz w:val="20"/>
        </w:rPr>
        <w:t xml:space="preserve"> </w:t>
      </w:r>
      <w:r>
        <w:rPr>
          <w:sz w:val="20"/>
        </w:rPr>
        <w:t>de</w:t>
      </w:r>
      <w:r>
        <w:rPr>
          <w:spacing w:val="-2"/>
          <w:sz w:val="20"/>
        </w:rPr>
        <w:t xml:space="preserve"> </w:t>
      </w:r>
      <w:r>
        <w:rPr>
          <w:sz w:val="20"/>
        </w:rPr>
        <w:t>Flujos</w:t>
      </w:r>
      <w:r>
        <w:rPr>
          <w:spacing w:val="-2"/>
          <w:sz w:val="20"/>
        </w:rPr>
        <w:t xml:space="preserve"> </w:t>
      </w:r>
      <w:r>
        <w:rPr>
          <w:sz w:val="20"/>
        </w:rPr>
        <w:t>de</w:t>
      </w:r>
      <w:r>
        <w:rPr>
          <w:spacing w:val="-2"/>
          <w:sz w:val="20"/>
        </w:rPr>
        <w:t xml:space="preserve"> </w:t>
      </w:r>
      <w:r>
        <w:rPr>
          <w:sz w:val="20"/>
        </w:rPr>
        <w:t>Efectivo</w:t>
      </w:r>
      <w:r>
        <w:rPr>
          <w:spacing w:val="-2"/>
          <w:sz w:val="20"/>
        </w:rPr>
        <w:t xml:space="preserve"> </w:t>
      </w:r>
      <w:r>
        <w:rPr>
          <w:sz w:val="20"/>
        </w:rPr>
        <w:t>como</w:t>
      </w:r>
      <w:r>
        <w:rPr>
          <w:spacing w:val="-2"/>
          <w:sz w:val="20"/>
        </w:rPr>
        <w:t xml:space="preserve"> </w:t>
      </w:r>
      <w:r>
        <w:rPr>
          <w:sz w:val="20"/>
        </w:rPr>
        <w:t>Flujos</w:t>
      </w:r>
      <w:r>
        <w:rPr>
          <w:spacing w:val="-2"/>
          <w:sz w:val="20"/>
        </w:rPr>
        <w:t xml:space="preserve"> </w:t>
      </w:r>
      <w:r>
        <w:rPr>
          <w:sz w:val="20"/>
        </w:rPr>
        <w:t>de</w:t>
      </w:r>
      <w:r>
        <w:rPr>
          <w:spacing w:val="-2"/>
          <w:sz w:val="20"/>
        </w:rPr>
        <w:t xml:space="preserve"> </w:t>
      </w:r>
      <w:r>
        <w:rPr>
          <w:sz w:val="20"/>
        </w:rPr>
        <w:t>Efectivo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Actividades</w:t>
      </w:r>
      <w:r>
        <w:rPr>
          <w:spacing w:val="-2"/>
          <w:sz w:val="20"/>
        </w:rPr>
        <w:t xml:space="preserve"> </w:t>
      </w:r>
      <w:r>
        <w:rPr>
          <w:sz w:val="20"/>
        </w:rPr>
        <w:t>de</w:t>
      </w:r>
      <w:r>
        <w:rPr>
          <w:spacing w:val="-2"/>
          <w:sz w:val="20"/>
        </w:rPr>
        <w:t xml:space="preserve"> </w:t>
      </w:r>
      <w:r>
        <w:rPr>
          <w:sz w:val="20"/>
        </w:rPr>
        <w:t>Explotación</w:t>
      </w:r>
      <w:r>
        <w:rPr>
          <w:spacing w:val="-2"/>
          <w:sz w:val="20"/>
        </w:rPr>
        <w:t xml:space="preserve"> </w:t>
      </w:r>
      <w:r>
        <w:rPr>
          <w:sz w:val="20"/>
        </w:rPr>
        <w:t>sin computar en ningún caso los pagos y cobros de intereses, los cobros de dividendos y los cobros o pagos por impuesto sobre beneficios.</w:t>
      </w:r>
    </w:p>
    <w:p w:rsidR="0092635B" w:rsidRDefault="00000000">
      <w:pPr>
        <w:pStyle w:val="Prrafodelista"/>
        <w:numPr>
          <w:ilvl w:val="1"/>
          <w:numId w:val="109"/>
        </w:numPr>
        <w:tabs>
          <w:tab w:val="left" w:pos="1679"/>
        </w:tabs>
        <w:spacing w:before="4" w:line="249" w:lineRule="auto"/>
        <w:ind w:right="1104" w:firstLine="340"/>
        <w:jc w:val="both"/>
        <w:rPr>
          <w:sz w:val="20"/>
        </w:rPr>
      </w:pPr>
      <w:r>
        <w:rPr>
          <w:sz w:val="20"/>
        </w:rPr>
        <w:t>Si</w:t>
      </w:r>
      <w:r>
        <w:rPr>
          <w:spacing w:val="-2"/>
          <w:sz w:val="20"/>
        </w:rPr>
        <w:t xml:space="preserve"> </w:t>
      </w:r>
      <w:r>
        <w:rPr>
          <w:sz w:val="20"/>
        </w:rPr>
        <w:t>la</w:t>
      </w:r>
      <w:r>
        <w:rPr>
          <w:spacing w:val="-2"/>
          <w:sz w:val="20"/>
        </w:rPr>
        <w:t xml:space="preserve"> </w:t>
      </w:r>
      <w:r>
        <w:rPr>
          <w:sz w:val="20"/>
        </w:rPr>
        <w:t>resolución</w:t>
      </w:r>
      <w:r>
        <w:rPr>
          <w:spacing w:val="-2"/>
          <w:sz w:val="20"/>
        </w:rPr>
        <w:t xml:space="preserve"> </w:t>
      </w:r>
      <w:r>
        <w:rPr>
          <w:sz w:val="20"/>
        </w:rPr>
        <w:t>del</w:t>
      </w:r>
      <w:r>
        <w:rPr>
          <w:spacing w:val="-2"/>
          <w:sz w:val="20"/>
        </w:rPr>
        <w:t xml:space="preserve"> </w:t>
      </w:r>
      <w:r>
        <w:rPr>
          <w:sz w:val="20"/>
        </w:rPr>
        <w:t>contrato</w:t>
      </w:r>
      <w:r>
        <w:rPr>
          <w:spacing w:val="-2"/>
          <w:sz w:val="20"/>
        </w:rPr>
        <w:t xml:space="preserve"> </w:t>
      </w:r>
      <w:r>
        <w:rPr>
          <w:sz w:val="20"/>
        </w:rPr>
        <w:t>se</w:t>
      </w:r>
      <w:r>
        <w:rPr>
          <w:spacing w:val="-2"/>
          <w:sz w:val="20"/>
        </w:rPr>
        <w:t xml:space="preserve"> </w:t>
      </w:r>
      <w:r>
        <w:rPr>
          <w:sz w:val="20"/>
        </w:rPr>
        <w:t>produjera</w:t>
      </w:r>
      <w:r>
        <w:rPr>
          <w:spacing w:val="-2"/>
          <w:sz w:val="20"/>
        </w:rPr>
        <w:t xml:space="preserve"> </w:t>
      </w:r>
      <w:r>
        <w:rPr>
          <w:sz w:val="20"/>
        </w:rPr>
        <w:t>antes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terminación</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construcción</w:t>
      </w:r>
      <w:r>
        <w:rPr>
          <w:spacing w:val="-2"/>
          <w:sz w:val="20"/>
        </w:rPr>
        <w:t xml:space="preserve"> </w:t>
      </w:r>
      <w:r>
        <w:rPr>
          <w:sz w:val="20"/>
        </w:rPr>
        <w:t>de la infraestructura, el tipo de la licitación será el 70 por cien del importe equivalente a la inversión ejecutada. A estos efectos se entenderá por inversión ejecutada el importe que figure en las últimas cuentas anuales aprobadas incrementadas en la cantidad resultante de las certificaciones cursadas desde el cierre del ejercicio de las últimas cuentas aprobadas hasta el momento de la resolución. De dicho importe se deducirá el correspondiente a las subvenciones de capital percibidas por el beneficiario, cuya finalidad no se haya cumplido.</w:t>
      </w:r>
    </w:p>
    <w:p w:rsidR="0092635B" w:rsidRDefault="0092635B">
      <w:pPr>
        <w:pStyle w:val="Textoindependiente"/>
        <w:ind w:left="0" w:firstLine="0"/>
        <w:jc w:val="left"/>
      </w:pPr>
    </w:p>
    <w:p w:rsidR="0092635B" w:rsidRDefault="00000000">
      <w:pPr>
        <w:ind w:left="1106"/>
        <w:jc w:val="both"/>
        <w:rPr>
          <w:rFonts w:ascii="Arial" w:hAnsi="Arial"/>
          <w:i/>
          <w:sz w:val="20"/>
        </w:rPr>
      </w:pPr>
      <w:bookmarkStart w:id="453" w:name="Artículo_283._Destino_de_las_obras_a_la_"/>
      <w:bookmarkEnd w:id="453"/>
      <w:r>
        <w:rPr>
          <w:rFonts w:ascii="Arial" w:hAnsi="Arial"/>
          <w:b/>
          <w:sz w:val="20"/>
        </w:rPr>
        <w:t>Artículo</w:t>
      </w:r>
      <w:r>
        <w:rPr>
          <w:rFonts w:ascii="Arial" w:hAnsi="Arial"/>
          <w:b/>
          <w:spacing w:val="-2"/>
          <w:sz w:val="20"/>
        </w:rPr>
        <w:t xml:space="preserve"> </w:t>
      </w:r>
      <w:r>
        <w:rPr>
          <w:rFonts w:ascii="Arial" w:hAnsi="Arial"/>
          <w:b/>
          <w:sz w:val="20"/>
        </w:rPr>
        <w:t>283.</w:t>
      </w:r>
      <w:r>
        <w:rPr>
          <w:rFonts w:ascii="Arial" w:hAnsi="Arial"/>
          <w:b/>
          <w:spacing w:val="51"/>
          <w:sz w:val="20"/>
        </w:rPr>
        <w:t xml:space="preserve"> </w:t>
      </w:r>
      <w:r>
        <w:rPr>
          <w:rFonts w:ascii="Arial" w:hAnsi="Arial"/>
          <w:i/>
          <w:sz w:val="20"/>
        </w:rPr>
        <w:t>Destino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1"/>
          <w:sz w:val="20"/>
        </w:rPr>
        <w:t xml:space="preserve"> </w:t>
      </w:r>
      <w:r>
        <w:rPr>
          <w:rFonts w:ascii="Arial" w:hAnsi="Arial"/>
          <w:i/>
          <w:sz w:val="20"/>
        </w:rPr>
        <w:t>obras</w:t>
      </w:r>
      <w:r>
        <w:rPr>
          <w:rFonts w:ascii="Arial" w:hAnsi="Arial"/>
          <w:i/>
          <w:spacing w:val="-2"/>
          <w:sz w:val="20"/>
        </w:rPr>
        <w:t xml:space="preserve"> </w:t>
      </w:r>
      <w:r>
        <w:rPr>
          <w:rFonts w:ascii="Arial" w:hAnsi="Arial"/>
          <w:i/>
          <w:sz w:val="20"/>
        </w:rPr>
        <w:t>a</w:t>
      </w:r>
      <w:r>
        <w:rPr>
          <w:rFonts w:ascii="Arial" w:hAnsi="Arial"/>
          <w:i/>
          <w:spacing w:val="-1"/>
          <w:sz w:val="20"/>
        </w:rPr>
        <w:t xml:space="preserve"> </w:t>
      </w:r>
      <w:r>
        <w:rPr>
          <w:rFonts w:ascii="Arial" w:hAnsi="Arial"/>
          <w:i/>
          <w:sz w:val="20"/>
        </w:rPr>
        <w:t>la</w:t>
      </w:r>
      <w:r>
        <w:rPr>
          <w:rFonts w:ascii="Arial" w:hAnsi="Arial"/>
          <w:i/>
          <w:spacing w:val="-2"/>
          <w:sz w:val="20"/>
        </w:rPr>
        <w:t xml:space="preserve"> </w:t>
      </w:r>
      <w:r>
        <w:rPr>
          <w:rFonts w:ascii="Arial" w:hAnsi="Arial"/>
          <w:i/>
          <w:sz w:val="20"/>
        </w:rPr>
        <w:t>extinción</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concesión.</w:t>
      </w:r>
    </w:p>
    <w:p w:rsidR="0092635B" w:rsidRDefault="00000000">
      <w:pPr>
        <w:pStyle w:val="Prrafodelista"/>
        <w:numPr>
          <w:ilvl w:val="0"/>
          <w:numId w:val="108"/>
        </w:numPr>
        <w:tabs>
          <w:tab w:val="left" w:pos="1669"/>
        </w:tabs>
        <w:spacing w:before="124" w:line="249" w:lineRule="auto"/>
        <w:ind w:right="1104" w:firstLine="340"/>
        <w:jc w:val="both"/>
        <w:rPr>
          <w:sz w:val="20"/>
        </w:rPr>
      </w:pPr>
      <w:r>
        <w:rPr>
          <w:sz w:val="20"/>
        </w:rPr>
        <w:t>El</w:t>
      </w:r>
      <w:r>
        <w:rPr>
          <w:spacing w:val="-2"/>
          <w:sz w:val="20"/>
        </w:rPr>
        <w:t xml:space="preserve"> </w:t>
      </w:r>
      <w:r>
        <w:rPr>
          <w:sz w:val="20"/>
        </w:rPr>
        <w:t>concesionario</w:t>
      </w:r>
      <w:r>
        <w:rPr>
          <w:spacing w:val="-2"/>
          <w:sz w:val="20"/>
        </w:rPr>
        <w:t xml:space="preserve"> </w:t>
      </w:r>
      <w:r>
        <w:rPr>
          <w:sz w:val="20"/>
        </w:rPr>
        <w:t>quedará</w:t>
      </w:r>
      <w:r>
        <w:rPr>
          <w:spacing w:val="-2"/>
          <w:sz w:val="20"/>
        </w:rPr>
        <w:t xml:space="preserve"> </w:t>
      </w:r>
      <w:r>
        <w:rPr>
          <w:sz w:val="20"/>
        </w:rPr>
        <w:t>obligado</w:t>
      </w:r>
      <w:r>
        <w:rPr>
          <w:spacing w:val="-2"/>
          <w:sz w:val="20"/>
        </w:rPr>
        <w:t xml:space="preserve"> </w:t>
      </w:r>
      <w:r>
        <w:rPr>
          <w:sz w:val="20"/>
        </w:rPr>
        <w:t>a</w:t>
      </w:r>
      <w:r>
        <w:rPr>
          <w:spacing w:val="-2"/>
          <w:sz w:val="20"/>
        </w:rPr>
        <w:t xml:space="preserve"> </w:t>
      </w:r>
      <w:r>
        <w:rPr>
          <w:sz w:val="20"/>
        </w:rPr>
        <w:t>hacer</w:t>
      </w:r>
      <w:r>
        <w:rPr>
          <w:spacing w:val="-2"/>
          <w:sz w:val="20"/>
        </w:rPr>
        <w:t xml:space="preserve"> </w:t>
      </w:r>
      <w:r>
        <w:rPr>
          <w:sz w:val="20"/>
        </w:rPr>
        <w:t>entrega</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concedente,</w:t>
      </w:r>
      <w:r>
        <w:rPr>
          <w:spacing w:val="-2"/>
          <w:sz w:val="20"/>
        </w:rPr>
        <w:t xml:space="preserve"> </w:t>
      </w:r>
      <w:r>
        <w:rPr>
          <w:sz w:val="20"/>
        </w:rPr>
        <w:t>en buen estado de conservación y uso, de las obras incluidas en la concesión, así como de los bienes e instalaciones necesarios para su explotación y de los bienes e instalaciones incluidos</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zona</w:t>
      </w:r>
      <w:r>
        <w:rPr>
          <w:spacing w:val="-1"/>
          <w:sz w:val="20"/>
        </w:rPr>
        <w:t xml:space="preserve"> </w:t>
      </w:r>
      <w:r>
        <w:rPr>
          <w:sz w:val="20"/>
        </w:rPr>
        <w:t>de</w:t>
      </w:r>
      <w:r>
        <w:rPr>
          <w:spacing w:val="-1"/>
          <w:sz w:val="20"/>
        </w:rPr>
        <w:t xml:space="preserve"> </w:t>
      </w:r>
      <w:r>
        <w:rPr>
          <w:sz w:val="20"/>
        </w:rPr>
        <w:t>explotación</w:t>
      </w:r>
      <w:r>
        <w:rPr>
          <w:spacing w:val="-1"/>
          <w:sz w:val="20"/>
        </w:rPr>
        <w:t xml:space="preserve"> </w:t>
      </w:r>
      <w:r>
        <w:rPr>
          <w:sz w:val="20"/>
        </w:rPr>
        <w:t>comercial,</w:t>
      </w:r>
      <w:r>
        <w:rPr>
          <w:spacing w:val="-1"/>
          <w:sz w:val="20"/>
        </w:rPr>
        <w:t xml:space="preserve"> </w:t>
      </w:r>
      <w:r>
        <w:rPr>
          <w:sz w:val="20"/>
        </w:rPr>
        <w:t>si</w:t>
      </w:r>
      <w:r>
        <w:rPr>
          <w:spacing w:val="-1"/>
          <w:sz w:val="20"/>
        </w:rPr>
        <w:t xml:space="preserve"> </w:t>
      </w:r>
      <w:r>
        <w:rPr>
          <w:sz w:val="20"/>
        </w:rPr>
        <w:t>la</w:t>
      </w:r>
      <w:r>
        <w:rPr>
          <w:spacing w:val="-1"/>
          <w:sz w:val="20"/>
        </w:rPr>
        <w:t xml:space="preserve"> </w:t>
      </w:r>
      <w:r>
        <w:rPr>
          <w:sz w:val="20"/>
        </w:rPr>
        <w:t>hubiera,</w:t>
      </w:r>
      <w:r>
        <w:rPr>
          <w:spacing w:val="-1"/>
          <w:sz w:val="20"/>
        </w:rPr>
        <w:t xml:space="preserve"> </w:t>
      </w:r>
      <w:r>
        <w:rPr>
          <w:sz w:val="20"/>
        </w:rPr>
        <w:t>de</w:t>
      </w:r>
      <w:r>
        <w:rPr>
          <w:spacing w:val="-1"/>
          <w:sz w:val="20"/>
        </w:rPr>
        <w:t xml:space="preserve"> </w:t>
      </w:r>
      <w:r>
        <w:rPr>
          <w:sz w:val="20"/>
        </w:rPr>
        <w:t>acuerdo</w:t>
      </w:r>
      <w:r>
        <w:rPr>
          <w:spacing w:val="-1"/>
          <w:sz w:val="20"/>
        </w:rPr>
        <w:t xml:space="preserve"> </w:t>
      </w:r>
      <w:r>
        <w:rPr>
          <w:sz w:val="20"/>
        </w:rPr>
        <w:t>con</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 el contrato, todo lo cual quedará reflejado en el acta de recepción.</w:t>
      </w:r>
    </w:p>
    <w:p w:rsidR="0092635B" w:rsidRDefault="00000000">
      <w:pPr>
        <w:pStyle w:val="Textoindependiente"/>
        <w:spacing w:before="4" w:line="249" w:lineRule="auto"/>
        <w:ind w:right="1104"/>
      </w:pPr>
      <w:r>
        <w:t>Cuando se proceda al término de la concesión a la entrega de bienes e instalaciones al órgano de contratación, se levantará un acta de recepción formal. El levantamiento de este acta y su contenido se ajustarán a lo establecido en el artículo 243 de esta Ley.</w:t>
      </w:r>
    </w:p>
    <w:p w:rsidR="0092635B" w:rsidRDefault="00000000">
      <w:pPr>
        <w:pStyle w:val="Prrafodelista"/>
        <w:numPr>
          <w:ilvl w:val="0"/>
          <w:numId w:val="108"/>
        </w:numPr>
        <w:tabs>
          <w:tab w:val="left" w:pos="1708"/>
        </w:tabs>
        <w:spacing w:line="249" w:lineRule="auto"/>
        <w:ind w:right="1101" w:firstLine="340"/>
        <w:jc w:val="both"/>
        <w:rPr>
          <w:sz w:val="20"/>
        </w:rPr>
      </w:pPr>
      <w:r>
        <w:rPr>
          <w:sz w:val="20"/>
        </w:rPr>
        <w:t>No obstante, los pliegos podrán prever que, a la extinción de la concesión, estas obras, bienes e instalaciones, o algunos de ellos, deban ser demolidos por el concesionario, reponiendo los bienes sobre los que se asientan al estado en que se encontraban antes de su construcción.</w:t>
      </w:r>
    </w:p>
    <w:p w:rsidR="0092635B" w:rsidRDefault="00000000">
      <w:pPr>
        <w:pStyle w:val="Prrafodelista"/>
        <w:numPr>
          <w:ilvl w:val="0"/>
          <w:numId w:val="108"/>
        </w:numPr>
        <w:tabs>
          <w:tab w:val="left" w:pos="1680"/>
        </w:tabs>
        <w:spacing w:before="4" w:line="249" w:lineRule="auto"/>
        <w:ind w:firstLine="340"/>
        <w:jc w:val="both"/>
        <w:rPr>
          <w:sz w:val="20"/>
        </w:rPr>
      </w:pPr>
      <w:r>
        <w:rPr>
          <w:sz w:val="20"/>
        </w:rPr>
        <w:t>Los bienes afectos a la concesión que vayan a revertir a la Administración no podrán ser objeto de embargo.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454" w:name="CAPÍTULO_III._Del_contrato_de_concesión_"/>
      <w:bookmarkStart w:id="455" w:name="_bookmark87"/>
      <w:bookmarkEnd w:id="454"/>
      <w:bookmarkEnd w:id="455"/>
      <w:r>
        <w:t xml:space="preserve">CAPÍTULO </w:t>
      </w:r>
      <w:r>
        <w:rPr>
          <w:spacing w:val="-5"/>
        </w:rPr>
        <w:t>III</w:t>
      </w:r>
    </w:p>
    <w:p w:rsidR="0092635B" w:rsidRDefault="00000000">
      <w:pPr>
        <w:pStyle w:val="Ttulo2"/>
      </w:pPr>
      <w:r>
        <w:t>Del</w:t>
      </w:r>
      <w:r>
        <w:rPr>
          <w:spacing w:val="-1"/>
        </w:rPr>
        <w:t xml:space="preserve"> </w:t>
      </w:r>
      <w:r>
        <w:t>contrato de</w:t>
      </w:r>
      <w:r>
        <w:rPr>
          <w:spacing w:val="-1"/>
        </w:rPr>
        <w:t xml:space="preserve"> </w:t>
      </w:r>
      <w:r>
        <w:t xml:space="preserve">concesión de </w:t>
      </w:r>
      <w:r>
        <w:rPr>
          <w:spacing w:val="-2"/>
        </w:rPr>
        <w:t>servicios</w:t>
      </w:r>
    </w:p>
    <w:p w:rsidR="0092635B" w:rsidRDefault="0092635B">
      <w:pPr>
        <w:pStyle w:val="Textoindependiente"/>
        <w:spacing w:before="7"/>
        <w:ind w:left="0" w:firstLine="0"/>
        <w:jc w:val="left"/>
        <w:rPr>
          <w:rFonts w:ascii="Arial"/>
          <w:b/>
        </w:rPr>
      </w:pPr>
    </w:p>
    <w:p w:rsidR="0092635B" w:rsidRDefault="00000000">
      <w:pPr>
        <w:pStyle w:val="Ttulo3"/>
        <w:ind w:left="1"/>
      </w:pPr>
      <w:bookmarkStart w:id="456" w:name="Sección_1.ª_Delimitación_del_contrato_de"/>
      <w:bookmarkStart w:id="457" w:name="_bookmark88"/>
      <w:bookmarkEnd w:id="456"/>
      <w:bookmarkEnd w:id="457"/>
      <w:r>
        <w:t>Sección</w:t>
      </w:r>
      <w:r>
        <w:rPr>
          <w:spacing w:val="-1"/>
        </w:rPr>
        <w:t xml:space="preserve"> </w:t>
      </w:r>
      <w:r>
        <w:t>1.ª Delimitación</w:t>
      </w:r>
      <w:r>
        <w:rPr>
          <w:spacing w:val="-1"/>
        </w:rPr>
        <w:t xml:space="preserve"> </w:t>
      </w:r>
      <w:r>
        <w:t>del contrato</w:t>
      </w:r>
      <w:r>
        <w:rPr>
          <w:spacing w:val="-1"/>
        </w:rPr>
        <w:t xml:space="preserve"> </w:t>
      </w:r>
      <w:r>
        <w:t>de concesión</w:t>
      </w:r>
      <w:r>
        <w:rPr>
          <w:spacing w:val="-1"/>
        </w:rPr>
        <w:t xml:space="preserve"> </w:t>
      </w:r>
      <w:r>
        <w:t xml:space="preserve">de </w:t>
      </w:r>
      <w:r>
        <w:rPr>
          <w:spacing w:val="-2"/>
        </w:rPr>
        <w:t>servicios</w:t>
      </w:r>
    </w:p>
    <w:p w:rsidR="0092635B" w:rsidRDefault="0092635B">
      <w:pPr>
        <w:pStyle w:val="Textoindependiente"/>
        <w:spacing w:before="6"/>
        <w:ind w:left="0" w:firstLine="0"/>
        <w:jc w:val="left"/>
        <w:rPr>
          <w:rFonts w:ascii="Arial"/>
          <w:b/>
          <w:i/>
        </w:rPr>
      </w:pPr>
    </w:p>
    <w:p w:rsidR="0092635B" w:rsidRDefault="00000000">
      <w:pPr>
        <w:spacing w:before="1"/>
        <w:ind w:left="851" w:right="3945"/>
        <w:jc w:val="right"/>
        <w:rPr>
          <w:rFonts w:ascii="Arial" w:hAnsi="Arial"/>
          <w:i/>
          <w:sz w:val="20"/>
        </w:rPr>
      </w:pPr>
      <w:bookmarkStart w:id="458" w:name="Artículo_284._Ámbito_del_contrato_de_con"/>
      <w:bookmarkEnd w:id="458"/>
      <w:r>
        <w:rPr>
          <w:rFonts w:ascii="Arial" w:hAnsi="Arial"/>
          <w:b/>
          <w:sz w:val="20"/>
        </w:rPr>
        <w:t>Artículo</w:t>
      </w:r>
      <w:r>
        <w:rPr>
          <w:rFonts w:ascii="Arial" w:hAnsi="Arial"/>
          <w:b/>
          <w:spacing w:val="-3"/>
          <w:sz w:val="20"/>
        </w:rPr>
        <w:t xml:space="preserve"> </w:t>
      </w:r>
      <w:r>
        <w:rPr>
          <w:rFonts w:ascii="Arial" w:hAnsi="Arial"/>
          <w:b/>
          <w:sz w:val="20"/>
        </w:rPr>
        <w:t>284.</w:t>
      </w:r>
      <w:r>
        <w:rPr>
          <w:rFonts w:ascii="Arial" w:hAnsi="Arial"/>
          <w:b/>
          <w:spacing w:val="49"/>
          <w:sz w:val="20"/>
        </w:rPr>
        <w:t xml:space="preserve"> </w:t>
      </w:r>
      <w:r>
        <w:rPr>
          <w:rFonts w:ascii="Arial" w:hAnsi="Arial"/>
          <w:i/>
          <w:sz w:val="20"/>
        </w:rPr>
        <w:t>Ãmbito</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contrato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concesión</w:t>
      </w:r>
      <w:r>
        <w:rPr>
          <w:rFonts w:ascii="Arial" w:hAnsi="Arial"/>
          <w:i/>
          <w:spacing w:val="-3"/>
          <w:sz w:val="20"/>
        </w:rPr>
        <w:t xml:space="preserve"> </w:t>
      </w:r>
      <w:r>
        <w:rPr>
          <w:rFonts w:ascii="Arial" w:hAnsi="Arial"/>
          <w:i/>
          <w:sz w:val="20"/>
        </w:rPr>
        <w:t>de</w:t>
      </w:r>
      <w:r>
        <w:rPr>
          <w:rFonts w:ascii="Arial" w:hAnsi="Arial"/>
          <w:i/>
          <w:spacing w:val="-2"/>
          <w:sz w:val="20"/>
        </w:rPr>
        <w:t xml:space="preserve"> servicios.</w:t>
      </w:r>
    </w:p>
    <w:p w:rsidR="0092635B" w:rsidRDefault="00000000">
      <w:pPr>
        <w:pStyle w:val="Prrafodelista"/>
        <w:numPr>
          <w:ilvl w:val="0"/>
          <w:numId w:val="107"/>
        </w:numPr>
        <w:tabs>
          <w:tab w:val="left" w:pos="1676"/>
        </w:tabs>
        <w:spacing w:before="123" w:line="249" w:lineRule="auto"/>
        <w:ind w:right="1104" w:firstLine="340"/>
        <w:jc w:val="both"/>
        <w:rPr>
          <w:sz w:val="20"/>
        </w:rPr>
      </w:pPr>
      <w:r>
        <w:rPr>
          <w:sz w:val="20"/>
        </w:rPr>
        <w:t xml:space="preserve">La Administración podrá gestionar indirectamente, mediante contrato de concesión de servicios, los servicios de su titularidad o competencia siempre que sean susceptibles de explotación económica por particulares. En ningún caso podrán prestarse mediante concesión de servicios los que impliquen ejercicio de la autoridad inherente a los poderes </w:t>
      </w:r>
      <w:r>
        <w:rPr>
          <w:spacing w:val="-2"/>
          <w:sz w:val="20"/>
        </w:rPr>
        <w:t>públicos.</w:t>
      </w:r>
    </w:p>
    <w:p w:rsidR="0092635B" w:rsidRDefault="00000000">
      <w:pPr>
        <w:pStyle w:val="Prrafodelista"/>
        <w:numPr>
          <w:ilvl w:val="0"/>
          <w:numId w:val="107"/>
        </w:numPr>
        <w:tabs>
          <w:tab w:val="left" w:pos="1689"/>
        </w:tabs>
        <w:spacing w:before="4" w:line="249" w:lineRule="auto"/>
        <w:ind w:right="1104" w:firstLine="340"/>
        <w:jc w:val="both"/>
        <w:rPr>
          <w:sz w:val="20"/>
        </w:rPr>
      </w:pPr>
      <w:r>
        <w:rPr>
          <w:sz w:val="20"/>
        </w:rPr>
        <w:t>Antes de proceder a la contratación de una concesión de servicios, en los casos en que se trate de servicios públicos, deberá haberse establecido su régimen jurídico, que declare expresamente que la actividad de que se trata queda asumida por la Administración respectiva como propia de la misma, determine el alcance de las prestaciones en favor de</w:t>
      </w:r>
      <w:r>
        <w:rPr>
          <w:spacing w:val="40"/>
          <w:sz w:val="20"/>
        </w:rPr>
        <w:t xml:space="preserve"> </w:t>
      </w:r>
      <w:r>
        <w:rPr>
          <w:sz w:val="20"/>
        </w:rPr>
        <w:t>los administrados, y regule los aspectos de carácter jurídico, económico y administrativo relativos a la prestación del servicio.</w:t>
      </w:r>
    </w:p>
    <w:p w:rsidR="0092635B" w:rsidRDefault="00000000">
      <w:pPr>
        <w:pStyle w:val="Prrafodelista"/>
        <w:numPr>
          <w:ilvl w:val="0"/>
          <w:numId w:val="107"/>
        </w:numPr>
        <w:tabs>
          <w:tab w:val="left" w:pos="1668"/>
        </w:tabs>
        <w:spacing w:before="5" w:line="249" w:lineRule="auto"/>
        <w:ind w:right="1104" w:firstLine="340"/>
        <w:jc w:val="both"/>
        <w:rPr>
          <w:sz w:val="20"/>
        </w:rPr>
      </w:pPr>
      <w:r>
        <w:rPr>
          <w:sz w:val="20"/>
        </w:rPr>
        <w:t>El</w:t>
      </w:r>
      <w:r>
        <w:rPr>
          <w:spacing w:val="-2"/>
          <w:sz w:val="20"/>
        </w:rPr>
        <w:t xml:space="preserve"> </w:t>
      </w:r>
      <w:r>
        <w:rPr>
          <w:sz w:val="20"/>
        </w:rPr>
        <w:t>contrato</w:t>
      </w:r>
      <w:r>
        <w:rPr>
          <w:spacing w:val="-2"/>
          <w:sz w:val="20"/>
        </w:rPr>
        <w:t xml:space="preserve"> </w:t>
      </w:r>
      <w:r>
        <w:rPr>
          <w:sz w:val="20"/>
        </w:rPr>
        <w:t>expresará</w:t>
      </w:r>
      <w:r>
        <w:rPr>
          <w:spacing w:val="-2"/>
          <w:sz w:val="20"/>
        </w:rPr>
        <w:t xml:space="preserve"> </w:t>
      </w:r>
      <w:r>
        <w:rPr>
          <w:sz w:val="20"/>
        </w:rPr>
        <w:t>con</w:t>
      </w:r>
      <w:r>
        <w:rPr>
          <w:spacing w:val="-2"/>
          <w:sz w:val="20"/>
        </w:rPr>
        <w:t xml:space="preserve"> </w:t>
      </w:r>
      <w:r>
        <w:rPr>
          <w:sz w:val="20"/>
        </w:rPr>
        <w:t>claridad,</w:t>
      </w:r>
      <w:r>
        <w:rPr>
          <w:spacing w:val="-2"/>
          <w:sz w:val="20"/>
        </w:rPr>
        <w:t xml:space="preserve"> </w:t>
      </w:r>
      <w:r>
        <w:rPr>
          <w:sz w:val="20"/>
        </w:rPr>
        <w:t>en</w:t>
      </w:r>
      <w:r>
        <w:rPr>
          <w:spacing w:val="-2"/>
          <w:sz w:val="20"/>
        </w:rPr>
        <w:t xml:space="preserve"> </w:t>
      </w:r>
      <w:r>
        <w:rPr>
          <w:sz w:val="20"/>
        </w:rPr>
        <w:t>todo</w:t>
      </w:r>
      <w:r>
        <w:rPr>
          <w:spacing w:val="-2"/>
          <w:sz w:val="20"/>
        </w:rPr>
        <w:t xml:space="preserve"> </w:t>
      </w:r>
      <w:r>
        <w:rPr>
          <w:sz w:val="20"/>
        </w:rPr>
        <w:t>caso,</w:t>
      </w:r>
      <w:r>
        <w:rPr>
          <w:spacing w:val="-2"/>
          <w:sz w:val="20"/>
        </w:rPr>
        <w:t xml:space="preserve"> </w:t>
      </w:r>
      <w:r>
        <w:rPr>
          <w:sz w:val="20"/>
        </w:rPr>
        <w:t>el</w:t>
      </w:r>
      <w:r>
        <w:rPr>
          <w:spacing w:val="-2"/>
          <w:sz w:val="20"/>
        </w:rPr>
        <w:t xml:space="preserve"> </w:t>
      </w:r>
      <w:r>
        <w:rPr>
          <w:sz w:val="20"/>
        </w:rPr>
        <w:t>ámbito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concesión,</w:t>
      </w:r>
      <w:r>
        <w:rPr>
          <w:spacing w:val="-2"/>
          <w:sz w:val="20"/>
        </w:rPr>
        <w:t xml:space="preserve"> </w:t>
      </w:r>
      <w:r>
        <w:rPr>
          <w:sz w:val="20"/>
        </w:rPr>
        <w:t>tanto</w:t>
      </w:r>
      <w:r>
        <w:rPr>
          <w:spacing w:val="-2"/>
          <w:sz w:val="20"/>
        </w:rPr>
        <w:t xml:space="preserve"> </w:t>
      </w:r>
      <w:r>
        <w:rPr>
          <w:sz w:val="20"/>
        </w:rPr>
        <w:t>en</w:t>
      </w:r>
      <w:r>
        <w:rPr>
          <w:spacing w:val="-2"/>
          <w:sz w:val="20"/>
        </w:rPr>
        <w:t xml:space="preserve"> </w:t>
      </w:r>
      <w:r>
        <w:rPr>
          <w:sz w:val="20"/>
        </w:rPr>
        <w:t>el orden funcional, como en el territorial.</w:t>
      </w:r>
    </w:p>
    <w:p w:rsidR="0092635B" w:rsidRDefault="00000000">
      <w:pPr>
        <w:pStyle w:val="Ttulo3"/>
        <w:spacing w:before="229"/>
        <w:ind w:left="851" w:right="3871"/>
        <w:jc w:val="right"/>
      </w:pPr>
      <w:bookmarkStart w:id="459" w:name="Sección_2.ª_Régimen_jurídico"/>
      <w:bookmarkStart w:id="460" w:name="_bookmark89"/>
      <w:bookmarkEnd w:id="459"/>
      <w:bookmarkEnd w:id="460"/>
      <w:r>
        <w:t>Sección</w:t>
      </w:r>
      <w:r>
        <w:rPr>
          <w:spacing w:val="-1"/>
        </w:rPr>
        <w:t xml:space="preserve"> </w:t>
      </w:r>
      <w:r>
        <w:t>2.ª</w:t>
      </w:r>
      <w:r>
        <w:rPr>
          <w:spacing w:val="-1"/>
        </w:rPr>
        <w:t xml:space="preserve"> </w:t>
      </w:r>
      <w:r>
        <w:t xml:space="preserve">Régimen </w:t>
      </w:r>
      <w:r>
        <w:rPr>
          <w:spacing w:val="-2"/>
        </w:rPr>
        <w:t>jurídico</w:t>
      </w:r>
    </w:p>
    <w:p w:rsidR="0092635B" w:rsidRDefault="0092635B">
      <w:pPr>
        <w:pStyle w:val="Textoindependiente"/>
        <w:spacing w:before="63"/>
        <w:ind w:left="0" w:firstLine="0"/>
        <w:jc w:val="left"/>
        <w:rPr>
          <w:rFonts w:ascii="Arial"/>
          <w:b/>
          <w:i/>
        </w:rPr>
      </w:pPr>
    </w:p>
    <w:p w:rsidR="0092635B" w:rsidRDefault="00000000">
      <w:pPr>
        <w:pStyle w:val="Textoindependiente"/>
        <w:spacing w:before="0"/>
        <w:ind w:left="0" w:right="1" w:firstLine="0"/>
        <w:jc w:val="center"/>
      </w:pPr>
      <w:bookmarkStart w:id="461" w:name="Subsección_1.ª_Actuaciones_preparatorias"/>
      <w:bookmarkStart w:id="462" w:name="_bookmark90"/>
      <w:bookmarkEnd w:id="461"/>
      <w:bookmarkEnd w:id="462"/>
      <w:r>
        <w:t>Subsección</w:t>
      </w:r>
      <w:r>
        <w:rPr>
          <w:spacing w:val="-4"/>
        </w:rPr>
        <w:t xml:space="preserve"> </w:t>
      </w:r>
      <w:r>
        <w:t>1.ª</w:t>
      </w:r>
      <w:r>
        <w:rPr>
          <w:spacing w:val="-3"/>
        </w:rPr>
        <w:t xml:space="preserve"> </w:t>
      </w:r>
      <w:r>
        <w:t>Actuaciones</w:t>
      </w:r>
      <w:r>
        <w:rPr>
          <w:spacing w:val="-3"/>
        </w:rPr>
        <w:t xml:space="preserve"> </w:t>
      </w:r>
      <w:r>
        <w:t>preparatorias</w:t>
      </w:r>
      <w:r>
        <w:rPr>
          <w:spacing w:val="-4"/>
        </w:rPr>
        <w:t xml:space="preserve"> </w:t>
      </w:r>
      <w:r>
        <w:t>del</w:t>
      </w:r>
      <w:r>
        <w:rPr>
          <w:spacing w:val="-3"/>
        </w:rPr>
        <w:t xml:space="preserve"> </w:t>
      </w:r>
      <w:r>
        <w:t>contrato</w:t>
      </w:r>
      <w:r>
        <w:rPr>
          <w:spacing w:val="-3"/>
        </w:rPr>
        <w:t xml:space="preserve"> </w:t>
      </w:r>
      <w:r>
        <w:t>de</w:t>
      </w:r>
      <w:r>
        <w:rPr>
          <w:spacing w:val="-4"/>
        </w:rPr>
        <w:t xml:space="preserve"> </w:t>
      </w:r>
      <w:r>
        <w:t>concesión</w:t>
      </w:r>
      <w:r>
        <w:rPr>
          <w:spacing w:val="-3"/>
        </w:rPr>
        <w:t xml:space="preserve"> </w:t>
      </w:r>
      <w:r>
        <w:t>de</w:t>
      </w:r>
      <w:r>
        <w:rPr>
          <w:spacing w:val="-3"/>
        </w:rPr>
        <w:t xml:space="preserve"> </w:t>
      </w:r>
      <w:r>
        <w:rPr>
          <w:spacing w:val="-2"/>
        </w:rPr>
        <w:t>servicios</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463" w:name="Artículo_285._Pliegos_y_anteproyecto_de_"/>
      <w:bookmarkEnd w:id="463"/>
      <w:r>
        <w:rPr>
          <w:rFonts w:ascii="Arial" w:hAnsi="Arial"/>
          <w:b/>
          <w:sz w:val="20"/>
        </w:rPr>
        <w:t>Artículo</w:t>
      </w:r>
      <w:r>
        <w:rPr>
          <w:rFonts w:ascii="Arial" w:hAnsi="Arial"/>
          <w:b/>
          <w:spacing w:val="-2"/>
          <w:sz w:val="20"/>
        </w:rPr>
        <w:t xml:space="preserve"> </w:t>
      </w:r>
      <w:r>
        <w:rPr>
          <w:rFonts w:ascii="Arial" w:hAnsi="Arial"/>
          <w:b/>
          <w:sz w:val="20"/>
        </w:rPr>
        <w:t>285.</w:t>
      </w:r>
      <w:r>
        <w:rPr>
          <w:rFonts w:ascii="Arial" w:hAnsi="Arial"/>
          <w:b/>
          <w:spacing w:val="51"/>
          <w:sz w:val="20"/>
        </w:rPr>
        <w:t xml:space="preserve"> </w:t>
      </w:r>
      <w:r>
        <w:rPr>
          <w:rFonts w:ascii="Arial" w:hAnsi="Arial"/>
          <w:i/>
          <w:sz w:val="20"/>
        </w:rPr>
        <w:t>Pliegos</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anteproyecto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obra</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explotación.</w:t>
      </w:r>
    </w:p>
    <w:p w:rsidR="0092635B" w:rsidRDefault="00000000">
      <w:pPr>
        <w:pStyle w:val="Prrafodelista"/>
        <w:numPr>
          <w:ilvl w:val="0"/>
          <w:numId w:val="106"/>
        </w:numPr>
        <w:tabs>
          <w:tab w:val="left" w:pos="1716"/>
        </w:tabs>
        <w:spacing w:before="123" w:line="249" w:lineRule="auto"/>
        <w:ind w:right="1104" w:firstLine="340"/>
        <w:jc w:val="both"/>
        <w:rPr>
          <w:sz w:val="20"/>
        </w:rPr>
      </w:pPr>
      <w:r>
        <w:rPr>
          <w:sz w:val="20"/>
        </w:rPr>
        <w:t>Los pliegos de cláusulas administrativas particulares y de prescripciones técnicas deberán hacer referencia, al menos, a los siguientes aspectos:</w:t>
      </w:r>
    </w:p>
    <w:p w:rsidR="0092635B" w:rsidRDefault="00000000">
      <w:pPr>
        <w:pStyle w:val="Prrafodelista"/>
        <w:numPr>
          <w:ilvl w:val="1"/>
          <w:numId w:val="106"/>
        </w:numPr>
        <w:tabs>
          <w:tab w:val="left" w:pos="1690"/>
        </w:tabs>
        <w:spacing w:before="122" w:line="249" w:lineRule="auto"/>
        <w:ind w:right="1105" w:firstLine="340"/>
        <w:jc w:val="both"/>
        <w:rPr>
          <w:sz w:val="20"/>
        </w:rPr>
      </w:pPr>
      <w:r>
        <w:rPr>
          <w:sz w:val="20"/>
        </w:rPr>
        <w:t>Definirán el objeto del contrato, debiendo prever la realización independiente de cada una de sus partes mediante su división en lotes, sin merma de la eficacia de la prestación,</w:t>
      </w:r>
      <w:r>
        <w:rPr>
          <w:spacing w:val="80"/>
          <w:sz w:val="20"/>
        </w:rPr>
        <w:t xml:space="preserve"> </w:t>
      </w:r>
      <w:r>
        <w:rPr>
          <w:sz w:val="20"/>
        </w:rPr>
        <w:t xml:space="preserve">de acuerdo con lo dispuesto en el artículo 99.3, con la finalidad de promover la libre </w:t>
      </w:r>
      <w:r>
        <w:rPr>
          <w:spacing w:val="-2"/>
          <w:sz w:val="20"/>
        </w:rPr>
        <w:t>concurrencia.</w:t>
      </w:r>
    </w:p>
    <w:p w:rsidR="0092635B" w:rsidRDefault="00000000">
      <w:pPr>
        <w:pStyle w:val="Prrafodelista"/>
        <w:numPr>
          <w:ilvl w:val="1"/>
          <w:numId w:val="106"/>
        </w:numPr>
        <w:tabs>
          <w:tab w:val="left" w:pos="1691"/>
        </w:tabs>
        <w:spacing w:before="3" w:line="249" w:lineRule="auto"/>
        <w:ind w:right="1105" w:firstLine="340"/>
        <w:jc w:val="both"/>
        <w:rPr>
          <w:sz w:val="20"/>
        </w:rPr>
      </w:pPr>
      <w:r>
        <w:rPr>
          <w:sz w:val="20"/>
        </w:rPr>
        <w:t>Fijarán las condiciones de prestación del servicio y, en su caso, fijarán las tarifas que hubieren de abonar los usuarios, los procedimientos para su revisión, y el canon o participación que hubiera de satisfacerse a la Administración. En cuanto a la revisión de tarifas, los pliegos de cláusulas administrativas deberán ajustarse a lo previsto en el Capítulo II, del Título III, del Libro Primero.</w:t>
      </w:r>
    </w:p>
    <w:p w:rsidR="0092635B" w:rsidRDefault="00000000">
      <w:pPr>
        <w:pStyle w:val="Prrafodelista"/>
        <w:numPr>
          <w:ilvl w:val="1"/>
          <w:numId w:val="106"/>
        </w:numPr>
        <w:tabs>
          <w:tab w:val="left" w:pos="1669"/>
        </w:tabs>
        <w:spacing w:before="4" w:line="249" w:lineRule="auto"/>
        <w:ind w:firstLine="340"/>
        <w:jc w:val="both"/>
        <w:rPr>
          <w:sz w:val="20"/>
        </w:rPr>
      </w:pPr>
      <w:r>
        <w:rPr>
          <w:sz w:val="20"/>
        </w:rPr>
        <w:t>Regularán</w:t>
      </w:r>
      <w:r>
        <w:rPr>
          <w:spacing w:val="-2"/>
          <w:sz w:val="20"/>
        </w:rPr>
        <w:t xml:space="preserve"> </w:t>
      </w:r>
      <w:r>
        <w:rPr>
          <w:sz w:val="20"/>
        </w:rPr>
        <w:t>también</w:t>
      </w:r>
      <w:r>
        <w:rPr>
          <w:spacing w:val="-2"/>
          <w:sz w:val="20"/>
        </w:rPr>
        <w:t xml:space="preserve"> </w:t>
      </w:r>
      <w:r>
        <w:rPr>
          <w:sz w:val="20"/>
        </w:rPr>
        <w:t>la</w:t>
      </w:r>
      <w:r>
        <w:rPr>
          <w:spacing w:val="-2"/>
          <w:sz w:val="20"/>
        </w:rPr>
        <w:t xml:space="preserve"> </w:t>
      </w:r>
      <w:r>
        <w:rPr>
          <w:sz w:val="20"/>
        </w:rPr>
        <w:t>distribución</w:t>
      </w:r>
      <w:r>
        <w:rPr>
          <w:spacing w:val="-2"/>
          <w:sz w:val="20"/>
        </w:rPr>
        <w:t xml:space="preserve"> </w:t>
      </w:r>
      <w:r>
        <w:rPr>
          <w:sz w:val="20"/>
        </w:rPr>
        <w:t>de</w:t>
      </w:r>
      <w:r>
        <w:rPr>
          <w:spacing w:val="-2"/>
          <w:sz w:val="20"/>
        </w:rPr>
        <w:t xml:space="preserve"> </w:t>
      </w:r>
      <w:r>
        <w:rPr>
          <w:sz w:val="20"/>
        </w:rPr>
        <w:t>riesgos</w:t>
      </w:r>
      <w:r>
        <w:rPr>
          <w:spacing w:val="-2"/>
          <w:sz w:val="20"/>
        </w:rPr>
        <w:t xml:space="preserve"> </w:t>
      </w:r>
      <w:r>
        <w:rPr>
          <w:sz w:val="20"/>
        </w:rPr>
        <w:t>entre</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y</w:t>
      </w:r>
      <w:r>
        <w:rPr>
          <w:spacing w:val="-2"/>
          <w:sz w:val="20"/>
        </w:rPr>
        <w:t xml:space="preserve"> </w:t>
      </w:r>
      <w:r>
        <w:rPr>
          <w:sz w:val="20"/>
        </w:rPr>
        <w:t>el</w:t>
      </w:r>
      <w:r>
        <w:rPr>
          <w:spacing w:val="-2"/>
          <w:sz w:val="20"/>
        </w:rPr>
        <w:t xml:space="preserve"> </w:t>
      </w:r>
      <w:r>
        <w:rPr>
          <w:sz w:val="20"/>
        </w:rPr>
        <w:t>concesionario en función de las características particulares del servicio, si bien en todo caso el riesgo operacional le corresponderá al contratista.</w:t>
      </w:r>
    </w:p>
    <w:p w:rsidR="0092635B" w:rsidRDefault="00000000">
      <w:pPr>
        <w:pStyle w:val="Prrafodelista"/>
        <w:numPr>
          <w:ilvl w:val="1"/>
          <w:numId w:val="106"/>
        </w:numPr>
        <w:tabs>
          <w:tab w:val="left" w:pos="1692"/>
        </w:tabs>
        <w:spacing w:before="3" w:line="249" w:lineRule="auto"/>
        <w:ind w:firstLine="340"/>
        <w:jc w:val="both"/>
        <w:rPr>
          <w:sz w:val="20"/>
        </w:rPr>
      </w:pPr>
      <w:r>
        <w:rPr>
          <w:sz w:val="20"/>
        </w:rPr>
        <w:t>Definirán los requisitos de capacidad y solvencia financiera, económica y técnica que sean exigibles a los licitadores, pudiendo fijarse distintos requisitos de solvencia en función de las diferentes fases del contrato de conformidad con lo dispuesto en el artículo 86.3, a los efectos de una posible cesión en los términos establecidos en el artículo 214.2.c).</w:t>
      </w:r>
    </w:p>
    <w:p w:rsidR="0092635B" w:rsidRDefault="00000000">
      <w:pPr>
        <w:pStyle w:val="Prrafodelista"/>
        <w:numPr>
          <w:ilvl w:val="1"/>
          <w:numId w:val="106"/>
        </w:numPr>
        <w:tabs>
          <w:tab w:val="left" w:pos="1745"/>
        </w:tabs>
        <w:spacing w:before="3" w:line="249" w:lineRule="auto"/>
        <w:ind w:firstLine="340"/>
        <w:jc w:val="both"/>
        <w:rPr>
          <w:sz w:val="20"/>
        </w:rPr>
      </w:pPr>
      <w:r>
        <w:rPr>
          <w:sz w:val="20"/>
        </w:rPr>
        <w:t>Preverán también la posibilidad de que se produzca la cesión del contrato de conformidad con lo previsto en el artículo 214, así como de las participaciones en la</w:t>
      </w:r>
      <w:r>
        <w:rPr>
          <w:spacing w:val="80"/>
          <w:sz w:val="20"/>
        </w:rPr>
        <w:t xml:space="preserve"> </w:t>
      </w:r>
      <w:r>
        <w:rPr>
          <w:sz w:val="20"/>
        </w:rPr>
        <w:t>sociedad concesionaria cuando se constituyera una sociedad de propósito específico por los licitadores para la ejecución del contrato. Asimismo, establecerán criterios para la determinación de cuándo la cesión de las participaciones deberá considerarse por suponer un</w:t>
      </w:r>
      <w:r>
        <w:rPr>
          <w:spacing w:val="-1"/>
          <w:sz w:val="20"/>
        </w:rPr>
        <w:t xml:space="preserve"> </w:t>
      </w:r>
      <w:r>
        <w:rPr>
          <w:sz w:val="20"/>
        </w:rPr>
        <w:t>efectivo</w:t>
      </w:r>
      <w:r>
        <w:rPr>
          <w:spacing w:val="-1"/>
          <w:sz w:val="20"/>
        </w:rPr>
        <w:t xml:space="preserve"> </w:t>
      </w:r>
      <w:r>
        <w:rPr>
          <w:sz w:val="20"/>
        </w:rPr>
        <w:t>cambio</w:t>
      </w:r>
      <w:r>
        <w:rPr>
          <w:spacing w:val="-2"/>
          <w:sz w:val="20"/>
        </w:rPr>
        <w:t xml:space="preserve"> </w:t>
      </w:r>
      <w:r>
        <w:rPr>
          <w:sz w:val="20"/>
        </w:rPr>
        <w:t>de</w:t>
      </w:r>
      <w:r>
        <w:rPr>
          <w:spacing w:val="-1"/>
          <w:sz w:val="20"/>
        </w:rPr>
        <w:t xml:space="preserve"> </w:t>
      </w:r>
      <w:r>
        <w:rPr>
          <w:sz w:val="20"/>
        </w:rPr>
        <w:t>control</w:t>
      </w:r>
      <w:r>
        <w:rPr>
          <w:spacing w:val="-1"/>
          <w:sz w:val="20"/>
        </w:rPr>
        <w:t xml:space="preserve"> </w:t>
      </w:r>
      <w:r>
        <w:rPr>
          <w:sz w:val="20"/>
        </w:rPr>
        <w:t>y,</w:t>
      </w:r>
      <w:r>
        <w:rPr>
          <w:spacing w:val="-2"/>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2"/>
          <w:sz w:val="20"/>
        </w:rPr>
        <w:t xml:space="preserve"> </w:t>
      </w:r>
      <w:r>
        <w:rPr>
          <w:sz w:val="20"/>
        </w:rPr>
        <w:t>de</w:t>
      </w:r>
      <w:r>
        <w:rPr>
          <w:spacing w:val="-1"/>
          <w:sz w:val="20"/>
        </w:rPr>
        <w:t xml:space="preserve"> </w:t>
      </w:r>
      <w:r>
        <w:rPr>
          <w:sz w:val="20"/>
        </w:rPr>
        <w:t>que</w:t>
      </w:r>
      <w:r>
        <w:rPr>
          <w:spacing w:val="-1"/>
          <w:sz w:val="20"/>
        </w:rPr>
        <w:t xml:space="preserve"> </w:t>
      </w:r>
      <w:r>
        <w:rPr>
          <w:sz w:val="20"/>
        </w:rPr>
        <w:t>estuviera</w:t>
      </w:r>
      <w:r>
        <w:rPr>
          <w:spacing w:val="-2"/>
          <w:sz w:val="20"/>
        </w:rPr>
        <w:t xml:space="preserve"> </w:t>
      </w:r>
      <w:r>
        <w:rPr>
          <w:sz w:val="20"/>
        </w:rPr>
        <w:t>justificado</w:t>
      </w:r>
      <w:r>
        <w:rPr>
          <w:spacing w:val="-1"/>
          <w:sz w:val="20"/>
        </w:rPr>
        <w:t xml:space="preserve"> </w:t>
      </w:r>
      <w:r>
        <w:rPr>
          <w:sz w:val="20"/>
        </w:rPr>
        <w:t>por</w:t>
      </w:r>
      <w:r>
        <w:rPr>
          <w:spacing w:val="-1"/>
          <w:sz w:val="20"/>
        </w:rPr>
        <w:t xml:space="preserve"> </w:t>
      </w:r>
      <w:r>
        <w:rPr>
          <w:sz w:val="20"/>
        </w:rPr>
        <w:t>las</w:t>
      </w:r>
      <w:r>
        <w:rPr>
          <w:spacing w:val="-2"/>
          <w:sz w:val="20"/>
        </w:rPr>
        <w:t xml:space="preserve"> </w:t>
      </w:r>
      <w:r>
        <w:rPr>
          <w:sz w:val="20"/>
        </w:rPr>
        <w:t>características del contrato, se establecerán también mecanismos de control para cesiones de participaciones en la sociedad concesionaria que no puedan equipararse a una cesión del contrato. En todo caso se considerará que se produce un efectivo cambio de control cuando se ceda el 51 por ciento de las participaciones.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4"/>
      </w:pPr>
      <w:r>
        <w:t>En los casos en que la concesión de servicios se refiera a servicios públicos, lo establecido en el presente apartado se realizará de acuerdo con las normas reguladoras del régimen jurídico del servicio a que se refiere el artículo 284.2.</w:t>
      </w:r>
    </w:p>
    <w:p w:rsidR="0092635B" w:rsidRDefault="00000000">
      <w:pPr>
        <w:pStyle w:val="Prrafodelista"/>
        <w:numPr>
          <w:ilvl w:val="0"/>
          <w:numId w:val="106"/>
        </w:numPr>
        <w:tabs>
          <w:tab w:val="left" w:pos="1677"/>
        </w:tabs>
        <w:spacing w:line="249" w:lineRule="auto"/>
        <w:ind w:firstLine="340"/>
        <w:jc w:val="both"/>
        <w:rPr>
          <w:sz w:val="20"/>
        </w:rPr>
      </w:pPr>
      <w:r>
        <w:rPr>
          <w:sz w:val="20"/>
        </w:rPr>
        <w:t>En los contratos de concesión de servicios la tramitación del expediente irá precedida de la realización y aprobación de un estudio de viabilidad de los mismos o en su caso, de un estudio de viabilidad económico-financiera, que tendrán carácter vinculante en los supuestos en que concluyan en la inviabilidad del proyecto. En los casos en que los contratos de concesión de servicios comprendan la ejecución de obras, la tramitación de aquel irá precedida,</w:t>
      </w:r>
      <w:r>
        <w:rPr>
          <w:spacing w:val="-3"/>
          <w:sz w:val="20"/>
        </w:rPr>
        <w:t xml:space="preserve"> </w:t>
      </w:r>
      <w:r>
        <w:rPr>
          <w:sz w:val="20"/>
        </w:rPr>
        <w:t>además,</w:t>
      </w:r>
      <w:r>
        <w:rPr>
          <w:spacing w:val="-3"/>
          <w:sz w:val="20"/>
        </w:rPr>
        <w:t xml:space="preserve"> </w:t>
      </w:r>
      <w:r>
        <w:rPr>
          <w:sz w:val="20"/>
        </w:rPr>
        <w:t>cuando</w:t>
      </w:r>
      <w:r>
        <w:rPr>
          <w:spacing w:val="-3"/>
          <w:sz w:val="20"/>
        </w:rPr>
        <w:t xml:space="preserve"> </w:t>
      </w:r>
      <w:r>
        <w:rPr>
          <w:sz w:val="20"/>
        </w:rPr>
        <w:t>proceda</w:t>
      </w:r>
      <w:r>
        <w:rPr>
          <w:spacing w:val="-3"/>
          <w:sz w:val="20"/>
        </w:rPr>
        <w:t xml:space="preserve"> </w:t>
      </w:r>
      <w:r>
        <w:rPr>
          <w:sz w:val="20"/>
        </w:rPr>
        <w:t>de</w:t>
      </w:r>
      <w:r>
        <w:rPr>
          <w:spacing w:val="-3"/>
          <w:sz w:val="20"/>
        </w:rPr>
        <w:t xml:space="preserve"> </w:t>
      </w:r>
      <w:r>
        <w:rPr>
          <w:sz w:val="20"/>
        </w:rPr>
        <w:t>conformidad</w:t>
      </w:r>
      <w:r>
        <w:rPr>
          <w:spacing w:val="-3"/>
          <w:sz w:val="20"/>
        </w:rPr>
        <w:t xml:space="preserve"> </w:t>
      </w:r>
      <w:r>
        <w:rPr>
          <w:sz w:val="20"/>
        </w:rPr>
        <w:t>con</w:t>
      </w:r>
      <w:r>
        <w:rPr>
          <w:spacing w:val="-3"/>
          <w:sz w:val="20"/>
        </w:rPr>
        <w:t xml:space="preserve"> </w:t>
      </w:r>
      <w:r>
        <w:rPr>
          <w:sz w:val="20"/>
        </w:rPr>
        <w:t>lo</w:t>
      </w:r>
      <w:r>
        <w:rPr>
          <w:spacing w:val="-3"/>
          <w:sz w:val="20"/>
        </w:rPr>
        <w:t xml:space="preserve"> </w:t>
      </w:r>
      <w:r>
        <w:rPr>
          <w:sz w:val="20"/>
        </w:rPr>
        <w:t>dispuesto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artículo</w:t>
      </w:r>
      <w:r>
        <w:rPr>
          <w:spacing w:val="-3"/>
          <w:sz w:val="20"/>
        </w:rPr>
        <w:t xml:space="preserve"> </w:t>
      </w:r>
      <w:r>
        <w:rPr>
          <w:sz w:val="20"/>
        </w:rPr>
        <w:t>248.1,</w:t>
      </w:r>
      <w:r>
        <w:rPr>
          <w:spacing w:val="-3"/>
          <w:sz w:val="20"/>
        </w:rPr>
        <w:t xml:space="preserve"> </w:t>
      </w:r>
      <w:r>
        <w:rPr>
          <w:sz w:val="20"/>
        </w:rPr>
        <w:t>de la</w:t>
      </w:r>
      <w:r>
        <w:rPr>
          <w:spacing w:val="-1"/>
          <w:sz w:val="20"/>
        </w:rPr>
        <w:t xml:space="preserve"> </w:t>
      </w:r>
      <w:r>
        <w:rPr>
          <w:sz w:val="20"/>
        </w:rPr>
        <w:t>elaboración</w:t>
      </w:r>
      <w:r>
        <w:rPr>
          <w:spacing w:val="-1"/>
          <w:sz w:val="20"/>
        </w:rPr>
        <w:t xml:space="preserve"> </w:t>
      </w:r>
      <w:r>
        <w:rPr>
          <w:sz w:val="20"/>
        </w:rPr>
        <w:t>y</w:t>
      </w:r>
      <w:r>
        <w:rPr>
          <w:spacing w:val="-1"/>
          <w:sz w:val="20"/>
        </w:rPr>
        <w:t xml:space="preserve"> </w:t>
      </w:r>
      <w:r>
        <w:rPr>
          <w:sz w:val="20"/>
        </w:rPr>
        <w:t>aprobación</w:t>
      </w:r>
      <w:r>
        <w:rPr>
          <w:spacing w:val="-1"/>
          <w:sz w:val="20"/>
        </w:rPr>
        <w:t xml:space="preserve"> </w:t>
      </w:r>
      <w:r>
        <w:rPr>
          <w:sz w:val="20"/>
        </w:rPr>
        <w:t>administrativa</w:t>
      </w:r>
      <w:r>
        <w:rPr>
          <w:spacing w:val="-1"/>
          <w:sz w:val="20"/>
        </w:rPr>
        <w:t xml:space="preserve"> </w:t>
      </w:r>
      <w:r>
        <w:rPr>
          <w:sz w:val="20"/>
        </w:rPr>
        <w:t>del</w:t>
      </w:r>
      <w:r>
        <w:rPr>
          <w:spacing w:val="-1"/>
          <w:sz w:val="20"/>
        </w:rPr>
        <w:t xml:space="preserve"> </w:t>
      </w:r>
      <w:r>
        <w:rPr>
          <w:sz w:val="20"/>
        </w:rPr>
        <w:t>Anteproyecto</w:t>
      </w:r>
      <w:r>
        <w:rPr>
          <w:spacing w:val="-1"/>
          <w:sz w:val="20"/>
        </w:rPr>
        <w:t xml:space="preserve"> </w:t>
      </w:r>
      <w:r>
        <w:rPr>
          <w:sz w:val="20"/>
        </w:rPr>
        <w:t>de</w:t>
      </w:r>
      <w:r>
        <w:rPr>
          <w:spacing w:val="-1"/>
          <w:sz w:val="20"/>
        </w:rPr>
        <w:t xml:space="preserve"> </w:t>
      </w:r>
      <w:r>
        <w:rPr>
          <w:sz w:val="20"/>
        </w:rPr>
        <w:t>construcción</w:t>
      </w:r>
      <w:r>
        <w:rPr>
          <w:spacing w:val="-1"/>
          <w:sz w:val="20"/>
        </w:rPr>
        <w:t xml:space="preserve"> </w:t>
      </w:r>
      <w:r>
        <w:rPr>
          <w:sz w:val="20"/>
        </w:rPr>
        <w:t>y</w:t>
      </w:r>
      <w:r>
        <w:rPr>
          <w:spacing w:val="-1"/>
          <w:sz w:val="20"/>
        </w:rPr>
        <w:t xml:space="preserve"> </w:t>
      </w:r>
      <w:r>
        <w:rPr>
          <w:sz w:val="20"/>
        </w:rPr>
        <w:t>explotación</w:t>
      </w:r>
      <w:r>
        <w:rPr>
          <w:spacing w:val="-1"/>
          <w:sz w:val="20"/>
        </w:rPr>
        <w:t xml:space="preserve"> </w:t>
      </w:r>
      <w:r>
        <w:rPr>
          <w:sz w:val="20"/>
        </w:rPr>
        <w:t>de las obras que resulten precisas, con especificación de las prescripciones técnicas relativas a su realización; y, además, de la redacción, supervisión, aprobación y replanteo del correspondiente proyecto de las obras.</w:t>
      </w:r>
    </w:p>
    <w:p w:rsidR="0092635B" w:rsidRDefault="00000000">
      <w:pPr>
        <w:pStyle w:val="Textoindependiente"/>
        <w:spacing w:before="8" w:line="249" w:lineRule="auto"/>
        <w:ind w:right="1104"/>
      </w:pPr>
      <w:r>
        <w:t>En los supuestos en que para la viabilidad de la concesión se contemplen ayudas a la construcción o explotación de la misma, el estudio de viabilidad se pronunciará sobre la existencia</w:t>
      </w:r>
      <w:r>
        <w:rPr>
          <w:spacing w:val="-1"/>
        </w:rPr>
        <w:t xml:space="preserve"> </w:t>
      </w:r>
      <w:r>
        <w:t>de</w:t>
      </w:r>
      <w:r>
        <w:rPr>
          <w:spacing w:val="-1"/>
        </w:rPr>
        <w:t xml:space="preserve"> </w:t>
      </w:r>
      <w:r>
        <w:t>una</w:t>
      </w:r>
      <w:r>
        <w:rPr>
          <w:spacing w:val="-1"/>
        </w:rPr>
        <w:t xml:space="preserve"> </w:t>
      </w:r>
      <w:r>
        <w:t>posible</w:t>
      </w:r>
      <w:r>
        <w:rPr>
          <w:spacing w:val="-1"/>
        </w:rPr>
        <w:t xml:space="preserve"> </w:t>
      </w:r>
      <w:r>
        <w:t>ayuda</w:t>
      </w:r>
      <w:r>
        <w:rPr>
          <w:spacing w:val="-1"/>
        </w:rPr>
        <w:t xml:space="preserve"> </w:t>
      </w:r>
      <w:r>
        <w:t>de</w:t>
      </w:r>
      <w:r>
        <w:rPr>
          <w:spacing w:val="-1"/>
        </w:rPr>
        <w:t xml:space="preserve"> </w:t>
      </w:r>
      <w:r>
        <w:t>Estado</w:t>
      </w:r>
      <w:r>
        <w:rPr>
          <w:spacing w:val="-1"/>
        </w:rPr>
        <w:t xml:space="preserve"> </w:t>
      </w:r>
      <w:r>
        <w:t>y</w:t>
      </w:r>
      <w:r>
        <w:rPr>
          <w:spacing w:val="-1"/>
        </w:rPr>
        <w:t xml:space="preserve"> </w:t>
      </w:r>
      <w:r>
        <w:t>la</w:t>
      </w:r>
      <w:r>
        <w:rPr>
          <w:spacing w:val="-1"/>
        </w:rPr>
        <w:t xml:space="preserve"> </w:t>
      </w:r>
      <w:r>
        <w:t>compatibilidad</w:t>
      </w:r>
      <w:r>
        <w:rPr>
          <w:spacing w:val="-1"/>
        </w:rPr>
        <w:t xml:space="preserve"> </w:t>
      </w:r>
      <w:r>
        <w:t>de</w:t>
      </w:r>
      <w:r>
        <w:rPr>
          <w:spacing w:val="-1"/>
        </w:rPr>
        <w:t xml:space="preserve"> </w:t>
      </w:r>
      <w:r>
        <w:t>la</w:t>
      </w:r>
      <w:r>
        <w:rPr>
          <w:spacing w:val="-1"/>
        </w:rPr>
        <w:t xml:space="preserve"> </w:t>
      </w:r>
      <w:r>
        <w:t>misma</w:t>
      </w:r>
      <w:r>
        <w:rPr>
          <w:spacing w:val="-1"/>
        </w:rPr>
        <w:t xml:space="preserve"> </w:t>
      </w:r>
      <w:r>
        <w:t>con</w:t>
      </w:r>
      <w:r>
        <w:rPr>
          <w:spacing w:val="-1"/>
        </w:rPr>
        <w:t xml:space="preserve"> </w:t>
      </w:r>
      <w:r>
        <w:t>el</w:t>
      </w:r>
      <w:r>
        <w:rPr>
          <w:spacing w:val="-1"/>
        </w:rPr>
        <w:t xml:space="preserve"> </w:t>
      </w:r>
      <w:r>
        <w:t>Tratado</w:t>
      </w:r>
      <w:r>
        <w:rPr>
          <w:spacing w:val="-1"/>
        </w:rPr>
        <w:t xml:space="preserve"> </w:t>
      </w:r>
      <w:r>
        <w:t>de Funcionamiento de la Unión Europea.</w:t>
      </w:r>
    </w:p>
    <w:p w:rsidR="0092635B" w:rsidRDefault="0092635B">
      <w:pPr>
        <w:pStyle w:val="Textoindependiente"/>
        <w:spacing w:before="57"/>
        <w:ind w:left="0" w:firstLine="0"/>
        <w:jc w:val="left"/>
      </w:pPr>
    </w:p>
    <w:p w:rsidR="0092635B" w:rsidRDefault="00000000">
      <w:pPr>
        <w:pStyle w:val="Textoindependiente"/>
        <w:spacing w:before="0" w:line="249" w:lineRule="auto"/>
        <w:ind w:left="1446" w:right="1444" w:firstLine="0"/>
        <w:jc w:val="center"/>
      </w:pPr>
      <w:bookmarkStart w:id="464" w:name="Subsección_2.ª_Efectos,_cumplimiento_y_e"/>
      <w:bookmarkStart w:id="465" w:name="_bookmark91"/>
      <w:bookmarkEnd w:id="464"/>
      <w:bookmarkEnd w:id="465"/>
      <w:r>
        <w:t>Subsección</w:t>
      </w:r>
      <w:r>
        <w:rPr>
          <w:spacing w:val="40"/>
        </w:rPr>
        <w:t xml:space="preserve"> </w:t>
      </w:r>
      <w:r>
        <w:t>2.ª</w:t>
      </w:r>
      <w:r>
        <w:rPr>
          <w:spacing w:val="40"/>
        </w:rPr>
        <w:t xml:space="preserve"> </w:t>
      </w:r>
      <w:r>
        <w:t>Efectos,</w:t>
      </w:r>
      <w:r>
        <w:rPr>
          <w:spacing w:val="40"/>
        </w:rPr>
        <w:t xml:space="preserve"> </w:t>
      </w:r>
      <w:r>
        <w:t>cumplimiento</w:t>
      </w:r>
      <w:r>
        <w:rPr>
          <w:spacing w:val="40"/>
        </w:rPr>
        <w:t xml:space="preserve"> </w:t>
      </w:r>
      <w:r>
        <w:t>y</w:t>
      </w:r>
      <w:r>
        <w:rPr>
          <w:spacing w:val="40"/>
        </w:rPr>
        <w:t xml:space="preserve"> </w:t>
      </w:r>
      <w:r>
        <w:t>extinción</w:t>
      </w:r>
      <w:r>
        <w:rPr>
          <w:spacing w:val="40"/>
        </w:rPr>
        <w:t xml:space="preserve"> </w:t>
      </w:r>
      <w:r>
        <w:t>del</w:t>
      </w:r>
      <w:r>
        <w:rPr>
          <w:spacing w:val="40"/>
        </w:rPr>
        <w:t xml:space="preserve"> </w:t>
      </w:r>
      <w:r>
        <w:t>contrato</w:t>
      </w:r>
      <w:r>
        <w:rPr>
          <w:spacing w:val="40"/>
        </w:rPr>
        <w:t xml:space="preserve"> </w:t>
      </w:r>
      <w:r>
        <w:t>de</w:t>
      </w:r>
      <w:r>
        <w:rPr>
          <w:spacing w:val="40"/>
        </w:rPr>
        <w:t xml:space="preserve"> </w:t>
      </w:r>
      <w:r>
        <w:t>concesión</w:t>
      </w:r>
      <w:r>
        <w:rPr>
          <w:spacing w:val="40"/>
        </w:rPr>
        <w:t xml:space="preserve"> </w:t>
      </w:r>
      <w:r>
        <w:t xml:space="preserve">de </w:t>
      </w:r>
      <w:r>
        <w:rPr>
          <w:spacing w:val="-2"/>
        </w:rPr>
        <w:t>servicios</w:t>
      </w:r>
    </w:p>
    <w:p w:rsidR="0092635B" w:rsidRDefault="00000000">
      <w:pPr>
        <w:spacing w:before="228"/>
        <w:ind w:left="1106"/>
        <w:rPr>
          <w:rFonts w:ascii="Arial" w:hAnsi="Arial"/>
          <w:i/>
          <w:sz w:val="20"/>
        </w:rPr>
      </w:pPr>
      <w:bookmarkStart w:id="466" w:name="Artículo_286._Efectos,_cumplimiento_y_ex"/>
      <w:bookmarkEnd w:id="466"/>
      <w:r>
        <w:rPr>
          <w:rFonts w:ascii="Arial" w:hAnsi="Arial"/>
          <w:b/>
          <w:sz w:val="20"/>
        </w:rPr>
        <w:t>Artículo</w:t>
      </w:r>
      <w:r>
        <w:rPr>
          <w:rFonts w:ascii="Arial" w:hAnsi="Arial"/>
          <w:b/>
          <w:spacing w:val="-2"/>
          <w:sz w:val="20"/>
        </w:rPr>
        <w:t xml:space="preserve"> </w:t>
      </w:r>
      <w:r>
        <w:rPr>
          <w:rFonts w:ascii="Arial" w:hAnsi="Arial"/>
          <w:b/>
          <w:sz w:val="20"/>
        </w:rPr>
        <w:t>286.</w:t>
      </w:r>
      <w:r>
        <w:rPr>
          <w:rFonts w:ascii="Arial" w:hAnsi="Arial"/>
          <w:b/>
          <w:spacing w:val="50"/>
          <w:sz w:val="20"/>
        </w:rPr>
        <w:t xml:space="preserve"> </w:t>
      </w:r>
      <w:r>
        <w:rPr>
          <w:rFonts w:ascii="Arial" w:hAnsi="Arial"/>
          <w:i/>
          <w:sz w:val="20"/>
        </w:rPr>
        <w:t>Efectos,</w:t>
      </w:r>
      <w:r>
        <w:rPr>
          <w:rFonts w:ascii="Arial" w:hAnsi="Arial"/>
          <w:i/>
          <w:spacing w:val="-2"/>
          <w:sz w:val="20"/>
        </w:rPr>
        <w:t xml:space="preserve"> </w:t>
      </w:r>
      <w:r>
        <w:rPr>
          <w:rFonts w:ascii="Arial" w:hAnsi="Arial"/>
          <w:i/>
          <w:sz w:val="20"/>
        </w:rPr>
        <w:t>cumplimiento</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extinción.</w:t>
      </w:r>
    </w:p>
    <w:p w:rsidR="0092635B" w:rsidRDefault="00000000">
      <w:pPr>
        <w:pStyle w:val="Textoindependiente"/>
        <w:spacing w:before="124" w:line="249" w:lineRule="auto"/>
        <w:ind w:right="1103"/>
      </w:pPr>
      <w:r>
        <w:t>Los efectos, cumplimiento y extinción de los contratos de concesión de servicios se regularán por la presente Ley, excluidos los artículos 208 y 210. Tampoco resultarán de aplicación, salvo en la fase de construcción cuando comprenda la ejecución de obras, el apartado 2 del artículo 192, el artículo 193 y el artículo 195.</w:t>
      </w:r>
    </w:p>
    <w:p w:rsidR="0092635B" w:rsidRDefault="0092635B">
      <w:pPr>
        <w:pStyle w:val="Textoindependiente"/>
        <w:spacing w:before="0"/>
        <w:ind w:left="0" w:firstLine="0"/>
        <w:jc w:val="left"/>
      </w:pPr>
    </w:p>
    <w:p w:rsidR="0092635B" w:rsidRDefault="00000000">
      <w:pPr>
        <w:pStyle w:val="Ttulo3"/>
      </w:pPr>
      <w:bookmarkStart w:id="467" w:name="Sección_3.ª_Ejecución_del_contrato_de_co"/>
      <w:bookmarkStart w:id="468" w:name="_bookmark92"/>
      <w:bookmarkEnd w:id="467"/>
      <w:bookmarkEnd w:id="468"/>
      <w:r>
        <w:t>Sección</w:t>
      </w:r>
      <w:r>
        <w:rPr>
          <w:spacing w:val="-1"/>
        </w:rPr>
        <w:t xml:space="preserve"> </w:t>
      </w:r>
      <w:r>
        <w:t>3.ª Ejecución</w:t>
      </w:r>
      <w:r>
        <w:rPr>
          <w:spacing w:val="-1"/>
        </w:rPr>
        <w:t xml:space="preserve"> </w:t>
      </w:r>
      <w:r>
        <w:t>del contrato</w:t>
      </w:r>
      <w:r>
        <w:rPr>
          <w:spacing w:val="-1"/>
        </w:rPr>
        <w:t xml:space="preserve"> </w:t>
      </w:r>
      <w:r>
        <w:t>de concesión</w:t>
      </w:r>
      <w:r>
        <w:rPr>
          <w:spacing w:val="-1"/>
        </w:rPr>
        <w:t xml:space="preserve"> </w:t>
      </w:r>
      <w:r>
        <w:t xml:space="preserve">de </w:t>
      </w:r>
      <w:r>
        <w:rPr>
          <w:spacing w:val="-2"/>
        </w:rPr>
        <w:t>servicios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69" w:name="Artículo_287._Ejecución_del_contrato_de_"/>
      <w:bookmarkEnd w:id="469"/>
      <w:r>
        <w:rPr>
          <w:rFonts w:ascii="Arial" w:hAnsi="Arial"/>
          <w:b/>
          <w:sz w:val="20"/>
        </w:rPr>
        <w:t>Artículo</w:t>
      </w:r>
      <w:r>
        <w:rPr>
          <w:rFonts w:ascii="Arial" w:hAnsi="Arial"/>
          <w:b/>
          <w:spacing w:val="-3"/>
          <w:sz w:val="20"/>
        </w:rPr>
        <w:t xml:space="preserve"> </w:t>
      </w:r>
      <w:r>
        <w:rPr>
          <w:rFonts w:ascii="Arial" w:hAnsi="Arial"/>
          <w:b/>
          <w:sz w:val="20"/>
        </w:rPr>
        <w:t>287.</w:t>
      </w:r>
      <w:r>
        <w:rPr>
          <w:rFonts w:ascii="Arial" w:hAnsi="Arial"/>
          <w:b/>
          <w:spacing w:val="48"/>
          <w:sz w:val="20"/>
        </w:rPr>
        <w:t xml:space="preserve"> </w:t>
      </w:r>
      <w:r>
        <w:rPr>
          <w:rFonts w:ascii="Arial" w:hAnsi="Arial"/>
          <w:i/>
          <w:sz w:val="20"/>
        </w:rPr>
        <w:t>Ejecución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contrato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concesión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servicios.</w:t>
      </w:r>
    </w:p>
    <w:p w:rsidR="0092635B" w:rsidRDefault="00000000">
      <w:pPr>
        <w:pStyle w:val="Prrafodelista"/>
        <w:numPr>
          <w:ilvl w:val="0"/>
          <w:numId w:val="105"/>
        </w:numPr>
        <w:tabs>
          <w:tab w:val="left" w:pos="1677"/>
        </w:tabs>
        <w:spacing w:before="123" w:line="249" w:lineRule="auto"/>
        <w:ind w:right="1104" w:firstLine="340"/>
        <w:jc w:val="both"/>
        <w:rPr>
          <w:sz w:val="20"/>
        </w:rPr>
      </w:pPr>
      <w:r>
        <w:rPr>
          <w:sz w:val="20"/>
        </w:rPr>
        <w:t xml:space="preserve">El concesionario está obligado a organizar y prestar el servicio con estricta sujeción a las características establecidas en el contrato y dentro de los plazos señalados en el mismo, y, en su caso, a la ejecución de las obras conforme al proyecto aprobado por el órgano de </w:t>
      </w:r>
      <w:r>
        <w:rPr>
          <w:spacing w:val="-2"/>
          <w:sz w:val="20"/>
        </w:rPr>
        <w:t>contratación.</w:t>
      </w:r>
    </w:p>
    <w:p w:rsidR="0092635B" w:rsidRDefault="00000000">
      <w:pPr>
        <w:pStyle w:val="Prrafodelista"/>
        <w:numPr>
          <w:ilvl w:val="0"/>
          <w:numId w:val="105"/>
        </w:numPr>
        <w:tabs>
          <w:tab w:val="left" w:pos="1692"/>
        </w:tabs>
        <w:spacing w:before="3" w:line="249" w:lineRule="auto"/>
        <w:ind w:right="1104" w:firstLine="340"/>
        <w:jc w:val="both"/>
        <w:rPr>
          <w:sz w:val="20"/>
        </w:rPr>
      </w:pPr>
      <w:r>
        <w:rPr>
          <w:sz w:val="20"/>
        </w:rPr>
        <w:t>En el caso de que la concesión recaiga sobre un servicio público, la Administración conservará los poderes de policía necesarios para asegurar la buena marcha de los</w:t>
      </w:r>
      <w:r>
        <w:rPr>
          <w:spacing w:val="80"/>
          <w:sz w:val="20"/>
        </w:rPr>
        <w:t xml:space="preserve"> </w:t>
      </w:r>
      <w:r>
        <w:rPr>
          <w:sz w:val="20"/>
        </w:rPr>
        <w:t>servicios de que se trate.</w:t>
      </w:r>
    </w:p>
    <w:p w:rsidR="0092635B" w:rsidRDefault="00000000">
      <w:pPr>
        <w:pStyle w:val="Prrafodelista"/>
        <w:numPr>
          <w:ilvl w:val="0"/>
          <w:numId w:val="105"/>
        </w:numPr>
        <w:tabs>
          <w:tab w:val="left" w:pos="1679"/>
        </w:tabs>
        <w:spacing w:before="3" w:line="249" w:lineRule="auto"/>
        <w:ind w:right="1105" w:firstLine="340"/>
        <w:jc w:val="both"/>
        <w:rPr>
          <w:sz w:val="20"/>
        </w:rPr>
      </w:pPr>
      <w:r>
        <w:rPr>
          <w:sz w:val="20"/>
        </w:rPr>
        <w:t>Las concesiones de servicios únicamente podrán ser objeto de hipoteca en los casos en que conlleven la realización de obras o instalaciones fijas necesarias para la prestación del servicio, y exclusivamente en garantía de deudas que guarden relación con la concesión.</w:t>
      </w:r>
    </w:p>
    <w:p w:rsidR="0092635B" w:rsidRDefault="00000000">
      <w:pPr>
        <w:spacing w:before="229"/>
        <w:ind w:left="1106"/>
        <w:rPr>
          <w:rFonts w:ascii="Arial" w:hAnsi="Arial"/>
          <w:i/>
          <w:sz w:val="20"/>
        </w:rPr>
      </w:pPr>
      <w:bookmarkStart w:id="470" w:name="Artículo_288._Obligaciones_generales."/>
      <w:bookmarkEnd w:id="470"/>
      <w:r>
        <w:rPr>
          <w:rFonts w:ascii="Arial" w:hAnsi="Arial"/>
          <w:b/>
          <w:sz w:val="20"/>
        </w:rPr>
        <w:t>Artículo 288.</w:t>
      </w:r>
      <w:r>
        <w:rPr>
          <w:rFonts w:ascii="Arial" w:hAnsi="Arial"/>
          <w:b/>
          <w:spacing w:val="54"/>
          <w:sz w:val="20"/>
        </w:rPr>
        <w:t xml:space="preserve"> </w:t>
      </w:r>
      <w:r>
        <w:rPr>
          <w:rFonts w:ascii="Arial" w:hAnsi="Arial"/>
          <w:i/>
          <w:sz w:val="20"/>
        </w:rPr>
        <w:t xml:space="preserve">Obligaciones </w:t>
      </w:r>
      <w:r>
        <w:rPr>
          <w:rFonts w:ascii="Arial" w:hAnsi="Arial"/>
          <w:i/>
          <w:spacing w:val="-2"/>
          <w:sz w:val="20"/>
        </w:rPr>
        <w:t>generales.</w:t>
      </w:r>
    </w:p>
    <w:p w:rsidR="0092635B" w:rsidRDefault="00000000">
      <w:pPr>
        <w:pStyle w:val="Textoindependiente"/>
        <w:spacing w:before="124"/>
        <w:ind w:left="1446" w:firstLine="0"/>
        <w:jc w:val="left"/>
      </w:pPr>
      <w:r>
        <w:t>El</w:t>
      </w:r>
      <w:r>
        <w:rPr>
          <w:spacing w:val="-4"/>
        </w:rPr>
        <w:t xml:space="preserve"> </w:t>
      </w:r>
      <w:r>
        <w:t>concesionario</w:t>
      </w:r>
      <w:r>
        <w:rPr>
          <w:spacing w:val="-4"/>
        </w:rPr>
        <w:t xml:space="preserve"> </w:t>
      </w:r>
      <w:r>
        <w:t>estará</w:t>
      </w:r>
      <w:r>
        <w:rPr>
          <w:spacing w:val="-4"/>
        </w:rPr>
        <w:t xml:space="preserve"> </w:t>
      </w:r>
      <w:r>
        <w:t>sujeto</w:t>
      </w:r>
      <w:r>
        <w:rPr>
          <w:spacing w:val="-4"/>
        </w:rPr>
        <w:t xml:space="preserve"> </w:t>
      </w:r>
      <w:r>
        <w:t>al</w:t>
      </w:r>
      <w:r>
        <w:rPr>
          <w:spacing w:val="-4"/>
        </w:rPr>
        <w:t xml:space="preserve"> </w:t>
      </w:r>
      <w:r>
        <w:t>cumplimiento</w:t>
      </w:r>
      <w:r>
        <w:rPr>
          <w:spacing w:val="-4"/>
        </w:rPr>
        <w:t xml:space="preserve"> </w:t>
      </w:r>
      <w:r>
        <w:t>de</w:t>
      </w:r>
      <w:r>
        <w:rPr>
          <w:spacing w:val="-4"/>
        </w:rPr>
        <w:t xml:space="preserve"> </w:t>
      </w:r>
      <w:r>
        <w:t>las</w:t>
      </w:r>
      <w:r>
        <w:rPr>
          <w:spacing w:val="-4"/>
        </w:rPr>
        <w:t xml:space="preserve"> </w:t>
      </w:r>
      <w:r>
        <w:t>siguientes</w:t>
      </w:r>
      <w:r>
        <w:rPr>
          <w:spacing w:val="-4"/>
        </w:rPr>
        <w:t xml:space="preserve"> </w:t>
      </w:r>
      <w:r>
        <w:rPr>
          <w:spacing w:val="-2"/>
        </w:rPr>
        <w:t>obligaciones:</w:t>
      </w:r>
    </w:p>
    <w:p w:rsidR="0092635B" w:rsidRDefault="00000000">
      <w:pPr>
        <w:pStyle w:val="Prrafodelista"/>
        <w:numPr>
          <w:ilvl w:val="1"/>
          <w:numId w:val="105"/>
        </w:numPr>
        <w:tabs>
          <w:tab w:val="left" w:pos="1724"/>
        </w:tabs>
        <w:spacing w:before="130" w:line="249" w:lineRule="auto"/>
        <w:ind w:right="1104" w:firstLine="340"/>
        <w:jc w:val="both"/>
        <w:rPr>
          <w:sz w:val="20"/>
        </w:rPr>
      </w:pPr>
      <w:r>
        <w:rPr>
          <w:sz w:val="20"/>
        </w:rPr>
        <w:t>Prestar el servicio con la continuidad convenida y garantizar a los particulares el derecho a utilizarlo en las condiciones que hayan sido establecidas y mediante el abono, en su caso, de la contraprestación económica comprendida en las tarifas aprobadas. En caso</w:t>
      </w:r>
      <w:r>
        <w:rPr>
          <w:spacing w:val="40"/>
          <w:sz w:val="20"/>
        </w:rPr>
        <w:t xml:space="preserve"> </w:t>
      </w:r>
      <w:r>
        <w:rPr>
          <w:sz w:val="20"/>
        </w:rPr>
        <w:t>de extinción del contrato por cumplimiento del mismo, el contratista deberá seguir prestando el servicio hasta que se formalice el nuevo contrato.</w:t>
      </w:r>
    </w:p>
    <w:p w:rsidR="0092635B" w:rsidRDefault="00000000">
      <w:pPr>
        <w:pStyle w:val="Prrafodelista"/>
        <w:numPr>
          <w:ilvl w:val="1"/>
          <w:numId w:val="105"/>
        </w:numPr>
        <w:tabs>
          <w:tab w:val="left" w:pos="1707"/>
        </w:tabs>
        <w:spacing w:before="4" w:line="249" w:lineRule="auto"/>
        <w:ind w:right="1104" w:firstLine="340"/>
        <w:jc w:val="both"/>
        <w:rPr>
          <w:sz w:val="20"/>
        </w:rPr>
      </w:pPr>
      <w:r>
        <w:rPr>
          <w:sz w:val="20"/>
        </w:rPr>
        <w:t>Cuidar del buen orden del servicio, pudiendo dictar las oportunas instrucciones, sin perjuicio de los poderes de policía a los que se refiere el artículo anterior.</w:t>
      </w:r>
    </w:p>
    <w:p w:rsidR="0092635B" w:rsidRDefault="00000000">
      <w:pPr>
        <w:pStyle w:val="Prrafodelista"/>
        <w:numPr>
          <w:ilvl w:val="1"/>
          <w:numId w:val="105"/>
        </w:numPr>
        <w:tabs>
          <w:tab w:val="left" w:pos="1759"/>
        </w:tabs>
        <w:spacing w:before="1" w:line="249" w:lineRule="auto"/>
        <w:ind w:right="1104" w:firstLine="340"/>
        <w:jc w:val="both"/>
        <w:rPr>
          <w:sz w:val="20"/>
        </w:rPr>
      </w:pPr>
      <w:r>
        <w:rPr>
          <w:sz w:val="20"/>
        </w:rPr>
        <w:t>Indemnizar los daños que se causen a terceros como consecuencia de las operaciones que requiera el desarrollo del servicio, excepto cuando el daño sea producido por causas imputables a la Administración.</w:t>
      </w:r>
    </w:p>
    <w:p w:rsidR="0092635B" w:rsidRDefault="00000000">
      <w:pPr>
        <w:pStyle w:val="Prrafodelista"/>
        <w:numPr>
          <w:ilvl w:val="1"/>
          <w:numId w:val="105"/>
        </w:numPr>
        <w:tabs>
          <w:tab w:val="left" w:pos="1692"/>
        </w:tabs>
        <w:spacing w:before="3" w:line="249" w:lineRule="auto"/>
        <w:ind w:right="1106" w:firstLine="340"/>
        <w:jc w:val="both"/>
        <w:rPr>
          <w:sz w:val="20"/>
        </w:rPr>
      </w:pPr>
      <w:r>
        <w:rPr>
          <w:sz w:val="20"/>
        </w:rPr>
        <w:t>Respetar el principio de no discriminación por razón de nacionalidad, respecto de las empresas de Estados miembros de la Comunidad Europea o signatarios del Acuerdo sobre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jc w:val="left"/>
      </w:pPr>
      <w:r>
        <w:t>Contratación</w:t>
      </w:r>
      <w:r>
        <w:rPr>
          <w:spacing w:val="80"/>
        </w:rPr>
        <w:t xml:space="preserve"> </w:t>
      </w:r>
      <w:r>
        <w:t>Pública</w:t>
      </w:r>
      <w:r>
        <w:rPr>
          <w:spacing w:val="80"/>
        </w:rPr>
        <w:t xml:space="preserve"> </w:t>
      </w:r>
      <w:r>
        <w:t>de</w:t>
      </w:r>
      <w:r>
        <w:rPr>
          <w:spacing w:val="80"/>
        </w:rPr>
        <w:t xml:space="preserve"> </w:t>
      </w:r>
      <w:r>
        <w:t>la</w:t>
      </w:r>
      <w:r>
        <w:rPr>
          <w:spacing w:val="80"/>
        </w:rPr>
        <w:t xml:space="preserve"> </w:t>
      </w:r>
      <w:r>
        <w:t>Organización</w:t>
      </w:r>
      <w:r>
        <w:rPr>
          <w:spacing w:val="80"/>
        </w:rPr>
        <w:t xml:space="preserve"> </w:t>
      </w:r>
      <w:r>
        <w:t>Mundial</w:t>
      </w:r>
      <w:r>
        <w:rPr>
          <w:spacing w:val="80"/>
        </w:rPr>
        <w:t xml:space="preserve"> </w:t>
      </w:r>
      <w:r>
        <w:t>del</w:t>
      </w:r>
      <w:r>
        <w:rPr>
          <w:spacing w:val="80"/>
        </w:rPr>
        <w:t xml:space="preserve"> </w:t>
      </w:r>
      <w:r>
        <w:t>Comercio,</w:t>
      </w:r>
      <w:r>
        <w:rPr>
          <w:spacing w:val="80"/>
        </w:rPr>
        <w:t xml:space="preserve"> </w:t>
      </w:r>
      <w:r>
        <w:t>en</w:t>
      </w:r>
      <w:r>
        <w:rPr>
          <w:spacing w:val="80"/>
        </w:rPr>
        <w:t xml:space="preserve"> </w:t>
      </w:r>
      <w:r>
        <w:t>los</w:t>
      </w:r>
      <w:r>
        <w:rPr>
          <w:spacing w:val="80"/>
        </w:rPr>
        <w:t xml:space="preserve"> </w:t>
      </w:r>
      <w:r>
        <w:t>contratos</w:t>
      </w:r>
      <w:r>
        <w:rPr>
          <w:spacing w:val="80"/>
        </w:rPr>
        <w:t xml:space="preserve"> </w:t>
      </w:r>
      <w:r>
        <w:t>de suministro consecuencia del de concesión de servicios.</w:t>
      </w:r>
    </w:p>
    <w:p w:rsidR="0092635B" w:rsidRDefault="00000000">
      <w:pPr>
        <w:pStyle w:val="Prrafodelista"/>
        <w:numPr>
          <w:ilvl w:val="1"/>
          <w:numId w:val="105"/>
        </w:numPr>
        <w:tabs>
          <w:tab w:val="left" w:pos="1805"/>
        </w:tabs>
        <w:spacing w:before="1" w:line="249" w:lineRule="auto"/>
        <w:ind w:right="1104" w:firstLine="340"/>
        <w:jc w:val="both"/>
        <w:rPr>
          <w:sz w:val="20"/>
        </w:rPr>
      </w:pPr>
      <w:r>
        <w:rPr>
          <w:sz w:val="20"/>
        </w:rPr>
        <w:t>Cualesquiera otras previstas en la legislación, en el pliego de cláusulas administrativas particulares y en el resto de la documentación contractual.</w:t>
      </w:r>
    </w:p>
    <w:p w:rsidR="0092635B" w:rsidRDefault="00000000">
      <w:pPr>
        <w:spacing w:before="229"/>
        <w:ind w:left="1106"/>
        <w:rPr>
          <w:rFonts w:ascii="Arial" w:hAnsi="Arial"/>
          <w:i/>
          <w:sz w:val="20"/>
        </w:rPr>
      </w:pPr>
      <w:bookmarkStart w:id="471" w:name="Artículo_289._Prestaciones_económicas."/>
      <w:bookmarkEnd w:id="471"/>
      <w:r>
        <w:rPr>
          <w:rFonts w:ascii="Arial" w:hAnsi="Arial"/>
          <w:b/>
          <w:sz w:val="20"/>
        </w:rPr>
        <w:t>Artículo</w:t>
      </w:r>
      <w:r>
        <w:rPr>
          <w:rFonts w:ascii="Arial" w:hAnsi="Arial"/>
          <w:b/>
          <w:spacing w:val="-2"/>
          <w:sz w:val="20"/>
        </w:rPr>
        <w:t xml:space="preserve"> </w:t>
      </w:r>
      <w:r>
        <w:rPr>
          <w:rFonts w:ascii="Arial" w:hAnsi="Arial"/>
          <w:b/>
          <w:sz w:val="20"/>
        </w:rPr>
        <w:t>289.</w:t>
      </w:r>
      <w:r>
        <w:rPr>
          <w:rFonts w:ascii="Arial" w:hAnsi="Arial"/>
          <w:b/>
          <w:spacing w:val="54"/>
          <w:sz w:val="20"/>
        </w:rPr>
        <w:t xml:space="preserve"> </w:t>
      </w:r>
      <w:r>
        <w:rPr>
          <w:rFonts w:ascii="Arial" w:hAnsi="Arial"/>
          <w:i/>
          <w:sz w:val="20"/>
        </w:rPr>
        <w:t xml:space="preserve">Prestaciones </w:t>
      </w:r>
      <w:r>
        <w:rPr>
          <w:rFonts w:ascii="Arial" w:hAnsi="Arial"/>
          <w:i/>
          <w:spacing w:val="-2"/>
          <w:sz w:val="20"/>
        </w:rPr>
        <w:t>económicas.</w:t>
      </w:r>
    </w:p>
    <w:p w:rsidR="0092635B" w:rsidRDefault="00000000">
      <w:pPr>
        <w:pStyle w:val="Prrafodelista"/>
        <w:numPr>
          <w:ilvl w:val="0"/>
          <w:numId w:val="104"/>
        </w:numPr>
        <w:tabs>
          <w:tab w:val="left" w:pos="1694"/>
        </w:tabs>
        <w:spacing w:before="123" w:line="249" w:lineRule="auto"/>
        <w:ind w:right="1104" w:firstLine="340"/>
        <w:jc w:val="both"/>
        <w:rPr>
          <w:sz w:val="20"/>
        </w:rPr>
      </w:pPr>
      <w:r>
        <w:rPr>
          <w:sz w:val="20"/>
        </w:rPr>
        <w:t>El concesionario tiene derecho a las contraprestaciones económicas previstas en el contrato, entre las que se incluirá, para hacer efectivo su derecho a la explotación del servicio, una retribución fijada en función de su utilización que se percibirá directamente de los usuarios o de la propia Administración.</w:t>
      </w:r>
    </w:p>
    <w:p w:rsidR="0092635B" w:rsidRDefault="00000000">
      <w:pPr>
        <w:pStyle w:val="Prrafodelista"/>
        <w:numPr>
          <w:ilvl w:val="0"/>
          <w:numId w:val="104"/>
        </w:numPr>
        <w:tabs>
          <w:tab w:val="left" w:pos="1670"/>
        </w:tabs>
        <w:spacing w:before="3" w:line="249" w:lineRule="auto"/>
        <w:ind w:firstLine="340"/>
        <w:jc w:val="both"/>
        <w:rPr>
          <w:sz w:val="20"/>
        </w:rPr>
      </w:pPr>
      <w:r>
        <w:rPr>
          <w:sz w:val="20"/>
        </w:rPr>
        <w:t>Las</w:t>
      </w:r>
      <w:r>
        <w:rPr>
          <w:spacing w:val="-2"/>
          <w:sz w:val="20"/>
        </w:rPr>
        <w:t xml:space="preserve"> </w:t>
      </w:r>
      <w:r>
        <w:rPr>
          <w:sz w:val="20"/>
        </w:rPr>
        <w:t>contraprestaciones</w:t>
      </w:r>
      <w:r>
        <w:rPr>
          <w:spacing w:val="-2"/>
          <w:sz w:val="20"/>
        </w:rPr>
        <w:t xml:space="preserve"> </w:t>
      </w:r>
      <w:r>
        <w:rPr>
          <w:sz w:val="20"/>
        </w:rPr>
        <w:t>económicas</w:t>
      </w:r>
      <w:r>
        <w:rPr>
          <w:spacing w:val="-2"/>
          <w:sz w:val="20"/>
        </w:rPr>
        <w:t xml:space="preserve"> </w:t>
      </w:r>
      <w:r>
        <w:rPr>
          <w:sz w:val="20"/>
        </w:rPr>
        <w:t>pactadas,</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denominarán</w:t>
      </w:r>
      <w:r>
        <w:rPr>
          <w:spacing w:val="-2"/>
          <w:sz w:val="20"/>
        </w:rPr>
        <w:t xml:space="preserve"> </w:t>
      </w:r>
      <w:r>
        <w:rPr>
          <w:sz w:val="20"/>
        </w:rPr>
        <w:t>tarifas</w:t>
      </w:r>
      <w:r>
        <w:rPr>
          <w:spacing w:val="-2"/>
          <w:sz w:val="20"/>
        </w:rPr>
        <w:t xml:space="preserve"> </w:t>
      </w:r>
      <w:r>
        <w:rPr>
          <w:sz w:val="20"/>
        </w:rPr>
        <w:t>y</w:t>
      </w:r>
      <w:r>
        <w:rPr>
          <w:spacing w:val="-2"/>
          <w:sz w:val="20"/>
        </w:rPr>
        <w:t xml:space="preserve"> </w:t>
      </w:r>
      <w:r>
        <w:rPr>
          <w:sz w:val="20"/>
        </w:rPr>
        <w:t>tendrán</w:t>
      </w:r>
      <w:r>
        <w:rPr>
          <w:spacing w:val="-2"/>
          <w:sz w:val="20"/>
        </w:rPr>
        <w:t xml:space="preserve"> </w:t>
      </w:r>
      <w:r>
        <w:rPr>
          <w:sz w:val="20"/>
        </w:rPr>
        <w:t>la naturaleza de prestación patrimonial de carácter público no tributario, serán revisadas, en su caso, en la forma establecida en el contrato, que se ajustará, en todo caso, a lo previsto en</w:t>
      </w:r>
      <w:r>
        <w:rPr>
          <w:spacing w:val="80"/>
          <w:sz w:val="20"/>
        </w:rPr>
        <w:t xml:space="preserve"> </w:t>
      </w:r>
      <w:r>
        <w:rPr>
          <w:sz w:val="20"/>
        </w:rPr>
        <w:t>el Capítulo II del Título III del Libro Primero de la presente Ley, relativo a la revisión de precios en los contratos de las entidades del sector público.</w:t>
      </w:r>
    </w:p>
    <w:p w:rsidR="0092635B" w:rsidRDefault="00000000">
      <w:pPr>
        <w:pStyle w:val="Textoindependiente"/>
        <w:spacing w:before="4" w:line="249" w:lineRule="auto"/>
        <w:ind w:right="1103"/>
      </w:pPr>
      <w:r>
        <w:t>En la contabilidad diferenciada que el concesionario debe llevar respecto de todos los ingresos y gastos de la concesión, y que deberá estar a disposición de la entidad</w:t>
      </w:r>
      <w:r>
        <w:rPr>
          <w:spacing w:val="40"/>
        </w:rPr>
        <w:t xml:space="preserve"> </w:t>
      </w:r>
      <w:r>
        <w:t>contratante, quedarán debidamente reflejados todos los ingresos derivados de las contraprestaciones pactadas en la forma prevista en el apartado 6 del artículo 267.</w:t>
      </w:r>
    </w:p>
    <w:p w:rsidR="0092635B" w:rsidRDefault="00000000">
      <w:pPr>
        <w:pStyle w:val="Prrafodelista"/>
        <w:numPr>
          <w:ilvl w:val="0"/>
          <w:numId w:val="104"/>
        </w:numPr>
        <w:tabs>
          <w:tab w:val="left" w:pos="1709"/>
        </w:tabs>
        <w:spacing w:before="4" w:line="249" w:lineRule="auto"/>
        <w:ind w:right="1104" w:firstLine="340"/>
        <w:jc w:val="both"/>
        <w:rPr>
          <w:sz w:val="20"/>
        </w:rPr>
      </w:pPr>
      <w:r>
        <w:rPr>
          <w:sz w:val="20"/>
        </w:rPr>
        <w:t>Si así lo hubiera establecido el pliego de cláusulas administrativas particulares, el concesionario abonará a la Administración concedente un canon o participación, que se determinará y abonará en la forma y condiciones previstas en el citado pliego y en la</w:t>
      </w:r>
      <w:r>
        <w:rPr>
          <w:spacing w:val="80"/>
          <w:sz w:val="20"/>
        </w:rPr>
        <w:t xml:space="preserve"> </w:t>
      </w:r>
      <w:r>
        <w:rPr>
          <w:sz w:val="20"/>
        </w:rPr>
        <w:t>restante documentación contractual.</w:t>
      </w:r>
    </w:p>
    <w:p w:rsidR="0092635B" w:rsidRDefault="0092635B">
      <w:pPr>
        <w:pStyle w:val="Textoindependiente"/>
        <w:spacing w:before="0"/>
        <w:ind w:left="0" w:firstLine="0"/>
        <w:jc w:val="left"/>
      </w:pPr>
    </w:p>
    <w:p w:rsidR="0092635B" w:rsidRDefault="00000000">
      <w:pPr>
        <w:pStyle w:val="Ttulo3"/>
        <w:ind w:left="1"/>
      </w:pPr>
      <w:bookmarkStart w:id="472" w:name="Sección_4.ª_Modificación_del_contrato_de"/>
      <w:bookmarkStart w:id="473" w:name="_bookmark93"/>
      <w:bookmarkEnd w:id="472"/>
      <w:bookmarkEnd w:id="473"/>
      <w:r>
        <w:t>Sección</w:t>
      </w:r>
      <w:r>
        <w:rPr>
          <w:spacing w:val="-1"/>
        </w:rPr>
        <w:t xml:space="preserve"> </w:t>
      </w:r>
      <w:r>
        <w:t>4.ª Modificación</w:t>
      </w:r>
      <w:r>
        <w:rPr>
          <w:spacing w:val="-1"/>
        </w:rPr>
        <w:t xml:space="preserve"> </w:t>
      </w:r>
      <w:r>
        <w:t>del contrato</w:t>
      </w:r>
      <w:r>
        <w:rPr>
          <w:spacing w:val="-1"/>
        </w:rPr>
        <w:t xml:space="preserve"> </w:t>
      </w:r>
      <w:r>
        <w:t>de concesión</w:t>
      </w:r>
      <w:r>
        <w:rPr>
          <w:spacing w:val="-1"/>
        </w:rPr>
        <w:t xml:space="preserve"> </w:t>
      </w:r>
      <w:r>
        <w:t xml:space="preserve">de </w:t>
      </w:r>
      <w:r>
        <w:rPr>
          <w:spacing w:val="-2"/>
        </w:rPr>
        <w:t>servicios</w:t>
      </w:r>
    </w:p>
    <w:p w:rsidR="0092635B" w:rsidRDefault="0092635B">
      <w:pPr>
        <w:pStyle w:val="Textoindependiente"/>
        <w:spacing w:before="6"/>
        <w:ind w:left="0" w:firstLine="0"/>
        <w:jc w:val="left"/>
        <w:rPr>
          <w:rFonts w:ascii="Arial"/>
          <w:b/>
          <w:i/>
        </w:rPr>
      </w:pPr>
    </w:p>
    <w:p w:rsidR="0092635B" w:rsidRDefault="00000000">
      <w:pPr>
        <w:spacing w:before="1"/>
        <w:ind w:left="1106"/>
        <w:rPr>
          <w:rFonts w:ascii="Arial" w:hAnsi="Arial"/>
          <w:i/>
          <w:sz w:val="20"/>
        </w:rPr>
      </w:pPr>
      <w:bookmarkStart w:id="474" w:name="Artículo_290._Modificación_del_contrato_"/>
      <w:bookmarkEnd w:id="474"/>
      <w:r>
        <w:rPr>
          <w:rFonts w:ascii="Arial" w:hAnsi="Arial"/>
          <w:b/>
          <w:sz w:val="20"/>
        </w:rPr>
        <w:t>Artículo</w:t>
      </w:r>
      <w:r>
        <w:rPr>
          <w:rFonts w:ascii="Arial" w:hAnsi="Arial"/>
          <w:b/>
          <w:spacing w:val="-6"/>
          <w:sz w:val="20"/>
        </w:rPr>
        <w:t xml:space="preserve"> </w:t>
      </w:r>
      <w:r>
        <w:rPr>
          <w:rFonts w:ascii="Arial" w:hAnsi="Arial"/>
          <w:b/>
          <w:sz w:val="20"/>
        </w:rPr>
        <w:t>290.</w:t>
      </w:r>
      <w:r>
        <w:rPr>
          <w:rFonts w:ascii="Arial" w:hAnsi="Arial"/>
          <w:b/>
          <w:spacing w:val="46"/>
          <w:sz w:val="20"/>
        </w:rPr>
        <w:t xml:space="preserve"> </w:t>
      </w:r>
      <w:r>
        <w:rPr>
          <w:rFonts w:ascii="Arial" w:hAnsi="Arial"/>
          <w:i/>
          <w:sz w:val="20"/>
        </w:rPr>
        <w:t>Modificación</w:t>
      </w:r>
      <w:r>
        <w:rPr>
          <w:rFonts w:ascii="Arial" w:hAnsi="Arial"/>
          <w:i/>
          <w:spacing w:val="-4"/>
          <w:sz w:val="20"/>
        </w:rPr>
        <w:t xml:space="preserve"> </w:t>
      </w:r>
      <w:r>
        <w:rPr>
          <w:rFonts w:ascii="Arial" w:hAnsi="Arial"/>
          <w:i/>
          <w:sz w:val="20"/>
        </w:rPr>
        <w:t>del</w:t>
      </w:r>
      <w:r>
        <w:rPr>
          <w:rFonts w:ascii="Arial" w:hAnsi="Arial"/>
          <w:i/>
          <w:spacing w:val="-4"/>
          <w:sz w:val="20"/>
        </w:rPr>
        <w:t xml:space="preserve"> </w:t>
      </w:r>
      <w:r>
        <w:rPr>
          <w:rFonts w:ascii="Arial" w:hAnsi="Arial"/>
          <w:i/>
          <w:sz w:val="20"/>
        </w:rPr>
        <w:t>contrato</w:t>
      </w:r>
      <w:r>
        <w:rPr>
          <w:rFonts w:ascii="Arial" w:hAnsi="Arial"/>
          <w:i/>
          <w:spacing w:val="-4"/>
          <w:sz w:val="20"/>
        </w:rPr>
        <w:t xml:space="preserve"> </w:t>
      </w:r>
      <w:r>
        <w:rPr>
          <w:rFonts w:ascii="Arial" w:hAnsi="Arial"/>
          <w:i/>
          <w:sz w:val="20"/>
        </w:rPr>
        <w:t>y</w:t>
      </w:r>
      <w:r>
        <w:rPr>
          <w:rFonts w:ascii="Arial" w:hAnsi="Arial"/>
          <w:i/>
          <w:spacing w:val="-4"/>
          <w:sz w:val="20"/>
        </w:rPr>
        <w:t xml:space="preserve"> </w:t>
      </w:r>
      <w:r>
        <w:rPr>
          <w:rFonts w:ascii="Arial" w:hAnsi="Arial"/>
          <w:i/>
          <w:sz w:val="20"/>
        </w:rPr>
        <w:t>mantenimiento</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su</w:t>
      </w:r>
      <w:r>
        <w:rPr>
          <w:rFonts w:ascii="Arial" w:hAnsi="Arial"/>
          <w:i/>
          <w:spacing w:val="-4"/>
          <w:sz w:val="20"/>
        </w:rPr>
        <w:t xml:space="preserve"> </w:t>
      </w:r>
      <w:r>
        <w:rPr>
          <w:rFonts w:ascii="Arial" w:hAnsi="Arial"/>
          <w:i/>
          <w:sz w:val="20"/>
        </w:rPr>
        <w:t>equilibrio</w:t>
      </w:r>
      <w:r>
        <w:rPr>
          <w:rFonts w:ascii="Arial" w:hAnsi="Arial"/>
          <w:i/>
          <w:spacing w:val="-3"/>
          <w:sz w:val="20"/>
        </w:rPr>
        <w:t xml:space="preserve"> </w:t>
      </w:r>
      <w:r>
        <w:rPr>
          <w:rFonts w:ascii="Arial" w:hAnsi="Arial"/>
          <w:i/>
          <w:spacing w:val="-2"/>
          <w:sz w:val="20"/>
        </w:rPr>
        <w:t>económico.</w:t>
      </w:r>
    </w:p>
    <w:p w:rsidR="0092635B" w:rsidRDefault="00000000">
      <w:pPr>
        <w:pStyle w:val="Prrafodelista"/>
        <w:numPr>
          <w:ilvl w:val="0"/>
          <w:numId w:val="103"/>
        </w:numPr>
        <w:tabs>
          <w:tab w:val="left" w:pos="1714"/>
        </w:tabs>
        <w:spacing w:before="123" w:line="249" w:lineRule="auto"/>
        <w:ind w:firstLine="340"/>
        <w:jc w:val="both"/>
        <w:rPr>
          <w:sz w:val="20"/>
        </w:rPr>
      </w:pPr>
      <w:r>
        <w:rPr>
          <w:sz w:val="20"/>
        </w:rPr>
        <w:t>La Administración podrá modificar las características del servicio contratado y las tarifas que han de ser abonadas por los usuarios, únicamente por razones de interés público y si concurren las circunstancias previstas en la Subsección 4.ª de la Sección 3.ª del</w:t>
      </w:r>
      <w:r>
        <w:rPr>
          <w:spacing w:val="40"/>
          <w:sz w:val="20"/>
        </w:rPr>
        <w:t xml:space="preserve"> </w:t>
      </w:r>
      <w:r>
        <w:rPr>
          <w:sz w:val="20"/>
        </w:rPr>
        <w:t>Capítulo I del Título I del Libro Segundo de la presente Ley.</w:t>
      </w:r>
    </w:p>
    <w:p w:rsidR="0092635B" w:rsidRDefault="00000000">
      <w:pPr>
        <w:pStyle w:val="Prrafodelista"/>
        <w:numPr>
          <w:ilvl w:val="0"/>
          <w:numId w:val="103"/>
        </w:numPr>
        <w:tabs>
          <w:tab w:val="left" w:pos="1721"/>
        </w:tabs>
        <w:spacing w:before="3" w:line="249" w:lineRule="auto"/>
        <w:ind w:right="1104" w:firstLine="340"/>
        <w:jc w:val="both"/>
        <w:rPr>
          <w:sz w:val="20"/>
        </w:rPr>
      </w:pPr>
      <w:r>
        <w:rPr>
          <w:sz w:val="20"/>
        </w:rPr>
        <w:t xml:space="preserve">Cuando las modificaciones afecten al régimen financiero del contrato, se deberá compensar a la parte correspondiente de manera que se mantenga el equilibrio de los supuestos económicos que fueron considerados como básicos en la adjudicación del </w:t>
      </w:r>
      <w:r>
        <w:rPr>
          <w:spacing w:val="-2"/>
          <w:sz w:val="20"/>
        </w:rPr>
        <w:t>contrato.</w:t>
      </w:r>
    </w:p>
    <w:p w:rsidR="0092635B" w:rsidRDefault="00000000">
      <w:pPr>
        <w:pStyle w:val="Prrafodelista"/>
        <w:numPr>
          <w:ilvl w:val="0"/>
          <w:numId w:val="103"/>
        </w:numPr>
        <w:tabs>
          <w:tab w:val="left" w:pos="1680"/>
        </w:tabs>
        <w:spacing w:before="4" w:line="249" w:lineRule="auto"/>
        <w:ind w:right="1104" w:firstLine="340"/>
        <w:jc w:val="both"/>
        <w:rPr>
          <w:sz w:val="20"/>
        </w:rPr>
      </w:pPr>
      <w:r>
        <w:rPr>
          <w:sz w:val="20"/>
        </w:rPr>
        <w:t>En el caso de que los acuerdos que dicte la Administración respecto al desarrollo del servicio carezcan de trascendencia económica, el concesionario no tendrá derecho a indemnización por razón de los mismos.</w:t>
      </w:r>
    </w:p>
    <w:p w:rsidR="0092635B" w:rsidRDefault="00000000">
      <w:pPr>
        <w:pStyle w:val="Prrafodelista"/>
        <w:numPr>
          <w:ilvl w:val="0"/>
          <w:numId w:val="103"/>
        </w:numPr>
        <w:tabs>
          <w:tab w:val="left" w:pos="1695"/>
        </w:tabs>
        <w:spacing w:line="249" w:lineRule="auto"/>
        <w:ind w:right="1104" w:firstLine="340"/>
        <w:jc w:val="both"/>
        <w:rPr>
          <w:sz w:val="20"/>
        </w:rPr>
      </w:pPr>
      <w:r>
        <w:rPr>
          <w:sz w:val="20"/>
        </w:rPr>
        <w:t>Se deberá restablecer el equilibrio económico del contrato, en beneficio de la parte que corresponda, en los siguientes supuestos:</w:t>
      </w:r>
    </w:p>
    <w:p w:rsidR="0092635B" w:rsidRDefault="00000000">
      <w:pPr>
        <w:pStyle w:val="Prrafodelista"/>
        <w:numPr>
          <w:ilvl w:val="1"/>
          <w:numId w:val="103"/>
        </w:numPr>
        <w:tabs>
          <w:tab w:val="left" w:pos="1691"/>
        </w:tabs>
        <w:spacing w:before="122" w:line="249" w:lineRule="auto"/>
        <w:ind w:right="1104" w:firstLine="340"/>
        <w:jc w:val="both"/>
        <w:rPr>
          <w:sz w:val="20"/>
        </w:rPr>
      </w:pPr>
      <w:r>
        <w:rPr>
          <w:sz w:val="20"/>
        </w:rPr>
        <w:t>Cuando la Administración realice una modificación de las señaladas en el apartado 1 del presente artículo concurriendo las circunstancias allí establecidas.</w:t>
      </w:r>
    </w:p>
    <w:p w:rsidR="0092635B" w:rsidRDefault="00000000">
      <w:pPr>
        <w:pStyle w:val="Prrafodelista"/>
        <w:numPr>
          <w:ilvl w:val="1"/>
          <w:numId w:val="103"/>
        </w:numPr>
        <w:tabs>
          <w:tab w:val="left" w:pos="1756"/>
        </w:tabs>
        <w:spacing w:before="1" w:line="249" w:lineRule="auto"/>
        <w:ind w:firstLine="340"/>
        <w:jc w:val="both"/>
        <w:rPr>
          <w:sz w:val="20"/>
        </w:rPr>
      </w:pPr>
      <w:r>
        <w:rPr>
          <w:sz w:val="20"/>
        </w:rPr>
        <w:t>Cuando actuaciones de la Administración Pública concedente, por su carácter obligatorio para el concesionario determinaran de forma directa la ruptura sustancial de la economía del contrato.</w:t>
      </w:r>
    </w:p>
    <w:p w:rsidR="0092635B" w:rsidRDefault="00000000">
      <w:pPr>
        <w:pStyle w:val="Textoindependiente"/>
        <w:spacing w:before="123" w:line="249" w:lineRule="auto"/>
        <w:ind w:right="1103"/>
      </w:pPr>
      <w:r>
        <w:t>Fuera de los casos previstos en las letras anteriores, únicamente procederá el restablecimiento del equilibrio económico del contrato cuando causas de fuerza mayor determinaran de forma directa la ruptura sustancial de la economía del contrato. A estos efectos, se entenderá por causas de fuerza mayor las enumeradas en el artículo 239 de la presente Ley.</w:t>
      </w:r>
    </w:p>
    <w:p w:rsidR="0092635B" w:rsidRDefault="00000000">
      <w:pPr>
        <w:pStyle w:val="Textoindependiente"/>
        <w:spacing w:before="4" w:line="249" w:lineRule="auto"/>
        <w:ind w:right="1104"/>
      </w:pPr>
      <w:r>
        <w:t>En todo caso, no existirá derecho al restablecimiento del equilibrio económico financiero por incumplimiento de las previsiones de la demanda recogidas en el estudio de la Administración o en el estudio que haya podido realizar el concesionario.</w:t>
      </w:r>
    </w:p>
    <w:p w:rsidR="0092635B" w:rsidRDefault="00000000">
      <w:pPr>
        <w:pStyle w:val="Prrafodelista"/>
        <w:numPr>
          <w:ilvl w:val="0"/>
          <w:numId w:val="103"/>
        </w:numPr>
        <w:tabs>
          <w:tab w:val="left" w:pos="1694"/>
        </w:tabs>
        <w:spacing w:line="249" w:lineRule="auto"/>
        <w:ind w:firstLine="340"/>
        <w:jc w:val="both"/>
        <w:rPr>
          <w:sz w:val="20"/>
        </w:rPr>
      </w:pPr>
      <w:r>
        <w:rPr>
          <w:sz w:val="20"/>
        </w:rPr>
        <w:t>En los supuestos previstos en el apartado anterior, el restablecimiento del equilibrio económico del contrato se realizará mediante la adopción de las medidas que en cada caso procedan.</w:t>
      </w:r>
      <w:r>
        <w:rPr>
          <w:spacing w:val="10"/>
          <w:sz w:val="20"/>
        </w:rPr>
        <w:t xml:space="preserve"> </w:t>
      </w:r>
      <w:r>
        <w:rPr>
          <w:sz w:val="20"/>
        </w:rPr>
        <w:t>Estas</w:t>
      </w:r>
      <w:r>
        <w:rPr>
          <w:spacing w:val="13"/>
          <w:sz w:val="20"/>
        </w:rPr>
        <w:t xml:space="preserve"> </w:t>
      </w:r>
      <w:r>
        <w:rPr>
          <w:sz w:val="20"/>
        </w:rPr>
        <w:t>medidas</w:t>
      </w:r>
      <w:r>
        <w:rPr>
          <w:spacing w:val="12"/>
          <w:sz w:val="20"/>
        </w:rPr>
        <w:t xml:space="preserve"> </w:t>
      </w:r>
      <w:r>
        <w:rPr>
          <w:sz w:val="20"/>
        </w:rPr>
        <w:t>podrán</w:t>
      </w:r>
      <w:r>
        <w:rPr>
          <w:spacing w:val="13"/>
          <w:sz w:val="20"/>
        </w:rPr>
        <w:t xml:space="preserve"> </w:t>
      </w:r>
      <w:r>
        <w:rPr>
          <w:sz w:val="20"/>
        </w:rPr>
        <w:t>consistir</w:t>
      </w:r>
      <w:r>
        <w:rPr>
          <w:spacing w:val="13"/>
          <w:sz w:val="20"/>
        </w:rPr>
        <w:t xml:space="preserve"> </w:t>
      </w:r>
      <w:r>
        <w:rPr>
          <w:sz w:val="20"/>
        </w:rPr>
        <w:t>en</w:t>
      </w:r>
      <w:r>
        <w:rPr>
          <w:spacing w:val="12"/>
          <w:sz w:val="20"/>
        </w:rPr>
        <w:t xml:space="preserve"> </w:t>
      </w:r>
      <w:r>
        <w:rPr>
          <w:sz w:val="20"/>
        </w:rPr>
        <w:t>la</w:t>
      </w:r>
      <w:r>
        <w:rPr>
          <w:spacing w:val="13"/>
          <w:sz w:val="20"/>
        </w:rPr>
        <w:t xml:space="preserve"> </w:t>
      </w:r>
      <w:r>
        <w:rPr>
          <w:sz w:val="20"/>
        </w:rPr>
        <w:t>modificación</w:t>
      </w:r>
      <w:r>
        <w:rPr>
          <w:spacing w:val="13"/>
          <w:sz w:val="20"/>
        </w:rPr>
        <w:t xml:space="preserve"> </w:t>
      </w:r>
      <w:r>
        <w:rPr>
          <w:sz w:val="20"/>
        </w:rPr>
        <w:t>de</w:t>
      </w:r>
      <w:r>
        <w:rPr>
          <w:spacing w:val="12"/>
          <w:sz w:val="20"/>
        </w:rPr>
        <w:t xml:space="preserve"> </w:t>
      </w:r>
      <w:r>
        <w:rPr>
          <w:sz w:val="20"/>
        </w:rPr>
        <w:t>las</w:t>
      </w:r>
      <w:r>
        <w:rPr>
          <w:spacing w:val="13"/>
          <w:sz w:val="20"/>
        </w:rPr>
        <w:t xml:space="preserve"> </w:t>
      </w:r>
      <w:r>
        <w:rPr>
          <w:sz w:val="20"/>
        </w:rPr>
        <w:t>tarifas</w:t>
      </w:r>
      <w:r>
        <w:rPr>
          <w:spacing w:val="13"/>
          <w:sz w:val="20"/>
        </w:rPr>
        <w:t xml:space="preserve"> </w:t>
      </w:r>
      <w:r>
        <w:rPr>
          <w:sz w:val="20"/>
        </w:rPr>
        <w:t>a</w:t>
      </w:r>
      <w:r>
        <w:rPr>
          <w:spacing w:val="12"/>
          <w:sz w:val="20"/>
        </w:rPr>
        <w:t xml:space="preserve"> </w:t>
      </w:r>
      <w:r>
        <w:rPr>
          <w:sz w:val="20"/>
        </w:rPr>
        <w:t>abonar</w:t>
      </w:r>
      <w:r>
        <w:rPr>
          <w:spacing w:val="13"/>
          <w:sz w:val="20"/>
        </w:rPr>
        <w:t xml:space="preserve"> </w:t>
      </w:r>
      <w:r>
        <w:rPr>
          <w:sz w:val="20"/>
        </w:rPr>
        <w:t>por</w:t>
      </w:r>
      <w:r>
        <w:rPr>
          <w:spacing w:val="13"/>
          <w:sz w:val="20"/>
        </w:rPr>
        <w:t xml:space="preserve"> </w:t>
      </w:r>
      <w:r>
        <w:rPr>
          <w:spacing w:val="-5"/>
          <w:sz w:val="20"/>
        </w:rPr>
        <w:t>los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hanging="1"/>
      </w:pPr>
      <w:r>
        <w:t>usuarios, la modificación de la retribución a abonar por la Administración concedente, la reducción del plazo de la concesión y, en general, en cualquier modificación de las cláusulas de</w:t>
      </w:r>
      <w:r>
        <w:rPr>
          <w:spacing w:val="-1"/>
        </w:rPr>
        <w:t xml:space="preserve"> </w:t>
      </w:r>
      <w:r>
        <w:t>contenido</w:t>
      </w:r>
      <w:r>
        <w:rPr>
          <w:spacing w:val="-1"/>
        </w:rPr>
        <w:t xml:space="preserve"> </w:t>
      </w:r>
      <w:r>
        <w:t>económico incluidas</w:t>
      </w:r>
      <w:r>
        <w:rPr>
          <w:spacing w:val="-1"/>
        </w:rPr>
        <w:t xml:space="preserve"> </w:t>
      </w:r>
      <w:r>
        <w:t>en el</w:t>
      </w:r>
      <w:r>
        <w:rPr>
          <w:spacing w:val="-1"/>
        </w:rPr>
        <w:t xml:space="preserve"> </w:t>
      </w:r>
      <w:r>
        <w:t>contrato. Asimismo,</w:t>
      </w:r>
      <w:r>
        <w:rPr>
          <w:spacing w:val="-1"/>
        </w:rPr>
        <w:t xml:space="preserve"> </w:t>
      </w:r>
      <w:r>
        <w:t>en</w:t>
      </w:r>
      <w:r>
        <w:rPr>
          <w:spacing w:val="-1"/>
        </w:rPr>
        <w:t xml:space="preserve"> </w:t>
      </w:r>
      <w:r>
        <w:t>los casos</w:t>
      </w:r>
      <w:r>
        <w:rPr>
          <w:spacing w:val="-1"/>
        </w:rPr>
        <w:t xml:space="preserve"> </w:t>
      </w:r>
      <w:r>
        <w:t>previstos en</w:t>
      </w:r>
      <w:r>
        <w:rPr>
          <w:spacing w:val="-1"/>
        </w:rPr>
        <w:t xml:space="preserve"> </w:t>
      </w:r>
      <w:r>
        <w:t xml:space="preserve">la </w:t>
      </w:r>
      <w:r>
        <w:rPr>
          <w:spacing w:val="-2"/>
        </w:rPr>
        <w:t>letra</w:t>
      </w:r>
    </w:p>
    <w:p w:rsidR="0092635B" w:rsidRDefault="00000000">
      <w:pPr>
        <w:pStyle w:val="Textoindependiente"/>
        <w:spacing w:line="249" w:lineRule="auto"/>
        <w:ind w:right="1105" w:hanging="1"/>
      </w:pPr>
      <w:r>
        <w:t>b) y en el último párrafo del apartado anterior, podrá ampliarse el plazo del contrato por un período que no exceda de un 15 por ciento de su duración inicial, respetando los límites máximos de duración previstos legalmente.</w:t>
      </w:r>
    </w:p>
    <w:p w:rsidR="0092635B" w:rsidRDefault="00000000">
      <w:pPr>
        <w:pStyle w:val="Prrafodelista"/>
        <w:numPr>
          <w:ilvl w:val="0"/>
          <w:numId w:val="103"/>
        </w:numPr>
        <w:tabs>
          <w:tab w:val="left" w:pos="1795"/>
        </w:tabs>
        <w:spacing w:before="3" w:line="249" w:lineRule="auto"/>
        <w:ind w:right="1104" w:firstLine="340"/>
        <w:jc w:val="both"/>
        <w:rPr>
          <w:sz w:val="20"/>
        </w:rPr>
      </w:pPr>
      <w:r>
        <w:rPr>
          <w:sz w:val="20"/>
        </w:rPr>
        <w:t xml:space="preserve">El contratista tendrá derecho a desistir del contrato cuando este resulte extraordinariamente oneroso para él, como consecuencia de una de las siguientes </w:t>
      </w:r>
      <w:r>
        <w:rPr>
          <w:spacing w:val="-2"/>
          <w:sz w:val="20"/>
        </w:rPr>
        <w:t>circunstancias:</w:t>
      </w:r>
    </w:p>
    <w:p w:rsidR="0092635B" w:rsidRDefault="00000000">
      <w:pPr>
        <w:pStyle w:val="Prrafodelista"/>
        <w:numPr>
          <w:ilvl w:val="1"/>
          <w:numId w:val="103"/>
        </w:numPr>
        <w:tabs>
          <w:tab w:val="left" w:pos="1738"/>
        </w:tabs>
        <w:spacing w:before="122" w:line="249" w:lineRule="auto"/>
        <w:ind w:right="1104" w:firstLine="340"/>
        <w:jc w:val="both"/>
        <w:rPr>
          <w:sz w:val="20"/>
        </w:rPr>
      </w:pPr>
      <w:r>
        <w:rPr>
          <w:sz w:val="20"/>
        </w:rPr>
        <w:t>La aprobación de una disposición general por una Administración distinta de la concedente con posterioridad a la formalización del contrato.</w:t>
      </w:r>
    </w:p>
    <w:p w:rsidR="0092635B" w:rsidRDefault="00000000">
      <w:pPr>
        <w:pStyle w:val="Prrafodelista"/>
        <w:numPr>
          <w:ilvl w:val="1"/>
          <w:numId w:val="103"/>
        </w:numPr>
        <w:tabs>
          <w:tab w:val="left" w:pos="1776"/>
        </w:tabs>
        <w:spacing w:line="249" w:lineRule="auto"/>
        <w:ind w:right="1104" w:firstLine="340"/>
        <w:jc w:val="both"/>
        <w:rPr>
          <w:sz w:val="20"/>
        </w:rPr>
      </w:pPr>
      <w:r>
        <w:rPr>
          <w:sz w:val="20"/>
        </w:rPr>
        <w:t>Cuando el concesionario deba incorporar, por venir obligado a ello legal o contractualmente, a las obras o a su explotación avances técnicos que las mejoren notoriamente</w:t>
      </w:r>
      <w:r>
        <w:rPr>
          <w:spacing w:val="-1"/>
          <w:sz w:val="20"/>
        </w:rPr>
        <w:t xml:space="preserve"> </w:t>
      </w:r>
      <w:r>
        <w:rPr>
          <w:sz w:val="20"/>
        </w:rPr>
        <w:t>y</w:t>
      </w:r>
      <w:r>
        <w:rPr>
          <w:spacing w:val="-1"/>
          <w:sz w:val="20"/>
        </w:rPr>
        <w:t xml:space="preserve"> </w:t>
      </w:r>
      <w:r>
        <w:rPr>
          <w:sz w:val="20"/>
        </w:rPr>
        <w:t>cuya</w:t>
      </w:r>
      <w:r>
        <w:rPr>
          <w:spacing w:val="-1"/>
          <w:sz w:val="20"/>
        </w:rPr>
        <w:t xml:space="preserve"> </w:t>
      </w:r>
      <w:r>
        <w:rPr>
          <w:sz w:val="20"/>
        </w:rPr>
        <w:t>disponibilidad</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mercado,</w:t>
      </w:r>
      <w:r>
        <w:rPr>
          <w:spacing w:val="-1"/>
          <w:sz w:val="20"/>
        </w:rPr>
        <w:t xml:space="preserve"> </w:t>
      </w:r>
      <w:r>
        <w:rPr>
          <w:sz w:val="20"/>
        </w:rPr>
        <w:t>de</w:t>
      </w:r>
      <w:r>
        <w:rPr>
          <w:spacing w:val="-1"/>
          <w:sz w:val="20"/>
        </w:rPr>
        <w:t xml:space="preserve"> </w:t>
      </w:r>
      <w:r>
        <w:rPr>
          <w:sz w:val="20"/>
        </w:rPr>
        <w:t>acuerdo</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estado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técnica,</w:t>
      </w:r>
      <w:r>
        <w:rPr>
          <w:spacing w:val="-1"/>
          <w:sz w:val="20"/>
        </w:rPr>
        <w:t xml:space="preserve"> </w:t>
      </w:r>
      <w:r>
        <w:rPr>
          <w:sz w:val="20"/>
        </w:rPr>
        <w:t>se haya producido con posterioridad a la formalización del contrato.</w:t>
      </w:r>
    </w:p>
    <w:p w:rsidR="0092635B" w:rsidRDefault="00000000">
      <w:pPr>
        <w:pStyle w:val="Textoindependiente"/>
        <w:spacing w:before="123" w:line="249" w:lineRule="auto"/>
        <w:ind w:right="1103"/>
      </w:pPr>
      <w:r>
        <w:t>Se entenderá que el cumplimiento del contrato deviene extraordinariamente oneroso</w:t>
      </w:r>
      <w:r>
        <w:rPr>
          <w:spacing w:val="40"/>
        </w:rPr>
        <w:t xml:space="preserve"> </w:t>
      </w:r>
      <w:r>
        <w:t>para el concesionario cuando la incidencia de las disposiciones de las Administraciones o el importe de las mejoras técnicas que deban incorporarse supongan un incremento neto anualizado de los costes de, al menos, el 5 por ciento del importe neto de la cifra de</w:t>
      </w:r>
      <w:r>
        <w:rPr>
          <w:spacing w:val="40"/>
        </w:rPr>
        <w:t xml:space="preserve"> </w:t>
      </w:r>
      <w:r>
        <w:t>negocios de la concesión por el período que reste hasta la conclusión de la misma. Para el cálculo del incremento se deducirán, en su caso, los posibles ingresos adicionales que la medida pudiera generar.</w:t>
      </w:r>
    </w:p>
    <w:p w:rsidR="0092635B" w:rsidRDefault="00000000">
      <w:pPr>
        <w:pStyle w:val="Textoindependiente"/>
        <w:spacing w:before="6" w:line="249" w:lineRule="auto"/>
        <w:ind w:right="1106"/>
      </w:pPr>
      <w:r>
        <w:t xml:space="preserve">Cuando el contratista desistiera del contrato como consecuencia de lo establecido en este apartado la resolución no dará derecho a indemnización alguna para ninguna de las </w:t>
      </w:r>
      <w:r>
        <w:rPr>
          <w:spacing w:val="-2"/>
        </w:rPr>
        <w:t>partes.</w:t>
      </w:r>
    </w:p>
    <w:p w:rsidR="0092635B" w:rsidRDefault="00000000">
      <w:pPr>
        <w:pStyle w:val="Ttulo3"/>
        <w:spacing w:before="229"/>
      </w:pPr>
      <w:bookmarkStart w:id="475" w:name="Sección_5.ª_Cumplimiento_y_efectos_del_c"/>
      <w:bookmarkStart w:id="476" w:name="_bookmark94"/>
      <w:bookmarkEnd w:id="475"/>
      <w:bookmarkEnd w:id="476"/>
      <w:r>
        <w:t>Sección</w:t>
      </w:r>
      <w:r>
        <w:rPr>
          <w:spacing w:val="-1"/>
        </w:rPr>
        <w:t xml:space="preserve"> </w:t>
      </w:r>
      <w:r>
        <w:t>5.ª</w:t>
      </w:r>
      <w:r>
        <w:rPr>
          <w:spacing w:val="-1"/>
        </w:rPr>
        <w:t xml:space="preserve"> </w:t>
      </w:r>
      <w:r>
        <w:t>Cumplimiento</w:t>
      </w:r>
      <w:r>
        <w:rPr>
          <w:spacing w:val="-1"/>
        </w:rPr>
        <w:t xml:space="preserve"> </w:t>
      </w:r>
      <w:r>
        <w:t>y</w:t>
      </w:r>
      <w:r>
        <w:rPr>
          <w:spacing w:val="-1"/>
        </w:rPr>
        <w:t xml:space="preserve"> </w:t>
      </w:r>
      <w:r>
        <w:t>efectos</w:t>
      </w:r>
      <w:r>
        <w:rPr>
          <w:spacing w:val="-1"/>
        </w:rPr>
        <w:t xml:space="preserve"> </w:t>
      </w:r>
      <w:r>
        <w:t>del</w:t>
      </w:r>
      <w:r>
        <w:rPr>
          <w:spacing w:val="-1"/>
        </w:rPr>
        <w:t xml:space="preserve"> </w:t>
      </w:r>
      <w:r>
        <w:t>contrato</w:t>
      </w:r>
      <w:r>
        <w:rPr>
          <w:spacing w:val="-1"/>
        </w:rPr>
        <w:t xml:space="preserve"> </w:t>
      </w:r>
      <w:r>
        <w:t>de</w:t>
      </w:r>
      <w:r>
        <w:rPr>
          <w:spacing w:val="-1"/>
        </w:rPr>
        <w:t xml:space="preserve"> </w:t>
      </w:r>
      <w:r>
        <w:t>concesión</w:t>
      </w:r>
      <w:r>
        <w:rPr>
          <w:spacing w:val="-1"/>
        </w:rPr>
        <w:t xml:space="preserve"> </w:t>
      </w:r>
      <w:r>
        <w:t>de</w:t>
      </w:r>
      <w:r>
        <w:rPr>
          <w:spacing w:val="-1"/>
        </w:rPr>
        <w:t xml:space="preserve"> </w:t>
      </w:r>
      <w:r>
        <w:rPr>
          <w:spacing w:val="-2"/>
        </w:rPr>
        <w:t>servicios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77" w:name="Artículo_291._Reversión."/>
      <w:bookmarkEnd w:id="477"/>
      <w:r>
        <w:rPr>
          <w:rFonts w:ascii="Arial" w:hAnsi="Arial"/>
          <w:b/>
          <w:sz w:val="20"/>
        </w:rPr>
        <w:t>Artículo 291.</w:t>
      </w:r>
      <w:r>
        <w:rPr>
          <w:rFonts w:ascii="Arial" w:hAnsi="Arial"/>
          <w:b/>
          <w:spacing w:val="54"/>
          <w:sz w:val="20"/>
        </w:rPr>
        <w:t xml:space="preserve"> </w:t>
      </w:r>
      <w:r>
        <w:rPr>
          <w:rFonts w:ascii="Arial" w:hAnsi="Arial"/>
          <w:i/>
          <w:spacing w:val="-2"/>
          <w:sz w:val="20"/>
        </w:rPr>
        <w:t>Reversión.</w:t>
      </w:r>
    </w:p>
    <w:p w:rsidR="0092635B" w:rsidRDefault="00000000">
      <w:pPr>
        <w:pStyle w:val="Prrafodelista"/>
        <w:numPr>
          <w:ilvl w:val="0"/>
          <w:numId w:val="102"/>
        </w:numPr>
        <w:tabs>
          <w:tab w:val="left" w:pos="1679"/>
        </w:tabs>
        <w:spacing w:before="123" w:line="249" w:lineRule="auto"/>
        <w:ind w:right="1105" w:firstLine="340"/>
        <w:jc w:val="both"/>
        <w:rPr>
          <w:sz w:val="20"/>
        </w:rPr>
      </w:pPr>
      <w:r>
        <w:rPr>
          <w:sz w:val="20"/>
        </w:rPr>
        <w:t>Finalizado el plazo de la concesión, el servicio revertirá a la Administración, debiendo el contratista entregar las obras e instalaciones a que esté obligado con arreglo al contrato y en el estado de conservación y funcionamiento adecuados.</w:t>
      </w:r>
    </w:p>
    <w:p w:rsidR="0092635B" w:rsidRDefault="00000000">
      <w:pPr>
        <w:pStyle w:val="Prrafodelista"/>
        <w:numPr>
          <w:ilvl w:val="0"/>
          <w:numId w:val="102"/>
        </w:numPr>
        <w:tabs>
          <w:tab w:val="left" w:pos="1680"/>
        </w:tabs>
        <w:spacing w:before="3" w:line="249" w:lineRule="auto"/>
        <w:ind w:right="1104" w:firstLine="340"/>
        <w:jc w:val="both"/>
        <w:rPr>
          <w:sz w:val="20"/>
        </w:rPr>
      </w:pPr>
      <w:r>
        <w:rPr>
          <w:sz w:val="20"/>
        </w:rPr>
        <w:t>Durante un período prudencial anterior a la reversión, que deberá fijarse en el pliego,</w:t>
      </w:r>
      <w:r>
        <w:rPr>
          <w:spacing w:val="40"/>
          <w:sz w:val="20"/>
        </w:rPr>
        <w:t xml:space="preserve"> </w:t>
      </w:r>
      <w:r>
        <w:rPr>
          <w:sz w:val="20"/>
        </w:rPr>
        <w:t>el órgano competente de la Administración adoptará las disposiciones encaminadas a que la entrega de los bienes se verifique en las condiciones convenidas.</w:t>
      </w:r>
    </w:p>
    <w:p w:rsidR="0092635B" w:rsidRDefault="00000000">
      <w:pPr>
        <w:pStyle w:val="Prrafodelista"/>
        <w:numPr>
          <w:ilvl w:val="0"/>
          <w:numId w:val="102"/>
        </w:numPr>
        <w:tabs>
          <w:tab w:val="left" w:pos="1670"/>
        </w:tabs>
        <w:spacing w:line="249" w:lineRule="auto"/>
        <w:ind w:firstLine="340"/>
        <w:jc w:val="both"/>
        <w:rPr>
          <w:sz w:val="20"/>
        </w:rPr>
      </w:pPr>
      <w:r>
        <w:rPr>
          <w:sz w:val="20"/>
        </w:rPr>
        <w:t>Los bienes afectos a la concesión que vayan a revertir a la Administración en virtud de lo establecido en el presente artículo, no podrán ser objeto de embargo.</w:t>
      </w:r>
    </w:p>
    <w:p w:rsidR="0092635B" w:rsidRDefault="00000000">
      <w:pPr>
        <w:spacing w:before="228"/>
        <w:ind w:left="1106"/>
        <w:rPr>
          <w:rFonts w:ascii="Arial" w:hAnsi="Arial"/>
          <w:i/>
          <w:sz w:val="20"/>
        </w:rPr>
      </w:pPr>
      <w:bookmarkStart w:id="478" w:name="Artículo_292._Falta_de_entrega_de_contra"/>
      <w:bookmarkEnd w:id="478"/>
      <w:r>
        <w:rPr>
          <w:rFonts w:ascii="Arial" w:hAnsi="Arial"/>
          <w:b/>
          <w:sz w:val="20"/>
        </w:rPr>
        <w:t>Artículo</w:t>
      </w:r>
      <w:r>
        <w:rPr>
          <w:rFonts w:ascii="Arial" w:hAnsi="Arial"/>
          <w:b/>
          <w:spacing w:val="-2"/>
          <w:sz w:val="20"/>
        </w:rPr>
        <w:t xml:space="preserve"> </w:t>
      </w:r>
      <w:r>
        <w:rPr>
          <w:rFonts w:ascii="Arial" w:hAnsi="Arial"/>
          <w:b/>
          <w:sz w:val="20"/>
        </w:rPr>
        <w:t>292.</w:t>
      </w:r>
      <w:r>
        <w:rPr>
          <w:rFonts w:ascii="Arial" w:hAnsi="Arial"/>
          <w:b/>
          <w:spacing w:val="52"/>
          <w:sz w:val="20"/>
        </w:rPr>
        <w:t xml:space="preserve"> </w:t>
      </w:r>
      <w:r>
        <w:rPr>
          <w:rFonts w:ascii="Arial" w:hAnsi="Arial"/>
          <w:i/>
          <w:sz w:val="20"/>
        </w:rPr>
        <w:t>Falta</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entrega</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contraprestaciones</w:t>
      </w:r>
      <w:r>
        <w:rPr>
          <w:rFonts w:ascii="Arial" w:hAnsi="Arial"/>
          <w:i/>
          <w:spacing w:val="-1"/>
          <w:sz w:val="20"/>
        </w:rPr>
        <w:t xml:space="preserve"> </w:t>
      </w:r>
      <w:r>
        <w:rPr>
          <w:rFonts w:ascii="Arial" w:hAnsi="Arial"/>
          <w:i/>
          <w:sz w:val="20"/>
        </w:rPr>
        <w:t>económicas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medios</w:t>
      </w:r>
      <w:r>
        <w:rPr>
          <w:rFonts w:ascii="Arial" w:hAnsi="Arial"/>
          <w:i/>
          <w:spacing w:val="-1"/>
          <w:sz w:val="20"/>
        </w:rPr>
        <w:t xml:space="preserve"> </w:t>
      </w:r>
      <w:r>
        <w:rPr>
          <w:rFonts w:ascii="Arial" w:hAnsi="Arial"/>
          <w:i/>
          <w:spacing w:val="-2"/>
          <w:sz w:val="20"/>
        </w:rPr>
        <w:t>auxiliares.</w:t>
      </w:r>
    </w:p>
    <w:p w:rsidR="0092635B" w:rsidRDefault="00000000">
      <w:pPr>
        <w:pStyle w:val="Textoindependiente"/>
        <w:spacing w:before="124" w:line="249" w:lineRule="auto"/>
        <w:ind w:right="1104"/>
      </w:pPr>
      <w:r>
        <w:t>Si la Administración no hiciere efectiva al concesionario la contraprestación económica o no entregare los medios auxiliares a que se obligó en el contrato dentro de los plazos previstos en el mismo y no procediese la resolución del contrato o no la solicitase el concesionario, este tendrá derecho al interés de demora de las cantidades o valores económicos que aquellos signifiquen, de conformidad con lo establecido en el artículo 198.</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479" w:name="Artículo_293._Incumplimiento_del_concesi"/>
      <w:bookmarkEnd w:id="479"/>
      <w:r>
        <w:rPr>
          <w:rFonts w:ascii="Arial" w:hAnsi="Arial"/>
          <w:b/>
          <w:sz w:val="20"/>
        </w:rPr>
        <w:t>Artículo</w:t>
      </w:r>
      <w:r>
        <w:rPr>
          <w:rFonts w:ascii="Arial" w:hAnsi="Arial"/>
          <w:b/>
          <w:spacing w:val="-4"/>
          <w:sz w:val="20"/>
        </w:rPr>
        <w:t xml:space="preserve"> </w:t>
      </w:r>
      <w:r>
        <w:rPr>
          <w:rFonts w:ascii="Arial" w:hAnsi="Arial"/>
          <w:b/>
          <w:sz w:val="20"/>
        </w:rPr>
        <w:t>293.</w:t>
      </w:r>
      <w:r>
        <w:rPr>
          <w:rFonts w:ascii="Arial" w:hAnsi="Arial"/>
          <w:b/>
          <w:spacing w:val="49"/>
          <w:sz w:val="20"/>
        </w:rPr>
        <w:t xml:space="preserve"> </w:t>
      </w:r>
      <w:r>
        <w:rPr>
          <w:rFonts w:ascii="Arial" w:hAnsi="Arial"/>
          <w:i/>
          <w:sz w:val="20"/>
        </w:rPr>
        <w:t>Incumplimiento</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pacing w:val="-2"/>
          <w:sz w:val="20"/>
        </w:rPr>
        <w:t>concesionario.</w:t>
      </w:r>
    </w:p>
    <w:p w:rsidR="0092635B" w:rsidRDefault="00000000">
      <w:pPr>
        <w:pStyle w:val="Prrafodelista"/>
        <w:numPr>
          <w:ilvl w:val="0"/>
          <w:numId w:val="101"/>
        </w:numPr>
        <w:tabs>
          <w:tab w:val="left" w:pos="1737"/>
        </w:tabs>
        <w:spacing w:before="123" w:line="249" w:lineRule="auto"/>
        <w:ind w:right="1104" w:firstLine="340"/>
        <w:jc w:val="both"/>
        <w:rPr>
          <w:sz w:val="20"/>
        </w:rPr>
      </w:pPr>
      <w:r>
        <w:rPr>
          <w:sz w:val="20"/>
        </w:rPr>
        <w:t>Cuando el contrato recaiga sobre un servicio público, si por causas ajenas al concesionario o bien del incumplimiento por parte de este se derivase perturbación grave y no reparable por otros medios en el servicio, la Administración podrá acordar el secuestro o intervención del mismo en los términos establecidos en el artículo 263. En todo caso, el concesionario deberá abonar a la Administración los daños y perjuicios que efectivamente le haya ocasionado.</w:t>
      </w:r>
    </w:p>
    <w:p w:rsidR="0092635B" w:rsidRDefault="00000000">
      <w:pPr>
        <w:pStyle w:val="Prrafodelista"/>
        <w:numPr>
          <w:ilvl w:val="0"/>
          <w:numId w:val="101"/>
        </w:numPr>
        <w:tabs>
          <w:tab w:val="left" w:pos="1698"/>
        </w:tabs>
        <w:spacing w:before="5" w:line="249" w:lineRule="auto"/>
        <w:ind w:right="1105" w:firstLine="340"/>
        <w:jc w:val="both"/>
        <w:rPr>
          <w:sz w:val="20"/>
        </w:rPr>
      </w:pPr>
      <w:r>
        <w:rPr>
          <w:sz w:val="20"/>
        </w:rPr>
        <w:t>En cualquier caso, en los supuestos de incumplimiento por parte del concesionario resultará de aplicación el régimen de penalidades establecidas en el artículo 264 de la presente Ley respecto de la concesión de obras, siempre que resulte compatible con la naturaleza de la concesión de servicios.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ind w:left="1"/>
      </w:pPr>
      <w:bookmarkStart w:id="480" w:name="Sección_6.ª_Resolución_del_contrato_de_c"/>
      <w:bookmarkStart w:id="481" w:name="_bookmark95"/>
      <w:bookmarkEnd w:id="480"/>
      <w:bookmarkEnd w:id="481"/>
      <w:r>
        <w:t>Sección</w:t>
      </w:r>
      <w:r>
        <w:rPr>
          <w:spacing w:val="-1"/>
        </w:rPr>
        <w:t xml:space="preserve"> </w:t>
      </w:r>
      <w:r>
        <w:t>6.ª Resolución</w:t>
      </w:r>
      <w:r>
        <w:rPr>
          <w:spacing w:val="-1"/>
        </w:rPr>
        <w:t xml:space="preserve"> </w:t>
      </w:r>
      <w:r>
        <w:t>del contrato</w:t>
      </w:r>
      <w:r>
        <w:rPr>
          <w:spacing w:val="-1"/>
        </w:rPr>
        <w:t xml:space="preserve"> </w:t>
      </w:r>
      <w:r>
        <w:t>de concesión</w:t>
      </w:r>
      <w:r>
        <w:rPr>
          <w:spacing w:val="-1"/>
        </w:rPr>
        <w:t xml:space="preserve"> </w:t>
      </w:r>
      <w:r>
        <w:t xml:space="preserve">de </w:t>
      </w:r>
      <w:r>
        <w:rPr>
          <w:spacing w:val="-2"/>
        </w:rPr>
        <w:t>servicios</w:t>
      </w:r>
    </w:p>
    <w:p w:rsidR="0092635B" w:rsidRDefault="0092635B">
      <w:pPr>
        <w:pStyle w:val="Textoindependiente"/>
        <w:spacing w:before="6"/>
        <w:ind w:left="0" w:firstLine="0"/>
        <w:jc w:val="left"/>
        <w:rPr>
          <w:rFonts w:ascii="Arial"/>
          <w:b/>
          <w:i/>
        </w:rPr>
      </w:pPr>
    </w:p>
    <w:p w:rsidR="0092635B" w:rsidRDefault="00000000">
      <w:pPr>
        <w:ind w:left="1106"/>
        <w:rPr>
          <w:rFonts w:ascii="Arial" w:hAnsi="Arial"/>
          <w:i/>
          <w:sz w:val="20"/>
        </w:rPr>
      </w:pPr>
      <w:bookmarkStart w:id="482" w:name="Artículo_294._Causas_de_resolución."/>
      <w:bookmarkEnd w:id="482"/>
      <w:r>
        <w:rPr>
          <w:rFonts w:ascii="Arial" w:hAnsi="Arial"/>
          <w:b/>
          <w:sz w:val="20"/>
        </w:rPr>
        <w:t>Artículo</w:t>
      </w:r>
      <w:r>
        <w:rPr>
          <w:rFonts w:ascii="Arial" w:hAnsi="Arial"/>
          <w:b/>
          <w:spacing w:val="-3"/>
          <w:sz w:val="20"/>
        </w:rPr>
        <w:t xml:space="preserve"> </w:t>
      </w:r>
      <w:r>
        <w:rPr>
          <w:rFonts w:ascii="Arial" w:hAnsi="Arial"/>
          <w:b/>
          <w:sz w:val="20"/>
        </w:rPr>
        <w:t>294.</w:t>
      </w:r>
      <w:r>
        <w:rPr>
          <w:rFonts w:ascii="Arial" w:hAnsi="Arial"/>
          <w:b/>
          <w:spacing w:val="54"/>
          <w:sz w:val="20"/>
        </w:rPr>
        <w:t xml:space="preserve"> </w:t>
      </w:r>
      <w:r>
        <w:rPr>
          <w:rFonts w:ascii="Arial" w:hAnsi="Arial"/>
          <w:i/>
          <w:sz w:val="20"/>
        </w:rPr>
        <w:t xml:space="preserve">Causas de </w:t>
      </w:r>
      <w:r>
        <w:rPr>
          <w:rFonts w:ascii="Arial" w:hAnsi="Arial"/>
          <w:i/>
          <w:spacing w:val="-2"/>
          <w:sz w:val="20"/>
        </w:rPr>
        <w:t>resolución.</w:t>
      </w:r>
    </w:p>
    <w:p w:rsidR="0092635B" w:rsidRDefault="00000000">
      <w:pPr>
        <w:pStyle w:val="Textoindependiente"/>
        <w:spacing w:before="124" w:line="249" w:lineRule="auto"/>
        <w:ind w:right="1105"/>
      </w:pPr>
      <w:r>
        <w:t xml:space="preserve">Son causas de resolución del contrato de concesión de servicios, además de las señaladas en el artículo 211, con la excepción de las contempladas en sus letras d) y e), las </w:t>
      </w:r>
      <w:r>
        <w:rPr>
          <w:spacing w:val="-2"/>
        </w:rPr>
        <w:t>siguientes:</w:t>
      </w:r>
    </w:p>
    <w:p w:rsidR="0092635B" w:rsidRDefault="00000000">
      <w:pPr>
        <w:pStyle w:val="Prrafodelista"/>
        <w:numPr>
          <w:ilvl w:val="1"/>
          <w:numId w:val="101"/>
        </w:numPr>
        <w:tabs>
          <w:tab w:val="left" w:pos="1786"/>
        </w:tabs>
        <w:spacing w:before="122" w:line="249" w:lineRule="auto"/>
        <w:ind w:right="1105" w:firstLine="340"/>
        <w:jc w:val="both"/>
        <w:rPr>
          <w:sz w:val="20"/>
        </w:rPr>
      </w:pPr>
      <w:r>
        <w:rPr>
          <w:sz w:val="20"/>
        </w:rPr>
        <w:t>La ejecución hipotecaria declarada desierta o la imposibilidad de iniciar el procedimiento de ejecución hipotecaria por falta de interesados autorizados para ello en los casos en que así procediera, de acuerdo con lo establecido en esta Ley.</w:t>
      </w:r>
    </w:p>
    <w:p w:rsidR="0092635B" w:rsidRDefault="00000000">
      <w:pPr>
        <w:pStyle w:val="Prrafodelista"/>
        <w:numPr>
          <w:ilvl w:val="1"/>
          <w:numId w:val="101"/>
        </w:numPr>
        <w:tabs>
          <w:tab w:val="left" w:pos="1718"/>
        </w:tabs>
        <w:spacing w:before="3" w:line="249" w:lineRule="auto"/>
        <w:ind w:right="1104" w:firstLine="340"/>
        <w:jc w:val="both"/>
        <w:rPr>
          <w:sz w:val="20"/>
        </w:rPr>
      </w:pPr>
      <w:r>
        <w:rPr>
          <w:sz w:val="20"/>
        </w:rPr>
        <w:t xml:space="preserve">La demora superior a seis meses por parte de la Administración en la entrega al concesionario de la contraprestación o de los medios auxiliares a que se obligó según el </w:t>
      </w:r>
      <w:r>
        <w:rPr>
          <w:spacing w:val="-2"/>
          <w:sz w:val="20"/>
        </w:rPr>
        <w:t>contrato.</w:t>
      </w:r>
    </w:p>
    <w:p w:rsidR="0092635B" w:rsidRDefault="00000000">
      <w:pPr>
        <w:pStyle w:val="Prrafodelista"/>
        <w:numPr>
          <w:ilvl w:val="1"/>
          <w:numId w:val="101"/>
        </w:numPr>
        <w:tabs>
          <w:tab w:val="left" w:pos="1695"/>
        </w:tabs>
        <w:spacing w:line="249" w:lineRule="auto"/>
        <w:ind w:right="1105" w:firstLine="340"/>
        <w:jc w:val="both"/>
        <w:rPr>
          <w:sz w:val="20"/>
        </w:rPr>
      </w:pPr>
      <w:r>
        <w:rPr>
          <w:sz w:val="20"/>
        </w:rPr>
        <w:t>El rescate del servicio por la Administración para su gestión directa por razones de interés público. El rescate de la concesión requerirá además la acreditación de que dicha gestión directa es más eficaz y eficiente que la concesional.</w:t>
      </w:r>
    </w:p>
    <w:p w:rsidR="0092635B" w:rsidRDefault="00000000">
      <w:pPr>
        <w:pStyle w:val="Prrafodelista"/>
        <w:numPr>
          <w:ilvl w:val="1"/>
          <w:numId w:val="101"/>
        </w:numPr>
        <w:tabs>
          <w:tab w:val="left" w:pos="1679"/>
        </w:tabs>
        <w:spacing w:before="3"/>
        <w:ind w:left="1679" w:right="0" w:hanging="233"/>
        <w:jc w:val="both"/>
        <w:rPr>
          <w:sz w:val="20"/>
        </w:rPr>
      </w:pPr>
      <w:r>
        <w:rPr>
          <w:sz w:val="20"/>
        </w:rPr>
        <w:t>La</w:t>
      </w:r>
      <w:r>
        <w:rPr>
          <w:spacing w:val="-5"/>
          <w:sz w:val="20"/>
        </w:rPr>
        <w:t xml:space="preserve"> </w:t>
      </w:r>
      <w:r>
        <w:rPr>
          <w:sz w:val="20"/>
        </w:rPr>
        <w:t>supresión</w:t>
      </w:r>
      <w:r>
        <w:rPr>
          <w:spacing w:val="-2"/>
          <w:sz w:val="20"/>
        </w:rPr>
        <w:t xml:space="preserve"> </w:t>
      </w:r>
      <w:r>
        <w:rPr>
          <w:sz w:val="20"/>
        </w:rPr>
        <w:t>del</w:t>
      </w:r>
      <w:r>
        <w:rPr>
          <w:spacing w:val="-3"/>
          <w:sz w:val="20"/>
        </w:rPr>
        <w:t xml:space="preserve"> </w:t>
      </w:r>
      <w:r>
        <w:rPr>
          <w:sz w:val="20"/>
        </w:rPr>
        <w:t>servicio</w:t>
      </w:r>
      <w:r>
        <w:rPr>
          <w:spacing w:val="-2"/>
          <w:sz w:val="20"/>
        </w:rPr>
        <w:t xml:space="preserve"> </w:t>
      </w:r>
      <w:r>
        <w:rPr>
          <w:sz w:val="20"/>
        </w:rPr>
        <w:t>por</w:t>
      </w:r>
      <w:r>
        <w:rPr>
          <w:spacing w:val="-2"/>
          <w:sz w:val="20"/>
        </w:rPr>
        <w:t xml:space="preserve"> </w:t>
      </w:r>
      <w:r>
        <w:rPr>
          <w:sz w:val="20"/>
        </w:rPr>
        <w:t>razones</w:t>
      </w:r>
      <w:r>
        <w:rPr>
          <w:spacing w:val="-3"/>
          <w:sz w:val="20"/>
        </w:rPr>
        <w:t xml:space="preserve"> </w:t>
      </w:r>
      <w:r>
        <w:rPr>
          <w:sz w:val="20"/>
        </w:rPr>
        <w:t>de</w:t>
      </w:r>
      <w:r>
        <w:rPr>
          <w:spacing w:val="-2"/>
          <w:sz w:val="20"/>
        </w:rPr>
        <w:t xml:space="preserve"> </w:t>
      </w:r>
      <w:r>
        <w:rPr>
          <w:sz w:val="20"/>
        </w:rPr>
        <w:t>interés</w:t>
      </w:r>
      <w:r>
        <w:rPr>
          <w:spacing w:val="-2"/>
          <w:sz w:val="20"/>
        </w:rPr>
        <w:t xml:space="preserve"> público.</w:t>
      </w:r>
    </w:p>
    <w:p w:rsidR="0092635B" w:rsidRDefault="00000000">
      <w:pPr>
        <w:pStyle w:val="Prrafodelista"/>
        <w:numPr>
          <w:ilvl w:val="1"/>
          <w:numId w:val="101"/>
        </w:numPr>
        <w:tabs>
          <w:tab w:val="left" w:pos="1740"/>
        </w:tabs>
        <w:spacing w:before="10" w:line="249" w:lineRule="auto"/>
        <w:ind w:right="1105" w:firstLine="340"/>
        <w:jc w:val="both"/>
        <w:rPr>
          <w:sz w:val="20"/>
        </w:rPr>
      </w:pPr>
      <w:r>
        <w:rPr>
          <w:sz w:val="20"/>
        </w:rPr>
        <w:t>La imposibilidad de la explotación del servicio como consecuencia de acuerdos adoptados por la Administración con posterioridad al contrato.</w:t>
      </w:r>
    </w:p>
    <w:p w:rsidR="0092635B" w:rsidRDefault="00000000">
      <w:pPr>
        <w:pStyle w:val="Prrafodelista"/>
        <w:numPr>
          <w:ilvl w:val="1"/>
          <w:numId w:val="101"/>
        </w:numPr>
        <w:tabs>
          <w:tab w:val="left" w:pos="1653"/>
        </w:tabs>
        <w:spacing w:before="1" w:line="249" w:lineRule="auto"/>
        <w:ind w:right="1104" w:firstLine="340"/>
        <w:jc w:val="both"/>
        <w:rPr>
          <w:sz w:val="20"/>
        </w:rPr>
      </w:pPr>
      <w:r>
        <w:rPr>
          <w:sz w:val="20"/>
        </w:rPr>
        <w:t>El secuestro o intervención de la concesión por un plazo superior al establecido de conformidad con el apartado 3 del artículo 263, sin que el contratista haya garantizado la asunción completa de sus obligaciones.</w:t>
      </w:r>
    </w:p>
    <w:p w:rsidR="0092635B" w:rsidRDefault="00000000">
      <w:pPr>
        <w:spacing w:before="230"/>
        <w:ind w:left="1106"/>
        <w:rPr>
          <w:rFonts w:ascii="Arial" w:hAnsi="Arial"/>
          <w:i/>
          <w:sz w:val="20"/>
        </w:rPr>
      </w:pPr>
      <w:bookmarkStart w:id="483" w:name="Artículo_295._Efectos_de_la_resolución."/>
      <w:bookmarkEnd w:id="483"/>
      <w:r>
        <w:rPr>
          <w:rFonts w:ascii="Arial" w:hAnsi="Arial"/>
          <w:b/>
          <w:sz w:val="20"/>
        </w:rPr>
        <w:t>Artículo</w:t>
      </w:r>
      <w:r>
        <w:rPr>
          <w:rFonts w:ascii="Arial" w:hAnsi="Arial"/>
          <w:b/>
          <w:spacing w:val="-1"/>
          <w:sz w:val="20"/>
        </w:rPr>
        <w:t xml:space="preserve"> </w:t>
      </w:r>
      <w:r>
        <w:rPr>
          <w:rFonts w:ascii="Arial" w:hAnsi="Arial"/>
          <w:b/>
          <w:sz w:val="20"/>
        </w:rPr>
        <w:t>295.</w:t>
      </w:r>
      <w:r>
        <w:rPr>
          <w:rFonts w:ascii="Arial" w:hAnsi="Arial"/>
          <w:b/>
          <w:spacing w:val="54"/>
          <w:sz w:val="20"/>
        </w:rPr>
        <w:t xml:space="preserve"> </w:t>
      </w:r>
      <w:r>
        <w:rPr>
          <w:rFonts w:ascii="Arial" w:hAnsi="Arial"/>
          <w:i/>
          <w:sz w:val="20"/>
        </w:rPr>
        <w:t>Efectos</w:t>
      </w:r>
      <w:r>
        <w:rPr>
          <w:rFonts w:ascii="Arial" w:hAnsi="Arial"/>
          <w:i/>
          <w:spacing w:val="-1"/>
          <w:sz w:val="20"/>
        </w:rPr>
        <w:t xml:space="preserve"> </w:t>
      </w:r>
      <w:r>
        <w:rPr>
          <w:rFonts w:ascii="Arial" w:hAnsi="Arial"/>
          <w:i/>
          <w:sz w:val="20"/>
        </w:rPr>
        <w:t xml:space="preserve">de la </w:t>
      </w:r>
      <w:r>
        <w:rPr>
          <w:rFonts w:ascii="Arial" w:hAnsi="Arial"/>
          <w:i/>
          <w:spacing w:val="-2"/>
          <w:sz w:val="20"/>
        </w:rPr>
        <w:t>resolución.</w:t>
      </w:r>
    </w:p>
    <w:p w:rsidR="0092635B" w:rsidRDefault="00000000">
      <w:pPr>
        <w:pStyle w:val="Prrafodelista"/>
        <w:numPr>
          <w:ilvl w:val="0"/>
          <w:numId w:val="100"/>
        </w:numPr>
        <w:tabs>
          <w:tab w:val="left" w:pos="1673"/>
        </w:tabs>
        <w:spacing w:before="123" w:line="249" w:lineRule="auto"/>
        <w:ind w:firstLine="340"/>
        <w:jc w:val="right"/>
        <w:rPr>
          <w:sz w:val="20"/>
        </w:rPr>
      </w:pPr>
      <w:r>
        <w:rPr>
          <w:sz w:val="20"/>
        </w:rPr>
        <w:t>En los supuestos de resolución por causa imputable a la Administración, esta abonará al</w:t>
      </w:r>
      <w:r>
        <w:rPr>
          <w:spacing w:val="40"/>
          <w:sz w:val="20"/>
        </w:rPr>
        <w:t xml:space="preserve"> </w:t>
      </w:r>
      <w:r>
        <w:rPr>
          <w:sz w:val="20"/>
        </w:rPr>
        <w:t>concesionario</w:t>
      </w:r>
      <w:r>
        <w:rPr>
          <w:spacing w:val="40"/>
          <w:sz w:val="20"/>
        </w:rPr>
        <w:t xml:space="preserve"> </w:t>
      </w:r>
      <w:r>
        <w:rPr>
          <w:sz w:val="20"/>
        </w:rPr>
        <w:t>en</w:t>
      </w:r>
      <w:r>
        <w:rPr>
          <w:spacing w:val="40"/>
          <w:sz w:val="20"/>
        </w:rPr>
        <w:t xml:space="preserve"> </w:t>
      </w:r>
      <w:r>
        <w:rPr>
          <w:sz w:val="20"/>
        </w:rPr>
        <w:t>todo</w:t>
      </w:r>
      <w:r>
        <w:rPr>
          <w:spacing w:val="40"/>
          <w:sz w:val="20"/>
        </w:rPr>
        <w:t xml:space="preserve"> </w:t>
      </w:r>
      <w:r>
        <w:rPr>
          <w:sz w:val="20"/>
        </w:rPr>
        <w:t>caso</w:t>
      </w:r>
      <w:r>
        <w:rPr>
          <w:spacing w:val="40"/>
          <w:sz w:val="20"/>
        </w:rPr>
        <w:t xml:space="preserve"> </w:t>
      </w:r>
      <w:r>
        <w:rPr>
          <w:sz w:val="20"/>
        </w:rPr>
        <w:t>el</w:t>
      </w:r>
      <w:r>
        <w:rPr>
          <w:spacing w:val="40"/>
          <w:sz w:val="20"/>
        </w:rPr>
        <w:t xml:space="preserve"> </w:t>
      </w:r>
      <w:r>
        <w:rPr>
          <w:sz w:val="20"/>
        </w:rPr>
        <w:t>importe</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inversiones</w:t>
      </w:r>
      <w:r>
        <w:rPr>
          <w:spacing w:val="40"/>
          <w:sz w:val="20"/>
        </w:rPr>
        <w:t xml:space="preserve"> </w:t>
      </w:r>
      <w:r>
        <w:rPr>
          <w:sz w:val="20"/>
        </w:rPr>
        <w:t>realizadas</w:t>
      </w:r>
      <w:r>
        <w:rPr>
          <w:spacing w:val="40"/>
          <w:sz w:val="20"/>
        </w:rPr>
        <w:t xml:space="preserve"> </w:t>
      </w:r>
      <w:r>
        <w:rPr>
          <w:sz w:val="20"/>
        </w:rPr>
        <w:t>por</w:t>
      </w:r>
      <w:r>
        <w:rPr>
          <w:spacing w:val="40"/>
          <w:sz w:val="20"/>
        </w:rPr>
        <w:t xml:space="preserve"> </w:t>
      </w:r>
      <w:r>
        <w:rPr>
          <w:sz w:val="20"/>
        </w:rPr>
        <w:t>razón</w:t>
      </w:r>
      <w:r>
        <w:rPr>
          <w:spacing w:val="40"/>
          <w:sz w:val="20"/>
        </w:rPr>
        <w:t xml:space="preserve"> </w:t>
      </w:r>
      <w:r>
        <w:rPr>
          <w:sz w:val="20"/>
        </w:rPr>
        <w:t>de</w:t>
      </w:r>
      <w:r>
        <w:rPr>
          <w:spacing w:val="40"/>
          <w:sz w:val="20"/>
        </w:rPr>
        <w:t xml:space="preserve"> </w:t>
      </w:r>
      <w:r>
        <w:rPr>
          <w:sz w:val="20"/>
        </w:rPr>
        <w:t>la expropiación de terrenos, ejecución de obras de construcción y adquisición de bienes que</w:t>
      </w:r>
      <w:r>
        <w:rPr>
          <w:spacing w:val="40"/>
          <w:sz w:val="20"/>
        </w:rPr>
        <w:t xml:space="preserve"> </w:t>
      </w:r>
      <w:r>
        <w:rPr>
          <w:sz w:val="20"/>
        </w:rPr>
        <w:t>sean necesarios para la explotación de los servicios objeto de concesión, atendiendo a su</w:t>
      </w:r>
      <w:r>
        <w:rPr>
          <w:spacing w:val="40"/>
          <w:sz w:val="20"/>
        </w:rPr>
        <w:t xml:space="preserve"> </w:t>
      </w:r>
      <w:r>
        <w:rPr>
          <w:sz w:val="20"/>
        </w:rPr>
        <w:t>grado</w:t>
      </w:r>
      <w:r>
        <w:rPr>
          <w:spacing w:val="-2"/>
          <w:sz w:val="20"/>
        </w:rPr>
        <w:t xml:space="preserve"> </w:t>
      </w:r>
      <w:r>
        <w:rPr>
          <w:sz w:val="20"/>
        </w:rPr>
        <w:t>de</w:t>
      </w:r>
      <w:r>
        <w:rPr>
          <w:spacing w:val="-2"/>
          <w:sz w:val="20"/>
        </w:rPr>
        <w:t xml:space="preserve"> </w:t>
      </w:r>
      <w:r>
        <w:rPr>
          <w:sz w:val="20"/>
        </w:rPr>
        <w:t>amortización.</w:t>
      </w:r>
      <w:r>
        <w:rPr>
          <w:spacing w:val="-2"/>
          <w:sz w:val="20"/>
        </w:rPr>
        <w:t xml:space="preserve"> </w:t>
      </w:r>
      <w:r>
        <w:rPr>
          <w:sz w:val="20"/>
        </w:rPr>
        <w:t>Al</w:t>
      </w:r>
      <w:r>
        <w:rPr>
          <w:spacing w:val="-2"/>
          <w:sz w:val="20"/>
        </w:rPr>
        <w:t xml:space="preserve"> </w:t>
      </w:r>
      <w:r>
        <w:rPr>
          <w:sz w:val="20"/>
        </w:rPr>
        <w:t>efecto,</w:t>
      </w:r>
      <w:r>
        <w:rPr>
          <w:spacing w:val="-2"/>
          <w:sz w:val="20"/>
        </w:rPr>
        <w:t xml:space="preserve"> </w:t>
      </w:r>
      <w:r>
        <w:rPr>
          <w:sz w:val="20"/>
        </w:rPr>
        <w:t>se</w:t>
      </w:r>
      <w:r>
        <w:rPr>
          <w:spacing w:val="-2"/>
          <w:sz w:val="20"/>
        </w:rPr>
        <w:t xml:space="preserve"> </w:t>
      </w:r>
      <w:r>
        <w:rPr>
          <w:sz w:val="20"/>
        </w:rPr>
        <w:t>aplicara</w:t>
      </w:r>
      <w:r>
        <w:rPr>
          <w:spacing w:val="-2"/>
          <w:sz w:val="20"/>
        </w:rPr>
        <w:t xml:space="preserve"> </w:t>
      </w:r>
      <w:r>
        <w:rPr>
          <w:sz w:val="20"/>
        </w:rPr>
        <w:t>un</w:t>
      </w:r>
      <w:r>
        <w:rPr>
          <w:spacing w:val="-2"/>
          <w:sz w:val="20"/>
        </w:rPr>
        <w:t xml:space="preserve"> </w:t>
      </w:r>
      <w:r>
        <w:rPr>
          <w:sz w:val="20"/>
        </w:rPr>
        <w:t>criterio</w:t>
      </w:r>
      <w:r>
        <w:rPr>
          <w:spacing w:val="-2"/>
          <w:sz w:val="20"/>
        </w:rPr>
        <w:t xml:space="preserve"> </w:t>
      </w:r>
      <w:r>
        <w:rPr>
          <w:sz w:val="20"/>
        </w:rPr>
        <w:t>de</w:t>
      </w:r>
      <w:r>
        <w:rPr>
          <w:spacing w:val="-2"/>
          <w:sz w:val="20"/>
        </w:rPr>
        <w:t xml:space="preserve"> </w:t>
      </w:r>
      <w:r>
        <w:rPr>
          <w:sz w:val="20"/>
        </w:rPr>
        <w:t>amortización</w:t>
      </w:r>
      <w:r>
        <w:rPr>
          <w:spacing w:val="-2"/>
          <w:sz w:val="20"/>
        </w:rPr>
        <w:t xml:space="preserve"> </w:t>
      </w:r>
      <w:r>
        <w:rPr>
          <w:sz w:val="20"/>
        </w:rPr>
        <w:t>lineal</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inversión. Cuando la resolución obedezca a causas no imputables a la Administración, el importe a abonar</w:t>
      </w:r>
      <w:r>
        <w:rPr>
          <w:spacing w:val="40"/>
          <w:sz w:val="20"/>
        </w:rPr>
        <w:t xml:space="preserve"> </w:t>
      </w:r>
      <w:r>
        <w:rPr>
          <w:sz w:val="20"/>
        </w:rPr>
        <w:t>al</w:t>
      </w:r>
      <w:r>
        <w:rPr>
          <w:spacing w:val="40"/>
          <w:sz w:val="20"/>
        </w:rPr>
        <w:t xml:space="preserve"> </w:t>
      </w:r>
      <w:r>
        <w:rPr>
          <w:sz w:val="20"/>
        </w:rPr>
        <w:t>concesionario</w:t>
      </w:r>
      <w:r>
        <w:rPr>
          <w:spacing w:val="40"/>
          <w:sz w:val="20"/>
        </w:rPr>
        <w:t xml:space="preserve"> </w:t>
      </w:r>
      <w:r>
        <w:rPr>
          <w:sz w:val="20"/>
        </w:rPr>
        <w:t>por</w:t>
      </w:r>
      <w:r>
        <w:rPr>
          <w:spacing w:val="40"/>
          <w:sz w:val="20"/>
        </w:rPr>
        <w:t xml:space="preserve"> </w:t>
      </w:r>
      <w:r>
        <w:rPr>
          <w:sz w:val="20"/>
        </w:rPr>
        <w:t>razón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expropiación</w:t>
      </w:r>
      <w:r>
        <w:rPr>
          <w:spacing w:val="40"/>
          <w:sz w:val="20"/>
        </w:rPr>
        <w:t xml:space="preserve"> </w:t>
      </w:r>
      <w:r>
        <w:rPr>
          <w:sz w:val="20"/>
        </w:rPr>
        <w:t>de</w:t>
      </w:r>
      <w:r>
        <w:rPr>
          <w:spacing w:val="40"/>
          <w:sz w:val="20"/>
        </w:rPr>
        <w:t xml:space="preserve"> </w:t>
      </w:r>
      <w:r>
        <w:rPr>
          <w:sz w:val="20"/>
        </w:rPr>
        <w:t>terrenos,</w:t>
      </w:r>
      <w:r>
        <w:rPr>
          <w:spacing w:val="40"/>
          <w:sz w:val="20"/>
        </w:rPr>
        <w:t xml:space="preserve"> </w:t>
      </w:r>
      <w:r>
        <w:rPr>
          <w:sz w:val="20"/>
        </w:rPr>
        <w:t>ejecución</w:t>
      </w:r>
      <w:r>
        <w:rPr>
          <w:spacing w:val="40"/>
          <w:sz w:val="20"/>
        </w:rPr>
        <w:t xml:space="preserve"> </w:t>
      </w:r>
      <w:r>
        <w:rPr>
          <w:sz w:val="20"/>
        </w:rPr>
        <w:t>de</w:t>
      </w:r>
      <w:r>
        <w:rPr>
          <w:spacing w:val="40"/>
          <w:sz w:val="20"/>
        </w:rPr>
        <w:t xml:space="preserve"> </w:t>
      </w:r>
      <w:r>
        <w:rPr>
          <w:sz w:val="20"/>
        </w:rPr>
        <w:t>obras</w:t>
      </w:r>
      <w:r>
        <w:rPr>
          <w:spacing w:val="40"/>
          <w:sz w:val="20"/>
        </w:rPr>
        <w:t xml:space="preserve"> </w:t>
      </w:r>
      <w:r>
        <w:rPr>
          <w:sz w:val="20"/>
        </w:rPr>
        <w:t>y adquisición</w:t>
      </w:r>
      <w:r>
        <w:rPr>
          <w:spacing w:val="48"/>
          <w:sz w:val="20"/>
        </w:rPr>
        <w:t xml:space="preserve"> </w:t>
      </w:r>
      <w:r>
        <w:rPr>
          <w:sz w:val="20"/>
        </w:rPr>
        <w:t>de</w:t>
      </w:r>
      <w:r>
        <w:rPr>
          <w:spacing w:val="49"/>
          <w:sz w:val="20"/>
        </w:rPr>
        <w:t xml:space="preserve"> </w:t>
      </w:r>
      <w:r>
        <w:rPr>
          <w:sz w:val="20"/>
        </w:rPr>
        <w:t>bienes</w:t>
      </w:r>
      <w:r>
        <w:rPr>
          <w:spacing w:val="49"/>
          <w:sz w:val="20"/>
        </w:rPr>
        <w:t xml:space="preserve"> </w:t>
      </w:r>
      <w:r>
        <w:rPr>
          <w:sz w:val="20"/>
        </w:rPr>
        <w:t>que</w:t>
      </w:r>
      <w:r>
        <w:rPr>
          <w:spacing w:val="49"/>
          <w:sz w:val="20"/>
        </w:rPr>
        <w:t xml:space="preserve"> </w:t>
      </w:r>
      <w:r>
        <w:rPr>
          <w:sz w:val="20"/>
        </w:rPr>
        <w:t>deban</w:t>
      </w:r>
      <w:r>
        <w:rPr>
          <w:spacing w:val="49"/>
          <w:sz w:val="20"/>
        </w:rPr>
        <w:t xml:space="preserve"> </w:t>
      </w:r>
      <w:r>
        <w:rPr>
          <w:sz w:val="20"/>
        </w:rPr>
        <w:t>revertir</w:t>
      </w:r>
      <w:r>
        <w:rPr>
          <w:spacing w:val="49"/>
          <w:sz w:val="20"/>
        </w:rPr>
        <w:t xml:space="preserve"> </w:t>
      </w:r>
      <w:r>
        <w:rPr>
          <w:sz w:val="20"/>
        </w:rPr>
        <w:t>a</w:t>
      </w:r>
      <w:r>
        <w:rPr>
          <w:spacing w:val="49"/>
          <w:sz w:val="20"/>
        </w:rPr>
        <w:t xml:space="preserve"> </w:t>
      </w:r>
      <w:r>
        <w:rPr>
          <w:sz w:val="20"/>
        </w:rPr>
        <w:t>la</w:t>
      </w:r>
      <w:r>
        <w:rPr>
          <w:spacing w:val="48"/>
          <w:sz w:val="20"/>
        </w:rPr>
        <w:t xml:space="preserve"> </w:t>
      </w:r>
      <w:r>
        <w:rPr>
          <w:sz w:val="20"/>
        </w:rPr>
        <w:t>Administración</w:t>
      </w:r>
      <w:r>
        <w:rPr>
          <w:spacing w:val="49"/>
          <w:sz w:val="20"/>
        </w:rPr>
        <w:t xml:space="preserve"> </w:t>
      </w:r>
      <w:r>
        <w:rPr>
          <w:sz w:val="20"/>
        </w:rPr>
        <w:t>será</w:t>
      </w:r>
      <w:r>
        <w:rPr>
          <w:spacing w:val="49"/>
          <w:sz w:val="20"/>
        </w:rPr>
        <w:t xml:space="preserve"> </w:t>
      </w:r>
      <w:r>
        <w:rPr>
          <w:sz w:val="20"/>
        </w:rPr>
        <w:t>el</w:t>
      </w:r>
      <w:r>
        <w:rPr>
          <w:spacing w:val="49"/>
          <w:sz w:val="20"/>
        </w:rPr>
        <w:t xml:space="preserve"> </w:t>
      </w:r>
      <w:r>
        <w:rPr>
          <w:sz w:val="20"/>
        </w:rPr>
        <w:t>que</w:t>
      </w:r>
      <w:r>
        <w:rPr>
          <w:spacing w:val="49"/>
          <w:sz w:val="20"/>
        </w:rPr>
        <w:t xml:space="preserve"> </w:t>
      </w:r>
      <w:r>
        <w:rPr>
          <w:sz w:val="20"/>
        </w:rPr>
        <w:t>resulte</w:t>
      </w:r>
      <w:r>
        <w:rPr>
          <w:spacing w:val="49"/>
          <w:sz w:val="20"/>
        </w:rPr>
        <w:t xml:space="preserve"> </w:t>
      </w:r>
      <w:r>
        <w:rPr>
          <w:sz w:val="20"/>
        </w:rPr>
        <w:t>de</w:t>
      </w:r>
      <w:r>
        <w:rPr>
          <w:spacing w:val="49"/>
          <w:sz w:val="20"/>
        </w:rPr>
        <w:t xml:space="preserve"> </w:t>
      </w:r>
      <w:r>
        <w:rPr>
          <w:spacing w:val="-5"/>
          <w:sz w:val="20"/>
        </w:rPr>
        <w:t>la</w:t>
      </w:r>
    </w:p>
    <w:p w:rsidR="0092635B" w:rsidRDefault="00000000">
      <w:pPr>
        <w:pStyle w:val="Textoindependiente"/>
        <w:spacing w:before="7"/>
        <w:ind w:firstLine="0"/>
      </w:pPr>
      <w:r>
        <w:t>valoración</w:t>
      </w:r>
      <w:r>
        <w:rPr>
          <w:spacing w:val="-7"/>
        </w:rPr>
        <w:t xml:space="preserve"> </w:t>
      </w:r>
      <w:r>
        <w:t>de</w:t>
      </w:r>
      <w:r>
        <w:rPr>
          <w:spacing w:val="-4"/>
        </w:rPr>
        <w:t xml:space="preserve"> </w:t>
      </w:r>
      <w:r>
        <w:t>la</w:t>
      </w:r>
      <w:r>
        <w:rPr>
          <w:spacing w:val="-4"/>
        </w:rPr>
        <w:t xml:space="preserve"> </w:t>
      </w:r>
      <w:r>
        <w:t>concesión,</w:t>
      </w:r>
      <w:r>
        <w:rPr>
          <w:spacing w:val="-4"/>
        </w:rPr>
        <w:t xml:space="preserve"> </w:t>
      </w:r>
      <w:r>
        <w:t>determinado</w:t>
      </w:r>
      <w:r>
        <w:rPr>
          <w:spacing w:val="-4"/>
        </w:rPr>
        <w:t xml:space="preserve"> </w:t>
      </w:r>
      <w:r>
        <w:t>conforme</w:t>
      </w:r>
      <w:r>
        <w:rPr>
          <w:spacing w:val="-5"/>
        </w:rPr>
        <w:t xml:space="preserve"> </w:t>
      </w:r>
      <w:r>
        <w:t>lo</w:t>
      </w:r>
      <w:r>
        <w:rPr>
          <w:spacing w:val="-4"/>
        </w:rPr>
        <w:t xml:space="preserve"> </w:t>
      </w:r>
      <w:r>
        <w:t>dispuesto</w:t>
      </w:r>
      <w:r>
        <w:rPr>
          <w:spacing w:val="-4"/>
        </w:rPr>
        <w:t xml:space="preserve"> </w:t>
      </w:r>
      <w:r>
        <w:t>en</w:t>
      </w:r>
      <w:r>
        <w:rPr>
          <w:spacing w:val="-4"/>
        </w:rPr>
        <w:t xml:space="preserve"> </w:t>
      </w:r>
      <w:r>
        <w:t>el</w:t>
      </w:r>
      <w:r>
        <w:rPr>
          <w:spacing w:val="-4"/>
        </w:rPr>
        <w:t xml:space="preserve"> </w:t>
      </w:r>
      <w:r>
        <w:t>artículo</w:t>
      </w:r>
      <w:r>
        <w:rPr>
          <w:spacing w:val="-4"/>
        </w:rPr>
        <w:t xml:space="preserve"> 281.</w:t>
      </w:r>
    </w:p>
    <w:p w:rsidR="0092635B" w:rsidRDefault="00000000">
      <w:pPr>
        <w:pStyle w:val="Textoindependiente"/>
        <w:spacing w:before="10" w:line="249" w:lineRule="auto"/>
        <w:ind w:right="1104"/>
      </w:pPr>
      <w:r>
        <w:t>En todo caso, se entenderá que no es imputable a la Administración la resolución del contrato cuando esta obedezca a alguna de las causas establecidas en las letras a), b) y f) del artículo 211, así como a las causas establecidas en las letras a) y f) del artículo 294.</w:t>
      </w:r>
    </w:p>
    <w:p w:rsidR="0092635B" w:rsidRDefault="00000000">
      <w:pPr>
        <w:pStyle w:val="Prrafodelista"/>
        <w:numPr>
          <w:ilvl w:val="0"/>
          <w:numId w:val="100"/>
        </w:numPr>
        <w:tabs>
          <w:tab w:val="left" w:pos="1683"/>
        </w:tabs>
        <w:spacing w:line="249" w:lineRule="auto"/>
        <w:ind w:right="1104" w:firstLine="340"/>
        <w:jc w:val="both"/>
        <w:rPr>
          <w:sz w:val="20"/>
        </w:rPr>
      </w:pPr>
      <w:r>
        <w:rPr>
          <w:sz w:val="20"/>
        </w:rPr>
        <w:t>Con independencia de lo dispuesto en el artículo 213, el incumplimiento por parte de</w:t>
      </w:r>
      <w:r>
        <w:rPr>
          <w:spacing w:val="40"/>
          <w:sz w:val="20"/>
        </w:rPr>
        <w:t xml:space="preserve"> </w:t>
      </w:r>
      <w:r>
        <w:rPr>
          <w:sz w:val="20"/>
        </w:rPr>
        <w:t>la Administración o del contratista de las obligaciones del contrato producirá los efectos que según las disposiciones específicas del servicio puedan afectar a estos contratos.</w:t>
      </w:r>
    </w:p>
    <w:p w:rsidR="0092635B" w:rsidRDefault="00000000">
      <w:pPr>
        <w:pStyle w:val="Prrafodelista"/>
        <w:numPr>
          <w:ilvl w:val="0"/>
          <w:numId w:val="100"/>
        </w:numPr>
        <w:tabs>
          <w:tab w:val="left" w:pos="1668"/>
        </w:tabs>
        <w:spacing w:before="3" w:line="249" w:lineRule="auto"/>
        <w:ind w:firstLine="340"/>
        <w:jc w:val="both"/>
        <w:rPr>
          <w:sz w:val="20"/>
        </w:rPr>
      </w:pPr>
      <w:r>
        <w:rPr>
          <w:sz w:val="20"/>
        </w:rPr>
        <w:t>En</w:t>
      </w:r>
      <w:r>
        <w:rPr>
          <w:spacing w:val="-2"/>
          <w:sz w:val="20"/>
        </w:rPr>
        <w:t xml:space="preserve"> </w:t>
      </w:r>
      <w:r>
        <w:rPr>
          <w:sz w:val="20"/>
        </w:rPr>
        <w:t>el</w:t>
      </w:r>
      <w:r>
        <w:rPr>
          <w:spacing w:val="-2"/>
          <w:sz w:val="20"/>
        </w:rPr>
        <w:t xml:space="preserve"> </w:t>
      </w:r>
      <w:r>
        <w:rPr>
          <w:sz w:val="20"/>
        </w:rPr>
        <w:t>supuesto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letra</w:t>
      </w:r>
      <w:r>
        <w:rPr>
          <w:spacing w:val="-2"/>
          <w:sz w:val="20"/>
        </w:rPr>
        <w:t xml:space="preserve"> </w:t>
      </w:r>
      <w:r>
        <w:rPr>
          <w:sz w:val="20"/>
        </w:rPr>
        <w:t>b)</w:t>
      </w:r>
      <w:r>
        <w:rPr>
          <w:spacing w:val="-2"/>
          <w:sz w:val="20"/>
        </w:rPr>
        <w:t xml:space="preserve"> </w:t>
      </w:r>
      <w:r>
        <w:rPr>
          <w:sz w:val="20"/>
        </w:rPr>
        <w:t>del</w:t>
      </w:r>
      <w:r>
        <w:rPr>
          <w:spacing w:val="-2"/>
          <w:sz w:val="20"/>
        </w:rPr>
        <w:t xml:space="preserve"> </w:t>
      </w:r>
      <w:r>
        <w:rPr>
          <w:sz w:val="20"/>
        </w:rPr>
        <w:t>artículo</w:t>
      </w:r>
      <w:r>
        <w:rPr>
          <w:spacing w:val="-2"/>
          <w:sz w:val="20"/>
        </w:rPr>
        <w:t xml:space="preserve"> </w:t>
      </w:r>
      <w:r>
        <w:rPr>
          <w:sz w:val="20"/>
        </w:rPr>
        <w:t>294,</w:t>
      </w:r>
      <w:r>
        <w:rPr>
          <w:spacing w:val="-2"/>
          <w:sz w:val="20"/>
        </w:rPr>
        <w:t xml:space="preserve"> </w:t>
      </w:r>
      <w:r>
        <w:rPr>
          <w:sz w:val="20"/>
        </w:rPr>
        <w:t>el</w:t>
      </w:r>
      <w:r>
        <w:rPr>
          <w:spacing w:val="-2"/>
          <w:sz w:val="20"/>
        </w:rPr>
        <w:t xml:space="preserve"> </w:t>
      </w:r>
      <w:r>
        <w:rPr>
          <w:sz w:val="20"/>
        </w:rPr>
        <w:t>contratista</w:t>
      </w:r>
      <w:r>
        <w:rPr>
          <w:spacing w:val="-2"/>
          <w:sz w:val="20"/>
        </w:rPr>
        <w:t xml:space="preserve"> </w:t>
      </w:r>
      <w:r>
        <w:rPr>
          <w:sz w:val="20"/>
        </w:rPr>
        <w:t>tendrá</w:t>
      </w:r>
      <w:r>
        <w:rPr>
          <w:spacing w:val="-2"/>
          <w:sz w:val="20"/>
        </w:rPr>
        <w:t xml:space="preserve"> </w:t>
      </w:r>
      <w:r>
        <w:rPr>
          <w:sz w:val="20"/>
        </w:rPr>
        <w:t>derecho</w:t>
      </w:r>
      <w:r>
        <w:rPr>
          <w:spacing w:val="-2"/>
          <w:sz w:val="20"/>
        </w:rPr>
        <w:t xml:space="preserve"> </w:t>
      </w:r>
      <w:r>
        <w:rPr>
          <w:sz w:val="20"/>
        </w:rPr>
        <w:t>al</w:t>
      </w:r>
      <w:r>
        <w:rPr>
          <w:spacing w:val="-2"/>
          <w:sz w:val="20"/>
        </w:rPr>
        <w:t xml:space="preserve"> </w:t>
      </w:r>
      <w:r>
        <w:rPr>
          <w:sz w:val="20"/>
        </w:rPr>
        <w:t>abono</w:t>
      </w:r>
      <w:r>
        <w:rPr>
          <w:spacing w:val="-2"/>
          <w:sz w:val="20"/>
        </w:rPr>
        <w:t xml:space="preserve"> </w:t>
      </w:r>
      <w:r>
        <w:rPr>
          <w:sz w:val="20"/>
        </w:rPr>
        <w:t>del interés de demora previsto en la Ley 3/2004, de 29 de diciembre, por la que se establecen medidas de lucha contra la morosidad en operaciones comerciales, de las cantidades debidas</w:t>
      </w:r>
      <w:r>
        <w:rPr>
          <w:spacing w:val="-3"/>
          <w:sz w:val="20"/>
        </w:rPr>
        <w:t xml:space="preserve"> </w:t>
      </w:r>
      <w:r>
        <w:rPr>
          <w:sz w:val="20"/>
        </w:rPr>
        <w:t>o</w:t>
      </w:r>
      <w:r>
        <w:rPr>
          <w:spacing w:val="-3"/>
          <w:sz w:val="20"/>
        </w:rPr>
        <w:t xml:space="preserve"> </w:t>
      </w:r>
      <w:r>
        <w:rPr>
          <w:sz w:val="20"/>
        </w:rPr>
        <w:t>valores</w:t>
      </w:r>
      <w:r>
        <w:rPr>
          <w:spacing w:val="-3"/>
          <w:sz w:val="20"/>
        </w:rPr>
        <w:t xml:space="preserve"> </w:t>
      </w:r>
      <w:r>
        <w:rPr>
          <w:sz w:val="20"/>
        </w:rPr>
        <w:t>económicos</w:t>
      </w:r>
      <w:r>
        <w:rPr>
          <w:spacing w:val="-3"/>
          <w:sz w:val="20"/>
        </w:rPr>
        <w:t xml:space="preserve"> </w:t>
      </w:r>
      <w:r>
        <w:rPr>
          <w:sz w:val="20"/>
        </w:rPr>
        <w:t>convenidos,</w:t>
      </w:r>
      <w:r>
        <w:rPr>
          <w:spacing w:val="-3"/>
          <w:sz w:val="20"/>
        </w:rPr>
        <w:t xml:space="preserve"> </w:t>
      </w:r>
      <w:r>
        <w:rPr>
          <w:sz w:val="20"/>
        </w:rPr>
        <w:t>a</w:t>
      </w:r>
      <w:r>
        <w:rPr>
          <w:spacing w:val="-3"/>
          <w:sz w:val="20"/>
        </w:rPr>
        <w:t xml:space="preserve"> </w:t>
      </w:r>
      <w:r>
        <w:rPr>
          <w:sz w:val="20"/>
        </w:rPr>
        <w:t>partir</w:t>
      </w:r>
      <w:r>
        <w:rPr>
          <w:spacing w:val="-3"/>
          <w:sz w:val="20"/>
        </w:rPr>
        <w:t xml:space="preserve"> </w:t>
      </w:r>
      <w:r>
        <w:rPr>
          <w:sz w:val="20"/>
        </w:rPr>
        <w:t>del</w:t>
      </w:r>
      <w:r>
        <w:rPr>
          <w:spacing w:val="-3"/>
          <w:sz w:val="20"/>
        </w:rPr>
        <w:t xml:space="preserve"> </w:t>
      </w:r>
      <w:r>
        <w:rPr>
          <w:sz w:val="20"/>
        </w:rPr>
        <w:t>vencimiento</w:t>
      </w:r>
      <w:r>
        <w:rPr>
          <w:spacing w:val="-3"/>
          <w:sz w:val="20"/>
        </w:rPr>
        <w:t xml:space="preserve"> </w:t>
      </w:r>
      <w:r>
        <w:rPr>
          <w:sz w:val="20"/>
        </w:rPr>
        <w:t>del</w:t>
      </w:r>
      <w:r>
        <w:rPr>
          <w:spacing w:val="-3"/>
          <w:sz w:val="20"/>
        </w:rPr>
        <w:t xml:space="preserve"> </w:t>
      </w:r>
      <w:r>
        <w:rPr>
          <w:sz w:val="20"/>
        </w:rPr>
        <w:t>plazo</w:t>
      </w:r>
      <w:r>
        <w:rPr>
          <w:spacing w:val="-3"/>
          <w:sz w:val="20"/>
        </w:rPr>
        <w:t xml:space="preserve"> </w:t>
      </w:r>
      <w:r>
        <w:rPr>
          <w:sz w:val="20"/>
        </w:rPr>
        <w:t>previsto</w:t>
      </w:r>
      <w:r>
        <w:rPr>
          <w:spacing w:val="-3"/>
          <w:sz w:val="20"/>
        </w:rPr>
        <w:t xml:space="preserve"> </w:t>
      </w:r>
      <w:r>
        <w:rPr>
          <w:sz w:val="20"/>
        </w:rPr>
        <w:t>para</w:t>
      </w:r>
      <w:r>
        <w:rPr>
          <w:spacing w:val="-3"/>
          <w:sz w:val="20"/>
        </w:rPr>
        <w:t xml:space="preserve"> </w:t>
      </w:r>
      <w:r>
        <w:rPr>
          <w:sz w:val="20"/>
        </w:rPr>
        <w:t>su entrega y hasta la liquidación de la indemnización resultante de la resolución, así como de</w:t>
      </w:r>
      <w:r>
        <w:rPr>
          <w:spacing w:val="40"/>
          <w:sz w:val="20"/>
        </w:rPr>
        <w:t xml:space="preserve"> </w:t>
      </w:r>
      <w:r>
        <w:rPr>
          <w:sz w:val="20"/>
        </w:rPr>
        <w:t>los daños y perjuicios sufridos.</w:t>
      </w:r>
    </w:p>
    <w:p w:rsidR="0092635B" w:rsidRDefault="00000000">
      <w:pPr>
        <w:pStyle w:val="Prrafodelista"/>
        <w:numPr>
          <w:ilvl w:val="0"/>
          <w:numId w:val="100"/>
        </w:numPr>
        <w:tabs>
          <w:tab w:val="left" w:pos="1671"/>
        </w:tabs>
        <w:spacing w:before="4" w:line="249" w:lineRule="auto"/>
        <w:ind w:right="1102" w:firstLine="340"/>
        <w:jc w:val="both"/>
        <w:rPr>
          <w:sz w:val="20"/>
        </w:rPr>
      </w:pPr>
      <w:r>
        <w:rPr>
          <w:sz w:val="20"/>
        </w:rPr>
        <w:t>En los supuestos de las letras b), c), d) y e) del artículo 294, y en general en los casos en que la resolución del contrato se produjera por causas imputables a la Administración, sin perjuicio de lo dispuesto en el apartado 1 de este artículo, la Administración indemnizará al contratista de los daños y perjuicios que se le irroguen, incluidos los beneficios futuros que deje de percibir, cuantificados conforme a lo establecido en la letra a) del apartado 3 del artículo 280 y a la pérdida del valor de las obras e instalaciones que no hayan de revertir a aquella, habida cuenta de su grado de amortización.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ind w:left="1"/>
      </w:pPr>
      <w:bookmarkStart w:id="484" w:name="Sección_7.ª_Subcontratación_del_contrato"/>
      <w:bookmarkStart w:id="485" w:name="_bookmark96"/>
      <w:bookmarkEnd w:id="484"/>
      <w:bookmarkEnd w:id="485"/>
      <w:r>
        <w:t>Sección</w:t>
      </w:r>
      <w:r>
        <w:rPr>
          <w:spacing w:val="-1"/>
        </w:rPr>
        <w:t xml:space="preserve"> </w:t>
      </w:r>
      <w:r>
        <w:t>7.ª Subcontratación</w:t>
      </w:r>
      <w:r>
        <w:rPr>
          <w:spacing w:val="-1"/>
        </w:rPr>
        <w:t xml:space="preserve"> </w:t>
      </w:r>
      <w:r>
        <w:t>del contrato</w:t>
      </w:r>
      <w:r>
        <w:rPr>
          <w:spacing w:val="-1"/>
        </w:rPr>
        <w:t xml:space="preserve"> </w:t>
      </w:r>
      <w:r>
        <w:t>de concesión</w:t>
      </w:r>
      <w:r>
        <w:rPr>
          <w:spacing w:val="-1"/>
        </w:rPr>
        <w:t xml:space="preserve"> </w:t>
      </w:r>
      <w:r>
        <w:t xml:space="preserve">de </w:t>
      </w:r>
      <w:r>
        <w:rPr>
          <w:spacing w:val="-2"/>
        </w:rPr>
        <w:t>servicios</w:t>
      </w:r>
    </w:p>
    <w:p w:rsidR="0092635B" w:rsidRDefault="0092635B">
      <w:pPr>
        <w:pStyle w:val="Textoindependiente"/>
        <w:spacing w:before="6"/>
        <w:ind w:left="0" w:firstLine="0"/>
        <w:jc w:val="left"/>
        <w:rPr>
          <w:rFonts w:ascii="Arial"/>
          <w:b/>
          <w:i/>
        </w:rPr>
      </w:pPr>
    </w:p>
    <w:p w:rsidR="0092635B" w:rsidRDefault="00000000">
      <w:pPr>
        <w:ind w:left="1106"/>
        <w:rPr>
          <w:rFonts w:ascii="Arial" w:hAnsi="Arial"/>
          <w:i/>
          <w:sz w:val="20"/>
        </w:rPr>
      </w:pPr>
      <w:bookmarkStart w:id="486" w:name="Artículo_296._Subcontratación."/>
      <w:bookmarkEnd w:id="486"/>
      <w:r>
        <w:rPr>
          <w:rFonts w:ascii="Arial" w:hAnsi="Arial"/>
          <w:b/>
          <w:sz w:val="20"/>
        </w:rPr>
        <w:t>Artículo</w:t>
      </w:r>
      <w:r>
        <w:rPr>
          <w:rFonts w:ascii="Arial" w:hAnsi="Arial"/>
          <w:b/>
          <w:spacing w:val="-2"/>
          <w:sz w:val="20"/>
        </w:rPr>
        <w:t xml:space="preserve"> </w:t>
      </w:r>
      <w:r>
        <w:rPr>
          <w:rFonts w:ascii="Arial" w:hAnsi="Arial"/>
          <w:b/>
          <w:sz w:val="20"/>
        </w:rPr>
        <w:t>296.</w:t>
      </w:r>
      <w:r>
        <w:rPr>
          <w:rFonts w:ascii="Arial" w:hAnsi="Arial"/>
          <w:b/>
          <w:spacing w:val="54"/>
          <w:sz w:val="20"/>
        </w:rPr>
        <w:t xml:space="preserve"> </w:t>
      </w:r>
      <w:r>
        <w:rPr>
          <w:rFonts w:ascii="Arial" w:hAnsi="Arial"/>
          <w:i/>
          <w:spacing w:val="-2"/>
          <w:sz w:val="20"/>
        </w:rPr>
        <w:t>Subcontratación.</w:t>
      </w:r>
    </w:p>
    <w:p w:rsidR="0092635B" w:rsidRDefault="00000000">
      <w:pPr>
        <w:pStyle w:val="Textoindependiente"/>
        <w:spacing w:before="124" w:line="249" w:lineRule="auto"/>
        <w:ind w:right="1104"/>
      </w:pPr>
      <w:r>
        <w:t>En el contrato de concesión de servicios, la subcontratación solo podrá recaer sobre prestaciones accesorias, resultándole de aplicación la regulación establecida en los artículos 215, 216 y 217 de la presente Ley.</w:t>
      </w:r>
    </w:p>
    <w:p w:rsidR="0092635B" w:rsidRDefault="00000000">
      <w:pPr>
        <w:pStyle w:val="Ttulo3"/>
        <w:spacing w:before="229"/>
      </w:pPr>
      <w:bookmarkStart w:id="487" w:name="Sección_8.ª_Regulación_supletoria_del_co"/>
      <w:bookmarkStart w:id="488" w:name="_bookmark97"/>
      <w:bookmarkEnd w:id="487"/>
      <w:bookmarkEnd w:id="488"/>
      <w:r>
        <w:t>Sección</w:t>
      </w:r>
      <w:r>
        <w:rPr>
          <w:spacing w:val="-2"/>
        </w:rPr>
        <w:t xml:space="preserve"> </w:t>
      </w:r>
      <w:r>
        <w:t>8.ª</w:t>
      </w:r>
      <w:r>
        <w:rPr>
          <w:spacing w:val="-1"/>
        </w:rPr>
        <w:t xml:space="preserve"> </w:t>
      </w:r>
      <w:r>
        <w:t>Regulación</w:t>
      </w:r>
      <w:r>
        <w:rPr>
          <w:spacing w:val="-2"/>
        </w:rPr>
        <w:t xml:space="preserve"> </w:t>
      </w:r>
      <w:r>
        <w:t>supletoria</w:t>
      </w:r>
      <w:r>
        <w:rPr>
          <w:spacing w:val="-1"/>
        </w:rPr>
        <w:t xml:space="preserve"> </w:t>
      </w:r>
      <w:r>
        <w:t>del</w:t>
      </w:r>
      <w:r>
        <w:rPr>
          <w:spacing w:val="-2"/>
        </w:rPr>
        <w:t xml:space="preserve"> </w:t>
      </w:r>
      <w:r>
        <w:t>contrato</w:t>
      </w:r>
      <w:r>
        <w:rPr>
          <w:spacing w:val="-1"/>
        </w:rPr>
        <w:t xml:space="preserve"> </w:t>
      </w:r>
      <w:r>
        <w:t>de</w:t>
      </w:r>
      <w:r>
        <w:rPr>
          <w:spacing w:val="-2"/>
        </w:rPr>
        <w:t xml:space="preserve"> </w:t>
      </w:r>
      <w:r>
        <w:t>concesión</w:t>
      </w:r>
      <w:r>
        <w:rPr>
          <w:spacing w:val="-1"/>
        </w:rPr>
        <w:t xml:space="preserve"> </w:t>
      </w:r>
      <w:r>
        <w:t>de</w:t>
      </w:r>
      <w:r>
        <w:rPr>
          <w:spacing w:val="-1"/>
        </w:rPr>
        <w:t xml:space="preserve"> </w:t>
      </w:r>
      <w:r>
        <w:rPr>
          <w:spacing w:val="-2"/>
        </w:rPr>
        <w:t>servicios</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89" w:name="Artículo_297._Regulación_supletoria."/>
      <w:bookmarkEnd w:id="489"/>
      <w:r>
        <w:rPr>
          <w:rFonts w:ascii="Arial" w:hAnsi="Arial"/>
          <w:b/>
          <w:sz w:val="20"/>
        </w:rPr>
        <w:t>Artículo</w:t>
      </w:r>
      <w:r>
        <w:rPr>
          <w:rFonts w:ascii="Arial" w:hAnsi="Arial"/>
          <w:b/>
          <w:spacing w:val="-3"/>
          <w:sz w:val="20"/>
        </w:rPr>
        <w:t xml:space="preserve"> </w:t>
      </w:r>
      <w:r>
        <w:rPr>
          <w:rFonts w:ascii="Arial" w:hAnsi="Arial"/>
          <w:b/>
          <w:sz w:val="20"/>
        </w:rPr>
        <w:t>297.</w:t>
      </w:r>
      <w:r>
        <w:rPr>
          <w:rFonts w:ascii="Arial" w:hAnsi="Arial"/>
          <w:b/>
          <w:spacing w:val="50"/>
          <w:sz w:val="20"/>
        </w:rPr>
        <w:t xml:space="preserve"> </w:t>
      </w:r>
      <w:r>
        <w:rPr>
          <w:rFonts w:ascii="Arial" w:hAnsi="Arial"/>
          <w:i/>
          <w:sz w:val="20"/>
        </w:rPr>
        <w:t>Regulación</w:t>
      </w:r>
      <w:r>
        <w:rPr>
          <w:rFonts w:ascii="Arial" w:hAnsi="Arial"/>
          <w:i/>
          <w:spacing w:val="-2"/>
          <w:sz w:val="20"/>
        </w:rPr>
        <w:t xml:space="preserve"> supletoria.</w:t>
      </w:r>
    </w:p>
    <w:p w:rsidR="0092635B" w:rsidRDefault="00000000">
      <w:pPr>
        <w:pStyle w:val="Textoindependiente"/>
        <w:spacing w:before="123" w:line="249" w:lineRule="auto"/>
        <w:ind w:right="1105"/>
      </w:pPr>
      <w:r>
        <w:t>En lo no previsto en el presente Capítulo respecto al contrato de concesión de servicios, le será de aplicación la regulación establecida en la presente Ley respecto al contrato de concesión de obras, siempre que resulte compatible con la naturaleza de aquel.</w:t>
      </w:r>
    </w:p>
    <w:p w:rsidR="0092635B" w:rsidRDefault="0092635B">
      <w:pPr>
        <w:pStyle w:val="Textoindependiente"/>
        <w:spacing w:before="113"/>
        <w:ind w:left="0" w:firstLine="0"/>
        <w:jc w:val="left"/>
      </w:pPr>
    </w:p>
    <w:p w:rsidR="0092635B" w:rsidRDefault="00000000">
      <w:pPr>
        <w:pStyle w:val="Textoindependiente"/>
        <w:spacing w:before="0"/>
        <w:ind w:left="0" w:firstLine="0"/>
        <w:jc w:val="center"/>
      </w:pPr>
      <w:bookmarkStart w:id="490" w:name="CAPÍTULO_IV._Del_contrato_de_suministro"/>
      <w:bookmarkStart w:id="491" w:name="_bookmark98"/>
      <w:bookmarkEnd w:id="490"/>
      <w:bookmarkEnd w:id="491"/>
      <w:r>
        <w:t xml:space="preserve">CAPÍTULO </w:t>
      </w:r>
      <w:r>
        <w:rPr>
          <w:spacing w:val="-5"/>
        </w:rPr>
        <w:t>IV</w:t>
      </w:r>
    </w:p>
    <w:p w:rsidR="0092635B" w:rsidRDefault="00000000">
      <w:pPr>
        <w:pStyle w:val="Ttulo2"/>
      </w:pPr>
      <w:r>
        <w:t>Del</w:t>
      </w:r>
      <w:r>
        <w:rPr>
          <w:spacing w:val="-1"/>
        </w:rPr>
        <w:t xml:space="preserve"> </w:t>
      </w:r>
      <w:r>
        <w:t xml:space="preserve">contrato de </w:t>
      </w:r>
      <w:r>
        <w:rPr>
          <w:spacing w:val="-2"/>
        </w:rPr>
        <w:t>suministro</w:t>
      </w:r>
    </w:p>
    <w:p w:rsidR="0092635B" w:rsidRDefault="0092635B">
      <w:pPr>
        <w:pStyle w:val="Textoindependiente"/>
        <w:spacing w:before="7"/>
        <w:ind w:left="0" w:firstLine="0"/>
        <w:jc w:val="left"/>
        <w:rPr>
          <w:rFonts w:ascii="Arial"/>
          <w:b/>
        </w:rPr>
      </w:pPr>
    </w:p>
    <w:p w:rsidR="0092635B" w:rsidRDefault="00000000">
      <w:pPr>
        <w:pStyle w:val="Ttulo3"/>
      </w:pPr>
      <w:bookmarkStart w:id="492" w:name="Sección_1.ª_Regulación_de_determinados_c"/>
      <w:bookmarkStart w:id="493" w:name="_bookmark99"/>
      <w:bookmarkEnd w:id="492"/>
      <w:bookmarkEnd w:id="493"/>
      <w:r>
        <w:t>Sección</w:t>
      </w:r>
      <w:r>
        <w:rPr>
          <w:spacing w:val="-4"/>
        </w:rPr>
        <w:t xml:space="preserve"> </w:t>
      </w:r>
      <w:r>
        <w:t>1.ª</w:t>
      </w:r>
      <w:r>
        <w:rPr>
          <w:spacing w:val="-3"/>
        </w:rPr>
        <w:t xml:space="preserve"> </w:t>
      </w:r>
      <w:r>
        <w:t>Regulación</w:t>
      </w:r>
      <w:r>
        <w:rPr>
          <w:spacing w:val="-3"/>
        </w:rPr>
        <w:t xml:space="preserve"> </w:t>
      </w:r>
      <w:r>
        <w:t>de</w:t>
      </w:r>
      <w:r>
        <w:rPr>
          <w:spacing w:val="-4"/>
        </w:rPr>
        <w:t xml:space="preserve"> </w:t>
      </w:r>
      <w:r>
        <w:t>determinados</w:t>
      </w:r>
      <w:r>
        <w:rPr>
          <w:spacing w:val="-3"/>
        </w:rPr>
        <w:t xml:space="preserve"> </w:t>
      </w:r>
      <w:r>
        <w:t>contratos</w:t>
      </w:r>
      <w:r>
        <w:rPr>
          <w:spacing w:val="-3"/>
        </w:rPr>
        <w:t xml:space="preserve"> </w:t>
      </w:r>
      <w:r>
        <w:t>de</w:t>
      </w:r>
      <w:r>
        <w:rPr>
          <w:spacing w:val="-3"/>
        </w:rPr>
        <w:t xml:space="preserve"> </w:t>
      </w:r>
      <w:r>
        <w:rPr>
          <w:spacing w:val="-2"/>
        </w:rPr>
        <w:t>suministro</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494" w:name="Artículo_298._Arrendamiento."/>
      <w:bookmarkEnd w:id="494"/>
      <w:r>
        <w:rPr>
          <w:rFonts w:ascii="Arial" w:hAnsi="Arial"/>
          <w:b/>
          <w:sz w:val="20"/>
        </w:rPr>
        <w:t>Artículo</w:t>
      </w:r>
      <w:r>
        <w:rPr>
          <w:rFonts w:ascii="Arial" w:hAnsi="Arial"/>
          <w:b/>
          <w:spacing w:val="-2"/>
          <w:sz w:val="20"/>
        </w:rPr>
        <w:t xml:space="preserve"> </w:t>
      </w:r>
      <w:r>
        <w:rPr>
          <w:rFonts w:ascii="Arial" w:hAnsi="Arial"/>
          <w:b/>
          <w:sz w:val="20"/>
        </w:rPr>
        <w:t>298.</w:t>
      </w:r>
      <w:r>
        <w:rPr>
          <w:rFonts w:ascii="Arial" w:hAnsi="Arial"/>
          <w:b/>
          <w:spacing w:val="54"/>
          <w:sz w:val="20"/>
        </w:rPr>
        <w:t xml:space="preserve"> </w:t>
      </w:r>
      <w:r>
        <w:rPr>
          <w:rFonts w:ascii="Arial" w:hAnsi="Arial"/>
          <w:i/>
          <w:spacing w:val="-2"/>
          <w:sz w:val="20"/>
        </w:rPr>
        <w:t>Arrendamiento.</w:t>
      </w:r>
    </w:p>
    <w:p w:rsidR="0092635B" w:rsidRDefault="00000000">
      <w:pPr>
        <w:pStyle w:val="Textoindependiente"/>
        <w:spacing w:before="123" w:line="249" w:lineRule="auto"/>
        <w:ind w:right="1104"/>
      </w:pPr>
      <w:r>
        <w:t>En</w:t>
      </w:r>
      <w:r>
        <w:rPr>
          <w:spacing w:val="-1"/>
        </w:rPr>
        <w:t xml:space="preserve"> </w:t>
      </w:r>
      <w:r>
        <w:t>el</w:t>
      </w:r>
      <w:r>
        <w:rPr>
          <w:spacing w:val="-1"/>
        </w:rPr>
        <w:t xml:space="preserve"> </w:t>
      </w:r>
      <w:r>
        <w:t>contrato</w:t>
      </w:r>
      <w:r>
        <w:rPr>
          <w:spacing w:val="-1"/>
        </w:rPr>
        <w:t xml:space="preserve"> </w:t>
      </w:r>
      <w:r>
        <w:t>de</w:t>
      </w:r>
      <w:r>
        <w:rPr>
          <w:spacing w:val="-1"/>
        </w:rPr>
        <w:t xml:space="preserve"> </w:t>
      </w:r>
      <w:r>
        <w:t>arrendamiento,</w:t>
      </w:r>
      <w:r>
        <w:rPr>
          <w:spacing w:val="-1"/>
        </w:rPr>
        <w:t xml:space="preserve"> </w:t>
      </w:r>
      <w:r>
        <w:t>el</w:t>
      </w:r>
      <w:r>
        <w:rPr>
          <w:spacing w:val="-1"/>
        </w:rPr>
        <w:t xml:space="preserve"> </w:t>
      </w:r>
      <w:r>
        <w:t>arrendador</w:t>
      </w:r>
      <w:r>
        <w:rPr>
          <w:spacing w:val="-1"/>
        </w:rPr>
        <w:t xml:space="preserve"> </w:t>
      </w:r>
      <w:r>
        <w:t>o</w:t>
      </w:r>
      <w:r>
        <w:rPr>
          <w:spacing w:val="-1"/>
        </w:rPr>
        <w:t xml:space="preserve"> </w:t>
      </w:r>
      <w:r>
        <w:t>empresario</w:t>
      </w:r>
      <w:r>
        <w:rPr>
          <w:spacing w:val="-1"/>
        </w:rPr>
        <w:t xml:space="preserve"> </w:t>
      </w:r>
      <w:r>
        <w:t>asumirá</w:t>
      </w:r>
      <w:r>
        <w:rPr>
          <w:spacing w:val="-1"/>
        </w:rPr>
        <w:t xml:space="preserve"> </w:t>
      </w:r>
      <w:r>
        <w:t>durante</w:t>
      </w:r>
      <w:r>
        <w:rPr>
          <w:spacing w:val="-1"/>
        </w:rPr>
        <w:t xml:space="preserve"> </w:t>
      </w:r>
      <w:r>
        <w:t>el</w:t>
      </w:r>
      <w:r>
        <w:rPr>
          <w:spacing w:val="-1"/>
        </w:rPr>
        <w:t xml:space="preserve"> </w:t>
      </w:r>
      <w:r>
        <w:t>plazo</w:t>
      </w:r>
      <w:r>
        <w:rPr>
          <w:spacing w:val="-1"/>
        </w:rPr>
        <w:t xml:space="preserve"> </w:t>
      </w:r>
      <w:r>
        <w:t>de vigencia del contrato la obligación del mantenimiento del objeto del mismo. Las cantidades que, en su caso, deba satisfacer la Administración en concepto de canon de mantenimiento se fijarán separadamente de las constitutivas del precio del arriendo.</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495" w:name="Artículo_299._Contratos_de_fabricación."/>
      <w:bookmarkEnd w:id="495"/>
      <w:r>
        <w:rPr>
          <w:rFonts w:ascii="Arial" w:hAnsi="Arial"/>
          <w:b/>
          <w:sz w:val="20"/>
        </w:rPr>
        <w:t>Artículo</w:t>
      </w:r>
      <w:r>
        <w:rPr>
          <w:rFonts w:ascii="Arial" w:hAnsi="Arial"/>
          <w:b/>
          <w:spacing w:val="-1"/>
          <w:sz w:val="20"/>
        </w:rPr>
        <w:t xml:space="preserve"> </w:t>
      </w:r>
      <w:r>
        <w:rPr>
          <w:rFonts w:ascii="Arial" w:hAnsi="Arial"/>
          <w:b/>
          <w:sz w:val="20"/>
        </w:rPr>
        <w:t>299.</w:t>
      </w:r>
      <w:r>
        <w:rPr>
          <w:rFonts w:ascii="Arial" w:hAnsi="Arial"/>
          <w:b/>
          <w:spacing w:val="54"/>
          <w:sz w:val="20"/>
        </w:rPr>
        <w:t xml:space="preserve"> </w:t>
      </w:r>
      <w:r>
        <w:rPr>
          <w:rFonts w:ascii="Arial" w:hAnsi="Arial"/>
          <w:i/>
          <w:sz w:val="20"/>
        </w:rPr>
        <w:t xml:space="preserve">Contratos de </w:t>
      </w:r>
      <w:r>
        <w:rPr>
          <w:rFonts w:ascii="Arial" w:hAnsi="Arial"/>
          <w:i/>
          <w:spacing w:val="-2"/>
          <w:sz w:val="20"/>
        </w:rPr>
        <w:t>fabricación.</w:t>
      </w:r>
    </w:p>
    <w:p w:rsidR="0092635B" w:rsidRDefault="00000000">
      <w:pPr>
        <w:pStyle w:val="Textoindependiente"/>
        <w:spacing w:before="124" w:line="249" w:lineRule="auto"/>
        <w:ind w:right="1104"/>
      </w:pPr>
      <w:r>
        <w:t xml:space="preserve">A los contratos de fabricación se les aplicarán directamente las normas generales y especiales del contrato de obras que el órgano de contratación determine en el correspondiente pliego de cláusulas administrativas particulares, salvo las relativas a su publicidad y procedimiento de adjudicación que se acomodarán, en todo caso, al contrato de </w:t>
      </w:r>
      <w:r>
        <w:rPr>
          <w:spacing w:val="-2"/>
        </w:rPr>
        <w:t>suministro.</w:t>
      </w:r>
    </w:p>
    <w:p w:rsidR="0092635B" w:rsidRDefault="0092635B">
      <w:pPr>
        <w:pStyle w:val="Textoindependiente"/>
        <w:spacing w:before="1"/>
        <w:ind w:left="0" w:firstLine="0"/>
        <w:jc w:val="left"/>
      </w:pPr>
    </w:p>
    <w:p w:rsidR="0092635B" w:rsidRDefault="00000000">
      <w:pPr>
        <w:pStyle w:val="Ttulo3"/>
        <w:ind w:left="1"/>
      </w:pPr>
      <w:bookmarkStart w:id="496" w:name="Sección_2.ª_Ejecución_del_contrato_de_su"/>
      <w:bookmarkStart w:id="497" w:name="_bookmark100"/>
      <w:bookmarkEnd w:id="496"/>
      <w:bookmarkEnd w:id="497"/>
      <w:r>
        <w:t>Sección</w:t>
      </w:r>
      <w:r>
        <w:rPr>
          <w:spacing w:val="-1"/>
        </w:rPr>
        <w:t xml:space="preserve"> </w:t>
      </w:r>
      <w:r>
        <w:t>2.ª Ejecución</w:t>
      </w:r>
      <w:r>
        <w:rPr>
          <w:spacing w:val="-1"/>
        </w:rPr>
        <w:t xml:space="preserve"> </w:t>
      </w:r>
      <w:r>
        <w:t>del contrato</w:t>
      </w:r>
      <w:r>
        <w:rPr>
          <w:spacing w:val="-1"/>
        </w:rPr>
        <w:t xml:space="preserve"> </w:t>
      </w:r>
      <w:r>
        <w:t xml:space="preserve">de </w:t>
      </w:r>
      <w:r>
        <w:rPr>
          <w:spacing w:val="-2"/>
        </w:rPr>
        <w:t>suministro</w:t>
      </w:r>
    </w:p>
    <w:p w:rsidR="0092635B" w:rsidRDefault="0092635B">
      <w:pPr>
        <w:pStyle w:val="Textoindependiente"/>
        <w:spacing w:before="6"/>
        <w:ind w:left="0" w:firstLine="0"/>
        <w:jc w:val="left"/>
        <w:rPr>
          <w:rFonts w:ascii="Arial"/>
          <w:b/>
          <w:i/>
        </w:rPr>
      </w:pPr>
    </w:p>
    <w:p w:rsidR="0092635B" w:rsidRDefault="00000000">
      <w:pPr>
        <w:spacing w:before="1"/>
        <w:ind w:left="1106"/>
        <w:rPr>
          <w:rFonts w:ascii="Arial" w:hAnsi="Arial"/>
          <w:i/>
          <w:sz w:val="20"/>
        </w:rPr>
      </w:pPr>
      <w:bookmarkStart w:id="498" w:name="Artículo_300._Entrega_y_recepción."/>
      <w:bookmarkEnd w:id="498"/>
      <w:r>
        <w:rPr>
          <w:rFonts w:ascii="Arial" w:hAnsi="Arial"/>
          <w:b/>
          <w:sz w:val="20"/>
        </w:rPr>
        <w:t>Artículo</w:t>
      </w:r>
      <w:r>
        <w:rPr>
          <w:rFonts w:ascii="Arial" w:hAnsi="Arial"/>
          <w:b/>
          <w:spacing w:val="-2"/>
          <w:sz w:val="20"/>
        </w:rPr>
        <w:t xml:space="preserve"> </w:t>
      </w:r>
      <w:r>
        <w:rPr>
          <w:rFonts w:ascii="Arial" w:hAnsi="Arial"/>
          <w:b/>
          <w:sz w:val="20"/>
        </w:rPr>
        <w:t>300.</w:t>
      </w:r>
      <w:r>
        <w:rPr>
          <w:rFonts w:ascii="Arial" w:hAnsi="Arial"/>
          <w:b/>
          <w:spacing w:val="52"/>
          <w:sz w:val="20"/>
        </w:rPr>
        <w:t xml:space="preserve"> </w:t>
      </w:r>
      <w:r>
        <w:rPr>
          <w:rFonts w:ascii="Arial" w:hAnsi="Arial"/>
          <w:i/>
          <w:sz w:val="20"/>
        </w:rPr>
        <w:t>Entrega</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recepción.</w:t>
      </w:r>
    </w:p>
    <w:p w:rsidR="0092635B" w:rsidRDefault="00000000">
      <w:pPr>
        <w:pStyle w:val="Prrafodelista"/>
        <w:numPr>
          <w:ilvl w:val="0"/>
          <w:numId w:val="99"/>
        </w:numPr>
        <w:tabs>
          <w:tab w:val="left" w:pos="1672"/>
        </w:tabs>
        <w:spacing w:before="123" w:line="249" w:lineRule="auto"/>
        <w:ind w:right="1104" w:firstLine="340"/>
        <w:jc w:val="both"/>
        <w:rPr>
          <w:sz w:val="20"/>
        </w:rPr>
      </w:pPr>
      <w:r>
        <w:rPr>
          <w:sz w:val="20"/>
        </w:rPr>
        <w:t xml:space="preserve">El contratista estará obligado a entregar los bienes objeto de suministro en el tiempo y lugar fijados en el contrato y de conformidad con las prescripciones técnicas y cláusulas </w:t>
      </w:r>
      <w:r>
        <w:rPr>
          <w:spacing w:val="-2"/>
          <w:sz w:val="20"/>
        </w:rPr>
        <w:t>administrativas.</w:t>
      </w:r>
    </w:p>
    <w:p w:rsidR="0092635B" w:rsidRDefault="00000000">
      <w:pPr>
        <w:pStyle w:val="Prrafodelista"/>
        <w:numPr>
          <w:ilvl w:val="0"/>
          <w:numId w:val="99"/>
        </w:numPr>
        <w:tabs>
          <w:tab w:val="left" w:pos="1732"/>
        </w:tabs>
        <w:spacing w:line="249" w:lineRule="auto"/>
        <w:ind w:firstLine="340"/>
        <w:jc w:val="both"/>
        <w:rPr>
          <w:sz w:val="20"/>
        </w:rPr>
      </w:pPr>
      <w:r>
        <w:rPr>
          <w:sz w:val="20"/>
        </w:rPr>
        <w:t>Cualquiera que sea el tipo de suministro, el adjudicatario no tendrá derecho a indemnización por causa de pérdidas, averías o perjuicios ocasionados en los bienes antes de su entrega a la Administración, salvo que esta hubiere incurrido en mora al recibirlos.</w:t>
      </w:r>
    </w:p>
    <w:p w:rsidR="0092635B" w:rsidRDefault="00000000">
      <w:pPr>
        <w:pStyle w:val="Prrafodelista"/>
        <w:numPr>
          <w:ilvl w:val="0"/>
          <w:numId w:val="99"/>
        </w:numPr>
        <w:tabs>
          <w:tab w:val="left" w:pos="1681"/>
        </w:tabs>
        <w:spacing w:before="3" w:line="249" w:lineRule="auto"/>
        <w:ind w:right="1105" w:firstLine="340"/>
        <w:jc w:val="both"/>
        <w:rPr>
          <w:sz w:val="20"/>
        </w:rPr>
      </w:pPr>
      <w:r>
        <w:rPr>
          <w:sz w:val="20"/>
        </w:rPr>
        <w:t>Cuando el acto formal de la recepción de los bienes, de acuerdo con las condiciones del pliego, sea posterior a su entrega, la Administración será responsable de la custodia de los mismos durante el tiempo que medie entre una y otra.</w:t>
      </w:r>
    </w:p>
    <w:p w:rsidR="0092635B" w:rsidRDefault="00000000">
      <w:pPr>
        <w:pStyle w:val="Prrafodelista"/>
        <w:numPr>
          <w:ilvl w:val="0"/>
          <w:numId w:val="99"/>
        </w:numPr>
        <w:tabs>
          <w:tab w:val="left" w:pos="1760"/>
        </w:tabs>
        <w:spacing w:line="249" w:lineRule="auto"/>
        <w:ind w:firstLine="340"/>
        <w:jc w:val="both"/>
        <w:rPr>
          <w:sz w:val="20"/>
        </w:rPr>
      </w:pPr>
      <w:r>
        <w:rPr>
          <w:sz w:val="20"/>
        </w:rPr>
        <w:t>Una vez recibidos de conformidad por la Administración bienes o productos perecederos, será esta responsable de su gestión, uso o caducidad, sin perjuicio de la responsabilidad del suministrador por los vicios o defectos ocultos de los mismos.</w:t>
      </w:r>
    </w:p>
    <w:p w:rsidR="0092635B" w:rsidRDefault="00000000">
      <w:pPr>
        <w:spacing w:before="230"/>
        <w:ind w:left="1106"/>
        <w:rPr>
          <w:rFonts w:ascii="Arial" w:hAnsi="Arial"/>
          <w:i/>
          <w:sz w:val="20"/>
        </w:rPr>
      </w:pPr>
      <w:bookmarkStart w:id="499" w:name="Artículo_301._Pago_del_precio."/>
      <w:bookmarkEnd w:id="499"/>
      <w:r>
        <w:rPr>
          <w:rFonts w:ascii="Arial" w:hAnsi="Arial"/>
          <w:b/>
          <w:sz w:val="20"/>
        </w:rPr>
        <w:t>Artículo</w:t>
      </w:r>
      <w:r>
        <w:rPr>
          <w:rFonts w:ascii="Arial" w:hAnsi="Arial"/>
          <w:b/>
          <w:spacing w:val="-1"/>
          <w:sz w:val="20"/>
        </w:rPr>
        <w:t xml:space="preserve"> </w:t>
      </w:r>
      <w:r>
        <w:rPr>
          <w:rFonts w:ascii="Arial" w:hAnsi="Arial"/>
          <w:b/>
          <w:sz w:val="20"/>
        </w:rPr>
        <w:t>301.</w:t>
      </w:r>
      <w:r>
        <w:rPr>
          <w:rFonts w:ascii="Arial" w:hAnsi="Arial"/>
          <w:b/>
          <w:spacing w:val="52"/>
          <w:sz w:val="20"/>
        </w:rPr>
        <w:t xml:space="preserve"> </w:t>
      </w:r>
      <w:r>
        <w:rPr>
          <w:rFonts w:ascii="Arial" w:hAnsi="Arial"/>
          <w:i/>
          <w:sz w:val="20"/>
        </w:rPr>
        <w:t>Pago</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pacing w:val="-2"/>
          <w:sz w:val="20"/>
        </w:rPr>
        <w:t>precio.</w:t>
      </w:r>
    </w:p>
    <w:p w:rsidR="0092635B" w:rsidRDefault="00000000">
      <w:pPr>
        <w:pStyle w:val="Prrafodelista"/>
        <w:numPr>
          <w:ilvl w:val="0"/>
          <w:numId w:val="98"/>
        </w:numPr>
        <w:tabs>
          <w:tab w:val="left" w:pos="1688"/>
        </w:tabs>
        <w:spacing w:before="123" w:line="249" w:lineRule="auto"/>
        <w:ind w:right="1104" w:firstLine="340"/>
        <w:jc w:val="both"/>
        <w:rPr>
          <w:sz w:val="20"/>
        </w:rPr>
      </w:pPr>
      <w:r>
        <w:rPr>
          <w:sz w:val="20"/>
        </w:rPr>
        <w:t>El adjudicatario tendrá derecho al abono del precio de los suministros efectivamente entregados y formalmente recibidos por la Administración con arreglo a las condiciones establecidas en el contrato.</w:t>
      </w:r>
    </w:p>
    <w:p w:rsidR="0092635B" w:rsidRDefault="00000000">
      <w:pPr>
        <w:pStyle w:val="Prrafodelista"/>
        <w:numPr>
          <w:ilvl w:val="0"/>
          <w:numId w:val="98"/>
        </w:numPr>
        <w:tabs>
          <w:tab w:val="left" w:pos="1669"/>
        </w:tabs>
        <w:spacing w:line="249" w:lineRule="auto"/>
        <w:ind w:firstLine="340"/>
        <w:jc w:val="both"/>
        <w:rPr>
          <w:sz w:val="20"/>
        </w:rPr>
      </w:pPr>
      <w:r>
        <w:rPr>
          <w:sz w:val="20"/>
        </w:rPr>
        <w:t>En</w:t>
      </w:r>
      <w:r>
        <w:rPr>
          <w:spacing w:val="-1"/>
          <w:sz w:val="20"/>
        </w:rPr>
        <w:t xml:space="preserve"> </w:t>
      </w:r>
      <w:r>
        <w:rPr>
          <w:sz w:val="20"/>
        </w:rPr>
        <w:t>el</w:t>
      </w:r>
      <w:r>
        <w:rPr>
          <w:spacing w:val="-1"/>
          <w:sz w:val="20"/>
        </w:rPr>
        <w:t xml:space="preserve"> </w:t>
      </w:r>
      <w:r>
        <w:rPr>
          <w:sz w:val="20"/>
        </w:rPr>
        <w:t>contrato</w:t>
      </w:r>
      <w:r>
        <w:rPr>
          <w:spacing w:val="-1"/>
          <w:sz w:val="20"/>
        </w:rPr>
        <w:t xml:space="preserve"> </w:t>
      </w:r>
      <w:r>
        <w:rPr>
          <w:sz w:val="20"/>
        </w:rPr>
        <w:t>de</w:t>
      </w:r>
      <w:r>
        <w:rPr>
          <w:spacing w:val="-1"/>
          <w:sz w:val="20"/>
        </w:rPr>
        <w:t xml:space="preserve"> </w:t>
      </w:r>
      <w:r>
        <w:rPr>
          <w:sz w:val="20"/>
        </w:rPr>
        <w:t>suministros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que</w:t>
      </w:r>
      <w:r>
        <w:rPr>
          <w:spacing w:val="-1"/>
          <w:sz w:val="20"/>
        </w:rPr>
        <w:t xml:space="preserve"> </w:t>
      </w:r>
      <w:r>
        <w:rPr>
          <w:sz w:val="20"/>
        </w:rPr>
        <w:t>la</w:t>
      </w:r>
      <w:r>
        <w:rPr>
          <w:spacing w:val="-1"/>
          <w:sz w:val="20"/>
        </w:rPr>
        <w:t xml:space="preserve"> </w:t>
      </w:r>
      <w:r>
        <w:rPr>
          <w:sz w:val="20"/>
        </w:rPr>
        <w:t>determinación</w:t>
      </w:r>
      <w:r>
        <w:rPr>
          <w:spacing w:val="-1"/>
          <w:sz w:val="20"/>
        </w:rPr>
        <w:t xml:space="preserve"> </w:t>
      </w:r>
      <w:r>
        <w:rPr>
          <w:sz w:val="20"/>
        </w:rPr>
        <w:t>del</w:t>
      </w:r>
      <w:r>
        <w:rPr>
          <w:spacing w:val="-1"/>
          <w:sz w:val="20"/>
        </w:rPr>
        <w:t xml:space="preserve"> </w:t>
      </w:r>
      <w:r>
        <w:rPr>
          <w:sz w:val="20"/>
        </w:rPr>
        <w:t>precio</w:t>
      </w:r>
      <w:r>
        <w:rPr>
          <w:spacing w:val="-1"/>
          <w:sz w:val="20"/>
        </w:rPr>
        <w:t xml:space="preserve"> </w:t>
      </w:r>
      <w:r>
        <w:rPr>
          <w:sz w:val="20"/>
        </w:rPr>
        <w:t>se</w:t>
      </w:r>
      <w:r>
        <w:rPr>
          <w:spacing w:val="-1"/>
          <w:sz w:val="20"/>
        </w:rPr>
        <w:t xml:space="preserve"> </w:t>
      </w:r>
      <w:r>
        <w:rPr>
          <w:sz w:val="20"/>
        </w:rPr>
        <w:t>realice</w:t>
      </w:r>
      <w:r>
        <w:rPr>
          <w:spacing w:val="-1"/>
          <w:sz w:val="20"/>
        </w:rPr>
        <w:t xml:space="preserve"> </w:t>
      </w:r>
      <w:r>
        <w:rPr>
          <w:sz w:val="20"/>
        </w:rPr>
        <w:t>mediante precios unitarios, se podrá incrementar el número de unidades a suministrar hasta el porcentaje del 10 por ciento del precio del contrato, a que se refiere el artículo 205.2.c).3.º,</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sin que sea preciso tramitar el correspondiente expediente de modificación, siempre que así se haya establecido en el pliego de cláusulas administrativas particulares y se haya acreditado la correspondiente financiación en el expediente originario del contrato.</w:t>
      </w:r>
    </w:p>
    <w:p w:rsidR="0092635B" w:rsidRDefault="00000000">
      <w:pPr>
        <w:spacing w:before="229"/>
        <w:ind w:left="1106"/>
        <w:rPr>
          <w:rFonts w:ascii="Arial" w:hAnsi="Arial"/>
          <w:i/>
          <w:sz w:val="20"/>
        </w:rPr>
      </w:pPr>
      <w:bookmarkStart w:id="500" w:name="Artículo_302._Pago_en_metálico_y_en_otro"/>
      <w:bookmarkEnd w:id="500"/>
      <w:r>
        <w:rPr>
          <w:rFonts w:ascii="Arial" w:hAnsi="Arial"/>
          <w:b/>
          <w:sz w:val="20"/>
        </w:rPr>
        <w:t>Artículo</w:t>
      </w:r>
      <w:r>
        <w:rPr>
          <w:rFonts w:ascii="Arial" w:hAnsi="Arial"/>
          <w:b/>
          <w:spacing w:val="-2"/>
          <w:sz w:val="20"/>
        </w:rPr>
        <w:t xml:space="preserve"> </w:t>
      </w:r>
      <w:r>
        <w:rPr>
          <w:rFonts w:ascii="Arial" w:hAnsi="Arial"/>
          <w:b/>
          <w:sz w:val="20"/>
        </w:rPr>
        <w:t>302.</w:t>
      </w:r>
      <w:r>
        <w:rPr>
          <w:rFonts w:ascii="Arial" w:hAnsi="Arial"/>
          <w:b/>
          <w:spacing w:val="52"/>
          <w:sz w:val="20"/>
        </w:rPr>
        <w:t xml:space="preserve"> </w:t>
      </w:r>
      <w:r>
        <w:rPr>
          <w:rFonts w:ascii="Arial" w:hAnsi="Arial"/>
          <w:i/>
          <w:sz w:val="20"/>
        </w:rPr>
        <w:t>Pago</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metálico</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otros</w:t>
      </w:r>
      <w:r>
        <w:rPr>
          <w:rFonts w:ascii="Arial" w:hAnsi="Arial"/>
          <w:i/>
          <w:spacing w:val="-1"/>
          <w:sz w:val="20"/>
        </w:rPr>
        <w:t xml:space="preserve"> </w:t>
      </w:r>
      <w:r>
        <w:rPr>
          <w:rFonts w:ascii="Arial" w:hAnsi="Arial"/>
          <w:i/>
          <w:spacing w:val="-2"/>
          <w:sz w:val="20"/>
        </w:rPr>
        <w:t>bienes.</w:t>
      </w:r>
    </w:p>
    <w:p w:rsidR="0092635B" w:rsidRDefault="00000000">
      <w:pPr>
        <w:pStyle w:val="Prrafodelista"/>
        <w:numPr>
          <w:ilvl w:val="0"/>
          <w:numId w:val="97"/>
        </w:numPr>
        <w:tabs>
          <w:tab w:val="left" w:pos="1684"/>
        </w:tabs>
        <w:spacing w:before="123" w:line="249" w:lineRule="auto"/>
        <w:ind w:firstLine="340"/>
        <w:jc w:val="both"/>
        <w:rPr>
          <w:sz w:val="20"/>
        </w:rPr>
      </w:pPr>
      <w:r>
        <w:rPr>
          <w:sz w:val="20"/>
        </w:rPr>
        <w:t>Cuando razones técnicas o económicas debidamente justificadas en el expediente lo aconsejen, podrá establecerse en el pliego de cláusulas administrativas particulares que el pago del precio total de los bienes a suministrar consista parte en dinero y parte en la</w:t>
      </w:r>
      <w:r>
        <w:rPr>
          <w:spacing w:val="40"/>
          <w:sz w:val="20"/>
        </w:rPr>
        <w:t xml:space="preserve"> </w:t>
      </w:r>
      <w:r>
        <w:rPr>
          <w:sz w:val="20"/>
        </w:rPr>
        <w:t>entrega de otros bienes de la misma clase, sin que, en ningún caso, el importe de estos pueda superar el 50 por cien del precio total.</w:t>
      </w:r>
    </w:p>
    <w:p w:rsidR="0092635B" w:rsidRDefault="00000000">
      <w:pPr>
        <w:pStyle w:val="Textoindependiente"/>
        <w:spacing w:before="4" w:line="249" w:lineRule="auto"/>
        <w:ind w:right="1103"/>
      </w:pPr>
      <w:r>
        <w:t>A estos efectos, el compromiso de gasto correspondiente se limitará al importe que, del precio total del contrato, no se satisfaga mediante la entrega de bienes al contratista, sin que tenga aplicación lo dispuesto en el artículo 27.4 de la Ley 47/2003, de 26 de noviembre, General Presupuestaria, en el apartado 3 del artículo 165 de la Ley Reguladora de las Haciendas Locales, aprobada por Real Decreto Legislativo 2/2004, de 5 de marzo, o en análogas regulaciones contenidas en las normas presupuestarias de las distintas Administraciones Públicas sujetas a esta Ley.</w:t>
      </w:r>
    </w:p>
    <w:p w:rsidR="0092635B" w:rsidRDefault="00000000">
      <w:pPr>
        <w:pStyle w:val="Prrafodelista"/>
        <w:numPr>
          <w:ilvl w:val="0"/>
          <w:numId w:val="97"/>
        </w:numPr>
        <w:tabs>
          <w:tab w:val="left" w:pos="1737"/>
        </w:tabs>
        <w:spacing w:before="6" w:line="249" w:lineRule="auto"/>
        <w:ind w:firstLine="340"/>
        <w:jc w:val="both"/>
        <w:rPr>
          <w:sz w:val="20"/>
        </w:rPr>
      </w:pPr>
      <w:r>
        <w:rPr>
          <w:sz w:val="20"/>
        </w:rPr>
        <w:t>La entrega de los bienes por la Administración se acordará por el órgano de contratación, implicando dicho acuerdo por sí solo la baja en el inventario y, en su caso, la desafectación de los bienes de que se trate.</w:t>
      </w:r>
    </w:p>
    <w:p w:rsidR="0092635B" w:rsidRDefault="00000000">
      <w:pPr>
        <w:pStyle w:val="Prrafodelista"/>
        <w:numPr>
          <w:ilvl w:val="0"/>
          <w:numId w:val="97"/>
        </w:numPr>
        <w:tabs>
          <w:tab w:val="left" w:pos="1707"/>
        </w:tabs>
        <w:spacing w:before="3" w:line="249" w:lineRule="auto"/>
        <w:ind w:right="1105" w:firstLine="340"/>
        <w:jc w:val="both"/>
        <w:rPr>
          <w:sz w:val="20"/>
        </w:rPr>
      </w:pPr>
      <w:r>
        <w:rPr>
          <w:sz w:val="20"/>
        </w:rPr>
        <w:t xml:space="preserve">En este supuesto el importe que del precio total del suministro corresponda a los bienes entregados por la Administración será un elemento económico a valorar para la adjudicación del contrato y deberá consignarse expresamente por los empresarios en sus </w:t>
      </w:r>
      <w:r>
        <w:rPr>
          <w:spacing w:val="-2"/>
          <w:sz w:val="20"/>
        </w:rPr>
        <w:t>ofertas.</w:t>
      </w:r>
    </w:p>
    <w:p w:rsidR="0092635B" w:rsidRDefault="00000000">
      <w:pPr>
        <w:pStyle w:val="Prrafodelista"/>
        <w:numPr>
          <w:ilvl w:val="0"/>
          <w:numId w:val="97"/>
        </w:numPr>
        <w:tabs>
          <w:tab w:val="left" w:pos="1693"/>
        </w:tabs>
        <w:spacing w:before="3" w:line="249" w:lineRule="auto"/>
        <w:ind w:right="1102" w:firstLine="340"/>
        <w:jc w:val="both"/>
        <w:rPr>
          <w:sz w:val="20"/>
        </w:rPr>
      </w:pPr>
      <w:r>
        <w:rPr>
          <w:sz w:val="20"/>
        </w:rPr>
        <w:t>El contenido de este artículo será de aplicación a los contratos de servicios para la gestión de los sistemas de información, los de servicios de telecomunicación y los contratos de mantenimiento de estos sistemas, suministros de equipos y terminales y adaptaciones necesarias</w:t>
      </w:r>
      <w:r>
        <w:rPr>
          <w:spacing w:val="-1"/>
          <w:sz w:val="20"/>
        </w:rPr>
        <w:t xml:space="preserve"> </w:t>
      </w:r>
      <w:r>
        <w:rPr>
          <w:sz w:val="20"/>
        </w:rPr>
        <w:t>como</w:t>
      </w:r>
      <w:r>
        <w:rPr>
          <w:spacing w:val="-1"/>
          <w:sz w:val="20"/>
        </w:rPr>
        <w:t xml:space="preserve"> </w:t>
      </w:r>
      <w:r>
        <w:rPr>
          <w:sz w:val="20"/>
        </w:rPr>
        <w:t>cableado,</w:t>
      </w:r>
      <w:r>
        <w:rPr>
          <w:spacing w:val="-1"/>
          <w:sz w:val="20"/>
        </w:rPr>
        <w:t xml:space="preserve"> </w:t>
      </w:r>
      <w:r>
        <w:rPr>
          <w:sz w:val="20"/>
        </w:rPr>
        <w:t>canalizaciones</w:t>
      </w:r>
      <w:r>
        <w:rPr>
          <w:spacing w:val="-1"/>
          <w:sz w:val="20"/>
        </w:rPr>
        <w:t xml:space="preserve"> </w:t>
      </w:r>
      <w:r>
        <w:rPr>
          <w:sz w:val="20"/>
        </w:rPr>
        <w:t>y</w:t>
      </w:r>
      <w:r>
        <w:rPr>
          <w:spacing w:val="-1"/>
          <w:sz w:val="20"/>
        </w:rPr>
        <w:t xml:space="preserve"> </w:t>
      </w:r>
      <w:r>
        <w:rPr>
          <w:sz w:val="20"/>
        </w:rPr>
        <w:t>otras</w:t>
      </w:r>
      <w:r>
        <w:rPr>
          <w:spacing w:val="-1"/>
          <w:sz w:val="20"/>
        </w:rPr>
        <w:t xml:space="preserve"> </w:t>
      </w:r>
      <w:r>
        <w:rPr>
          <w:sz w:val="20"/>
        </w:rPr>
        <w:t>análogas,</w:t>
      </w:r>
      <w:r>
        <w:rPr>
          <w:spacing w:val="-1"/>
          <w:sz w:val="20"/>
        </w:rPr>
        <w:t xml:space="preserve"> </w:t>
      </w:r>
      <w:r>
        <w:rPr>
          <w:sz w:val="20"/>
        </w:rPr>
        <w:t>siempre</w:t>
      </w:r>
      <w:r>
        <w:rPr>
          <w:spacing w:val="-1"/>
          <w:sz w:val="20"/>
        </w:rPr>
        <w:t xml:space="preserve"> </w:t>
      </w:r>
      <w:r>
        <w:rPr>
          <w:sz w:val="20"/>
        </w:rPr>
        <w:t>que</w:t>
      </w:r>
      <w:r>
        <w:rPr>
          <w:spacing w:val="-1"/>
          <w:sz w:val="20"/>
        </w:rPr>
        <w:t xml:space="preserve"> </w:t>
      </w:r>
      <w:r>
        <w:rPr>
          <w:sz w:val="20"/>
        </w:rPr>
        <w:t>vayan</w:t>
      </w:r>
      <w:r>
        <w:rPr>
          <w:spacing w:val="-1"/>
          <w:sz w:val="20"/>
        </w:rPr>
        <w:t xml:space="preserve"> </w:t>
      </w:r>
      <w:r>
        <w:rPr>
          <w:sz w:val="20"/>
        </w:rPr>
        <w:t>asociadas</w:t>
      </w:r>
      <w:r>
        <w:rPr>
          <w:spacing w:val="-1"/>
          <w:sz w:val="20"/>
        </w:rPr>
        <w:t xml:space="preserve"> </w:t>
      </w:r>
      <w:r>
        <w:rPr>
          <w:sz w:val="20"/>
        </w:rPr>
        <w:t>a la prestación de estos servicios y se contraten conjuntamente con ellos, entendiéndose que los bienes a entregar, en su caso, por la Administración han de ser bienes y equipos informáticos y de telecomunicaciones.</w:t>
      </w:r>
    </w:p>
    <w:p w:rsidR="0092635B" w:rsidRDefault="0092635B">
      <w:pPr>
        <w:pStyle w:val="Textoindependiente"/>
        <w:ind w:left="0" w:firstLine="0"/>
        <w:jc w:val="left"/>
      </w:pPr>
    </w:p>
    <w:p w:rsidR="0092635B" w:rsidRDefault="00000000">
      <w:pPr>
        <w:ind w:left="1106"/>
        <w:rPr>
          <w:rFonts w:ascii="Arial" w:hAnsi="Arial"/>
          <w:i/>
          <w:sz w:val="20"/>
        </w:rPr>
      </w:pPr>
      <w:bookmarkStart w:id="501" w:name="Artículo_303._Facultades_de_la_Administr"/>
      <w:bookmarkEnd w:id="501"/>
      <w:r>
        <w:rPr>
          <w:rFonts w:ascii="Arial" w:hAnsi="Arial"/>
          <w:b/>
          <w:sz w:val="20"/>
        </w:rPr>
        <w:t>Artículo</w:t>
      </w:r>
      <w:r>
        <w:rPr>
          <w:rFonts w:ascii="Arial" w:hAnsi="Arial"/>
          <w:b/>
          <w:spacing w:val="-3"/>
          <w:sz w:val="20"/>
        </w:rPr>
        <w:t xml:space="preserve"> </w:t>
      </w:r>
      <w:r>
        <w:rPr>
          <w:rFonts w:ascii="Arial" w:hAnsi="Arial"/>
          <w:b/>
          <w:sz w:val="20"/>
        </w:rPr>
        <w:t>303.</w:t>
      </w:r>
      <w:r>
        <w:rPr>
          <w:rFonts w:ascii="Arial" w:hAnsi="Arial"/>
          <w:b/>
          <w:spacing w:val="50"/>
          <w:sz w:val="20"/>
        </w:rPr>
        <w:t xml:space="preserve"> </w:t>
      </w:r>
      <w:r>
        <w:rPr>
          <w:rFonts w:ascii="Arial" w:hAnsi="Arial"/>
          <w:i/>
          <w:sz w:val="20"/>
        </w:rPr>
        <w:t>Facultades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3"/>
          <w:sz w:val="20"/>
        </w:rPr>
        <w:t xml:space="preserve"> </w:t>
      </w:r>
      <w:r>
        <w:rPr>
          <w:rFonts w:ascii="Arial" w:hAnsi="Arial"/>
          <w:i/>
          <w:sz w:val="20"/>
        </w:rPr>
        <w:t>Administración</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el</w:t>
      </w:r>
      <w:r>
        <w:rPr>
          <w:rFonts w:ascii="Arial" w:hAnsi="Arial"/>
          <w:i/>
          <w:spacing w:val="-2"/>
          <w:sz w:val="20"/>
        </w:rPr>
        <w:t xml:space="preserve"> </w:t>
      </w:r>
      <w:r>
        <w:rPr>
          <w:rFonts w:ascii="Arial" w:hAnsi="Arial"/>
          <w:i/>
          <w:sz w:val="20"/>
        </w:rPr>
        <w:t>proceso</w:t>
      </w:r>
      <w:r>
        <w:rPr>
          <w:rFonts w:ascii="Arial" w:hAnsi="Arial"/>
          <w:i/>
          <w:spacing w:val="-2"/>
          <w:sz w:val="20"/>
        </w:rPr>
        <w:t xml:space="preserve"> </w:t>
      </w:r>
      <w:r>
        <w:rPr>
          <w:rFonts w:ascii="Arial" w:hAnsi="Arial"/>
          <w:i/>
          <w:sz w:val="20"/>
        </w:rPr>
        <w:t>de</w:t>
      </w:r>
      <w:r>
        <w:rPr>
          <w:rFonts w:ascii="Arial" w:hAnsi="Arial"/>
          <w:i/>
          <w:spacing w:val="-2"/>
          <w:sz w:val="20"/>
        </w:rPr>
        <w:t xml:space="preserve"> fabricación.</w:t>
      </w:r>
    </w:p>
    <w:p w:rsidR="0092635B" w:rsidRDefault="00000000">
      <w:pPr>
        <w:pStyle w:val="Textoindependiente"/>
        <w:spacing w:before="124" w:line="249" w:lineRule="auto"/>
        <w:ind w:right="1104"/>
      </w:pPr>
      <w:r>
        <w:t>La Administración tiene la facultad de inspeccionar y de ser informada del proceso de fabricación o elaboración del producto que haya de ser entregado como consecuencia del contrato, pudiendo ordenar o realizar por sí misma análisis, ensayos y pruebas de los materiales que se vayan a emplear, establecer sistemas de control de calidad y dictar cuantas disposiciones estime oportunas para el estricto cumplimiento de lo convenido.</w:t>
      </w:r>
    </w:p>
    <w:p w:rsidR="0092635B" w:rsidRDefault="0092635B">
      <w:pPr>
        <w:pStyle w:val="Textoindependiente"/>
        <w:spacing w:before="1"/>
        <w:ind w:left="0" w:firstLine="0"/>
        <w:jc w:val="left"/>
      </w:pPr>
    </w:p>
    <w:p w:rsidR="0092635B" w:rsidRDefault="00000000">
      <w:pPr>
        <w:pStyle w:val="Ttulo3"/>
        <w:ind w:left="1"/>
      </w:pPr>
      <w:bookmarkStart w:id="502" w:name="Sección_3.ª_Cumplimiento_del_contrato_de"/>
      <w:bookmarkStart w:id="503" w:name="_bookmark101"/>
      <w:bookmarkEnd w:id="502"/>
      <w:bookmarkEnd w:id="503"/>
      <w:r>
        <w:t>Sección</w:t>
      </w:r>
      <w:r>
        <w:rPr>
          <w:spacing w:val="-1"/>
        </w:rPr>
        <w:t xml:space="preserve"> </w:t>
      </w:r>
      <w:r>
        <w:t>3.ª Cumplimiento</w:t>
      </w:r>
      <w:r>
        <w:rPr>
          <w:spacing w:val="-1"/>
        </w:rPr>
        <w:t xml:space="preserve"> </w:t>
      </w:r>
      <w:r>
        <w:t>del contrato</w:t>
      </w:r>
      <w:r>
        <w:rPr>
          <w:spacing w:val="-1"/>
        </w:rPr>
        <w:t xml:space="preserve"> </w:t>
      </w:r>
      <w:r>
        <w:t xml:space="preserve">de </w:t>
      </w:r>
      <w:r>
        <w:rPr>
          <w:spacing w:val="-2"/>
        </w:rPr>
        <w:t>suministro</w:t>
      </w:r>
    </w:p>
    <w:p w:rsidR="0092635B" w:rsidRDefault="0092635B">
      <w:pPr>
        <w:pStyle w:val="Textoindependiente"/>
        <w:spacing w:before="6"/>
        <w:ind w:left="0" w:firstLine="0"/>
        <w:jc w:val="left"/>
        <w:rPr>
          <w:rFonts w:ascii="Arial"/>
          <w:b/>
          <w:i/>
        </w:rPr>
      </w:pPr>
    </w:p>
    <w:p w:rsidR="0092635B" w:rsidRDefault="00000000">
      <w:pPr>
        <w:spacing w:before="1"/>
        <w:ind w:left="1106"/>
        <w:rPr>
          <w:rFonts w:ascii="Arial" w:hAnsi="Arial"/>
          <w:i/>
          <w:sz w:val="20"/>
        </w:rPr>
      </w:pPr>
      <w:bookmarkStart w:id="504" w:name="Artículo_304._Gastos_de_entrega_y_recepc"/>
      <w:bookmarkEnd w:id="504"/>
      <w:r>
        <w:rPr>
          <w:rFonts w:ascii="Arial" w:hAnsi="Arial"/>
          <w:b/>
          <w:sz w:val="20"/>
        </w:rPr>
        <w:t>Artículo</w:t>
      </w:r>
      <w:r>
        <w:rPr>
          <w:rFonts w:ascii="Arial" w:hAnsi="Arial"/>
          <w:b/>
          <w:spacing w:val="-1"/>
          <w:sz w:val="20"/>
        </w:rPr>
        <w:t xml:space="preserve"> </w:t>
      </w:r>
      <w:r>
        <w:rPr>
          <w:rFonts w:ascii="Arial" w:hAnsi="Arial"/>
          <w:b/>
          <w:sz w:val="20"/>
        </w:rPr>
        <w:t>304.</w:t>
      </w:r>
      <w:r>
        <w:rPr>
          <w:rFonts w:ascii="Arial" w:hAnsi="Arial"/>
          <w:b/>
          <w:spacing w:val="52"/>
          <w:sz w:val="20"/>
        </w:rPr>
        <w:t xml:space="preserve"> </w:t>
      </w:r>
      <w:r>
        <w:rPr>
          <w:rFonts w:ascii="Arial" w:hAnsi="Arial"/>
          <w:i/>
          <w:sz w:val="20"/>
        </w:rPr>
        <w:t>Gastos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entrega</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recepción.</w:t>
      </w:r>
    </w:p>
    <w:p w:rsidR="0092635B" w:rsidRDefault="00000000">
      <w:pPr>
        <w:pStyle w:val="Prrafodelista"/>
        <w:numPr>
          <w:ilvl w:val="0"/>
          <w:numId w:val="96"/>
        </w:numPr>
        <w:tabs>
          <w:tab w:val="left" w:pos="1671"/>
        </w:tabs>
        <w:spacing w:before="123" w:line="249" w:lineRule="auto"/>
        <w:ind w:right="1104" w:firstLine="340"/>
        <w:jc w:val="both"/>
        <w:rPr>
          <w:sz w:val="20"/>
        </w:rPr>
      </w:pPr>
      <w:r>
        <w:rPr>
          <w:sz w:val="20"/>
        </w:rPr>
        <w:t>Salvo pacto en contrario, los gastos de la entrega y transporte de los bienes objeto del suministro al lugar convenido serán de cuenta del contratista.</w:t>
      </w:r>
    </w:p>
    <w:p w:rsidR="0092635B" w:rsidRDefault="00000000">
      <w:pPr>
        <w:pStyle w:val="Prrafodelista"/>
        <w:numPr>
          <w:ilvl w:val="0"/>
          <w:numId w:val="96"/>
        </w:numPr>
        <w:tabs>
          <w:tab w:val="left" w:pos="1672"/>
        </w:tabs>
        <w:spacing w:line="249" w:lineRule="auto"/>
        <w:ind w:right="1104" w:firstLine="340"/>
        <w:jc w:val="both"/>
        <w:rPr>
          <w:sz w:val="20"/>
        </w:rPr>
      </w:pPr>
      <w:r>
        <w:rPr>
          <w:sz w:val="20"/>
        </w:rPr>
        <w:t>Si los bienes no se hallan en estado de ser recibidos se hará constar así en el acta de recepción y se darán las instrucciones precisas al contratista para que subsane los defectos observados o proceda a un nuevo suministro de conformidad con lo pactado.</w:t>
      </w:r>
    </w:p>
    <w:p w:rsidR="0092635B" w:rsidRDefault="00000000">
      <w:pPr>
        <w:spacing w:before="229"/>
        <w:ind w:left="1106"/>
        <w:rPr>
          <w:rFonts w:ascii="Arial" w:hAnsi="Arial"/>
          <w:i/>
          <w:sz w:val="20"/>
        </w:rPr>
      </w:pPr>
      <w:bookmarkStart w:id="505" w:name="Artículo_305._Vicios_o_defectos_durante_"/>
      <w:bookmarkEnd w:id="505"/>
      <w:r>
        <w:rPr>
          <w:rFonts w:ascii="Arial" w:hAnsi="Arial"/>
          <w:b/>
          <w:sz w:val="20"/>
        </w:rPr>
        <w:t>Artículo</w:t>
      </w:r>
      <w:r>
        <w:rPr>
          <w:rFonts w:ascii="Arial" w:hAnsi="Arial"/>
          <w:b/>
          <w:spacing w:val="-2"/>
          <w:sz w:val="20"/>
        </w:rPr>
        <w:t xml:space="preserve"> </w:t>
      </w:r>
      <w:r>
        <w:rPr>
          <w:rFonts w:ascii="Arial" w:hAnsi="Arial"/>
          <w:b/>
          <w:sz w:val="20"/>
        </w:rPr>
        <w:t>305.</w:t>
      </w:r>
      <w:r>
        <w:rPr>
          <w:rFonts w:ascii="Arial" w:hAnsi="Arial"/>
          <w:b/>
          <w:spacing w:val="51"/>
          <w:sz w:val="20"/>
        </w:rPr>
        <w:t xml:space="preserve"> </w:t>
      </w:r>
      <w:r>
        <w:rPr>
          <w:rFonts w:ascii="Arial" w:hAnsi="Arial"/>
          <w:i/>
          <w:sz w:val="20"/>
        </w:rPr>
        <w:t>Vicios</w:t>
      </w:r>
      <w:r>
        <w:rPr>
          <w:rFonts w:ascii="Arial" w:hAnsi="Arial"/>
          <w:i/>
          <w:spacing w:val="-2"/>
          <w:sz w:val="20"/>
        </w:rPr>
        <w:t xml:space="preserve"> </w:t>
      </w:r>
      <w:r>
        <w:rPr>
          <w:rFonts w:ascii="Arial" w:hAnsi="Arial"/>
          <w:i/>
          <w:sz w:val="20"/>
        </w:rPr>
        <w:t>o</w:t>
      </w:r>
      <w:r>
        <w:rPr>
          <w:rFonts w:ascii="Arial" w:hAnsi="Arial"/>
          <w:i/>
          <w:spacing w:val="-1"/>
          <w:sz w:val="20"/>
        </w:rPr>
        <w:t xml:space="preserve"> </w:t>
      </w:r>
      <w:r>
        <w:rPr>
          <w:rFonts w:ascii="Arial" w:hAnsi="Arial"/>
          <w:i/>
          <w:sz w:val="20"/>
        </w:rPr>
        <w:t>defectos</w:t>
      </w:r>
      <w:r>
        <w:rPr>
          <w:rFonts w:ascii="Arial" w:hAnsi="Arial"/>
          <w:i/>
          <w:spacing w:val="-2"/>
          <w:sz w:val="20"/>
        </w:rPr>
        <w:t xml:space="preserve"> </w:t>
      </w:r>
      <w:r>
        <w:rPr>
          <w:rFonts w:ascii="Arial" w:hAnsi="Arial"/>
          <w:i/>
          <w:sz w:val="20"/>
        </w:rPr>
        <w:t>durante</w:t>
      </w:r>
      <w:r>
        <w:rPr>
          <w:rFonts w:ascii="Arial" w:hAnsi="Arial"/>
          <w:i/>
          <w:spacing w:val="-2"/>
          <w:sz w:val="20"/>
        </w:rPr>
        <w:t xml:space="preserve"> </w:t>
      </w:r>
      <w:r>
        <w:rPr>
          <w:rFonts w:ascii="Arial" w:hAnsi="Arial"/>
          <w:i/>
          <w:sz w:val="20"/>
        </w:rPr>
        <w:t>el</w:t>
      </w:r>
      <w:r>
        <w:rPr>
          <w:rFonts w:ascii="Arial" w:hAnsi="Arial"/>
          <w:i/>
          <w:spacing w:val="-1"/>
          <w:sz w:val="20"/>
        </w:rPr>
        <w:t xml:space="preserve"> </w:t>
      </w:r>
      <w:r>
        <w:rPr>
          <w:rFonts w:ascii="Arial" w:hAnsi="Arial"/>
          <w:i/>
          <w:sz w:val="20"/>
        </w:rPr>
        <w:t>plazo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garantía.</w:t>
      </w:r>
    </w:p>
    <w:p w:rsidR="0092635B" w:rsidRDefault="00000000">
      <w:pPr>
        <w:pStyle w:val="Prrafodelista"/>
        <w:numPr>
          <w:ilvl w:val="0"/>
          <w:numId w:val="95"/>
        </w:numPr>
        <w:tabs>
          <w:tab w:val="left" w:pos="1679"/>
        </w:tabs>
        <w:spacing w:before="123" w:line="249" w:lineRule="auto"/>
        <w:ind w:right="1104" w:firstLine="340"/>
        <w:jc w:val="both"/>
        <w:rPr>
          <w:sz w:val="20"/>
        </w:rPr>
      </w:pPr>
      <w:r>
        <w:rPr>
          <w:sz w:val="20"/>
        </w:rPr>
        <w:t>Si durante el plazo de garantía se acreditase la existencia de vicios o defectos en los bienes suministrados tendrá derecho la Administración a reclamar del contratista la reposición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que</w:t>
      </w:r>
      <w:r>
        <w:rPr>
          <w:spacing w:val="-2"/>
          <w:sz w:val="20"/>
        </w:rPr>
        <w:t xml:space="preserve"> </w:t>
      </w:r>
      <w:r>
        <w:rPr>
          <w:sz w:val="20"/>
        </w:rPr>
        <w:t>resulten</w:t>
      </w:r>
      <w:r>
        <w:rPr>
          <w:spacing w:val="-2"/>
          <w:sz w:val="20"/>
        </w:rPr>
        <w:t xml:space="preserve"> </w:t>
      </w:r>
      <w:r>
        <w:rPr>
          <w:sz w:val="20"/>
        </w:rPr>
        <w:t>inadecuados</w:t>
      </w:r>
      <w:r>
        <w:rPr>
          <w:spacing w:val="-2"/>
          <w:sz w:val="20"/>
        </w:rPr>
        <w:t xml:space="preserve"> </w:t>
      </w:r>
      <w:r>
        <w:rPr>
          <w:sz w:val="20"/>
        </w:rPr>
        <w:t>o</w:t>
      </w:r>
      <w:r>
        <w:rPr>
          <w:spacing w:val="-2"/>
          <w:sz w:val="20"/>
        </w:rPr>
        <w:t xml:space="preserve"> </w:t>
      </w:r>
      <w:r>
        <w:rPr>
          <w:sz w:val="20"/>
        </w:rPr>
        <w:t>la</w:t>
      </w:r>
      <w:r>
        <w:rPr>
          <w:spacing w:val="-2"/>
          <w:sz w:val="20"/>
        </w:rPr>
        <w:t xml:space="preserve"> </w:t>
      </w:r>
      <w:r>
        <w:rPr>
          <w:sz w:val="20"/>
        </w:rPr>
        <w:t>reparación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mismos</w:t>
      </w:r>
      <w:r>
        <w:rPr>
          <w:spacing w:val="-2"/>
          <w:sz w:val="20"/>
        </w:rPr>
        <w:t xml:space="preserve"> </w:t>
      </w:r>
      <w:r>
        <w:rPr>
          <w:sz w:val="20"/>
        </w:rPr>
        <w:t>si</w:t>
      </w:r>
      <w:r>
        <w:rPr>
          <w:spacing w:val="-2"/>
          <w:sz w:val="20"/>
        </w:rPr>
        <w:t xml:space="preserve"> </w:t>
      </w:r>
      <w:r>
        <w:rPr>
          <w:sz w:val="20"/>
        </w:rPr>
        <w:t>fuese</w:t>
      </w:r>
      <w:r>
        <w:rPr>
          <w:spacing w:val="-2"/>
          <w:sz w:val="20"/>
        </w:rPr>
        <w:t xml:space="preserve"> </w:t>
      </w:r>
      <w:r>
        <w:rPr>
          <w:sz w:val="20"/>
        </w:rPr>
        <w:t>suficiente.</w:t>
      </w:r>
    </w:p>
    <w:p w:rsidR="0092635B" w:rsidRDefault="00000000">
      <w:pPr>
        <w:pStyle w:val="Prrafodelista"/>
        <w:numPr>
          <w:ilvl w:val="0"/>
          <w:numId w:val="95"/>
        </w:numPr>
        <w:tabs>
          <w:tab w:val="left" w:pos="1703"/>
        </w:tabs>
        <w:spacing w:before="3" w:line="249" w:lineRule="auto"/>
        <w:ind w:right="1106" w:firstLine="340"/>
        <w:jc w:val="both"/>
        <w:rPr>
          <w:sz w:val="20"/>
        </w:rPr>
      </w:pPr>
      <w:r>
        <w:rPr>
          <w:sz w:val="20"/>
        </w:rPr>
        <w:t>Durante este plazo de garantía tendrá derecho el contratista a conocer y ser oído sobre la aplicación de los bienes suministrados.</w:t>
      </w:r>
    </w:p>
    <w:p w:rsidR="0092635B" w:rsidRDefault="00000000">
      <w:pPr>
        <w:pStyle w:val="Prrafodelista"/>
        <w:numPr>
          <w:ilvl w:val="0"/>
          <w:numId w:val="95"/>
        </w:numPr>
        <w:tabs>
          <w:tab w:val="left" w:pos="1694"/>
        </w:tabs>
        <w:spacing w:before="1" w:line="249" w:lineRule="auto"/>
        <w:ind w:right="1102" w:firstLine="340"/>
        <w:jc w:val="both"/>
        <w:rPr>
          <w:sz w:val="20"/>
        </w:rPr>
      </w:pPr>
      <w:r>
        <w:rPr>
          <w:sz w:val="20"/>
        </w:rPr>
        <w:t>Si el órgano de contratación estimase, durante el plazo de garantía, que los bienes suministrados</w:t>
      </w:r>
      <w:r>
        <w:rPr>
          <w:spacing w:val="40"/>
          <w:sz w:val="20"/>
        </w:rPr>
        <w:t xml:space="preserve"> </w:t>
      </w:r>
      <w:r>
        <w:rPr>
          <w:sz w:val="20"/>
        </w:rPr>
        <w:t>no</w:t>
      </w:r>
      <w:r>
        <w:rPr>
          <w:spacing w:val="40"/>
          <w:sz w:val="20"/>
        </w:rPr>
        <w:t xml:space="preserve"> </w:t>
      </w:r>
      <w:r>
        <w:rPr>
          <w:sz w:val="20"/>
        </w:rPr>
        <w:t>son</w:t>
      </w:r>
      <w:r>
        <w:rPr>
          <w:spacing w:val="40"/>
          <w:sz w:val="20"/>
        </w:rPr>
        <w:t xml:space="preserve"> </w:t>
      </w:r>
      <w:r>
        <w:rPr>
          <w:sz w:val="20"/>
        </w:rPr>
        <w:t>aptos</w:t>
      </w:r>
      <w:r>
        <w:rPr>
          <w:spacing w:val="40"/>
          <w:sz w:val="20"/>
        </w:rPr>
        <w:t xml:space="preserve"> </w:t>
      </w:r>
      <w:r>
        <w:rPr>
          <w:sz w:val="20"/>
        </w:rPr>
        <w:t>para</w:t>
      </w:r>
      <w:r>
        <w:rPr>
          <w:spacing w:val="40"/>
          <w:sz w:val="20"/>
        </w:rPr>
        <w:t xml:space="preserve"> </w:t>
      </w:r>
      <w:r>
        <w:rPr>
          <w:sz w:val="20"/>
        </w:rPr>
        <w:t>el</w:t>
      </w:r>
      <w:r>
        <w:rPr>
          <w:spacing w:val="40"/>
          <w:sz w:val="20"/>
        </w:rPr>
        <w:t xml:space="preserve"> </w:t>
      </w:r>
      <w:r>
        <w:rPr>
          <w:sz w:val="20"/>
        </w:rPr>
        <w:t>fin</w:t>
      </w:r>
      <w:r>
        <w:rPr>
          <w:spacing w:val="40"/>
          <w:sz w:val="20"/>
        </w:rPr>
        <w:t xml:space="preserve"> </w:t>
      </w:r>
      <w:r>
        <w:rPr>
          <w:sz w:val="20"/>
        </w:rPr>
        <w:t>pretendido,</w:t>
      </w:r>
      <w:r>
        <w:rPr>
          <w:spacing w:val="40"/>
          <w:sz w:val="20"/>
        </w:rPr>
        <w:t xml:space="preserve"> </w:t>
      </w:r>
      <w:r>
        <w:rPr>
          <w:sz w:val="20"/>
        </w:rPr>
        <w:t>como</w:t>
      </w:r>
      <w:r>
        <w:rPr>
          <w:spacing w:val="40"/>
          <w:sz w:val="20"/>
        </w:rPr>
        <w:t xml:space="preserve"> </w:t>
      </w:r>
      <w:r>
        <w:rPr>
          <w:sz w:val="20"/>
        </w:rPr>
        <w:t>consecuencia</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vicios</w:t>
      </w:r>
      <w:r>
        <w:rPr>
          <w:spacing w:val="40"/>
          <w:sz w:val="20"/>
        </w:rPr>
        <w:t xml:space="preserve"> </w:t>
      </w:r>
      <w:r>
        <w:rPr>
          <w:sz w:val="20"/>
        </w:rPr>
        <w:t>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defectos observados en ellos e imputables al contratista y exista la presunción de que la reposición o reparación de dichos bienes no serán bastantes para lograr aquel fin, podrá, antes de expirar dicho plazo, rechazar los bienes dejándolos de cuenta del contratista y quedando</w:t>
      </w:r>
      <w:r>
        <w:rPr>
          <w:spacing w:val="-2"/>
        </w:rPr>
        <w:t xml:space="preserve"> </w:t>
      </w:r>
      <w:r>
        <w:t>exento</w:t>
      </w:r>
      <w:r>
        <w:rPr>
          <w:spacing w:val="-2"/>
        </w:rPr>
        <w:t xml:space="preserve"> </w:t>
      </w:r>
      <w:r>
        <w:t>de</w:t>
      </w:r>
      <w:r>
        <w:rPr>
          <w:spacing w:val="-2"/>
        </w:rPr>
        <w:t xml:space="preserve"> </w:t>
      </w:r>
      <w:r>
        <w:t>la</w:t>
      </w:r>
      <w:r>
        <w:rPr>
          <w:spacing w:val="-2"/>
        </w:rPr>
        <w:t xml:space="preserve"> </w:t>
      </w:r>
      <w:r>
        <w:t>obligación</w:t>
      </w:r>
      <w:r>
        <w:rPr>
          <w:spacing w:val="-2"/>
        </w:rPr>
        <w:t xml:space="preserve"> </w:t>
      </w:r>
      <w:r>
        <w:t>de</w:t>
      </w:r>
      <w:r>
        <w:rPr>
          <w:spacing w:val="-2"/>
        </w:rPr>
        <w:t xml:space="preserve"> </w:t>
      </w:r>
      <w:r>
        <w:t>pago</w:t>
      </w:r>
      <w:r>
        <w:rPr>
          <w:spacing w:val="-2"/>
        </w:rPr>
        <w:t xml:space="preserve"> </w:t>
      </w:r>
      <w:r>
        <w:t>o</w:t>
      </w:r>
      <w:r>
        <w:rPr>
          <w:spacing w:val="-2"/>
        </w:rPr>
        <w:t xml:space="preserve"> </w:t>
      </w:r>
      <w:r>
        <w:t>teniendo</w:t>
      </w:r>
      <w:r>
        <w:rPr>
          <w:spacing w:val="-2"/>
        </w:rPr>
        <w:t xml:space="preserve"> </w:t>
      </w:r>
      <w:r>
        <w:t>derecho,</w:t>
      </w:r>
      <w:r>
        <w:rPr>
          <w:spacing w:val="-2"/>
        </w:rPr>
        <w:t xml:space="preserve"> </w:t>
      </w:r>
      <w:r>
        <w:t>en</w:t>
      </w:r>
      <w:r>
        <w:rPr>
          <w:spacing w:val="-2"/>
        </w:rPr>
        <w:t xml:space="preserve"> </w:t>
      </w:r>
      <w:r>
        <w:t>su</w:t>
      </w:r>
      <w:r>
        <w:rPr>
          <w:spacing w:val="-2"/>
        </w:rPr>
        <w:t xml:space="preserve"> </w:t>
      </w:r>
      <w:r>
        <w:t>caso,</w:t>
      </w:r>
      <w:r>
        <w:rPr>
          <w:spacing w:val="-2"/>
        </w:rPr>
        <w:t xml:space="preserve"> </w:t>
      </w:r>
      <w:r>
        <w:t>a</w:t>
      </w:r>
      <w:r>
        <w:rPr>
          <w:spacing w:val="-2"/>
        </w:rPr>
        <w:t xml:space="preserve"> </w:t>
      </w:r>
      <w:r>
        <w:t>la</w:t>
      </w:r>
      <w:r>
        <w:rPr>
          <w:spacing w:val="-2"/>
        </w:rPr>
        <w:t xml:space="preserve"> </w:t>
      </w:r>
      <w:r>
        <w:t>recuperación del precio satisfecho.</w:t>
      </w:r>
    </w:p>
    <w:p w:rsidR="0092635B" w:rsidRDefault="00000000">
      <w:pPr>
        <w:pStyle w:val="Prrafodelista"/>
        <w:numPr>
          <w:ilvl w:val="0"/>
          <w:numId w:val="95"/>
        </w:numPr>
        <w:tabs>
          <w:tab w:val="left" w:pos="1681"/>
        </w:tabs>
        <w:spacing w:before="4" w:line="249" w:lineRule="auto"/>
        <w:ind w:right="1104" w:firstLine="340"/>
        <w:jc w:val="both"/>
        <w:rPr>
          <w:sz w:val="20"/>
        </w:rPr>
      </w:pPr>
      <w:r>
        <w:rPr>
          <w:sz w:val="20"/>
        </w:rPr>
        <w:t>Terminado el plazo de garantía sin que la Administración haya formalizado alguno de los reparos o la denuncia a que se refieren los apartados 1 y 3 de este artículo, el contratista quedará exento de responsabilidad por razón de los bienes suministrados.</w:t>
      </w:r>
    </w:p>
    <w:p w:rsidR="0092635B" w:rsidRDefault="00000000">
      <w:pPr>
        <w:pStyle w:val="Ttulo3"/>
        <w:spacing w:before="229"/>
        <w:ind w:left="1"/>
      </w:pPr>
      <w:bookmarkStart w:id="506" w:name="Sección_4.ª_Resolución_del_contrato_de_s"/>
      <w:bookmarkStart w:id="507" w:name="_bookmark102"/>
      <w:bookmarkEnd w:id="506"/>
      <w:bookmarkEnd w:id="507"/>
      <w:r>
        <w:t>Sección</w:t>
      </w:r>
      <w:r>
        <w:rPr>
          <w:spacing w:val="-1"/>
        </w:rPr>
        <w:t xml:space="preserve"> </w:t>
      </w:r>
      <w:r>
        <w:t>4.ª Resolución</w:t>
      </w:r>
      <w:r>
        <w:rPr>
          <w:spacing w:val="-1"/>
        </w:rPr>
        <w:t xml:space="preserve"> </w:t>
      </w:r>
      <w:r>
        <w:t>del contrato</w:t>
      </w:r>
      <w:r>
        <w:rPr>
          <w:spacing w:val="-1"/>
        </w:rPr>
        <w:t xml:space="preserve"> </w:t>
      </w:r>
      <w:r>
        <w:t xml:space="preserve">de </w:t>
      </w:r>
      <w:r>
        <w:rPr>
          <w:spacing w:val="-2"/>
        </w:rPr>
        <w:t>suministro</w:t>
      </w:r>
    </w:p>
    <w:p w:rsidR="0092635B" w:rsidRDefault="0092635B">
      <w:pPr>
        <w:pStyle w:val="Textoindependiente"/>
        <w:spacing w:before="7"/>
        <w:ind w:left="0" w:firstLine="0"/>
        <w:jc w:val="left"/>
        <w:rPr>
          <w:rFonts w:ascii="Arial"/>
          <w:b/>
          <w:i/>
        </w:rPr>
      </w:pPr>
    </w:p>
    <w:p w:rsidR="0092635B" w:rsidRDefault="00000000">
      <w:pPr>
        <w:ind w:left="1106"/>
        <w:rPr>
          <w:rFonts w:ascii="Arial" w:hAnsi="Arial"/>
          <w:i/>
          <w:sz w:val="20"/>
        </w:rPr>
      </w:pPr>
      <w:bookmarkStart w:id="508" w:name="Artículo_306._Causas_de_resolución."/>
      <w:bookmarkEnd w:id="508"/>
      <w:r>
        <w:rPr>
          <w:rFonts w:ascii="Arial" w:hAnsi="Arial"/>
          <w:b/>
          <w:sz w:val="20"/>
        </w:rPr>
        <w:t>Artículo</w:t>
      </w:r>
      <w:r>
        <w:rPr>
          <w:rFonts w:ascii="Arial" w:hAnsi="Arial"/>
          <w:b/>
          <w:spacing w:val="-3"/>
          <w:sz w:val="20"/>
        </w:rPr>
        <w:t xml:space="preserve"> </w:t>
      </w:r>
      <w:r>
        <w:rPr>
          <w:rFonts w:ascii="Arial" w:hAnsi="Arial"/>
          <w:b/>
          <w:sz w:val="20"/>
        </w:rPr>
        <w:t>306.</w:t>
      </w:r>
      <w:r>
        <w:rPr>
          <w:rFonts w:ascii="Arial" w:hAnsi="Arial"/>
          <w:b/>
          <w:spacing w:val="54"/>
          <w:sz w:val="20"/>
        </w:rPr>
        <w:t xml:space="preserve"> </w:t>
      </w:r>
      <w:r>
        <w:rPr>
          <w:rFonts w:ascii="Arial" w:hAnsi="Arial"/>
          <w:i/>
          <w:sz w:val="20"/>
        </w:rPr>
        <w:t xml:space="preserve">Causas de </w:t>
      </w:r>
      <w:r>
        <w:rPr>
          <w:rFonts w:ascii="Arial" w:hAnsi="Arial"/>
          <w:i/>
          <w:spacing w:val="-2"/>
          <w:sz w:val="20"/>
        </w:rPr>
        <w:t>resolución.</w:t>
      </w:r>
    </w:p>
    <w:p w:rsidR="0092635B" w:rsidRDefault="00000000">
      <w:pPr>
        <w:pStyle w:val="Textoindependiente"/>
        <w:spacing w:before="123" w:line="249" w:lineRule="auto"/>
        <w:ind w:right="1104"/>
      </w:pPr>
      <w:r>
        <w:t xml:space="preserve">Son causas de resolución del contrato de suministro, además de las generales, las </w:t>
      </w:r>
      <w:r>
        <w:rPr>
          <w:spacing w:val="-2"/>
        </w:rPr>
        <w:t>siguientes:</w:t>
      </w:r>
    </w:p>
    <w:p w:rsidR="0092635B" w:rsidRDefault="00000000">
      <w:pPr>
        <w:pStyle w:val="Prrafodelista"/>
        <w:numPr>
          <w:ilvl w:val="1"/>
          <w:numId w:val="95"/>
        </w:numPr>
        <w:tabs>
          <w:tab w:val="left" w:pos="1699"/>
        </w:tabs>
        <w:spacing w:before="122" w:line="249" w:lineRule="auto"/>
        <w:ind w:right="1104" w:firstLine="340"/>
        <w:jc w:val="both"/>
        <w:rPr>
          <w:sz w:val="20"/>
        </w:rPr>
      </w:pPr>
      <w:r>
        <w:rPr>
          <w:sz w:val="20"/>
        </w:rPr>
        <w:t>El desistimiento antes de la iniciación del suministro o la suspensión de la iniciación del suministro por causa imputable a la Administración por plazo superior a cuatro meses a partir de la fecha señalada en el contrato para la entrega salvo que en el pliego se señale otro menor.</w:t>
      </w:r>
    </w:p>
    <w:p w:rsidR="0092635B" w:rsidRDefault="00000000">
      <w:pPr>
        <w:pStyle w:val="Prrafodelista"/>
        <w:numPr>
          <w:ilvl w:val="1"/>
          <w:numId w:val="95"/>
        </w:numPr>
        <w:tabs>
          <w:tab w:val="left" w:pos="1728"/>
        </w:tabs>
        <w:spacing w:before="3" w:line="249" w:lineRule="auto"/>
        <w:ind w:right="1104" w:firstLine="340"/>
        <w:jc w:val="both"/>
        <w:rPr>
          <w:sz w:val="20"/>
        </w:rPr>
      </w:pPr>
      <w:r>
        <w:rPr>
          <w:sz w:val="20"/>
        </w:rPr>
        <w:t>El desistimiento una vez iniciada la ejecución del suministro o la suspensión del suministro por un plazo superior a ocho meses acordada por la Administración, salvo que en el pliego se señale otro menor.</w:t>
      </w:r>
    </w:p>
    <w:p w:rsidR="0092635B" w:rsidRDefault="00000000">
      <w:pPr>
        <w:spacing w:before="229"/>
        <w:ind w:left="1106"/>
        <w:rPr>
          <w:rFonts w:ascii="Arial" w:hAnsi="Arial"/>
          <w:i/>
          <w:sz w:val="20"/>
        </w:rPr>
      </w:pPr>
      <w:bookmarkStart w:id="509" w:name="Artículo_307._Efectos_de_la_resolución."/>
      <w:bookmarkEnd w:id="509"/>
      <w:r>
        <w:rPr>
          <w:rFonts w:ascii="Arial" w:hAnsi="Arial"/>
          <w:b/>
          <w:sz w:val="20"/>
        </w:rPr>
        <w:t>Artículo</w:t>
      </w:r>
      <w:r>
        <w:rPr>
          <w:rFonts w:ascii="Arial" w:hAnsi="Arial"/>
          <w:b/>
          <w:spacing w:val="-1"/>
          <w:sz w:val="20"/>
        </w:rPr>
        <w:t xml:space="preserve"> </w:t>
      </w:r>
      <w:r>
        <w:rPr>
          <w:rFonts w:ascii="Arial" w:hAnsi="Arial"/>
          <w:b/>
          <w:sz w:val="20"/>
        </w:rPr>
        <w:t>307.</w:t>
      </w:r>
      <w:r>
        <w:rPr>
          <w:rFonts w:ascii="Arial" w:hAnsi="Arial"/>
          <w:b/>
          <w:spacing w:val="54"/>
          <w:sz w:val="20"/>
        </w:rPr>
        <w:t xml:space="preserve"> </w:t>
      </w:r>
      <w:r>
        <w:rPr>
          <w:rFonts w:ascii="Arial" w:hAnsi="Arial"/>
          <w:i/>
          <w:sz w:val="20"/>
        </w:rPr>
        <w:t>Efectos</w:t>
      </w:r>
      <w:r>
        <w:rPr>
          <w:rFonts w:ascii="Arial" w:hAnsi="Arial"/>
          <w:i/>
          <w:spacing w:val="-1"/>
          <w:sz w:val="20"/>
        </w:rPr>
        <w:t xml:space="preserve"> </w:t>
      </w:r>
      <w:r>
        <w:rPr>
          <w:rFonts w:ascii="Arial" w:hAnsi="Arial"/>
          <w:i/>
          <w:sz w:val="20"/>
        </w:rPr>
        <w:t xml:space="preserve">de la </w:t>
      </w:r>
      <w:r>
        <w:rPr>
          <w:rFonts w:ascii="Arial" w:hAnsi="Arial"/>
          <w:i/>
          <w:spacing w:val="-2"/>
          <w:sz w:val="20"/>
        </w:rPr>
        <w:t>resolución.</w:t>
      </w:r>
    </w:p>
    <w:p w:rsidR="0092635B" w:rsidRDefault="00000000">
      <w:pPr>
        <w:pStyle w:val="Prrafodelista"/>
        <w:numPr>
          <w:ilvl w:val="0"/>
          <w:numId w:val="94"/>
        </w:numPr>
        <w:tabs>
          <w:tab w:val="left" w:pos="1699"/>
        </w:tabs>
        <w:spacing w:before="124" w:line="249" w:lineRule="auto"/>
        <w:ind w:firstLine="340"/>
        <w:jc w:val="both"/>
        <w:rPr>
          <w:sz w:val="20"/>
        </w:rPr>
      </w:pPr>
      <w:r>
        <w:rPr>
          <w:sz w:val="20"/>
        </w:rPr>
        <w:t>La resolución del contrato dará lugar a la recíproca devolución de los bienes y del importe de los pagos realizados, y, cuando no fuera posible o conveniente para la Administración, habrá de abonar esta el precio de los efectivamente entregados y recibidos de conformidad.</w:t>
      </w:r>
    </w:p>
    <w:p w:rsidR="0092635B" w:rsidRDefault="00000000">
      <w:pPr>
        <w:pStyle w:val="Prrafodelista"/>
        <w:numPr>
          <w:ilvl w:val="0"/>
          <w:numId w:val="94"/>
        </w:numPr>
        <w:tabs>
          <w:tab w:val="left" w:pos="1668"/>
        </w:tabs>
        <w:spacing w:before="3" w:line="249" w:lineRule="auto"/>
        <w:ind w:firstLine="340"/>
        <w:jc w:val="both"/>
        <w:rPr>
          <w:sz w:val="20"/>
        </w:rPr>
      </w:pPr>
      <w:r>
        <w:rPr>
          <w:sz w:val="20"/>
        </w:rPr>
        <w:t>En</w:t>
      </w:r>
      <w:r>
        <w:rPr>
          <w:spacing w:val="-3"/>
          <w:sz w:val="20"/>
        </w:rPr>
        <w:t xml:space="preserve"> </w:t>
      </w:r>
      <w:r>
        <w:rPr>
          <w:sz w:val="20"/>
        </w:rPr>
        <w:t>los</w:t>
      </w:r>
      <w:r>
        <w:rPr>
          <w:spacing w:val="-3"/>
          <w:sz w:val="20"/>
        </w:rPr>
        <w:t xml:space="preserve"> </w:t>
      </w:r>
      <w:r>
        <w:rPr>
          <w:sz w:val="20"/>
        </w:rPr>
        <w:t>supuestos</w:t>
      </w:r>
      <w:r>
        <w:rPr>
          <w:spacing w:val="-3"/>
          <w:sz w:val="20"/>
        </w:rPr>
        <w:t xml:space="preserve"> </w:t>
      </w:r>
      <w:r>
        <w:rPr>
          <w:sz w:val="20"/>
        </w:rPr>
        <w:t>establecidos</w:t>
      </w:r>
      <w:r>
        <w:rPr>
          <w:spacing w:val="-3"/>
          <w:sz w:val="20"/>
        </w:rPr>
        <w:t xml:space="preserve"> </w:t>
      </w:r>
      <w:r>
        <w:rPr>
          <w:sz w:val="20"/>
        </w:rPr>
        <w:t>en</w:t>
      </w:r>
      <w:r>
        <w:rPr>
          <w:spacing w:val="-3"/>
          <w:sz w:val="20"/>
        </w:rPr>
        <w:t xml:space="preserve"> </w:t>
      </w:r>
      <w:r>
        <w:rPr>
          <w:sz w:val="20"/>
        </w:rPr>
        <w:t>la</w:t>
      </w:r>
      <w:r>
        <w:rPr>
          <w:spacing w:val="-3"/>
          <w:sz w:val="20"/>
        </w:rPr>
        <w:t xml:space="preserve"> </w:t>
      </w:r>
      <w:r>
        <w:rPr>
          <w:sz w:val="20"/>
        </w:rPr>
        <w:t>letra</w:t>
      </w:r>
      <w:r>
        <w:rPr>
          <w:spacing w:val="-3"/>
          <w:sz w:val="20"/>
        </w:rPr>
        <w:t xml:space="preserve"> </w:t>
      </w:r>
      <w:r>
        <w:rPr>
          <w:sz w:val="20"/>
        </w:rPr>
        <w:t>a)</w:t>
      </w:r>
      <w:r>
        <w:rPr>
          <w:spacing w:val="-3"/>
          <w:sz w:val="20"/>
        </w:rPr>
        <w:t xml:space="preserve"> </w:t>
      </w:r>
      <w:r>
        <w:rPr>
          <w:sz w:val="20"/>
        </w:rPr>
        <w:t>del</w:t>
      </w:r>
      <w:r>
        <w:rPr>
          <w:spacing w:val="-3"/>
          <w:sz w:val="20"/>
        </w:rPr>
        <w:t xml:space="preserve"> </w:t>
      </w:r>
      <w:r>
        <w:rPr>
          <w:sz w:val="20"/>
        </w:rPr>
        <w:t>artículo</w:t>
      </w:r>
      <w:r>
        <w:rPr>
          <w:spacing w:val="-3"/>
          <w:sz w:val="20"/>
        </w:rPr>
        <w:t xml:space="preserve"> </w:t>
      </w:r>
      <w:r>
        <w:rPr>
          <w:sz w:val="20"/>
        </w:rPr>
        <w:t>anterior,</w:t>
      </w:r>
      <w:r>
        <w:rPr>
          <w:spacing w:val="-3"/>
          <w:sz w:val="20"/>
        </w:rPr>
        <w:t xml:space="preserve"> </w:t>
      </w:r>
      <w:r>
        <w:rPr>
          <w:sz w:val="20"/>
        </w:rPr>
        <w:t>solo</w:t>
      </w:r>
      <w:r>
        <w:rPr>
          <w:spacing w:val="-3"/>
          <w:sz w:val="20"/>
        </w:rPr>
        <w:t xml:space="preserve"> </w:t>
      </w:r>
      <w:r>
        <w:rPr>
          <w:sz w:val="20"/>
        </w:rPr>
        <w:t>tendrá</w:t>
      </w:r>
      <w:r>
        <w:rPr>
          <w:spacing w:val="-3"/>
          <w:sz w:val="20"/>
        </w:rPr>
        <w:t xml:space="preserve"> </w:t>
      </w:r>
      <w:r>
        <w:rPr>
          <w:sz w:val="20"/>
        </w:rPr>
        <w:t>derecho</w:t>
      </w:r>
      <w:r>
        <w:rPr>
          <w:spacing w:val="-3"/>
          <w:sz w:val="20"/>
        </w:rPr>
        <w:t xml:space="preserve"> </w:t>
      </w:r>
      <w:r>
        <w:rPr>
          <w:sz w:val="20"/>
        </w:rPr>
        <w:t>el contratista a percibir, por todos los conceptos, una indemnización del 3 por ciento del precio de la adjudicación del contrato, IVA excluido.</w:t>
      </w:r>
    </w:p>
    <w:p w:rsidR="0092635B" w:rsidRDefault="00000000">
      <w:pPr>
        <w:pStyle w:val="Prrafodelista"/>
        <w:numPr>
          <w:ilvl w:val="0"/>
          <w:numId w:val="94"/>
        </w:numPr>
        <w:tabs>
          <w:tab w:val="left" w:pos="1675"/>
        </w:tabs>
        <w:spacing w:line="249" w:lineRule="auto"/>
        <w:ind w:firstLine="340"/>
        <w:jc w:val="both"/>
        <w:rPr>
          <w:sz w:val="20"/>
        </w:rPr>
      </w:pPr>
      <w:r>
        <w:rPr>
          <w:sz w:val="20"/>
        </w:rPr>
        <w:t>En los supuestos contemplados en la letra b) del artículo anterior, el contratista tendrá derecho a percibir, por todos los conceptos, el 6 por ciento del precio de adjudicación del contrato de los suministros dejados de realizar en concepto de beneficio industrial, IVA excluido, entendiéndose por suministros dejados de realizar los que resulten de la diferencia entre los reflejados en el contrato primitivo y sus modificaciones aprobadas, y los que hasta la fecha de notificación del desistimiento o de la suspensión se hubieran realizado.</w:t>
      </w:r>
    </w:p>
    <w:p w:rsidR="0092635B" w:rsidRDefault="0092635B">
      <w:pPr>
        <w:pStyle w:val="Textoindependiente"/>
        <w:spacing w:before="115"/>
        <w:ind w:left="0" w:firstLine="0"/>
        <w:jc w:val="left"/>
      </w:pPr>
    </w:p>
    <w:p w:rsidR="0092635B" w:rsidRDefault="00000000">
      <w:pPr>
        <w:pStyle w:val="Textoindependiente"/>
        <w:spacing w:before="1"/>
        <w:ind w:left="0" w:firstLine="0"/>
        <w:jc w:val="center"/>
      </w:pPr>
      <w:bookmarkStart w:id="510" w:name="CAPÍTULO_V._Del_contrato_de_servicios"/>
      <w:bookmarkStart w:id="511" w:name="_bookmark103"/>
      <w:bookmarkEnd w:id="510"/>
      <w:bookmarkEnd w:id="511"/>
      <w:r>
        <w:t xml:space="preserve">CAPÍTULO </w:t>
      </w:r>
      <w:r>
        <w:rPr>
          <w:spacing w:val="-10"/>
        </w:rPr>
        <w:t>V</w:t>
      </w:r>
    </w:p>
    <w:p w:rsidR="0092635B" w:rsidRDefault="00000000">
      <w:pPr>
        <w:pStyle w:val="Ttulo2"/>
      </w:pPr>
      <w:r>
        <w:t>Del</w:t>
      </w:r>
      <w:r>
        <w:rPr>
          <w:spacing w:val="-1"/>
        </w:rPr>
        <w:t xml:space="preserve"> </w:t>
      </w:r>
      <w:r>
        <w:t xml:space="preserve">contrato de </w:t>
      </w:r>
      <w:r>
        <w:rPr>
          <w:spacing w:val="-2"/>
        </w:rPr>
        <w:t>servicios</w:t>
      </w:r>
    </w:p>
    <w:p w:rsidR="0092635B" w:rsidRDefault="0092635B">
      <w:pPr>
        <w:pStyle w:val="Textoindependiente"/>
        <w:spacing w:before="7"/>
        <w:ind w:left="0" w:firstLine="0"/>
        <w:jc w:val="left"/>
        <w:rPr>
          <w:rFonts w:ascii="Arial"/>
          <w:b/>
        </w:rPr>
      </w:pPr>
    </w:p>
    <w:p w:rsidR="0092635B" w:rsidRDefault="00000000">
      <w:pPr>
        <w:pStyle w:val="Ttulo3"/>
      </w:pPr>
      <w:bookmarkStart w:id="512" w:name="Sección_1.ª_Disposiciones_generales"/>
      <w:bookmarkStart w:id="513" w:name="_bookmark104"/>
      <w:bookmarkEnd w:id="512"/>
      <w:bookmarkEnd w:id="513"/>
      <w:r>
        <w:t>Sección</w:t>
      </w:r>
      <w:r>
        <w:rPr>
          <w:spacing w:val="-5"/>
        </w:rPr>
        <w:t xml:space="preserve"> </w:t>
      </w:r>
      <w:r>
        <w:t>1.ª</w:t>
      </w:r>
      <w:r>
        <w:rPr>
          <w:spacing w:val="-5"/>
        </w:rPr>
        <w:t xml:space="preserve"> </w:t>
      </w:r>
      <w:r>
        <w:t>Disposiciones</w:t>
      </w:r>
      <w:r>
        <w:rPr>
          <w:spacing w:val="-4"/>
        </w:rPr>
        <w:t xml:space="preserve"> </w:t>
      </w:r>
      <w:r>
        <w:rPr>
          <w:spacing w:val="-2"/>
        </w:rPr>
        <w:t>generales</w:t>
      </w:r>
    </w:p>
    <w:p w:rsidR="0092635B" w:rsidRDefault="0092635B">
      <w:pPr>
        <w:pStyle w:val="Textoindependiente"/>
        <w:spacing w:before="6"/>
        <w:ind w:left="0" w:firstLine="0"/>
        <w:jc w:val="left"/>
        <w:rPr>
          <w:rFonts w:ascii="Arial"/>
          <w:b/>
          <w:i/>
        </w:rPr>
      </w:pPr>
    </w:p>
    <w:p w:rsidR="0092635B" w:rsidRDefault="00000000">
      <w:pPr>
        <w:spacing w:before="1"/>
        <w:ind w:left="1106"/>
        <w:rPr>
          <w:rFonts w:ascii="Arial" w:hAnsi="Arial"/>
          <w:i/>
          <w:sz w:val="20"/>
        </w:rPr>
      </w:pPr>
      <w:bookmarkStart w:id="514" w:name="Artículo_308._Contenido_y_límites."/>
      <w:bookmarkEnd w:id="514"/>
      <w:r>
        <w:rPr>
          <w:rFonts w:ascii="Arial" w:hAnsi="Arial"/>
          <w:b/>
          <w:sz w:val="20"/>
        </w:rPr>
        <w:t>Artículo</w:t>
      </w:r>
      <w:r>
        <w:rPr>
          <w:rFonts w:ascii="Arial" w:hAnsi="Arial"/>
          <w:b/>
          <w:spacing w:val="-2"/>
          <w:sz w:val="20"/>
        </w:rPr>
        <w:t xml:space="preserve"> </w:t>
      </w:r>
      <w:r>
        <w:rPr>
          <w:rFonts w:ascii="Arial" w:hAnsi="Arial"/>
          <w:b/>
          <w:sz w:val="20"/>
        </w:rPr>
        <w:t>308.</w:t>
      </w:r>
      <w:r>
        <w:rPr>
          <w:rFonts w:ascii="Arial" w:hAnsi="Arial"/>
          <w:b/>
          <w:spacing w:val="51"/>
          <w:sz w:val="20"/>
        </w:rPr>
        <w:t xml:space="preserve"> </w:t>
      </w:r>
      <w:r>
        <w:rPr>
          <w:rFonts w:ascii="Arial" w:hAnsi="Arial"/>
          <w:i/>
          <w:sz w:val="20"/>
        </w:rPr>
        <w:t>Contenido</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pacing w:val="-2"/>
          <w:sz w:val="20"/>
        </w:rPr>
        <w:t>límites.</w:t>
      </w:r>
    </w:p>
    <w:p w:rsidR="0092635B" w:rsidRDefault="00000000">
      <w:pPr>
        <w:pStyle w:val="Prrafodelista"/>
        <w:numPr>
          <w:ilvl w:val="0"/>
          <w:numId w:val="93"/>
        </w:numPr>
        <w:tabs>
          <w:tab w:val="left" w:pos="1689"/>
        </w:tabs>
        <w:spacing w:before="123" w:line="249" w:lineRule="auto"/>
        <w:ind w:firstLine="340"/>
        <w:jc w:val="both"/>
        <w:rPr>
          <w:sz w:val="20"/>
        </w:rPr>
      </w:pPr>
      <w:r>
        <w:rPr>
          <w:sz w:val="20"/>
        </w:rPr>
        <w:t>Salvo que se disponga otra cosa en los pliegos de cláusulas administrativas o en el documento contractual, los contratos de servicios que tengan por objeto el desarrollo y la puesta a disposición de productos protegidos por un derecho de propiedad intelectual o industrial llevarán aparejada la cesión de este a la Administración contratante. En todo caso, y aun cuando se excluya la cesión de los derechos de propiedad intelectual, el órgano de contratación podrá siempre autorizar el uso del correspondiente producto a los entes, organismos y entidades pertenecientes al sector público.</w:t>
      </w:r>
    </w:p>
    <w:p w:rsidR="0092635B" w:rsidRDefault="00000000">
      <w:pPr>
        <w:pStyle w:val="Prrafodelista"/>
        <w:numPr>
          <w:ilvl w:val="0"/>
          <w:numId w:val="93"/>
        </w:numPr>
        <w:tabs>
          <w:tab w:val="left" w:pos="1681"/>
        </w:tabs>
        <w:spacing w:before="6" w:line="249" w:lineRule="auto"/>
        <w:ind w:firstLine="340"/>
        <w:jc w:val="both"/>
        <w:rPr>
          <w:sz w:val="20"/>
        </w:rPr>
      </w:pPr>
      <w:r>
        <w:rPr>
          <w:sz w:val="20"/>
        </w:rPr>
        <w:t>En ningún caso la entidad contratante podrá instrumentar la contratación de personal</w:t>
      </w:r>
      <w:r>
        <w:rPr>
          <w:spacing w:val="40"/>
          <w:sz w:val="20"/>
        </w:rPr>
        <w:t xml:space="preserve"> </w:t>
      </w:r>
      <w:r>
        <w:rPr>
          <w:sz w:val="20"/>
        </w:rPr>
        <w:t>a través del contrato de servicios, incluidos los que por razón de la cuantía se tramiten como contratos menores.</w:t>
      </w:r>
    </w:p>
    <w:p w:rsidR="0092635B" w:rsidRDefault="00000000">
      <w:pPr>
        <w:pStyle w:val="Textoindependiente"/>
        <w:spacing w:line="249" w:lineRule="auto"/>
        <w:ind w:right="1104"/>
      </w:pPr>
      <w:r>
        <w:t>A la extinción de los contratos de servicios, no podrá producirse en ningún caso la consolidación</w:t>
      </w:r>
      <w:r>
        <w:rPr>
          <w:spacing w:val="31"/>
        </w:rPr>
        <w:t xml:space="preserve"> </w:t>
      </w:r>
      <w:r>
        <w:t>de</w:t>
      </w:r>
      <w:r>
        <w:rPr>
          <w:spacing w:val="31"/>
        </w:rPr>
        <w:t xml:space="preserve"> </w:t>
      </w:r>
      <w:r>
        <w:t>las</w:t>
      </w:r>
      <w:r>
        <w:rPr>
          <w:spacing w:val="31"/>
        </w:rPr>
        <w:t xml:space="preserve"> </w:t>
      </w:r>
      <w:r>
        <w:t>personas</w:t>
      </w:r>
      <w:r>
        <w:rPr>
          <w:spacing w:val="31"/>
        </w:rPr>
        <w:t xml:space="preserve"> </w:t>
      </w:r>
      <w:r>
        <w:t>que</w:t>
      </w:r>
      <w:r>
        <w:rPr>
          <w:spacing w:val="31"/>
        </w:rPr>
        <w:t xml:space="preserve"> </w:t>
      </w:r>
      <w:r>
        <w:t>hayan</w:t>
      </w:r>
      <w:r>
        <w:rPr>
          <w:spacing w:val="31"/>
        </w:rPr>
        <w:t xml:space="preserve"> </w:t>
      </w:r>
      <w:r>
        <w:t>realizado</w:t>
      </w:r>
      <w:r>
        <w:rPr>
          <w:spacing w:val="31"/>
        </w:rPr>
        <w:t xml:space="preserve"> </w:t>
      </w:r>
      <w:r>
        <w:t>los</w:t>
      </w:r>
      <w:r>
        <w:rPr>
          <w:spacing w:val="31"/>
        </w:rPr>
        <w:t xml:space="preserve"> </w:t>
      </w:r>
      <w:r>
        <w:t>trabajos</w:t>
      </w:r>
      <w:r>
        <w:rPr>
          <w:spacing w:val="31"/>
        </w:rPr>
        <w:t xml:space="preserve"> </w:t>
      </w:r>
      <w:r>
        <w:t>objeto</w:t>
      </w:r>
      <w:r>
        <w:rPr>
          <w:spacing w:val="31"/>
        </w:rPr>
        <w:t xml:space="preserve"> </w:t>
      </w:r>
      <w:r>
        <w:t>del</w:t>
      </w:r>
      <w:r>
        <w:rPr>
          <w:spacing w:val="31"/>
        </w:rPr>
        <w:t xml:space="preserve"> </w:t>
      </w:r>
      <w:r>
        <w:t>contrato</w:t>
      </w:r>
      <w:r>
        <w:rPr>
          <w:spacing w:val="31"/>
        </w:rPr>
        <w:t xml:space="preserve"> </w:t>
      </w:r>
      <w:r>
        <w:t>como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personal de la entidad contratante. A tal fin, los empleados o responsables de la Administración deben abstenerse de realizar actos que impliquen el ejercicio de facultades que, como parte de la relación jurídico laboral, le corresponden a la empresa contratista.</w:t>
      </w:r>
    </w:p>
    <w:p w:rsidR="0092635B" w:rsidRDefault="00000000">
      <w:pPr>
        <w:pStyle w:val="Prrafodelista"/>
        <w:numPr>
          <w:ilvl w:val="0"/>
          <w:numId w:val="93"/>
        </w:numPr>
        <w:tabs>
          <w:tab w:val="left" w:pos="1743"/>
        </w:tabs>
        <w:spacing w:line="249" w:lineRule="auto"/>
        <w:ind w:firstLine="340"/>
        <w:jc w:val="both"/>
        <w:rPr>
          <w:sz w:val="20"/>
        </w:rPr>
      </w:pPr>
      <w:r>
        <w:rPr>
          <w:sz w:val="20"/>
        </w:rPr>
        <w:t>En los contratos de servicios que impliquen el desarrollo o mantenimiento de aplicaciones informáticas el objeto del contrato podrá definirse por referencia a componentes de prestación del servicio. A estos efectos, en el pliego de cláusulas administrativas particulares se establecerá el precio referido a cada componente de la prestación en</w:t>
      </w:r>
      <w:r>
        <w:rPr>
          <w:spacing w:val="40"/>
          <w:sz w:val="20"/>
        </w:rPr>
        <w:t xml:space="preserve"> </w:t>
      </w:r>
      <w:r>
        <w:rPr>
          <w:sz w:val="20"/>
        </w:rPr>
        <w:t>términos de unidades de actividad, definidas en términos de categorías profesionales o</w:t>
      </w:r>
      <w:r>
        <w:rPr>
          <w:spacing w:val="40"/>
          <w:sz w:val="20"/>
        </w:rPr>
        <w:t xml:space="preserve"> </w:t>
      </w:r>
      <w:r>
        <w:rPr>
          <w:sz w:val="20"/>
        </w:rPr>
        <w:t>coste, homogéneas para cualquier desarrollo, de unidades de tiempo o en una combinación de ambas modalidades.</w:t>
      </w:r>
    </w:p>
    <w:p w:rsidR="0092635B" w:rsidRDefault="00000000">
      <w:pPr>
        <w:pStyle w:val="Textoindependiente"/>
        <w:spacing w:before="6" w:line="249" w:lineRule="auto"/>
        <w:ind w:right="1106"/>
      </w:pPr>
      <w:r>
        <w:t>Esta definición deberá completarse con referencia a las funcionalidades a desarrollar, cuyo marco deberá quedar determinado inicialmente, sin perjuicio de que puedan concretarse dichas funcionalidades por la Administración atendiendo a consideraciones técnicas, económicas o necesidades del usuario durante el período de ejecución, en los términos en que se prevean en el pliego de cláusulas administrativas particulares.</w:t>
      </w:r>
    </w:p>
    <w:p w:rsidR="0092635B" w:rsidRDefault="00000000">
      <w:pPr>
        <w:pStyle w:val="Textoindependiente"/>
        <w:spacing w:before="4" w:line="249" w:lineRule="auto"/>
        <w:ind w:right="1103"/>
      </w:pPr>
      <w:r>
        <w:t>La financiación y pago de estos contratos se ajustará al ritmo requerido en la ejecución de los componentes de prestación requeridos, debiendo adoptarse a este fin por el responsable del contrato, las medidas que sean necesarias para la programación de las anualidades y durante el período de ejecución.</w:t>
      </w:r>
    </w:p>
    <w:p w:rsidR="0092635B" w:rsidRDefault="00000000">
      <w:pPr>
        <w:pStyle w:val="Prrafodelista"/>
        <w:numPr>
          <w:ilvl w:val="0"/>
          <w:numId w:val="93"/>
        </w:numPr>
        <w:tabs>
          <w:tab w:val="left" w:pos="1680"/>
        </w:tabs>
        <w:spacing w:before="3" w:line="249" w:lineRule="auto"/>
        <w:ind w:right="1104" w:firstLine="340"/>
        <w:jc w:val="both"/>
        <w:rPr>
          <w:sz w:val="20"/>
        </w:rPr>
      </w:pPr>
      <w:r>
        <w:rPr>
          <w:sz w:val="20"/>
        </w:rPr>
        <w:t>Podrá contratarse de forma conjunta la redacción de proyectos y la dirección de obra cuando la contratación separada conllevase una merma en la calidad de las prestaciones objeto del contrato, dificultando la coordinación y continuidad entre la fase de redacción del proyecto y su ejecución en obra. El órgano de contratación motivará debidamente en el expediente que concurren estas circunstancias.</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515" w:name="Artículo_309._Determinación_del_precio."/>
      <w:bookmarkEnd w:id="515"/>
      <w:r>
        <w:rPr>
          <w:rFonts w:ascii="Arial" w:hAnsi="Arial"/>
          <w:b/>
          <w:sz w:val="20"/>
        </w:rPr>
        <w:t>Artículo</w:t>
      </w:r>
      <w:r>
        <w:rPr>
          <w:rFonts w:ascii="Arial" w:hAnsi="Arial"/>
          <w:b/>
          <w:spacing w:val="-3"/>
          <w:sz w:val="20"/>
        </w:rPr>
        <w:t xml:space="preserve"> </w:t>
      </w:r>
      <w:r>
        <w:rPr>
          <w:rFonts w:ascii="Arial" w:hAnsi="Arial"/>
          <w:b/>
          <w:sz w:val="20"/>
        </w:rPr>
        <w:t>309.</w:t>
      </w:r>
      <w:r>
        <w:rPr>
          <w:rFonts w:ascii="Arial" w:hAnsi="Arial"/>
          <w:b/>
          <w:spacing w:val="48"/>
          <w:sz w:val="20"/>
        </w:rPr>
        <w:t xml:space="preserve"> </w:t>
      </w:r>
      <w:r>
        <w:rPr>
          <w:rFonts w:ascii="Arial" w:hAnsi="Arial"/>
          <w:i/>
          <w:sz w:val="20"/>
        </w:rPr>
        <w:t>Determinación</w:t>
      </w:r>
      <w:r>
        <w:rPr>
          <w:rFonts w:ascii="Arial" w:hAnsi="Arial"/>
          <w:i/>
          <w:spacing w:val="-3"/>
          <w:sz w:val="20"/>
        </w:rPr>
        <w:t xml:space="preserve"> </w:t>
      </w:r>
      <w:r>
        <w:rPr>
          <w:rFonts w:ascii="Arial" w:hAnsi="Arial"/>
          <w:i/>
          <w:sz w:val="20"/>
        </w:rPr>
        <w:t>del</w:t>
      </w:r>
      <w:r>
        <w:rPr>
          <w:rFonts w:ascii="Arial" w:hAnsi="Arial"/>
          <w:i/>
          <w:spacing w:val="-2"/>
          <w:sz w:val="20"/>
        </w:rPr>
        <w:t xml:space="preserve"> precio.</w:t>
      </w:r>
    </w:p>
    <w:p w:rsidR="0092635B" w:rsidRDefault="00000000">
      <w:pPr>
        <w:pStyle w:val="Prrafodelista"/>
        <w:numPr>
          <w:ilvl w:val="0"/>
          <w:numId w:val="92"/>
        </w:numPr>
        <w:tabs>
          <w:tab w:val="left" w:pos="1706"/>
        </w:tabs>
        <w:spacing w:before="124" w:line="249" w:lineRule="auto"/>
        <w:ind w:firstLine="340"/>
        <w:jc w:val="both"/>
        <w:rPr>
          <w:sz w:val="20"/>
        </w:rPr>
      </w:pPr>
      <w:r>
        <w:rPr>
          <w:sz w:val="20"/>
        </w:rPr>
        <w:t>El pliego de cláusulas administrativas establecerá el sistema de determinación del precio de los contratos de servicios, que podrá estar referido a componentes de la</w:t>
      </w:r>
      <w:r>
        <w:rPr>
          <w:spacing w:val="40"/>
          <w:sz w:val="20"/>
        </w:rPr>
        <w:t xml:space="preserve"> </w:t>
      </w:r>
      <w:r>
        <w:rPr>
          <w:sz w:val="20"/>
        </w:rPr>
        <w:t>prestación, unidades de ejecución o unidades de tiempo, o fijarse en un tanto alzado cuando no sea posible o conveniente su descomposición, o resultar de la aplicación de honorarios por tarifas o de una combinación de varias de estas modalidades.</w:t>
      </w:r>
    </w:p>
    <w:p w:rsidR="0092635B" w:rsidRDefault="00000000">
      <w:pPr>
        <w:pStyle w:val="Textoindependiente"/>
        <w:spacing w:before="4" w:line="249" w:lineRule="auto"/>
        <w:ind w:right="1103"/>
      </w:pPr>
      <w:r>
        <w:t>En los casos en que la determinación del precio se realice mediante unidades de ejecución, no tendrán la consideración de modificaciones, siempre que así se haya establecido en el pliego de cláusulas administrativas particulares, la variación que durante la correcta ejecución de la prestación se produzca exclusivamente en el número de unidades realmente ejecutadas sobre las previstas en el contrato, las cuales podrán ser recogidas en la liquidación, siempre que no representen un incremento del gasto superior al 10 por ciento del precio del contrato.</w:t>
      </w:r>
    </w:p>
    <w:p w:rsidR="0092635B" w:rsidRDefault="00000000">
      <w:pPr>
        <w:pStyle w:val="Prrafodelista"/>
        <w:numPr>
          <w:ilvl w:val="0"/>
          <w:numId w:val="92"/>
        </w:numPr>
        <w:tabs>
          <w:tab w:val="left" w:pos="1730"/>
        </w:tabs>
        <w:spacing w:before="5" w:line="249" w:lineRule="auto"/>
        <w:ind w:right="1104" w:firstLine="340"/>
        <w:jc w:val="both"/>
        <w:rPr>
          <w:sz w:val="20"/>
        </w:rPr>
      </w:pPr>
      <w:r>
        <w:rPr>
          <w:sz w:val="20"/>
        </w:rPr>
        <w:t>En determinados servicios complejos en los que la ejecución del contrato lleve aparejados costes de inversión iniciales y se prevea que las obras o equipamientos que se generen vayan a incorporarse al patrimonio de la entidad contratante al concluir o resolverse el contrato, podrá establecerse un sistema de retribución que compense por las mismas.</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516" w:name="Artículo_310._Régimen_de_contratación_pa"/>
      <w:bookmarkEnd w:id="516"/>
      <w:r>
        <w:rPr>
          <w:rFonts w:ascii="Arial" w:hAnsi="Arial"/>
          <w:b/>
          <w:sz w:val="20"/>
        </w:rPr>
        <w:t>Artículo</w:t>
      </w:r>
      <w:r>
        <w:rPr>
          <w:rFonts w:ascii="Arial" w:hAnsi="Arial"/>
          <w:b/>
          <w:spacing w:val="-3"/>
          <w:sz w:val="20"/>
        </w:rPr>
        <w:t xml:space="preserve"> </w:t>
      </w:r>
      <w:r>
        <w:rPr>
          <w:rFonts w:ascii="Arial" w:hAnsi="Arial"/>
          <w:b/>
          <w:sz w:val="20"/>
        </w:rPr>
        <w:t>310.</w:t>
      </w:r>
      <w:r>
        <w:rPr>
          <w:rFonts w:ascii="Arial" w:hAnsi="Arial"/>
          <w:b/>
          <w:spacing w:val="49"/>
          <w:sz w:val="20"/>
        </w:rPr>
        <w:t xml:space="preserve"> </w:t>
      </w:r>
      <w:r>
        <w:rPr>
          <w:rFonts w:ascii="Arial" w:hAnsi="Arial"/>
          <w:i/>
          <w:sz w:val="20"/>
        </w:rPr>
        <w:t>Régimen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contratación</w:t>
      </w:r>
      <w:r>
        <w:rPr>
          <w:rFonts w:ascii="Arial" w:hAnsi="Arial"/>
          <w:i/>
          <w:spacing w:val="-2"/>
          <w:sz w:val="20"/>
        </w:rPr>
        <w:t xml:space="preserve"> </w:t>
      </w:r>
      <w:r>
        <w:rPr>
          <w:rFonts w:ascii="Arial" w:hAnsi="Arial"/>
          <w:i/>
          <w:sz w:val="20"/>
        </w:rPr>
        <w:t>para</w:t>
      </w:r>
      <w:r>
        <w:rPr>
          <w:rFonts w:ascii="Arial" w:hAnsi="Arial"/>
          <w:i/>
          <w:spacing w:val="-3"/>
          <w:sz w:val="20"/>
        </w:rPr>
        <w:t xml:space="preserve"> </w:t>
      </w:r>
      <w:r>
        <w:rPr>
          <w:rFonts w:ascii="Arial" w:hAnsi="Arial"/>
          <w:i/>
          <w:sz w:val="20"/>
        </w:rPr>
        <w:t>actividades</w:t>
      </w:r>
      <w:r>
        <w:rPr>
          <w:rFonts w:ascii="Arial" w:hAnsi="Arial"/>
          <w:i/>
          <w:spacing w:val="-2"/>
          <w:sz w:val="20"/>
        </w:rPr>
        <w:t xml:space="preserve"> docentes.</w:t>
      </w:r>
    </w:p>
    <w:p w:rsidR="0092635B" w:rsidRDefault="00000000">
      <w:pPr>
        <w:pStyle w:val="Prrafodelista"/>
        <w:numPr>
          <w:ilvl w:val="0"/>
          <w:numId w:val="91"/>
        </w:numPr>
        <w:tabs>
          <w:tab w:val="left" w:pos="1714"/>
        </w:tabs>
        <w:spacing w:before="124" w:line="249" w:lineRule="auto"/>
        <w:ind w:firstLine="340"/>
        <w:jc w:val="both"/>
        <w:rPr>
          <w:sz w:val="20"/>
        </w:rPr>
      </w:pPr>
      <w:r>
        <w:rPr>
          <w:sz w:val="20"/>
        </w:rPr>
        <w:t>En los contratos que tengan por objeto la prestación de actividades docentes en centros del sector público desarrolladas en forma de cursos de formación o perfeccionamiento del personal al servicio de la Administración o cuando se trate de seminarios, coloquios, mesas redondas, conferencias, colaboraciones o cualquier otro tipo similar</w:t>
      </w:r>
      <w:r>
        <w:rPr>
          <w:spacing w:val="-3"/>
          <w:sz w:val="20"/>
        </w:rPr>
        <w:t xml:space="preserve"> </w:t>
      </w:r>
      <w:r>
        <w:rPr>
          <w:sz w:val="20"/>
        </w:rPr>
        <w:t>de</w:t>
      </w:r>
      <w:r>
        <w:rPr>
          <w:spacing w:val="-3"/>
          <w:sz w:val="20"/>
        </w:rPr>
        <w:t xml:space="preserve"> </w:t>
      </w:r>
      <w:r>
        <w:rPr>
          <w:sz w:val="20"/>
        </w:rPr>
        <w:t>actividad,</w:t>
      </w:r>
      <w:r>
        <w:rPr>
          <w:spacing w:val="-3"/>
          <w:sz w:val="20"/>
        </w:rPr>
        <w:t xml:space="preserve"> </w:t>
      </w:r>
      <w:r>
        <w:rPr>
          <w:sz w:val="20"/>
        </w:rPr>
        <w:t>siempre</w:t>
      </w:r>
      <w:r>
        <w:rPr>
          <w:spacing w:val="-3"/>
          <w:sz w:val="20"/>
        </w:rPr>
        <w:t xml:space="preserve"> </w:t>
      </w:r>
      <w:r>
        <w:rPr>
          <w:sz w:val="20"/>
        </w:rPr>
        <w:t>que</w:t>
      </w:r>
      <w:r>
        <w:rPr>
          <w:spacing w:val="-3"/>
          <w:sz w:val="20"/>
        </w:rPr>
        <w:t xml:space="preserve"> </w:t>
      </w:r>
      <w:r>
        <w:rPr>
          <w:sz w:val="20"/>
        </w:rPr>
        <w:t>dichas</w:t>
      </w:r>
      <w:r>
        <w:rPr>
          <w:spacing w:val="-3"/>
          <w:sz w:val="20"/>
        </w:rPr>
        <w:t xml:space="preserve"> </w:t>
      </w:r>
      <w:r>
        <w:rPr>
          <w:sz w:val="20"/>
        </w:rPr>
        <w:t>actividades</w:t>
      </w:r>
      <w:r>
        <w:rPr>
          <w:spacing w:val="-3"/>
          <w:sz w:val="20"/>
        </w:rPr>
        <w:t xml:space="preserve"> </w:t>
      </w:r>
      <w:r>
        <w:rPr>
          <w:sz w:val="20"/>
        </w:rPr>
        <w:t>sean</w:t>
      </w:r>
      <w:r>
        <w:rPr>
          <w:spacing w:val="-3"/>
          <w:sz w:val="20"/>
        </w:rPr>
        <w:t xml:space="preserve"> </w:t>
      </w:r>
      <w:r>
        <w:rPr>
          <w:sz w:val="20"/>
        </w:rPr>
        <w:t>realizadas</w:t>
      </w:r>
      <w:r>
        <w:rPr>
          <w:spacing w:val="-3"/>
          <w:sz w:val="20"/>
        </w:rPr>
        <w:t xml:space="preserve"> </w:t>
      </w:r>
      <w:r>
        <w:rPr>
          <w:sz w:val="20"/>
        </w:rPr>
        <w:t>por</w:t>
      </w:r>
      <w:r>
        <w:rPr>
          <w:spacing w:val="-3"/>
          <w:sz w:val="20"/>
        </w:rPr>
        <w:t xml:space="preserve"> </w:t>
      </w:r>
      <w:r>
        <w:rPr>
          <w:sz w:val="20"/>
        </w:rPr>
        <w:t>personas</w:t>
      </w:r>
      <w:r>
        <w:rPr>
          <w:spacing w:val="-3"/>
          <w:sz w:val="20"/>
        </w:rPr>
        <w:t xml:space="preserve"> </w:t>
      </w:r>
      <w:r>
        <w:rPr>
          <w:sz w:val="20"/>
        </w:rPr>
        <w:t>físicas,</w:t>
      </w:r>
      <w:r>
        <w:rPr>
          <w:spacing w:val="-3"/>
          <w:sz w:val="20"/>
        </w:rPr>
        <w:t xml:space="preserve"> </w:t>
      </w:r>
      <w:r>
        <w:rPr>
          <w:sz w:val="20"/>
        </w:rPr>
        <w:t>las disposiciones de esta Ley no serán de aplicación a la preparación y adjudicación del</w:t>
      </w:r>
      <w:r>
        <w:rPr>
          <w:spacing w:val="40"/>
          <w:sz w:val="20"/>
        </w:rPr>
        <w:t xml:space="preserve"> </w:t>
      </w:r>
      <w:r>
        <w:rPr>
          <w:spacing w:val="-2"/>
          <w:sz w:val="20"/>
        </w:rPr>
        <w:t>contrato.</w:t>
      </w:r>
    </w:p>
    <w:p w:rsidR="0092635B" w:rsidRDefault="00000000">
      <w:pPr>
        <w:pStyle w:val="Prrafodelista"/>
        <w:numPr>
          <w:ilvl w:val="0"/>
          <w:numId w:val="91"/>
        </w:numPr>
        <w:tabs>
          <w:tab w:val="left" w:pos="1719"/>
        </w:tabs>
        <w:spacing w:before="6" w:line="249" w:lineRule="auto"/>
        <w:ind w:right="1104" w:firstLine="340"/>
        <w:jc w:val="both"/>
        <w:rPr>
          <w:sz w:val="20"/>
        </w:rPr>
      </w:pPr>
      <w:r>
        <w:rPr>
          <w:sz w:val="20"/>
        </w:rPr>
        <w:t>En esta clase de contratos podrá establecerse el pago parcial anticipado, previa constitución de garantía por parte del contratista, sin que pueda autorizarse su cesión.</w:t>
      </w:r>
    </w:p>
    <w:p w:rsidR="0092635B" w:rsidRDefault="00000000">
      <w:pPr>
        <w:pStyle w:val="Prrafodelista"/>
        <w:numPr>
          <w:ilvl w:val="0"/>
          <w:numId w:val="91"/>
        </w:numPr>
        <w:tabs>
          <w:tab w:val="left" w:pos="1685"/>
        </w:tabs>
        <w:spacing w:before="1" w:line="249" w:lineRule="auto"/>
        <w:ind w:right="1104" w:firstLine="340"/>
        <w:jc w:val="both"/>
        <w:rPr>
          <w:sz w:val="20"/>
        </w:rPr>
      </w:pPr>
      <w:r>
        <w:rPr>
          <w:sz w:val="20"/>
        </w:rPr>
        <w:t>Para acreditar la existencia de los contratos a que se refiere este artículo, bastará la designación o nombramiento por autoridad competente.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3"/>
        <w:spacing w:before="1"/>
      </w:pPr>
      <w:bookmarkStart w:id="517" w:name="Sección_2.ª_Ejecución_de_los_contratos_d"/>
      <w:bookmarkStart w:id="518" w:name="_bookmark105"/>
      <w:bookmarkEnd w:id="517"/>
      <w:bookmarkEnd w:id="518"/>
      <w:r>
        <w:t>Sección</w:t>
      </w:r>
      <w:r>
        <w:rPr>
          <w:spacing w:val="-4"/>
        </w:rPr>
        <w:t xml:space="preserve"> </w:t>
      </w:r>
      <w:r>
        <w:t>2.ª</w:t>
      </w:r>
      <w:r>
        <w:rPr>
          <w:spacing w:val="-2"/>
        </w:rPr>
        <w:t xml:space="preserve"> </w:t>
      </w:r>
      <w:r>
        <w:t>Ejecución</w:t>
      </w:r>
      <w:r>
        <w:rPr>
          <w:spacing w:val="-2"/>
        </w:rPr>
        <w:t xml:space="preserve"> </w:t>
      </w:r>
      <w:r>
        <w:t>de</w:t>
      </w:r>
      <w:r>
        <w:rPr>
          <w:spacing w:val="-2"/>
        </w:rPr>
        <w:t xml:space="preserve"> </w:t>
      </w:r>
      <w:r>
        <w:t>los</w:t>
      </w:r>
      <w:r>
        <w:rPr>
          <w:spacing w:val="-2"/>
        </w:rPr>
        <w:t xml:space="preserve"> </w:t>
      </w:r>
      <w:r>
        <w:t>contratos</w:t>
      </w:r>
      <w:r>
        <w:rPr>
          <w:spacing w:val="-2"/>
        </w:rPr>
        <w:t xml:space="preserve"> </w:t>
      </w:r>
      <w:r>
        <w:t>de</w:t>
      </w:r>
      <w:r>
        <w:rPr>
          <w:spacing w:val="-2"/>
        </w:rPr>
        <w:t xml:space="preserve"> servicios</w:t>
      </w:r>
    </w:p>
    <w:p w:rsidR="0092635B" w:rsidRDefault="0092635B">
      <w:pPr>
        <w:pStyle w:val="Textoindependiente"/>
        <w:spacing w:before="6"/>
        <w:ind w:left="0" w:firstLine="0"/>
        <w:jc w:val="left"/>
        <w:rPr>
          <w:rFonts w:ascii="Arial"/>
          <w:b/>
          <w:i/>
        </w:rPr>
      </w:pPr>
    </w:p>
    <w:p w:rsidR="0092635B" w:rsidRDefault="00000000">
      <w:pPr>
        <w:spacing w:line="249" w:lineRule="auto"/>
        <w:ind w:left="1106" w:right="1120" w:hanging="1"/>
        <w:rPr>
          <w:rFonts w:ascii="Arial" w:hAnsi="Arial"/>
          <w:i/>
          <w:sz w:val="20"/>
        </w:rPr>
      </w:pPr>
      <w:bookmarkStart w:id="519" w:name="Artículo_311._Ejecución,_responsabilidad"/>
      <w:bookmarkEnd w:id="519"/>
      <w:r>
        <w:rPr>
          <w:rFonts w:ascii="Arial" w:hAnsi="Arial"/>
          <w:b/>
          <w:sz w:val="20"/>
        </w:rPr>
        <w:t>Artículo 311.</w:t>
      </w:r>
      <w:r>
        <w:rPr>
          <w:rFonts w:ascii="Arial" w:hAnsi="Arial"/>
          <w:b/>
          <w:spacing w:val="40"/>
          <w:sz w:val="20"/>
        </w:rPr>
        <w:t xml:space="preserve"> </w:t>
      </w:r>
      <w:r>
        <w:rPr>
          <w:rFonts w:ascii="Arial" w:hAnsi="Arial"/>
          <w:i/>
          <w:sz w:val="20"/>
        </w:rPr>
        <w:t xml:space="preserve">Ejecución, responsabilidad del contratista y cumplimiento de los contratos de </w:t>
      </w:r>
      <w:r>
        <w:rPr>
          <w:rFonts w:ascii="Arial" w:hAnsi="Arial"/>
          <w:i/>
          <w:spacing w:val="-2"/>
          <w:sz w:val="20"/>
        </w:rPr>
        <w:t>servicios.</w:t>
      </w:r>
    </w:p>
    <w:p w:rsidR="0092635B" w:rsidRDefault="00000000">
      <w:pPr>
        <w:pStyle w:val="Prrafodelista"/>
        <w:numPr>
          <w:ilvl w:val="0"/>
          <w:numId w:val="90"/>
        </w:numPr>
        <w:tabs>
          <w:tab w:val="left" w:pos="1714"/>
        </w:tabs>
        <w:spacing w:before="115" w:line="249" w:lineRule="auto"/>
        <w:ind w:right="1104" w:firstLine="340"/>
        <w:jc w:val="both"/>
        <w:rPr>
          <w:sz w:val="20"/>
        </w:rPr>
      </w:pPr>
      <w:r>
        <w:rPr>
          <w:sz w:val="20"/>
        </w:rPr>
        <w:t>El contrato se ejecutará con sujeción a lo establecido en su clausulado y en los pliegos, y de acuerdo con las instrucciones que para su interpretación diere al contratista el responsable del contrato, en los casos en que se hubiere designado. En otro caso, esta función le corresponderá a los servicios dependientes del órgano de contratación.</w:t>
      </w:r>
    </w:p>
    <w:p w:rsidR="0092635B" w:rsidRDefault="00000000">
      <w:pPr>
        <w:pStyle w:val="Prrafodelista"/>
        <w:numPr>
          <w:ilvl w:val="0"/>
          <w:numId w:val="90"/>
        </w:numPr>
        <w:tabs>
          <w:tab w:val="left" w:pos="1687"/>
        </w:tabs>
        <w:spacing w:before="4" w:line="249" w:lineRule="auto"/>
        <w:ind w:right="1104" w:firstLine="340"/>
        <w:jc w:val="both"/>
        <w:rPr>
          <w:sz w:val="20"/>
        </w:rPr>
      </w:pPr>
      <w:r>
        <w:rPr>
          <w:sz w:val="20"/>
        </w:rPr>
        <w:t>El contratista será responsable de la calidad técnica de los trabajos que desarrolle y</w:t>
      </w:r>
      <w:r>
        <w:rPr>
          <w:spacing w:val="40"/>
          <w:sz w:val="20"/>
        </w:rPr>
        <w:t xml:space="preserve"> </w:t>
      </w:r>
      <w:r>
        <w:rPr>
          <w:sz w:val="20"/>
        </w:rPr>
        <w:t>de las prestaciones y servicios realizados, así como de las consecuencias que se deduzcan para la Administración o para terceros de las omisiones, errores, métodos inadecuados o conclusiones incorrectas en la ejecución del contrato.</w:t>
      </w:r>
    </w:p>
    <w:p w:rsidR="0092635B" w:rsidRDefault="00000000">
      <w:pPr>
        <w:pStyle w:val="Prrafodelista"/>
        <w:numPr>
          <w:ilvl w:val="0"/>
          <w:numId w:val="90"/>
        </w:numPr>
        <w:tabs>
          <w:tab w:val="left" w:pos="1682"/>
        </w:tabs>
        <w:spacing w:before="3" w:line="249" w:lineRule="auto"/>
        <w:ind w:firstLine="340"/>
        <w:jc w:val="both"/>
        <w:rPr>
          <w:sz w:val="20"/>
        </w:rPr>
      </w:pPr>
      <w:r>
        <w:rPr>
          <w:sz w:val="20"/>
        </w:rPr>
        <w:t>La Administración determinará si la prestación realizada por el contratista se ajusta a las prescripciones establecidas para su ejecución y cumplimiento, requiriendo, en su caso, la realización</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prestaciones</w:t>
      </w:r>
      <w:r>
        <w:rPr>
          <w:spacing w:val="-1"/>
          <w:sz w:val="20"/>
        </w:rPr>
        <w:t xml:space="preserve"> </w:t>
      </w:r>
      <w:r>
        <w:rPr>
          <w:sz w:val="20"/>
        </w:rPr>
        <w:t>contratadas</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subsanación</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defectos</w:t>
      </w:r>
      <w:r>
        <w:rPr>
          <w:spacing w:val="-1"/>
          <w:sz w:val="20"/>
        </w:rPr>
        <w:t xml:space="preserve"> </w:t>
      </w:r>
      <w:r>
        <w:rPr>
          <w:sz w:val="20"/>
        </w:rPr>
        <w:t>observados</w:t>
      </w:r>
      <w:r>
        <w:rPr>
          <w:spacing w:val="-1"/>
          <w:sz w:val="20"/>
        </w:rPr>
        <w:t xml:space="preserve"> </w:t>
      </w:r>
      <w:r>
        <w:rPr>
          <w:sz w:val="20"/>
        </w:rPr>
        <w:t>con ocasión de su recepción. Si los trabajos efectuados no se adecuan a la prestación contratada, como consecuencia de vicios o defectos imputables al contratista, podrá</w:t>
      </w:r>
      <w:r>
        <w:rPr>
          <w:spacing w:val="40"/>
          <w:sz w:val="20"/>
        </w:rPr>
        <w:t xml:space="preserve"> </w:t>
      </w:r>
      <w:r>
        <w:rPr>
          <w:sz w:val="20"/>
        </w:rPr>
        <w:t>rechazar la misma quedando exento de la obligación de pago o teniendo derecho, en su caso, a la recuperación del precio satisfecho.</w:t>
      </w:r>
    </w:p>
    <w:p w:rsidR="0092635B" w:rsidRDefault="00000000">
      <w:pPr>
        <w:pStyle w:val="Prrafodelista"/>
        <w:numPr>
          <w:ilvl w:val="0"/>
          <w:numId w:val="90"/>
        </w:numPr>
        <w:tabs>
          <w:tab w:val="left" w:pos="1679"/>
        </w:tabs>
        <w:spacing w:before="6" w:line="249" w:lineRule="auto"/>
        <w:ind w:right="1104" w:firstLine="340"/>
        <w:jc w:val="both"/>
        <w:rPr>
          <w:sz w:val="20"/>
        </w:rPr>
      </w:pPr>
      <w:r>
        <w:rPr>
          <w:sz w:val="20"/>
        </w:rPr>
        <w:t>Si durante el plazo de garantía se acreditase la existencia de vicios o defectos en los trabajos efectuados el órgano de contratación tendrá derecho a reclamar al contratista la subsanación de los mismos.</w:t>
      </w:r>
    </w:p>
    <w:p w:rsidR="0092635B" w:rsidRDefault="00000000">
      <w:pPr>
        <w:pStyle w:val="Prrafodelista"/>
        <w:numPr>
          <w:ilvl w:val="0"/>
          <w:numId w:val="90"/>
        </w:numPr>
        <w:tabs>
          <w:tab w:val="left" w:pos="1681"/>
        </w:tabs>
        <w:spacing w:line="249" w:lineRule="auto"/>
        <w:ind w:right="1104" w:firstLine="340"/>
        <w:jc w:val="both"/>
        <w:rPr>
          <w:sz w:val="20"/>
        </w:rPr>
      </w:pPr>
      <w:r>
        <w:rPr>
          <w:sz w:val="20"/>
        </w:rPr>
        <w:t>Terminado el plazo de garantía sin que la Administración haya formalizado alguno de los reparos o la denuncia a que se refieren los apartados anteriores, el contratista quedará exento de responsabilidad por razón de la prestación efectuada, sin perjuicio de lo establecido</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314</w:t>
      </w:r>
      <w:r>
        <w:rPr>
          <w:spacing w:val="-1"/>
          <w:sz w:val="20"/>
        </w:rPr>
        <w:t xml:space="preserve"> </w:t>
      </w:r>
      <w:r>
        <w:rPr>
          <w:sz w:val="20"/>
        </w:rPr>
        <w:t>y</w:t>
      </w:r>
      <w:r>
        <w:rPr>
          <w:spacing w:val="-1"/>
          <w:sz w:val="20"/>
        </w:rPr>
        <w:t xml:space="preserve"> </w:t>
      </w:r>
      <w:r>
        <w:rPr>
          <w:sz w:val="20"/>
        </w:rPr>
        <w:t>315</w:t>
      </w:r>
      <w:r>
        <w:rPr>
          <w:spacing w:val="-1"/>
          <w:sz w:val="20"/>
        </w:rPr>
        <w:t xml:space="preserve"> </w:t>
      </w:r>
      <w:r>
        <w:rPr>
          <w:sz w:val="20"/>
        </w:rPr>
        <w:t>sobre</w:t>
      </w:r>
      <w:r>
        <w:rPr>
          <w:spacing w:val="-1"/>
          <w:sz w:val="20"/>
        </w:rPr>
        <w:t xml:space="preserve"> </w:t>
      </w:r>
      <w:r>
        <w:rPr>
          <w:sz w:val="20"/>
        </w:rPr>
        <w:t>subsanación</w:t>
      </w:r>
      <w:r>
        <w:rPr>
          <w:spacing w:val="-1"/>
          <w:sz w:val="20"/>
        </w:rPr>
        <w:t xml:space="preserve"> </w:t>
      </w:r>
      <w:r>
        <w:rPr>
          <w:sz w:val="20"/>
        </w:rPr>
        <w:t>de</w:t>
      </w:r>
      <w:r>
        <w:rPr>
          <w:spacing w:val="-1"/>
          <w:sz w:val="20"/>
        </w:rPr>
        <w:t xml:space="preserve"> </w:t>
      </w:r>
      <w:r>
        <w:rPr>
          <w:sz w:val="20"/>
        </w:rPr>
        <w:t>errores</w:t>
      </w:r>
      <w:r>
        <w:rPr>
          <w:spacing w:val="-1"/>
          <w:sz w:val="20"/>
        </w:rPr>
        <w:t xml:space="preserve"> </w:t>
      </w:r>
      <w:r>
        <w:rPr>
          <w:sz w:val="20"/>
        </w:rPr>
        <w:t>y</w:t>
      </w:r>
      <w:r>
        <w:rPr>
          <w:spacing w:val="-1"/>
          <w:sz w:val="20"/>
        </w:rPr>
        <w:t xml:space="preserve"> </w:t>
      </w:r>
      <w:r>
        <w:rPr>
          <w:sz w:val="20"/>
        </w:rPr>
        <w:t>responsabilidad</w:t>
      </w:r>
      <w:r>
        <w:rPr>
          <w:spacing w:val="-1"/>
          <w:sz w:val="20"/>
        </w:rPr>
        <w:t xml:space="preserve"> </w:t>
      </w:r>
      <w:r>
        <w:rPr>
          <w:sz w:val="20"/>
        </w:rPr>
        <w:t>en</w:t>
      </w:r>
      <w:r>
        <w:rPr>
          <w:spacing w:val="-1"/>
          <w:sz w:val="20"/>
        </w:rPr>
        <w:t xml:space="preserve"> </w:t>
      </w:r>
      <w:r>
        <w:rPr>
          <w:sz w:val="20"/>
        </w:rPr>
        <w:t>los contratos que tengan por objeto la elaboración de proyectos de obras.</w:t>
      </w:r>
    </w:p>
    <w:p w:rsidR="0092635B" w:rsidRDefault="00000000">
      <w:pPr>
        <w:pStyle w:val="Prrafodelista"/>
        <w:numPr>
          <w:ilvl w:val="0"/>
          <w:numId w:val="90"/>
        </w:numPr>
        <w:tabs>
          <w:tab w:val="left" w:pos="1691"/>
        </w:tabs>
        <w:spacing w:before="4" w:line="249" w:lineRule="auto"/>
        <w:ind w:right="1104" w:firstLine="340"/>
        <w:jc w:val="both"/>
        <w:rPr>
          <w:sz w:val="20"/>
        </w:rPr>
      </w:pPr>
      <w:r>
        <w:rPr>
          <w:sz w:val="20"/>
        </w:rPr>
        <w:t>Los contratos de mera actividad o de medios se extinguirán por el cumplimiento del plazo inicialmente previsto o las prórrogas acordadas, sin perjuicio de la prerrogativa de la Administración de depurar la responsabilidad del contratista por cualquier eventual incumplimiento detectado con posterioridad.</w:t>
      </w:r>
    </w:p>
    <w:p w:rsidR="0092635B" w:rsidRDefault="00000000">
      <w:pPr>
        <w:pStyle w:val="Prrafodelista"/>
        <w:numPr>
          <w:ilvl w:val="0"/>
          <w:numId w:val="90"/>
        </w:numPr>
        <w:tabs>
          <w:tab w:val="left" w:pos="1697"/>
        </w:tabs>
        <w:spacing w:before="4" w:line="249" w:lineRule="auto"/>
        <w:ind w:firstLine="340"/>
        <w:jc w:val="both"/>
        <w:rPr>
          <w:sz w:val="20"/>
        </w:rPr>
      </w:pPr>
      <w:r>
        <w:rPr>
          <w:sz w:val="20"/>
        </w:rPr>
        <w:t>El contratista tendrá derecho a conocer y ser oído sobre las observaciones que se formulen en relación con el cumplimiento de la prestación contratada.</w:t>
      </w:r>
    </w:p>
    <w:p w:rsidR="0092635B" w:rsidRDefault="00000000">
      <w:pPr>
        <w:tabs>
          <w:tab w:val="left" w:pos="2570"/>
        </w:tabs>
        <w:spacing w:before="228" w:line="249" w:lineRule="auto"/>
        <w:ind w:left="1106" w:right="1120" w:hanging="1"/>
        <w:rPr>
          <w:rFonts w:ascii="Arial" w:hAnsi="Arial"/>
          <w:i/>
          <w:sz w:val="20"/>
        </w:rPr>
      </w:pPr>
      <w:bookmarkStart w:id="520" w:name="Artículo_312._Especialidades_de_los_cont"/>
      <w:bookmarkEnd w:id="520"/>
      <w:r>
        <w:rPr>
          <w:rFonts w:ascii="Arial" w:hAnsi="Arial"/>
          <w:b/>
          <w:sz w:val="20"/>
        </w:rPr>
        <w:t>Artículo</w:t>
      </w:r>
      <w:r>
        <w:rPr>
          <w:rFonts w:ascii="Arial" w:hAnsi="Arial"/>
          <w:b/>
          <w:spacing w:val="40"/>
          <w:sz w:val="20"/>
        </w:rPr>
        <w:t xml:space="preserve"> </w:t>
      </w:r>
      <w:r>
        <w:rPr>
          <w:rFonts w:ascii="Arial" w:hAnsi="Arial"/>
          <w:b/>
          <w:sz w:val="20"/>
        </w:rPr>
        <w:t>312.</w:t>
      </w:r>
      <w:r>
        <w:rPr>
          <w:rFonts w:ascii="Arial" w:hAnsi="Arial"/>
          <w:b/>
          <w:sz w:val="20"/>
        </w:rPr>
        <w:tab/>
      </w:r>
      <w:r>
        <w:rPr>
          <w:rFonts w:ascii="Arial" w:hAnsi="Arial"/>
          <w:i/>
          <w:sz w:val="20"/>
        </w:rPr>
        <w:t>Especialidades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los</w:t>
      </w:r>
      <w:r>
        <w:rPr>
          <w:rFonts w:ascii="Arial" w:hAnsi="Arial"/>
          <w:i/>
          <w:spacing w:val="40"/>
          <w:sz w:val="20"/>
        </w:rPr>
        <w:t xml:space="preserve"> </w:t>
      </w:r>
      <w:r>
        <w:rPr>
          <w:rFonts w:ascii="Arial" w:hAnsi="Arial"/>
          <w:i/>
          <w:sz w:val="20"/>
        </w:rPr>
        <w:t>contratos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servicios</w:t>
      </w:r>
      <w:r>
        <w:rPr>
          <w:rFonts w:ascii="Arial" w:hAnsi="Arial"/>
          <w:i/>
          <w:spacing w:val="40"/>
          <w:sz w:val="20"/>
        </w:rPr>
        <w:t xml:space="preserve"> </w:t>
      </w:r>
      <w:r>
        <w:rPr>
          <w:rFonts w:ascii="Arial" w:hAnsi="Arial"/>
          <w:i/>
          <w:sz w:val="20"/>
        </w:rPr>
        <w:t>que</w:t>
      </w:r>
      <w:r>
        <w:rPr>
          <w:rFonts w:ascii="Arial" w:hAnsi="Arial"/>
          <w:i/>
          <w:spacing w:val="40"/>
          <w:sz w:val="20"/>
        </w:rPr>
        <w:t xml:space="preserve"> </w:t>
      </w:r>
      <w:r>
        <w:rPr>
          <w:rFonts w:ascii="Arial" w:hAnsi="Arial"/>
          <w:i/>
          <w:sz w:val="20"/>
        </w:rPr>
        <w:t>conlleven</w:t>
      </w:r>
      <w:r>
        <w:rPr>
          <w:rFonts w:ascii="Arial" w:hAnsi="Arial"/>
          <w:i/>
          <w:spacing w:val="40"/>
          <w:sz w:val="20"/>
        </w:rPr>
        <w:t xml:space="preserve"> </w:t>
      </w:r>
      <w:r>
        <w:rPr>
          <w:rFonts w:ascii="Arial" w:hAnsi="Arial"/>
          <w:i/>
          <w:sz w:val="20"/>
        </w:rPr>
        <w:t>prestaciones directas a favor de la ciudadanía.</w:t>
      </w:r>
    </w:p>
    <w:p w:rsidR="0092635B" w:rsidRDefault="00000000">
      <w:pPr>
        <w:pStyle w:val="Textoindependiente"/>
        <w:spacing w:before="115" w:line="249" w:lineRule="auto"/>
        <w:ind w:right="1105"/>
        <w:jc w:val="left"/>
      </w:pPr>
      <w:r>
        <w:t>En</w:t>
      </w:r>
      <w:r>
        <w:rPr>
          <w:spacing w:val="80"/>
        </w:rPr>
        <w:t xml:space="preserve"> </w:t>
      </w:r>
      <w:r>
        <w:t>los</w:t>
      </w:r>
      <w:r>
        <w:rPr>
          <w:spacing w:val="80"/>
        </w:rPr>
        <w:t xml:space="preserve"> </w:t>
      </w:r>
      <w:r>
        <w:t>contratos</w:t>
      </w:r>
      <w:r>
        <w:rPr>
          <w:spacing w:val="80"/>
        </w:rPr>
        <w:t xml:space="preserve"> </w:t>
      </w:r>
      <w:r>
        <w:t>de</w:t>
      </w:r>
      <w:r>
        <w:rPr>
          <w:spacing w:val="80"/>
        </w:rPr>
        <w:t xml:space="preserve"> </w:t>
      </w:r>
      <w:r>
        <w:t>servicios</w:t>
      </w:r>
      <w:r>
        <w:rPr>
          <w:spacing w:val="80"/>
        </w:rPr>
        <w:t xml:space="preserve"> </w:t>
      </w:r>
      <w:r>
        <w:t>que</w:t>
      </w:r>
      <w:r>
        <w:rPr>
          <w:spacing w:val="80"/>
        </w:rPr>
        <w:t xml:space="preserve"> </w:t>
      </w:r>
      <w:r>
        <w:t>conlleven</w:t>
      </w:r>
      <w:r>
        <w:rPr>
          <w:spacing w:val="80"/>
        </w:rPr>
        <w:t xml:space="preserve"> </w:t>
      </w:r>
      <w:r>
        <w:t>prestaciones</w:t>
      </w:r>
      <w:r>
        <w:rPr>
          <w:spacing w:val="80"/>
        </w:rPr>
        <w:t xml:space="preserve"> </w:t>
      </w:r>
      <w:r>
        <w:t>directas</w:t>
      </w:r>
      <w:r>
        <w:rPr>
          <w:spacing w:val="80"/>
        </w:rPr>
        <w:t xml:space="preserve"> </w:t>
      </w:r>
      <w:r>
        <w:t>a</w:t>
      </w:r>
      <w:r>
        <w:rPr>
          <w:spacing w:val="80"/>
        </w:rPr>
        <w:t xml:space="preserve"> </w:t>
      </w:r>
      <w:r>
        <w:t>favor</w:t>
      </w:r>
      <w:r>
        <w:rPr>
          <w:spacing w:val="80"/>
        </w:rPr>
        <w:t xml:space="preserve"> </w:t>
      </w:r>
      <w:r>
        <w:t>de</w:t>
      </w:r>
      <w:r>
        <w:rPr>
          <w:spacing w:val="80"/>
        </w:rPr>
        <w:t xml:space="preserve"> </w:t>
      </w:r>
      <w:r>
        <w:t>la ciudadanía se deberán cumplir las siguientes prescripciones:</w:t>
      </w:r>
    </w:p>
    <w:p w:rsidR="0092635B" w:rsidRDefault="00000000">
      <w:pPr>
        <w:pStyle w:val="Prrafodelista"/>
        <w:numPr>
          <w:ilvl w:val="1"/>
          <w:numId w:val="90"/>
        </w:numPr>
        <w:tabs>
          <w:tab w:val="left" w:pos="1686"/>
        </w:tabs>
        <w:spacing w:before="122" w:line="249" w:lineRule="auto"/>
        <w:ind w:firstLine="340"/>
        <w:jc w:val="both"/>
        <w:rPr>
          <w:sz w:val="20"/>
        </w:rPr>
      </w:pPr>
      <w:r>
        <w:rPr>
          <w:sz w:val="20"/>
        </w:rPr>
        <w:t>Antes de proceder a la contratación de un servicio de esta naturaleza deberá haberse establecido su régimen jurídico, que declare expresamente que la actividad de que se trata queda asumida por la Administración respectiva como propia de la misma, determine el alcance de las prestaciones en favor de los administrados, y regule los aspectos de carácter jurídico, económico y administrativo relativos a la prestación del servicio.</w:t>
      </w:r>
    </w:p>
    <w:p w:rsidR="0092635B" w:rsidRDefault="00000000">
      <w:pPr>
        <w:pStyle w:val="Prrafodelista"/>
        <w:numPr>
          <w:ilvl w:val="1"/>
          <w:numId w:val="90"/>
        </w:numPr>
        <w:tabs>
          <w:tab w:val="left" w:pos="1758"/>
        </w:tabs>
        <w:spacing w:before="4" w:line="249" w:lineRule="auto"/>
        <w:ind w:right="1102" w:firstLine="340"/>
        <w:jc w:val="both"/>
        <w:rPr>
          <w:sz w:val="20"/>
        </w:rPr>
      </w:pPr>
      <w:r>
        <w:rPr>
          <w:sz w:val="20"/>
        </w:rPr>
        <w:t>El adjudicatario de un contrato de servicios de este tipo estará sujeto a las obligaciones de prestar el servicio con la continuidad convenida y garantizar a los</w:t>
      </w:r>
      <w:r>
        <w:rPr>
          <w:spacing w:val="40"/>
          <w:sz w:val="20"/>
        </w:rPr>
        <w:t xml:space="preserve"> </w:t>
      </w:r>
      <w:r>
        <w:rPr>
          <w:sz w:val="20"/>
        </w:rPr>
        <w:t>particulares el derecho a utilizarlo en las condiciones que hayan sido establecidas y</w:t>
      </w:r>
      <w:r>
        <w:rPr>
          <w:spacing w:val="40"/>
          <w:sz w:val="20"/>
        </w:rPr>
        <w:t xml:space="preserve"> </w:t>
      </w:r>
      <w:r>
        <w:rPr>
          <w:sz w:val="20"/>
        </w:rPr>
        <w:t>mediante el abono en su caso de la contraprestación económica fijada; de cuidar del buen orden</w:t>
      </w:r>
      <w:r>
        <w:rPr>
          <w:spacing w:val="-1"/>
          <w:sz w:val="20"/>
        </w:rPr>
        <w:t xml:space="preserve"> </w:t>
      </w:r>
      <w:r>
        <w:rPr>
          <w:sz w:val="20"/>
        </w:rPr>
        <w:t>del</w:t>
      </w:r>
      <w:r>
        <w:rPr>
          <w:spacing w:val="-1"/>
          <w:sz w:val="20"/>
        </w:rPr>
        <w:t xml:space="preserve"> </w:t>
      </w:r>
      <w:r>
        <w:rPr>
          <w:sz w:val="20"/>
        </w:rPr>
        <w:t>servicio;</w:t>
      </w:r>
      <w:r>
        <w:rPr>
          <w:spacing w:val="-1"/>
          <w:sz w:val="20"/>
        </w:rPr>
        <w:t xml:space="preserve"> </w:t>
      </w:r>
      <w:r>
        <w:rPr>
          <w:sz w:val="20"/>
        </w:rPr>
        <w:t>de</w:t>
      </w:r>
      <w:r>
        <w:rPr>
          <w:spacing w:val="-1"/>
          <w:sz w:val="20"/>
        </w:rPr>
        <w:t xml:space="preserve"> </w:t>
      </w:r>
      <w:r>
        <w:rPr>
          <w:sz w:val="20"/>
        </w:rPr>
        <w:t>indemnizar</w:t>
      </w:r>
      <w:r>
        <w:rPr>
          <w:spacing w:val="-1"/>
          <w:sz w:val="20"/>
        </w:rPr>
        <w:t xml:space="preserve"> </w:t>
      </w:r>
      <w:r>
        <w:rPr>
          <w:sz w:val="20"/>
        </w:rPr>
        <w:t>los</w:t>
      </w:r>
      <w:r>
        <w:rPr>
          <w:spacing w:val="-1"/>
          <w:sz w:val="20"/>
        </w:rPr>
        <w:t xml:space="preserve"> </w:t>
      </w:r>
      <w:r>
        <w:rPr>
          <w:sz w:val="20"/>
        </w:rPr>
        <w:t>daños</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causen</w:t>
      </w:r>
      <w:r>
        <w:rPr>
          <w:spacing w:val="-1"/>
          <w:sz w:val="20"/>
        </w:rPr>
        <w:t xml:space="preserve"> </w:t>
      </w:r>
      <w:r>
        <w:rPr>
          <w:sz w:val="20"/>
        </w:rPr>
        <w:t>a</w:t>
      </w:r>
      <w:r>
        <w:rPr>
          <w:spacing w:val="-1"/>
          <w:sz w:val="20"/>
        </w:rPr>
        <w:t xml:space="preserve"> </w:t>
      </w:r>
      <w:r>
        <w:rPr>
          <w:sz w:val="20"/>
        </w:rPr>
        <w:t>terceros</w:t>
      </w:r>
      <w:r>
        <w:rPr>
          <w:spacing w:val="-1"/>
          <w:sz w:val="20"/>
        </w:rPr>
        <w:t xml:space="preserve"> </w:t>
      </w:r>
      <w:r>
        <w:rPr>
          <w:sz w:val="20"/>
        </w:rPr>
        <w:t>como</w:t>
      </w:r>
      <w:r>
        <w:rPr>
          <w:spacing w:val="-1"/>
          <w:sz w:val="20"/>
        </w:rPr>
        <w:t xml:space="preserve"> </w:t>
      </w:r>
      <w:r>
        <w:rPr>
          <w:sz w:val="20"/>
        </w:rPr>
        <w:t>consecuencia</w:t>
      </w:r>
      <w:r>
        <w:rPr>
          <w:spacing w:val="-1"/>
          <w:sz w:val="20"/>
        </w:rPr>
        <w:t xml:space="preserve"> </w:t>
      </w:r>
      <w:r>
        <w:rPr>
          <w:sz w:val="20"/>
        </w:rPr>
        <w:t>de las operaciones que requiera el desarrollo del servicio, con la salvedad de aquellos que sean producidos por causas imputables a la Administración; y de entregar, en su caso, las obras e instalaciones a que esté obligado con arreglo al contrato en el estado de conservación y funcionamiento adecuados.</w:t>
      </w:r>
    </w:p>
    <w:p w:rsidR="0092635B" w:rsidRDefault="00000000">
      <w:pPr>
        <w:pStyle w:val="Prrafodelista"/>
        <w:numPr>
          <w:ilvl w:val="1"/>
          <w:numId w:val="90"/>
        </w:numPr>
        <w:tabs>
          <w:tab w:val="left" w:pos="1701"/>
        </w:tabs>
        <w:spacing w:before="7" w:line="249" w:lineRule="auto"/>
        <w:ind w:right="1105" w:firstLine="340"/>
        <w:jc w:val="both"/>
        <w:rPr>
          <w:sz w:val="20"/>
        </w:rPr>
      </w:pPr>
      <w:r>
        <w:rPr>
          <w:sz w:val="20"/>
        </w:rPr>
        <w:t>Los bienes afectos a los servicios regulados en el presente artículo no podrán ser objeto de embargo.</w:t>
      </w:r>
    </w:p>
    <w:p w:rsidR="0092635B" w:rsidRDefault="00000000">
      <w:pPr>
        <w:pStyle w:val="Prrafodelista"/>
        <w:numPr>
          <w:ilvl w:val="1"/>
          <w:numId w:val="90"/>
        </w:numPr>
        <w:tabs>
          <w:tab w:val="left" w:pos="1710"/>
        </w:tabs>
        <w:spacing w:line="249" w:lineRule="auto"/>
        <w:ind w:right="1104" w:firstLine="340"/>
        <w:jc w:val="both"/>
        <w:rPr>
          <w:sz w:val="20"/>
        </w:rPr>
      </w:pPr>
      <w:r>
        <w:rPr>
          <w:sz w:val="20"/>
        </w:rPr>
        <w:t>Si del incumplimiento por parte del contratista se derivase perturbación grave y no reparable por otros medios en el servicio y la Administración no decidiese la resolución del contrato,</w:t>
      </w:r>
      <w:r>
        <w:rPr>
          <w:spacing w:val="74"/>
          <w:w w:val="150"/>
          <w:sz w:val="20"/>
        </w:rPr>
        <w:t xml:space="preserve"> </w:t>
      </w:r>
      <w:r>
        <w:rPr>
          <w:sz w:val="20"/>
        </w:rPr>
        <w:t>podrá</w:t>
      </w:r>
      <w:r>
        <w:rPr>
          <w:spacing w:val="74"/>
          <w:w w:val="150"/>
          <w:sz w:val="20"/>
        </w:rPr>
        <w:t xml:space="preserve"> </w:t>
      </w:r>
      <w:r>
        <w:rPr>
          <w:sz w:val="20"/>
        </w:rPr>
        <w:t>acordar</w:t>
      </w:r>
      <w:r>
        <w:rPr>
          <w:spacing w:val="74"/>
          <w:w w:val="150"/>
          <w:sz w:val="20"/>
        </w:rPr>
        <w:t xml:space="preserve"> </w:t>
      </w:r>
      <w:r>
        <w:rPr>
          <w:sz w:val="20"/>
        </w:rPr>
        <w:t>el</w:t>
      </w:r>
      <w:r>
        <w:rPr>
          <w:spacing w:val="74"/>
          <w:w w:val="150"/>
          <w:sz w:val="20"/>
        </w:rPr>
        <w:t xml:space="preserve"> </w:t>
      </w:r>
      <w:r>
        <w:rPr>
          <w:sz w:val="20"/>
        </w:rPr>
        <w:t>secuestro</w:t>
      </w:r>
      <w:r>
        <w:rPr>
          <w:spacing w:val="74"/>
          <w:w w:val="150"/>
          <w:sz w:val="20"/>
        </w:rPr>
        <w:t xml:space="preserve"> </w:t>
      </w:r>
      <w:r>
        <w:rPr>
          <w:sz w:val="20"/>
        </w:rPr>
        <w:t>o</w:t>
      </w:r>
      <w:r>
        <w:rPr>
          <w:spacing w:val="74"/>
          <w:w w:val="150"/>
          <w:sz w:val="20"/>
        </w:rPr>
        <w:t xml:space="preserve"> </w:t>
      </w:r>
      <w:r>
        <w:rPr>
          <w:sz w:val="20"/>
        </w:rPr>
        <w:t>intervención</w:t>
      </w:r>
      <w:r>
        <w:rPr>
          <w:spacing w:val="74"/>
          <w:w w:val="150"/>
          <w:sz w:val="20"/>
        </w:rPr>
        <w:t xml:space="preserve"> </w:t>
      </w:r>
      <w:r>
        <w:rPr>
          <w:sz w:val="20"/>
        </w:rPr>
        <w:t>del</w:t>
      </w:r>
      <w:r>
        <w:rPr>
          <w:spacing w:val="74"/>
          <w:w w:val="150"/>
          <w:sz w:val="20"/>
        </w:rPr>
        <w:t xml:space="preserve"> </w:t>
      </w:r>
      <w:r>
        <w:rPr>
          <w:sz w:val="20"/>
        </w:rPr>
        <w:t>mismo</w:t>
      </w:r>
      <w:r>
        <w:rPr>
          <w:spacing w:val="74"/>
          <w:w w:val="150"/>
          <w:sz w:val="20"/>
        </w:rPr>
        <w:t xml:space="preserve"> </w:t>
      </w:r>
      <w:r>
        <w:rPr>
          <w:sz w:val="20"/>
        </w:rPr>
        <w:t>hasta</w:t>
      </w:r>
      <w:r>
        <w:rPr>
          <w:spacing w:val="74"/>
          <w:w w:val="150"/>
          <w:sz w:val="20"/>
        </w:rPr>
        <w:t xml:space="preserve"> </w:t>
      </w:r>
      <w:r>
        <w:rPr>
          <w:sz w:val="20"/>
        </w:rPr>
        <w:t>que</w:t>
      </w:r>
      <w:r>
        <w:rPr>
          <w:spacing w:val="74"/>
          <w:w w:val="150"/>
          <w:sz w:val="20"/>
        </w:rPr>
        <w:t xml:space="preserve"> </w:t>
      </w:r>
      <w:r>
        <w:rPr>
          <w:sz w:val="20"/>
        </w:rPr>
        <w:t>aquella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desaparezca. En todo caso, el contratista deberá abonar a la Administración los daños y perjuicios que efectivamente le haya ocasionado.</w:t>
      </w:r>
    </w:p>
    <w:p w:rsidR="0092635B" w:rsidRDefault="00000000">
      <w:pPr>
        <w:pStyle w:val="Prrafodelista"/>
        <w:numPr>
          <w:ilvl w:val="1"/>
          <w:numId w:val="90"/>
        </w:numPr>
        <w:tabs>
          <w:tab w:val="left" w:pos="1726"/>
        </w:tabs>
        <w:spacing w:before="1" w:line="249" w:lineRule="auto"/>
        <w:ind w:right="1104" w:firstLine="340"/>
        <w:jc w:val="both"/>
        <w:rPr>
          <w:sz w:val="20"/>
        </w:rPr>
      </w:pPr>
      <w:r>
        <w:rPr>
          <w:sz w:val="20"/>
        </w:rPr>
        <w:t>La Administración conservará los poderes de policía necesarios para asegurar la buena marcha de los servicios que conlleven prestaciones directas a favor de la ciudadanía de que se trate.</w:t>
      </w:r>
    </w:p>
    <w:p w:rsidR="0092635B" w:rsidRDefault="00000000">
      <w:pPr>
        <w:pStyle w:val="Prrafodelista"/>
        <w:numPr>
          <w:ilvl w:val="1"/>
          <w:numId w:val="90"/>
        </w:numPr>
        <w:tabs>
          <w:tab w:val="left" w:pos="1691"/>
        </w:tabs>
        <w:spacing w:before="3" w:line="249" w:lineRule="auto"/>
        <w:ind w:right="1104" w:firstLine="340"/>
        <w:jc w:val="both"/>
        <w:rPr>
          <w:sz w:val="20"/>
        </w:rPr>
      </w:pPr>
      <w:r>
        <w:rPr>
          <w:sz w:val="20"/>
        </w:rPr>
        <w:t>Con carácter general, la prestación de los servicios que conlleven prestaciones directas</w:t>
      </w:r>
      <w:r>
        <w:rPr>
          <w:spacing w:val="-1"/>
          <w:sz w:val="20"/>
        </w:rPr>
        <w:t xml:space="preserve"> </w:t>
      </w:r>
      <w:r>
        <w:rPr>
          <w:sz w:val="20"/>
        </w:rPr>
        <w:t>a</w:t>
      </w:r>
      <w:r>
        <w:rPr>
          <w:spacing w:val="-1"/>
          <w:sz w:val="20"/>
        </w:rPr>
        <w:t xml:space="preserve"> </w:t>
      </w:r>
      <w:r>
        <w:rPr>
          <w:sz w:val="20"/>
        </w:rPr>
        <w:t>favor</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ciudadanía</w:t>
      </w:r>
      <w:r>
        <w:rPr>
          <w:spacing w:val="-1"/>
          <w:sz w:val="20"/>
        </w:rPr>
        <w:t xml:space="preserve"> </w:t>
      </w:r>
      <w:r>
        <w:rPr>
          <w:sz w:val="20"/>
        </w:rPr>
        <w:t>se</w:t>
      </w:r>
      <w:r>
        <w:rPr>
          <w:spacing w:val="-1"/>
          <w:sz w:val="20"/>
        </w:rPr>
        <w:t xml:space="preserve"> </w:t>
      </w:r>
      <w:r>
        <w:rPr>
          <w:sz w:val="20"/>
        </w:rPr>
        <w:t>efectuará</w:t>
      </w:r>
      <w:r>
        <w:rPr>
          <w:spacing w:val="-1"/>
          <w:sz w:val="20"/>
        </w:rPr>
        <w:t xml:space="preserve"> </w:t>
      </w:r>
      <w:r>
        <w:rPr>
          <w:sz w:val="20"/>
        </w:rPr>
        <w:t>en</w:t>
      </w:r>
      <w:r>
        <w:rPr>
          <w:spacing w:val="-1"/>
          <w:sz w:val="20"/>
        </w:rPr>
        <w:t xml:space="preserve"> </w:t>
      </w:r>
      <w:r>
        <w:rPr>
          <w:sz w:val="20"/>
        </w:rPr>
        <w:t>dependencias</w:t>
      </w:r>
      <w:r>
        <w:rPr>
          <w:spacing w:val="-1"/>
          <w:sz w:val="20"/>
        </w:rPr>
        <w:t xml:space="preserve"> </w:t>
      </w:r>
      <w:r>
        <w:rPr>
          <w:sz w:val="20"/>
        </w:rPr>
        <w:t>o</w:t>
      </w:r>
      <w:r>
        <w:rPr>
          <w:spacing w:val="-1"/>
          <w:sz w:val="20"/>
        </w:rPr>
        <w:t xml:space="preserve"> </w:t>
      </w:r>
      <w:r>
        <w:rPr>
          <w:sz w:val="20"/>
        </w:rPr>
        <w:t>instalaciones</w:t>
      </w:r>
      <w:r>
        <w:rPr>
          <w:spacing w:val="-1"/>
          <w:sz w:val="20"/>
        </w:rPr>
        <w:t xml:space="preserve"> </w:t>
      </w:r>
      <w:r>
        <w:rPr>
          <w:sz w:val="20"/>
        </w:rPr>
        <w:t>diferenciadas de las de la propia Administración contratante. Si ello no fuera posible, se harán constar las razones objetivas que lo motivan. En estos casos, a efectos de evitar la confusión de plantillas, se intentará que los trabajadores de la empresa contratista no compartan espacios y lugares de trabajo con el personal al servicio de la Administración, y los trabajadores y los medios de la empresa contratista se identificarán mediante los correspondientes signos distintivos, tales como uniformidad o rotulaciones.</w:t>
      </w:r>
    </w:p>
    <w:p w:rsidR="0092635B" w:rsidRDefault="00000000">
      <w:pPr>
        <w:pStyle w:val="Prrafodelista"/>
        <w:numPr>
          <w:ilvl w:val="1"/>
          <w:numId w:val="90"/>
        </w:numPr>
        <w:tabs>
          <w:tab w:val="left" w:pos="1719"/>
        </w:tabs>
        <w:spacing w:before="6" w:line="249" w:lineRule="auto"/>
        <w:ind w:right="1104" w:firstLine="340"/>
        <w:jc w:val="both"/>
        <w:rPr>
          <w:sz w:val="20"/>
        </w:rPr>
      </w:pPr>
      <w:r>
        <w:rPr>
          <w:sz w:val="20"/>
        </w:rPr>
        <w:t>Además de las causas de resolución del contrato establecidas en el artículo 313, serán causas de resolución de los contratos de servicios tratados en el presente artículo, las señaladas en las letras c), d), y f) del artículo 294.</w:t>
      </w:r>
    </w:p>
    <w:p w:rsidR="0092635B" w:rsidRDefault="00000000">
      <w:pPr>
        <w:pStyle w:val="Ttulo3"/>
        <w:spacing w:before="230"/>
      </w:pPr>
      <w:bookmarkStart w:id="521" w:name="Sección_3.ª_Resolución_de_los_contratos_"/>
      <w:bookmarkStart w:id="522" w:name="_bookmark106"/>
      <w:bookmarkEnd w:id="521"/>
      <w:bookmarkEnd w:id="522"/>
      <w:r>
        <w:t>Sección</w:t>
      </w:r>
      <w:r>
        <w:rPr>
          <w:spacing w:val="-4"/>
        </w:rPr>
        <w:t xml:space="preserve"> </w:t>
      </w:r>
      <w:r>
        <w:t>3.ª</w:t>
      </w:r>
      <w:r>
        <w:rPr>
          <w:spacing w:val="-2"/>
        </w:rPr>
        <w:t xml:space="preserve"> </w:t>
      </w:r>
      <w:r>
        <w:t>Resolución</w:t>
      </w:r>
      <w:r>
        <w:rPr>
          <w:spacing w:val="-2"/>
        </w:rPr>
        <w:t xml:space="preserve"> </w:t>
      </w:r>
      <w:r>
        <w:t>de</w:t>
      </w:r>
      <w:r>
        <w:rPr>
          <w:spacing w:val="-2"/>
        </w:rPr>
        <w:t xml:space="preserve"> </w:t>
      </w:r>
      <w:r>
        <w:t>los</w:t>
      </w:r>
      <w:r>
        <w:rPr>
          <w:spacing w:val="-2"/>
        </w:rPr>
        <w:t xml:space="preserve"> </w:t>
      </w:r>
      <w:r>
        <w:t>contratos</w:t>
      </w:r>
      <w:r>
        <w:rPr>
          <w:spacing w:val="-2"/>
        </w:rPr>
        <w:t xml:space="preserve"> </w:t>
      </w:r>
      <w:r>
        <w:t>de</w:t>
      </w:r>
      <w:r>
        <w:rPr>
          <w:spacing w:val="-2"/>
        </w:rPr>
        <w:t xml:space="preserve"> servicios</w:t>
      </w:r>
    </w:p>
    <w:p w:rsidR="0092635B" w:rsidRDefault="0092635B">
      <w:pPr>
        <w:pStyle w:val="Textoindependiente"/>
        <w:spacing w:before="6"/>
        <w:ind w:left="0" w:firstLine="0"/>
        <w:jc w:val="left"/>
        <w:rPr>
          <w:rFonts w:ascii="Arial"/>
          <w:b/>
          <w:i/>
        </w:rPr>
      </w:pPr>
    </w:p>
    <w:p w:rsidR="0092635B" w:rsidRDefault="00000000">
      <w:pPr>
        <w:ind w:left="1106"/>
        <w:jc w:val="both"/>
        <w:rPr>
          <w:rFonts w:ascii="Arial" w:hAnsi="Arial"/>
          <w:i/>
          <w:sz w:val="20"/>
        </w:rPr>
      </w:pPr>
      <w:bookmarkStart w:id="523" w:name="Artículo_313._Causas_y_efectos_de_la_res"/>
      <w:bookmarkEnd w:id="523"/>
      <w:r>
        <w:rPr>
          <w:rFonts w:ascii="Arial" w:hAnsi="Arial"/>
          <w:b/>
          <w:sz w:val="20"/>
        </w:rPr>
        <w:t>Artículo</w:t>
      </w:r>
      <w:r>
        <w:rPr>
          <w:rFonts w:ascii="Arial" w:hAnsi="Arial"/>
          <w:b/>
          <w:spacing w:val="-3"/>
          <w:sz w:val="20"/>
        </w:rPr>
        <w:t xml:space="preserve"> </w:t>
      </w:r>
      <w:r>
        <w:rPr>
          <w:rFonts w:ascii="Arial" w:hAnsi="Arial"/>
          <w:b/>
          <w:sz w:val="20"/>
        </w:rPr>
        <w:t>313.</w:t>
      </w:r>
      <w:r>
        <w:rPr>
          <w:rFonts w:ascii="Arial" w:hAnsi="Arial"/>
          <w:b/>
          <w:spacing w:val="54"/>
          <w:sz w:val="20"/>
        </w:rPr>
        <w:t xml:space="preserve"> </w:t>
      </w:r>
      <w:r>
        <w:rPr>
          <w:rFonts w:ascii="Arial" w:hAnsi="Arial"/>
          <w:i/>
          <w:sz w:val="20"/>
        </w:rPr>
        <w:t>Causas y</w:t>
      </w:r>
      <w:r>
        <w:rPr>
          <w:rFonts w:ascii="Arial" w:hAnsi="Arial"/>
          <w:i/>
          <w:spacing w:val="-1"/>
          <w:sz w:val="20"/>
        </w:rPr>
        <w:t xml:space="preserve"> </w:t>
      </w:r>
      <w:r>
        <w:rPr>
          <w:rFonts w:ascii="Arial" w:hAnsi="Arial"/>
          <w:i/>
          <w:sz w:val="20"/>
        </w:rPr>
        <w:t xml:space="preserve">efectos de la </w:t>
      </w:r>
      <w:r>
        <w:rPr>
          <w:rFonts w:ascii="Arial" w:hAnsi="Arial"/>
          <w:i/>
          <w:spacing w:val="-2"/>
          <w:sz w:val="20"/>
        </w:rPr>
        <w:t>resolución.</w:t>
      </w:r>
    </w:p>
    <w:p w:rsidR="0092635B" w:rsidRDefault="00000000">
      <w:pPr>
        <w:pStyle w:val="Prrafodelista"/>
        <w:numPr>
          <w:ilvl w:val="0"/>
          <w:numId w:val="89"/>
        </w:numPr>
        <w:tabs>
          <w:tab w:val="left" w:pos="1677"/>
        </w:tabs>
        <w:spacing w:before="124" w:line="249" w:lineRule="auto"/>
        <w:ind w:right="1104" w:firstLine="340"/>
        <w:jc w:val="both"/>
        <w:rPr>
          <w:sz w:val="20"/>
        </w:rPr>
      </w:pPr>
      <w:r>
        <w:rPr>
          <w:sz w:val="20"/>
        </w:rPr>
        <w:t xml:space="preserve">Son causas de resolución de los contratos de servicios, además de las generales, las </w:t>
      </w:r>
      <w:r>
        <w:rPr>
          <w:spacing w:val="-2"/>
          <w:sz w:val="20"/>
        </w:rPr>
        <w:t>siguientes:</w:t>
      </w:r>
    </w:p>
    <w:p w:rsidR="0092635B" w:rsidRDefault="00000000">
      <w:pPr>
        <w:pStyle w:val="Prrafodelista"/>
        <w:numPr>
          <w:ilvl w:val="1"/>
          <w:numId w:val="89"/>
        </w:numPr>
        <w:tabs>
          <w:tab w:val="left" w:pos="1698"/>
        </w:tabs>
        <w:spacing w:before="121" w:line="249" w:lineRule="auto"/>
        <w:ind w:right="1104" w:firstLine="340"/>
        <w:jc w:val="both"/>
        <w:rPr>
          <w:sz w:val="20"/>
        </w:rPr>
      </w:pPr>
      <w:r>
        <w:rPr>
          <w:sz w:val="20"/>
        </w:rPr>
        <w:t>El desistimiento antes de iniciar la prestación del servicio o la suspensión por causa imputable al órgano de contratación de la iniciación del contrato por plazo superior a cuatro meses</w:t>
      </w:r>
      <w:r>
        <w:rPr>
          <w:spacing w:val="-1"/>
          <w:sz w:val="20"/>
        </w:rPr>
        <w:t xml:space="preserve"> </w:t>
      </w:r>
      <w:r>
        <w:rPr>
          <w:sz w:val="20"/>
        </w:rPr>
        <w:t>a</w:t>
      </w:r>
      <w:r>
        <w:rPr>
          <w:spacing w:val="-1"/>
          <w:sz w:val="20"/>
        </w:rPr>
        <w:t xml:space="preserve"> </w:t>
      </w:r>
      <w:r>
        <w:rPr>
          <w:sz w:val="20"/>
        </w:rPr>
        <w:t>partir</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fecha</w:t>
      </w:r>
      <w:r>
        <w:rPr>
          <w:spacing w:val="-1"/>
          <w:sz w:val="20"/>
        </w:rPr>
        <w:t xml:space="preserve"> </w:t>
      </w:r>
      <w:r>
        <w:rPr>
          <w:sz w:val="20"/>
        </w:rPr>
        <w:t>señalada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mismo</w:t>
      </w:r>
      <w:r>
        <w:rPr>
          <w:spacing w:val="-1"/>
          <w:sz w:val="20"/>
        </w:rPr>
        <w:t xml:space="preserve"> </w:t>
      </w:r>
      <w:r>
        <w:rPr>
          <w:sz w:val="20"/>
        </w:rPr>
        <w:t>para</w:t>
      </w:r>
      <w:r>
        <w:rPr>
          <w:spacing w:val="-1"/>
          <w:sz w:val="20"/>
        </w:rPr>
        <w:t xml:space="preserve"> </w:t>
      </w:r>
      <w:r>
        <w:rPr>
          <w:sz w:val="20"/>
        </w:rPr>
        <w:t>su</w:t>
      </w:r>
      <w:r>
        <w:rPr>
          <w:spacing w:val="-1"/>
          <w:sz w:val="20"/>
        </w:rPr>
        <w:t xml:space="preserve"> </w:t>
      </w:r>
      <w:r>
        <w:rPr>
          <w:sz w:val="20"/>
        </w:rPr>
        <w:t>comienzo,</w:t>
      </w:r>
      <w:r>
        <w:rPr>
          <w:spacing w:val="-1"/>
          <w:sz w:val="20"/>
        </w:rPr>
        <w:t xml:space="preserve"> </w:t>
      </w:r>
      <w:r>
        <w:rPr>
          <w:sz w:val="20"/>
        </w:rPr>
        <w:t>salvo</w:t>
      </w:r>
      <w:r>
        <w:rPr>
          <w:spacing w:val="-1"/>
          <w:sz w:val="20"/>
        </w:rPr>
        <w:t xml:space="preserve"> </w:t>
      </w:r>
      <w:r>
        <w:rPr>
          <w:sz w:val="20"/>
        </w:rPr>
        <w:t>que</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pliego</w:t>
      </w:r>
      <w:r>
        <w:rPr>
          <w:spacing w:val="-1"/>
          <w:sz w:val="20"/>
        </w:rPr>
        <w:t xml:space="preserve"> </w:t>
      </w:r>
      <w:r>
        <w:rPr>
          <w:sz w:val="20"/>
        </w:rPr>
        <w:t>se señale otro menor.</w:t>
      </w:r>
    </w:p>
    <w:p w:rsidR="0092635B" w:rsidRDefault="00000000">
      <w:pPr>
        <w:pStyle w:val="Prrafodelista"/>
        <w:numPr>
          <w:ilvl w:val="1"/>
          <w:numId w:val="89"/>
        </w:numPr>
        <w:tabs>
          <w:tab w:val="left" w:pos="1680"/>
        </w:tabs>
        <w:spacing w:before="4" w:line="249" w:lineRule="auto"/>
        <w:ind w:right="1104" w:firstLine="340"/>
        <w:jc w:val="both"/>
        <w:rPr>
          <w:sz w:val="20"/>
        </w:rPr>
      </w:pPr>
      <w:r>
        <w:rPr>
          <w:sz w:val="20"/>
        </w:rPr>
        <w:t>El</w:t>
      </w:r>
      <w:r>
        <w:rPr>
          <w:spacing w:val="-1"/>
          <w:sz w:val="20"/>
        </w:rPr>
        <w:t xml:space="preserve"> </w:t>
      </w:r>
      <w:r>
        <w:rPr>
          <w:sz w:val="20"/>
        </w:rPr>
        <w:t>desistimiento</w:t>
      </w:r>
      <w:r>
        <w:rPr>
          <w:spacing w:val="-1"/>
          <w:sz w:val="20"/>
        </w:rPr>
        <w:t xml:space="preserve"> </w:t>
      </w:r>
      <w:r>
        <w:rPr>
          <w:sz w:val="20"/>
        </w:rPr>
        <w:t>una</w:t>
      </w:r>
      <w:r>
        <w:rPr>
          <w:spacing w:val="-1"/>
          <w:sz w:val="20"/>
        </w:rPr>
        <w:t xml:space="preserve"> </w:t>
      </w:r>
      <w:r>
        <w:rPr>
          <w:sz w:val="20"/>
        </w:rPr>
        <w:t>vez</w:t>
      </w:r>
      <w:r>
        <w:rPr>
          <w:spacing w:val="-1"/>
          <w:sz w:val="20"/>
        </w:rPr>
        <w:t xml:space="preserve"> </w:t>
      </w:r>
      <w:r>
        <w:rPr>
          <w:sz w:val="20"/>
        </w:rPr>
        <w:t>iniciada</w:t>
      </w:r>
      <w:r>
        <w:rPr>
          <w:spacing w:val="-1"/>
          <w:sz w:val="20"/>
        </w:rPr>
        <w:t xml:space="preserve"> </w:t>
      </w:r>
      <w:r>
        <w:rPr>
          <w:sz w:val="20"/>
        </w:rPr>
        <w:t>la</w:t>
      </w:r>
      <w:r>
        <w:rPr>
          <w:spacing w:val="-1"/>
          <w:sz w:val="20"/>
        </w:rPr>
        <w:t xml:space="preserve"> </w:t>
      </w:r>
      <w:r>
        <w:rPr>
          <w:sz w:val="20"/>
        </w:rPr>
        <w:t>prestación</w:t>
      </w:r>
      <w:r>
        <w:rPr>
          <w:spacing w:val="-1"/>
          <w:sz w:val="20"/>
        </w:rPr>
        <w:t xml:space="preserve"> </w:t>
      </w:r>
      <w:r>
        <w:rPr>
          <w:sz w:val="20"/>
        </w:rPr>
        <w:t>del</w:t>
      </w:r>
      <w:r>
        <w:rPr>
          <w:spacing w:val="-1"/>
          <w:sz w:val="20"/>
        </w:rPr>
        <w:t xml:space="preserve"> </w:t>
      </w:r>
      <w:r>
        <w:rPr>
          <w:sz w:val="20"/>
        </w:rPr>
        <w:t>servicio</w:t>
      </w:r>
      <w:r>
        <w:rPr>
          <w:spacing w:val="-1"/>
          <w:sz w:val="20"/>
        </w:rPr>
        <w:t xml:space="preserve"> </w:t>
      </w:r>
      <w:r>
        <w:rPr>
          <w:sz w:val="20"/>
        </w:rPr>
        <w:t>o</w:t>
      </w:r>
      <w:r>
        <w:rPr>
          <w:spacing w:val="-1"/>
          <w:sz w:val="20"/>
        </w:rPr>
        <w:t xml:space="preserve"> </w:t>
      </w:r>
      <w:r>
        <w:rPr>
          <w:sz w:val="20"/>
        </w:rPr>
        <w:t>la</w:t>
      </w:r>
      <w:r>
        <w:rPr>
          <w:spacing w:val="-1"/>
          <w:sz w:val="20"/>
        </w:rPr>
        <w:t xml:space="preserve"> </w:t>
      </w:r>
      <w:r>
        <w:rPr>
          <w:sz w:val="20"/>
        </w:rPr>
        <w:t>suspensión</w:t>
      </w:r>
      <w:r>
        <w:rPr>
          <w:spacing w:val="-1"/>
          <w:sz w:val="20"/>
        </w:rPr>
        <w:t xml:space="preserve"> </w:t>
      </w:r>
      <w:r>
        <w:rPr>
          <w:sz w:val="20"/>
        </w:rPr>
        <w:t>del</w:t>
      </w:r>
      <w:r>
        <w:rPr>
          <w:spacing w:val="-1"/>
          <w:sz w:val="20"/>
        </w:rPr>
        <w:t xml:space="preserve"> </w:t>
      </w:r>
      <w:r>
        <w:rPr>
          <w:sz w:val="20"/>
        </w:rPr>
        <w:t>contrato por plazo superior a ocho meses acordada por el órgano de contratación, salvo que en el pliego se señale otro menor.</w:t>
      </w:r>
    </w:p>
    <w:p w:rsidR="0092635B" w:rsidRDefault="00000000">
      <w:pPr>
        <w:pStyle w:val="Prrafodelista"/>
        <w:numPr>
          <w:ilvl w:val="1"/>
          <w:numId w:val="89"/>
        </w:numPr>
        <w:tabs>
          <w:tab w:val="left" w:pos="1674"/>
        </w:tabs>
        <w:spacing w:line="249" w:lineRule="auto"/>
        <w:ind w:right="1104" w:firstLine="340"/>
        <w:jc w:val="both"/>
        <w:rPr>
          <w:sz w:val="20"/>
        </w:rPr>
      </w:pPr>
      <w:r>
        <w:rPr>
          <w:sz w:val="20"/>
        </w:rPr>
        <w:t>Los contratos complementarios quedarán resueltos, en todo caso, cuando se resuelva el contrato principal.</w:t>
      </w:r>
    </w:p>
    <w:p w:rsidR="0092635B" w:rsidRDefault="00000000">
      <w:pPr>
        <w:pStyle w:val="Prrafodelista"/>
        <w:numPr>
          <w:ilvl w:val="0"/>
          <w:numId w:val="89"/>
        </w:numPr>
        <w:tabs>
          <w:tab w:val="left" w:pos="1710"/>
        </w:tabs>
        <w:spacing w:before="122" w:line="249" w:lineRule="auto"/>
        <w:ind w:firstLine="340"/>
        <w:jc w:val="both"/>
        <w:rPr>
          <w:sz w:val="20"/>
        </w:rPr>
      </w:pPr>
      <w:r>
        <w:rPr>
          <w:sz w:val="20"/>
        </w:rPr>
        <w:t>La resolución del contrato dará derecho al contratista, en todo caso, a percibir el</w:t>
      </w:r>
      <w:r>
        <w:rPr>
          <w:spacing w:val="40"/>
          <w:sz w:val="20"/>
        </w:rPr>
        <w:t xml:space="preserve"> </w:t>
      </w:r>
      <w:r>
        <w:rPr>
          <w:sz w:val="20"/>
        </w:rPr>
        <w:t>precio de los estudios, informes, proyectos, trabajos o servicios que efectivamente hubiese realizado con arreglo al contrato y que hubiesen sido recibidos por la Administración.</w:t>
      </w:r>
    </w:p>
    <w:p w:rsidR="0092635B" w:rsidRDefault="00000000">
      <w:pPr>
        <w:pStyle w:val="Prrafodelista"/>
        <w:numPr>
          <w:ilvl w:val="0"/>
          <w:numId w:val="89"/>
        </w:numPr>
        <w:tabs>
          <w:tab w:val="left" w:pos="1675"/>
        </w:tabs>
        <w:spacing w:line="249" w:lineRule="auto"/>
        <w:ind w:firstLine="340"/>
        <w:jc w:val="both"/>
        <w:rPr>
          <w:sz w:val="20"/>
        </w:rPr>
      </w:pPr>
      <w:r>
        <w:rPr>
          <w:sz w:val="20"/>
        </w:rPr>
        <w:t>En los supuestos de resolución previstos en las letras a) y c) del apartado primero del presente artículo, el contratista solo tendrá derecho a percibir, por todos los conceptos, una indemnización del 3 por ciento del precio de adjudicación del contrato, IVA excluido.</w:t>
      </w:r>
    </w:p>
    <w:p w:rsidR="0092635B" w:rsidRDefault="00000000">
      <w:pPr>
        <w:pStyle w:val="Textoindependiente"/>
        <w:spacing w:before="3" w:line="249" w:lineRule="auto"/>
        <w:ind w:right="1103"/>
      </w:pPr>
      <w:r>
        <w:t>En los supuestos de resolución contemplados en la letra b) del apartado 1 del presente artículo, el contratista tendrá derecho a percibir, por todos los conceptos, el 6 por ciento del precio de adjudicación del contrato de los servicios dejados de prestar en concepto de beneficio industrial, IVA excluido, entendiéndose por servicios dejados de prestar los que resulten de la diferencia entre los reflejados en el contrato primitivo y sus modificaciones aprobadas, y los que hasta la fecha de notificación del desistimiento o de la suspensión se hubieran prestado.</w:t>
      </w:r>
    </w:p>
    <w:p w:rsidR="0092635B" w:rsidRDefault="0092635B">
      <w:pPr>
        <w:pStyle w:val="Textoindependiente"/>
        <w:ind w:left="0" w:firstLine="0"/>
        <w:jc w:val="left"/>
      </w:pPr>
    </w:p>
    <w:p w:rsidR="0092635B" w:rsidRDefault="00000000">
      <w:pPr>
        <w:pStyle w:val="Ttulo3"/>
        <w:tabs>
          <w:tab w:val="left" w:pos="2493"/>
          <w:tab w:val="left" w:pos="3015"/>
          <w:tab w:val="left" w:pos="3551"/>
          <w:tab w:val="left" w:pos="3998"/>
          <w:tab w:val="left" w:pos="5501"/>
          <w:tab w:val="left" w:pos="6015"/>
          <w:tab w:val="left" w:pos="7040"/>
          <w:tab w:val="left" w:pos="8932"/>
        </w:tabs>
        <w:spacing w:line="249" w:lineRule="auto"/>
        <w:ind w:left="1446" w:right="1443"/>
      </w:pPr>
      <w:bookmarkStart w:id="524" w:name="Sección_4.ª_De_la_subsanación_de_errores"/>
      <w:bookmarkStart w:id="525" w:name="_bookmark107"/>
      <w:bookmarkEnd w:id="524"/>
      <w:bookmarkEnd w:id="525"/>
      <w:r>
        <w:rPr>
          <w:spacing w:val="-2"/>
        </w:rPr>
        <w:t>Sección</w:t>
      </w:r>
      <w:r>
        <w:tab/>
      </w:r>
      <w:r>
        <w:rPr>
          <w:spacing w:val="-4"/>
        </w:rPr>
        <w:t>4.ª</w:t>
      </w:r>
      <w:r>
        <w:tab/>
      </w:r>
      <w:r>
        <w:rPr>
          <w:spacing w:val="-6"/>
        </w:rPr>
        <w:t>De</w:t>
      </w:r>
      <w:r>
        <w:tab/>
      </w:r>
      <w:r>
        <w:rPr>
          <w:spacing w:val="-6"/>
        </w:rPr>
        <w:t>la</w:t>
      </w:r>
      <w:r>
        <w:tab/>
      </w:r>
      <w:r>
        <w:rPr>
          <w:spacing w:val="-2"/>
        </w:rPr>
        <w:t>subsanación</w:t>
      </w:r>
      <w:r>
        <w:tab/>
      </w:r>
      <w:r>
        <w:rPr>
          <w:spacing w:val="-6"/>
        </w:rPr>
        <w:t>de</w:t>
      </w:r>
      <w:r>
        <w:tab/>
      </w:r>
      <w:r>
        <w:rPr>
          <w:spacing w:val="-2"/>
        </w:rPr>
        <w:t>errores,</w:t>
      </w:r>
      <w:r>
        <w:tab/>
      </w:r>
      <w:r>
        <w:rPr>
          <w:spacing w:val="-2"/>
        </w:rPr>
        <w:t>indemnizaciones</w:t>
      </w:r>
      <w:r>
        <w:tab/>
      </w:r>
      <w:r>
        <w:rPr>
          <w:spacing w:val="-10"/>
        </w:rPr>
        <w:t xml:space="preserve">y </w:t>
      </w:r>
      <w:r>
        <w:t>responsabilidades en el contrato de elaboración de proyectos de obras</w:t>
      </w:r>
    </w:p>
    <w:p w:rsidR="0092635B" w:rsidRDefault="00000000">
      <w:pPr>
        <w:spacing w:before="229"/>
        <w:ind w:left="1106"/>
        <w:jc w:val="both"/>
        <w:rPr>
          <w:rFonts w:ascii="Arial" w:hAnsi="Arial"/>
          <w:i/>
          <w:sz w:val="20"/>
        </w:rPr>
      </w:pPr>
      <w:bookmarkStart w:id="526" w:name="Artículo_314._Subsanación_de_errores_y_c"/>
      <w:bookmarkEnd w:id="526"/>
      <w:r>
        <w:rPr>
          <w:rFonts w:ascii="Arial" w:hAnsi="Arial"/>
          <w:b/>
          <w:sz w:val="20"/>
        </w:rPr>
        <w:t>Artículo</w:t>
      </w:r>
      <w:r>
        <w:rPr>
          <w:rFonts w:ascii="Arial" w:hAnsi="Arial"/>
          <w:b/>
          <w:spacing w:val="-3"/>
          <w:sz w:val="20"/>
        </w:rPr>
        <w:t xml:space="preserve"> </w:t>
      </w:r>
      <w:r>
        <w:rPr>
          <w:rFonts w:ascii="Arial" w:hAnsi="Arial"/>
          <w:b/>
          <w:sz w:val="20"/>
        </w:rPr>
        <w:t>314.</w:t>
      </w:r>
      <w:r>
        <w:rPr>
          <w:rFonts w:ascii="Arial" w:hAnsi="Arial"/>
          <w:b/>
          <w:spacing w:val="50"/>
          <w:sz w:val="20"/>
        </w:rPr>
        <w:t xml:space="preserve"> </w:t>
      </w:r>
      <w:r>
        <w:rPr>
          <w:rFonts w:ascii="Arial" w:hAnsi="Arial"/>
          <w:i/>
          <w:sz w:val="20"/>
        </w:rPr>
        <w:t>Subsanación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errores</w:t>
      </w:r>
      <w:r>
        <w:rPr>
          <w:rFonts w:ascii="Arial" w:hAnsi="Arial"/>
          <w:i/>
          <w:spacing w:val="-2"/>
          <w:sz w:val="20"/>
        </w:rPr>
        <w:t xml:space="preserve"> </w:t>
      </w:r>
      <w:r>
        <w:rPr>
          <w:rFonts w:ascii="Arial" w:hAnsi="Arial"/>
          <w:i/>
          <w:sz w:val="20"/>
        </w:rPr>
        <w:t>y</w:t>
      </w:r>
      <w:r>
        <w:rPr>
          <w:rFonts w:ascii="Arial" w:hAnsi="Arial"/>
          <w:i/>
          <w:spacing w:val="-3"/>
          <w:sz w:val="20"/>
        </w:rPr>
        <w:t xml:space="preserve"> </w:t>
      </w:r>
      <w:r>
        <w:rPr>
          <w:rFonts w:ascii="Arial" w:hAnsi="Arial"/>
          <w:i/>
          <w:sz w:val="20"/>
        </w:rPr>
        <w:t>corrección</w:t>
      </w:r>
      <w:r>
        <w:rPr>
          <w:rFonts w:ascii="Arial" w:hAnsi="Arial"/>
          <w:i/>
          <w:spacing w:val="-2"/>
          <w:sz w:val="20"/>
        </w:rPr>
        <w:t xml:space="preserve"> </w:t>
      </w:r>
      <w:r>
        <w:rPr>
          <w:rFonts w:ascii="Arial" w:hAnsi="Arial"/>
          <w:i/>
          <w:sz w:val="20"/>
        </w:rPr>
        <w:t>de</w:t>
      </w:r>
      <w:r>
        <w:rPr>
          <w:rFonts w:ascii="Arial" w:hAnsi="Arial"/>
          <w:i/>
          <w:spacing w:val="-2"/>
          <w:sz w:val="20"/>
        </w:rPr>
        <w:t xml:space="preserve"> deficiencias.</w:t>
      </w:r>
    </w:p>
    <w:p w:rsidR="0092635B" w:rsidRDefault="00000000">
      <w:pPr>
        <w:pStyle w:val="Prrafodelista"/>
        <w:numPr>
          <w:ilvl w:val="0"/>
          <w:numId w:val="88"/>
        </w:numPr>
        <w:tabs>
          <w:tab w:val="left" w:pos="1683"/>
        </w:tabs>
        <w:spacing w:before="123" w:line="249" w:lineRule="auto"/>
        <w:ind w:firstLine="340"/>
        <w:jc w:val="both"/>
        <w:rPr>
          <w:sz w:val="20"/>
        </w:rPr>
      </w:pPr>
      <w:r>
        <w:rPr>
          <w:sz w:val="20"/>
        </w:rPr>
        <w:t>Cuando el contrato de servicios consista en la elaboración íntegra de un proyecto de obra, el órgano de contratación exigirá la subsanación por el contratista de los defectos, insuficiencias técnicas, errores materiales, omisiones e infracciones de preceptos legales o reglamentarios que le sean imputables, otorgándole al efecto el correspondiente plazo que</w:t>
      </w:r>
      <w:r>
        <w:rPr>
          <w:spacing w:val="40"/>
          <w:sz w:val="20"/>
        </w:rPr>
        <w:t xml:space="preserve"> </w:t>
      </w:r>
      <w:r>
        <w:rPr>
          <w:sz w:val="20"/>
        </w:rPr>
        <w:t>no podrá exceder de dos meses.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88"/>
        </w:numPr>
        <w:tabs>
          <w:tab w:val="left" w:pos="1779"/>
        </w:tabs>
        <w:spacing w:before="1" w:line="249" w:lineRule="auto"/>
        <w:ind w:firstLine="340"/>
        <w:jc w:val="both"/>
        <w:rPr>
          <w:sz w:val="20"/>
        </w:rPr>
      </w:pPr>
      <w:r>
        <w:rPr>
          <w:sz w:val="20"/>
        </w:rPr>
        <w:t>Si transcurrido este plazo las deficiencias no hubiesen sido corregidas, la Administración podrá, atendiendo a las circunstancias concurrentes, optar por la resolución del contrato o por conceder un nuevo plazo al contratista.</w:t>
      </w:r>
    </w:p>
    <w:p w:rsidR="0092635B" w:rsidRDefault="00000000">
      <w:pPr>
        <w:pStyle w:val="Prrafodelista"/>
        <w:numPr>
          <w:ilvl w:val="0"/>
          <w:numId w:val="88"/>
        </w:numPr>
        <w:tabs>
          <w:tab w:val="left" w:pos="1670"/>
        </w:tabs>
        <w:spacing w:line="249" w:lineRule="auto"/>
        <w:ind w:right="1105" w:firstLine="340"/>
        <w:jc w:val="both"/>
        <w:rPr>
          <w:sz w:val="20"/>
        </w:rPr>
      </w:pPr>
      <w:r>
        <w:rPr>
          <w:sz w:val="20"/>
        </w:rPr>
        <w:t>En</w:t>
      </w:r>
      <w:r>
        <w:rPr>
          <w:spacing w:val="-1"/>
          <w:sz w:val="20"/>
        </w:rPr>
        <w:t xml:space="preserve"> </w:t>
      </w:r>
      <w:r>
        <w:rPr>
          <w:sz w:val="20"/>
        </w:rPr>
        <w:t>el</w:t>
      </w:r>
      <w:r>
        <w:rPr>
          <w:spacing w:val="-1"/>
          <w:sz w:val="20"/>
        </w:rPr>
        <w:t xml:space="preserve"> </w:t>
      </w:r>
      <w:r>
        <w:rPr>
          <w:sz w:val="20"/>
        </w:rPr>
        <w:t>primer</w:t>
      </w:r>
      <w:r>
        <w:rPr>
          <w:spacing w:val="-1"/>
          <w:sz w:val="20"/>
        </w:rPr>
        <w:t xml:space="preserve"> </w:t>
      </w:r>
      <w:r>
        <w:rPr>
          <w:sz w:val="20"/>
        </w:rPr>
        <w:t>caso</w:t>
      </w:r>
      <w:r>
        <w:rPr>
          <w:spacing w:val="-1"/>
          <w:sz w:val="20"/>
        </w:rPr>
        <w:t xml:space="preserve"> </w:t>
      </w:r>
      <w:r>
        <w:rPr>
          <w:sz w:val="20"/>
        </w:rPr>
        <w:t>procederá</w:t>
      </w:r>
      <w:r>
        <w:rPr>
          <w:spacing w:val="-1"/>
          <w:sz w:val="20"/>
        </w:rPr>
        <w:t xml:space="preserve"> </w:t>
      </w:r>
      <w:r>
        <w:rPr>
          <w:sz w:val="20"/>
        </w:rPr>
        <w:t>la</w:t>
      </w:r>
      <w:r>
        <w:rPr>
          <w:spacing w:val="-1"/>
          <w:sz w:val="20"/>
        </w:rPr>
        <w:t xml:space="preserve"> </w:t>
      </w:r>
      <w:r>
        <w:rPr>
          <w:sz w:val="20"/>
        </w:rPr>
        <w:t>incautación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garantía</w:t>
      </w:r>
      <w:r>
        <w:rPr>
          <w:spacing w:val="-1"/>
          <w:sz w:val="20"/>
        </w:rPr>
        <w:t xml:space="preserve"> </w:t>
      </w:r>
      <w:r>
        <w:rPr>
          <w:sz w:val="20"/>
        </w:rPr>
        <w:t>y</w:t>
      </w:r>
      <w:r>
        <w:rPr>
          <w:spacing w:val="-1"/>
          <w:sz w:val="20"/>
        </w:rPr>
        <w:t xml:space="preserve"> </w:t>
      </w:r>
      <w:r>
        <w:rPr>
          <w:sz w:val="20"/>
        </w:rPr>
        <w:t>el</w:t>
      </w:r>
      <w:r>
        <w:rPr>
          <w:spacing w:val="-1"/>
          <w:sz w:val="20"/>
        </w:rPr>
        <w:t xml:space="preserve"> </w:t>
      </w:r>
      <w:r>
        <w:rPr>
          <w:sz w:val="20"/>
        </w:rPr>
        <w:t>contratista</w:t>
      </w:r>
      <w:r>
        <w:rPr>
          <w:spacing w:val="-1"/>
          <w:sz w:val="20"/>
        </w:rPr>
        <w:t xml:space="preserve"> </w:t>
      </w:r>
      <w:r>
        <w:rPr>
          <w:sz w:val="20"/>
        </w:rPr>
        <w:t>incurrirá</w:t>
      </w:r>
      <w:r>
        <w:rPr>
          <w:spacing w:val="-1"/>
          <w:sz w:val="20"/>
        </w:rPr>
        <w:t xml:space="preserve"> </w:t>
      </w:r>
      <w:r>
        <w:rPr>
          <w:sz w:val="20"/>
        </w:rPr>
        <w:t>en</w:t>
      </w:r>
      <w:r>
        <w:rPr>
          <w:spacing w:val="-1"/>
          <w:sz w:val="20"/>
        </w:rPr>
        <w:t xml:space="preserve"> </w:t>
      </w:r>
      <w:r>
        <w:rPr>
          <w:sz w:val="20"/>
        </w:rPr>
        <w:t>la obligación de abonar a la Administración una indemnización equivalente al 25 por ciento del precio del contrato.</w:t>
      </w:r>
    </w:p>
    <w:p w:rsidR="0092635B" w:rsidRDefault="00000000">
      <w:pPr>
        <w:pStyle w:val="Prrafodelista"/>
        <w:numPr>
          <w:ilvl w:val="0"/>
          <w:numId w:val="88"/>
        </w:numPr>
        <w:tabs>
          <w:tab w:val="left" w:pos="1715"/>
        </w:tabs>
        <w:spacing w:before="3" w:line="249" w:lineRule="auto"/>
        <w:ind w:right="1104" w:firstLine="340"/>
        <w:jc w:val="both"/>
        <w:rPr>
          <w:sz w:val="20"/>
        </w:rPr>
      </w:pPr>
      <w:r>
        <w:rPr>
          <w:sz w:val="20"/>
        </w:rPr>
        <w:t>En el segundo caso el nuevo plazo concedido para subsanar las deficiencias no corregidas será de un mes improrrogable, incurriendo el contratista en una penalidad equivalente al 25 por ciento del precio del contrato.</w:t>
      </w:r>
    </w:p>
    <w:p w:rsidR="0092635B" w:rsidRDefault="00000000">
      <w:pPr>
        <w:pStyle w:val="Prrafodelista"/>
        <w:numPr>
          <w:ilvl w:val="0"/>
          <w:numId w:val="88"/>
        </w:numPr>
        <w:tabs>
          <w:tab w:val="left" w:pos="1720"/>
        </w:tabs>
        <w:spacing w:line="249" w:lineRule="auto"/>
        <w:ind w:right="1104" w:firstLine="340"/>
        <w:jc w:val="both"/>
        <w:rPr>
          <w:sz w:val="20"/>
        </w:rPr>
      </w:pPr>
      <w:r>
        <w:rPr>
          <w:sz w:val="20"/>
        </w:rPr>
        <w:t>De producirse un nuevo incumplimiento procederá la resolución del contrato con obligación por parte del contratista de abonar a la Administración una indemnización igual al precio pactado con pérdida de la garantía.</w:t>
      </w:r>
    </w:p>
    <w:p w:rsidR="0092635B" w:rsidRDefault="00000000">
      <w:pPr>
        <w:pStyle w:val="Prrafodelista"/>
        <w:numPr>
          <w:ilvl w:val="0"/>
          <w:numId w:val="88"/>
        </w:numPr>
        <w:tabs>
          <w:tab w:val="left" w:pos="1686"/>
        </w:tabs>
        <w:spacing w:line="249" w:lineRule="auto"/>
        <w:ind w:firstLine="340"/>
        <w:jc w:val="both"/>
        <w:rPr>
          <w:sz w:val="20"/>
        </w:rPr>
      </w:pPr>
      <w:r>
        <w:rPr>
          <w:sz w:val="20"/>
        </w:rPr>
        <w:t>Cuando el contratista, en cualquier momento antes de la concesión del último plazo, renunciare a la realización del proyecto deberá abonar una indemnización igual a la mitad</w:t>
      </w:r>
      <w:r>
        <w:rPr>
          <w:spacing w:val="80"/>
          <w:sz w:val="20"/>
        </w:rPr>
        <w:t xml:space="preserve"> </w:t>
      </w:r>
      <w:r>
        <w:rPr>
          <w:sz w:val="20"/>
        </w:rPr>
        <w:t>del precio del contrato con pérdida de la garantía.</w:t>
      </w:r>
    </w:p>
    <w:p w:rsidR="0092635B" w:rsidRDefault="0092635B">
      <w:pPr>
        <w:pStyle w:val="Textoindependiente"/>
        <w:spacing w:before="0"/>
        <w:ind w:left="0" w:firstLine="0"/>
        <w:jc w:val="left"/>
      </w:pPr>
    </w:p>
    <w:p w:rsidR="0092635B" w:rsidRDefault="00000000">
      <w:pPr>
        <w:spacing w:line="249" w:lineRule="auto"/>
        <w:ind w:left="1106" w:right="1120" w:hanging="1"/>
        <w:rPr>
          <w:rFonts w:ascii="Arial" w:hAnsi="Arial"/>
          <w:i/>
          <w:sz w:val="20"/>
        </w:rPr>
      </w:pPr>
      <w:bookmarkStart w:id="527" w:name="Artículo_315._Indemnizaciones_por_desvia"/>
      <w:bookmarkEnd w:id="527"/>
      <w:r>
        <w:rPr>
          <w:rFonts w:ascii="Arial" w:hAnsi="Arial"/>
          <w:b/>
          <w:sz w:val="20"/>
        </w:rPr>
        <w:t>Artículo 315.</w:t>
      </w:r>
      <w:r>
        <w:rPr>
          <w:rFonts w:ascii="Arial" w:hAnsi="Arial"/>
          <w:b/>
          <w:spacing w:val="40"/>
          <w:sz w:val="20"/>
        </w:rPr>
        <w:t xml:space="preserve"> </w:t>
      </w:r>
      <w:r>
        <w:rPr>
          <w:rFonts w:ascii="Arial" w:hAnsi="Arial"/>
          <w:i/>
          <w:sz w:val="20"/>
        </w:rPr>
        <w:t>Indemnizaciones por desviaciones en la ejecución de obras y responsabilidad por defectos o errores del proyecto.</w:t>
      </w:r>
    </w:p>
    <w:p w:rsidR="0092635B" w:rsidRDefault="00000000">
      <w:pPr>
        <w:pStyle w:val="Prrafodelista"/>
        <w:numPr>
          <w:ilvl w:val="0"/>
          <w:numId w:val="87"/>
        </w:numPr>
        <w:tabs>
          <w:tab w:val="left" w:pos="1679"/>
        </w:tabs>
        <w:spacing w:before="115" w:line="249" w:lineRule="auto"/>
        <w:ind w:right="1104" w:firstLine="340"/>
        <w:jc w:val="both"/>
        <w:rPr>
          <w:sz w:val="20"/>
        </w:rPr>
      </w:pPr>
      <w:r>
        <w:rPr>
          <w:sz w:val="20"/>
        </w:rPr>
        <w:t>Para los casos en que el presupuesto de ejecución de la obra prevista en el proyecto se</w:t>
      </w:r>
      <w:r>
        <w:rPr>
          <w:spacing w:val="-2"/>
          <w:sz w:val="20"/>
        </w:rPr>
        <w:t xml:space="preserve"> </w:t>
      </w:r>
      <w:r>
        <w:rPr>
          <w:sz w:val="20"/>
        </w:rPr>
        <w:t>desviare</w:t>
      </w:r>
      <w:r>
        <w:rPr>
          <w:spacing w:val="-2"/>
          <w:sz w:val="20"/>
        </w:rPr>
        <w:t xml:space="preserve"> </w:t>
      </w:r>
      <w:r>
        <w:rPr>
          <w:sz w:val="20"/>
        </w:rPr>
        <w:t>en</w:t>
      </w:r>
      <w:r>
        <w:rPr>
          <w:spacing w:val="-2"/>
          <w:sz w:val="20"/>
        </w:rPr>
        <w:t xml:space="preserve"> </w:t>
      </w:r>
      <w:r>
        <w:rPr>
          <w:sz w:val="20"/>
        </w:rPr>
        <w:t>más</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20</w:t>
      </w:r>
      <w:r>
        <w:rPr>
          <w:spacing w:val="-2"/>
          <w:sz w:val="20"/>
        </w:rPr>
        <w:t xml:space="preserve"> </w:t>
      </w:r>
      <w:r>
        <w:rPr>
          <w:sz w:val="20"/>
        </w:rPr>
        <w:t>por</w:t>
      </w:r>
      <w:r>
        <w:rPr>
          <w:spacing w:val="-2"/>
          <w:sz w:val="20"/>
        </w:rPr>
        <w:t xml:space="preserve"> </w:t>
      </w:r>
      <w:r>
        <w:rPr>
          <w:sz w:val="20"/>
        </w:rPr>
        <w:t>ciento,</w:t>
      </w:r>
      <w:r>
        <w:rPr>
          <w:spacing w:val="-2"/>
          <w:sz w:val="20"/>
        </w:rPr>
        <w:t xml:space="preserve"> </w:t>
      </w:r>
      <w:r>
        <w:rPr>
          <w:sz w:val="20"/>
        </w:rPr>
        <w:t>tanto</w:t>
      </w:r>
      <w:r>
        <w:rPr>
          <w:spacing w:val="-2"/>
          <w:sz w:val="20"/>
        </w:rPr>
        <w:t xml:space="preserve"> </w:t>
      </w:r>
      <w:r>
        <w:rPr>
          <w:sz w:val="20"/>
        </w:rPr>
        <w:t>por</w:t>
      </w:r>
      <w:r>
        <w:rPr>
          <w:spacing w:val="-2"/>
          <w:sz w:val="20"/>
        </w:rPr>
        <w:t xml:space="preserve"> </w:t>
      </w:r>
      <w:r>
        <w:rPr>
          <w:sz w:val="20"/>
        </w:rPr>
        <w:t>exceso</w:t>
      </w:r>
      <w:r>
        <w:rPr>
          <w:spacing w:val="-2"/>
          <w:sz w:val="20"/>
        </w:rPr>
        <w:t xml:space="preserve"> </w:t>
      </w:r>
      <w:r>
        <w:rPr>
          <w:sz w:val="20"/>
        </w:rPr>
        <w:t>como</w:t>
      </w:r>
      <w:r>
        <w:rPr>
          <w:spacing w:val="-2"/>
          <w:sz w:val="20"/>
        </w:rPr>
        <w:t xml:space="preserve"> </w:t>
      </w:r>
      <w:r>
        <w:rPr>
          <w:sz w:val="20"/>
        </w:rPr>
        <w:t>por</w:t>
      </w:r>
      <w:r>
        <w:rPr>
          <w:spacing w:val="-2"/>
          <w:sz w:val="20"/>
        </w:rPr>
        <w:t xml:space="preserve"> </w:t>
      </w:r>
      <w:r>
        <w:rPr>
          <w:sz w:val="20"/>
        </w:rPr>
        <w:t>defecto,</w:t>
      </w:r>
      <w:r>
        <w:rPr>
          <w:spacing w:val="-2"/>
          <w:sz w:val="20"/>
        </w:rPr>
        <w:t xml:space="preserve"> </w:t>
      </w:r>
      <w:r>
        <w:rPr>
          <w:sz w:val="20"/>
        </w:rPr>
        <w:t>del</w:t>
      </w:r>
      <w:r>
        <w:rPr>
          <w:spacing w:val="-2"/>
          <w:sz w:val="20"/>
        </w:rPr>
        <w:t xml:space="preserve"> </w:t>
      </w:r>
      <w:r>
        <w:rPr>
          <w:sz w:val="20"/>
        </w:rPr>
        <w:t>coste</w:t>
      </w:r>
      <w:r>
        <w:rPr>
          <w:spacing w:val="-2"/>
          <w:sz w:val="20"/>
        </w:rPr>
        <w:t xml:space="preserve"> </w:t>
      </w:r>
      <w:r>
        <w:rPr>
          <w:sz w:val="20"/>
        </w:rPr>
        <w:t>real</w:t>
      </w:r>
      <w:r>
        <w:rPr>
          <w:spacing w:val="-2"/>
          <w:sz w:val="20"/>
        </w:rPr>
        <w:t xml:space="preserve"> </w:t>
      </w:r>
      <w:r>
        <w:rPr>
          <w:sz w:val="20"/>
        </w:rPr>
        <w:t>de la misma como consecuencia de errores u omisiones imputables al contratista consultor, se minorará el precio del contrato de elaboración del proyecto, en concepto de indemnización, en</w:t>
      </w:r>
      <w:r>
        <w:rPr>
          <w:spacing w:val="-2"/>
          <w:sz w:val="20"/>
        </w:rPr>
        <w:t xml:space="preserve"> </w:t>
      </w:r>
      <w:r>
        <w:rPr>
          <w:sz w:val="20"/>
        </w:rPr>
        <w:t>función</w:t>
      </w:r>
      <w:r>
        <w:rPr>
          <w:spacing w:val="-2"/>
          <w:sz w:val="20"/>
        </w:rPr>
        <w:t xml:space="preserve"> </w:t>
      </w:r>
      <w:r>
        <w:rPr>
          <w:sz w:val="20"/>
        </w:rPr>
        <w:t>del</w:t>
      </w:r>
      <w:r>
        <w:rPr>
          <w:spacing w:val="-2"/>
          <w:sz w:val="20"/>
        </w:rPr>
        <w:t xml:space="preserve"> </w:t>
      </w:r>
      <w:r>
        <w:rPr>
          <w:sz w:val="20"/>
        </w:rPr>
        <w:t>porcentaje</w:t>
      </w:r>
      <w:r>
        <w:rPr>
          <w:spacing w:val="-2"/>
          <w:sz w:val="20"/>
        </w:rPr>
        <w:t xml:space="preserve"> </w:t>
      </w:r>
      <w:r>
        <w:rPr>
          <w:sz w:val="20"/>
        </w:rPr>
        <w:t>de</w:t>
      </w:r>
      <w:r>
        <w:rPr>
          <w:spacing w:val="-2"/>
          <w:sz w:val="20"/>
        </w:rPr>
        <w:t xml:space="preserve"> </w:t>
      </w:r>
      <w:r>
        <w:rPr>
          <w:sz w:val="20"/>
        </w:rPr>
        <w:t>desviación,</w:t>
      </w:r>
      <w:r>
        <w:rPr>
          <w:spacing w:val="-2"/>
          <w:sz w:val="20"/>
        </w:rPr>
        <w:t xml:space="preserve"> </w:t>
      </w:r>
      <w:r>
        <w:rPr>
          <w:sz w:val="20"/>
        </w:rPr>
        <w:t>hasta</w:t>
      </w:r>
      <w:r>
        <w:rPr>
          <w:spacing w:val="-2"/>
          <w:sz w:val="20"/>
        </w:rPr>
        <w:t xml:space="preserve"> </w:t>
      </w:r>
      <w:r>
        <w:rPr>
          <w:sz w:val="20"/>
        </w:rPr>
        <w:t>un</w:t>
      </w:r>
      <w:r>
        <w:rPr>
          <w:spacing w:val="-2"/>
          <w:sz w:val="20"/>
        </w:rPr>
        <w:t xml:space="preserve"> </w:t>
      </w:r>
      <w:r>
        <w:rPr>
          <w:sz w:val="20"/>
        </w:rPr>
        <w:t>máximo</w:t>
      </w:r>
      <w:r>
        <w:rPr>
          <w:spacing w:val="-2"/>
          <w:sz w:val="20"/>
        </w:rPr>
        <w:t xml:space="preserve"> </w:t>
      </w:r>
      <w:r>
        <w:rPr>
          <w:sz w:val="20"/>
        </w:rPr>
        <w:t>equivalente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mitad</w:t>
      </w:r>
      <w:r>
        <w:rPr>
          <w:spacing w:val="-2"/>
          <w:sz w:val="20"/>
        </w:rPr>
        <w:t xml:space="preserve"> </w:t>
      </w:r>
      <w:r>
        <w:rPr>
          <w:sz w:val="20"/>
        </w:rPr>
        <w:t>de</w:t>
      </w:r>
      <w:r>
        <w:rPr>
          <w:spacing w:val="-2"/>
          <w:sz w:val="20"/>
        </w:rPr>
        <w:t xml:space="preserve"> </w:t>
      </w:r>
      <w:r>
        <w:rPr>
          <w:sz w:val="20"/>
        </w:rPr>
        <w:t>aquel.</w:t>
      </w:r>
      <w:r>
        <w:rPr>
          <w:spacing w:val="-2"/>
          <w:sz w:val="20"/>
        </w:rPr>
        <w:t xml:space="preserve"> </w:t>
      </w:r>
      <w:r>
        <w:rPr>
          <w:sz w:val="20"/>
        </w:rPr>
        <w:t>El baremo de indemnizaciones será el siguiente:</w:t>
      </w:r>
    </w:p>
    <w:p w:rsidR="0092635B" w:rsidRDefault="00000000">
      <w:pPr>
        <w:pStyle w:val="Prrafodelista"/>
        <w:numPr>
          <w:ilvl w:val="1"/>
          <w:numId w:val="87"/>
        </w:numPr>
        <w:tabs>
          <w:tab w:val="left" w:pos="1685"/>
        </w:tabs>
        <w:spacing w:before="125" w:line="249" w:lineRule="auto"/>
        <w:ind w:right="1104" w:firstLine="340"/>
        <w:jc w:val="both"/>
        <w:rPr>
          <w:sz w:val="20"/>
        </w:rPr>
      </w:pPr>
      <w:r>
        <w:rPr>
          <w:sz w:val="20"/>
        </w:rPr>
        <w:t>En el supuesto de que la desviación sea de más del 20 por ciento y menos del 30 por ciento, la indemnización correspondiente será del 30 por ciento del precio de adjudicación</w:t>
      </w:r>
      <w:r>
        <w:rPr>
          <w:spacing w:val="40"/>
          <w:sz w:val="20"/>
        </w:rPr>
        <w:t xml:space="preserve"> </w:t>
      </w:r>
      <w:r>
        <w:rPr>
          <w:sz w:val="20"/>
        </w:rPr>
        <w:t>del contrato, IVA excluido.</w:t>
      </w:r>
    </w:p>
    <w:p w:rsidR="0092635B" w:rsidRDefault="00000000">
      <w:pPr>
        <w:pStyle w:val="Prrafodelista"/>
        <w:numPr>
          <w:ilvl w:val="1"/>
          <w:numId w:val="87"/>
        </w:numPr>
        <w:tabs>
          <w:tab w:val="left" w:pos="1685"/>
        </w:tabs>
        <w:spacing w:line="249" w:lineRule="auto"/>
        <w:ind w:right="1104" w:firstLine="340"/>
        <w:jc w:val="both"/>
        <w:rPr>
          <w:sz w:val="20"/>
        </w:rPr>
      </w:pPr>
      <w:r>
        <w:rPr>
          <w:sz w:val="20"/>
        </w:rPr>
        <w:t>En el supuesto de que la desviación sea de más del 30 por ciento y menos del 40 por ciento, la indemnización correspondiente será del 40 por ciento del precio de adjudicación</w:t>
      </w:r>
      <w:r>
        <w:rPr>
          <w:spacing w:val="40"/>
          <w:sz w:val="20"/>
        </w:rPr>
        <w:t xml:space="preserve"> </w:t>
      </w:r>
      <w:r>
        <w:rPr>
          <w:sz w:val="20"/>
        </w:rPr>
        <w:t>del contrato, IVA excluido.</w:t>
      </w:r>
    </w:p>
    <w:p w:rsidR="0092635B" w:rsidRDefault="00000000">
      <w:pPr>
        <w:pStyle w:val="Prrafodelista"/>
        <w:numPr>
          <w:ilvl w:val="1"/>
          <w:numId w:val="87"/>
        </w:numPr>
        <w:tabs>
          <w:tab w:val="left" w:pos="1686"/>
        </w:tabs>
        <w:spacing w:before="3" w:line="249" w:lineRule="auto"/>
        <w:ind w:right="1104" w:firstLine="340"/>
        <w:jc w:val="both"/>
        <w:rPr>
          <w:sz w:val="20"/>
        </w:rPr>
      </w:pPr>
      <w:r>
        <w:rPr>
          <w:sz w:val="20"/>
        </w:rPr>
        <w:t>En el supuesto de que la desviación sea de más del 40 por ciento, la indemnización correspondiente será del 50 por ciento del precio de adjudicación del contrato, IVA excluido.</w:t>
      </w:r>
    </w:p>
    <w:p w:rsidR="0092635B" w:rsidRDefault="00000000">
      <w:pPr>
        <w:pStyle w:val="Textoindependiente"/>
        <w:spacing w:before="121" w:line="249" w:lineRule="auto"/>
        <w:ind w:right="1104"/>
      </w:pPr>
      <w:r>
        <w:t>El contratista deberá abonar el importe de dicha indemnización en el plazo de un mes a partir de la notificación de la resolución correspondiente, que se adoptará, previa tramitación de expediente con audiencia del interesado.</w:t>
      </w:r>
    </w:p>
    <w:p w:rsidR="0092635B" w:rsidRDefault="00000000">
      <w:pPr>
        <w:pStyle w:val="Prrafodelista"/>
        <w:numPr>
          <w:ilvl w:val="0"/>
          <w:numId w:val="87"/>
        </w:numPr>
        <w:tabs>
          <w:tab w:val="left" w:pos="1683"/>
        </w:tabs>
        <w:spacing w:before="3" w:line="249" w:lineRule="auto"/>
        <w:ind w:right="1102" w:firstLine="340"/>
        <w:jc w:val="both"/>
        <w:rPr>
          <w:sz w:val="20"/>
        </w:rPr>
      </w:pPr>
      <w:r>
        <w:rPr>
          <w:sz w:val="20"/>
        </w:rPr>
        <w:t>Con independencia de lo previsto en el apartado anterior, en el artículo precedente y en el artículo 233.4, segundo párrafo, el contratista responderá de los daños y perjuicios que durante la ejecución o explotación de las obras se causen tanto al órgano de contratación como a terceros, por defectos e insuficiencias técnicas del proyecto o por los errores materiales, omisiones e infracciones de preceptos legales o reglamentarios en que el mismo haya incurrido, imputables a aquel.</w:t>
      </w:r>
    </w:p>
    <w:p w:rsidR="0092635B" w:rsidRDefault="00000000">
      <w:pPr>
        <w:pStyle w:val="Textoindependiente"/>
        <w:spacing w:before="5" w:line="249" w:lineRule="auto"/>
        <w:ind w:right="1103"/>
      </w:pPr>
      <w:r>
        <w:t>La indemnización derivada de la responsabilidad exigible al contratista alcanzará el 50 por ciento del importe de los daños y perjuicios causados, hasta un límite máximo de cinco veces el precio pactado por el proyecto y será exigible dentro del término de diez años, contados</w:t>
      </w:r>
      <w:r>
        <w:rPr>
          <w:spacing w:val="-2"/>
        </w:rPr>
        <w:t xml:space="preserve"> </w:t>
      </w:r>
      <w:r>
        <w:t>desde</w:t>
      </w:r>
      <w:r>
        <w:rPr>
          <w:spacing w:val="-2"/>
        </w:rPr>
        <w:t xml:space="preserve"> </w:t>
      </w:r>
      <w:r>
        <w:t>la</w:t>
      </w:r>
      <w:r>
        <w:rPr>
          <w:spacing w:val="-2"/>
        </w:rPr>
        <w:t xml:space="preserve"> </w:t>
      </w:r>
      <w:r>
        <w:t>recepción</w:t>
      </w:r>
      <w:r>
        <w:rPr>
          <w:spacing w:val="-2"/>
        </w:rPr>
        <w:t xml:space="preserve"> </w:t>
      </w:r>
      <w:r>
        <w:t>del</w:t>
      </w:r>
      <w:r>
        <w:rPr>
          <w:spacing w:val="-2"/>
        </w:rPr>
        <w:t xml:space="preserve"> </w:t>
      </w:r>
      <w:r>
        <w:t>mismo</w:t>
      </w:r>
      <w:r>
        <w:rPr>
          <w:spacing w:val="-2"/>
        </w:rPr>
        <w:t xml:space="preserve"> </w:t>
      </w:r>
      <w:r>
        <w:t>por</w:t>
      </w:r>
      <w:r>
        <w:rPr>
          <w:spacing w:val="-2"/>
        </w:rPr>
        <w:t xml:space="preserve"> </w:t>
      </w:r>
      <w:r>
        <w:t>la</w:t>
      </w:r>
      <w:r>
        <w:rPr>
          <w:spacing w:val="-2"/>
        </w:rPr>
        <w:t xml:space="preserve"> </w:t>
      </w:r>
      <w:r>
        <w:t>Administración,</w:t>
      </w:r>
      <w:r>
        <w:rPr>
          <w:spacing w:val="-2"/>
        </w:rPr>
        <w:t xml:space="preserve"> </w:t>
      </w:r>
      <w:r>
        <w:t>siendo</w:t>
      </w:r>
      <w:r>
        <w:rPr>
          <w:spacing w:val="-2"/>
        </w:rPr>
        <w:t xml:space="preserve"> </w:t>
      </w:r>
      <w:r>
        <w:t>a</w:t>
      </w:r>
      <w:r>
        <w:rPr>
          <w:spacing w:val="-2"/>
        </w:rPr>
        <w:t xml:space="preserve"> </w:t>
      </w:r>
      <w:r>
        <w:t>cargo</w:t>
      </w:r>
      <w:r>
        <w:rPr>
          <w:spacing w:val="-2"/>
        </w:rPr>
        <w:t xml:space="preserve"> </w:t>
      </w:r>
      <w:r>
        <w:t>de</w:t>
      </w:r>
      <w:r>
        <w:rPr>
          <w:spacing w:val="-2"/>
        </w:rPr>
        <w:t xml:space="preserve"> </w:t>
      </w:r>
      <w:r>
        <w:t>estas,</w:t>
      </w:r>
      <w:r>
        <w:rPr>
          <w:spacing w:val="-2"/>
        </w:rPr>
        <w:t xml:space="preserve"> </w:t>
      </w:r>
      <w:r>
        <w:t>en</w:t>
      </w:r>
      <w:r>
        <w:rPr>
          <w:spacing w:val="-2"/>
        </w:rPr>
        <w:t xml:space="preserve"> </w:t>
      </w:r>
      <w:r>
        <w:t>su caso, el resto de dicha indemnización cuando deba ser satisfecha a terceros.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528" w:name="LIBRO_TERCERO._De_los_contratos_de_otros"/>
      <w:bookmarkStart w:id="529" w:name="_bookmark108"/>
      <w:bookmarkEnd w:id="528"/>
      <w:bookmarkEnd w:id="529"/>
      <w:r>
        <w:t xml:space="preserve">LIBRO </w:t>
      </w:r>
      <w:r>
        <w:rPr>
          <w:spacing w:val="-2"/>
        </w:rPr>
        <w:t>TERCERO</w:t>
      </w:r>
    </w:p>
    <w:p w:rsidR="0092635B" w:rsidRDefault="00000000">
      <w:pPr>
        <w:pStyle w:val="Ttulo2"/>
      </w:pPr>
      <w:r>
        <w:t>De</w:t>
      </w:r>
      <w:r>
        <w:rPr>
          <w:spacing w:val="-4"/>
        </w:rPr>
        <w:t xml:space="preserve"> </w:t>
      </w:r>
      <w:r>
        <w:t>los</w:t>
      </w:r>
      <w:r>
        <w:rPr>
          <w:spacing w:val="-3"/>
        </w:rPr>
        <w:t xml:space="preserve"> </w:t>
      </w:r>
      <w:r>
        <w:t>contratos</w:t>
      </w:r>
      <w:r>
        <w:rPr>
          <w:spacing w:val="-3"/>
        </w:rPr>
        <w:t xml:space="preserve"> </w:t>
      </w:r>
      <w:r>
        <w:t>de</w:t>
      </w:r>
      <w:r>
        <w:rPr>
          <w:spacing w:val="-3"/>
        </w:rPr>
        <w:t xml:space="preserve"> </w:t>
      </w:r>
      <w:r>
        <w:t>otros</w:t>
      </w:r>
      <w:r>
        <w:rPr>
          <w:spacing w:val="-3"/>
        </w:rPr>
        <w:t xml:space="preserve"> </w:t>
      </w:r>
      <w:r>
        <w:t>entes</w:t>
      </w:r>
      <w:r>
        <w:rPr>
          <w:spacing w:val="-3"/>
        </w:rPr>
        <w:t xml:space="preserve"> </w:t>
      </w:r>
      <w:r>
        <w:t>del</w:t>
      </w:r>
      <w:r>
        <w:rPr>
          <w:spacing w:val="-3"/>
        </w:rPr>
        <w:t xml:space="preserve"> </w:t>
      </w:r>
      <w:r>
        <w:t>sector</w:t>
      </w:r>
      <w:r>
        <w:rPr>
          <w:spacing w:val="-3"/>
        </w:rPr>
        <w:t xml:space="preserve"> </w:t>
      </w:r>
      <w:r>
        <w:rPr>
          <w:spacing w:val="-2"/>
        </w:rPr>
        <w:t>público</w:t>
      </w:r>
    </w:p>
    <w:p w:rsidR="0092635B" w:rsidRDefault="0092635B">
      <w:pPr>
        <w:pStyle w:val="Textoindependiente"/>
        <w:spacing w:before="0"/>
        <w:ind w:left="0" w:firstLine="0"/>
        <w:jc w:val="left"/>
        <w:rPr>
          <w:rFonts w:ascii="Arial"/>
          <w:b/>
        </w:rPr>
      </w:pPr>
    </w:p>
    <w:p w:rsidR="0092635B" w:rsidRDefault="0092635B">
      <w:pPr>
        <w:pStyle w:val="Textoindependiente"/>
        <w:spacing w:before="3"/>
        <w:ind w:left="0" w:firstLine="0"/>
        <w:jc w:val="left"/>
        <w:rPr>
          <w:rFonts w:ascii="Arial"/>
          <w:b/>
        </w:rPr>
      </w:pPr>
    </w:p>
    <w:p w:rsidR="0092635B" w:rsidRDefault="00000000">
      <w:pPr>
        <w:pStyle w:val="Textoindependiente"/>
        <w:spacing w:before="1"/>
        <w:ind w:left="0" w:firstLine="0"/>
        <w:jc w:val="center"/>
      </w:pPr>
      <w:bookmarkStart w:id="530" w:name="TÍTULO_I._Contratos_de_los_poderes_adjud"/>
      <w:bookmarkStart w:id="531" w:name="_bookmark109"/>
      <w:bookmarkEnd w:id="530"/>
      <w:bookmarkEnd w:id="531"/>
      <w:r>
        <w:t xml:space="preserve">TÍTULO </w:t>
      </w:r>
      <w:r>
        <w:rPr>
          <w:spacing w:val="-10"/>
        </w:rPr>
        <w:t>I</w:t>
      </w:r>
    </w:p>
    <w:p w:rsidR="0092635B" w:rsidRDefault="00000000">
      <w:pPr>
        <w:pStyle w:val="Ttulo2"/>
        <w:spacing w:line="249" w:lineRule="auto"/>
        <w:ind w:left="1446" w:right="1445"/>
      </w:pPr>
      <w:r>
        <w:t>Contratos</w:t>
      </w:r>
      <w:r>
        <w:rPr>
          <w:spacing w:val="80"/>
        </w:rPr>
        <w:t xml:space="preserve"> </w:t>
      </w:r>
      <w:r>
        <w:t>de</w:t>
      </w:r>
      <w:r>
        <w:rPr>
          <w:spacing w:val="80"/>
        </w:rPr>
        <w:t xml:space="preserve"> </w:t>
      </w:r>
      <w:r>
        <w:t>los</w:t>
      </w:r>
      <w:r>
        <w:rPr>
          <w:spacing w:val="80"/>
        </w:rPr>
        <w:t xml:space="preserve"> </w:t>
      </w:r>
      <w:r>
        <w:t>poderes</w:t>
      </w:r>
      <w:r>
        <w:rPr>
          <w:spacing w:val="80"/>
        </w:rPr>
        <w:t xml:space="preserve"> </w:t>
      </w:r>
      <w:r>
        <w:t>adjudicadores</w:t>
      </w:r>
      <w:r>
        <w:rPr>
          <w:spacing w:val="80"/>
        </w:rPr>
        <w:t xml:space="preserve"> </w:t>
      </w:r>
      <w:r>
        <w:t>que</w:t>
      </w:r>
      <w:r>
        <w:rPr>
          <w:spacing w:val="80"/>
        </w:rPr>
        <w:t xml:space="preserve"> </w:t>
      </w:r>
      <w:r>
        <w:t>no</w:t>
      </w:r>
      <w:r>
        <w:rPr>
          <w:spacing w:val="80"/>
        </w:rPr>
        <w:t xml:space="preserve"> </w:t>
      </w:r>
      <w:r>
        <w:t>tengan</w:t>
      </w:r>
      <w:r>
        <w:rPr>
          <w:spacing w:val="80"/>
        </w:rPr>
        <w:t xml:space="preserve"> </w:t>
      </w:r>
      <w:r>
        <w:t>la</w:t>
      </w:r>
      <w:r>
        <w:rPr>
          <w:spacing w:val="80"/>
        </w:rPr>
        <w:t xml:space="preserve"> </w:t>
      </w:r>
      <w:r>
        <w:t>condición</w:t>
      </w:r>
      <w:r>
        <w:rPr>
          <w:spacing w:val="80"/>
        </w:rPr>
        <w:t xml:space="preserve"> </w:t>
      </w:r>
      <w:r>
        <w:t>de Administraciones Públicas</w:t>
      </w:r>
    </w:p>
    <w:p w:rsidR="0092635B" w:rsidRDefault="00000000">
      <w:pPr>
        <w:spacing w:before="228"/>
        <w:ind w:left="1106"/>
        <w:rPr>
          <w:rFonts w:ascii="Arial" w:hAnsi="Arial"/>
          <w:i/>
          <w:sz w:val="20"/>
        </w:rPr>
      </w:pPr>
      <w:bookmarkStart w:id="532" w:name="Artículo_316._Régimen_jurídico."/>
      <w:bookmarkEnd w:id="532"/>
      <w:r>
        <w:rPr>
          <w:rFonts w:ascii="Arial" w:hAnsi="Arial"/>
          <w:b/>
          <w:sz w:val="20"/>
        </w:rPr>
        <w:t>Artículo</w:t>
      </w:r>
      <w:r>
        <w:rPr>
          <w:rFonts w:ascii="Arial" w:hAnsi="Arial"/>
          <w:b/>
          <w:spacing w:val="-2"/>
          <w:sz w:val="20"/>
        </w:rPr>
        <w:t xml:space="preserve"> </w:t>
      </w:r>
      <w:r>
        <w:rPr>
          <w:rFonts w:ascii="Arial" w:hAnsi="Arial"/>
          <w:b/>
          <w:sz w:val="20"/>
        </w:rPr>
        <w:t>316.</w:t>
      </w:r>
      <w:r>
        <w:rPr>
          <w:rFonts w:ascii="Arial" w:hAnsi="Arial"/>
          <w:b/>
          <w:spacing w:val="51"/>
          <w:sz w:val="20"/>
        </w:rPr>
        <w:t xml:space="preserve"> </w:t>
      </w:r>
      <w:r>
        <w:rPr>
          <w:rFonts w:ascii="Arial" w:hAnsi="Arial"/>
          <w:i/>
          <w:sz w:val="20"/>
        </w:rPr>
        <w:t>Régimen</w:t>
      </w:r>
      <w:r>
        <w:rPr>
          <w:rFonts w:ascii="Arial" w:hAnsi="Arial"/>
          <w:i/>
          <w:spacing w:val="-1"/>
          <w:sz w:val="20"/>
        </w:rPr>
        <w:t xml:space="preserve"> </w:t>
      </w:r>
      <w:r>
        <w:rPr>
          <w:rFonts w:ascii="Arial" w:hAnsi="Arial"/>
          <w:i/>
          <w:spacing w:val="-2"/>
          <w:sz w:val="20"/>
        </w:rPr>
        <w:t>jurídico.</w:t>
      </w:r>
    </w:p>
    <w:p w:rsidR="0092635B" w:rsidRDefault="00000000">
      <w:pPr>
        <w:pStyle w:val="Textoindependiente"/>
        <w:spacing w:before="124" w:line="249" w:lineRule="auto"/>
        <w:ind w:right="1103"/>
      </w:pPr>
      <w:r>
        <w:t>Los contratos de los poderes adjudicadores que no tengan la condición de Administraciones Públicas se regirán por las normas del presente Título.</w:t>
      </w:r>
    </w:p>
    <w:p w:rsidR="0092635B" w:rsidRDefault="00000000">
      <w:pPr>
        <w:spacing w:before="228"/>
        <w:ind w:left="1106"/>
        <w:rPr>
          <w:rFonts w:ascii="Arial" w:hAnsi="Arial"/>
          <w:i/>
          <w:sz w:val="20"/>
        </w:rPr>
      </w:pPr>
      <w:bookmarkStart w:id="533" w:name="Artículo_317._Preparación_y_adjudicación"/>
      <w:bookmarkEnd w:id="533"/>
      <w:r>
        <w:rPr>
          <w:rFonts w:ascii="Arial" w:hAnsi="Arial"/>
          <w:b/>
          <w:sz w:val="20"/>
        </w:rPr>
        <w:t>Artículo</w:t>
      </w:r>
      <w:r>
        <w:rPr>
          <w:rFonts w:ascii="Arial" w:hAnsi="Arial"/>
          <w:b/>
          <w:spacing w:val="-3"/>
          <w:sz w:val="20"/>
        </w:rPr>
        <w:t xml:space="preserve"> </w:t>
      </w:r>
      <w:r>
        <w:rPr>
          <w:rFonts w:ascii="Arial" w:hAnsi="Arial"/>
          <w:b/>
          <w:sz w:val="20"/>
        </w:rPr>
        <w:t>317.</w:t>
      </w:r>
      <w:r>
        <w:rPr>
          <w:rFonts w:ascii="Arial" w:hAnsi="Arial"/>
          <w:b/>
          <w:spacing w:val="49"/>
          <w:sz w:val="20"/>
        </w:rPr>
        <w:t xml:space="preserve"> </w:t>
      </w:r>
      <w:r>
        <w:rPr>
          <w:rFonts w:ascii="Arial" w:hAnsi="Arial"/>
          <w:i/>
          <w:sz w:val="20"/>
        </w:rPr>
        <w:t>Preparación</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adjudicación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2"/>
          <w:sz w:val="20"/>
        </w:rPr>
        <w:t xml:space="preserve"> </w:t>
      </w:r>
      <w:r>
        <w:rPr>
          <w:rFonts w:ascii="Arial" w:hAnsi="Arial"/>
          <w:i/>
          <w:sz w:val="20"/>
        </w:rPr>
        <w:t>contratos</w:t>
      </w:r>
      <w:r>
        <w:rPr>
          <w:rFonts w:ascii="Arial" w:hAnsi="Arial"/>
          <w:i/>
          <w:spacing w:val="-3"/>
          <w:sz w:val="20"/>
        </w:rPr>
        <w:t xml:space="preserve"> </w:t>
      </w:r>
      <w:r>
        <w:rPr>
          <w:rFonts w:ascii="Arial" w:hAnsi="Arial"/>
          <w:i/>
          <w:sz w:val="20"/>
        </w:rPr>
        <w:t>sujetos</w:t>
      </w:r>
      <w:r>
        <w:rPr>
          <w:rFonts w:ascii="Arial" w:hAnsi="Arial"/>
          <w:i/>
          <w:spacing w:val="-2"/>
          <w:sz w:val="20"/>
        </w:rPr>
        <w:t xml:space="preserve"> </w:t>
      </w:r>
      <w:r>
        <w:rPr>
          <w:rFonts w:ascii="Arial" w:hAnsi="Arial"/>
          <w:i/>
          <w:sz w:val="20"/>
        </w:rPr>
        <w:t>a</w:t>
      </w:r>
      <w:r>
        <w:rPr>
          <w:rFonts w:ascii="Arial" w:hAnsi="Arial"/>
          <w:i/>
          <w:spacing w:val="-3"/>
          <w:sz w:val="20"/>
        </w:rPr>
        <w:t xml:space="preserve"> </w:t>
      </w:r>
      <w:r>
        <w:rPr>
          <w:rFonts w:ascii="Arial" w:hAnsi="Arial"/>
          <w:i/>
          <w:sz w:val="20"/>
        </w:rPr>
        <w:t>regulación</w:t>
      </w:r>
      <w:r>
        <w:rPr>
          <w:rFonts w:ascii="Arial" w:hAnsi="Arial"/>
          <w:i/>
          <w:spacing w:val="-2"/>
          <w:sz w:val="20"/>
        </w:rPr>
        <w:t xml:space="preserve"> armonizada.</w:t>
      </w:r>
    </w:p>
    <w:p w:rsidR="0092635B" w:rsidRDefault="00000000">
      <w:pPr>
        <w:pStyle w:val="Textoindependiente"/>
        <w:spacing w:before="124" w:line="249" w:lineRule="auto"/>
        <w:ind w:right="1104"/>
      </w:pPr>
      <w:r>
        <w:t xml:space="preserve">La preparación y adjudicación de los contratos sujetos a regulación armonizada que concierten los poderes adjudicadores a que se refiere el presente Título se regirán por las normas establecidas en las Secciones 1.ª y 2.ª del Capítulo I del Título I del Libro II de esta </w:t>
      </w:r>
      <w:r>
        <w:rPr>
          <w:spacing w:val="-4"/>
        </w:rPr>
        <w:t>Ley.</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534" w:name="Artículo_318._Adjudicación_de_contratos_"/>
      <w:bookmarkEnd w:id="534"/>
      <w:r>
        <w:rPr>
          <w:rFonts w:ascii="Arial" w:hAnsi="Arial"/>
          <w:b/>
          <w:sz w:val="20"/>
        </w:rPr>
        <w:t>Artículo</w:t>
      </w:r>
      <w:r>
        <w:rPr>
          <w:rFonts w:ascii="Arial" w:hAnsi="Arial"/>
          <w:b/>
          <w:spacing w:val="-5"/>
          <w:sz w:val="20"/>
        </w:rPr>
        <w:t xml:space="preserve"> </w:t>
      </w:r>
      <w:r>
        <w:rPr>
          <w:rFonts w:ascii="Arial" w:hAnsi="Arial"/>
          <w:b/>
          <w:sz w:val="20"/>
        </w:rPr>
        <w:t>318.</w:t>
      </w:r>
      <w:r>
        <w:rPr>
          <w:rFonts w:ascii="Arial" w:hAnsi="Arial"/>
          <w:b/>
          <w:spacing w:val="50"/>
          <w:sz w:val="20"/>
        </w:rPr>
        <w:t xml:space="preserve"> </w:t>
      </w:r>
      <w:r>
        <w:rPr>
          <w:rFonts w:ascii="Arial" w:hAnsi="Arial"/>
          <w:i/>
          <w:sz w:val="20"/>
        </w:rPr>
        <w:t>Adjudicación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contratos</w:t>
      </w:r>
      <w:r>
        <w:rPr>
          <w:rFonts w:ascii="Arial" w:hAnsi="Arial"/>
          <w:i/>
          <w:spacing w:val="-3"/>
          <w:sz w:val="20"/>
        </w:rPr>
        <w:t xml:space="preserve"> </w:t>
      </w:r>
      <w:r>
        <w:rPr>
          <w:rFonts w:ascii="Arial" w:hAnsi="Arial"/>
          <w:i/>
          <w:sz w:val="20"/>
        </w:rPr>
        <w:t>no</w:t>
      </w:r>
      <w:r>
        <w:rPr>
          <w:rFonts w:ascii="Arial" w:hAnsi="Arial"/>
          <w:i/>
          <w:spacing w:val="-2"/>
          <w:sz w:val="20"/>
        </w:rPr>
        <w:t xml:space="preserve"> </w:t>
      </w:r>
      <w:r>
        <w:rPr>
          <w:rFonts w:ascii="Arial" w:hAnsi="Arial"/>
          <w:i/>
          <w:sz w:val="20"/>
        </w:rPr>
        <w:t>sujetos</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regulación</w:t>
      </w:r>
      <w:r>
        <w:rPr>
          <w:rFonts w:ascii="Arial" w:hAnsi="Arial"/>
          <w:i/>
          <w:spacing w:val="-2"/>
          <w:sz w:val="20"/>
        </w:rPr>
        <w:t xml:space="preserve"> armonizada.</w:t>
      </w:r>
    </w:p>
    <w:p w:rsidR="0092635B" w:rsidRDefault="00000000">
      <w:pPr>
        <w:pStyle w:val="Textoindependiente"/>
        <w:spacing w:before="123" w:line="249" w:lineRule="auto"/>
        <w:ind w:right="1105"/>
      </w:pPr>
      <w:r>
        <w:t>En la adjudicación de contratos no sujetos a regulación armonizada se aplicarán las siguientes disposiciones:</w:t>
      </w:r>
    </w:p>
    <w:p w:rsidR="0092635B" w:rsidRDefault="00000000">
      <w:pPr>
        <w:pStyle w:val="Prrafodelista"/>
        <w:numPr>
          <w:ilvl w:val="0"/>
          <w:numId w:val="86"/>
        </w:numPr>
        <w:tabs>
          <w:tab w:val="left" w:pos="1690"/>
        </w:tabs>
        <w:spacing w:before="122" w:line="249" w:lineRule="auto"/>
        <w:ind w:right="1102" w:firstLine="340"/>
        <w:jc w:val="both"/>
        <w:rPr>
          <w:sz w:val="20"/>
        </w:rPr>
      </w:pPr>
      <w:r>
        <w:rPr>
          <w:sz w:val="20"/>
        </w:rPr>
        <w:t>Los contratos de valor estimado inferior a 40.000 euros, cuando se trate de contratos de obras, de concesiones de obras y concesiones de servicios, o a 15.000 euros, cuando se trate de contratos de servicios y suministros, podrán adjudicarse directamente a cualquier empresario con capacidad de obrar y que cuente con la habilitación profesional necesaria para realizar la prestación objeto del contrato.</w:t>
      </w:r>
    </w:p>
    <w:p w:rsidR="0092635B" w:rsidRDefault="00000000">
      <w:pPr>
        <w:pStyle w:val="Prrafodelista"/>
        <w:numPr>
          <w:ilvl w:val="0"/>
          <w:numId w:val="86"/>
        </w:numPr>
        <w:tabs>
          <w:tab w:val="left" w:pos="1695"/>
        </w:tabs>
        <w:spacing w:before="4" w:line="249" w:lineRule="auto"/>
        <w:ind w:firstLine="340"/>
        <w:jc w:val="both"/>
        <w:rPr>
          <w:sz w:val="20"/>
        </w:rPr>
      </w:pPr>
      <w:r>
        <w:rPr>
          <w:sz w:val="20"/>
        </w:rPr>
        <w:t>Los contratos de obras, concesiones de obras y concesiones de servicios cuyo valor estimado sea igual o superior a 40.000 euros e inferior a 5.538.000 euros y los contratos de servicios y suministros de valor estimado superior a 15.000 euros e inferior a 221.000 euros, se podrán adjudicar por cualquiera de los procedimientos previstos en la Sección 2.ª del Capítulo</w:t>
      </w:r>
      <w:r>
        <w:rPr>
          <w:spacing w:val="-1"/>
          <w:sz w:val="20"/>
        </w:rPr>
        <w:t xml:space="preserve"> </w:t>
      </w:r>
      <w:r>
        <w:rPr>
          <w:sz w:val="20"/>
        </w:rPr>
        <w:t>I</w:t>
      </w:r>
      <w:r>
        <w:rPr>
          <w:spacing w:val="-1"/>
          <w:sz w:val="20"/>
        </w:rPr>
        <w:t xml:space="preserve"> </w:t>
      </w:r>
      <w:r>
        <w:rPr>
          <w:sz w:val="20"/>
        </w:rPr>
        <w:t>del</w:t>
      </w:r>
      <w:r>
        <w:rPr>
          <w:spacing w:val="-1"/>
          <w:sz w:val="20"/>
        </w:rPr>
        <w:t xml:space="preserve"> </w:t>
      </w:r>
      <w:r>
        <w:rPr>
          <w:sz w:val="20"/>
        </w:rPr>
        <w:t>Título</w:t>
      </w:r>
      <w:r>
        <w:rPr>
          <w:spacing w:val="-1"/>
          <w:sz w:val="20"/>
        </w:rPr>
        <w:t xml:space="preserve"> </w:t>
      </w:r>
      <w:r>
        <w:rPr>
          <w:sz w:val="20"/>
        </w:rPr>
        <w:t>I</w:t>
      </w:r>
      <w:r>
        <w:rPr>
          <w:spacing w:val="-1"/>
          <w:sz w:val="20"/>
        </w:rPr>
        <w:t xml:space="preserve"> </w:t>
      </w:r>
      <w:r>
        <w:rPr>
          <w:sz w:val="20"/>
        </w:rPr>
        <w:t>del</w:t>
      </w:r>
      <w:r>
        <w:rPr>
          <w:spacing w:val="-1"/>
          <w:sz w:val="20"/>
        </w:rPr>
        <w:t xml:space="preserve"> </w:t>
      </w:r>
      <w:r>
        <w:rPr>
          <w:sz w:val="20"/>
        </w:rPr>
        <w:t>Libro</w:t>
      </w:r>
      <w:r>
        <w:rPr>
          <w:spacing w:val="-1"/>
          <w:sz w:val="20"/>
        </w:rPr>
        <w:t xml:space="preserve"> </w:t>
      </w:r>
      <w:r>
        <w:rPr>
          <w:sz w:val="20"/>
        </w:rPr>
        <w:t>Segundo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presente</w:t>
      </w:r>
      <w:r>
        <w:rPr>
          <w:spacing w:val="-1"/>
          <w:sz w:val="20"/>
        </w:rPr>
        <w:t xml:space="preserve"> </w:t>
      </w:r>
      <w:r>
        <w:rPr>
          <w:sz w:val="20"/>
        </w:rPr>
        <w:t>Ley,</w:t>
      </w:r>
      <w:r>
        <w:rPr>
          <w:spacing w:val="-1"/>
          <w:sz w:val="20"/>
        </w:rPr>
        <w:t xml:space="preserve"> </w:t>
      </w:r>
      <w:r>
        <w:rPr>
          <w:sz w:val="20"/>
        </w:rPr>
        <w:t>con</w:t>
      </w:r>
      <w:r>
        <w:rPr>
          <w:spacing w:val="-1"/>
          <w:sz w:val="20"/>
        </w:rPr>
        <w:t xml:space="preserve"> </w:t>
      </w:r>
      <w:r>
        <w:rPr>
          <w:sz w:val="20"/>
        </w:rPr>
        <w:t>excepción</w:t>
      </w:r>
      <w:r>
        <w:rPr>
          <w:spacing w:val="-1"/>
          <w:sz w:val="20"/>
        </w:rPr>
        <w:t xml:space="preserve"> </w:t>
      </w:r>
      <w:r>
        <w:rPr>
          <w:sz w:val="20"/>
        </w:rPr>
        <w:t>del</w:t>
      </w:r>
      <w:r>
        <w:rPr>
          <w:spacing w:val="-1"/>
          <w:sz w:val="20"/>
        </w:rPr>
        <w:t xml:space="preserve"> </w:t>
      </w:r>
      <w:r>
        <w:rPr>
          <w:sz w:val="20"/>
        </w:rPr>
        <w:t>procedimiento negociado sin publicidad, que únicamente se podrá utilizar en los casos previstos en el artículo 168.</w:t>
      </w:r>
    </w:p>
    <w:p w:rsidR="0092635B" w:rsidRDefault="0092635B">
      <w:pPr>
        <w:pStyle w:val="Textoindependiente"/>
        <w:ind w:left="0" w:firstLine="0"/>
        <w:jc w:val="left"/>
      </w:pPr>
    </w:p>
    <w:p w:rsidR="0092635B" w:rsidRDefault="00000000">
      <w:pPr>
        <w:ind w:left="1106"/>
        <w:rPr>
          <w:rFonts w:ascii="Arial" w:hAnsi="Arial"/>
          <w:i/>
          <w:sz w:val="20"/>
        </w:rPr>
      </w:pPr>
      <w:bookmarkStart w:id="535" w:name="Artículo_319._Efectos_y_extinción."/>
      <w:bookmarkEnd w:id="535"/>
      <w:r>
        <w:rPr>
          <w:rFonts w:ascii="Arial" w:hAnsi="Arial"/>
          <w:b/>
          <w:sz w:val="20"/>
        </w:rPr>
        <w:t>Artículo 319.</w:t>
      </w:r>
      <w:r>
        <w:rPr>
          <w:rFonts w:ascii="Arial" w:hAnsi="Arial"/>
          <w:b/>
          <w:spacing w:val="54"/>
          <w:sz w:val="20"/>
        </w:rPr>
        <w:t xml:space="preserve"> </w:t>
      </w:r>
      <w:r>
        <w:rPr>
          <w:rFonts w:ascii="Arial" w:hAnsi="Arial"/>
          <w:i/>
          <w:sz w:val="20"/>
        </w:rPr>
        <w:t xml:space="preserve">Efectos y </w:t>
      </w:r>
      <w:r>
        <w:rPr>
          <w:rFonts w:ascii="Arial" w:hAnsi="Arial"/>
          <w:i/>
          <w:spacing w:val="-2"/>
          <w:sz w:val="20"/>
        </w:rPr>
        <w:t>extinción.</w:t>
      </w:r>
    </w:p>
    <w:p w:rsidR="0092635B" w:rsidRDefault="00000000">
      <w:pPr>
        <w:pStyle w:val="Prrafodelista"/>
        <w:numPr>
          <w:ilvl w:val="0"/>
          <w:numId w:val="85"/>
        </w:numPr>
        <w:tabs>
          <w:tab w:val="left" w:pos="1673"/>
        </w:tabs>
        <w:spacing w:before="124" w:line="249" w:lineRule="auto"/>
        <w:ind w:right="1102" w:firstLine="340"/>
        <w:jc w:val="both"/>
        <w:rPr>
          <w:sz w:val="20"/>
        </w:rPr>
      </w:pPr>
      <w:r>
        <w:rPr>
          <w:sz w:val="20"/>
        </w:rPr>
        <w:t>Los efectos y extinción de los contratos celebrados por los poderes adjudicadores que no pertenezcan a la categoría de Administraciones Públicas se regirán por normas de derecho privado. No obstante lo anterior, le será aplicable lo dispuesto en los artículos 201 sobre obligaciones en materia medioambiental, social o laboral; 202 sobre condiciones especiales de ejecución; 203 a 205 sobre supuestos de modificación del contrato; 214 a 217 sobre cesión y subcontratación; y 218 a 228 sobre racionalización técnica de la contratación; así como las condiciones de pago establecidas en los apartados 4.º del artículo 198, 4.º del artículo 210 y 1.º del artículo 243.</w:t>
      </w:r>
    </w:p>
    <w:p w:rsidR="0092635B" w:rsidRDefault="00000000">
      <w:pPr>
        <w:pStyle w:val="Textoindependiente"/>
        <w:spacing w:before="6" w:line="249" w:lineRule="auto"/>
        <w:ind w:right="1103"/>
      </w:pPr>
      <w:r>
        <w:t>Asimismo, en los casos en que la modificación del contrato no estuviera prevista en el pliego de cláusulas administrativas particulares, siempre que su importe sea igual o superior a</w:t>
      </w:r>
      <w:r>
        <w:rPr>
          <w:spacing w:val="-1"/>
        </w:rPr>
        <w:t xml:space="preserve"> </w:t>
      </w:r>
      <w:r>
        <w:t>6.000.000</w:t>
      </w:r>
      <w:r>
        <w:rPr>
          <w:spacing w:val="-1"/>
        </w:rPr>
        <w:t xml:space="preserve"> </w:t>
      </w:r>
      <w:r>
        <w:t>de</w:t>
      </w:r>
      <w:r>
        <w:rPr>
          <w:spacing w:val="-1"/>
        </w:rPr>
        <w:t xml:space="preserve"> </w:t>
      </w:r>
      <w:r>
        <w:t>euros</w:t>
      </w:r>
      <w:r>
        <w:rPr>
          <w:spacing w:val="-1"/>
        </w:rPr>
        <w:t xml:space="preserve"> </w:t>
      </w:r>
      <w:r>
        <w:t>y</w:t>
      </w:r>
      <w:r>
        <w:rPr>
          <w:spacing w:val="-1"/>
        </w:rPr>
        <w:t xml:space="preserve"> </w:t>
      </w:r>
      <w:r>
        <w:t>la</w:t>
      </w:r>
      <w:r>
        <w:rPr>
          <w:spacing w:val="-1"/>
        </w:rPr>
        <w:t xml:space="preserve"> </w:t>
      </w:r>
      <w:r>
        <w:t>cuantía</w:t>
      </w:r>
      <w:r>
        <w:rPr>
          <w:spacing w:val="-1"/>
        </w:rPr>
        <w:t xml:space="preserve"> </w:t>
      </w:r>
      <w:r>
        <w:t>de</w:t>
      </w:r>
      <w:r>
        <w:rPr>
          <w:spacing w:val="-1"/>
        </w:rPr>
        <w:t xml:space="preserve"> </w:t>
      </w:r>
      <w:r>
        <w:t>la</w:t>
      </w:r>
      <w:r>
        <w:rPr>
          <w:spacing w:val="-1"/>
        </w:rPr>
        <w:t xml:space="preserve"> </w:t>
      </w:r>
      <w:r>
        <w:t>modificación,</w:t>
      </w:r>
      <w:r>
        <w:rPr>
          <w:spacing w:val="-1"/>
        </w:rPr>
        <w:t xml:space="preserve"> </w:t>
      </w:r>
      <w:r>
        <w:t>aislada</w:t>
      </w:r>
      <w:r>
        <w:rPr>
          <w:spacing w:val="-1"/>
        </w:rPr>
        <w:t xml:space="preserve"> </w:t>
      </w:r>
      <w:r>
        <w:t>o</w:t>
      </w:r>
      <w:r>
        <w:rPr>
          <w:spacing w:val="-1"/>
        </w:rPr>
        <w:t xml:space="preserve"> </w:t>
      </w:r>
      <w:r>
        <w:t>conjuntamente,</w:t>
      </w:r>
      <w:r>
        <w:rPr>
          <w:spacing w:val="-1"/>
        </w:rPr>
        <w:t xml:space="preserve"> </w:t>
      </w:r>
      <w:r>
        <w:t>fuera</w:t>
      </w:r>
      <w:r>
        <w:rPr>
          <w:spacing w:val="-1"/>
        </w:rPr>
        <w:t xml:space="preserve"> </w:t>
      </w:r>
      <w:r>
        <w:t>superior a un 20 por ciento del precio inicial del contrato, IVA excluido, será necesaria la autorización del Departamento ministerial u órgano de la administración autonómica o local al que esté adscrita o corresponda la tutela de la entidad contratante, previo dictamen preceptivo del Consejo de Estado u órgano consultivo equivalente de la Comunidad Autónoma.</w:t>
      </w:r>
    </w:p>
    <w:p w:rsidR="0092635B" w:rsidRDefault="00000000">
      <w:pPr>
        <w:pStyle w:val="Prrafodelista"/>
        <w:numPr>
          <w:ilvl w:val="0"/>
          <w:numId w:val="85"/>
        </w:numPr>
        <w:tabs>
          <w:tab w:val="left" w:pos="1675"/>
        </w:tabs>
        <w:spacing w:before="6" w:line="249" w:lineRule="auto"/>
        <w:ind w:firstLine="340"/>
        <w:jc w:val="both"/>
        <w:rPr>
          <w:sz w:val="20"/>
        </w:rPr>
      </w:pPr>
      <w:r>
        <w:rPr>
          <w:sz w:val="20"/>
        </w:rPr>
        <w:t>En estos contratos será en todo caso causa de resolución la imposibilidad de ejecutar la prestación en los términos inicialmente pactados, cuando no sea posible modificar el contrato conforme a los artículos 204 y 205 así como la recogida en la letra i) del artículo</w:t>
      </w:r>
      <w:r>
        <w:rPr>
          <w:spacing w:val="40"/>
          <w:sz w:val="20"/>
        </w:rPr>
        <w:t xml:space="preserve"> </w:t>
      </w:r>
      <w:r>
        <w:rPr>
          <w:spacing w:val="-4"/>
          <w:sz w:val="20"/>
        </w:rPr>
        <w:t>211.</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A</w:t>
      </w:r>
      <w:r>
        <w:rPr>
          <w:spacing w:val="-1"/>
        </w:rPr>
        <w:t xml:space="preserve"> </w:t>
      </w:r>
      <w:r>
        <w:t>los</w:t>
      </w:r>
      <w:r>
        <w:rPr>
          <w:spacing w:val="-1"/>
        </w:rPr>
        <w:t xml:space="preserve"> </w:t>
      </w:r>
      <w:r>
        <w:t>contratos</w:t>
      </w:r>
      <w:r>
        <w:rPr>
          <w:spacing w:val="-1"/>
        </w:rPr>
        <w:t xml:space="preserve"> </w:t>
      </w:r>
      <w:r>
        <w:t>de</w:t>
      </w:r>
      <w:r>
        <w:rPr>
          <w:spacing w:val="-1"/>
        </w:rPr>
        <w:t xml:space="preserve"> </w:t>
      </w:r>
      <w:r>
        <w:t>concesión</w:t>
      </w:r>
      <w:r>
        <w:rPr>
          <w:spacing w:val="-1"/>
        </w:rPr>
        <w:t xml:space="preserve"> </w:t>
      </w:r>
      <w:r>
        <w:t>de</w:t>
      </w:r>
      <w:r>
        <w:rPr>
          <w:spacing w:val="-1"/>
        </w:rPr>
        <w:t xml:space="preserve"> </w:t>
      </w:r>
      <w:r>
        <w:t>obras</w:t>
      </w:r>
      <w:r>
        <w:rPr>
          <w:spacing w:val="-1"/>
        </w:rPr>
        <w:t xml:space="preserve"> </w:t>
      </w:r>
      <w:r>
        <w:t>y</w:t>
      </w:r>
      <w:r>
        <w:rPr>
          <w:spacing w:val="-1"/>
        </w:rPr>
        <w:t xml:space="preserve"> </w:t>
      </w:r>
      <w:r>
        <w:t>concesión</w:t>
      </w:r>
      <w:r>
        <w:rPr>
          <w:spacing w:val="-1"/>
        </w:rPr>
        <w:t xml:space="preserve"> </w:t>
      </w:r>
      <w:r>
        <w:t>de</w:t>
      </w:r>
      <w:r>
        <w:rPr>
          <w:spacing w:val="-1"/>
        </w:rPr>
        <w:t xml:space="preserve"> </w:t>
      </w:r>
      <w:r>
        <w:t>servicios</w:t>
      </w:r>
      <w:r>
        <w:rPr>
          <w:spacing w:val="-1"/>
        </w:rPr>
        <w:t xml:space="preserve"> </w:t>
      </w:r>
      <w:r>
        <w:t>les</w:t>
      </w:r>
      <w:r>
        <w:rPr>
          <w:spacing w:val="-1"/>
        </w:rPr>
        <w:t xml:space="preserve"> </w:t>
      </w:r>
      <w:r>
        <w:t>será</w:t>
      </w:r>
      <w:r>
        <w:rPr>
          <w:spacing w:val="-1"/>
        </w:rPr>
        <w:t xml:space="preserve"> </w:t>
      </w:r>
      <w:r>
        <w:t>de</w:t>
      </w:r>
      <w:r>
        <w:rPr>
          <w:spacing w:val="-1"/>
        </w:rPr>
        <w:t xml:space="preserve"> </w:t>
      </w:r>
      <w:r>
        <w:t>aplicación</w:t>
      </w:r>
      <w:r>
        <w:rPr>
          <w:spacing w:val="-1"/>
        </w:rPr>
        <w:t xml:space="preserve"> </w:t>
      </w:r>
      <w:r>
        <w:t>las causas de resolución establecidas en los artículos 279 y 294, para cada uno de ellos. No obstante lo anterior, el rescate de la obra o el servicio, la supresión de su explotación así como el secuestro o intervención de los mismos, se tendrá que acordar por el Departamento ministerial u órgano de la administración autonómica o local al que esté adscrita o corresponda la tutela del poder adjudicador.</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536" w:name="Artículo_320._De_la_responsabilidad_del_"/>
      <w:bookmarkEnd w:id="536"/>
      <w:r>
        <w:rPr>
          <w:rFonts w:ascii="Arial" w:hAnsi="Arial"/>
          <w:b/>
          <w:sz w:val="20"/>
        </w:rPr>
        <w:t>Artículo</w:t>
      </w:r>
      <w:r>
        <w:rPr>
          <w:rFonts w:ascii="Arial" w:hAnsi="Arial"/>
          <w:b/>
          <w:spacing w:val="-3"/>
          <w:sz w:val="20"/>
        </w:rPr>
        <w:t xml:space="preserve"> </w:t>
      </w:r>
      <w:r>
        <w:rPr>
          <w:rFonts w:ascii="Arial" w:hAnsi="Arial"/>
          <w:b/>
          <w:sz w:val="20"/>
        </w:rPr>
        <w:t>320.</w:t>
      </w:r>
      <w:r>
        <w:rPr>
          <w:rFonts w:ascii="Arial" w:hAnsi="Arial"/>
          <w:b/>
          <w:spacing w:val="50"/>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responsabilidad</w:t>
      </w:r>
      <w:r>
        <w:rPr>
          <w:rFonts w:ascii="Arial" w:hAnsi="Arial"/>
          <w:i/>
          <w:spacing w:val="-2"/>
          <w:sz w:val="20"/>
        </w:rPr>
        <w:t xml:space="preserve"> </w:t>
      </w:r>
      <w:r>
        <w:rPr>
          <w:rFonts w:ascii="Arial" w:hAnsi="Arial"/>
          <w:i/>
          <w:sz w:val="20"/>
        </w:rPr>
        <w:t>del</w:t>
      </w:r>
      <w:r>
        <w:rPr>
          <w:rFonts w:ascii="Arial" w:hAnsi="Arial"/>
          <w:i/>
          <w:spacing w:val="-3"/>
          <w:sz w:val="20"/>
        </w:rPr>
        <w:t xml:space="preserve"> </w:t>
      </w:r>
      <w:r>
        <w:rPr>
          <w:rFonts w:ascii="Arial" w:hAnsi="Arial"/>
          <w:i/>
          <w:sz w:val="20"/>
        </w:rPr>
        <w:t>contratista</w:t>
      </w:r>
      <w:r>
        <w:rPr>
          <w:rFonts w:ascii="Arial" w:hAnsi="Arial"/>
          <w:i/>
          <w:spacing w:val="-2"/>
          <w:sz w:val="20"/>
        </w:rPr>
        <w:t xml:space="preserve"> </w:t>
      </w:r>
      <w:r>
        <w:rPr>
          <w:rFonts w:ascii="Arial" w:hAnsi="Arial"/>
          <w:i/>
          <w:sz w:val="20"/>
        </w:rPr>
        <w:t>por</w:t>
      </w:r>
      <w:r>
        <w:rPr>
          <w:rFonts w:ascii="Arial" w:hAnsi="Arial"/>
          <w:i/>
          <w:spacing w:val="-2"/>
          <w:sz w:val="20"/>
        </w:rPr>
        <w:t xml:space="preserve"> </w:t>
      </w:r>
      <w:r>
        <w:rPr>
          <w:rFonts w:ascii="Arial" w:hAnsi="Arial"/>
          <w:i/>
          <w:sz w:val="20"/>
        </w:rPr>
        <w:t>defectos</w:t>
      </w:r>
      <w:r>
        <w:rPr>
          <w:rFonts w:ascii="Arial" w:hAnsi="Arial"/>
          <w:i/>
          <w:spacing w:val="-3"/>
          <w:sz w:val="20"/>
        </w:rPr>
        <w:t xml:space="preserve"> </w:t>
      </w:r>
      <w:r>
        <w:rPr>
          <w:rFonts w:ascii="Arial" w:hAnsi="Arial"/>
          <w:i/>
          <w:sz w:val="20"/>
        </w:rPr>
        <w:t>o</w:t>
      </w:r>
      <w:r>
        <w:rPr>
          <w:rFonts w:ascii="Arial" w:hAnsi="Arial"/>
          <w:i/>
          <w:spacing w:val="-2"/>
          <w:sz w:val="20"/>
        </w:rPr>
        <w:t xml:space="preserve"> </w:t>
      </w:r>
      <w:r>
        <w:rPr>
          <w:rFonts w:ascii="Arial" w:hAnsi="Arial"/>
          <w:i/>
          <w:sz w:val="20"/>
        </w:rPr>
        <w:t>errores</w:t>
      </w:r>
      <w:r>
        <w:rPr>
          <w:rFonts w:ascii="Arial" w:hAnsi="Arial"/>
          <w:i/>
          <w:spacing w:val="-2"/>
          <w:sz w:val="20"/>
        </w:rPr>
        <w:t xml:space="preserve"> </w:t>
      </w:r>
      <w:r>
        <w:rPr>
          <w:rFonts w:ascii="Arial" w:hAnsi="Arial"/>
          <w:i/>
          <w:sz w:val="20"/>
        </w:rPr>
        <w:t>del</w:t>
      </w:r>
      <w:r>
        <w:rPr>
          <w:rFonts w:ascii="Arial" w:hAnsi="Arial"/>
          <w:i/>
          <w:spacing w:val="-2"/>
          <w:sz w:val="20"/>
        </w:rPr>
        <w:t xml:space="preserve"> proyecto.</w:t>
      </w:r>
    </w:p>
    <w:p w:rsidR="0092635B" w:rsidRDefault="00000000">
      <w:pPr>
        <w:pStyle w:val="Textoindependiente"/>
        <w:spacing w:before="124" w:line="249" w:lineRule="auto"/>
        <w:ind w:right="1105"/>
      </w:pPr>
      <w:r>
        <w:t>En los contratos de servicios consistentes en la elaboración íntegra de un proyecto de obra, se exigirá la responsabilidad del contratista por defectos o errores del proyecto, de conformidad con lo dispuesto en el artículo 314.</w:t>
      </w:r>
    </w:p>
    <w:p w:rsidR="0092635B" w:rsidRDefault="0092635B">
      <w:pPr>
        <w:pStyle w:val="Textoindependiente"/>
        <w:spacing w:before="226"/>
        <w:ind w:left="0" w:firstLine="0"/>
        <w:jc w:val="left"/>
      </w:pPr>
    </w:p>
    <w:p w:rsidR="0092635B" w:rsidRDefault="00000000">
      <w:pPr>
        <w:pStyle w:val="Textoindependiente"/>
        <w:spacing w:before="0"/>
        <w:ind w:left="0" w:firstLine="0"/>
        <w:jc w:val="center"/>
      </w:pPr>
      <w:bookmarkStart w:id="537" w:name="TÍTULO_II._Contratos_de_las_entidades_de"/>
      <w:bookmarkStart w:id="538" w:name="_bookmark110"/>
      <w:bookmarkEnd w:id="537"/>
      <w:bookmarkEnd w:id="538"/>
      <w:r>
        <w:t xml:space="preserve">TÍTULO </w:t>
      </w:r>
      <w:r>
        <w:rPr>
          <w:spacing w:val="-5"/>
        </w:rPr>
        <w:t>II</w:t>
      </w:r>
    </w:p>
    <w:p w:rsidR="0092635B" w:rsidRDefault="00000000">
      <w:pPr>
        <w:pStyle w:val="Ttulo2"/>
        <w:spacing w:line="249" w:lineRule="auto"/>
        <w:ind w:left="1446" w:right="1444"/>
      </w:pPr>
      <w:r>
        <w:t>Contratos</w:t>
      </w:r>
      <w:r>
        <w:rPr>
          <w:spacing w:val="39"/>
        </w:rPr>
        <w:t xml:space="preserve"> </w:t>
      </w:r>
      <w:r>
        <w:t>de</w:t>
      </w:r>
      <w:r>
        <w:rPr>
          <w:spacing w:val="39"/>
        </w:rPr>
        <w:t xml:space="preserve"> </w:t>
      </w:r>
      <w:r>
        <w:t>las</w:t>
      </w:r>
      <w:r>
        <w:rPr>
          <w:spacing w:val="39"/>
        </w:rPr>
        <w:t xml:space="preserve"> </w:t>
      </w:r>
      <w:r>
        <w:t>entidades</w:t>
      </w:r>
      <w:r>
        <w:rPr>
          <w:spacing w:val="39"/>
        </w:rPr>
        <w:t xml:space="preserve"> </w:t>
      </w:r>
      <w:r>
        <w:t>del</w:t>
      </w:r>
      <w:r>
        <w:rPr>
          <w:spacing w:val="39"/>
        </w:rPr>
        <w:t xml:space="preserve"> </w:t>
      </w:r>
      <w:r>
        <w:t>sector</w:t>
      </w:r>
      <w:r>
        <w:rPr>
          <w:spacing w:val="39"/>
        </w:rPr>
        <w:t xml:space="preserve"> </w:t>
      </w:r>
      <w:r>
        <w:t>público</w:t>
      </w:r>
      <w:r>
        <w:rPr>
          <w:spacing w:val="39"/>
        </w:rPr>
        <w:t xml:space="preserve"> </w:t>
      </w:r>
      <w:r>
        <w:t>que</w:t>
      </w:r>
      <w:r>
        <w:rPr>
          <w:spacing w:val="39"/>
        </w:rPr>
        <w:t xml:space="preserve"> </w:t>
      </w:r>
      <w:r>
        <w:t>no</w:t>
      </w:r>
      <w:r>
        <w:rPr>
          <w:spacing w:val="39"/>
        </w:rPr>
        <w:t xml:space="preserve"> </w:t>
      </w:r>
      <w:r>
        <w:t>tengan</w:t>
      </w:r>
      <w:r>
        <w:rPr>
          <w:spacing w:val="39"/>
        </w:rPr>
        <w:t xml:space="preserve"> </w:t>
      </w:r>
      <w:r>
        <w:t>el</w:t>
      </w:r>
      <w:r>
        <w:rPr>
          <w:spacing w:val="39"/>
        </w:rPr>
        <w:t xml:space="preserve"> </w:t>
      </w:r>
      <w:r>
        <w:t>carácter</w:t>
      </w:r>
      <w:r>
        <w:rPr>
          <w:spacing w:val="39"/>
        </w:rPr>
        <w:t xml:space="preserve"> </w:t>
      </w:r>
      <w:r>
        <w:t>de poderes adjudicadores</w:t>
      </w:r>
    </w:p>
    <w:p w:rsidR="0092635B" w:rsidRDefault="00000000">
      <w:pPr>
        <w:spacing w:before="229" w:line="249" w:lineRule="auto"/>
        <w:ind w:left="1106" w:right="1120"/>
        <w:rPr>
          <w:rFonts w:ascii="Arial" w:hAnsi="Arial"/>
          <w:i/>
          <w:sz w:val="20"/>
        </w:rPr>
      </w:pPr>
      <w:bookmarkStart w:id="539" w:name="Artículo_321._Adjudicación_de_contratos_"/>
      <w:bookmarkEnd w:id="539"/>
      <w:r>
        <w:rPr>
          <w:rFonts w:ascii="Arial" w:hAnsi="Arial"/>
          <w:b/>
          <w:sz w:val="20"/>
        </w:rPr>
        <w:t>Artículo</w:t>
      </w:r>
      <w:r>
        <w:rPr>
          <w:rFonts w:ascii="Arial" w:hAnsi="Arial"/>
          <w:b/>
          <w:spacing w:val="-3"/>
          <w:sz w:val="20"/>
        </w:rPr>
        <w:t xml:space="preserve"> </w:t>
      </w:r>
      <w:r>
        <w:rPr>
          <w:rFonts w:ascii="Arial" w:hAnsi="Arial"/>
          <w:b/>
          <w:sz w:val="20"/>
        </w:rPr>
        <w:t>321.</w:t>
      </w:r>
      <w:r>
        <w:rPr>
          <w:rFonts w:ascii="Arial" w:hAnsi="Arial"/>
          <w:b/>
          <w:spacing w:val="40"/>
          <w:sz w:val="20"/>
        </w:rPr>
        <w:t xml:space="preserve"> </w:t>
      </w:r>
      <w:r>
        <w:rPr>
          <w:rFonts w:ascii="Arial" w:hAnsi="Arial"/>
          <w:i/>
          <w:sz w:val="20"/>
        </w:rPr>
        <w:t>Adjudicación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contratos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las</w:t>
      </w:r>
      <w:r>
        <w:rPr>
          <w:rFonts w:ascii="Arial" w:hAnsi="Arial"/>
          <w:i/>
          <w:spacing w:val="-3"/>
          <w:sz w:val="20"/>
        </w:rPr>
        <w:t xml:space="preserve"> </w:t>
      </w:r>
      <w:r>
        <w:rPr>
          <w:rFonts w:ascii="Arial" w:hAnsi="Arial"/>
          <w:i/>
          <w:sz w:val="20"/>
        </w:rPr>
        <w:t>entidades</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sector</w:t>
      </w:r>
      <w:r>
        <w:rPr>
          <w:rFonts w:ascii="Arial" w:hAnsi="Arial"/>
          <w:i/>
          <w:spacing w:val="-3"/>
          <w:sz w:val="20"/>
        </w:rPr>
        <w:t xml:space="preserve"> </w:t>
      </w:r>
      <w:r>
        <w:rPr>
          <w:rFonts w:ascii="Arial" w:hAnsi="Arial"/>
          <w:i/>
          <w:sz w:val="20"/>
        </w:rPr>
        <w:t>público</w:t>
      </w:r>
      <w:r>
        <w:rPr>
          <w:rFonts w:ascii="Arial" w:hAnsi="Arial"/>
          <w:i/>
          <w:spacing w:val="-3"/>
          <w:sz w:val="20"/>
        </w:rPr>
        <w:t xml:space="preserve"> </w:t>
      </w:r>
      <w:r>
        <w:rPr>
          <w:rFonts w:ascii="Arial" w:hAnsi="Arial"/>
          <w:i/>
          <w:sz w:val="20"/>
        </w:rPr>
        <w:t>que</w:t>
      </w:r>
      <w:r>
        <w:rPr>
          <w:rFonts w:ascii="Arial" w:hAnsi="Arial"/>
          <w:i/>
          <w:spacing w:val="-3"/>
          <w:sz w:val="20"/>
        </w:rPr>
        <w:t xml:space="preserve"> </w:t>
      </w:r>
      <w:r>
        <w:rPr>
          <w:rFonts w:ascii="Arial" w:hAnsi="Arial"/>
          <w:i/>
          <w:sz w:val="20"/>
        </w:rPr>
        <w:t>no</w:t>
      </w:r>
      <w:r>
        <w:rPr>
          <w:rFonts w:ascii="Arial" w:hAnsi="Arial"/>
          <w:i/>
          <w:spacing w:val="-3"/>
          <w:sz w:val="20"/>
        </w:rPr>
        <w:t xml:space="preserve"> </w:t>
      </w:r>
      <w:r>
        <w:rPr>
          <w:rFonts w:ascii="Arial" w:hAnsi="Arial"/>
          <w:i/>
          <w:sz w:val="20"/>
        </w:rPr>
        <w:t>tengan</w:t>
      </w:r>
      <w:r>
        <w:rPr>
          <w:rFonts w:ascii="Arial" w:hAnsi="Arial"/>
          <w:i/>
          <w:spacing w:val="-3"/>
          <w:sz w:val="20"/>
        </w:rPr>
        <w:t xml:space="preserve"> </w:t>
      </w:r>
      <w:r>
        <w:rPr>
          <w:rFonts w:ascii="Arial" w:hAnsi="Arial"/>
          <w:i/>
          <w:sz w:val="20"/>
        </w:rPr>
        <w:t>el carácter de poderes adjudicadores.</w:t>
      </w:r>
    </w:p>
    <w:p w:rsidR="0092635B" w:rsidRDefault="00000000">
      <w:pPr>
        <w:pStyle w:val="Textoindependiente"/>
        <w:spacing w:before="115" w:line="249" w:lineRule="auto"/>
        <w:ind w:right="1103"/>
      </w:pPr>
      <w:r>
        <w:t>La adjudicación de contratos por las entidades del sector público que no tengan la condición de poderes adjudicadores se ajustará a las siguientes reglas:</w:t>
      </w:r>
    </w:p>
    <w:p w:rsidR="0092635B" w:rsidRDefault="00000000">
      <w:pPr>
        <w:pStyle w:val="Prrafodelista"/>
        <w:numPr>
          <w:ilvl w:val="0"/>
          <w:numId w:val="84"/>
        </w:numPr>
        <w:tabs>
          <w:tab w:val="left" w:pos="1669"/>
        </w:tabs>
        <w:spacing w:before="121" w:line="249" w:lineRule="auto"/>
        <w:ind w:right="1102" w:firstLine="340"/>
        <w:jc w:val="both"/>
        <w:rPr>
          <w:sz w:val="20"/>
        </w:rPr>
      </w:pPr>
      <w:r>
        <w:rPr>
          <w:sz w:val="20"/>
        </w:rPr>
        <w:t>Los</w:t>
      </w:r>
      <w:r>
        <w:rPr>
          <w:spacing w:val="-2"/>
          <w:sz w:val="20"/>
        </w:rPr>
        <w:t xml:space="preserve"> </w:t>
      </w:r>
      <w:r>
        <w:rPr>
          <w:sz w:val="20"/>
        </w:rPr>
        <w:t>órganos</w:t>
      </w:r>
      <w:r>
        <w:rPr>
          <w:spacing w:val="-2"/>
          <w:sz w:val="20"/>
        </w:rPr>
        <w:t xml:space="preserve"> </w:t>
      </w:r>
      <w:r>
        <w:rPr>
          <w:sz w:val="20"/>
        </w:rPr>
        <w:t>competentes</w:t>
      </w:r>
      <w:r>
        <w:rPr>
          <w:spacing w:val="-2"/>
          <w:sz w:val="20"/>
        </w:rPr>
        <w:t xml:space="preserve"> </w:t>
      </w:r>
      <w:r>
        <w:rPr>
          <w:sz w:val="20"/>
        </w:rPr>
        <w:t>de</w:t>
      </w:r>
      <w:r>
        <w:rPr>
          <w:spacing w:val="-2"/>
          <w:sz w:val="20"/>
        </w:rPr>
        <w:t xml:space="preserve"> </w:t>
      </w:r>
      <w:r>
        <w:rPr>
          <w:sz w:val="20"/>
        </w:rPr>
        <w:t>estas</w:t>
      </w:r>
      <w:r>
        <w:rPr>
          <w:spacing w:val="-2"/>
          <w:sz w:val="20"/>
        </w:rPr>
        <w:t xml:space="preserve"> </w:t>
      </w:r>
      <w:r>
        <w:rPr>
          <w:sz w:val="20"/>
        </w:rPr>
        <w:t>entidades</w:t>
      </w:r>
      <w:r>
        <w:rPr>
          <w:spacing w:val="-2"/>
          <w:sz w:val="20"/>
        </w:rPr>
        <w:t xml:space="preserve"> </w:t>
      </w:r>
      <w:r>
        <w:rPr>
          <w:sz w:val="20"/>
        </w:rPr>
        <w:t>aprobarán</w:t>
      </w:r>
      <w:r>
        <w:rPr>
          <w:spacing w:val="-2"/>
          <w:sz w:val="20"/>
        </w:rPr>
        <w:t xml:space="preserve"> </w:t>
      </w:r>
      <w:r>
        <w:rPr>
          <w:sz w:val="20"/>
        </w:rPr>
        <w:t>unas</w:t>
      </w:r>
      <w:r>
        <w:rPr>
          <w:spacing w:val="-2"/>
          <w:sz w:val="20"/>
        </w:rPr>
        <w:t xml:space="preserve"> </w:t>
      </w:r>
      <w:r>
        <w:rPr>
          <w:sz w:val="20"/>
        </w:rPr>
        <w:t>instrucciones</w:t>
      </w:r>
      <w:r>
        <w:rPr>
          <w:spacing w:val="-2"/>
          <w:sz w:val="20"/>
        </w:rPr>
        <w:t xml:space="preserve"> </w:t>
      </w:r>
      <w:r>
        <w:rPr>
          <w:sz w:val="20"/>
        </w:rPr>
        <w:t>en</w:t>
      </w:r>
      <w:r>
        <w:rPr>
          <w:spacing w:val="-2"/>
          <w:sz w:val="20"/>
        </w:rPr>
        <w:t xml:space="preserve"> </w:t>
      </w:r>
      <w:r>
        <w:rPr>
          <w:sz w:val="20"/>
        </w:rPr>
        <w:t>las</w:t>
      </w:r>
      <w:r>
        <w:rPr>
          <w:spacing w:val="-2"/>
          <w:sz w:val="20"/>
        </w:rPr>
        <w:t xml:space="preserve"> </w:t>
      </w:r>
      <w:r>
        <w:rPr>
          <w:sz w:val="20"/>
        </w:rPr>
        <w:t>que regulen</w:t>
      </w:r>
      <w:r>
        <w:rPr>
          <w:spacing w:val="-2"/>
          <w:sz w:val="20"/>
        </w:rPr>
        <w:t xml:space="preserve"> </w:t>
      </w:r>
      <w:r>
        <w:rPr>
          <w:sz w:val="20"/>
        </w:rPr>
        <w:t>los</w:t>
      </w:r>
      <w:r>
        <w:rPr>
          <w:spacing w:val="-2"/>
          <w:sz w:val="20"/>
        </w:rPr>
        <w:t xml:space="preserve"> </w:t>
      </w:r>
      <w:r>
        <w:rPr>
          <w:sz w:val="20"/>
        </w:rPr>
        <w:t>procedimientos</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de</w:t>
      </w:r>
      <w:r>
        <w:rPr>
          <w:spacing w:val="-2"/>
          <w:sz w:val="20"/>
        </w:rPr>
        <w:t xml:space="preserve"> </w:t>
      </w:r>
      <w:r>
        <w:rPr>
          <w:sz w:val="20"/>
        </w:rPr>
        <w:t>forma</w:t>
      </w:r>
      <w:r>
        <w:rPr>
          <w:spacing w:val="-2"/>
          <w:sz w:val="20"/>
        </w:rPr>
        <w:t xml:space="preserve"> </w:t>
      </w:r>
      <w:r>
        <w:rPr>
          <w:sz w:val="20"/>
        </w:rPr>
        <w:t>que</w:t>
      </w:r>
      <w:r>
        <w:rPr>
          <w:spacing w:val="-2"/>
          <w:sz w:val="20"/>
        </w:rPr>
        <w:t xml:space="preserve"> </w:t>
      </w:r>
      <w:r>
        <w:rPr>
          <w:sz w:val="20"/>
        </w:rPr>
        <w:t>quede</w:t>
      </w:r>
      <w:r>
        <w:rPr>
          <w:spacing w:val="-2"/>
          <w:sz w:val="20"/>
        </w:rPr>
        <w:t xml:space="preserve"> </w:t>
      </w:r>
      <w:r>
        <w:rPr>
          <w:sz w:val="20"/>
        </w:rPr>
        <w:t>garantizada</w:t>
      </w:r>
      <w:r>
        <w:rPr>
          <w:spacing w:val="-2"/>
          <w:sz w:val="20"/>
        </w:rPr>
        <w:t xml:space="preserve"> </w:t>
      </w:r>
      <w:r>
        <w:rPr>
          <w:sz w:val="20"/>
        </w:rPr>
        <w:t>la</w:t>
      </w:r>
      <w:r>
        <w:rPr>
          <w:spacing w:val="-2"/>
          <w:sz w:val="20"/>
        </w:rPr>
        <w:t xml:space="preserve"> </w:t>
      </w:r>
      <w:r>
        <w:rPr>
          <w:sz w:val="20"/>
        </w:rPr>
        <w:t>efectividad</w:t>
      </w:r>
      <w:r>
        <w:rPr>
          <w:spacing w:val="-2"/>
          <w:sz w:val="20"/>
        </w:rPr>
        <w:t xml:space="preserve"> </w:t>
      </w:r>
      <w:r>
        <w:rPr>
          <w:sz w:val="20"/>
        </w:rPr>
        <w:t>de los principios de publicidad, concurrencia, transparencia, confidencialidad, igualdad y no discriminación, así como que los contratos se adjudiquen a quienes presenten la mejor oferta, de conformidad con lo dispuesto en el artículo 145.</w:t>
      </w:r>
    </w:p>
    <w:p w:rsidR="0092635B" w:rsidRDefault="00000000">
      <w:pPr>
        <w:pStyle w:val="Textoindependiente"/>
        <w:spacing w:before="4" w:line="249" w:lineRule="auto"/>
        <w:ind w:right="1104"/>
      </w:pPr>
      <w:r>
        <w:t>Estas instrucciones se pondrán a disposición de todos los interesados en participar en</w:t>
      </w:r>
      <w:r>
        <w:rPr>
          <w:spacing w:val="40"/>
        </w:rPr>
        <w:t xml:space="preserve"> </w:t>
      </w:r>
      <w:r>
        <w:t>los procedimientos de adjudicación de los contratos regulados por ellas y se publicarán en el perfil de contratante de la entidad.</w:t>
      </w:r>
    </w:p>
    <w:p w:rsidR="0092635B" w:rsidRDefault="00000000">
      <w:pPr>
        <w:pStyle w:val="Textoindependiente"/>
        <w:spacing w:before="3" w:line="249" w:lineRule="auto"/>
        <w:ind w:right="1105"/>
      </w:pPr>
      <w:r>
        <w:t>En el ámbito del sector público estatal, la aprobación de las instrucciones requerirá el informe previo del órgano al que corresponda el asesoramiento jurídico de la entidad.</w:t>
      </w:r>
    </w:p>
    <w:p w:rsidR="0092635B" w:rsidRDefault="00000000">
      <w:pPr>
        <w:pStyle w:val="Prrafodelista"/>
        <w:numPr>
          <w:ilvl w:val="0"/>
          <w:numId w:val="84"/>
        </w:numPr>
        <w:tabs>
          <w:tab w:val="left" w:pos="1716"/>
        </w:tabs>
        <w:spacing w:before="1" w:line="249" w:lineRule="auto"/>
        <w:ind w:right="1105" w:firstLine="340"/>
        <w:jc w:val="both"/>
        <w:rPr>
          <w:sz w:val="20"/>
        </w:rPr>
      </w:pPr>
      <w:r>
        <w:rPr>
          <w:sz w:val="20"/>
        </w:rPr>
        <w:t>No obstante lo indicado en el apartado anterior, los órganos competentes de las entidades a que se refiere este artículo podrán adjudicar contratos sin aplicar las instrucciones aprobadas por ellos con sujeción a las siguientes reglas:</w:t>
      </w:r>
    </w:p>
    <w:p w:rsidR="0092635B" w:rsidRDefault="00000000">
      <w:pPr>
        <w:pStyle w:val="Prrafodelista"/>
        <w:numPr>
          <w:ilvl w:val="1"/>
          <w:numId w:val="84"/>
        </w:numPr>
        <w:tabs>
          <w:tab w:val="left" w:pos="1690"/>
        </w:tabs>
        <w:spacing w:before="123" w:line="249" w:lineRule="auto"/>
        <w:ind w:right="1102" w:firstLine="340"/>
        <w:jc w:val="both"/>
        <w:rPr>
          <w:sz w:val="20"/>
        </w:rPr>
      </w:pPr>
      <w:r>
        <w:rPr>
          <w:sz w:val="20"/>
        </w:rPr>
        <w:t>Los contratos de valor estimado inferior a 40.000 euros, cuando se trate de contratos de obras, o a 15.000 euros, cuando se trate de contratos de servicios y suministros, podrán adjudicarse</w:t>
      </w:r>
      <w:r>
        <w:rPr>
          <w:spacing w:val="-2"/>
          <w:sz w:val="20"/>
        </w:rPr>
        <w:t xml:space="preserve"> </w:t>
      </w:r>
      <w:r>
        <w:rPr>
          <w:sz w:val="20"/>
        </w:rPr>
        <w:t>directamente</w:t>
      </w:r>
      <w:r>
        <w:rPr>
          <w:spacing w:val="-2"/>
          <w:sz w:val="20"/>
        </w:rPr>
        <w:t xml:space="preserve"> </w:t>
      </w:r>
      <w:r>
        <w:rPr>
          <w:sz w:val="20"/>
        </w:rPr>
        <w:t>a</w:t>
      </w:r>
      <w:r>
        <w:rPr>
          <w:spacing w:val="-2"/>
          <w:sz w:val="20"/>
        </w:rPr>
        <w:t xml:space="preserve"> </w:t>
      </w:r>
      <w:r>
        <w:rPr>
          <w:sz w:val="20"/>
        </w:rPr>
        <w:t>cualquier</w:t>
      </w:r>
      <w:r>
        <w:rPr>
          <w:spacing w:val="-2"/>
          <w:sz w:val="20"/>
        </w:rPr>
        <w:t xml:space="preserve"> </w:t>
      </w:r>
      <w:r>
        <w:rPr>
          <w:sz w:val="20"/>
        </w:rPr>
        <w:t>empresario</w:t>
      </w:r>
      <w:r>
        <w:rPr>
          <w:spacing w:val="-2"/>
          <w:sz w:val="20"/>
        </w:rPr>
        <w:t xml:space="preserve"> </w:t>
      </w:r>
      <w:r>
        <w:rPr>
          <w:sz w:val="20"/>
        </w:rPr>
        <w:t>con</w:t>
      </w:r>
      <w:r>
        <w:rPr>
          <w:spacing w:val="-2"/>
          <w:sz w:val="20"/>
        </w:rPr>
        <w:t xml:space="preserve"> </w:t>
      </w:r>
      <w:r>
        <w:rPr>
          <w:sz w:val="20"/>
        </w:rPr>
        <w:t>capacidad</w:t>
      </w:r>
      <w:r>
        <w:rPr>
          <w:spacing w:val="-2"/>
          <w:sz w:val="20"/>
        </w:rPr>
        <w:t xml:space="preserve"> </w:t>
      </w:r>
      <w:r>
        <w:rPr>
          <w:sz w:val="20"/>
        </w:rPr>
        <w:t>de</w:t>
      </w:r>
      <w:r>
        <w:rPr>
          <w:spacing w:val="-2"/>
          <w:sz w:val="20"/>
        </w:rPr>
        <w:t xml:space="preserve"> </w:t>
      </w:r>
      <w:r>
        <w:rPr>
          <w:sz w:val="20"/>
        </w:rPr>
        <w:t>obrar</w:t>
      </w:r>
      <w:r>
        <w:rPr>
          <w:spacing w:val="-2"/>
          <w:sz w:val="20"/>
        </w:rPr>
        <w:t xml:space="preserve"> </w:t>
      </w:r>
      <w:r>
        <w:rPr>
          <w:sz w:val="20"/>
        </w:rPr>
        <w:t>y</w:t>
      </w:r>
      <w:r>
        <w:rPr>
          <w:spacing w:val="-2"/>
          <w:sz w:val="20"/>
        </w:rPr>
        <w:t xml:space="preserve"> </w:t>
      </w:r>
      <w:r>
        <w:rPr>
          <w:sz w:val="20"/>
        </w:rPr>
        <w:t>que</w:t>
      </w:r>
      <w:r>
        <w:rPr>
          <w:spacing w:val="-2"/>
          <w:sz w:val="20"/>
        </w:rPr>
        <w:t xml:space="preserve"> </w:t>
      </w:r>
      <w:r>
        <w:rPr>
          <w:sz w:val="20"/>
        </w:rPr>
        <w:t>cuente</w:t>
      </w:r>
      <w:r>
        <w:rPr>
          <w:spacing w:val="-2"/>
          <w:sz w:val="20"/>
        </w:rPr>
        <w:t xml:space="preserve"> </w:t>
      </w:r>
      <w:r>
        <w:rPr>
          <w:sz w:val="20"/>
        </w:rPr>
        <w:t>con</w:t>
      </w:r>
      <w:r>
        <w:rPr>
          <w:spacing w:val="-2"/>
          <w:sz w:val="20"/>
        </w:rPr>
        <w:t xml:space="preserve"> </w:t>
      </w:r>
      <w:r>
        <w:rPr>
          <w:sz w:val="20"/>
        </w:rPr>
        <w:t>la habilitación que, en su caso, sea necesaria para realizar la prestación objeto del contrato.</w:t>
      </w:r>
    </w:p>
    <w:p w:rsidR="0092635B" w:rsidRDefault="00000000">
      <w:pPr>
        <w:pStyle w:val="Prrafodelista"/>
        <w:numPr>
          <w:ilvl w:val="1"/>
          <w:numId w:val="84"/>
        </w:numPr>
        <w:tabs>
          <w:tab w:val="left" w:pos="1684"/>
        </w:tabs>
        <w:spacing w:before="3" w:line="249" w:lineRule="auto"/>
        <w:ind w:right="1102" w:firstLine="340"/>
        <w:jc w:val="both"/>
        <w:rPr>
          <w:sz w:val="20"/>
        </w:rPr>
      </w:pPr>
      <w:r>
        <w:rPr>
          <w:sz w:val="20"/>
        </w:rPr>
        <w:t>Los contratos o acuerdos de valor estimado igual o superior a los indicados en la letra anterior o los que se concierten para la selección de proveedores se sujetarán, como</w:t>
      </w:r>
      <w:r>
        <w:rPr>
          <w:spacing w:val="40"/>
          <w:sz w:val="20"/>
        </w:rPr>
        <w:t xml:space="preserve"> </w:t>
      </w:r>
      <w:r>
        <w:rPr>
          <w:sz w:val="20"/>
        </w:rPr>
        <w:t>mínimo, a las siguientes reglas, respetándose en todo caso los principios de igualdad, no discriminación, transparencia, publicidad y libre concurrencia:</w:t>
      </w:r>
    </w:p>
    <w:p w:rsidR="0092635B" w:rsidRDefault="00000000">
      <w:pPr>
        <w:pStyle w:val="Prrafodelista"/>
        <w:numPr>
          <w:ilvl w:val="2"/>
          <w:numId w:val="84"/>
        </w:numPr>
        <w:tabs>
          <w:tab w:val="left" w:pos="1610"/>
        </w:tabs>
        <w:spacing w:before="123" w:line="249" w:lineRule="auto"/>
        <w:ind w:right="1104" w:firstLine="340"/>
        <w:jc w:val="both"/>
        <w:rPr>
          <w:sz w:val="20"/>
        </w:rPr>
      </w:pPr>
      <w:r>
        <w:rPr>
          <w:sz w:val="20"/>
        </w:rPr>
        <w:t>º El anuncio de licitación se publicará en el perfil de contratante de la entidad, sin perjuicio de que puedan utilizarse otros medios adicionales de publicidad. Toda la documentación necesaria para la presentación de las ofertas deberá estar disponible por medios electrónicos desde la publicación del anuncio de licitación.</w:t>
      </w:r>
    </w:p>
    <w:p w:rsidR="0092635B" w:rsidRDefault="00000000">
      <w:pPr>
        <w:pStyle w:val="Prrafodelista"/>
        <w:numPr>
          <w:ilvl w:val="2"/>
          <w:numId w:val="84"/>
        </w:numPr>
        <w:tabs>
          <w:tab w:val="left" w:pos="1610"/>
        </w:tabs>
        <w:spacing w:before="4" w:line="249" w:lineRule="auto"/>
        <w:ind w:right="1104" w:firstLine="340"/>
        <w:jc w:val="both"/>
        <w:rPr>
          <w:sz w:val="20"/>
        </w:rPr>
      </w:pPr>
      <w:r>
        <w:rPr>
          <w:sz w:val="20"/>
        </w:rPr>
        <w:t>º El plazo de presentación de ofertas se fijará por la entidad contratante teniendo en cuenta el tiempo razonablemente necesario para la preparación de aquellas, sin que en ningún caso dicho plazo pueda ser inferior a diez días a contar desde la publicación del anuncio de licitación en el perfil de contratante.</w:t>
      </w:r>
    </w:p>
    <w:p w:rsidR="0092635B" w:rsidRDefault="00000000">
      <w:pPr>
        <w:pStyle w:val="Prrafodelista"/>
        <w:numPr>
          <w:ilvl w:val="2"/>
          <w:numId w:val="84"/>
        </w:numPr>
        <w:tabs>
          <w:tab w:val="left" w:pos="1610"/>
        </w:tabs>
        <w:spacing w:before="3" w:line="249" w:lineRule="auto"/>
        <w:ind w:right="1105" w:firstLine="340"/>
        <w:jc w:val="both"/>
        <w:rPr>
          <w:sz w:val="20"/>
        </w:rPr>
      </w:pPr>
      <w:r>
        <w:rPr>
          <w:sz w:val="20"/>
        </w:rPr>
        <w:t>º La adjudicación del contrato deberá recaer en la mejor oferta, de conformidad con lo dispuesto en el artículo 145. Excepcionalmente la adjudicación podrá efectuarse atendiendo a otros criterios objetivos que deberán determinarse en la documentación contractual.</w:t>
      </w:r>
    </w:p>
    <w:p w:rsidR="0092635B" w:rsidRDefault="00000000">
      <w:pPr>
        <w:pStyle w:val="Prrafodelista"/>
        <w:numPr>
          <w:ilvl w:val="2"/>
          <w:numId w:val="84"/>
        </w:numPr>
        <w:tabs>
          <w:tab w:val="left" w:pos="1610"/>
        </w:tabs>
        <w:spacing w:before="3" w:line="249" w:lineRule="auto"/>
        <w:ind w:firstLine="340"/>
        <w:jc w:val="both"/>
        <w:rPr>
          <w:sz w:val="20"/>
        </w:rPr>
      </w:pPr>
      <w:r>
        <w:rPr>
          <w:sz w:val="20"/>
        </w:rPr>
        <w:t>º La selección del contratista, que deberá motivarse en todo caso, se publicará en el perfil de contratante de la entidad.</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84"/>
        </w:numPr>
        <w:tabs>
          <w:tab w:val="left" w:pos="1674"/>
        </w:tabs>
        <w:spacing w:before="1" w:line="249" w:lineRule="auto"/>
        <w:ind w:firstLine="340"/>
        <w:jc w:val="both"/>
        <w:rPr>
          <w:sz w:val="20"/>
        </w:rPr>
      </w:pPr>
      <w:r>
        <w:rPr>
          <w:sz w:val="20"/>
        </w:rPr>
        <w:t>Para las operaciones propias de su tráfico, las entidades a que se refiere este artículo podrán establecer sistemas para la racionalización de la contratación, tales como acuerdos marco, sistemas dinámicos de adquisición o la homologación de proveedores. El procedimiento para ser incluido en dichos sistemas deberá ser transparente y no discriminatorio debiendo publicarse el mismo en el perfil de contratante.</w:t>
      </w:r>
    </w:p>
    <w:p w:rsidR="0092635B" w:rsidRDefault="00000000">
      <w:pPr>
        <w:pStyle w:val="Prrafodelista"/>
        <w:numPr>
          <w:ilvl w:val="0"/>
          <w:numId w:val="84"/>
        </w:numPr>
        <w:tabs>
          <w:tab w:val="left" w:pos="1677"/>
        </w:tabs>
        <w:spacing w:before="4" w:line="249" w:lineRule="auto"/>
        <w:ind w:firstLine="340"/>
        <w:jc w:val="both"/>
        <w:rPr>
          <w:sz w:val="20"/>
        </w:rPr>
      </w:pPr>
      <w:r>
        <w:rPr>
          <w:sz w:val="20"/>
        </w:rPr>
        <w:t>En los términos que reglamentariamente se determinen, y sin perjuicio de lo que para el ámbito de las Comunidades Autónomas establezcan sus respectivas normas, el Departamento ministerial y organismo al que esté adscrita o corresponda la tutela de la entidad contratante controlará la aplicación por esta de las reglas establecidas en los apartados anteriores.</w:t>
      </w:r>
    </w:p>
    <w:p w:rsidR="0092635B" w:rsidRDefault="00000000">
      <w:pPr>
        <w:pStyle w:val="Prrafodelista"/>
        <w:numPr>
          <w:ilvl w:val="0"/>
          <w:numId w:val="84"/>
        </w:numPr>
        <w:tabs>
          <w:tab w:val="left" w:pos="1687"/>
        </w:tabs>
        <w:spacing w:before="4" w:line="249" w:lineRule="auto"/>
        <w:ind w:firstLine="340"/>
        <w:jc w:val="both"/>
        <w:rPr>
          <w:sz w:val="20"/>
        </w:rPr>
      </w:pPr>
      <w:r>
        <w:rPr>
          <w:sz w:val="20"/>
        </w:rPr>
        <w:t>Las actuaciones realizadas en la preparación y adjudicación de los contratos por las entidades a las que se refiere el presente artículo, se impugnarán en vía administrativa de conformidad con lo dispuesto en la Ley 39/2015, de 1 de octubre, del Procedimiento Administrativo Común de las Administraciones Públicas ante el titular del departamento, órgano,</w:t>
      </w:r>
      <w:r>
        <w:rPr>
          <w:spacing w:val="-1"/>
          <w:sz w:val="20"/>
        </w:rPr>
        <w:t xml:space="preserve"> </w:t>
      </w:r>
      <w:r>
        <w:rPr>
          <w:sz w:val="20"/>
        </w:rPr>
        <w:t>ente</w:t>
      </w:r>
      <w:r>
        <w:rPr>
          <w:spacing w:val="-1"/>
          <w:sz w:val="20"/>
        </w:rPr>
        <w:t xml:space="preserve"> </w:t>
      </w:r>
      <w:r>
        <w:rPr>
          <w:sz w:val="20"/>
        </w:rPr>
        <w:t>u</w:t>
      </w:r>
      <w:r>
        <w:rPr>
          <w:spacing w:val="-1"/>
          <w:sz w:val="20"/>
        </w:rPr>
        <w:t xml:space="preserve"> </w:t>
      </w:r>
      <w:r>
        <w:rPr>
          <w:sz w:val="20"/>
        </w:rPr>
        <w:t>organismo</w:t>
      </w:r>
      <w:r>
        <w:rPr>
          <w:spacing w:val="-1"/>
          <w:sz w:val="20"/>
        </w:rPr>
        <w:t xml:space="preserve"> </w:t>
      </w:r>
      <w:r>
        <w:rPr>
          <w:sz w:val="20"/>
        </w:rPr>
        <w:t>al</w:t>
      </w:r>
      <w:r>
        <w:rPr>
          <w:spacing w:val="-1"/>
          <w:sz w:val="20"/>
        </w:rPr>
        <w:t xml:space="preserve"> </w:t>
      </w:r>
      <w:r>
        <w:rPr>
          <w:sz w:val="20"/>
        </w:rPr>
        <w:t>que</w:t>
      </w:r>
      <w:r>
        <w:rPr>
          <w:spacing w:val="-1"/>
          <w:sz w:val="20"/>
        </w:rPr>
        <w:t xml:space="preserve"> </w:t>
      </w:r>
      <w:r>
        <w:rPr>
          <w:sz w:val="20"/>
        </w:rPr>
        <w:t>esté</w:t>
      </w:r>
      <w:r>
        <w:rPr>
          <w:spacing w:val="-1"/>
          <w:sz w:val="20"/>
        </w:rPr>
        <w:t xml:space="preserve"> </w:t>
      </w:r>
      <w:r>
        <w:rPr>
          <w:sz w:val="20"/>
        </w:rPr>
        <w:t>adscrita</w:t>
      </w:r>
      <w:r>
        <w:rPr>
          <w:spacing w:val="-1"/>
          <w:sz w:val="20"/>
        </w:rPr>
        <w:t xml:space="preserve"> </w:t>
      </w:r>
      <w:r>
        <w:rPr>
          <w:sz w:val="20"/>
        </w:rPr>
        <w:t>la</w:t>
      </w:r>
      <w:r>
        <w:rPr>
          <w:spacing w:val="-1"/>
          <w:sz w:val="20"/>
        </w:rPr>
        <w:t xml:space="preserve"> </w:t>
      </w:r>
      <w:r>
        <w:rPr>
          <w:sz w:val="20"/>
        </w:rPr>
        <w:t>entidad</w:t>
      </w:r>
      <w:r>
        <w:rPr>
          <w:spacing w:val="-1"/>
          <w:sz w:val="20"/>
        </w:rPr>
        <w:t xml:space="preserve"> </w:t>
      </w:r>
      <w:r>
        <w:rPr>
          <w:sz w:val="20"/>
        </w:rPr>
        <w:t>contratante</w:t>
      </w:r>
      <w:r>
        <w:rPr>
          <w:spacing w:val="-1"/>
          <w:sz w:val="20"/>
        </w:rPr>
        <w:t xml:space="preserve"> </w:t>
      </w:r>
      <w:r>
        <w:rPr>
          <w:sz w:val="20"/>
        </w:rPr>
        <w:t>o</w:t>
      </w:r>
      <w:r>
        <w:rPr>
          <w:spacing w:val="-1"/>
          <w:sz w:val="20"/>
        </w:rPr>
        <w:t xml:space="preserve"> </w:t>
      </w:r>
      <w:r>
        <w:rPr>
          <w:sz w:val="20"/>
        </w:rPr>
        <w:t>al</w:t>
      </w:r>
      <w:r>
        <w:rPr>
          <w:spacing w:val="-1"/>
          <w:sz w:val="20"/>
        </w:rPr>
        <w:t xml:space="preserve"> </w:t>
      </w:r>
      <w:r>
        <w:rPr>
          <w:sz w:val="20"/>
        </w:rPr>
        <w:t>que</w:t>
      </w:r>
      <w:r>
        <w:rPr>
          <w:spacing w:val="-1"/>
          <w:sz w:val="20"/>
        </w:rPr>
        <w:t xml:space="preserve"> </w:t>
      </w:r>
      <w:r>
        <w:rPr>
          <w:sz w:val="20"/>
        </w:rPr>
        <w:t>corresponda</w:t>
      </w:r>
      <w:r>
        <w:rPr>
          <w:spacing w:val="-1"/>
          <w:sz w:val="20"/>
        </w:rPr>
        <w:t xml:space="preserve"> </w:t>
      </w:r>
      <w:r>
        <w:rPr>
          <w:sz w:val="20"/>
        </w:rPr>
        <w:t>su tutela. Si la entidad contratante estuviera vinculada a más de una Administración, será competente el órgano correspondiente de la que ostente el control o participación</w:t>
      </w:r>
      <w:r>
        <w:rPr>
          <w:spacing w:val="40"/>
          <w:sz w:val="20"/>
        </w:rPr>
        <w:t xml:space="preserve"> </w:t>
      </w:r>
      <w:r>
        <w:rPr>
          <w:spacing w:val="-2"/>
          <w:sz w:val="20"/>
        </w:rPr>
        <w:t>mayoritaria.</w:t>
      </w:r>
    </w:p>
    <w:p w:rsidR="0092635B" w:rsidRDefault="00000000">
      <w:pPr>
        <w:pStyle w:val="Prrafodelista"/>
        <w:numPr>
          <w:ilvl w:val="0"/>
          <w:numId w:val="84"/>
        </w:numPr>
        <w:tabs>
          <w:tab w:val="left" w:pos="1703"/>
        </w:tabs>
        <w:spacing w:before="6" w:line="249" w:lineRule="auto"/>
        <w:ind w:firstLine="340"/>
        <w:jc w:val="both"/>
        <w:rPr>
          <w:sz w:val="20"/>
        </w:rPr>
      </w:pPr>
      <w:r>
        <w:rPr>
          <w:sz w:val="20"/>
        </w:rPr>
        <w:t>Estarán excluidos de la aplicación de esta Ley los contratos entre dos sociedades mercantiles pertenecientes al sector público que no ostenten el carácter de poder adjudicador, siempre y cuando se cumplan todas y cada una de las siguientes condiciones:</w:t>
      </w:r>
    </w:p>
    <w:p w:rsidR="0092635B" w:rsidRDefault="00000000">
      <w:pPr>
        <w:pStyle w:val="Prrafodelista"/>
        <w:numPr>
          <w:ilvl w:val="1"/>
          <w:numId w:val="84"/>
        </w:numPr>
        <w:tabs>
          <w:tab w:val="left" w:pos="1716"/>
        </w:tabs>
        <w:spacing w:before="123" w:line="249" w:lineRule="auto"/>
        <w:ind w:firstLine="340"/>
        <w:jc w:val="both"/>
        <w:rPr>
          <w:sz w:val="20"/>
        </w:rPr>
      </w:pPr>
      <w:r>
        <w:rPr>
          <w:sz w:val="20"/>
        </w:rPr>
        <w:t>Que la sociedad contratante ostente de manera directa o indirecta la totalidad del capital social de la contratista o viceversa, o que una tercera sociedad, también del sector público, que tampoco tenga el carácter de poder adjudicador ostente de manera directa o indirecta la titularidad del 100 por 100 del capital social de las dos primeras.</w:t>
      </w:r>
    </w:p>
    <w:p w:rsidR="0092635B" w:rsidRDefault="00000000">
      <w:pPr>
        <w:pStyle w:val="Prrafodelista"/>
        <w:numPr>
          <w:ilvl w:val="1"/>
          <w:numId w:val="84"/>
        </w:numPr>
        <w:tabs>
          <w:tab w:val="left" w:pos="1728"/>
        </w:tabs>
        <w:spacing w:before="3" w:line="249" w:lineRule="auto"/>
        <w:ind w:right="1104" w:firstLine="340"/>
        <w:jc w:val="both"/>
        <w:rPr>
          <w:sz w:val="20"/>
        </w:rPr>
      </w:pPr>
      <w:r>
        <w:rPr>
          <w:sz w:val="20"/>
        </w:rPr>
        <w:t>Que los contratos tengan por objeto la adquisición de bienes o la prestación de servicios que sean necesarios para la realización de la actividad mercantil propia del objeto social de la entidad contratante.</w:t>
      </w:r>
    </w:p>
    <w:p w:rsidR="0092635B" w:rsidRDefault="00000000">
      <w:pPr>
        <w:pStyle w:val="Prrafodelista"/>
        <w:numPr>
          <w:ilvl w:val="1"/>
          <w:numId w:val="84"/>
        </w:numPr>
        <w:tabs>
          <w:tab w:val="left" w:pos="1668"/>
        </w:tabs>
        <w:spacing w:before="3"/>
        <w:ind w:left="1668" w:right="0" w:hanging="222"/>
        <w:jc w:val="both"/>
        <w:rPr>
          <w:sz w:val="20"/>
        </w:rPr>
      </w:pPr>
      <w:r>
        <w:rPr>
          <w:sz w:val="20"/>
        </w:rPr>
        <w:t>Que</w:t>
      </w:r>
      <w:r>
        <w:rPr>
          <w:spacing w:val="-4"/>
          <w:sz w:val="20"/>
        </w:rPr>
        <w:t xml:space="preserve"> </w:t>
      </w:r>
      <w:r>
        <w:rPr>
          <w:sz w:val="20"/>
        </w:rPr>
        <w:t>los</w:t>
      </w:r>
      <w:r>
        <w:rPr>
          <w:spacing w:val="-3"/>
          <w:sz w:val="20"/>
        </w:rPr>
        <w:t xml:space="preserve"> </w:t>
      </w:r>
      <w:r>
        <w:rPr>
          <w:sz w:val="20"/>
        </w:rPr>
        <w:t>contratos</w:t>
      </w:r>
      <w:r>
        <w:rPr>
          <w:spacing w:val="-3"/>
          <w:sz w:val="20"/>
        </w:rPr>
        <w:t xml:space="preserve"> </w:t>
      </w:r>
      <w:r>
        <w:rPr>
          <w:sz w:val="20"/>
        </w:rPr>
        <w:t>no</w:t>
      </w:r>
      <w:r>
        <w:rPr>
          <w:spacing w:val="-3"/>
          <w:sz w:val="20"/>
        </w:rPr>
        <w:t xml:space="preserve"> </w:t>
      </w:r>
      <w:r>
        <w:rPr>
          <w:sz w:val="20"/>
        </w:rPr>
        <w:t>distorsionen</w:t>
      </w:r>
      <w:r>
        <w:rPr>
          <w:spacing w:val="-3"/>
          <w:sz w:val="20"/>
        </w:rPr>
        <w:t xml:space="preserve"> </w:t>
      </w:r>
      <w:r>
        <w:rPr>
          <w:sz w:val="20"/>
        </w:rPr>
        <w:t>la</w:t>
      </w:r>
      <w:r>
        <w:rPr>
          <w:spacing w:val="-3"/>
          <w:sz w:val="20"/>
        </w:rPr>
        <w:t xml:space="preserve"> </w:t>
      </w:r>
      <w:r>
        <w:rPr>
          <w:sz w:val="20"/>
        </w:rPr>
        <w:t>libre</w:t>
      </w:r>
      <w:r>
        <w:rPr>
          <w:spacing w:val="-3"/>
          <w:sz w:val="20"/>
        </w:rPr>
        <w:t xml:space="preserve"> </w:t>
      </w:r>
      <w:r>
        <w:rPr>
          <w:sz w:val="20"/>
        </w:rPr>
        <w:t>competencia</w:t>
      </w:r>
      <w:r>
        <w:rPr>
          <w:spacing w:val="-3"/>
          <w:sz w:val="20"/>
        </w:rPr>
        <w:t xml:space="preserve"> </w:t>
      </w:r>
      <w:r>
        <w:rPr>
          <w:sz w:val="20"/>
        </w:rPr>
        <w:t>en</w:t>
      </w:r>
      <w:r>
        <w:rPr>
          <w:spacing w:val="-3"/>
          <w:sz w:val="20"/>
        </w:rPr>
        <w:t xml:space="preserve"> </w:t>
      </w:r>
      <w:r>
        <w:rPr>
          <w:sz w:val="20"/>
        </w:rPr>
        <w:t>el</w:t>
      </w:r>
      <w:r>
        <w:rPr>
          <w:spacing w:val="-3"/>
          <w:sz w:val="20"/>
        </w:rPr>
        <w:t xml:space="preserve"> </w:t>
      </w:r>
      <w:r>
        <w:rPr>
          <w:spacing w:val="-2"/>
          <w:sz w:val="20"/>
        </w:rPr>
        <w:t>mercado.</w:t>
      </w:r>
    </w:p>
    <w:p w:rsidR="0092635B" w:rsidRDefault="00000000">
      <w:pPr>
        <w:pStyle w:val="Textoindependiente"/>
        <w:spacing w:before="130" w:line="249" w:lineRule="auto"/>
        <w:ind w:right="1103"/>
      </w:pPr>
      <w:r>
        <w:t>A los efectos de lo establecido en el párrafo anterior el Departamento ministerial u organismo al que corresponda la tutela de la sociedad contratante solicitará un informe</w:t>
      </w:r>
      <w:r>
        <w:rPr>
          <w:spacing w:val="40"/>
        </w:rPr>
        <w:t xml:space="preserve"> </w:t>
      </w:r>
      <w:r>
        <w:t>previo de la Comisión Nacional de los Mercados y de la Competencia o, en su caso, de la autoridad de competencia autonómica correspondiente que analice los contratos concretos o categorías generales de contratos de similares características que las sociedades prevean suscribir. El informe será evacuado en el plazo máximo de veinte días hábiles.</w:t>
      </w:r>
    </w:p>
    <w:p w:rsidR="0092635B" w:rsidRDefault="0092635B">
      <w:pPr>
        <w:pStyle w:val="Textoindependiente"/>
        <w:spacing w:before="1"/>
        <w:ind w:left="0" w:firstLine="0"/>
        <w:jc w:val="left"/>
      </w:pPr>
    </w:p>
    <w:p w:rsidR="0092635B" w:rsidRDefault="00000000">
      <w:pPr>
        <w:tabs>
          <w:tab w:val="left" w:pos="2607"/>
        </w:tabs>
        <w:spacing w:line="249" w:lineRule="auto"/>
        <w:ind w:left="1106" w:right="1120"/>
        <w:rPr>
          <w:rFonts w:ascii="Arial" w:hAnsi="Arial"/>
          <w:i/>
          <w:sz w:val="20"/>
        </w:rPr>
      </w:pPr>
      <w:bookmarkStart w:id="540" w:name="Artículo_322._Efectos,_modificación_y_ex"/>
      <w:bookmarkEnd w:id="540"/>
      <w:r>
        <w:rPr>
          <w:rFonts w:ascii="Arial" w:hAnsi="Arial"/>
          <w:b/>
          <w:sz w:val="20"/>
        </w:rPr>
        <w:t>Artículo</w:t>
      </w:r>
      <w:r>
        <w:rPr>
          <w:rFonts w:ascii="Arial" w:hAnsi="Arial"/>
          <w:b/>
          <w:spacing w:val="40"/>
          <w:sz w:val="20"/>
        </w:rPr>
        <w:t xml:space="preserve"> </w:t>
      </w:r>
      <w:r>
        <w:rPr>
          <w:rFonts w:ascii="Arial" w:hAnsi="Arial"/>
          <w:b/>
          <w:sz w:val="20"/>
        </w:rPr>
        <w:t>322.</w:t>
      </w:r>
      <w:r>
        <w:rPr>
          <w:rFonts w:ascii="Arial" w:hAnsi="Arial"/>
          <w:b/>
          <w:sz w:val="20"/>
        </w:rPr>
        <w:tab/>
      </w:r>
      <w:r>
        <w:rPr>
          <w:rFonts w:ascii="Arial" w:hAnsi="Arial"/>
          <w:i/>
          <w:sz w:val="20"/>
        </w:rPr>
        <w:t>Efectos,</w:t>
      </w:r>
      <w:r>
        <w:rPr>
          <w:rFonts w:ascii="Arial" w:hAnsi="Arial"/>
          <w:i/>
          <w:spacing w:val="40"/>
          <w:sz w:val="20"/>
        </w:rPr>
        <w:t xml:space="preserve"> </w:t>
      </w:r>
      <w:r>
        <w:rPr>
          <w:rFonts w:ascii="Arial" w:hAnsi="Arial"/>
          <w:i/>
          <w:sz w:val="20"/>
        </w:rPr>
        <w:t>modificación</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extinción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los</w:t>
      </w:r>
      <w:r>
        <w:rPr>
          <w:rFonts w:ascii="Arial" w:hAnsi="Arial"/>
          <w:i/>
          <w:spacing w:val="40"/>
          <w:sz w:val="20"/>
        </w:rPr>
        <w:t xml:space="preserve"> </w:t>
      </w:r>
      <w:r>
        <w:rPr>
          <w:rFonts w:ascii="Arial" w:hAnsi="Arial"/>
          <w:i/>
          <w:sz w:val="20"/>
        </w:rPr>
        <w:t>contratos.</w:t>
      </w:r>
      <w:r>
        <w:rPr>
          <w:rFonts w:ascii="Arial" w:hAnsi="Arial"/>
          <w:i/>
          <w:spacing w:val="40"/>
          <w:sz w:val="20"/>
        </w:rPr>
        <w:t xml:space="preserve"> </w:t>
      </w:r>
      <w:r>
        <w:rPr>
          <w:rFonts w:ascii="Arial" w:hAnsi="Arial"/>
          <w:i/>
          <w:sz w:val="20"/>
        </w:rPr>
        <w:t>Responsabilidad</w:t>
      </w:r>
      <w:r>
        <w:rPr>
          <w:rFonts w:ascii="Arial" w:hAnsi="Arial"/>
          <w:i/>
          <w:spacing w:val="40"/>
          <w:sz w:val="20"/>
        </w:rPr>
        <w:t xml:space="preserve"> </w:t>
      </w:r>
      <w:r>
        <w:rPr>
          <w:rFonts w:ascii="Arial" w:hAnsi="Arial"/>
          <w:i/>
          <w:sz w:val="20"/>
        </w:rPr>
        <w:t>del contratista por defectos o errores del proyecto.</w:t>
      </w:r>
    </w:p>
    <w:p w:rsidR="0092635B" w:rsidRDefault="00000000">
      <w:pPr>
        <w:pStyle w:val="Prrafodelista"/>
        <w:numPr>
          <w:ilvl w:val="0"/>
          <w:numId w:val="83"/>
        </w:numPr>
        <w:tabs>
          <w:tab w:val="left" w:pos="1708"/>
        </w:tabs>
        <w:spacing w:before="115" w:line="249" w:lineRule="auto"/>
        <w:ind w:right="1104" w:firstLine="340"/>
        <w:jc w:val="both"/>
        <w:rPr>
          <w:sz w:val="20"/>
        </w:rPr>
      </w:pPr>
      <w:r>
        <w:rPr>
          <w:sz w:val="20"/>
        </w:rPr>
        <w:t>Los efectos, modificación y extinción de los contratos de las entidades del Sector Público que no ostenten la condición de poder adjudicador se regularán por las normas de derecho privado que les resulten de aplicación.</w:t>
      </w:r>
    </w:p>
    <w:p w:rsidR="0092635B" w:rsidRDefault="00000000">
      <w:pPr>
        <w:pStyle w:val="Prrafodelista"/>
        <w:numPr>
          <w:ilvl w:val="0"/>
          <w:numId w:val="83"/>
        </w:numPr>
        <w:tabs>
          <w:tab w:val="left" w:pos="1674"/>
        </w:tabs>
        <w:spacing w:before="3" w:line="249" w:lineRule="auto"/>
        <w:ind w:right="1105" w:firstLine="340"/>
        <w:jc w:val="both"/>
        <w:rPr>
          <w:sz w:val="20"/>
        </w:rPr>
      </w:pPr>
      <w:r>
        <w:rPr>
          <w:sz w:val="20"/>
        </w:rPr>
        <w:t>En los contratos de servicios consistentes en la elaboración íntegra de un proyecto de obra, se exigirá la responsabilidad del contratista por defectos o errores del proyecto, de conformidad con lo dispuesto en el artículo 314.</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541" w:name="LIBRO_CUARTO._Organización_administrativ"/>
      <w:bookmarkStart w:id="542" w:name="_bookmark111"/>
      <w:bookmarkEnd w:id="541"/>
      <w:bookmarkEnd w:id="542"/>
      <w:r>
        <w:t xml:space="preserve">LIBRO </w:t>
      </w:r>
      <w:r>
        <w:rPr>
          <w:spacing w:val="-2"/>
        </w:rPr>
        <w:t>CUARTO</w:t>
      </w:r>
    </w:p>
    <w:p w:rsidR="0092635B" w:rsidRDefault="00000000">
      <w:pPr>
        <w:pStyle w:val="Ttulo2"/>
      </w:pPr>
      <w:r>
        <w:t>Organización</w:t>
      </w:r>
      <w:r>
        <w:rPr>
          <w:spacing w:val="-3"/>
        </w:rPr>
        <w:t xml:space="preserve"> </w:t>
      </w:r>
      <w:r>
        <w:t>administrativa</w:t>
      </w:r>
      <w:r>
        <w:rPr>
          <w:spacing w:val="-3"/>
        </w:rPr>
        <w:t xml:space="preserve"> </w:t>
      </w:r>
      <w:r>
        <w:t>para</w:t>
      </w:r>
      <w:r>
        <w:rPr>
          <w:spacing w:val="-3"/>
        </w:rPr>
        <w:t xml:space="preserve"> </w:t>
      </w:r>
      <w:r>
        <w:t>la</w:t>
      </w:r>
      <w:r>
        <w:rPr>
          <w:spacing w:val="-2"/>
        </w:rPr>
        <w:t xml:space="preserve"> </w:t>
      </w:r>
      <w:r>
        <w:t>gestión</w:t>
      </w:r>
      <w:r>
        <w:rPr>
          <w:spacing w:val="-3"/>
        </w:rPr>
        <w:t xml:space="preserve"> </w:t>
      </w:r>
      <w:r>
        <w:t>de</w:t>
      </w:r>
      <w:r>
        <w:rPr>
          <w:spacing w:val="-3"/>
        </w:rPr>
        <w:t xml:space="preserve"> </w:t>
      </w:r>
      <w:r>
        <w:t>la</w:t>
      </w:r>
      <w:r>
        <w:rPr>
          <w:spacing w:val="-2"/>
        </w:rPr>
        <w:t xml:space="preserve"> contratación</w:t>
      </w:r>
    </w:p>
    <w:p w:rsidR="0092635B" w:rsidRDefault="0092635B">
      <w:pPr>
        <w:pStyle w:val="Textoindependiente"/>
        <w:spacing w:before="0"/>
        <w:ind w:left="0" w:firstLine="0"/>
        <w:jc w:val="left"/>
        <w:rPr>
          <w:rFonts w:ascii="Arial"/>
          <w:b/>
        </w:rPr>
      </w:pPr>
    </w:p>
    <w:p w:rsidR="0092635B" w:rsidRDefault="0092635B">
      <w:pPr>
        <w:pStyle w:val="Textoindependiente"/>
        <w:spacing w:before="3"/>
        <w:ind w:left="0" w:firstLine="0"/>
        <w:jc w:val="left"/>
        <w:rPr>
          <w:rFonts w:ascii="Arial"/>
          <w:b/>
        </w:rPr>
      </w:pPr>
    </w:p>
    <w:p w:rsidR="0092635B" w:rsidRDefault="00000000">
      <w:pPr>
        <w:pStyle w:val="Textoindependiente"/>
        <w:spacing w:before="1"/>
        <w:ind w:left="0" w:firstLine="0"/>
        <w:jc w:val="center"/>
      </w:pPr>
      <w:bookmarkStart w:id="543" w:name="TÍTULO_I._Órganos_competentes_en_materia"/>
      <w:bookmarkStart w:id="544" w:name="_bookmark112"/>
      <w:bookmarkEnd w:id="543"/>
      <w:bookmarkEnd w:id="544"/>
      <w:r>
        <w:t xml:space="preserve">TÍTULO </w:t>
      </w:r>
      <w:r>
        <w:rPr>
          <w:spacing w:val="-10"/>
        </w:rPr>
        <w:t>I</w:t>
      </w:r>
    </w:p>
    <w:p w:rsidR="0092635B" w:rsidRDefault="00000000">
      <w:pPr>
        <w:pStyle w:val="Ttulo2"/>
      </w:pPr>
      <w:r>
        <w:t>Órganos</w:t>
      </w:r>
      <w:r>
        <w:rPr>
          <w:spacing w:val="-7"/>
        </w:rPr>
        <w:t xml:space="preserve"> </w:t>
      </w:r>
      <w:r>
        <w:t>competentes</w:t>
      </w:r>
      <w:r>
        <w:rPr>
          <w:spacing w:val="-5"/>
        </w:rPr>
        <w:t xml:space="preserve"> </w:t>
      </w:r>
      <w:r>
        <w:t>en</w:t>
      </w:r>
      <w:r>
        <w:rPr>
          <w:spacing w:val="-4"/>
        </w:rPr>
        <w:t xml:space="preserve"> </w:t>
      </w:r>
      <w:r>
        <w:t>materia</w:t>
      </w:r>
      <w:r>
        <w:rPr>
          <w:spacing w:val="-5"/>
        </w:rPr>
        <w:t xml:space="preserve"> </w:t>
      </w:r>
      <w:r>
        <w:t>de</w:t>
      </w:r>
      <w:r>
        <w:rPr>
          <w:spacing w:val="-4"/>
        </w:rPr>
        <w:t xml:space="preserve"> </w:t>
      </w:r>
      <w:r>
        <w:rPr>
          <w:spacing w:val="-2"/>
        </w:rPr>
        <w:t>contratación</w:t>
      </w:r>
    </w:p>
    <w:p w:rsidR="0092635B" w:rsidRDefault="0092635B">
      <w:pPr>
        <w:pStyle w:val="Textoindependiente"/>
        <w:spacing w:before="120"/>
        <w:ind w:left="0" w:firstLine="0"/>
        <w:jc w:val="left"/>
        <w:rPr>
          <w:rFonts w:ascii="Arial"/>
          <w:b/>
        </w:rPr>
      </w:pPr>
    </w:p>
    <w:p w:rsidR="0092635B" w:rsidRDefault="00000000">
      <w:pPr>
        <w:pStyle w:val="Textoindependiente"/>
        <w:spacing w:before="0"/>
        <w:ind w:left="0" w:firstLine="0"/>
        <w:jc w:val="center"/>
      </w:pPr>
      <w:bookmarkStart w:id="545" w:name="CAPÍTULO_I._Órganos_de_contratación"/>
      <w:bookmarkStart w:id="546" w:name="_bookmark113"/>
      <w:bookmarkEnd w:id="545"/>
      <w:bookmarkEnd w:id="546"/>
      <w:r>
        <w:t xml:space="preserve">CAPÍTULO </w:t>
      </w:r>
      <w:r>
        <w:rPr>
          <w:spacing w:val="-10"/>
        </w:rPr>
        <w:t>I</w:t>
      </w:r>
    </w:p>
    <w:p w:rsidR="0092635B" w:rsidRDefault="00000000">
      <w:pPr>
        <w:pStyle w:val="Ttulo2"/>
        <w:spacing w:before="124"/>
      </w:pPr>
      <w:r>
        <w:t>Órganos</w:t>
      </w:r>
      <w:r>
        <w:rPr>
          <w:spacing w:val="-4"/>
        </w:rPr>
        <w:t xml:space="preserve"> </w:t>
      </w:r>
      <w:r>
        <w:t>de</w:t>
      </w:r>
      <w:r>
        <w:rPr>
          <w:spacing w:val="-3"/>
        </w:rPr>
        <w:t xml:space="preserve"> </w:t>
      </w:r>
      <w:r>
        <w:rPr>
          <w:spacing w:val="-2"/>
        </w:rPr>
        <w:t>contratación</w:t>
      </w:r>
    </w:p>
    <w:p w:rsidR="0092635B" w:rsidRDefault="0092635B">
      <w:pPr>
        <w:pStyle w:val="Textoindependiente"/>
        <w:spacing w:before="6"/>
        <w:ind w:left="0" w:firstLine="0"/>
        <w:jc w:val="left"/>
        <w:rPr>
          <w:rFonts w:ascii="Arial"/>
          <w:b/>
        </w:rPr>
      </w:pPr>
    </w:p>
    <w:p w:rsidR="0092635B" w:rsidRDefault="00000000">
      <w:pPr>
        <w:ind w:left="1106"/>
        <w:rPr>
          <w:rFonts w:ascii="Arial" w:hAnsi="Arial"/>
          <w:i/>
          <w:sz w:val="20"/>
        </w:rPr>
      </w:pPr>
      <w:bookmarkStart w:id="547" w:name="Artículo_323._Órganos_de_contratación_es"/>
      <w:bookmarkEnd w:id="547"/>
      <w:r>
        <w:rPr>
          <w:rFonts w:ascii="Arial" w:hAnsi="Arial"/>
          <w:b/>
          <w:sz w:val="20"/>
        </w:rPr>
        <w:t>Artículo</w:t>
      </w:r>
      <w:r>
        <w:rPr>
          <w:rFonts w:ascii="Arial" w:hAnsi="Arial"/>
          <w:b/>
          <w:spacing w:val="-2"/>
          <w:sz w:val="20"/>
        </w:rPr>
        <w:t xml:space="preserve"> </w:t>
      </w:r>
      <w:r>
        <w:rPr>
          <w:rFonts w:ascii="Arial" w:hAnsi="Arial"/>
          <w:b/>
          <w:sz w:val="20"/>
        </w:rPr>
        <w:t>323.</w:t>
      </w:r>
      <w:r>
        <w:rPr>
          <w:rFonts w:ascii="Arial" w:hAnsi="Arial"/>
          <w:b/>
          <w:spacing w:val="50"/>
          <w:sz w:val="20"/>
        </w:rPr>
        <w:t xml:space="preserve"> </w:t>
      </w:r>
      <w:r>
        <w:rPr>
          <w:rFonts w:ascii="Arial" w:hAnsi="Arial"/>
          <w:i/>
          <w:sz w:val="20"/>
        </w:rPr>
        <w:t>Órganos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contratación</w:t>
      </w:r>
      <w:r>
        <w:rPr>
          <w:rFonts w:ascii="Arial" w:hAnsi="Arial"/>
          <w:i/>
          <w:spacing w:val="-2"/>
          <w:sz w:val="20"/>
        </w:rPr>
        <w:t xml:space="preserve"> estatales.</w:t>
      </w:r>
    </w:p>
    <w:p w:rsidR="0092635B" w:rsidRDefault="00000000">
      <w:pPr>
        <w:pStyle w:val="Prrafodelista"/>
        <w:numPr>
          <w:ilvl w:val="0"/>
          <w:numId w:val="82"/>
        </w:numPr>
        <w:tabs>
          <w:tab w:val="left" w:pos="1715"/>
        </w:tabs>
        <w:spacing w:before="124" w:line="249" w:lineRule="auto"/>
        <w:ind w:right="1104" w:firstLine="340"/>
        <w:jc w:val="both"/>
        <w:rPr>
          <w:sz w:val="20"/>
        </w:rPr>
      </w:pPr>
      <w:r>
        <w:rPr>
          <w:sz w:val="20"/>
        </w:rPr>
        <w:t>Los Ministros y los Secretarios de Estado son los órganos de contratación de la Administración General del Estado y, en consecuencia, están facultados para celebrar en su nombre los contratos en el ámbito de su competencia.</w:t>
      </w:r>
    </w:p>
    <w:p w:rsidR="0092635B" w:rsidRDefault="00000000">
      <w:pPr>
        <w:pStyle w:val="Textoindependiente"/>
        <w:spacing w:line="249" w:lineRule="auto"/>
        <w:ind w:right="1104"/>
      </w:pPr>
      <w:r>
        <w:t>En los departamentos ministeriales en los que existan varios órganos de contratación, la competencia para celebrar los contratos de suministro y de servicios que afecten al ámbito</w:t>
      </w:r>
      <w:r>
        <w:rPr>
          <w:spacing w:val="40"/>
        </w:rPr>
        <w:t xml:space="preserve"> </w:t>
      </w:r>
      <w:r>
        <w:t>de más de uno de ellos corresponderá al Ministro, salvo en los casos en que la misma se atribuya a la Junta de Contratación.</w:t>
      </w:r>
    </w:p>
    <w:p w:rsidR="0092635B" w:rsidRDefault="00000000">
      <w:pPr>
        <w:pStyle w:val="Prrafodelista"/>
        <w:numPr>
          <w:ilvl w:val="0"/>
          <w:numId w:val="82"/>
        </w:numPr>
        <w:tabs>
          <w:tab w:val="left" w:pos="1733"/>
        </w:tabs>
        <w:spacing w:before="4" w:line="249" w:lineRule="auto"/>
        <w:ind w:right="1102" w:firstLine="340"/>
        <w:jc w:val="both"/>
        <w:rPr>
          <w:sz w:val="20"/>
        </w:rPr>
      </w:pPr>
      <w:r>
        <w:rPr>
          <w:sz w:val="20"/>
        </w:rPr>
        <w:t>Los Presidentes o Directores de los organismos autónomos, entidades públicas empresariales y demás entidades públicas integrantes del sector público estatal y los Directores generales de las distintas Entidades Gestoras y Servicios Comunes de la Seguridad Social, son los órganos de contratación de unos y otros, a falta de disposición específica sobre el particular, recogida en las correspondientes normas de creación o reguladoras del funcionamiento de esas entidades.</w:t>
      </w:r>
    </w:p>
    <w:p w:rsidR="0092635B" w:rsidRDefault="00000000">
      <w:pPr>
        <w:pStyle w:val="Prrafodelista"/>
        <w:numPr>
          <w:ilvl w:val="0"/>
          <w:numId w:val="82"/>
        </w:numPr>
        <w:tabs>
          <w:tab w:val="left" w:pos="1695"/>
        </w:tabs>
        <w:spacing w:before="5" w:line="249" w:lineRule="auto"/>
        <w:ind w:right="1104" w:firstLine="340"/>
        <w:jc w:val="both"/>
        <w:rPr>
          <w:sz w:val="20"/>
        </w:rPr>
      </w:pPr>
      <w:r>
        <w:rPr>
          <w:sz w:val="20"/>
        </w:rPr>
        <w:t>Corresponden al Ministerio de Hacienda y Función Pública, a través de la Junta de Contratación Centralizada, las funciones de órgano de contratación del sistema estatal de contratación centralizada regulado en los artículos 229 y 230 de la presente Ley.</w:t>
      </w:r>
    </w:p>
    <w:p w:rsidR="0092635B" w:rsidRDefault="00000000">
      <w:pPr>
        <w:pStyle w:val="Prrafodelista"/>
        <w:numPr>
          <w:ilvl w:val="0"/>
          <w:numId w:val="82"/>
        </w:numPr>
        <w:tabs>
          <w:tab w:val="left" w:pos="1741"/>
        </w:tabs>
        <w:spacing w:line="249" w:lineRule="auto"/>
        <w:ind w:firstLine="340"/>
        <w:jc w:val="both"/>
        <w:rPr>
          <w:sz w:val="20"/>
        </w:rPr>
      </w:pPr>
      <w:r>
        <w:rPr>
          <w:sz w:val="20"/>
        </w:rPr>
        <w:t>En los departamentos ministeriales y en los organismos autónomos, entidades públicas</w:t>
      </w:r>
      <w:r>
        <w:rPr>
          <w:spacing w:val="-1"/>
          <w:sz w:val="20"/>
        </w:rPr>
        <w:t xml:space="preserve"> </w:t>
      </w:r>
      <w:r>
        <w:rPr>
          <w:sz w:val="20"/>
        </w:rPr>
        <w:t>empresariales</w:t>
      </w:r>
      <w:r>
        <w:rPr>
          <w:spacing w:val="-1"/>
          <w:sz w:val="20"/>
        </w:rPr>
        <w:t xml:space="preserve"> </w:t>
      </w:r>
      <w:r>
        <w:rPr>
          <w:sz w:val="20"/>
        </w:rPr>
        <w:t>y</w:t>
      </w:r>
      <w:r>
        <w:rPr>
          <w:spacing w:val="-1"/>
          <w:sz w:val="20"/>
        </w:rPr>
        <w:t xml:space="preserve"> </w:t>
      </w:r>
      <w:r>
        <w:rPr>
          <w:sz w:val="20"/>
        </w:rPr>
        <w:t>demás</w:t>
      </w:r>
      <w:r>
        <w:rPr>
          <w:spacing w:val="-1"/>
          <w:sz w:val="20"/>
        </w:rPr>
        <w:t xml:space="preserve"> </w:t>
      </w:r>
      <w:r>
        <w:rPr>
          <w:sz w:val="20"/>
        </w:rPr>
        <w:t>entidades</w:t>
      </w:r>
      <w:r>
        <w:rPr>
          <w:spacing w:val="-1"/>
          <w:sz w:val="20"/>
        </w:rPr>
        <w:t xml:space="preserve"> </w:t>
      </w:r>
      <w:r>
        <w:rPr>
          <w:sz w:val="20"/>
        </w:rPr>
        <w:t>públicas</w:t>
      </w:r>
      <w:r>
        <w:rPr>
          <w:spacing w:val="-1"/>
          <w:sz w:val="20"/>
        </w:rPr>
        <w:t xml:space="preserve"> </w:t>
      </w:r>
      <w:r>
        <w:rPr>
          <w:sz w:val="20"/>
        </w:rPr>
        <w:t>integrantes</w:t>
      </w:r>
      <w:r>
        <w:rPr>
          <w:spacing w:val="-1"/>
          <w:sz w:val="20"/>
        </w:rPr>
        <w:t xml:space="preserve"> </w:t>
      </w:r>
      <w:r>
        <w:rPr>
          <w:sz w:val="20"/>
        </w:rPr>
        <w:t>del</w:t>
      </w:r>
      <w:r>
        <w:rPr>
          <w:spacing w:val="-1"/>
          <w:sz w:val="20"/>
        </w:rPr>
        <w:t xml:space="preserve"> </w:t>
      </w:r>
      <w:r>
        <w:rPr>
          <w:sz w:val="20"/>
        </w:rPr>
        <w:t>sector</w:t>
      </w:r>
      <w:r>
        <w:rPr>
          <w:spacing w:val="-1"/>
          <w:sz w:val="20"/>
        </w:rPr>
        <w:t xml:space="preserve"> </w:t>
      </w:r>
      <w:r>
        <w:rPr>
          <w:sz w:val="20"/>
        </w:rPr>
        <w:t>público</w:t>
      </w:r>
      <w:r>
        <w:rPr>
          <w:spacing w:val="-1"/>
          <w:sz w:val="20"/>
        </w:rPr>
        <w:t xml:space="preserve"> </w:t>
      </w:r>
      <w:r>
        <w:rPr>
          <w:sz w:val="20"/>
        </w:rPr>
        <w:t>estatal,</w:t>
      </w:r>
      <w:r>
        <w:rPr>
          <w:spacing w:val="-1"/>
          <w:sz w:val="20"/>
        </w:rPr>
        <w:t xml:space="preserve"> </w:t>
      </w:r>
      <w:r>
        <w:rPr>
          <w:sz w:val="20"/>
        </w:rPr>
        <w:t>así como en las Entidades Gestoras y Servicios Comunes de la Seguridad Social, podrán constituirse Juntas de Contratación, que actuarán como órganos de contratación, con los límites</w:t>
      </w:r>
      <w:r>
        <w:rPr>
          <w:spacing w:val="-1"/>
          <w:sz w:val="20"/>
        </w:rPr>
        <w:t xml:space="preserve"> </w:t>
      </w:r>
      <w:r>
        <w:rPr>
          <w:sz w:val="20"/>
        </w:rPr>
        <w:t>cuantitativos</w:t>
      </w:r>
      <w:r>
        <w:rPr>
          <w:spacing w:val="-1"/>
          <w:sz w:val="20"/>
        </w:rPr>
        <w:t xml:space="preserve"> </w:t>
      </w:r>
      <w:r>
        <w:rPr>
          <w:sz w:val="20"/>
        </w:rPr>
        <w:t>o</w:t>
      </w:r>
      <w:r>
        <w:rPr>
          <w:spacing w:val="-1"/>
          <w:sz w:val="20"/>
        </w:rPr>
        <w:t xml:space="preserve"> </w:t>
      </w:r>
      <w:r>
        <w:rPr>
          <w:sz w:val="20"/>
        </w:rPr>
        <w:t>referentes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características</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que</w:t>
      </w:r>
      <w:r>
        <w:rPr>
          <w:spacing w:val="-1"/>
          <w:sz w:val="20"/>
        </w:rPr>
        <w:t xml:space="preserve"> </w:t>
      </w:r>
      <w:r>
        <w:rPr>
          <w:sz w:val="20"/>
        </w:rPr>
        <w:t>determine</w:t>
      </w:r>
      <w:r>
        <w:rPr>
          <w:spacing w:val="-1"/>
          <w:sz w:val="20"/>
        </w:rPr>
        <w:t xml:space="preserve"> </w:t>
      </w:r>
      <w:r>
        <w:rPr>
          <w:sz w:val="20"/>
        </w:rPr>
        <w:t>el</w:t>
      </w:r>
      <w:r>
        <w:rPr>
          <w:spacing w:val="-1"/>
          <w:sz w:val="20"/>
        </w:rPr>
        <w:t xml:space="preserve"> </w:t>
      </w:r>
      <w:r>
        <w:rPr>
          <w:sz w:val="20"/>
        </w:rPr>
        <w:t>titular del departamento, en los siguientes contratos:</w:t>
      </w:r>
    </w:p>
    <w:p w:rsidR="0092635B" w:rsidRDefault="00000000">
      <w:pPr>
        <w:pStyle w:val="Prrafodelista"/>
        <w:numPr>
          <w:ilvl w:val="1"/>
          <w:numId w:val="82"/>
        </w:numPr>
        <w:tabs>
          <w:tab w:val="left" w:pos="1687"/>
        </w:tabs>
        <w:spacing w:before="125" w:line="249" w:lineRule="auto"/>
        <w:ind w:right="1105" w:firstLine="340"/>
        <w:jc w:val="both"/>
        <w:rPr>
          <w:sz w:val="20"/>
        </w:rPr>
      </w:pPr>
      <w:r>
        <w:rPr>
          <w:sz w:val="20"/>
        </w:rPr>
        <w:t>Contratos de obras comprendidas en las letras b) y c) del apartado 1 del artículo 232, salvo que las mismas hayan sido declaradas de contratación centralizada.</w:t>
      </w:r>
    </w:p>
    <w:p w:rsidR="0092635B" w:rsidRDefault="00000000">
      <w:pPr>
        <w:pStyle w:val="Prrafodelista"/>
        <w:numPr>
          <w:ilvl w:val="1"/>
          <w:numId w:val="82"/>
        </w:numPr>
        <w:tabs>
          <w:tab w:val="left" w:pos="1691"/>
        </w:tabs>
        <w:spacing w:line="249" w:lineRule="auto"/>
        <w:ind w:right="1106" w:firstLine="340"/>
        <w:jc w:val="both"/>
        <w:rPr>
          <w:sz w:val="20"/>
        </w:rPr>
      </w:pPr>
      <w:r>
        <w:rPr>
          <w:sz w:val="20"/>
        </w:rPr>
        <w:t>Contratos de suministro que se refieran a bienes consumibles o de fácil deterioro por el uso, salvo los relativos a bienes declarados de adquisición centralizada.</w:t>
      </w:r>
    </w:p>
    <w:p w:rsidR="0092635B" w:rsidRDefault="00000000">
      <w:pPr>
        <w:pStyle w:val="Prrafodelista"/>
        <w:numPr>
          <w:ilvl w:val="1"/>
          <w:numId w:val="82"/>
        </w:numPr>
        <w:tabs>
          <w:tab w:val="left" w:pos="1668"/>
        </w:tabs>
        <w:spacing w:before="1"/>
        <w:ind w:left="1668" w:right="0" w:hanging="222"/>
        <w:jc w:val="both"/>
        <w:rPr>
          <w:sz w:val="20"/>
        </w:rPr>
      </w:pPr>
      <w:r>
        <w:rPr>
          <w:sz w:val="20"/>
        </w:rPr>
        <w:t>Contratos</w:t>
      </w:r>
      <w:r>
        <w:rPr>
          <w:spacing w:val="-2"/>
          <w:sz w:val="20"/>
        </w:rPr>
        <w:t xml:space="preserve"> </w:t>
      </w:r>
      <w:r>
        <w:rPr>
          <w:sz w:val="20"/>
        </w:rPr>
        <w:t>de</w:t>
      </w:r>
      <w:r>
        <w:rPr>
          <w:spacing w:val="-2"/>
          <w:sz w:val="20"/>
        </w:rPr>
        <w:t xml:space="preserve"> </w:t>
      </w:r>
      <w:r>
        <w:rPr>
          <w:sz w:val="20"/>
        </w:rPr>
        <w:t>servicios</w:t>
      </w:r>
      <w:r>
        <w:rPr>
          <w:spacing w:val="-2"/>
          <w:sz w:val="20"/>
        </w:rPr>
        <w:t xml:space="preserve"> </w:t>
      </w:r>
      <w:r>
        <w:rPr>
          <w:sz w:val="20"/>
        </w:rPr>
        <w:t>no</w:t>
      </w:r>
      <w:r>
        <w:rPr>
          <w:spacing w:val="-2"/>
          <w:sz w:val="20"/>
        </w:rPr>
        <w:t xml:space="preserve"> </w:t>
      </w:r>
      <w:r>
        <w:rPr>
          <w:sz w:val="20"/>
        </w:rPr>
        <w:t>declarados</w:t>
      </w:r>
      <w:r>
        <w:rPr>
          <w:spacing w:val="-2"/>
          <w:sz w:val="20"/>
        </w:rPr>
        <w:t xml:space="preserve"> </w:t>
      </w:r>
      <w:r>
        <w:rPr>
          <w:sz w:val="20"/>
        </w:rPr>
        <w:t>de</w:t>
      </w:r>
      <w:r>
        <w:rPr>
          <w:spacing w:val="-2"/>
          <w:sz w:val="20"/>
        </w:rPr>
        <w:t xml:space="preserve"> </w:t>
      </w:r>
      <w:r>
        <w:rPr>
          <w:sz w:val="20"/>
        </w:rPr>
        <w:t>contratación</w:t>
      </w:r>
      <w:r>
        <w:rPr>
          <w:spacing w:val="-2"/>
          <w:sz w:val="20"/>
        </w:rPr>
        <w:t xml:space="preserve"> centralizada.</w:t>
      </w:r>
    </w:p>
    <w:p w:rsidR="0092635B" w:rsidRDefault="00000000">
      <w:pPr>
        <w:pStyle w:val="Prrafodelista"/>
        <w:numPr>
          <w:ilvl w:val="1"/>
          <w:numId w:val="82"/>
        </w:numPr>
        <w:tabs>
          <w:tab w:val="left" w:pos="1687"/>
        </w:tabs>
        <w:spacing w:before="10" w:line="249" w:lineRule="auto"/>
        <w:ind w:firstLine="340"/>
        <w:jc w:val="both"/>
        <w:rPr>
          <w:sz w:val="20"/>
        </w:rPr>
      </w:pPr>
      <w:r>
        <w:rPr>
          <w:sz w:val="20"/>
        </w:rPr>
        <w:t xml:space="preserve">Contratos de suministro y de servicios, distintos de los atribuidos a la competencia de la Junta con arreglo a las dos letras anteriores que afecten a más de un órgano de contratación, exceptuando los que tengan por objeto bienes o servicios de contratación </w:t>
      </w:r>
      <w:r>
        <w:rPr>
          <w:spacing w:val="-2"/>
          <w:sz w:val="20"/>
        </w:rPr>
        <w:t>centralizada.</w:t>
      </w:r>
    </w:p>
    <w:p w:rsidR="0092635B" w:rsidRDefault="00000000">
      <w:pPr>
        <w:pStyle w:val="Textoindependiente"/>
        <w:spacing w:before="124" w:line="249" w:lineRule="auto"/>
        <w:ind w:right="1103"/>
      </w:pPr>
      <w:r>
        <w:t>La composición de las Juntas de Contratación se fijará reglamentariamente, debiendo figurar entre sus vocales un funcionario que tenga atribuido, legal o reglamentariamente, el asesoramiento jurídico del órgano de contratación y un interventor. En ningún caso podrán formar parte de las Juntas de Contratación ni emitir informes de valoración de las ofertas los cargos públicos representativos, los altos cargos, el personal de elección o designación política ni el personal eventual. Podrá formar parte de las Juntas de Contratación personal funcionario interino únicamente cuando no existan funcionarios de carrera suficientemente cualificados</w:t>
      </w:r>
      <w:r>
        <w:rPr>
          <w:spacing w:val="-1"/>
        </w:rPr>
        <w:t xml:space="preserve"> </w:t>
      </w:r>
      <w:r>
        <w:t>y</w:t>
      </w:r>
      <w:r>
        <w:rPr>
          <w:spacing w:val="-1"/>
        </w:rPr>
        <w:t xml:space="preserve"> </w:t>
      </w:r>
      <w:r>
        <w:t>así</w:t>
      </w:r>
      <w:r>
        <w:rPr>
          <w:spacing w:val="-1"/>
        </w:rPr>
        <w:t xml:space="preserve"> </w:t>
      </w:r>
      <w:r>
        <w:t>se</w:t>
      </w:r>
      <w:r>
        <w:rPr>
          <w:spacing w:val="-1"/>
        </w:rPr>
        <w:t xml:space="preserve"> </w:t>
      </w:r>
      <w:r>
        <w:t>acredite</w:t>
      </w:r>
      <w:r>
        <w:rPr>
          <w:spacing w:val="-1"/>
        </w:rPr>
        <w:t xml:space="preserve"> </w:t>
      </w:r>
      <w:r>
        <w:t>en</w:t>
      </w:r>
      <w:r>
        <w:rPr>
          <w:spacing w:val="-1"/>
        </w:rPr>
        <w:t xml:space="preserve"> </w:t>
      </w:r>
      <w:r>
        <w:t>el</w:t>
      </w:r>
      <w:r>
        <w:rPr>
          <w:spacing w:val="-1"/>
        </w:rPr>
        <w:t xml:space="preserve"> </w:t>
      </w:r>
      <w:r>
        <w:t>expediente.</w:t>
      </w:r>
      <w:r>
        <w:rPr>
          <w:spacing w:val="-1"/>
        </w:rPr>
        <w:t xml:space="preserve"> </w:t>
      </w:r>
      <w:r>
        <w:t>Tampoco</w:t>
      </w:r>
      <w:r>
        <w:rPr>
          <w:spacing w:val="-1"/>
        </w:rPr>
        <w:t xml:space="preserve"> </w:t>
      </w:r>
      <w:r>
        <w:t>podrá</w:t>
      </w:r>
      <w:r>
        <w:rPr>
          <w:spacing w:val="-1"/>
        </w:rPr>
        <w:t xml:space="preserve"> </w:t>
      </w:r>
      <w:r>
        <w:t>formar</w:t>
      </w:r>
      <w:r>
        <w:rPr>
          <w:spacing w:val="-1"/>
        </w:rPr>
        <w:t xml:space="preserve"> </w:t>
      </w:r>
      <w:r>
        <w:t>parte</w:t>
      </w:r>
      <w:r>
        <w:rPr>
          <w:spacing w:val="-1"/>
        </w:rPr>
        <w:t xml:space="preserve"> </w:t>
      </w:r>
      <w:r>
        <w:t>de</w:t>
      </w:r>
      <w:r>
        <w:rPr>
          <w:spacing w:val="-1"/>
        </w:rPr>
        <w:t xml:space="preserve"> </w:t>
      </w:r>
      <w:r>
        <w:t>las</w:t>
      </w:r>
      <w:r>
        <w:rPr>
          <w:spacing w:val="-1"/>
        </w:rPr>
        <w:t xml:space="preserve"> </w:t>
      </w:r>
      <w:r>
        <w:t>Juntas</w:t>
      </w:r>
      <w:r>
        <w:rPr>
          <w:spacing w:val="-1"/>
        </w:rPr>
        <w:t xml:space="preserve"> </w:t>
      </w:r>
      <w:r>
        <w:t>de Contratación el personal que haya participado en la redacción de la documentación técnica del contrato de que se trate.</w:t>
      </w:r>
    </w:p>
    <w:p w:rsidR="0092635B" w:rsidRDefault="00000000">
      <w:pPr>
        <w:pStyle w:val="Textoindependiente"/>
        <w:spacing w:before="8" w:line="249" w:lineRule="auto"/>
        <w:ind w:right="1104"/>
      </w:pPr>
      <w:r>
        <w:t>En el supuesto de contratos en que el procedimiento de adjudicación utilizado sea el procedimiento abierto simplificado, la Junta de Contratación en todo caso se entenderá válidamente constituida cuando asistan el Presidente, el Secretario, el funcionario que tenga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atribuido, legal o reglamentariamente, el asesoramiento jurídico del órgano de contratación y el interventor, salvo en el supuesto del artículo 159.6, en el que no será obligatoria la constitución de la Mesa conforme a lo dispuesto en el artículo 326.1.</w:t>
      </w:r>
    </w:p>
    <w:p w:rsidR="0092635B" w:rsidRDefault="00000000">
      <w:pPr>
        <w:pStyle w:val="Textoindependiente"/>
        <w:spacing w:line="249" w:lineRule="auto"/>
        <w:ind w:right="1103"/>
      </w:pPr>
      <w:r>
        <w:t>Las Juntas de Contratación podrán solicitar el asesoramiento de técnicos o expertos independientes</w:t>
      </w:r>
      <w:r>
        <w:rPr>
          <w:spacing w:val="-3"/>
        </w:rPr>
        <w:t xml:space="preserve"> </w:t>
      </w:r>
      <w:r>
        <w:t>con</w:t>
      </w:r>
      <w:r>
        <w:rPr>
          <w:spacing w:val="-3"/>
        </w:rPr>
        <w:t xml:space="preserve"> </w:t>
      </w:r>
      <w:r>
        <w:t>conocimientos</w:t>
      </w:r>
      <w:r>
        <w:rPr>
          <w:spacing w:val="-3"/>
        </w:rPr>
        <w:t xml:space="preserve"> </w:t>
      </w:r>
      <w:r>
        <w:t>acreditados</w:t>
      </w:r>
      <w:r>
        <w:rPr>
          <w:spacing w:val="-3"/>
        </w:rPr>
        <w:t xml:space="preserve"> </w:t>
      </w:r>
      <w:r>
        <w:t>en</w:t>
      </w:r>
      <w:r>
        <w:rPr>
          <w:spacing w:val="-3"/>
        </w:rPr>
        <w:t xml:space="preserve"> </w:t>
      </w:r>
      <w:r>
        <w:t>las</w:t>
      </w:r>
      <w:r>
        <w:rPr>
          <w:spacing w:val="-3"/>
        </w:rPr>
        <w:t xml:space="preserve"> </w:t>
      </w:r>
      <w:r>
        <w:t>materias</w:t>
      </w:r>
      <w:r>
        <w:rPr>
          <w:spacing w:val="-3"/>
        </w:rPr>
        <w:t xml:space="preserve"> </w:t>
      </w:r>
      <w:r>
        <w:t>relacionadas</w:t>
      </w:r>
      <w:r>
        <w:rPr>
          <w:spacing w:val="-3"/>
        </w:rPr>
        <w:t xml:space="preserve"> </w:t>
      </w:r>
      <w:r>
        <w:t>con</w:t>
      </w:r>
      <w:r>
        <w:rPr>
          <w:spacing w:val="-3"/>
        </w:rPr>
        <w:t xml:space="preserve"> </w:t>
      </w:r>
      <w:r>
        <w:t>el</w:t>
      </w:r>
      <w:r>
        <w:rPr>
          <w:spacing w:val="-3"/>
        </w:rPr>
        <w:t xml:space="preserve"> </w:t>
      </w:r>
      <w:r>
        <w:t>objeto</w:t>
      </w:r>
      <w:r>
        <w:rPr>
          <w:spacing w:val="-3"/>
        </w:rPr>
        <w:t xml:space="preserve"> </w:t>
      </w:r>
      <w:r>
        <w:t>del contrato. Dicha asistencia deberá ser reflejada expresamente en el expediente, con referencia a las identidades de los técnicos o expertos asistentes, su formación y su experiencia profesional.</w:t>
      </w:r>
    </w:p>
    <w:p w:rsidR="0092635B" w:rsidRDefault="00000000">
      <w:pPr>
        <w:pStyle w:val="Prrafodelista"/>
        <w:numPr>
          <w:ilvl w:val="0"/>
          <w:numId w:val="82"/>
        </w:numPr>
        <w:tabs>
          <w:tab w:val="left" w:pos="1750"/>
        </w:tabs>
        <w:spacing w:before="4" w:line="249" w:lineRule="auto"/>
        <w:ind w:firstLine="340"/>
        <w:jc w:val="both"/>
        <w:rPr>
          <w:sz w:val="20"/>
        </w:rPr>
      </w:pPr>
      <w:r>
        <w:rPr>
          <w:sz w:val="20"/>
        </w:rPr>
        <w:t xml:space="preserve">Cuando el contrato resulte de interés para varias entidades o departamentos ministeriales y la tramitación del expediente deba efectuarse por un único órgano de contratación, las demás entidades o departamentos interesados podrán contribuir a su financiación, en los términos que se establezcan reglamentariamente y con respeto a la normativa presupuestaria, en la forma que se determine en convenios o protocolos de </w:t>
      </w:r>
      <w:r>
        <w:rPr>
          <w:spacing w:val="-2"/>
          <w:sz w:val="20"/>
        </w:rPr>
        <w:t>actuación.</w:t>
      </w:r>
    </w:p>
    <w:p w:rsidR="0092635B" w:rsidRDefault="00000000">
      <w:pPr>
        <w:pStyle w:val="Prrafodelista"/>
        <w:numPr>
          <w:ilvl w:val="0"/>
          <w:numId w:val="82"/>
        </w:numPr>
        <w:tabs>
          <w:tab w:val="left" w:pos="1729"/>
        </w:tabs>
        <w:spacing w:before="5" w:line="249" w:lineRule="auto"/>
        <w:ind w:firstLine="340"/>
        <w:jc w:val="both"/>
        <w:rPr>
          <w:sz w:val="20"/>
        </w:rPr>
      </w:pPr>
      <w:r>
        <w:rPr>
          <w:sz w:val="20"/>
        </w:rPr>
        <w:t>La capacidad para contratar de los representantes legales de las sociedades y fundaciones del sector público estatal se regirá por lo dispuesto en los estatutos de estas entidades y por las normas de derecho privado que sean en cada caso de aplicación.</w:t>
      </w:r>
    </w:p>
    <w:p w:rsidR="0092635B" w:rsidRDefault="00000000">
      <w:pPr>
        <w:spacing w:before="229"/>
        <w:ind w:left="1106"/>
        <w:jc w:val="both"/>
        <w:rPr>
          <w:rFonts w:ascii="Arial" w:hAnsi="Arial"/>
          <w:i/>
          <w:sz w:val="20"/>
        </w:rPr>
      </w:pPr>
      <w:bookmarkStart w:id="548" w:name="Artículo_324._Autorización_para_contrata"/>
      <w:bookmarkEnd w:id="548"/>
      <w:r>
        <w:rPr>
          <w:rFonts w:ascii="Arial" w:hAnsi="Arial"/>
          <w:b/>
          <w:sz w:val="20"/>
        </w:rPr>
        <w:t>Artículo</w:t>
      </w:r>
      <w:r>
        <w:rPr>
          <w:rFonts w:ascii="Arial" w:hAnsi="Arial"/>
          <w:b/>
          <w:spacing w:val="-3"/>
          <w:sz w:val="20"/>
        </w:rPr>
        <w:t xml:space="preserve"> </w:t>
      </w:r>
      <w:r>
        <w:rPr>
          <w:rFonts w:ascii="Arial" w:hAnsi="Arial"/>
          <w:b/>
          <w:sz w:val="20"/>
        </w:rPr>
        <w:t>324.</w:t>
      </w:r>
      <w:r>
        <w:rPr>
          <w:rFonts w:ascii="Arial" w:hAnsi="Arial"/>
          <w:b/>
          <w:spacing w:val="48"/>
          <w:sz w:val="20"/>
        </w:rPr>
        <w:t xml:space="preserve"> </w:t>
      </w:r>
      <w:r>
        <w:rPr>
          <w:rFonts w:ascii="Arial" w:hAnsi="Arial"/>
          <w:i/>
          <w:sz w:val="20"/>
        </w:rPr>
        <w:t>Autorización</w:t>
      </w:r>
      <w:r>
        <w:rPr>
          <w:rFonts w:ascii="Arial" w:hAnsi="Arial"/>
          <w:i/>
          <w:spacing w:val="-3"/>
          <w:sz w:val="20"/>
        </w:rPr>
        <w:t xml:space="preserve"> </w:t>
      </w:r>
      <w:r>
        <w:rPr>
          <w:rFonts w:ascii="Arial" w:hAnsi="Arial"/>
          <w:i/>
          <w:sz w:val="20"/>
        </w:rPr>
        <w:t>para</w:t>
      </w:r>
      <w:r>
        <w:rPr>
          <w:rFonts w:ascii="Arial" w:hAnsi="Arial"/>
          <w:i/>
          <w:spacing w:val="-2"/>
          <w:sz w:val="20"/>
        </w:rPr>
        <w:t xml:space="preserve"> contratar.</w:t>
      </w:r>
    </w:p>
    <w:p w:rsidR="0092635B" w:rsidRDefault="00000000">
      <w:pPr>
        <w:pStyle w:val="Prrafodelista"/>
        <w:numPr>
          <w:ilvl w:val="0"/>
          <w:numId w:val="81"/>
        </w:numPr>
        <w:tabs>
          <w:tab w:val="left" w:pos="1679"/>
        </w:tabs>
        <w:spacing w:before="124" w:line="249" w:lineRule="auto"/>
        <w:ind w:right="1104" w:firstLine="340"/>
        <w:jc w:val="both"/>
        <w:rPr>
          <w:sz w:val="20"/>
        </w:rPr>
      </w:pPr>
      <w:r>
        <w:rPr>
          <w:sz w:val="20"/>
        </w:rPr>
        <w:t>Los órganos de contratación de las entidades del sector público estatal que tengan la consideración</w:t>
      </w:r>
      <w:r>
        <w:rPr>
          <w:spacing w:val="-1"/>
          <w:sz w:val="20"/>
        </w:rPr>
        <w:t xml:space="preserve"> </w:t>
      </w:r>
      <w:r>
        <w:rPr>
          <w:sz w:val="20"/>
        </w:rPr>
        <w:t>de</w:t>
      </w:r>
      <w:r>
        <w:rPr>
          <w:spacing w:val="-1"/>
          <w:sz w:val="20"/>
        </w:rPr>
        <w:t xml:space="preserve"> </w:t>
      </w:r>
      <w:r>
        <w:rPr>
          <w:sz w:val="20"/>
        </w:rPr>
        <w:t>poder</w:t>
      </w:r>
      <w:r>
        <w:rPr>
          <w:spacing w:val="-1"/>
          <w:sz w:val="20"/>
        </w:rPr>
        <w:t xml:space="preserve"> </w:t>
      </w:r>
      <w:r>
        <w:rPr>
          <w:sz w:val="20"/>
        </w:rPr>
        <w:t>adjudicador</w:t>
      </w:r>
      <w:r>
        <w:rPr>
          <w:spacing w:val="-1"/>
          <w:sz w:val="20"/>
        </w:rPr>
        <w:t xml:space="preserve"> </w:t>
      </w:r>
      <w:r>
        <w:rPr>
          <w:sz w:val="20"/>
        </w:rPr>
        <w:t>en</w:t>
      </w:r>
      <w:r>
        <w:rPr>
          <w:spacing w:val="-1"/>
          <w:sz w:val="20"/>
        </w:rPr>
        <w:t xml:space="preserve"> </w:t>
      </w:r>
      <w:r>
        <w:rPr>
          <w:sz w:val="20"/>
        </w:rPr>
        <w:t>virtud</w:t>
      </w:r>
      <w:r>
        <w:rPr>
          <w:spacing w:val="-1"/>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apartado</w:t>
      </w:r>
      <w:r>
        <w:rPr>
          <w:spacing w:val="-1"/>
          <w:sz w:val="20"/>
        </w:rPr>
        <w:t xml:space="preserve"> </w:t>
      </w:r>
      <w:r>
        <w:rPr>
          <w:sz w:val="20"/>
        </w:rPr>
        <w:t>3</w:t>
      </w:r>
      <w:r>
        <w:rPr>
          <w:spacing w:val="-1"/>
          <w:sz w:val="20"/>
        </w:rPr>
        <w:t xml:space="preserve"> </w:t>
      </w:r>
      <w:r>
        <w:rPr>
          <w:sz w:val="20"/>
        </w:rPr>
        <w:t>del</w:t>
      </w:r>
      <w:r>
        <w:rPr>
          <w:spacing w:val="-1"/>
          <w:sz w:val="20"/>
        </w:rPr>
        <w:t xml:space="preserve"> </w:t>
      </w:r>
      <w:r>
        <w:rPr>
          <w:sz w:val="20"/>
        </w:rPr>
        <w:t>artículo</w:t>
      </w:r>
      <w:r>
        <w:rPr>
          <w:spacing w:val="-1"/>
          <w:sz w:val="20"/>
        </w:rPr>
        <w:t xml:space="preserve"> </w:t>
      </w:r>
      <w:r>
        <w:rPr>
          <w:sz w:val="20"/>
        </w:rPr>
        <w:t>3 de la presente Ley necesitarán la autorización del Consejo de Ministros para celebrar contratos en los siguientes supuestos:</w:t>
      </w:r>
    </w:p>
    <w:p w:rsidR="0092635B" w:rsidRDefault="00000000">
      <w:pPr>
        <w:pStyle w:val="Prrafodelista"/>
        <w:numPr>
          <w:ilvl w:val="1"/>
          <w:numId w:val="81"/>
        </w:numPr>
        <w:tabs>
          <w:tab w:val="left" w:pos="1682"/>
        </w:tabs>
        <w:spacing w:before="123" w:line="249" w:lineRule="auto"/>
        <w:ind w:firstLine="340"/>
        <w:jc w:val="both"/>
        <w:rPr>
          <w:sz w:val="20"/>
        </w:rPr>
      </w:pPr>
      <w:r>
        <w:rPr>
          <w:sz w:val="20"/>
        </w:rPr>
        <w:t>Cuando el valor estimado del contrato, calculado conforme a lo señalado en el artículo 101, sea igual o superior a doce millones de euros.</w:t>
      </w:r>
    </w:p>
    <w:p w:rsidR="0092635B" w:rsidRDefault="00000000">
      <w:pPr>
        <w:pStyle w:val="Prrafodelista"/>
        <w:numPr>
          <w:ilvl w:val="1"/>
          <w:numId w:val="81"/>
        </w:numPr>
        <w:tabs>
          <w:tab w:val="left" w:pos="1696"/>
        </w:tabs>
        <w:spacing w:line="249" w:lineRule="auto"/>
        <w:ind w:right="1105" w:firstLine="340"/>
        <w:jc w:val="both"/>
        <w:rPr>
          <w:sz w:val="20"/>
        </w:rPr>
      </w:pPr>
      <w:r>
        <w:rPr>
          <w:sz w:val="20"/>
        </w:rPr>
        <w:t>Cuando el pago de los contratos se concierte mediante el sistema de arrendamiento financiero o mediante el sistema de arrendamiento con opción de compra y el número de anualidades supere cuatro años.</w:t>
      </w:r>
    </w:p>
    <w:p w:rsidR="0092635B" w:rsidRDefault="00000000">
      <w:pPr>
        <w:pStyle w:val="Prrafodelista"/>
        <w:numPr>
          <w:ilvl w:val="1"/>
          <w:numId w:val="81"/>
        </w:numPr>
        <w:tabs>
          <w:tab w:val="left" w:pos="1680"/>
        </w:tabs>
        <w:spacing w:line="249" w:lineRule="auto"/>
        <w:ind w:firstLine="340"/>
        <w:jc w:val="both"/>
        <w:rPr>
          <w:sz w:val="20"/>
        </w:rPr>
      </w:pPr>
      <w:r>
        <w:rPr>
          <w:sz w:val="20"/>
        </w:rPr>
        <w:t>En los acuerdos marco y sistemas dinámicos de adquisición cuyo valor estimado sea igual o superior a doce millones de euros. Una vez autorizada la celebración de estos acuerdos marco y sistemas dinámicos de adquisición no será necesaria autorización del Consejo de Ministros para la celebración de los contratos basados y contratos específicos,</w:t>
      </w:r>
      <w:r>
        <w:rPr>
          <w:spacing w:val="40"/>
          <w:sz w:val="20"/>
        </w:rPr>
        <w:t xml:space="preserve"> </w:t>
      </w:r>
      <w:r>
        <w:rPr>
          <w:sz w:val="20"/>
        </w:rPr>
        <w:t>en dichos acuerdos marco y sistemas dinámicos de adquisición, respectivamente.</w:t>
      </w:r>
    </w:p>
    <w:p w:rsidR="0092635B" w:rsidRDefault="00000000">
      <w:pPr>
        <w:pStyle w:val="Prrafodelista"/>
        <w:numPr>
          <w:ilvl w:val="0"/>
          <w:numId w:val="81"/>
        </w:numPr>
        <w:tabs>
          <w:tab w:val="left" w:pos="1682"/>
        </w:tabs>
        <w:spacing w:before="124" w:line="249" w:lineRule="auto"/>
        <w:ind w:right="1105" w:firstLine="340"/>
        <w:jc w:val="both"/>
        <w:rPr>
          <w:sz w:val="20"/>
        </w:rPr>
      </w:pPr>
      <w:r>
        <w:rPr>
          <w:sz w:val="20"/>
        </w:rPr>
        <w:t>La autorización del Consejo de Ministros a que se refiere el apartado anterior deberá obtenerse</w:t>
      </w:r>
      <w:r>
        <w:rPr>
          <w:spacing w:val="-3"/>
          <w:sz w:val="20"/>
        </w:rPr>
        <w:t xml:space="preserve"> </w:t>
      </w:r>
      <w:r>
        <w:rPr>
          <w:sz w:val="20"/>
        </w:rPr>
        <w:t>antes</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aprobación</w:t>
      </w:r>
      <w:r>
        <w:rPr>
          <w:spacing w:val="-3"/>
          <w:sz w:val="20"/>
        </w:rPr>
        <w:t xml:space="preserve"> </w:t>
      </w:r>
      <w:r>
        <w:rPr>
          <w:sz w:val="20"/>
        </w:rPr>
        <w:t>del</w:t>
      </w:r>
      <w:r>
        <w:rPr>
          <w:spacing w:val="-3"/>
          <w:sz w:val="20"/>
        </w:rPr>
        <w:t xml:space="preserve"> </w:t>
      </w:r>
      <w:r>
        <w:rPr>
          <w:sz w:val="20"/>
        </w:rPr>
        <w:t>expediente.</w:t>
      </w:r>
      <w:r>
        <w:rPr>
          <w:spacing w:val="-3"/>
          <w:sz w:val="20"/>
        </w:rPr>
        <w:t xml:space="preserve"> </w:t>
      </w:r>
      <w:r>
        <w:rPr>
          <w:sz w:val="20"/>
        </w:rPr>
        <w:t>A</w:t>
      </w:r>
      <w:r>
        <w:rPr>
          <w:spacing w:val="-3"/>
          <w:sz w:val="20"/>
        </w:rPr>
        <w:t xml:space="preserve"> </w:t>
      </w:r>
      <w:r>
        <w:rPr>
          <w:sz w:val="20"/>
        </w:rPr>
        <w:t>efectos</w:t>
      </w:r>
      <w:r>
        <w:rPr>
          <w:spacing w:val="-3"/>
          <w:sz w:val="20"/>
        </w:rPr>
        <w:t xml:space="preserve"> </w:t>
      </w:r>
      <w:r>
        <w:rPr>
          <w:sz w:val="20"/>
        </w:rPr>
        <w:t>de</w:t>
      </w:r>
      <w:r>
        <w:rPr>
          <w:spacing w:val="-3"/>
          <w:sz w:val="20"/>
        </w:rPr>
        <w:t xml:space="preserve"> </w:t>
      </w:r>
      <w:r>
        <w:rPr>
          <w:sz w:val="20"/>
        </w:rPr>
        <w:t>obtener</w:t>
      </w:r>
      <w:r>
        <w:rPr>
          <w:spacing w:val="-3"/>
          <w:sz w:val="20"/>
        </w:rPr>
        <w:t xml:space="preserve"> </w:t>
      </w:r>
      <w:r>
        <w:rPr>
          <w:sz w:val="20"/>
        </w:rPr>
        <w:t>la</w:t>
      </w:r>
      <w:r>
        <w:rPr>
          <w:spacing w:val="-3"/>
          <w:sz w:val="20"/>
        </w:rPr>
        <w:t xml:space="preserve"> </w:t>
      </w:r>
      <w:r>
        <w:rPr>
          <w:sz w:val="20"/>
        </w:rPr>
        <w:t>citada</w:t>
      </w:r>
      <w:r>
        <w:rPr>
          <w:spacing w:val="-3"/>
          <w:sz w:val="20"/>
        </w:rPr>
        <w:t xml:space="preserve"> </w:t>
      </w:r>
      <w:r>
        <w:rPr>
          <w:sz w:val="20"/>
        </w:rPr>
        <w:t>autorización, los órganos de contratación deberán remitir al menos los siguientes documentos:</w:t>
      </w:r>
    </w:p>
    <w:p w:rsidR="0092635B" w:rsidRDefault="00000000">
      <w:pPr>
        <w:pStyle w:val="Prrafodelista"/>
        <w:numPr>
          <w:ilvl w:val="1"/>
          <w:numId w:val="81"/>
        </w:numPr>
        <w:tabs>
          <w:tab w:val="left" w:pos="1681"/>
        </w:tabs>
        <w:spacing w:before="123" w:line="249" w:lineRule="auto"/>
        <w:ind w:right="1107" w:firstLine="340"/>
        <w:jc w:val="both"/>
        <w:rPr>
          <w:sz w:val="20"/>
        </w:rPr>
      </w:pPr>
      <w:r>
        <w:rPr>
          <w:sz w:val="20"/>
        </w:rPr>
        <w:t>Justificación sobre la necesidad e idoneidad del contrato a que se refiere el artículo 28 de esta Ley.</w:t>
      </w:r>
    </w:p>
    <w:p w:rsidR="0092635B" w:rsidRDefault="00000000">
      <w:pPr>
        <w:pStyle w:val="Prrafodelista"/>
        <w:numPr>
          <w:ilvl w:val="1"/>
          <w:numId w:val="81"/>
        </w:numPr>
        <w:tabs>
          <w:tab w:val="left" w:pos="1720"/>
        </w:tabs>
        <w:spacing w:before="1" w:line="249" w:lineRule="auto"/>
        <w:ind w:right="1105" w:firstLine="340"/>
        <w:jc w:val="both"/>
        <w:rPr>
          <w:sz w:val="20"/>
        </w:rPr>
      </w:pPr>
      <w:r>
        <w:rPr>
          <w:sz w:val="20"/>
        </w:rPr>
        <w:t xml:space="preserve">Certificado de existencia de crédito o, en el caso de entidades del sector público estatal con presupuesto estimativo, documento equivalente que acredite la existencia de </w:t>
      </w:r>
      <w:r>
        <w:rPr>
          <w:spacing w:val="-2"/>
          <w:sz w:val="20"/>
        </w:rPr>
        <w:t>financiación.</w:t>
      </w:r>
    </w:p>
    <w:p w:rsidR="0092635B" w:rsidRDefault="00000000">
      <w:pPr>
        <w:pStyle w:val="Prrafodelista"/>
        <w:numPr>
          <w:ilvl w:val="1"/>
          <w:numId w:val="81"/>
        </w:numPr>
        <w:tabs>
          <w:tab w:val="left" w:pos="1668"/>
        </w:tabs>
        <w:spacing w:before="3"/>
        <w:ind w:left="1668" w:right="0" w:hanging="222"/>
        <w:rPr>
          <w:sz w:val="20"/>
        </w:rPr>
      </w:pPr>
      <w:r>
        <w:rPr>
          <w:sz w:val="20"/>
        </w:rPr>
        <w:t>El</w:t>
      </w:r>
      <w:r>
        <w:rPr>
          <w:spacing w:val="-2"/>
          <w:sz w:val="20"/>
        </w:rPr>
        <w:t xml:space="preserve"> </w:t>
      </w:r>
      <w:r>
        <w:rPr>
          <w:sz w:val="20"/>
        </w:rPr>
        <w:t>pliego</w:t>
      </w:r>
      <w:r>
        <w:rPr>
          <w:spacing w:val="-1"/>
          <w:sz w:val="20"/>
        </w:rPr>
        <w:t xml:space="preserve"> </w:t>
      </w:r>
      <w:r>
        <w:rPr>
          <w:sz w:val="20"/>
        </w:rPr>
        <w:t>de</w:t>
      </w:r>
      <w:r>
        <w:rPr>
          <w:spacing w:val="-2"/>
          <w:sz w:val="20"/>
        </w:rPr>
        <w:t xml:space="preserve"> </w:t>
      </w:r>
      <w:r>
        <w:rPr>
          <w:sz w:val="20"/>
        </w:rPr>
        <w:t>cláusulas</w:t>
      </w:r>
      <w:r>
        <w:rPr>
          <w:spacing w:val="-1"/>
          <w:sz w:val="20"/>
        </w:rPr>
        <w:t xml:space="preserve"> </w:t>
      </w:r>
      <w:r>
        <w:rPr>
          <w:sz w:val="20"/>
        </w:rPr>
        <w:t>administrativas</w:t>
      </w:r>
      <w:r>
        <w:rPr>
          <w:spacing w:val="-1"/>
          <w:sz w:val="20"/>
        </w:rPr>
        <w:t xml:space="preserve"> </w:t>
      </w:r>
      <w:r>
        <w:rPr>
          <w:spacing w:val="-2"/>
          <w:sz w:val="20"/>
        </w:rPr>
        <w:t>particulares.</w:t>
      </w:r>
    </w:p>
    <w:p w:rsidR="0092635B" w:rsidRDefault="00000000">
      <w:pPr>
        <w:pStyle w:val="Prrafodelista"/>
        <w:numPr>
          <w:ilvl w:val="1"/>
          <w:numId w:val="81"/>
        </w:numPr>
        <w:tabs>
          <w:tab w:val="left" w:pos="1679"/>
        </w:tabs>
        <w:spacing w:before="10"/>
        <w:ind w:left="1679" w:right="0" w:hanging="233"/>
        <w:rPr>
          <w:sz w:val="20"/>
        </w:rPr>
      </w:pPr>
      <w:r>
        <w:rPr>
          <w:sz w:val="20"/>
        </w:rPr>
        <w:t>El</w:t>
      </w:r>
      <w:r>
        <w:rPr>
          <w:spacing w:val="-6"/>
          <w:sz w:val="20"/>
        </w:rPr>
        <w:t xml:space="preserve"> </w:t>
      </w:r>
      <w:r>
        <w:rPr>
          <w:sz w:val="20"/>
        </w:rPr>
        <w:t>informe</w:t>
      </w:r>
      <w:r>
        <w:rPr>
          <w:spacing w:val="-4"/>
          <w:sz w:val="20"/>
        </w:rPr>
        <w:t xml:space="preserve"> </w:t>
      </w:r>
      <w:r>
        <w:rPr>
          <w:sz w:val="20"/>
        </w:rPr>
        <w:t>del</w:t>
      </w:r>
      <w:r>
        <w:rPr>
          <w:spacing w:val="-4"/>
          <w:sz w:val="20"/>
        </w:rPr>
        <w:t xml:space="preserve"> </w:t>
      </w:r>
      <w:r>
        <w:rPr>
          <w:sz w:val="20"/>
        </w:rPr>
        <w:t>servicio</w:t>
      </w:r>
      <w:r>
        <w:rPr>
          <w:spacing w:val="-4"/>
          <w:sz w:val="20"/>
        </w:rPr>
        <w:t xml:space="preserve"> </w:t>
      </w:r>
      <w:r>
        <w:rPr>
          <w:sz w:val="20"/>
        </w:rPr>
        <w:t>jurídico</w:t>
      </w:r>
      <w:r>
        <w:rPr>
          <w:spacing w:val="-4"/>
          <w:sz w:val="20"/>
        </w:rPr>
        <w:t xml:space="preserve"> </w:t>
      </w:r>
      <w:r>
        <w:rPr>
          <w:sz w:val="20"/>
        </w:rPr>
        <w:t>al</w:t>
      </w:r>
      <w:r>
        <w:rPr>
          <w:spacing w:val="-4"/>
          <w:sz w:val="20"/>
        </w:rPr>
        <w:t xml:space="preserve"> </w:t>
      </w:r>
      <w:r>
        <w:rPr>
          <w:spacing w:val="-2"/>
          <w:sz w:val="20"/>
        </w:rPr>
        <w:t>pliego.</w:t>
      </w:r>
    </w:p>
    <w:p w:rsidR="0092635B" w:rsidRDefault="00000000">
      <w:pPr>
        <w:pStyle w:val="Prrafodelista"/>
        <w:numPr>
          <w:ilvl w:val="1"/>
          <w:numId w:val="81"/>
        </w:numPr>
        <w:tabs>
          <w:tab w:val="left" w:pos="1679"/>
        </w:tabs>
        <w:spacing w:before="10"/>
        <w:ind w:left="1679" w:right="0" w:hanging="233"/>
        <w:rPr>
          <w:sz w:val="20"/>
        </w:rPr>
      </w:pPr>
      <w:r>
        <w:rPr>
          <w:sz w:val="20"/>
        </w:rPr>
        <w:t>Y,</w:t>
      </w:r>
      <w:r>
        <w:rPr>
          <w:spacing w:val="-7"/>
          <w:sz w:val="20"/>
        </w:rPr>
        <w:t xml:space="preserve"> </w:t>
      </w:r>
      <w:r>
        <w:rPr>
          <w:sz w:val="20"/>
        </w:rPr>
        <w:t>de</w:t>
      </w:r>
      <w:r>
        <w:rPr>
          <w:spacing w:val="-4"/>
          <w:sz w:val="20"/>
        </w:rPr>
        <w:t xml:space="preserve"> </w:t>
      </w:r>
      <w:r>
        <w:rPr>
          <w:sz w:val="20"/>
        </w:rPr>
        <w:t>resultar</w:t>
      </w:r>
      <w:r>
        <w:rPr>
          <w:spacing w:val="-4"/>
          <w:sz w:val="20"/>
        </w:rPr>
        <w:t xml:space="preserve"> </w:t>
      </w:r>
      <w:r>
        <w:rPr>
          <w:sz w:val="20"/>
        </w:rPr>
        <w:t>preceptivo,</w:t>
      </w:r>
      <w:r>
        <w:rPr>
          <w:spacing w:val="-4"/>
          <w:sz w:val="20"/>
        </w:rPr>
        <w:t xml:space="preserve"> </w:t>
      </w:r>
      <w:r>
        <w:rPr>
          <w:sz w:val="20"/>
        </w:rPr>
        <w:t>el</w:t>
      </w:r>
      <w:r>
        <w:rPr>
          <w:spacing w:val="-4"/>
          <w:sz w:val="20"/>
        </w:rPr>
        <w:t xml:space="preserve"> </w:t>
      </w:r>
      <w:r>
        <w:rPr>
          <w:sz w:val="20"/>
        </w:rPr>
        <w:t>informe</w:t>
      </w:r>
      <w:r>
        <w:rPr>
          <w:spacing w:val="-4"/>
          <w:sz w:val="20"/>
        </w:rPr>
        <w:t xml:space="preserve"> </w:t>
      </w:r>
      <w:r>
        <w:rPr>
          <w:sz w:val="20"/>
        </w:rPr>
        <w:t>previsto</w:t>
      </w:r>
      <w:r>
        <w:rPr>
          <w:spacing w:val="-5"/>
          <w:sz w:val="20"/>
        </w:rPr>
        <w:t xml:space="preserve"> </w:t>
      </w:r>
      <w:r>
        <w:rPr>
          <w:sz w:val="20"/>
        </w:rPr>
        <w:t>en</w:t>
      </w:r>
      <w:r>
        <w:rPr>
          <w:spacing w:val="-4"/>
          <w:sz w:val="20"/>
        </w:rPr>
        <w:t xml:space="preserve"> </w:t>
      </w:r>
      <w:r>
        <w:rPr>
          <w:sz w:val="20"/>
        </w:rPr>
        <w:t>el</w:t>
      </w:r>
      <w:r>
        <w:rPr>
          <w:spacing w:val="-4"/>
          <w:sz w:val="20"/>
        </w:rPr>
        <w:t xml:space="preserve"> </w:t>
      </w:r>
      <w:r>
        <w:rPr>
          <w:sz w:val="20"/>
        </w:rPr>
        <w:t>apartado</w:t>
      </w:r>
      <w:r>
        <w:rPr>
          <w:spacing w:val="-4"/>
          <w:sz w:val="20"/>
        </w:rPr>
        <w:t xml:space="preserve"> </w:t>
      </w:r>
      <w:r>
        <w:rPr>
          <w:sz w:val="20"/>
        </w:rPr>
        <w:t>6</w:t>
      </w:r>
      <w:r>
        <w:rPr>
          <w:spacing w:val="-4"/>
          <w:sz w:val="20"/>
        </w:rPr>
        <w:t xml:space="preserve"> </w:t>
      </w:r>
      <w:r>
        <w:rPr>
          <w:sz w:val="20"/>
        </w:rPr>
        <w:t>de</w:t>
      </w:r>
      <w:r>
        <w:rPr>
          <w:spacing w:val="-4"/>
          <w:sz w:val="20"/>
        </w:rPr>
        <w:t xml:space="preserve"> </w:t>
      </w:r>
      <w:r>
        <w:rPr>
          <w:sz w:val="20"/>
        </w:rPr>
        <w:t>este</w:t>
      </w:r>
      <w:r>
        <w:rPr>
          <w:spacing w:val="-4"/>
          <w:sz w:val="20"/>
        </w:rPr>
        <w:t xml:space="preserve"> </w:t>
      </w:r>
      <w:r>
        <w:rPr>
          <w:spacing w:val="-2"/>
          <w:sz w:val="20"/>
        </w:rPr>
        <w:t>artículo.</w:t>
      </w:r>
    </w:p>
    <w:p w:rsidR="0092635B" w:rsidRDefault="00000000">
      <w:pPr>
        <w:pStyle w:val="Textoindependiente"/>
        <w:spacing w:before="130" w:line="249" w:lineRule="auto"/>
        <w:ind w:right="1103"/>
      </w:pPr>
      <w:r>
        <w:t>La autorización que otorgue el Consejo de Ministros será genérica para la celebración</w:t>
      </w:r>
      <w:r>
        <w:rPr>
          <w:spacing w:val="40"/>
        </w:rPr>
        <w:t xml:space="preserve"> </w:t>
      </w:r>
      <w:r>
        <w:t>del contrato, sin que en ningún caso implique una validación de los trámites realizados por el órgano de contratación, ni exima de la responsabilidad que corresponda a este respecto de</w:t>
      </w:r>
      <w:r>
        <w:rPr>
          <w:spacing w:val="40"/>
        </w:rPr>
        <w:t xml:space="preserve"> </w:t>
      </w:r>
      <w:r>
        <w:t>la tramitación y aprobación de los distintos documentos que conformen el expediente.</w:t>
      </w:r>
    </w:p>
    <w:p w:rsidR="0092635B" w:rsidRDefault="00000000">
      <w:pPr>
        <w:pStyle w:val="Textoindependiente"/>
        <w:spacing w:before="3" w:line="249" w:lineRule="auto"/>
        <w:ind w:right="1104"/>
      </w:pPr>
      <w:r>
        <w:t xml:space="preserve">Con carácter posterior a la obtención de la autorización del Consejo de Ministros, al órgano de contratación le corresponderá la aprobación del expediente y la aprobación del </w:t>
      </w:r>
      <w:r>
        <w:rPr>
          <w:spacing w:val="-2"/>
        </w:rPr>
        <w:t>gasto.</w:t>
      </w:r>
    </w:p>
    <w:p w:rsidR="0092635B" w:rsidRDefault="00000000">
      <w:pPr>
        <w:pStyle w:val="Prrafodelista"/>
        <w:numPr>
          <w:ilvl w:val="0"/>
          <w:numId w:val="81"/>
        </w:numPr>
        <w:tabs>
          <w:tab w:val="left" w:pos="1762"/>
        </w:tabs>
        <w:spacing w:before="3" w:line="249" w:lineRule="auto"/>
        <w:ind w:right="1106" w:firstLine="340"/>
        <w:jc w:val="both"/>
        <w:rPr>
          <w:sz w:val="20"/>
        </w:rPr>
      </w:pPr>
      <w:r>
        <w:rPr>
          <w:sz w:val="20"/>
        </w:rPr>
        <w:t>El Consejo de Ministros podrá reclamar discrecionalmente el conocimiento y autorización de cualquier otro contrato.</w:t>
      </w:r>
    </w:p>
    <w:p w:rsidR="0092635B" w:rsidRDefault="00000000">
      <w:pPr>
        <w:pStyle w:val="Prrafodelista"/>
        <w:numPr>
          <w:ilvl w:val="0"/>
          <w:numId w:val="81"/>
        </w:numPr>
        <w:tabs>
          <w:tab w:val="left" w:pos="1693"/>
        </w:tabs>
        <w:spacing w:before="1" w:line="249" w:lineRule="auto"/>
        <w:ind w:right="1104" w:firstLine="340"/>
        <w:jc w:val="both"/>
        <w:rPr>
          <w:sz w:val="20"/>
        </w:rPr>
      </w:pPr>
      <w:r>
        <w:rPr>
          <w:sz w:val="20"/>
        </w:rPr>
        <w:t>En los casos en que el Consejo de Ministros autorice la celebración de un contrato deberá autorizar igualmente sus modificaciones, siempre que, no encontrándose las mismas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8" w:firstLine="0"/>
      </w:pPr>
      <w:r>
        <w:t>previstas</w:t>
      </w:r>
      <w:r>
        <w:rPr>
          <w:spacing w:val="-3"/>
        </w:rPr>
        <w:t xml:space="preserve"> </w:t>
      </w:r>
      <w:r>
        <w:t>en</w:t>
      </w:r>
      <w:r>
        <w:rPr>
          <w:spacing w:val="-3"/>
        </w:rPr>
        <w:t xml:space="preserve"> </w:t>
      </w:r>
      <w:r>
        <w:t>el</w:t>
      </w:r>
      <w:r>
        <w:rPr>
          <w:spacing w:val="-3"/>
        </w:rPr>
        <w:t xml:space="preserve"> </w:t>
      </w:r>
      <w:r>
        <w:t>pliego,</w:t>
      </w:r>
      <w:r>
        <w:rPr>
          <w:spacing w:val="-3"/>
        </w:rPr>
        <w:t xml:space="preserve"> </w:t>
      </w:r>
      <w:r>
        <w:t>representen</w:t>
      </w:r>
      <w:r>
        <w:rPr>
          <w:spacing w:val="-3"/>
        </w:rPr>
        <w:t xml:space="preserve"> </w:t>
      </w:r>
      <w:r>
        <w:t>un</w:t>
      </w:r>
      <w:r>
        <w:rPr>
          <w:spacing w:val="-3"/>
        </w:rPr>
        <w:t xml:space="preserve"> </w:t>
      </w:r>
      <w:r>
        <w:t>porcentaje,</w:t>
      </w:r>
      <w:r>
        <w:rPr>
          <w:spacing w:val="-3"/>
        </w:rPr>
        <w:t xml:space="preserve"> </w:t>
      </w:r>
      <w:r>
        <w:t>aislada</w:t>
      </w:r>
      <w:r>
        <w:rPr>
          <w:spacing w:val="-3"/>
        </w:rPr>
        <w:t xml:space="preserve"> </w:t>
      </w:r>
      <w:r>
        <w:t>o</w:t>
      </w:r>
      <w:r>
        <w:rPr>
          <w:spacing w:val="-3"/>
        </w:rPr>
        <w:t xml:space="preserve"> </w:t>
      </w:r>
      <w:r>
        <w:t>conjuntamente,</w:t>
      </w:r>
      <w:r>
        <w:rPr>
          <w:spacing w:val="-3"/>
        </w:rPr>
        <w:t xml:space="preserve"> </w:t>
      </w:r>
      <w:r>
        <w:t>superior</w:t>
      </w:r>
      <w:r>
        <w:rPr>
          <w:spacing w:val="-3"/>
        </w:rPr>
        <w:t xml:space="preserve"> </w:t>
      </w:r>
      <w:r>
        <w:t>al</w:t>
      </w:r>
      <w:r>
        <w:rPr>
          <w:spacing w:val="-3"/>
        </w:rPr>
        <w:t xml:space="preserve"> </w:t>
      </w:r>
      <w:r>
        <w:t>10</w:t>
      </w:r>
      <w:r>
        <w:rPr>
          <w:spacing w:val="-3"/>
        </w:rPr>
        <w:t xml:space="preserve"> </w:t>
      </w:r>
      <w:r>
        <w:t>por ciento del precio inicial del contrato, IVA excluido; así como la resolución misma, en su caso.</w:t>
      </w:r>
    </w:p>
    <w:p w:rsidR="0092635B" w:rsidRDefault="00000000">
      <w:pPr>
        <w:pStyle w:val="Textoindependiente"/>
        <w:spacing w:before="1" w:line="249" w:lineRule="auto"/>
        <w:ind w:right="1105"/>
      </w:pPr>
      <w:r>
        <w:t xml:space="preserve">Esta información se publicará en las referencias del Consejo de Ministros del día de su </w:t>
      </w:r>
      <w:r>
        <w:rPr>
          <w:spacing w:val="-2"/>
        </w:rPr>
        <w:t>aprobación.</w:t>
      </w:r>
    </w:p>
    <w:p w:rsidR="0092635B" w:rsidRDefault="00000000">
      <w:pPr>
        <w:pStyle w:val="Prrafodelista"/>
        <w:numPr>
          <w:ilvl w:val="0"/>
          <w:numId w:val="81"/>
        </w:numPr>
        <w:tabs>
          <w:tab w:val="left" w:pos="1728"/>
        </w:tabs>
        <w:spacing w:line="249" w:lineRule="auto"/>
        <w:ind w:right="1104" w:firstLine="340"/>
        <w:jc w:val="both"/>
        <w:rPr>
          <w:sz w:val="20"/>
        </w:rPr>
      </w:pPr>
      <w:r>
        <w:rPr>
          <w:sz w:val="20"/>
        </w:rPr>
        <w:t>Los Secretarios de Estado, o en su defecto, los titulares de los departamentos ministeriales a que se hallen adscritas las entidades que tengan la consideración de poder adjudicador en virtud de lo establecido en el apartado 3 del artículo 3 de la presente Ley podrán</w:t>
      </w:r>
      <w:r>
        <w:rPr>
          <w:spacing w:val="-2"/>
          <w:sz w:val="20"/>
        </w:rPr>
        <w:t xml:space="preserve"> </w:t>
      </w:r>
      <w:r>
        <w:rPr>
          <w:sz w:val="20"/>
        </w:rPr>
        <w:t>fijar</w:t>
      </w:r>
      <w:r>
        <w:rPr>
          <w:spacing w:val="-2"/>
          <w:sz w:val="20"/>
        </w:rPr>
        <w:t xml:space="preserve"> </w:t>
      </w:r>
      <w:r>
        <w:rPr>
          <w:sz w:val="20"/>
        </w:rPr>
        <w:t>el</w:t>
      </w:r>
      <w:r>
        <w:rPr>
          <w:spacing w:val="-2"/>
          <w:sz w:val="20"/>
        </w:rPr>
        <w:t xml:space="preserve"> </w:t>
      </w:r>
      <w:r>
        <w:rPr>
          <w:sz w:val="20"/>
        </w:rPr>
        <w:t>importe</w:t>
      </w:r>
      <w:r>
        <w:rPr>
          <w:spacing w:val="-2"/>
          <w:sz w:val="20"/>
        </w:rPr>
        <w:t xml:space="preserve"> </w:t>
      </w:r>
      <w:r>
        <w:rPr>
          <w:sz w:val="20"/>
        </w:rPr>
        <w:t>del</w:t>
      </w:r>
      <w:r>
        <w:rPr>
          <w:spacing w:val="-2"/>
          <w:sz w:val="20"/>
        </w:rPr>
        <w:t xml:space="preserve"> </w:t>
      </w:r>
      <w:r>
        <w:rPr>
          <w:sz w:val="20"/>
        </w:rPr>
        <w:t>valor</w:t>
      </w:r>
      <w:r>
        <w:rPr>
          <w:spacing w:val="-2"/>
          <w:sz w:val="20"/>
        </w:rPr>
        <w:t xml:space="preserve"> </w:t>
      </w:r>
      <w:r>
        <w:rPr>
          <w:sz w:val="20"/>
        </w:rPr>
        <w:t>estimado</w:t>
      </w:r>
      <w:r>
        <w:rPr>
          <w:spacing w:val="-2"/>
          <w:sz w:val="20"/>
        </w:rPr>
        <w:t xml:space="preserve"> </w:t>
      </w:r>
      <w:r>
        <w:rPr>
          <w:sz w:val="20"/>
        </w:rPr>
        <w:t>a</w:t>
      </w:r>
      <w:r>
        <w:rPr>
          <w:spacing w:val="-2"/>
          <w:sz w:val="20"/>
        </w:rPr>
        <w:t xml:space="preserve"> </w:t>
      </w:r>
      <w:r>
        <w:rPr>
          <w:sz w:val="20"/>
        </w:rPr>
        <w:t>partir</w:t>
      </w:r>
      <w:r>
        <w:rPr>
          <w:spacing w:val="-2"/>
          <w:sz w:val="20"/>
        </w:rPr>
        <w:t xml:space="preserve"> </w:t>
      </w:r>
      <w:r>
        <w:rPr>
          <w:sz w:val="20"/>
        </w:rPr>
        <w:t>del</w:t>
      </w:r>
      <w:r>
        <w:rPr>
          <w:spacing w:val="-2"/>
          <w:sz w:val="20"/>
        </w:rPr>
        <w:t xml:space="preserve"> </w:t>
      </w:r>
      <w:r>
        <w:rPr>
          <w:sz w:val="20"/>
        </w:rPr>
        <w:t>cual</w:t>
      </w:r>
      <w:r>
        <w:rPr>
          <w:spacing w:val="-2"/>
          <w:sz w:val="20"/>
        </w:rPr>
        <w:t xml:space="preserve"> </w:t>
      </w:r>
      <w:r>
        <w:rPr>
          <w:sz w:val="20"/>
        </w:rPr>
        <w:t>será</w:t>
      </w:r>
      <w:r>
        <w:rPr>
          <w:spacing w:val="-2"/>
          <w:sz w:val="20"/>
        </w:rPr>
        <w:t xml:space="preserve"> </w:t>
      </w:r>
      <w:r>
        <w:rPr>
          <w:sz w:val="20"/>
        </w:rPr>
        <w:t>necesaria</w:t>
      </w:r>
      <w:r>
        <w:rPr>
          <w:spacing w:val="-2"/>
          <w:sz w:val="20"/>
        </w:rPr>
        <w:t xml:space="preserve"> </w:t>
      </w:r>
      <w:r>
        <w:rPr>
          <w:sz w:val="20"/>
        </w:rPr>
        <w:t>su</w:t>
      </w:r>
      <w:r>
        <w:rPr>
          <w:spacing w:val="-2"/>
          <w:sz w:val="20"/>
        </w:rPr>
        <w:t xml:space="preserve"> </w:t>
      </w:r>
      <w:r>
        <w:rPr>
          <w:sz w:val="20"/>
        </w:rPr>
        <w:t>autorización</w:t>
      </w:r>
      <w:r>
        <w:rPr>
          <w:spacing w:val="-2"/>
          <w:sz w:val="20"/>
        </w:rPr>
        <w:t xml:space="preserve"> </w:t>
      </w:r>
      <w:r>
        <w:rPr>
          <w:sz w:val="20"/>
        </w:rPr>
        <w:t>para la celebración de los contratos.</w:t>
      </w:r>
    </w:p>
    <w:p w:rsidR="0092635B" w:rsidRDefault="00000000">
      <w:pPr>
        <w:pStyle w:val="Textoindependiente"/>
        <w:spacing w:before="4" w:line="249" w:lineRule="auto"/>
        <w:ind w:right="1104"/>
      </w:pPr>
      <w:r>
        <w:t>A tal efecto, dichas entidades podrán elevar a la Secretaría de Estado a la que se hallen adscritas, o en su defecto, al titular del departamento ministerial de adscripción, la correspondiente propuesta.</w:t>
      </w:r>
    </w:p>
    <w:p w:rsidR="0092635B" w:rsidRDefault="00000000">
      <w:pPr>
        <w:pStyle w:val="Prrafodelista"/>
        <w:numPr>
          <w:ilvl w:val="0"/>
          <w:numId w:val="81"/>
        </w:numPr>
        <w:tabs>
          <w:tab w:val="left" w:pos="1670"/>
        </w:tabs>
        <w:spacing w:line="249" w:lineRule="auto"/>
        <w:ind w:firstLine="340"/>
        <w:jc w:val="both"/>
        <w:rPr>
          <w:sz w:val="20"/>
        </w:rPr>
      </w:pPr>
      <w:r>
        <w:rPr>
          <w:sz w:val="20"/>
        </w:rPr>
        <w:t>En el ámbito del Sector Público Estatal, antes de celebrar un contrato de concesión de obras o de concesión de servicios, cuyo valor estimado sea igual o superior a doce millones de euros, será preceptivo y vinculante un informe del Ministerio de Hacienda y Función Pública, que se pronuncie sobre las repercusiones presupuestarias y compromisos financieros que implique, así como sobre su incidencia en el cumplimiento del objetivo de estabilidad presupuestaria, según lo establecido en la Ley Orgánica 2/2012, de 27 de abril, de Estabilidad Presupuestaria y Sostenibilidad Financiera.</w:t>
      </w:r>
    </w:p>
    <w:p w:rsidR="0092635B" w:rsidRDefault="00000000">
      <w:pPr>
        <w:pStyle w:val="Textoindependiente"/>
        <w:spacing w:before="6" w:line="249" w:lineRule="auto"/>
        <w:ind w:right="1102"/>
      </w:pPr>
      <w:r>
        <w:t>Asimismo, en estos contratos, y con independencia de la cuantía del contrato, será igualmente necesario recabar el informe vinculante del Ministerio de Hacienda y Función Pública cuando, en su financiación se prevea cualquier forma de ayuda o aportación estatal, o el otorgamiento de préstamos o anticipos.</w:t>
      </w:r>
    </w:p>
    <w:p w:rsidR="0092635B" w:rsidRDefault="00000000">
      <w:pPr>
        <w:pStyle w:val="Textoindependiente"/>
        <w:spacing w:before="4" w:line="249" w:lineRule="auto"/>
        <w:ind w:right="1104"/>
      </w:pPr>
      <w:r>
        <w:t xml:space="preserve">A tal efecto, el órgano de contratación deberá proporcionar información completa acerca de los aspectos financieros y presupuestarios del contrato, incluyendo los mecanismos de captación de financiación y garantías que se prevea utilizar, durante toda la vigencia del </w:t>
      </w:r>
      <w:r>
        <w:rPr>
          <w:spacing w:val="-2"/>
        </w:rPr>
        <w:t>mismo.</w:t>
      </w:r>
    </w:p>
    <w:p w:rsidR="0092635B" w:rsidRDefault="00000000">
      <w:pPr>
        <w:pStyle w:val="Textoindependiente"/>
        <w:spacing w:before="3" w:line="249" w:lineRule="auto"/>
        <w:ind w:right="1103"/>
      </w:pPr>
      <w:r>
        <w:t>En la elaboración del informe al que se refieren los dos primeros párrafos del presente apartado se deberá tener en cuenta, en el ámbito del sector público estatal, el informe que al respecto</w:t>
      </w:r>
      <w:r>
        <w:rPr>
          <w:spacing w:val="-2"/>
        </w:rPr>
        <w:t xml:space="preserve"> </w:t>
      </w:r>
      <w:r>
        <w:t>emita</w:t>
      </w:r>
      <w:r>
        <w:rPr>
          <w:spacing w:val="-2"/>
        </w:rPr>
        <w:t xml:space="preserve"> </w:t>
      </w:r>
      <w:r>
        <w:t>el</w:t>
      </w:r>
      <w:r>
        <w:rPr>
          <w:spacing w:val="-2"/>
        </w:rPr>
        <w:t xml:space="preserve"> </w:t>
      </w:r>
      <w:r>
        <w:t>Comité</w:t>
      </w:r>
      <w:r>
        <w:rPr>
          <w:spacing w:val="-2"/>
        </w:rPr>
        <w:t xml:space="preserve"> </w:t>
      </w:r>
      <w:r>
        <w:t>Técnico</w:t>
      </w:r>
      <w:r>
        <w:rPr>
          <w:spacing w:val="-2"/>
        </w:rPr>
        <w:t xml:space="preserve"> </w:t>
      </w:r>
      <w:r>
        <w:t>de</w:t>
      </w:r>
      <w:r>
        <w:rPr>
          <w:spacing w:val="-2"/>
        </w:rPr>
        <w:t xml:space="preserve"> </w:t>
      </w:r>
      <w:r>
        <w:t>Cuentas</w:t>
      </w:r>
      <w:r>
        <w:rPr>
          <w:spacing w:val="-2"/>
        </w:rPr>
        <w:t xml:space="preserve"> </w:t>
      </w:r>
      <w:r>
        <w:t>Nacionales,</w:t>
      </w:r>
      <w:r>
        <w:rPr>
          <w:spacing w:val="-2"/>
        </w:rPr>
        <w:t xml:space="preserve"> </w:t>
      </w:r>
      <w:r>
        <w:t>creado</w:t>
      </w:r>
      <w:r>
        <w:rPr>
          <w:spacing w:val="-2"/>
        </w:rPr>
        <w:t xml:space="preserve"> </w:t>
      </w:r>
      <w:r>
        <w:t>por</w:t>
      </w:r>
      <w:r>
        <w:rPr>
          <w:spacing w:val="-2"/>
        </w:rPr>
        <w:t xml:space="preserve"> </w:t>
      </w:r>
      <w:r>
        <w:t>la</w:t>
      </w:r>
      <w:r>
        <w:rPr>
          <w:spacing w:val="-2"/>
        </w:rPr>
        <w:t xml:space="preserve"> </w:t>
      </w:r>
      <w:r>
        <w:t>disposición</w:t>
      </w:r>
      <w:r>
        <w:rPr>
          <w:spacing w:val="-2"/>
        </w:rPr>
        <w:t xml:space="preserve"> </w:t>
      </w:r>
      <w:r>
        <w:t>adicional primera de la Ley Orgánica 6/2013, de 14 de noviembre, de creación de la Autoridad Independiente de Responsabilidad Fiscal.</w:t>
      </w:r>
    </w:p>
    <w:p w:rsidR="0092635B" w:rsidRDefault="00000000">
      <w:pPr>
        <w:pStyle w:val="Textoindependiente"/>
        <w:spacing w:before="4" w:line="249" w:lineRule="auto"/>
        <w:ind w:right="1105"/>
      </w:pPr>
      <w:r>
        <w:t>En los casos en que se trate de contratos de concesión de obras o de servicios cuyo valor estimado sea igual o superior a doce millones de euros y en los que en su financiación se prevea cualquier forma de ayuda o aportación estatal, o el otorgamiento de préstamos o anticipos, el informe del Ministerio de Hacienda y Función Pública al que hacen referencia el párrafo primero y segundo del presente apartado, será único.</w:t>
      </w:r>
    </w:p>
    <w:p w:rsidR="0092635B" w:rsidRDefault="00000000">
      <w:pPr>
        <w:pStyle w:val="Textoindependiente"/>
        <w:spacing w:before="4" w:line="249" w:lineRule="auto"/>
        <w:ind w:right="1105"/>
      </w:pPr>
      <w:r>
        <w:t>Por otro lado, los informes citados en el primer y segundo párrafo del presente apartado se solicitarán por el órgano de contratación con carácter previo a la tramitación de la autorización del Consejo de Ministros a la que se refiere el apartado primero del presente artículo en los supuestos en que la misma sea preceptiva, y en todo caso, con carácter</w:t>
      </w:r>
      <w:r>
        <w:rPr>
          <w:spacing w:val="40"/>
        </w:rPr>
        <w:t xml:space="preserve"> </w:t>
      </w:r>
      <w:r>
        <w:t>previo a la aprobación del expediente de contratación y a la aprobación del gasto.</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549" w:name="Artículo_325._Desconcentración."/>
      <w:bookmarkEnd w:id="549"/>
      <w:r>
        <w:rPr>
          <w:rFonts w:ascii="Arial" w:hAnsi="Arial"/>
          <w:b/>
          <w:sz w:val="20"/>
        </w:rPr>
        <w:t>Artículo 325.</w:t>
      </w:r>
      <w:r>
        <w:rPr>
          <w:rFonts w:ascii="Arial" w:hAnsi="Arial"/>
          <w:b/>
          <w:spacing w:val="54"/>
          <w:sz w:val="20"/>
        </w:rPr>
        <w:t xml:space="preserve"> </w:t>
      </w:r>
      <w:r>
        <w:rPr>
          <w:rFonts w:ascii="Arial" w:hAnsi="Arial"/>
          <w:i/>
          <w:spacing w:val="-2"/>
          <w:sz w:val="20"/>
        </w:rPr>
        <w:t>Desconcentración.</w:t>
      </w:r>
    </w:p>
    <w:p w:rsidR="0092635B" w:rsidRDefault="00000000">
      <w:pPr>
        <w:pStyle w:val="Prrafodelista"/>
        <w:numPr>
          <w:ilvl w:val="0"/>
          <w:numId w:val="80"/>
        </w:numPr>
        <w:tabs>
          <w:tab w:val="left" w:pos="1693"/>
        </w:tabs>
        <w:spacing w:before="123" w:line="249" w:lineRule="auto"/>
        <w:ind w:right="1104" w:firstLine="340"/>
        <w:jc w:val="both"/>
        <w:rPr>
          <w:sz w:val="20"/>
        </w:rPr>
      </w:pPr>
      <w:r>
        <w:rPr>
          <w:sz w:val="20"/>
        </w:rPr>
        <w:t>Las competencias en materia de contratación podrán ser desconcentradas por Real Decreto acordado en Consejo de Ministros, en cualesquiera órganos, sean o no dependientes del órgano de contratación.</w:t>
      </w:r>
    </w:p>
    <w:p w:rsidR="0092635B" w:rsidRDefault="00000000">
      <w:pPr>
        <w:pStyle w:val="Prrafodelista"/>
        <w:numPr>
          <w:ilvl w:val="0"/>
          <w:numId w:val="80"/>
        </w:numPr>
        <w:tabs>
          <w:tab w:val="left" w:pos="1749"/>
        </w:tabs>
        <w:spacing w:before="3" w:line="249" w:lineRule="auto"/>
        <w:ind w:firstLine="340"/>
        <w:jc w:val="both"/>
        <w:rPr>
          <w:sz w:val="20"/>
        </w:rPr>
      </w:pPr>
      <w:r>
        <w:rPr>
          <w:sz w:val="20"/>
        </w:rPr>
        <w:t>En las Entidades Gestoras y Servicios Comunes de la Seguridad Social, las competencias en materia de contratación de sus Directores podrán desconcentrarse en la forma y con los requisitos establecidos en el texto refundido de la Ley General de la Seguridad Social, aprobado por Real Decreto Legislativo 8/2015, de 30 de octubre.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550" w:name="CAPÍTULO_II._Órganos_de_asistencia"/>
      <w:bookmarkStart w:id="551" w:name="_bookmark114"/>
      <w:bookmarkEnd w:id="550"/>
      <w:bookmarkEnd w:id="551"/>
      <w:r>
        <w:t xml:space="preserve">CAPÍTULO </w:t>
      </w:r>
      <w:r>
        <w:rPr>
          <w:spacing w:val="-5"/>
        </w:rPr>
        <w:t>II</w:t>
      </w:r>
    </w:p>
    <w:p w:rsidR="0092635B" w:rsidRDefault="00000000">
      <w:pPr>
        <w:pStyle w:val="Ttulo2"/>
      </w:pPr>
      <w:r>
        <w:t>Órganos</w:t>
      </w:r>
      <w:r>
        <w:rPr>
          <w:spacing w:val="-4"/>
        </w:rPr>
        <w:t xml:space="preserve"> </w:t>
      </w:r>
      <w:r>
        <w:t>de</w:t>
      </w:r>
      <w:r>
        <w:rPr>
          <w:spacing w:val="-3"/>
        </w:rPr>
        <w:t xml:space="preserve"> </w:t>
      </w:r>
      <w:r>
        <w:rPr>
          <w:spacing w:val="-2"/>
        </w:rPr>
        <w:t>asistencia</w:t>
      </w:r>
    </w:p>
    <w:p w:rsidR="0092635B" w:rsidRDefault="0092635B">
      <w:pPr>
        <w:pStyle w:val="Textoindependiente"/>
        <w:spacing w:before="7"/>
        <w:ind w:left="0" w:firstLine="0"/>
        <w:jc w:val="left"/>
        <w:rPr>
          <w:rFonts w:ascii="Arial"/>
          <w:b/>
        </w:rPr>
      </w:pPr>
    </w:p>
    <w:p w:rsidR="0092635B" w:rsidRDefault="00000000">
      <w:pPr>
        <w:ind w:left="1106"/>
        <w:rPr>
          <w:rFonts w:ascii="Arial" w:hAnsi="Arial"/>
          <w:i/>
          <w:sz w:val="20"/>
        </w:rPr>
      </w:pPr>
      <w:bookmarkStart w:id="552" w:name="Artículo_326._Mesas_de_contratación."/>
      <w:bookmarkEnd w:id="552"/>
      <w:r>
        <w:rPr>
          <w:rFonts w:ascii="Arial" w:hAnsi="Arial"/>
          <w:b/>
          <w:sz w:val="20"/>
        </w:rPr>
        <w:t>Artículo</w:t>
      </w:r>
      <w:r>
        <w:rPr>
          <w:rFonts w:ascii="Arial" w:hAnsi="Arial"/>
          <w:b/>
          <w:spacing w:val="-1"/>
          <w:sz w:val="20"/>
        </w:rPr>
        <w:t xml:space="preserve"> </w:t>
      </w:r>
      <w:r>
        <w:rPr>
          <w:rFonts w:ascii="Arial" w:hAnsi="Arial"/>
          <w:b/>
          <w:sz w:val="20"/>
        </w:rPr>
        <w:t>326.</w:t>
      </w:r>
      <w:r>
        <w:rPr>
          <w:rFonts w:ascii="Arial" w:hAnsi="Arial"/>
          <w:b/>
          <w:spacing w:val="54"/>
          <w:sz w:val="20"/>
        </w:rPr>
        <w:t xml:space="preserve"> </w:t>
      </w:r>
      <w:r>
        <w:rPr>
          <w:rFonts w:ascii="Arial" w:hAnsi="Arial"/>
          <w:i/>
          <w:sz w:val="20"/>
        </w:rPr>
        <w:t xml:space="preserve">Mesas de </w:t>
      </w:r>
      <w:r>
        <w:rPr>
          <w:rFonts w:ascii="Arial" w:hAnsi="Arial"/>
          <w:i/>
          <w:spacing w:val="-2"/>
          <w:sz w:val="20"/>
        </w:rPr>
        <w:t>contratación.</w:t>
      </w:r>
    </w:p>
    <w:p w:rsidR="0092635B" w:rsidRDefault="00000000">
      <w:pPr>
        <w:pStyle w:val="Prrafodelista"/>
        <w:numPr>
          <w:ilvl w:val="0"/>
          <w:numId w:val="79"/>
        </w:numPr>
        <w:tabs>
          <w:tab w:val="left" w:pos="1690"/>
        </w:tabs>
        <w:spacing w:before="123" w:line="249" w:lineRule="auto"/>
        <w:ind w:firstLine="340"/>
        <w:jc w:val="both"/>
        <w:rPr>
          <w:sz w:val="20"/>
        </w:rPr>
      </w:pPr>
      <w:r>
        <w:rPr>
          <w:sz w:val="20"/>
        </w:rPr>
        <w:t>Salvo en el caso en que la competencia para contratar corresponda a una Junta de Contratación, en los procedimientos abiertos, abierto simplificado, restringidos, de diálogo competitivo, de licitación con negociación y de asociación para la innovación, los órganos de contratación de las Administraciones Públicas estarán asistidos por una mesa de contratación. En los procedimientos negociados en que no sea necesario publicar anuncios de</w:t>
      </w:r>
      <w:r>
        <w:rPr>
          <w:spacing w:val="-2"/>
          <w:sz w:val="20"/>
        </w:rPr>
        <w:t xml:space="preserve"> </w:t>
      </w:r>
      <w:r>
        <w:rPr>
          <w:sz w:val="20"/>
        </w:rPr>
        <w:t>licitación,</w:t>
      </w:r>
      <w:r>
        <w:rPr>
          <w:spacing w:val="-2"/>
          <w:sz w:val="20"/>
        </w:rPr>
        <w:t xml:space="preserve"> </w:t>
      </w:r>
      <w:r>
        <w:rPr>
          <w:sz w:val="20"/>
        </w:rPr>
        <w:t>la</w:t>
      </w:r>
      <w:r>
        <w:rPr>
          <w:spacing w:val="-2"/>
          <w:sz w:val="20"/>
        </w:rPr>
        <w:t xml:space="preserve"> </w:t>
      </w:r>
      <w:r>
        <w:rPr>
          <w:sz w:val="20"/>
        </w:rPr>
        <w:t>constitución</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mesa</w:t>
      </w:r>
      <w:r>
        <w:rPr>
          <w:spacing w:val="-2"/>
          <w:sz w:val="20"/>
        </w:rPr>
        <w:t xml:space="preserve"> </w:t>
      </w:r>
      <w:r>
        <w:rPr>
          <w:sz w:val="20"/>
        </w:rPr>
        <w:t>será</w:t>
      </w:r>
      <w:r>
        <w:rPr>
          <w:spacing w:val="-2"/>
          <w:sz w:val="20"/>
        </w:rPr>
        <w:t xml:space="preserve"> </w:t>
      </w:r>
      <w:r>
        <w:rPr>
          <w:sz w:val="20"/>
        </w:rPr>
        <w:t>potestativa</w:t>
      </w:r>
      <w:r>
        <w:rPr>
          <w:spacing w:val="-2"/>
          <w:sz w:val="20"/>
        </w:rPr>
        <w:t xml:space="preserve"> </w:t>
      </w:r>
      <w:r>
        <w:rPr>
          <w:sz w:val="20"/>
        </w:rPr>
        <w:t>para</w:t>
      </w:r>
      <w:r>
        <w:rPr>
          <w:spacing w:val="-2"/>
          <w:sz w:val="20"/>
        </w:rPr>
        <w:t xml:space="preserve"> </w:t>
      </w:r>
      <w:r>
        <w:rPr>
          <w:sz w:val="20"/>
        </w:rPr>
        <w:t>el</w:t>
      </w:r>
      <w:r>
        <w:rPr>
          <w:spacing w:val="-2"/>
          <w:sz w:val="20"/>
        </w:rPr>
        <w:t xml:space="preserve"> </w:t>
      </w:r>
      <w:r>
        <w:rPr>
          <w:sz w:val="20"/>
        </w:rPr>
        <w:t>órgano</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salvo cuando se fundamente en la existencia de una imperiosa urgencia prevista en la letra b) 1.º del artículo 168, en el que será obligatoria la constitución de la mesa. En los procedimientos a los que se refiere el artículo 159.6 será igualmente potestativa la constitución de la mesa.</w:t>
      </w:r>
    </w:p>
    <w:p w:rsidR="0092635B" w:rsidRDefault="00000000">
      <w:pPr>
        <w:pStyle w:val="Prrafodelista"/>
        <w:numPr>
          <w:ilvl w:val="0"/>
          <w:numId w:val="79"/>
        </w:numPr>
        <w:tabs>
          <w:tab w:val="left" w:pos="1689"/>
        </w:tabs>
        <w:spacing w:before="8" w:line="249" w:lineRule="auto"/>
        <w:ind w:firstLine="340"/>
        <w:jc w:val="both"/>
        <w:rPr>
          <w:sz w:val="20"/>
        </w:rPr>
      </w:pPr>
      <w:r>
        <w:rPr>
          <w:sz w:val="20"/>
        </w:rPr>
        <w:t xml:space="preserve">La mesa de contratación, como órgano de asistencia técnica especializada, ejercerá las siguientes funciones, entre otras que se le atribuyan en esta Ley y en su desarrollo </w:t>
      </w:r>
      <w:r>
        <w:rPr>
          <w:spacing w:val="-2"/>
          <w:sz w:val="20"/>
        </w:rPr>
        <w:t>reglamentario:</w:t>
      </w:r>
    </w:p>
    <w:p w:rsidR="0092635B" w:rsidRDefault="00000000">
      <w:pPr>
        <w:pStyle w:val="Prrafodelista"/>
        <w:numPr>
          <w:ilvl w:val="1"/>
          <w:numId w:val="79"/>
        </w:numPr>
        <w:tabs>
          <w:tab w:val="left" w:pos="1715"/>
        </w:tabs>
        <w:spacing w:before="122" w:line="249" w:lineRule="auto"/>
        <w:ind w:firstLine="340"/>
        <w:jc w:val="both"/>
        <w:rPr>
          <w:sz w:val="20"/>
        </w:rPr>
      </w:pPr>
      <w:r>
        <w:rPr>
          <w:sz w:val="20"/>
        </w:rPr>
        <w:t>La calificación de la documentación acreditativa del cumplimiento de los requisitos previos a que se refieren los artículos 140 y 141, y, en su caso, acordar la exclusión de los candidatos o licitadores que no acrediten dicho cumplimiento, previo trámite de subsanación.</w:t>
      </w:r>
    </w:p>
    <w:p w:rsidR="0092635B" w:rsidRDefault="00000000">
      <w:pPr>
        <w:pStyle w:val="Prrafodelista"/>
        <w:numPr>
          <w:ilvl w:val="1"/>
          <w:numId w:val="79"/>
        </w:numPr>
        <w:tabs>
          <w:tab w:val="left" w:pos="1679"/>
        </w:tabs>
        <w:spacing w:before="3"/>
        <w:ind w:left="1679" w:right="0" w:hanging="233"/>
        <w:jc w:val="both"/>
        <w:rPr>
          <w:sz w:val="20"/>
        </w:rPr>
      </w:pPr>
      <w:r>
        <w:rPr>
          <w:sz w:val="20"/>
        </w:rPr>
        <w:t>La</w:t>
      </w:r>
      <w:r>
        <w:rPr>
          <w:spacing w:val="-4"/>
          <w:sz w:val="20"/>
        </w:rPr>
        <w:t xml:space="preserve"> </w:t>
      </w:r>
      <w:r>
        <w:rPr>
          <w:sz w:val="20"/>
        </w:rPr>
        <w:t>valoración</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z w:val="20"/>
        </w:rPr>
        <w:t>proposiciones</w:t>
      </w:r>
      <w:r>
        <w:rPr>
          <w:spacing w:val="-2"/>
          <w:sz w:val="20"/>
        </w:rPr>
        <w:t xml:space="preserve"> </w:t>
      </w:r>
      <w:r>
        <w:rPr>
          <w:sz w:val="20"/>
        </w:rPr>
        <w:t>de</w:t>
      </w:r>
      <w:r>
        <w:rPr>
          <w:spacing w:val="-2"/>
          <w:sz w:val="20"/>
        </w:rPr>
        <w:t xml:space="preserve"> </w:t>
      </w:r>
      <w:r>
        <w:rPr>
          <w:sz w:val="20"/>
        </w:rPr>
        <w:t>los</w:t>
      </w:r>
      <w:r>
        <w:rPr>
          <w:spacing w:val="-1"/>
          <w:sz w:val="20"/>
        </w:rPr>
        <w:t xml:space="preserve"> </w:t>
      </w:r>
      <w:r>
        <w:rPr>
          <w:spacing w:val="-2"/>
          <w:sz w:val="20"/>
        </w:rPr>
        <w:t>licitadores.</w:t>
      </w:r>
    </w:p>
    <w:p w:rsidR="0092635B" w:rsidRDefault="00000000">
      <w:pPr>
        <w:pStyle w:val="Prrafodelista"/>
        <w:numPr>
          <w:ilvl w:val="1"/>
          <w:numId w:val="79"/>
        </w:numPr>
        <w:tabs>
          <w:tab w:val="left" w:pos="1675"/>
        </w:tabs>
        <w:spacing w:before="10" w:line="249" w:lineRule="auto"/>
        <w:ind w:right="1106" w:firstLine="340"/>
        <w:jc w:val="both"/>
        <w:rPr>
          <w:sz w:val="20"/>
        </w:rPr>
      </w:pPr>
      <w:r>
        <w:rPr>
          <w:sz w:val="20"/>
        </w:rPr>
        <w:t>En su caso, la propuesta sobre la calificación de una oferta como anormalmente baja, previa tramitación del procedimiento a que se refiere el artículo 149 de la presente Ley.</w:t>
      </w:r>
    </w:p>
    <w:p w:rsidR="0092635B" w:rsidRDefault="00000000">
      <w:pPr>
        <w:pStyle w:val="Prrafodelista"/>
        <w:numPr>
          <w:ilvl w:val="1"/>
          <w:numId w:val="79"/>
        </w:numPr>
        <w:tabs>
          <w:tab w:val="left" w:pos="1731"/>
        </w:tabs>
        <w:spacing w:before="1" w:line="249" w:lineRule="auto"/>
        <w:ind w:right="1104" w:firstLine="340"/>
        <w:jc w:val="both"/>
        <w:rPr>
          <w:sz w:val="20"/>
        </w:rPr>
      </w:pPr>
      <w:r>
        <w:rPr>
          <w:sz w:val="20"/>
        </w:rPr>
        <w:t>La propuesta al órgano de contratación de adjudicación del contrato a favor del licitador que haya presentado la mejor oferta, de conformidad con lo dispuesto en el artículo 145, según proceda de conformidad con el pliego de cláusulas administrativas particulares que rija la licitación.</w:t>
      </w:r>
    </w:p>
    <w:p w:rsidR="0092635B" w:rsidRDefault="00000000">
      <w:pPr>
        <w:pStyle w:val="Prrafodelista"/>
        <w:numPr>
          <w:ilvl w:val="1"/>
          <w:numId w:val="79"/>
        </w:numPr>
        <w:tabs>
          <w:tab w:val="left" w:pos="1725"/>
        </w:tabs>
        <w:spacing w:before="4" w:line="249" w:lineRule="auto"/>
        <w:ind w:right="1104" w:firstLine="340"/>
        <w:jc w:val="both"/>
        <w:rPr>
          <w:sz w:val="20"/>
        </w:rPr>
      </w:pPr>
      <w:r>
        <w:rPr>
          <w:sz w:val="20"/>
        </w:rPr>
        <w:t>En el procedimiento restringido, en el diálogo competitivo, en el de licitación con negociación y en el de asociación para la innovación, la selección de los candidatos cuando así se delegue por el órgano de contratación, haciéndolo constar en el pliego de cláusulas administrativas particulares.</w:t>
      </w:r>
    </w:p>
    <w:p w:rsidR="0092635B" w:rsidRDefault="00000000">
      <w:pPr>
        <w:pStyle w:val="Prrafodelista"/>
        <w:numPr>
          <w:ilvl w:val="0"/>
          <w:numId w:val="79"/>
        </w:numPr>
        <w:tabs>
          <w:tab w:val="left" w:pos="1740"/>
        </w:tabs>
        <w:spacing w:before="123" w:line="249" w:lineRule="auto"/>
        <w:ind w:firstLine="340"/>
        <w:jc w:val="both"/>
        <w:rPr>
          <w:sz w:val="20"/>
        </w:rPr>
      </w:pPr>
      <w:r>
        <w:rPr>
          <w:sz w:val="20"/>
        </w:rPr>
        <w:t>La mesa estará constituida por un Presidente, los vocales que se determinen reglamentariamente, y un Secretario.</w:t>
      </w:r>
    </w:p>
    <w:p w:rsidR="0092635B" w:rsidRDefault="00000000">
      <w:pPr>
        <w:pStyle w:val="Textoindependiente"/>
        <w:spacing w:before="1" w:line="249" w:lineRule="auto"/>
        <w:ind w:right="1108"/>
      </w:pPr>
      <w:r>
        <w:t>La composición de la mesa se publicará en el perfil de contratante del órgano de contratación correspondiente.</w:t>
      </w:r>
    </w:p>
    <w:p w:rsidR="0092635B" w:rsidRDefault="00000000">
      <w:pPr>
        <w:pStyle w:val="Prrafodelista"/>
        <w:numPr>
          <w:ilvl w:val="0"/>
          <w:numId w:val="79"/>
        </w:numPr>
        <w:tabs>
          <w:tab w:val="left" w:pos="1668"/>
        </w:tabs>
        <w:ind w:left="1668" w:right="0" w:hanging="222"/>
        <w:jc w:val="both"/>
        <w:rPr>
          <w:sz w:val="20"/>
        </w:rPr>
      </w:pPr>
      <w:r>
        <w:rPr>
          <w:sz w:val="20"/>
        </w:rPr>
        <w:t>Los</w:t>
      </w:r>
      <w:r>
        <w:rPr>
          <w:spacing w:val="-2"/>
          <w:sz w:val="20"/>
        </w:rPr>
        <w:t xml:space="preserve"> </w:t>
      </w:r>
      <w:r>
        <w:rPr>
          <w:sz w:val="20"/>
        </w:rPr>
        <w:t>miembros</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mesa</w:t>
      </w:r>
      <w:r>
        <w:rPr>
          <w:spacing w:val="-2"/>
          <w:sz w:val="20"/>
        </w:rPr>
        <w:t xml:space="preserve"> </w:t>
      </w:r>
      <w:r>
        <w:rPr>
          <w:sz w:val="20"/>
        </w:rPr>
        <w:t>serán</w:t>
      </w:r>
      <w:r>
        <w:rPr>
          <w:spacing w:val="-1"/>
          <w:sz w:val="20"/>
        </w:rPr>
        <w:t xml:space="preserve"> </w:t>
      </w:r>
      <w:r>
        <w:rPr>
          <w:sz w:val="20"/>
        </w:rPr>
        <w:t>nombrados</w:t>
      </w:r>
      <w:r>
        <w:rPr>
          <w:spacing w:val="-2"/>
          <w:sz w:val="20"/>
        </w:rPr>
        <w:t xml:space="preserve"> </w:t>
      </w:r>
      <w:r>
        <w:rPr>
          <w:sz w:val="20"/>
        </w:rPr>
        <w:t>por</w:t>
      </w:r>
      <w:r>
        <w:rPr>
          <w:spacing w:val="-1"/>
          <w:sz w:val="20"/>
        </w:rPr>
        <w:t xml:space="preserve"> </w:t>
      </w:r>
      <w:r>
        <w:rPr>
          <w:sz w:val="20"/>
        </w:rPr>
        <w:t>el</w:t>
      </w:r>
      <w:r>
        <w:rPr>
          <w:spacing w:val="-2"/>
          <w:sz w:val="20"/>
        </w:rPr>
        <w:t xml:space="preserve"> </w:t>
      </w:r>
      <w:r>
        <w:rPr>
          <w:sz w:val="20"/>
        </w:rPr>
        <w:t>órgano</w:t>
      </w:r>
      <w:r>
        <w:rPr>
          <w:spacing w:val="-1"/>
          <w:sz w:val="20"/>
        </w:rPr>
        <w:t xml:space="preserve"> </w:t>
      </w:r>
      <w:r>
        <w:rPr>
          <w:sz w:val="20"/>
        </w:rPr>
        <w:t>de</w:t>
      </w:r>
      <w:r>
        <w:rPr>
          <w:spacing w:val="-1"/>
          <w:sz w:val="20"/>
        </w:rPr>
        <w:t xml:space="preserve"> </w:t>
      </w:r>
      <w:r>
        <w:rPr>
          <w:spacing w:val="-2"/>
          <w:sz w:val="20"/>
        </w:rPr>
        <w:t>contratación.</w:t>
      </w:r>
    </w:p>
    <w:p w:rsidR="0092635B" w:rsidRDefault="00000000">
      <w:pPr>
        <w:pStyle w:val="Prrafodelista"/>
        <w:numPr>
          <w:ilvl w:val="0"/>
          <w:numId w:val="79"/>
        </w:numPr>
        <w:tabs>
          <w:tab w:val="left" w:pos="1692"/>
        </w:tabs>
        <w:spacing w:before="10" w:line="249" w:lineRule="auto"/>
        <w:ind w:right="1102" w:firstLine="340"/>
        <w:jc w:val="both"/>
        <w:rPr>
          <w:sz w:val="20"/>
        </w:rPr>
      </w:pPr>
      <w:r>
        <w:rPr>
          <w:sz w:val="20"/>
        </w:rPr>
        <w:t>El Secretario deberá ser designado entre funcionarios o, en su defecto, otro tipo de personal dependiente del órgano de contratación, y entre los vocales deberán figurar necesariamente</w:t>
      </w:r>
      <w:r>
        <w:rPr>
          <w:spacing w:val="-1"/>
          <w:sz w:val="20"/>
        </w:rPr>
        <w:t xml:space="preserve"> </w:t>
      </w:r>
      <w:r>
        <w:rPr>
          <w:sz w:val="20"/>
        </w:rPr>
        <w:t>un</w:t>
      </w:r>
      <w:r>
        <w:rPr>
          <w:spacing w:val="-1"/>
          <w:sz w:val="20"/>
        </w:rPr>
        <w:t xml:space="preserve"> </w:t>
      </w:r>
      <w:r>
        <w:rPr>
          <w:sz w:val="20"/>
        </w:rPr>
        <w:t>funcionario</w:t>
      </w:r>
      <w:r>
        <w:rPr>
          <w:spacing w:val="-1"/>
          <w:sz w:val="20"/>
        </w:rPr>
        <w:t xml:space="preserve"> </w:t>
      </w:r>
      <w:r>
        <w:rPr>
          <w:sz w:val="20"/>
        </w:rPr>
        <w:t>de</w:t>
      </w:r>
      <w:r>
        <w:rPr>
          <w:spacing w:val="-1"/>
          <w:sz w:val="20"/>
        </w:rPr>
        <w:t xml:space="preserve"> </w:t>
      </w:r>
      <w:r>
        <w:rPr>
          <w:sz w:val="20"/>
        </w:rPr>
        <w:t>entre</w:t>
      </w:r>
      <w:r>
        <w:rPr>
          <w:spacing w:val="-1"/>
          <w:sz w:val="20"/>
        </w:rPr>
        <w:t xml:space="preserve"> </w:t>
      </w:r>
      <w:r>
        <w:rPr>
          <w:sz w:val="20"/>
        </w:rPr>
        <w:t>quienes</w:t>
      </w:r>
      <w:r>
        <w:rPr>
          <w:spacing w:val="-1"/>
          <w:sz w:val="20"/>
        </w:rPr>
        <w:t xml:space="preserve"> </w:t>
      </w:r>
      <w:r>
        <w:rPr>
          <w:sz w:val="20"/>
        </w:rPr>
        <w:t>tengan</w:t>
      </w:r>
      <w:r>
        <w:rPr>
          <w:spacing w:val="-1"/>
          <w:sz w:val="20"/>
        </w:rPr>
        <w:t xml:space="preserve"> </w:t>
      </w:r>
      <w:r>
        <w:rPr>
          <w:sz w:val="20"/>
        </w:rPr>
        <w:t>atribuido</w:t>
      </w:r>
      <w:r>
        <w:rPr>
          <w:spacing w:val="-1"/>
          <w:sz w:val="20"/>
        </w:rPr>
        <w:t xml:space="preserve"> </w:t>
      </w:r>
      <w:r>
        <w:rPr>
          <w:sz w:val="20"/>
        </w:rPr>
        <w:t>legal</w:t>
      </w:r>
      <w:r>
        <w:rPr>
          <w:spacing w:val="-1"/>
          <w:sz w:val="20"/>
        </w:rPr>
        <w:t xml:space="preserve"> </w:t>
      </w:r>
      <w:r>
        <w:rPr>
          <w:sz w:val="20"/>
        </w:rPr>
        <w:t>o</w:t>
      </w:r>
      <w:r>
        <w:rPr>
          <w:spacing w:val="-1"/>
          <w:sz w:val="20"/>
        </w:rPr>
        <w:t xml:space="preserve"> </w:t>
      </w:r>
      <w:r>
        <w:rPr>
          <w:sz w:val="20"/>
        </w:rPr>
        <w:t>reglamentariamente el asesoramiento jurídico del órgano de contratación y un interventor, o, a falta de éstos, una persona al servicio del órgano de contratación que tenga atribuidas las funciones correspondientes a su asesoramiento jurídico, y otra que tenga atribuidas las relativas a su control económico-presupuestario.</w:t>
      </w:r>
    </w:p>
    <w:p w:rsidR="0092635B" w:rsidRDefault="00000000">
      <w:pPr>
        <w:pStyle w:val="Textoindependiente"/>
        <w:spacing w:before="6" w:line="249" w:lineRule="auto"/>
        <w:ind w:right="1104"/>
      </w:pPr>
      <w:r>
        <w:t>Por resolución del titular de la Intervención General correspondiente podrá acordarse los supuestos en que, en sustitución del Interventor, podrán formar parte de las mesas de contratación funcionarios del citado Centro específicamente habilitados para ello.</w:t>
      </w:r>
    </w:p>
    <w:p w:rsidR="0092635B" w:rsidRDefault="00000000">
      <w:pPr>
        <w:pStyle w:val="Textoindependiente"/>
        <w:spacing w:line="249" w:lineRule="auto"/>
        <w:ind w:right="1104"/>
      </w:pPr>
      <w:r>
        <w:t>En ningún caso podrán formar parte de las Mesas de contratación ni emitir informes de valoración de las ofertas los cargos públicos representativos ni el personal eventual. Podrá formar parte de la Mesa personal funcionario interino únicamente cuando no existan funcionarios de carrera suficientemente cualificados y así se acredite en el expediente. Tampoco podrá formar parte de las Mesas de contratación el personal que haya participado en la redacción de la documentación técnica del contrato de que se trate, salvo en los supuestos a que se refiere la Disposición adicional segunda.</w:t>
      </w:r>
    </w:p>
    <w:p w:rsidR="0092635B" w:rsidRDefault="00000000">
      <w:pPr>
        <w:pStyle w:val="Textoindependiente"/>
        <w:spacing w:before="6" w:line="249" w:lineRule="auto"/>
        <w:ind w:right="1103"/>
      </w:pPr>
      <w:r>
        <w:t>Las Mesas de contratación podrán, asimismo, solicitar el asesoramiento de técnicos o expertos independientes con conocimientos acreditados en las materias relacionadas con el objeto del contrato. Dicha asistencia será autorizada por el órgano de contratación y deberá</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pPr>
      <w:r>
        <w:t>ser</w:t>
      </w:r>
      <w:r>
        <w:rPr>
          <w:spacing w:val="-2"/>
        </w:rPr>
        <w:t xml:space="preserve"> </w:t>
      </w:r>
      <w:r>
        <w:t>reflejada</w:t>
      </w:r>
      <w:r>
        <w:rPr>
          <w:spacing w:val="-2"/>
        </w:rPr>
        <w:t xml:space="preserve"> </w:t>
      </w:r>
      <w:r>
        <w:t>expresamente</w:t>
      </w:r>
      <w:r>
        <w:rPr>
          <w:spacing w:val="-2"/>
        </w:rPr>
        <w:t xml:space="preserve"> </w:t>
      </w:r>
      <w:r>
        <w:t>en</w:t>
      </w:r>
      <w:r>
        <w:rPr>
          <w:spacing w:val="-2"/>
        </w:rPr>
        <w:t xml:space="preserve"> </w:t>
      </w:r>
      <w:r>
        <w:t>el</w:t>
      </w:r>
      <w:r>
        <w:rPr>
          <w:spacing w:val="-2"/>
        </w:rPr>
        <w:t xml:space="preserve"> </w:t>
      </w:r>
      <w:r>
        <w:t>expediente,</w:t>
      </w:r>
      <w:r>
        <w:rPr>
          <w:spacing w:val="-2"/>
        </w:rPr>
        <w:t xml:space="preserve"> </w:t>
      </w:r>
      <w:r>
        <w:t>con</w:t>
      </w:r>
      <w:r>
        <w:rPr>
          <w:spacing w:val="-2"/>
        </w:rPr>
        <w:t xml:space="preserve"> </w:t>
      </w:r>
      <w:r>
        <w:t>referencia</w:t>
      </w:r>
      <w:r>
        <w:rPr>
          <w:spacing w:val="-2"/>
        </w:rPr>
        <w:t xml:space="preserve"> </w:t>
      </w:r>
      <w:r>
        <w:t>a</w:t>
      </w:r>
      <w:r>
        <w:rPr>
          <w:spacing w:val="-2"/>
        </w:rPr>
        <w:t xml:space="preserve"> </w:t>
      </w:r>
      <w:r>
        <w:t>las</w:t>
      </w:r>
      <w:r>
        <w:rPr>
          <w:spacing w:val="-2"/>
        </w:rPr>
        <w:t xml:space="preserve"> </w:t>
      </w:r>
      <w:r>
        <w:t>identidades</w:t>
      </w:r>
      <w:r>
        <w:rPr>
          <w:spacing w:val="-2"/>
        </w:rPr>
        <w:t xml:space="preserve"> </w:t>
      </w:r>
      <w:r>
        <w:t>de</w:t>
      </w:r>
      <w:r>
        <w:rPr>
          <w:spacing w:val="-2"/>
        </w:rPr>
        <w:t xml:space="preserve"> </w:t>
      </w:r>
      <w:r>
        <w:t>los</w:t>
      </w:r>
      <w:r>
        <w:rPr>
          <w:spacing w:val="-2"/>
        </w:rPr>
        <w:t xml:space="preserve"> </w:t>
      </w:r>
      <w:r>
        <w:t>técnicos o expertos asistentes, su formación y su experiencia profesional.</w:t>
      </w:r>
    </w:p>
    <w:p w:rsidR="0092635B" w:rsidRDefault="00000000">
      <w:pPr>
        <w:pStyle w:val="Prrafodelista"/>
        <w:numPr>
          <w:ilvl w:val="0"/>
          <w:numId w:val="79"/>
        </w:numPr>
        <w:tabs>
          <w:tab w:val="left" w:pos="1674"/>
        </w:tabs>
        <w:spacing w:before="1" w:line="249" w:lineRule="auto"/>
        <w:ind w:firstLine="340"/>
        <w:jc w:val="both"/>
        <w:rPr>
          <w:sz w:val="20"/>
        </w:rPr>
      </w:pPr>
      <w:r>
        <w:rPr>
          <w:sz w:val="20"/>
        </w:rPr>
        <w:t>Salvo lo dispuesto en el apartado 1 del presente artículo, la mesa de contratación que intervenga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abierto</w:t>
      </w:r>
      <w:r>
        <w:rPr>
          <w:spacing w:val="-1"/>
          <w:sz w:val="20"/>
        </w:rPr>
        <w:t xml:space="preserve"> </w:t>
      </w:r>
      <w:r>
        <w:rPr>
          <w:sz w:val="20"/>
        </w:rPr>
        <w:t>simplificado</w:t>
      </w:r>
      <w:r>
        <w:rPr>
          <w:spacing w:val="-1"/>
          <w:sz w:val="20"/>
        </w:rPr>
        <w:t xml:space="preserve"> </w:t>
      </w:r>
      <w:r>
        <w:rPr>
          <w:sz w:val="20"/>
        </w:rPr>
        <w:t>regulado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159</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presente Ley se considerará válidamente constituida si lo está por el Presidente, el Secretario, un funcionario de entre quienes tengan atribuido legal o reglamentariamente el asesoramiento jurídico del órgano de contratación y un funcionario que tenga atribuidas las funciones relativas a su control económico-presupuestario.</w:t>
      </w:r>
    </w:p>
    <w:p w:rsidR="0092635B" w:rsidRDefault="00000000">
      <w:pPr>
        <w:pStyle w:val="Prrafodelista"/>
        <w:numPr>
          <w:ilvl w:val="0"/>
          <w:numId w:val="79"/>
        </w:numPr>
        <w:tabs>
          <w:tab w:val="left" w:pos="1718"/>
        </w:tabs>
        <w:spacing w:before="5" w:line="249" w:lineRule="auto"/>
        <w:ind w:firstLine="340"/>
        <w:jc w:val="both"/>
        <w:rPr>
          <w:sz w:val="20"/>
        </w:rPr>
      </w:pPr>
      <w:r>
        <w:rPr>
          <w:sz w:val="20"/>
        </w:rPr>
        <w:t>Las Leyes de las Comunidades Autónomas y la legislación de desarrollo podrán establecer que las mesas de contratación puedan ejercer también aquellas competencias relativas a la adjudicación que esta Ley atribuye a los órganos de contratación.</w:t>
      </w:r>
    </w:p>
    <w:p w:rsidR="0092635B" w:rsidRDefault="00000000">
      <w:pPr>
        <w:spacing w:before="229" w:line="249" w:lineRule="auto"/>
        <w:ind w:left="1106" w:right="1105" w:hanging="1"/>
        <w:jc w:val="both"/>
        <w:rPr>
          <w:rFonts w:ascii="Arial" w:hAnsi="Arial"/>
          <w:i/>
          <w:sz w:val="20"/>
        </w:rPr>
      </w:pPr>
      <w:bookmarkStart w:id="553" w:name="Artículo_327._Mesa_especial_del_diálogo_"/>
      <w:bookmarkEnd w:id="553"/>
      <w:r>
        <w:rPr>
          <w:rFonts w:ascii="Arial" w:hAnsi="Arial"/>
          <w:b/>
          <w:sz w:val="20"/>
        </w:rPr>
        <w:t>Artículo 327.</w:t>
      </w:r>
      <w:r>
        <w:rPr>
          <w:rFonts w:ascii="Arial" w:hAnsi="Arial"/>
          <w:b/>
          <w:spacing w:val="40"/>
          <w:sz w:val="20"/>
        </w:rPr>
        <w:t xml:space="preserve"> </w:t>
      </w:r>
      <w:r>
        <w:rPr>
          <w:rFonts w:ascii="Arial" w:hAnsi="Arial"/>
          <w:i/>
          <w:sz w:val="20"/>
        </w:rPr>
        <w:t>Mesa especial del diálogo competitivo o del procedimiento de asociación para la innovación.</w:t>
      </w:r>
    </w:p>
    <w:p w:rsidR="0092635B" w:rsidRDefault="00000000">
      <w:pPr>
        <w:pStyle w:val="Textoindependiente"/>
        <w:spacing w:before="115" w:line="249" w:lineRule="auto"/>
        <w:ind w:right="1104"/>
      </w:pPr>
      <w:r>
        <w:t>Para asistir al órgano de contratación en los procedimientos de diálogo competitivo o de asociación para la innovación que se sigan por las Administraciones Públicas, se constituirá una mesa con la composición señalada en el apartado 3 del artículo anterior a la que se incorporarán</w:t>
      </w:r>
      <w:r>
        <w:rPr>
          <w:spacing w:val="-3"/>
        </w:rPr>
        <w:t xml:space="preserve"> </w:t>
      </w:r>
      <w:r>
        <w:t>personas</w:t>
      </w:r>
      <w:r>
        <w:rPr>
          <w:spacing w:val="-3"/>
        </w:rPr>
        <w:t xml:space="preserve"> </w:t>
      </w:r>
      <w:r>
        <w:t>especialmente</w:t>
      </w:r>
      <w:r>
        <w:rPr>
          <w:spacing w:val="-3"/>
        </w:rPr>
        <w:t xml:space="preserve"> </w:t>
      </w:r>
      <w:r>
        <w:t>cualificadas</w:t>
      </w:r>
      <w:r>
        <w:rPr>
          <w:spacing w:val="-3"/>
        </w:rPr>
        <w:t xml:space="preserve"> </w:t>
      </w:r>
      <w:r>
        <w:t>en</w:t>
      </w:r>
      <w:r>
        <w:rPr>
          <w:spacing w:val="-3"/>
        </w:rPr>
        <w:t xml:space="preserve"> </w:t>
      </w:r>
      <w:r>
        <w:t>la</w:t>
      </w:r>
      <w:r>
        <w:rPr>
          <w:spacing w:val="-3"/>
        </w:rPr>
        <w:t xml:space="preserve"> </w:t>
      </w:r>
      <w:r>
        <w:t>materia</w:t>
      </w:r>
      <w:r>
        <w:rPr>
          <w:spacing w:val="-3"/>
        </w:rPr>
        <w:t xml:space="preserve"> </w:t>
      </w:r>
      <w:r>
        <w:t>sobre</w:t>
      </w:r>
      <w:r>
        <w:rPr>
          <w:spacing w:val="-3"/>
        </w:rPr>
        <w:t xml:space="preserve"> </w:t>
      </w:r>
      <w:r>
        <w:t>la</w:t>
      </w:r>
      <w:r>
        <w:rPr>
          <w:spacing w:val="-3"/>
        </w:rPr>
        <w:t xml:space="preserve"> </w:t>
      </w:r>
      <w:r>
        <w:t>que</w:t>
      </w:r>
      <w:r>
        <w:rPr>
          <w:spacing w:val="-3"/>
        </w:rPr>
        <w:t xml:space="preserve"> </w:t>
      </w:r>
      <w:r>
        <w:t>verse</w:t>
      </w:r>
      <w:r>
        <w:rPr>
          <w:spacing w:val="-3"/>
        </w:rPr>
        <w:t xml:space="preserve"> </w:t>
      </w:r>
      <w:r>
        <w:t>el</w:t>
      </w:r>
      <w:r>
        <w:rPr>
          <w:spacing w:val="-3"/>
        </w:rPr>
        <w:t xml:space="preserve"> </w:t>
      </w:r>
      <w:r>
        <w:t>diálogo o la asociación para la innovación, designadas por el órgano de contratación. El número de estas personas será igual o superior a un tercio de los componentes de la Mesa y participarán en las deliberaciones con voz y voto.</w:t>
      </w:r>
    </w:p>
    <w:p w:rsidR="0092635B" w:rsidRDefault="0092635B">
      <w:pPr>
        <w:pStyle w:val="Textoindependiente"/>
        <w:spacing w:before="116"/>
        <w:ind w:left="0" w:firstLine="0"/>
        <w:jc w:val="left"/>
      </w:pPr>
    </w:p>
    <w:p w:rsidR="0092635B" w:rsidRDefault="00000000">
      <w:pPr>
        <w:pStyle w:val="Textoindependiente"/>
        <w:spacing w:before="0"/>
        <w:ind w:left="0" w:firstLine="0"/>
        <w:jc w:val="center"/>
      </w:pPr>
      <w:bookmarkStart w:id="554" w:name="CAPÍTULO_III._Órganos_consultivos"/>
      <w:bookmarkStart w:id="555" w:name="_bookmark115"/>
      <w:bookmarkEnd w:id="554"/>
      <w:bookmarkEnd w:id="555"/>
      <w:r>
        <w:t xml:space="preserve">CAPÍTULO </w:t>
      </w:r>
      <w:r>
        <w:rPr>
          <w:spacing w:val="-5"/>
        </w:rPr>
        <w:t>III</w:t>
      </w:r>
    </w:p>
    <w:p w:rsidR="0092635B" w:rsidRDefault="00000000">
      <w:pPr>
        <w:pStyle w:val="Ttulo2"/>
        <w:spacing w:before="124"/>
      </w:pPr>
      <w:r>
        <w:t>Órganos</w:t>
      </w:r>
      <w:r>
        <w:rPr>
          <w:spacing w:val="-6"/>
        </w:rPr>
        <w:t xml:space="preserve"> </w:t>
      </w:r>
      <w:r>
        <w:rPr>
          <w:spacing w:val="-2"/>
        </w:rPr>
        <w:t>consultivos</w:t>
      </w:r>
    </w:p>
    <w:p w:rsidR="0092635B" w:rsidRDefault="0092635B">
      <w:pPr>
        <w:pStyle w:val="Textoindependiente"/>
        <w:spacing w:before="6"/>
        <w:ind w:left="0" w:firstLine="0"/>
        <w:jc w:val="left"/>
        <w:rPr>
          <w:rFonts w:ascii="Arial"/>
          <w:b/>
        </w:rPr>
      </w:pPr>
    </w:p>
    <w:p w:rsidR="0092635B" w:rsidRDefault="00000000">
      <w:pPr>
        <w:spacing w:before="1"/>
        <w:ind w:left="1106"/>
        <w:jc w:val="both"/>
        <w:rPr>
          <w:rFonts w:ascii="Arial" w:hAnsi="Arial"/>
          <w:i/>
          <w:sz w:val="20"/>
        </w:rPr>
      </w:pPr>
      <w:bookmarkStart w:id="556" w:name="Artículo_328._Junta_Consultiva_de_Contra"/>
      <w:bookmarkEnd w:id="556"/>
      <w:r>
        <w:rPr>
          <w:rFonts w:ascii="Arial" w:hAnsi="Arial"/>
          <w:b/>
          <w:sz w:val="20"/>
        </w:rPr>
        <w:t>Artículo</w:t>
      </w:r>
      <w:r>
        <w:rPr>
          <w:rFonts w:ascii="Arial" w:hAnsi="Arial"/>
          <w:b/>
          <w:spacing w:val="-6"/>
          <w:sz w:val="20"/>
        </w:rPr>
        <w:t xml:space="preserve"> </w:t>
      </w:r>
      <w:r>
        <w:rPr>
          <w:rFonts w:ascii="Arial" w:hAnsi="Arial"/>
          <w:b/>
          <w:sz w:val="20"/>
        </w:rPr>
        <w:t>328.</w:t>
      </w:r>
      <w:r>
        <w:rPr>
          <w:rFonts w:ascii="Arial" w:hAnsi="Arial"/>
          <w:b/>
          <w:spacing w:val="47"/>
          <w:sz w:val="20"/>
        </w:rPr>
        <w:t xml:space="preserve"> </w:t>
      </w:r>
      <w:r>
        <w:rPr>
          <w:rFonts w:ascii="Arial" w:hAnsi="Arial"/>
          <w:i/>
          <w:sz w:val="20"/>
        </w:rPr>
        <w:t>Junta</w:t>
      </w:r>
      <w:r>
        <w:rPr>
          <w:rFonts w:ascii="Arial" w:hAnsi="Arial"/>
          <w:i/>
          <w:spacing w:val="-4"/>
          <w:sz w:val="20"/>
        </w:rPr>
        <w:t xml:space="preserve"> </w:t>
      </w:r>
      <w:r>
        <w:rPr>
          <w:rFonts w:ascii="Arial" w:hAnsi="Arial"/>
          <w:i/>
          <w:sz w:val="20"/>
        </w:rPr>
        <w:t>Consultiva</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Contratación</w:t>
      </w:r>
      <w:r>
        <w:rPr>
          <w:rFonts w:ascii="Arial" w:hAnsi="Arial"/>
          <w:i/>
          <w:spacing w:val="-4"/>
          <w:sz w:val="20"/>
        </w:rPr>
        <w:t xml:space="preserve"> </w:t>
      </w:r>
      <w:r>
        <w:rPr>
          <w:rFonts w:ascii="Arial" w:hAnsi="Arial"/>
          <w:i/>
          <w:sz w:val="20"/>
        </w:rPr>
        <w:t>Pública</w:t>
      </w:r>
      <w:r>
        <w:rPr>
          <w:rFonts w:ascii="Arial" w:hAnsi="Arial"/>
          <w:i/>
          <w:spacing w:val="-4"/>
          <w:sz w:val="20"/>
        </w:rPr>
        <w:t xml:space="preserve"> </w:t>
      </w:r>
      <w:r>
        <w:rPr>
          <w:rFonts w:ascii="Arial" w:hAnsi="Arial"/>
          <w:i/>
          <w:sz w:val="20"/>
        </w:rPr>
        <w:t>del</w:t>
      </w:r>
      <w:r>
        <w:rPr>
          <w:rFonts w:ascii="Arial" w:hAnsi="Arial"/>
          <w:i/>
          <w:spacing w:val="-3"/>
          <w:sz w:val="20"/>
        </w:rPr>
        <w:t xml:space="preserve"> </w:t>
      </w:r>
      <w:r>
        <w:rPr>
          <w:rFonts w:ascii="Arial" w:hAnsi="Arial"/>
          <w:i/>
          <w:spacing w:val="-2"/>
          <w:sz w:val="20"/>
        </w:rPr>
        <w:t>Estado.</w:t>
      </w:r>
    </w:p>
    <w:p w:rsidR="0092635B" w:rsidRDefault="00000000">
      <w:pPr>
        <w:pStyle w:val="Prrafodelista"/>
        <w:numPr>
          <w:ilvl w:val="0"/>
          <w:numId w:val="78"/>
        </w:numPr>
        <w:tabs>
          <w:tab w:val="left" w:pos="1697"/>
        </w:tabs>
        <w:spacing w:before="123" w:line="249" w:lineRule="auto"/>
        <w:ind w:right="1105" w:firstLine="340"/>
        <w:jc w:val="both"/>
        <w:rPr>
          <w:sz w:val="20"/>
        </w:rPr>
      </w:pPr>
      <w:r>
        <w:rPr>
          <w:sz w:val="20"/>
        </w:rPr>
        <w:t>La Junta Consultiva de Contratación Pública del Estado es el órgano específico de regulación y consulta en materia de contratación pública del sector público estatal, con independencia de que las entidades contratantes operen en los sectores a que se refiere la disposición adicional octava.</w:t>
      </w:r>
    </w:p>
    <w:p w:rsidR="0092635B" w:rsidRDefault="00000000">
      <w:pPr>
        <w:pStyle w:val="Prrafodelista"/>
        <w:numPr>
          <w:ilvl w:val="0"/>
          <w:numId w:val="78"/>
        </w:numPr>
        <w:tabs>
          <w:tab w:val="left" w:pos="1688"/>
        </w:tabs>
        <w:spacing w:before="3" w:line="249" w:lineRule="auto"/>
        <w:ind w:right="1105" w:firstLine="340"/>
        <w:jc w:val="both"/>
        <w:rPr>
          <w:sz w:val="20"/>
        </w:rPr>
      </w:pPr>
      <w:r>
        <w:rPr>
          <w:sz w:val="20"/>
        </w:rPr>
        <w:t>La Junta Consultiva de Contratación Pública del Estado es un órgano colegiado con composición abierta a la participación del sector privado, adscrito al Ministerio de Hacienda y Función Pública, al que serán de aplicación las disposiciones relativas a órganos colegiados de la Ley 40/2015, de 1 de octubre, de Régimen Jurídico del Sector Público.</w:t>
      </w:r>
    </w:p>
    <w:p w:rsidR="0092635B" w:rsidRDefault="00000000">
      <w:pPr>
        <w:pStyle w:val="Textoindependiente"/>
        <w:spacing w:before="4" w:line="249" w:lineRule="auto"/>
        <w:ind w:right="1105"/>
      </w:pPr>
      <w:r>
        <w:t>Su composición y régimen jurídico se establecerán reglamentariamente, teniendo en cuenta que el Presidente de la Oficina Independiente de Regulación y Supervisión de la Contratación y un representante de la Comisión Nacional de los Mercados y la Competencia formarán parte de la misma como vocales natos, con voz pero sin voto.</w:t>
      </w:r>
    </w:p>
    <w:p w:rsidR="0092635B" w:rsidRDefault="00000000">
      <w:pPr>
        <w:pStyle w:val="Prrafodelista"/>
        <w:numPr>
          <w:ilvl w:val="0"/>
          <w:numId w:val="78"/>
        </w:numPr>
        <w:tabs>
          <w:tab w:val="left" w:pos="1686"/>
        </w:tabs>
        <w:spacing w:before="3" w:line="249" w:lineRule="auto"/>
        <w:ind w:right="1104" w:firstLine="340"/>
        <w:jc w:val="both"/>
        <w:rPr>
          <w:sz w:val="20"/>
        </w:rPr>
      </w:pPr>
      <w:r>
        <w:rPr>
          <w:sz w:val="20"/>
        </w:rPr>
        <w:t xml:space="preserve">La Junta Consultiva de la Contratación Pública del Estado tiene las funciones que le atribuyen esta Ley y su desarrollo reglamentario, y, en todo caso, las que se señalan a </w:t>
      </w:r>
      <w:r>
        <w:rPr>
          <w:spacing w:val="-2"/>
          <w:sz w:val="20"/>
        </w:rPr>
        <w:t>continuación:</w:t>
      </w:r>
    </w:p>
    <w:p w:rsidR="0092635B" w:rsidRDefault="00000000">
      <w:pPr>
        <w:pStyle w:val="Prrafodelista"/>
        <w:numPr>
          <w:ilvl w:val="1"/>
          <w:numId w:val="78"/>
        </w:numPr>
        <w:tabs>
          <w:tab w:val="left" w:pos="1707"/>
        </w:tabs>
        <w:spacing w:before="122" w:line="249" w:lineRule="auto"/>
        <w:ind w:firstLine="340"/>
        <w:jc w:val="both"/>
        <w:rPr>
          <w:sz w:val="20"/>
        </w:rPr>
      </w:pPr>
      <w:r>
        <w:rPr>
          <w:sz w:val="20"/>
        </w:rPr>
        <w:t>Promover la adopción de las normas o medidas de carácter general que considere procedentes para la mejora del sistema de contratación en sus aspectos administrativos, técnicos y económicos.</w:t>
      </w:r>
    </w:p>
    <w:p w:rsidR="0092635B" w:rsidRDefault="00000000">
      <w:pPr>
        <w:pStyle w:val="Prrafodelista"/>
        <w:numPr>
          <w:ilvl w:val="1"/>
          <w:numId w:val="78"/>
        </w:numPr>
        <w:tabs>
          <w:tab w:val="left" w:pos="1688"/>
        </w:tabs>
        <w:spacing w:before="3" w:line="249" w:lineRule="auto"/>
        <w:ind w:right="1104" w:firstLine="340"/>
        <w:jc w:val="both"/>
        <w:rPr>
          <w:sz w:val="20"/>
        </w:rPr>
      </w:pPr>
      <w:r>
        <w:rPr>
          <w:sz w:val="20"/>
        </w:rPr>
        <w:t>Aprobar recomendaciones generales o particulares a los órganos de contratación que serán publicadas, si de los estudios sobre contratación administrativa o de un contrato particular se dedujeran conclusiones de interés para la Administración.</w:t>
      </w:r>
    </w:p>
    <w:p w:rsidR="0092635B" w:rsidRDefault="00000000">
      <w:pPr>
        <w:pStyle w:val="Prrafodelista"/>
        <w:numPr>
          <w:ilvl w:val="1"/>
          <w:numId w:val="78"/>
        </w:numPr>
        <w:tabs>
          <w:tab w:val="left" w:pos="1708"/>
        </w:tabs>
        <w:spacing w:line="249" w:lineRule="auto"/>
        <w:ind w:firstLine="340"/>
        <w:jc w:val="both"/>
        <w:rPr>
          <w:sz w:val="20"/>
        </w:rPr>
      </w:pPr>
      <w:r>
        <w:rPr>
          <w:sz w:val="20"/>
        </w:rPr>
        <w:t>Informar sobre las cuestiones que se sometan a su consideración y, con carácter preceptivo, sobre todas las disposiciones normativas de rango legal y reglamentario en materia de contratación pública de competencia estatal.</w:t>
      </w:r>
    </w:p>
    <w:p w:rsidR="0092635B" w:rsidRDefault="00000000">
      <w:pPr>
        <w:pStyle w:val="Prrafodelista"/>
        <w:numPr>
          <w:ilvl w:val="1"/>
          <w:numId w:val="78"/>
        </w:numPr>
        <w:tabs>
          <w:tab w:val="left" w:pos="1745"/>
        </w:tabs>
        <w:spacing w:before="3" w:line="249" w:lineRule="auto"/>
        <w:ind w:right="1105" w:firstLine="340"/>
        <w:jc w:val="both"/>
        <w:rPr>
          <w:sz w:val="20"/>
        </w:rPr>
      </w:pPr>
      <w:r>
        <w:rPr>
          <w:sz w:val="20"/>
        </w:rPr>
        <w:t>Coordinar el cumplimiento de las obligaciones de información que imponen las Directivas de Contratación.</w:t>
      </w:r>
    </w:p>
    <w:p w:rsidR="0092635B" w:rsidRDefault="00000000">
      <w:pPr>
        <w:pStyle w:val="Prrafodelista"/>
        <w:numPr>
          <w:ilvl w:val="0"/>
          <w:numId w:val="78"/>
        </w:numPr>
        <w:tabs>
          <w:tab w:val="left" w:pos="1730"/>
        </w:tabs>
        <w:spacing w:before="121" w:line="249" w:lineRule="auto"/>
        <w:ind w:firstLine="340"/>
        <w:jc w:val="both"/>
        <w:rPr>
          <w:sz w:val="20"/>
        </w:rPr>
      </w:pPr>
      <w:r>
        <w:rPr>
          <w:sz w:val="20"/>
        </w:rPr>
        <w:t>Igualmente, la Junta Consultiva de Contratación Pública del Estado elaborará y remitirá a la Comisión Europea cada tres años un informe referido a todos los poderes adjudicadores</w:t>
      </w:r>
      <w:r>
        <w:rPr>
          <w:spacing w:val="57"/>
          <w:sz w:val="20"/>
        </w:rPr>
        <w:t xml:space="preserve"> </w:t>
      </w:r>
      <w:r>
        <w:rPr>
          <w:sz w:val="20"/>
        </w:rPr>
        <w:t>estatales,</w:t>
      </w:r>
      <w:r>
        <w:rPr>
          <w:spacing w:val="58"/>
          <w:sz w:val="20"/>
        </w:rPr>
        <w:t xml:space="preserve"> </w:t>
      </w:r>
      <w:r>
        <w:rPr>
          <w:sz w:val="20"/>
        </w:rPr>
        <w:t>autonómicos</w:t>
      </w:r>
      <w:r>
        <w:rPr>
          <w:spacing w:val="58"/>
          <w:sz w:val="20"/>
        </w:rPr>
        <w:t xml:space="preserve"> </w:t>
      </w:r>
      <w:r>
        <w:rPr>
          <w:sz w:val="20"/>
        </w:rPr>
        <w:t>y</w:t>
      </w:r>
      <w:r>
        <w:rPr>
          <w:spacing w:val="58"/>
          <w:sz w:val="20"/>
        </w:rPr>
        <w:t xml:space="preserve"> </w:t>
      </w:r>
      <w:r>
        <w:rPr>
          <w:sz w:val="20"/>
        </w:rPr>
        <w:t>locales</w:t>
      </w:r>
      <w:r>
        <w:rPr>
          <w:spacing w:val="58"/>
          <w:sz w:val="20"/>
        </w:rPr>
        <w:t xml:space="preserve"> </w:t>
      </w:r>
      <w:r>
        <w:rPr>
          <w:sz w:val="20"/>
        </w:rPr>
        <w:t>que,</w:t>
      </w:r>
      <w:r>
        <w:rPr>
          <w:spacing w:val="57"/>
          <w:sz w:val="20"/>
        </w:rPr>
        <w:t xml:space="preserve"> </w:t>
      </w:r>
      <w:r>
        <w:rPr>
          <w:sz w:val="20"/>
        </w:rPr>
        <w:t>respecto</w:t>
      </w:r>
      <w:r>
        <w:rPr>
          <w:spacing w:val="58"/>
          <w:sz w:val="20"/>
        </w:rPr>
        <w:t xml:space="preserve"> </w:t>
      </w:r>
      <w:r>
        <w:rPr>
          <w:sz w:val="20"/>
        </w:rPr>
        <w:t>de</w:t>
      </w:r>
      <w:r>
        <w:rPr>
          <w:spacing w:val="58"/>
          <w:sz w:val="20"/>
        </w:rPr>
        <w:t xml:space="preserve"> </w:t>
      </w:r>
      <w:r>
        <w:rPr>
          <w:sz w:val="20"/>
        </w:rPr>
        <w:t>la</w:t>
      </w:r>
      <w:r>
        <w:rPr>
          <w:spacing w:val="58"/>
          <w:sz w:val="20"/>
        </w:rPr>
        <w:t xml:space="preserve"> </w:t>
      </w:r>
      <w:r>
        <w:rPr>
          <w:sz w:val="20"/>
        </w:rPr>
        <w:t>licitación</w:t>
      </w:r>
      <w:r>
        <w:rPr>
          <w:spacing w:val="58"/>
          <w:sz w:val="20"/>
        </w:rPr>
        <w:t xml:space="preserve"> </w:t>
      </w:r>
      <w:r>
        <w:rPr>
          <w:sz w:val="20"/>
        </w:rPr>
        <w:t>pública</w:t>
      </w:r>
      <w:r>
        <w:rPr>
          <w:spacing w:val="58"/>
          <w:sz w:val="20"/>
        </w:rPr>
        <w:t xml:space="preserve"> </w:t>
      </w:r>
      <w:r>
        <w:rPr>
          <w:spacing w:val="-10"/>
          <w:sz w:val="20"/>
        </w:rPr>
        <w:t>y</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3" w:hanging="1"/>
      </w:pPr>
      <w:r>
        <w:t>ejecución de los contratos de obras, suministros, servicios, concesión de obras y concesión de servicios que estén sujetos a regulación armonizada, comprenda, entre otras, si procede, las siguientes cuestiones:</w:t>
      </w:r>
    </w:p>
    <w:p w:rsidR="0092635B" w:rsidRDefault="00000000">
      <w:pPr>
        <w:pStyle w:val="Prrafodelista"/>
        <w:numPr>
          <w:ilvl w:val="1"/>
          <w:numId w:val="78"/>
        </w:numPr>
        <w:tabs>
          <w:tab w:val="left" w:pos="1695"/>
        </w:tabs>
        <w:spacing w:before="122" w:line="249" w:lineRule="auto"/>
        <w:ind w:right="1106" w:firstLine="340"/>
        <w:jc w:val="both"/>
        <w:rPr>
          <w:sz w:val="20"/>
        </w:rPr>
      </w:pPr>
      <w:r>
        <w:rPr>
          <w:sz w:val="20"/>
        </w:rPr>
        <w:t xml:space="preserve">La información contenida en el informe de supervisión a que se refiere el apartado 8 del artículo 332 que remita la Oficina Independiente de Regulación y Supervisión de la </w:t>
      </w:r>
      <w:r>
        <w:rPr>
          <w:spacing w:val="-2"/>
          <w:sz w:val="20"/>
        </w:rPr>
        <w:t>Contratación.</w:t>
      </w:r>
    </w:p>
    <w:p w:rsidR="0092635B" w:rsidRDefault="00000000">
      <w:pPr>
        <w:pStyle w:val="Prrafodelista"/>
        <w:numPr>
          <w:ilvl w:val="1"/>
          <w:numId w:val="78"/>
        </w:numPr>
        <w:tabs>
          <w:tab w:val="left" w:pos="1679"/>
        </w:tabs>
        <w:spacing w:before="3"/>
        <w:ind w:left="1679" w:right="0" w:hanging="233"/>
        <w:jc w:val="both"/>
        <w:rPr>
          <w:sz w:val="20"/>
        </w:rPr>
      </w:pPr>
      <w:r>
        <w:rPr>
          <w:sz w:val="20"/>
        </w:rPr>
        <w:t>Información</w:t>
      </w:r>
      <w:r>
        <w:rPr>
          <w:spacing w:val="-6"/>
          <w:sz w:val="20"/>
        </w:rPr>
        <w:t xml:space="preserve"> </w:t>
      </w:r>
      <w:r>
        <w:rPr>
          <w:sz w:val="20"/>
        </w:rPr>
        <w:t>sobre</w:t>
      </w:r>
      <w:r>
        <w:rPr>
          <w:spacing w:val="-4"/>
          <w:sz w:val="20"/>
        </w:rPr>
        <w:t xml:space="preserve"> </w:t>
      </w:r>
      <w:r>
        <w:rPr>
          <w:sz w:val="20"/>
        </w:rPr>
        <w:t>el</w:t>
      </w:r>
      <w:r>
        <w:rPr>
          <w:spacing w:val="-4"/>
          <w:sz w:val="20"/>
        </w:rPr>
        <w:t xml:space="preserve"> </w:t>
      </w:r>
      <w:r>
        <w:rPr>
          <w:sz w:val="20"/>
        </w:rPr>
        <w:t>nivel</w:t>
      </w:r>
      <w:r>
        <w:rPr>
          <w:spacing w:val="-4"/>
          <w:sz w:val="20"/>
        </w:rPr>
        <w:t xml:space="preserve"> </w:t>
      </w:r>
      <w:r>
        <w:rPr>
          <w:sz w:val="20"/>
        </w:rPr>
        <w:t>de</w:t>
      </w:r>
      <w:r>
        <w:rPr>
          <w:spacing w:val="-4"/>
          <w:sz w:val="20"/>
        </w:rPr>
        <w:t xml:space="preserve"> </w:t>
      </w:r>
      <w:r>
        <w:rPr>
          <w:sz w:val="20"/>
        </w:rPr>
        <w:t>participación</w:t>
      </w:r>
      <w:r>
        <w:rPr>
          <w:spacing w:val="-3"/>
          <w:sz w:val="20"/>
        </w:rPr>
        <w:t xml:space="preserve"> </w:t>
      </w:r>
      <w:r>
        <w:rPr>
          <w:sz w:val="20"/>
        </w:rPr>
        <w:t>de</w:t>
      </w:r>
      <w:r>
        <w:rPr>
          <w:spacing w:val="-4"/>
          <w:sz w:val="20"/>
        </w:rPr>
        <w:t xml:space="preserve"> </w:t>
      </w:r>
      <w:r>
        <w:rPr>
          <w:sz w:val="20"/>
        </w:rPr>
        <w:t>las</w:t>
      </w:r>
      <w:r>
        <w:rPr>
          <w:spacing w:val="-4"/>
          <w:sz w:val="20"/>
        </w:rPr>
        <w:t xml:space="preserve"> </w:t>
      </w:r>
      <w:r>
        <w:rPr>
          <w:sz w:val="20"/>
        </w:rPr>
        <w:t>PYME</w:t>
      </w:r>
      <w:r>
        <w:rPr>
          <w:spacing w:val="-4"/>
          <w:sz w:val="20"/>
        </w:rPr>
        <w:t xml:space="preserve"> </w:t>
      </w:r>
      <w:r>
        <w:rPr>
          <w:sz w:val="20"/>
        </w:rPr>
        <w:t>en</w:t>
      </w:r>
      <w:r>
        <w:rPr>
          <w:spacing w:val="-4"/>
          <w:sz w:val="20"/>
        </w:rPr>
        <w:t xml:space="preserve"> </w:t>
      </w:r>
      <w:r>
        <w:rPr>
          <w:sz w:val="20"/>
        </w:rPr>
        <w:t>la</w:t>
      </w:r>
      <w:r>
        <w:rPr>
          <w:spacing w:val="-4"/>
          <w:sz w:val="20"/>
        </w:rPr>
        <w:t xml:space="preserve"> </w:t>
      </w:r>
      <w:r>
        <w:rPr>
          <w:sz w:val="20"/>
        </w:rPr>
        <w:t>contratación</w:t>
      </w:r>
      <w:r>
        <w:rPr>
          <w:spacing w:val="-3"/>
          <w:sz w:val="20"/>
        </w:rPr>
        <w:t xml:space="preserve"> </w:t>
      </w:r>
      <w:r>
        <w:rPr>
          <w:spacing w:val="-2"/>
          <w:sz w:val="20"/>
        </w:rPr>
        <w:t>pública.</w:t>
      </w:r>
    </w:p>
    <w:p w:rsidR="0092635B" w:rsidRDefault="00000000">
      <w:pPr>
        <w:pStyle w:val="Prrafodelista"/>
        <w:numPr>
          <w:ilvl w:val="1"/>
          <w:numId w:val="78"/>
        </w:numPr>
        <w:tabs>
          <w:tab w:val="left" w:pos="1688"/>
        </w:tabs>
        <w:spacing w:before="10" w:line="249" w:lineRule="auto"/>
        <w:ind w:firstLine="340"/>
        <w:jc w:val="both"/>
        <w:rPr>
          <w:sz w:val="20"/>
        </w:rPr>
      </w:pPr>
      <w:r>
        <w:rPr>
          <w:sz w:val="20"/>
        </w:rPr>
        <w:t>Un informe estadístico sobre los contratos públicos de obras, suministros y servicios no</w:t>
      </w:r>
      <w:r>
        <w:rPr>
          <w:spacing w:val="-3"/>
          <w:sz w:val="20"/>
        </w:rPr>
        <w:t xml:space="preserve"> </w:t>
      </w:r>
      <w:r>
        <w:rPr>
          <w:sz w:val="20"/>
        </w:rPr>
        <w:t>sujetos</w:t>
      </w:r>
      <w:r>
        <w:rPr>
          <w:spacing w:val="-3"/>
          <w:sz w:val="20"/>
        </w:rPr>
        <w:t xml:space="preserve"> </w:t>
      </w:r>
      <w:r>
        <w:rPr>
          <w:sz w:val="20"/>
        </w:rPr>
        <w:t>a</w:t>
      </w:r>
      <w:r>
        <w:rPr>
          <w:spacing w:val="-3"/>
          <w:sz w:val="20"/>
        </w:rPr>
        <w:t xml:space="preserve"> </w:t>
      </w:r>
      <w:r>
        <w:rPr>
          <w:sz w:val="20"/>
        </w:rPr>
        <w:t>regulación</w:t>
      </w:r>
      <w:r>
        <w:rPr>
          <w:spacing w:val="-3"/>
          <w:sz w:val="20"/>
        </w:rPr>
        <w:t xml:space="preserve"> </w:t>
      </w:r>
      <w:r>
        <w:rPr>
          <w:sz w:val="20"/>
        </w:rPr>
        <w:t>armonizada</w:t>
      </w:r>
      <w:r>
        <w:rPr>
          <w:spacing w:val="-3"/>
          <w:sz w:val="20"/>
        </w:rPr>
        <w:t xml:space="preserve"> </w:t>
      </w:r>
      <w:r>
        <w:rPr>
          <w:sz w:val="20"/>
        </w:rPr>
        <w:t>por</w:t>
      </w:r>
      <w:r>
        <w:rPr>
          <w:spacing w:val="-3"/>
          <w:sz w:val="20"/>
        </w:rPr>
        <w:t xml:space="preserve"> </w:t>
      </w:r>
      <w:r>
        <w:rPr>
          <w:sz w:val="20"/>
        </w:rPr>
        <w:t>no</w:t>
      </w:r>
      <w:r>
        <w:rPr>
          <w:spacing w:val="-3"/>
          <w:sz w:val="20"/>
        </w:rPr>
        <w:t xml:space="preserve"> </w:t>
      </w:r>
      <w:r>
        <w:rPr>
          <w:sz w:val="20"/>
        </w:rPr>
        <w:t>superar</w:t>
      </w:r>
      <w:r>
        <w:rPr>
          <w:spacing w:val="-3"/>
          <w:sz w:val="20"/>
        </w:rPr>
        <w:t xml:space="preserve"> </w:t>
      </w:r>
      <w:r>
        <w:rPr>
          <w:sz w:val="20"/>
        </w:rPr>
        <w:t>los</w:t>
      </w:r>
      <w:r>
        <w:rPr>
          <w:spacing w:val="-3"/>
          <w:sz w:val="20"/>
        </w:rPr>
        <w:t xml:space="preserve"> </w:t>
      </w:r>
      <w:r>
        <w:rPr>
          <w:sz w:val="20"/>
        </w:rPr>
        <w:t>umbrales</w:t>
      </w:r>
      <w:r>
        <w:rPr>
          <w:spacing w:val="-3"/>
          <w:sz w:val="20"/>
        </w:rPr>
        <w:t xml:space="preserve"> </w:t>
      </w:r>
      <w:r>
        <w:rPr>
          <w:sz w:val="20"/>
        </w:rPr>
        <w:t>establecidos</w:t>
      </w:r>
      <w:r>
        <w:rPr>
          <w:spacing w:val="-3"/>
          <w:sz w:val="20"/>
        </w:rPr>
        <w:t xml:space="preserve"> </w:t>
      </w:r>
      <w:r>
        <w:rPr>
          <w:sz w:val="20"/>
        </w:rPr>
        <w:t>en</w:t>
      </w:r>
      <w:r>
        <w:rPr>
          <w:spacing w:val="-3"/>
          <w:sz w:val="20"/>
        </w:rPr>
        <w:t xml:space="preserve"> </w:t>
      </w:r>
      <w:r>
        <w:rPr>
          <w:sz w:val="20"/>
        </w:rPr>
        <w:t>los</w:t>
      </w:r>
      <w:r>
        <w:rPr>
          <w:spacing w:val="-3"/>
          <w:sz w:val="20"/>
        </w:rPr>
        <w:t xml:space="preserve"> </w:t>
      </w:r>
      <w:r>
        <w:rPr>
          <w:sz w:val="20"/>
        </w:rPr>
        <w:t>artículos 20, 21 y 22, haciendo una estimación del valor agregado total de dichos contratos durante el periodo de que se trate. Esa estimación podrá basarse, en particular, en los datos</w:t>
      </w:r>
      <w:r>
        <w:rPr>
          <w:spacing w:val="40"/>
          <w:sz w:val="20"/>
        </w:rPr>
        <w:t xml:space="preserve"> </w:t>
      </w:r>
      <w:r>
        <w:rPr>
          <w:sz w:val="20"/>
        </w:rPr>
        <w:t>disponibles en virtud de los requisitos de publicación, o bien en estimaciones realizadas a partir de muestras.</w:t>
      </w:r>
    </w:p>
    <w:p w:rsidR="0092635B" w:rsidRDefault="00000000">
      <w:pPr>
        <w:pStyle w:val="Prrafodelista"/>
        <w:numPr>
          <w:ilvl w:val="1"/>
          <w:numId w:val="78"/>
        </w:numPr>
        <w:tabs>
          <w:tab w:val="left" w:pos="1725"/>
        </w:tabs>
        <w:spacing w:before="5" w:line="249" w:lineRule="auto"/>
        <w:ind w:right="1104" w:firstLine="340"/>
        <w:jc w:val="both"/>
        <w:rPr>
          <w:sz w:val="20"/>
        </w:rPr>
      </w:pPr>
      <w:r>
        <w:rPr>
          <w:sz w:val="20"/>
        </w:rPr>
        <w:t>Información sobre cuáles son los órganos encargados de dar cumplimiento a las obligaciones asumidas en virtud del derecho de la Unión Europea en materia de la contratación pública.</w:t>
      </w:r>
    </w:p>
    <w:p w:rsidR="0092635B" w:rsidRDefault="00000000">
      <w:pPr>
        <w:pStyle w:val="Prrafodelista"/>
        <w:numPr>
          <w:ilvl w:val="1"/>
          <w:numId w:val="78"/>
        </w:numPr>
        <w:tabs>
          <w:tab w:val="left" w:pos="1722"/>
        </w:tabs>
        <w:spacing w:line="249" w:lineRule="auto"/>
        <w:ind w:firstLine="340"/>
        <w:jc w:val="both"/>
        <w:rPr>
          <w:sz w:val="20"/>
        </w:rPr>
      </w:pPr>
      <w:r>
        <w:rPr>
          <w:sz w:val="20"/>
        </w:rPr>
        <w:t>Información sobre las iniciativas adoptadas para proporcionar orientación o ayuda gratuita en la aplicación de la normativa de la Unión Europea en materia de contratación pública o para dar respuesta a las dificultades que plantee su aplicación, así como para planificar y llevar a cabo procedimientos de contratación.</w:t>
      </w:r>
    </w:p>
    <w:p w:rsidR="0092635B" w:rsidRDefault="00000000">
      <w:pPr>
        <w:pStyle w:val="Prrafodelista"/>
        <w:numPr>
          <w:ilvl w:val="1"/>
          <w:numId w:val="78"/>
        </w:numPr>
        <w:tabs>
          <w:tab w:val="left" w:pos="1675"/>
        </w:tabs>
        <w:spacing w:before="3" w:line="249" w:lineRule="auto"/>
        <w:ind w:firstLine="340"/>
        <w:jc w:val="both"/>
        <w:rPr>
          <w:sz w:val="20"/>
        </w:rPr>
      </w:pPr>
      <w:r>
        <w:rPr>
          <w:sz w:val="20"/>
        </w:rPr>
        <w:t xml:space="preserve">Información requerida por otras normas comunitarias que deba incluirse en estos </w:t>
      </w:r>
      <w:r>
        <w:rPr>
          <w:spacing w:val="-2"/>
          <w:sz w:val="20"/>
        </w:rPr>
        <w:t>informes.</w:t>
      </w:r>
    </w:p>
    <w:p w:rsidR="0092635B" w:rsidRDefault="00000000">
      <w:pPr>
        <w:pStyle w:val="Textoindependiente"/>
        <w:spacing w:before="122" w:line="249" w:lineRule="auto"/>
        <w:ind w:right="1103"/>
      </w:pPr>
      <w:r>
        <w:t xml:space="preserve">Los informes serán remitidos a la Comisión Europea en los quince días que siguen a su adopción. La Junta Consultiva hará público el contenido de los informes nacionales en el plazo de un mes a contar desde su remisión a la Comisión Europea, publicándolos en los correspondientes portales de transparencia y en la Plataforma de Contratación del Sector </w:t>
      </w:r>
      <w:r>
        <w:rPr>
          <w:spacing w:val="-2"/>
        </w:rPr>
        <w:t>Público.</w:t>
      </w:r>
    </w:p>
    <w:p w:rsidR="0092635B" w:rsidRDefault="00000000">
      <w:pPr>
        <w:pStyle w:val="Prrafodelista"/>
        <w:numPr>
          <w:ilvl w:val="0"/>
          <w:numId w:val="78"/>
        </w:numPr>
        <w:tabs>
          <w:tab w:val="left" w:pos="1705"/>
        </w:tabs>
        <w:spacing w:before="4" w:line="249" w:lineRule="auto"/>
        <w:ind w:firstLine="340"/>
        <w:jc w:val="both"/>
        <w:rPr>
          <w:sz w:val="20"/>
        </w:rPr>
      </w:pPr>
      <w:r>
        <w:rPr>
          <w:sz w:val="20"/>
        </w:rPr>
        <w:t>A todos los efectos, se designa a la Junta Consultiva de Contratación Pública del Estado como punto de referencia para la cooperación con la Comisión Europea en lo que se refiere a la aplicación de la legislación relativa a la contratación pública. Asimismo, se encargará de prestar asistencia recíproca y de cooperar con el resto de Estados miembros de la Unión Europea, con el fin de garantizar el intercambio de información sobre las cuestiones que se establecen en la normativa comunitaria, garantizando su confidencialidad.</w:t>
      </w:r>
    </w:p>
    <w:p w:rsidR="0092635B" w:rsidRDefault="00000000">
      <w:pPr>
        <w:pStyle w:val="Prrafodelista"/>
        <w:numPr>
          <w:ilvl w:val="0"/>
          <w:numId w:val="78"/>
        </w:numPr>
        <w:tabs>
          <w:tab w:val="left" w:pos="1703"/>
        </w:tabs>
        <w:spacing w:before="5" w:line="249" w:lineRule="auto"/>
        <w:ind w:right="1106" w:firstLine="340"/>
        <w:jc w:val="both"/>
        <w:rPr>
          <w:sz w:val="20"/>
        </w:rPr>
      </w:pPr>
      <w:r>
        <w:rPr>
          <w:sz w:val="20"/>
        </w:rPr>
        <w:t>La Junta Consultiva de Contratación Pública del Estado dispondrá de los recursos económicos y humanos suficientes y adecuados para el cumplimiento de sus funciones.</w:t>
      </w:r>
    </w:p>
    <w:p w:rsidR="0092635B" w:rsidRDefault="00000000">
      <w:pPr>
        <w:spacing w:before="228"/>
        <w:ind w:left="1106"/>
        <w:jc w:val="both"/>
        <w:rPr>
          <w:rFonts w:ascii="Arial" w:hAnsi="Arial"/>
          <w:i/>
          <w:sz w:val="20"/>
        </w:rPr>
      </w:pPr>
      <w:bookmarkStart w:id="557" w:name="Artículo_329._Comité_de_cooperación_en_m"/>
      <w:bookmarkEnd w:id="557"/>
      <w:r>
        <w:rPr>
          <w:rFonts w:ascii="Arial" w:hAnsi="Arial"/>
          <w:b/>
          <w:sz w:val="20"/>
        </w:rPr>
        <w:t>Artículo</w:t>
      </w:r>
      <w:r>
        <w:rPr>
          <w:rFonts w:ascii="Arial" w:hAnsi="Arial"/>
          <w:b/>
          <w:spacing w:val="-6"/>
          <w:sz w:val="20"/>
        </w:rPr>
        <w:t xml:space="preserve"> </w:t>
      </w:r>
      <w:r>
        <w:rPr>
          <w:rFonts w:ascii="Arial" w:hAnsi="Arial"/>
          <w:b/>
          <w:sz w:val="20"/>
        </w:rPr>
        <w:t>329.</w:t>
      </w:r>
      <w:r>
        <w:rPr>
          <w:rFonts w:ascii="Arial" w:hAnsi="Arial"/>
          <w:b/>
          <w:spacing w:val="47"/>
          <w:sz w:val="20"/>
        </w:rPr>
        <w:t xml:space="preserve"> </w:t>
      </w:r>
      <w:r>
        <w:rPr>
          <w:rFonts w:ascii="Arial" w:hAnsi="Arial"/>
          <w:i/>
          <w:sz w:val="20"/>
        </w:rPr>
        <w:t>Comité</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cooperación</w:t>
      </w:r>
      <w:r>
        <w:rPr>
          <w:rFonts w:ascii="Arial" w:hAnsi="Arial"/>
          <w:i/>
          <w:spacing w:val="-3"/>
          <w:sz w:val="20"/>
        </w:rPr>
        <w:t xml:space="preserve"> </w:t>
      </w:r>
      <w:r>
        <w:rPr>
          <w:rFonts w:ascii="Arial" w:hAnsi="Arial"/>
          <w:i/>
          <w:sz w:val="20"/>
        </w:rPr>
        <w:t>en</w:t>
      </w:r>
      <w:r>
        <w:rPr>
          <w:rFonts w:ascii="Arial" w:hAnsi="Arial"/>
          <w:i/>
          <w:spacing w:val="-4"/>
          <w:sz w:val="20"/>
        </w:rPr>
        <w:t xml:space="preserve"> </w:t>
      </w:r>
      <w:r>
        <w:rPr>
          <w:rFonts w:ascii="Arial" w:hAnsi="Arial"/>
          <w:i/>
          <w:sz w:val="20"/>
        </w:rPr>
        <w:t>materia</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contratación</w:t>
      </w:r>
      <w:r>
        <w:rPr>
          <w:rFonts w:ascii="Arial" w:hAnsi="Arial"/>
          <w:i/>
          <w:spacing w:val="-3"/>
          <w:sz w:val="20"/>
        </w:rPr>
        <w:t xml:space="preserve"> </w:t>
      </w:r>
      <w:r>
        <w:rPr>
          <w:rFonts w:ascii="Arial" w:hAnsi="Arial"/>
          <w:i/>
          <w:spacing w:val="-2"/>
          <w:sz w:val="20"/>
        </w:rPr>
        <w:t>pública.</w:t>
      </w:r>
    </w:p>
    <w:p w:rsidR="0092635B" w:rsidRDefault="00000000">
      <w:pPr>
        <w:pStyle w:val="Prrafodelista"/>
        <w:numPr>
          <w:ilvl w:val="0"/>
          <w:numId w:val="77"/>
        </w:numPr>
        <w:tabs>
          <w:tab w:val="left" w:pos="1702"/>
        </w:tabs>
        <w:spacing w:before="124" w:line="249" w:lineRule="auto"/>
        <w:ind w:firstLine="340"/>
        <w:jc w:val="both"/>
        <w:rPr>
          <w:sz w:val="20"/>
        </w:rPr>
      </w:pPr>
      <w:r>
        <w:rPr>
          <w:sz w:val="20"/>
        </w:rPr>
        <w:t>Se crea, en el seno de la Junta Consultiva de Contratación Pública del Estado, el Comité de cooperación en materia de contratación pública para asumir, en ejercicio de sus competencias, compromisos específicos en áreas de acción común de las distintas Administraciones Públicas, conforme a los principios del artículo 140 de la Ley 40/2015, de 1 de</w:t>
      </w:r>
      <w:r>
        <w:rPr>
          <w:spacing w:val="-3"/>
          <w:sz w:val="20"/>
        </w:rPr>
        <w:t xml:space="preserve"> </w:t>
      </w:r>
      <w:r>
        <w:rPr>
          <w:sz w:val="20"/>
        </w:rPr>
        <w:t>octubre,</w:t>
      </w:r>
      <w:r>
        <w:rPr>
          <w:spacing w:val="-3"/>
          <w:sz w:val="20"/>
        </w:rPr>
        <w:t xml:space="preserve"> </w:t>
      </w:r>
      <w:r>
        <w:rPr>
          <w:sz w:val="20"/>
        </w:rPr>
        <w:t>de</w:t>
      </w:r>
      <w:r>
        <w:rPr>
          <w:spacing w:val="-3"/>
          <w:sz w:val="20"/>
        </w:rPr>
        <w:t xml:space="preserve"> </w:t>
      </w:r>
      <w:r>
        <w:rPr>
          <w:sz w:val="20"/>
        </w:rPr>
        <w:t>Régimen</w:t>
      </w:r>
      <w:r>
        <w:rPr>
          <w:spacing w:val="-3"/>
          <w:sz w:val="20"/>
        </w:rPr>
        <w:t xml:space="preserve"> </w:t>
      </w:r>
      <w:r>
        <w:rPr>
          <w:sz w:val="20"/>
        </w:rPr>
        <w:t>Jurídico</w:t>
      </w:r>
      <w:r>
        <w:rPr>
          <w:spacing w:val="-3"/>
          <w:sz w:val="20"/>
        </w:rPr>
        <w:t xml:space="preserve"> </w:t>
      </w:r>
      <w:r>
        <w:rPr>
          <w:sz w:val="20"/>
        </w:rPr>
        <w:t>del</w:t>
      </w:r>
      <w:r>
        <w:rPr>
          <w:spacing w:val="-3"/>
          <w:sz w:val="20"/>
        </w:rPr>
        <w:t xml:space="preserve"> </w:t>
      </w:r>
      <w:r>
        <w:rPr>
          <w:sz w:val="20"/>
        </w:rPr>
        <w:t>Sector</w:t>
      </w:r>
      <w:r>
        <w:rPr>
          <w:spacing w:val="-3"/>
          <w:sz w:val="20"/>
        </w:rPr>
        <w:t xml:space="preserve"> </w:t>
      </w:r>
      <w:r>
        <w:rPr>
          <w:sz w:val="20"/>
        </w:rPr>
        <w:t>Público.</w:t>
      </w:r>
      <w:r>
        <w:rPr>
          <w:spacing w:val="-3"/>
          <w:sz w:val="20"/>
        </w:rPr>
        <w:t xml:space="preserve"> </w:t>
      </w:r>
      <w:r>
        <w:rPr>
          <w:sz w:val="20"/>
        </w:rPr>
        <w:t>En</w:t>
      </w:r>
      <w:r>
        <w:rPr>
          <w:spacing w:val="-3"/>
          <w:sz w:val="20"/>
        </w:rPr>
        <w:t xml:space="preserve"> </w:t>
      </w:r>
      <w:r>
        <w:rPr>
          <w:sz w:val="20"/>
        </w:rPr>
        <w:t>particular,</w:t>
      </w:r>
      <w:r>
        <w:rPr>
          <w:spacing w:val="-3"/>
          <w:sz w:val="20"/>
        </w:rPr>
        <w:t xml:space="preserve"> </w:t>
      </w:r>
      <w:r>
        <w:rPr>
          <w:sz w:val="20"/>
        </w:rPr>
        <w:t>entre</w:t>
      </w:r>
      <w:r>
        <w:rPr>
          <w:spacing w:val="-3"/>
          <w:sz w:val="20"/>
        </w:rPr>
        <w:t xml:space="preserve"> </w:t>
      </w:r>
      <w:r>
        <w:rPr>
          <w:sz w:val="20"/>
        </w:rPr>
        <w:t>otros,</w:t>
      </w:r>
      <w:r>
        <w:rPr>
          <w:spacing w:val="-3"/>
          <w:sz w:val="20"/>
        </w:rPr>
        <w:t xml:space="preserve"> </w:t>
      </w:r>
      <w:r>
        <w:rPr>
          <w:sz w:val="20"/>
        </w:rPr>
        <w:t>la</w:t>
      </w:r>
      <w:r>
        <w:rPr>
          <w:spacing w:val="-3"/>
          <w:sz w:val="20"/>
        </w:rPr>
        <w:t xml:space="preserve"> </w:t>
      </w:r>
      <w:r>
        <w:rPr>
          <w:sz w:val="20"/>
        </w:rPr>
        <w:t>cooperación tendrá por objeto:</w:t>
      </w:r>
    </w:p>
    <w:p w:rsidR="0092635B" w:rsidRDefault="00000000">
      <w:pPr>
        <w:pStyle w:val="Prrafodelista"/>
        <w:numPr>
          <w:ilvl w:val="1"/>
          <w:numId w:val="77"/>
        </w:numPr>
        <w:tabs>
          <w:tab w:val="left" w:pos="1682"/>
        </w:tabs>
        <w:spacing w:before="125" w:line="249" w:lineRule="auto"/>
        <w:ind w:right="1104" w:firstLine="340"/>
        <w:jc w:val="both"/>
        <w:rPr>
          <w:sz w:val="20"/>
        </w:rPr>
      </w:pPr>
      <w:r>
        <w:rPr>
          <w:sz w:val="20"/>
        </w:rPr>
        <w:t>Coordinar</w:t>
      </w:r>
      <w:r>
        <w:rPr>
          <w:spacing w:val="-1"/>
          <w:sz w:val="20"/>
        </w:rPr>
        <w:t xml:space="preserve"> </w:t>
      </w:r>
      <w:r>
        <w:rPr>
          <w:sz w:val="20"/>
        </w:rPr>
        <w:t>los</w:t>
      </w:r>
      <w:r>
        <w:rPr>
          <w:spacing w:val="-1"/>
          <w:sz w:val="20"/>
        </w:rPr>
        <w:t xml:space="preserve"> </w:t>
      </w:r>
      <w:r>
        <w:rPr>
          <w:sz w:val="20"/>
        </w:rPr>
        <w:t>criterios</w:t>
      </w:r>
      <w:r>
        <w:rPr>
          <w:spacing w:val="-1"/>
          <w:sz w:val="20"/>
        </w:rPr>
        <w:t xml:space="preserve"> </w:t>
      </w:r>
      <w:r>
        <w:rPr>
          <w:sz w:val="20"/>
        </w:rPr>
        <w:t>de</w:t>
      </w:r>
      <w:r>
        <w:rPr>
          <w:spacing w:val="-1"/>
          <w:sz w:val="20"/>
        </w:rPr>
        <w:t xml:space="preserve"> </w:t>
      </w:r>
      <w:r>
        <w:rPr>
          <w:sz w:val="20"/>
        </w:rPr>
        <w:t>interpretación</w:t>
      </w:r>
      <w:r>
        <w:rPr>
          <w:spacing w:val="-1"/>
          <w:sz w:val="20"/>
        </w:rPr>
        <w:t xml:space="preserve"> </w:t>
      </w:r>
      <w:r>
        <w:rPr>
          <w:sz w:val="20"/>
        </w:rPr>
        <w:t>seguidos</w:t>
      </w:r>
      <w:r>
        <w:rPr>
          <w:spacing w:val="-1"/>
          <w:sz w:val="20"/>
        </w:rPr>
        <w:t xml:space="preserve"> </w:t>
      </w:r>
      <w:r>
        <w:rPr>
          <w:sz w:val="20"/>
        </w:rPr>
        <w:t>por</w:t>
      </w:r>
      <w:r>
        <w:rPr>
          <w:spacing w:val="-1"/>
          <w:sz w:val="20"/>
        </w:rPr>
        <w:t xml:space="preserve"> </w:t>
      </w:r>
      <w:r>
        <w:rPr>
          <w:sz w:val="20"/>
        </w:rPr>
        <w:t>las</w:t>
      </w:r>
      <w:r>
        <w:rPr>
          <w:spacing w:val="-1"/>
          <w:sz w:val="20"/>
        </w:rPr>
        <w:t xml:space="preserve"> </w:t>
      </w:r>
      <w:r>
        <w:rPr>
          <w:sz w:val="20"/>
        </w:rPr>
        <w:t>Administraciones</w:t>
      </w:r>
      <w:r>
        <w:rPr>
          <w:spacing w:val="-1"/>
          <w:sz w:val="20"/>
        </w:rPr>
        <w:t xml:space="preserve"> </w:t>
      </w:r>
      <w:r>
        <w:rPr>
          <w:sz w:val="20"/>
        </w:rPr>
        <w:t>Públicas</w:t>
      </w:r>
      <w:r>
        <w:rPr>
          <w:spacing w:val="-1"/>
          <w:sz w:val="20"/>
        </w:rPr>
        <w:t xml:space="preserve"> </w:t>
      </w:r>
      <w:r>
        <w:rPr>
          <w:sz w:val="20"/>
        </w:rPr>
        <w:t>en relación con las normas de la contratación pública.</w:t>
      </w:r>
    </w:p>
    <w:p w:rsidR="0092635B" w:rsidRDefault="00000000">
      <w:pPr>
        <w:pStyle w:val="Prrafodelista"/>
        <w:numPr>
          <w:ilvl w:val="1"/>
          <w:numId w:val="77"/>
        </w:numPr>
        <w:tabs>
          <w:tab w:val="left" w:pos="1759"/>
        </w:tabs>
        <w:spacing w:before="1" w:line="249" w:lineRule="auto"/>
        <w:ind w:right="1104" w:firstLine="340"/>
        <w:jc w:val="both"/>
        <w:rPr>
          <w:sz w:val="20"/>
        </w:rPr>
      </w:pPr>
      <w:r>
        <w:rPr>
          <w:sz w:val="20"/>
        </w:rPr>
        <w:t>Elaborar la propuesta de Estrategia Nacional de Contratación Pública que se someterá a la aprobación de la Oficina de Supervisión de la Contratación, conforme al apartado 6 a) del artículo 332.</w:t>
      </w:r>
    </w:p>
    <w:p w:rsidR="0092635B" w:rsidRDefault="00000000">
      <w:pPr>
        <w:pStyle w:val="Prrafodelista"/>
        <w:numPr>
          <w:ilvl w:val="1"/>
          <w:numId w:val="77"/>
        </w:numPr>
        <w:tabs>
          <w:tab w:val="left" w:pos="1686"/>
        </w:tabs>
        <w:spacing w:before="3" w:line="249" w:lineRule="auto"/>
        <w:ind w:right="1105" w:firstLine="340"/>
        <w:jc w:val="both"/>
        <w:rPr>
          <w:sz w:val="20"/>
        </w:rPr>
      </w:pPr>
      <w:r>
        <w:rPr>
          <w:sz w:val="20"/>
        </w:rPr>
        <w:t>Proponer los criterios de selección de actuaciones de supervisión de la contratación, así como elaborar una metodología básica común para las mismas.</w:t>
      </w:r>
    </w:p>
    <w:p w:rsidR="0092635B" w:rsidRDefault="00000000">
      <w:pPr>
        <w:pStyle w:val="Prrafodelista"/>
        <w:numPr>
          <w:ilvl w:val="1"/>
          <w:numId w:val="77"/>
        </w:numPr>
        <w:tabs>
          <w:tab w:val="left" w:pos="1705"/>
        </w:tabs>
        <w:spacing w:before="1" w:line="249" w:lineRule="auto"/>
        <w:ind w:right="1105" w:firstLine="340"/>
        <w:jc w:val="both"/>
        <w:rPr>
          <w:sz w:val="20"/>
        </w:rPr>
      </w:pPr>
      <w:r>
        <w:rPr>
          <w:sz w:val="20"/>
        </w:rPr>
        <w:t>Supervisar el funcionamiento de la Plataforma de Contratación del Sector Público y</w:t>
      </w:r>
      <w:r>
        <w:rPr>
          <w:spacing w:val="40"/>
          <w:sz w:val="20"/>
        </w:rPr>
        <w:t xml:space="preserve"> </w:t>
      </w:r>
      <w:r>
        <w:rPr>
          <w:sz w:val="20"/>
        </w:rPr>
        <w:t>del Registro Oficial de Licitadores y Empresas Clasificadas del Sector Público.</w:t>
      </w:r>
    </w:p>
    <w:p w:rsidR="0092635B" w:rsidRDefault="00000000">
      <w:pPr>
        <w:pStyle w:val="Prrafodelista"/>
        <w:numPr>
          <w:ilvl w:val="1"/>
          <w:numId w:val="77"/>
        </w:numPr>
        <w:tabs>
          <w:tab w:val="left" w:pos="1724"/>
        </w:tabs>
        <w:spacing w:line="249" w:lineRule="auto"/>
        <w:ind w:right="1105" w:firstLine="340"/>
        <w:jc w:val="both"/>
        <w:rPr>
          <w:sz w:val="20"/>
        </w:rPr>
      </w:pPr>
      <w:r>
        <w:rPr>
          <w:sz w:val="20"/>
        </w:rPr>
        <w:t>Analizar las cuestiones relativas a la contratación pública que resulten de interés común; y</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77"/>
        </w:numPr>
        <w:tabs>
          <w:tab w:val="left" w:pos="1630"/>
        </w:tabs>
        <w:spacing w:before="1" w:line="249" w:lineRule="auto"/>
        <w:ind w:right="1104" w:firstLine="340"/>
        <w:jc w:val="both"/>
        <w:rPr>
          <w:sz w:val="20"/>
        </w:rPr>
      </w:pPr>
      <w:r>
        <w:rPr>
          <w:sz w:val="20"/>
        </w:rPr>
        <w:t>Recopilar la información a la que se refieren las letras b), c), d) y e) del apartado 4 del artículo 328, a cuyo efecto podrán establecer las instrucciones necesarias, y ponerla a disposición de la Junta Consultiva de Contratación Pública del Estado.</w:t>
      </w:r>
    </w:p>
    <w:p w:rsidR="0092635B" w:rsidRDefault="00000000">
      <w:pPr>
        <w:pStyle w:val="Textoindependiente"/>
        <w:spacing w:before="122" w:line="249" w:lineRule="auto"/>
        <w:ind w:right="1103"/>
      </w:pPr>
      <w:r>
        <w:t>El Comité de Cooperación en materia de contratación pública, asimismo, es el</w:t>
      </w:r>
      <w:r>
        <w:rPr>
          <w:spacing w:val="80"/>
        </w:rPr>
        <w:t xml:space="preserve"> </w:t>
      </w:r>
      <w:r>
        <w:t>encargado de coordinar el impulso de la contratación electrónica en el ámbito del sector público y de promover el cumplimiento de los mandatos y objetivos de las directivas comunitarias en la materia.</w:t>
      </w:r>
    </w:p>
    <w:p w:rsidR="0092635B" w:rsidRDefault="00000000">
      <w:pPr>
        <w:pStyle w:val="Textoindependiente"/>
        <w:spacing w:before="3" w:line="249" w:lineRule="auto"/>
        <w:ind w:right="1103"/>
      </w:pPr>
      <w:r>
        <w:t>El Comité de Cooperación es un órgano colegiado que actúa en Pleno o en Secciones. Asimismo, podrán crearse en su seno, para el adecuado desarrollo de sus funciones, los grupos de trabajo que se decida por el Pleno o por cada una de las Secciones. El Pleno del Comité de Cooperación elaborará un reglamento interno de funcionamiento.</w:t>
      </w:r>
    </w:p>
    <w:p w:rsidR="0092635B" w:rsidRDefault="00000000">
      <w:pPr>
        <w:pStyle w:val="Prrafodelista"/>
        <w:numPr>
          <w:ilvl w:val="0"/>
          <w:numId w:val="77"/>
        </w:numPr>
        <w:tabs>
          <w:tab w:val="left" w:pos="1724"/>
        </w:tabs>
        <w:spacing w:before="4" w:line="249" w:lineRule="auto"/>
        <w:ind w:right="1104" w:firstLine="340"/>
        <w:jc w:val="both"/>
        <w:rPr>
          <w:sz w:val="20"/>
        </w:rPr>
      </w:pPr>
      <w:r>
        <w:rPr>
          <w:sz w:val="20"/>
        </w:rPr>
        <w:t>Corresponden al Pleno del Comité de Cooperación el ejercicio de las funciones necesarias para el cumplimiento de los objetivos expuestos en el apartado anterior y el conocimiento de aquellos asuntos que el presidente considere en atención a su importancia.</w:t>
      </w:r>
    </w:p>
    <w:p w:rsidR="0092635B" w:rsidRDefault="00000000">
      <w:pPr>
        <w:pStyle w:val="Textoindependiente"/>
        <w:spacing w:line="249" w:lineRule="auto"/>
        <w:ind w:right="1103"/>
      </w:pPr>
      <w:r>
        <w:t>El Pleno del Comité está presidido por el Director General del Patrimonio del Estado del Ministerio de Hacienda y Función Pública, y lo integran tanto representantes de la Administración General del Estado, como de las Comunidades y Ciudades Autónomas, así como de las organizaciones representativas de las Entidades Locales, en los términos que</w:t>
      </w:r>
      <w:r>
        <w:rPr>
          <w:spacing w:val="40"/>
        </w:rPr>
        <w:t xml:space="preserve"> </w:t>
      </w:r>
      <w:r>
        <w:t>se detallan a continuación:</w:t>
      </w:r>
    </w:p>
    <w:p w:rsidR="0092635B" w:rsidRDefault="00000000">
      <w:pPr>
        <w:pStyle w:val="Prrafodelista"/>
        <w:numPr>
          <w:ilvl w:val="1"/>
          <w:numId w:val="77"/>
        </w:numPr>
        <w:tabs>
          <w:tab w:val="left" w:pos="1732"/>
        </w:tabs>
        <w:spacing w:before="124" w:line="249" w:lineRule="auto"/>
        <w:ind w:firstLine="340"/>
        <w:jc w:val="both"/>
        <w:rPr>
          <w:sz w:val="20"/>
        </w:rPr>
      </w:pPr>
      <w:r>
        <w:rPr>
          <w:sz w:val="20"/>
        </w:rPr>
        <w:t>En representación de la Administración General del Estado, se nombrarán cinco vocales:</w:t>
      </w:r>
      <w:r>
        <w:rPr>
          <w:spacing w:val="-2"/>
          <w:sz w:val="20"/>
        </w:rPr>
        <w:t xml:space="preserve"> </w:t>
      </w:r>
      <w:r>
        <w:rPr>
          <w:sz w:val="20"/>
        </w:rPr>
        <w:t>uno</w:t>
      </w:r>
      <w:r>
        <w:rPr>
          <w:spacing w:val="-2"/>
          <w:sz w:val="20"/>
        </w:rPr>
        <w:t xml:space="preserve"> </w:t>
      </w:r>
      <w:r>
        <w:rPr>
          <w:sz w:val="20"/>
        </w:rPr>
        <w:t>en</w:t>
      </w:r>
      <w:r>
        <w:rPr>
          <w:spacing w:val="-2"/>
          <w:sz w:val="20"/>
        </w:rPr>
        <w:t xml:space="preserve"> </w:t>
      </w:r>
      <w:r>
        <w:rPr>
          <w:sz w:val="20"/>
        </w:rPr>
        <w:t>representación</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Intervención</w:t>
      </w:r>
      <w:r>
        <w:rPr>
          <w:spacing w:val="-2"/>
          <w:sz w:val="20"/>
        </w:rPr>
        <w:t xml:space="preserve"> </w:t>
      </w:r>
      <w:r>
        <w:rPr>
          <w:sz w:val="20"/>
        </w:rPr>
        <w:t>General</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a propuesta de la misma; uno en representación de la Abogacía General del Estado, a propuesta de la misma; uno en representación de la Dirección General de Racionalización y Centralización de la Contratación del Ministerio de Hacienda y Función Pública, a propuesta de la misma; uno en representación de la Dirección General de Coordinación de competencias con las Comunidades Autónomas y Entidades Locales del Ministerio de Presidencia</w:t>
      </w:r>
      <w:r>
        <w:rPr>
          <w:spacing w:val="-1"/>
          <w:sz w:val="20"/>
        </w:rPr>
        <w:t xml:space="preserve"> </w:t>
      </w:r>
      <w:r>
        <w:rPr>
          <w:sz w:val="20"/>
        </w:rPr>
        <w:t>y</w:t>
      </w:r>
      <w:r>
        <w:rPr>
          <w:spacing w:val="-1"/>
          <w:sz w:val="20"/>
        </w:rPr>
        <w:t xml:space="preserve"> </w:t>
      </w:r>
      <w:r>
        <w:rPr>
          <w:sz w:val="20"/>
        </w:rPr>
        <w:t>para</w:t>
      </w:r>
      <w:r>
        <w:rPr>
          <w:spacing w:val="-1"/>
          <w:sz w:val="20"/>
        </w:rPr>
        <w:t xml:space="preserve"> </w:t>
      </w:r>
      <w:r>
        <w:rPr>
          <w:sz w:val="20"/>
        </w:rPr>
        <w:t>las</w:t>
      </w:r>
      <w:r>
        <w:rPr>
          <w:spacing w:val="-1"/>
          <w:sz w:val="20"/>
        </w:rPr>
        <w:t xml:space="preserve"> </w:t>
      </w:r>
      <w:r>
        <w:rPr>
          <w:sz w:val="20"/>
        </w:rPr>
        <w:t>Administraciones</w:t>
      </w:r>
      <w:r>
        <w:rPr>
          <w:spacing w:val="-1"/>
          <w:sz w:val="20"/>
        </w:rPr>
        <w:t xml:space="preserve"> </w:t>
      </w:r>
      <w:r>
        <w:rPr>
          <w:sz w:val="20"/>
        </w:rPr>
        <w:t>Territoriales,</w:t>
      </w:r>
      <w:r>
        <w:rPr>
          <w:spacing w:val="-1"/>
          <w:sz w:val="20"/>
        </w:rPr>
        <w:t xml:space="preserve"> </w:t>
      </w:r>
      <w:r>
        <w:rPr>
          <w:sz w:val="20"/>
        </w:rPr>
        <w:t>a</w:t>
      </w:r>
      <w:r>
        <w:rPr>
          <w:spacing w:val="-1"/>
          <w:sz w:val="20"/>
        </w:rPr>
        <w:t xml:space="preserve"> </w:t>
      </w:r>
      <w:r>
        <w:rPr>
          <w:sz w:val="20"/>
        </w:rPr>
        <w:t>propuesta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misma;</w:t>
      </w:r>
      <w:r>
        <w:rPr>
          <w:spacing w:val="-1"/>
          <w:sz w:val="20"/>
        </w:rPr>
        <w:t xml:space="preserve"> </w:t>
      </w:r>
      <w:r>
        <w:rPr>
          <w:sz w:val="20"/>
        </w:rPr>
        <w:t>y</w:t>
      </w:r>
      <w:r>
        <w:rPr>
          <w:spacing w:val="-1"/>
          <w:sz w:val="20"/>
        </w:rPr>
        <w:t xml:space="preserve"> </w:t>
      </w:r>
      <w:r>
        <w:rPr>
          <w:sz w:val="20"/>
        </w:rPr>
        <w:t>el</w:t>
      </w:r>
      <w:r>
        <w:rPr>
          <w:spacing w:val="-1"/>
          <w:sz w:val="20"/>
        </w:rPr>
        <w:t xml:space="preserve"> </w:t>
      </w:r>
      <w:r>
        <w:rPr>
          <w:sz w:val="20"/>
        </w:rPr>
        <w:t>titular</w:t>
      </w:r>
      <w:r>
        <w:rPr>
          <w:spacing w:val="-1"/>
          <w:sz w:val="20"/>
        </w:rPr>
        <w:t xml:space="preserve"> </w:t>
      </w:r>
      <w:r>
        <w:rPr>
          <w:sz w:val="20"/>
        </w:rPr>
        <w:t>del órgano de apoyo técnico de la Junta Consultiva de Contratación Pública del Estado al que correspondan las materias referidas en el apartado 4 del artículo anterior.</w:t>
      </w:r>
    </w:p>
    <w:p w:rsidR="0092635B" w:rsidRDefault="00000000">
      <w:pPr>
        <w:pStyle w:val="Textoindependiente"/>
        <w:spacing w:before="8" w:line="249" w:lineRule="auto"/>
        <w:ind w:right="1105"/>
      </w:pPr>
      <w:r>
        <w:t>Formará parte, asimismo, la persona titular de la Presidencia de la Oficina Independiente de Regulación y Supervisión de la Contratación como vocal nato, con voz pero sin voto.</w:t>
      </w:r>
    </w:p>
    <w:p w:rsidR="0092635B" w:rsidRDefault="00000000">
      <w:pPr>
        <w:pStyle w:val="Prrafodelista"/>
        <w:numPr>
          <w:ilvl w:val="1"/>
          <w:numId w:val="77"/>
        </w:numPr>
        <w:tabs>
          <w:tab w:val="left" w:pos="1691"/>
        </w:tabs>
        <w:spacing w:line="249" w:lineRule="auto"/>
        <w:ind w:firstLine="340"/>
        <w:jc w:val="both"/>
        <w:rPr>
          <w:sz w:val="20"/>
        </w:rPr>
      </w:pPr>
      <w:r>
        <w:rPr>
          <w:sz w:val="20"/>
        </w:rPr>
        <w:t>En representación de las Comunidades Autónomas y de las Ciudades Autónomas de Ceuta</w:t>
      </w:r>
      <w:r>
        <w:rPr>
          <w:spacing w:val="-1"/>
          <w:sz w:val="20"/>
        </w:rPr>
        <w:t xml:space="preserve"> </w:t>
      </w:r>
      <w:r>
        <w:rPr>
          <w:sz w:val="20"/>
        </w:rPr>
        <w:t>y</w:t>
      </w:r>
      <w:r>
        <w:rPr>
          <w:spacing w:val="-1"/>
          <w:sz w:val="20"/>
        </w:rPr>
        <w:t xml:space="preserve"> </w:t>
      </w:r>
      <w:r>
        <w:rPr>
          <w:sz w:val="20"/>
        </w:rPr>
        <w:t>Melilla,</w:t>
      </w:r>
      <w:r>
        <w:rPr>
          <w:spacing w:val="-1"/>
          <w:sz w:val="20"/>
        </w:rPr>
        <w:t xml:space="preserve"> </w:t>
      </w:r>
      <w:r>
        <w:rPr>
          <w:sz w:val="20"/>
        </w:rPr>
        <w:t>integran</w:t>
      </w:r>
      <w:r>
        <w:rPr>
          <w:spacing w:val="-1"/>
          <w:sz w:val="20"/>
        </w:rPr>
        <w:t xml:space="preserve"> </w:t>
      </w:r>
      <w:r>
        <w:rPr>
          <w:sz w:val="20"/>
        </w:rPr>
        <w:t>el</w:t>
      </w:r>
      <w:r>
        <w:rPr>
          <w:spacing w:val="-1"/>
          <w:sz w:val="20"/>
        </w:rPr>
        <w:t xml:space="preserve"> </w:t>
      </w:r>
      <w:r>
        <w:rPr>
          <w:sz w:val="20"/>
        </w:rPr>
        <w:t>Pleno,</w:t>
      </w:r>
      <w:r>
        <w:rPr>
          <w:spacing w:val="-1"/>
          <w:sz w:val="20"/>
        </w:rPr>
        <w:t xml:space="preserve"> </w:t>
      </w:r>
      <w:r>
        <w:rPr>
          <w:sz w:val="20"/>
        </w:rPr>
        <w:t>un</w:t>
      </w:r>
      <w:r>
        <w:rPr>
          <w:spacing w:val="-1"/>
          <w:sz w:val="20"/>
        </w:rPr>
        <w:t xml:space="preserve"> </w:t>
      </w:r>
      <w:r>
        <w:rPr>
          <w:sz w:val="20"/>
        </w:rPr>
        <w:t>representante</w:t>
      </w:r>
      <w:r>
        <w:rPr>
          <w:spacing w:val="-1"/>
          <w:sz w:val="20"/>
        </w:rPr>
        <w:t xml:space="preserve"> </w:t>
      </w:r>
      <w:r>
        <w:rPr>
          <w:sz w:val="20"/>
        </w:rPr>
        <w:t>designado</w:t>
      </w:r>
      <w:r>
        <w:rPr>
          <w:spacing w:val="-1"/>
          <w:sz w:val="20"/>
        </w:rPr>
        <w:t xml:space="preserve"> </w:t>
      </w:r>
      <w:r>
        <w:rPr>
          <w:sz w:val="20"/>
        </w:rPr>
        <w:t>por</w:t>
      </w:r>
      <w:r>
        <w:rPr>
          <w:spacing w:val="-1"/>
          <w:sz w:val="20"/>
        </w:rPr>
        <w:t xml:space="preserve"> </w:t>
      </w:r>
      <w:r>
        <w:rPr>
          <w:sz w:val="20"/>
        </w:rPr>
        <w:t>cada</w:t>
      </w:r>
      <w:r>
        <w:rPr>
          <w:spacing w:val="-1"/>
          <w:sz w:val="20"/>
        </w:rPr>
        <w:t xml:space="preserve"> </w:t>
      </w:r>
      <w:r>
        <w:rPr>
          <w:sz w:val="20"/>
        </w:rPr>
        <w:t>una</w:t>
      </w:r>
      <w:r>
        <w:rPr>
          <w:spacing w:val="-1"/>
          <w:sz w:val="20"/>
        </w:rPr>
        <w:t xml:space="preserve"> </w:t>
      </w:r>
      <w:r>
        <w:rPr>
          <w:sz w:val="20"/>
        </w:rPr>
        <w:t>de</w:t>
      </w:r>
      <w:r>
        <w:rPr>
          <w:spacing w:val="-1"/>
          <w:sz w:val="20"/>
        </w:rPr>
        <w:t xml:space="preserve"> </w:t>
      </w:r>
      <w:r>
        <w:rPr>
          <w:sz w:val="20"/>
        </w:rPr>
        <w:t>ellas.</w:t>
      </w:r>
      <w:r>
        <w:rPr>
          <w:spacing w:val="-1"/>
          <w:sz w:val="20"/>
        </w:rPr>
        <w:t xml:space="preserve"> </w:t>
      </w:r>
      <w:r>
        <w:rPr>
          <w:sz w:val="20"/>
        </w:rPr>
        <w:t>Uno</w:t>
      </w:r>
      <w:r>
        <w:rPr>
          <w:spacing w:val="-1"/>
          <w:sz w:val="20"/>
        </w:rPr>
        <w:t xml:space="preserve"> </w:t>
      </w:r>
      <w:r>
        <w:rPr>
          <w:sz w:val="20"/>
        </w:rPr>
        <w:t>de los representantes, según su elección, ocupará la Vicepresidencia del Pleno del Comité.</w:t>
      </w:r>
    </w:p>
    <w:p w:rsidR="0092635B" w:rsidRDefault="00000000">
      <w:pPr>
        <w:pStyle w:val="Prrafodelista"/>
        <w:numPr>
          <w:ilvl w:val="1"/>
          <w:numId w:val="77"/>
        </w:numPr>
        <w:tabs>
          <w:tab w:val="left" w:pos="1711"/>
        </w:tabs>
        <w:spacing w:before="3" w:line="249" w:lineRule="auto"/>
        <w:ind w:right="1104" w:firstLine="340"/>
        <w:jc w:val="both"/>
        <w:rPr>
          <w:sz w:val="20"/>
        </w:rPr>
      </w:pPr>
      <w:r>
        <w:rPr>
          <w:sz w:val="20"/>
        </w:rPr>
        <w:t>En representación de las Entidades Locales, un representante de la asociación o federación de Entidades Locales con mayor implantación, designado por la misma.</w:t>
      </w:r>
    </w:p>
    <w:p w:rsidR="0092635B" w:rsidRDefault="00000000">
      <w:pPr>
        <w:pStyle w:val="Textoindependiente"/>
        <w:spacing w:before="1" w:line="249" w:lineRule="auto"/>
        <w:ind w:right="1104"/>
      </w:pPr>
      <w:r>
        <w:t>La secretaría recaerá en el titular de la Secretaría de la Junta Consultiva de Contratación Pública del Estado, tendrá voz, pero no así voto.</w:t>
      </w:r>
    </w:p>
    <w:p w:rsidR="0092635B" w:rsidRDefault="00000000">
      <w:pPr>
        <w:pStyle w:val="Textoindependiente"/>
        <w:spacing w:line="249" w:lineRule="auto"/>
        <w:ind w:right="1104"/>
      </w:pPr>
      <w:r>
        <w:t>Sin perjuicio de la composición establecida anteriormente, en función de los asuntos a tratar, podrán asistir a las reuniones del Pleno los expertos o representantes de otros Ministerios, entidades u organismos que fueran convocados al efecto.</w:t>
      </w:r>
    </w:p>
    <w:p w:rsidR="0092635B" w:rsidRDefault="00000000">
      <w:pPr>
        <w:pStyle w:val="Textoindependiente"/>
        <w:spacing w:line="249" w:lineRule="auto"/>
        <w:ind w:right="1104"/>
      </w:pPr>
      <w:r>
        <w:t>Asimismo, participarán en las sesiones del Comité de Cooperación y sus Secciones, cuando proceda, los vocales de la Oficina Independiente de Regulación y Supervisión de la Contratación, con voz y sin voto.</w:t>
      </w:r>
    </w:p>
    <w:p w:rsidR="0092635B" w:rsidRDefault="00000000">
      <w:pPr>
        <w:pStyle w:val="Prrafodelista"/>
        <w:numPr>
          <w:ilvl w:val="0"/>
          <w:numId w:val="77"/>
        </w:numPr>
        <w:tabs>
          <w:tab w:val="left" w:pos="1712"/>
        </w:tabs>
        <w:spacing w:before="3" w:line="249" w:lineRule="auto"/>
        <w:ind w:right="1104" w:firstLine="340"/>
        <w:jc w:val="both"/>
        <w:rPr>
          <w:sz w:val="20"/>
        </w:rPr>
      </w:pPr>
      <w:r>
        <w:rPr>
          <w:sz w:val="20"/>
        </w:rPr>
        <w:t>Las Secciones se encargarán de la preparación de los asuntos para su toma en consideración por el Pleno, bien por iniciativa propia, en el ámbito que les corresponde, o bien por indicación del Presidente.</w:t>
      </w:r>
    </w:p>
    <w:p w:rsidR="0092635B" w:rsidRDefault="00000000">
      <w:pPr>
        <w:pStyle w:val="Textoindependiente"/>
        <w:spacing w:line="249" w:lineRule="auto"/>
        <w:ind w:right="1104"/>
      </w:pPr>
      <w:r>
        <w:t>El Comité de Cooperación tendrá las Secciones que se determinen reglamentariamente, contando en todo caso con las cinco siguientes:</w:t>
      </w:r>
    </w:p>
    <w:p w:rsidR="0092635B" w:rsidRDefault="00000000">
      <w:pPr>
        <w:pStyle w:val="Prrafodelista"/>
        <w:numPr>
          <w:ilvl w:val="1"/>
          <w:numId w:val="77"/>
        </w:numPr>
        <w:tabs>
          <w:tab w:val="left" w:pos="1683"/>
        </w:tabs>
        <w:spacing w:before="122" w:line="249" w:lineRule="auto"/>
        <w:ind w:firstLine="340"/>
        <w:jc w:val="both"/>
        <w:rPr>
          <w:sz w:val="20"/>
        </w:rPr>
      </w:pPr>
      <w:r>
        <w:rPr>
          <w:sz w:val="20"/>
        </w:rPr>
        <w:t>Sección relativa a la regulación de la contratación, en los términos de las letras a) y b) del apartado 3 del artículo 328 de esta Ley.</w:t>
      </w:r>
    </w:p>
    <w:p w:rsidR="0092635B" w:rsidRDefault="00000000">
      <w:pPr>
        <w:pStyle w:val="Prrafodelista"/>
        <w:numPr>
          <w:ilvl w:val="1"/>
          <w:numId w:val="77"/>
        </w:numPr>
        <w:tabs>
          <w:tab w:val="left" w:pos="1692"/>
        </w:tabs>
        <w:spacing w:before="1" w:line="249" w:lineRule="auto"/>
        <w:ind w:right="1104" w:firstLine="340"/>
        <w:jc w:val="both"/>
        <w:rPr>
          <w:sz w:val="20"/>
        </w:rPr>
      </w:pPr>
      <w:r>
        <w:rPr>
          <w:sz w:val="20"/>
        </w:rPr>
        <w:t>Sección relativa a la información cuantitativa y estadística en materia de contratación pública para el cumplimiento de las obligaciones establecidas en la letra d) del apartado 3</w:t>
      </w:r>
      <w:r>
        <w:rPr>
          <w:spacing w:val="80"/>
          <w:sz w:val="20"/>
        </w:rPr>
        <w:t xml:space="preserve"> </w:t>
      </w:r>
      <w:r>
        <w:rPr>
          <w:sz w:val="20"/>
        </w:rPr>
        <w:t>del artículo 328 y de la obligación de información a que se refiere la letra c) del apartado 4</w:t>
      </w:r>
      <w:r>
        <w:rPr>
          <w:spacing w:val="40"/>
          <w:sz w:val="20"/>
        </w:rPr>
        <w:t xml:space="preserve"> </w:t>
      </w:r>
      <w:r>
        <w:rPr>
          <w:sz w:val="20"/>
        </w:rPr>
        <w:t>del artículo 328.</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77"/>
        </w:numPr>
        <w:tabs>
          <w:tab w:val="left" w:pos="1671"/>
        </w:tabs>
        <w:spacing w:before="1" w:line="249" w:lineRule="auto"/>
        <w:ind w:right="1105" w:firstLine="340"/>
        <w:jc w:val="both"/>
        <w:rPr>
          <w:sz w:val="20"/>
        </w:rPr>
      </w:pPr>
      <w:r>
        <w:rPr>
          <w:sz w:val="20"/>
        </w:rPr>
        <w:t>Sección relativa a la supervisión de la contratación pública para el cumplimiento de las obligaciones establecidas en los apartados 6, 8 y 9 del artículo 332.</w:t>
      </w:r>
    </w:p>
    <w:p w:rsidR="0092635B" w:rsidRDefault="00000000">
      <w:pPr>
        <w:pStyle w:val="Prrafodelista"/>
        <w:numPr>
          <w:ilvl w:val="1"/>
          <w:numId w:val="77"/>
        </w:numPr>
        <w:tabs>
          <w:tab w:val="left" w:pos="1694"/>
        </w:tabs>
        <w:spacing w:before="1" w:line="249" w:lineRule="auto"/>
        <w:ind w:right="1105" w:firstLine="340"/>
        <w:jc w:val="both"/>
        <w:rPr>
          <w:sz w:val="20"/>
        </w:rPr>
      </w:pPr>
      <w:r>
        <w:rPr>
          <w:sz w:val="20"/>
        </w:rPr>
        <w:t>Sección de contratación pública electrónica, encargada de ejecutar las competencias del Comité de Cooperación en esta materia y de la supervisión del funcionamiento de la Plataforma de Contratación del Sector Público; y</w:t>
      </w:r>
    </w:p>
    <w:p w:rsidR="0092635B" w:rsidRDefault="00000000">
      <w:pPr>
        <w:pStyle w:val="Prrafodelista"/>
        <w:numPr>
          <w:ilvl w:val="1"/>
          <w:numId w:val="77"/>
        </w:numPr>
        <w:tabs>
          <w:tab w:val="left" w:pos="1685"/>
        </w:tabs>
        <w:spacing w:before="3" w:line="249" w:lineRule="auto"/>
        <w:ind w:right="1106" w:firstLine="340"/>
        <w:jc w:val="both"/>
        <w:rPr>
          <w:sz w:val="20"/>
        </w:rPr>
      </w:pPr>
      <w:r>
        <w:rPr>
          <w:sz w:val="20"/>
        </w:rPr>
        <w:t>Sección relativa a la supervisión del funcionamiento del Registro Oficial de Licitadores y Empresas Clasificadas del Sector Público.</w:t>
      </w:r>
    </w:p>
    <w:p w:rsidR="0092635B" w:rsidRDefault="00000000">
      <w:pPr>
        <w:pStyle w:val="Prrafodelista"/>
        <w:numPr>
          <w:ilvl w:val="0"/>
          <w:numId w:val="77"/>
        </w:numPr>
        <w:tabs>
          <w:tab w:val="left" w:pos="1676"/>
        </w:tabs>
        <w:spacing w:before="121" w:line="249" w:lineRule="auto"/>
        <w:ind w:right="1105" w:firstLine="340"/>
        <w:jc w:val="both"/>
        <w:rPr>
          <w:sz w:val="20"/>
        </w:rPr>
      </w:pPr>
      <w:r>
        <w:rPr>
          <w:sz w:val="20"/>
        </w:rPr>
        <w:t>La Sección relativa a la regulación estará presidida por el titular de la Secretaría de la Junta Consultiva de Contratación Pública del Estado y ejercerá la secretaría de esta Sección el Vicesecretario de la Junta Consultiva. La Sección relativa a la supervisión estará presidida por el Vicepresidente del Comité de Cooperación en materia de contratación pública.</w:t>
      </w:r>
    </w:p>
    <w:p w:rsidR="0092635B" w:rsidRDefault="00000000">
      <w:pPr>
        <w:pStyle w:val="Textoindependiente"/>
        <w:spacing w:before="4" w:line="249" w:lineRule="auto"/>
        <w:ind w:right="1105"/>
      </w:pPr>
      <w:r>
        <w:t>Cada una de las restantes Secciones del Comité estará presidida por el Subdirector General de la Dirección General del Patrimonio del Estado del Ministerio de Hacienda y Función Pública que resulte competente respecto a la materia de que se trate.</w:t>
      </w:r>
    </w:p>
    <w:p w:rsidR="0092635B" w:rsidRDefault="00000000">
      <w:pPr>
        <w:pStyle w:val="Prrafodelista"/>
        <w:numPr>
          <w:ilvl w:val="0"/>
          <w:numId w:val="77"/>
        </w:numPr>
        <w:tabs>
          <w:tab w:val="left" w:pos="1686"/>
        </w:tabs>
        <w:spacing w:line="249" w:lineRule="auto"/>
        <w:ind w:right="1102" w:firstLine="340"/>
        <w:jc w:val="both"/>
        <w:rPr>
          <w:sz w:val="20"/>
        </w:rPr>
      </w:pPr>
      <w:r>
        <w:rPr>
          <w:sz w:val="20"/>
        </w:rPr>
        <w:t>Cada una de las secciones estará integrada por representantes de la Administración General del Estado, de las Comunidades y Ciudades Autónomas y, cuando proceda, de las organizaciones representativas de las Entidades Locales en los siguientes términos:</w:t>
      </w:r>
    </w:p>
    <w:p w:rsidR="0092635B" w:rsidRDefault="00000000">
      <w:pPr>
        <w:pStyle w:val="Prrafodelista"/>
        <w:numPr>
          <w:ilvl w:val="1"/>
          <w:numId w:val="77"/>
        </w:numPr>
        <w:tabs>
          <w:tab w:val="left" w:pos="1697"/>
        </w:tabs>
        <w:spacing w:before="123" w:line="249" w:lineRule="auto"/>
        <w:ind w:right="1104" w:firstLine="340"/>
        <w:jc w:val="both"/>
        <w:rPr>
          <w:sz w:val="20"/>
        </w:rPr>
      </w:pPr>
      <w:r>
        <w:rPr>
          <w:sz w:val="20"/>
        </w:rPr>
        <w:t>Por parte de la Administración General del Estado, los vocales que formen parte del Pleno del Comité en representación de la Oficina de Regulación y Supervisión de la Contratación, de la Intervención General de la Administración del Estado y de la Abogacía General del Estado; y el titular del órgano de apoyo técnico de la Junta Consultiva de Contratación Pública del Estado al que correspondan las materias referidas en el apartado 4 del artículo 328, en las Secciones que no presida; así como el Secretario de la indicada</w:t>
      </w:r>
      <w:r>
        <w:rPr>
          <w:spacing w:val="40"/>
          <w:sz w:val="20"/>
        </w:rPr>
        <w:t xml:space="preserve"> </w:t>
      </w:r>
      <w:r>
        <w:rPr>
          <w:sz w:val="20"/>
        </w:rPr>
        <w:t xml:space="preserve">Junta Consultiva que ejercerá la secretaría de la Sección, que contará con voz y voto en la </w:t>
      </w:r>
      <w:r>
        <w:rPr>
          <w:spacing w:val="-2"/>
          <w:sz w:val="20"/>
        </w:rPr>
        <w:t>misma.</w:t>
      </w:r>
    </w:p>
    <w:p w:rsidR="0092635B" w:rsidRDefault="00000000">
      <w:pPr>
        <w:pStyle w:val="Prrafodelista"/>
        <w:numPr>
          <w:ilvl w:val="1"/>
          <w:numId w:val="77"/>
        </w:numPr>
        <w:tabs>
          <w:tab w:val="left" w:pos="1792"/>
        </w:tabs>
        <w:spacing w:before="6" w:line="249" w:lineRule="auto"/>
        <w:ind w:firstLine="340"/>
        <w:jc w:val="both"/>
        <w:rPr>
          <w:sz w:val="20"/>
        </w:rPr>
      </w:pPr>
      <w:r>
        <w:rPr>
          <w:sz w:val="20"/>
        </w:rPr>
        <w:t>Por parte de las Comunidades Autónomas, tres representantes designados rotatoriamente por periodos de un año, en función del orden de creación de las mismas.</w:t>
      </w:r>
    </w:p>
    <w:p w:rsidR="0092635B" w:rsidRDefault="00000000">
      <w:pPr>
        <w:pStyle w:val="Prrafodelista"/>
        <w:numPr>
          <w:ilvl w:val="1"/>
          <w:numId w:val="77"/>
        </w:numPr>
        <w:tabs>
          <w:tab w:val="left" w:pos="1717"/>
        </w:tabs>
        <w:spacing w:line="249" w:lineRule="auto"/>
        <w:ind w:firstLine="340"/>
        <w:jc w:val="both"/>
        <w:rPr>
          <w:sz w:val="20"/>
        </w:rPr>
      </w:pPr>
      <w:r>
        <w:rPr>
          <w:sz w:val="20"/>
        </w:rPr>
        <w:t>Además de los indicados en las letras a) y b) anteriores, el representante de la asociación o federación de Entidades Locales con mayor implantación, designado por la misma, que forme parte del Pleno, formará parte, a su vez, de las siguientes secciones: Sección relativa a la supervisión de la contratación pública, Sección relativa a la información cuantitativa y estadística y Sección de contratación pública electrónica.</w:t>
      </w:r>
    </w:p>
    <w:p w:rsidR="0092635B" w:rsidRDefault="00000000">
      <w:pPr>
        <w:pStyle w:val="Prrafodelista"/>
        <w:numPr>
          <w:ilvl w:val="1"/>
          <w:numId w:val="77"/>
        </w:numPr>
        <w:tabs>
          <w:tab w:val="left" w:pos="1683"/>
        </w:tabs>
        <w:spacing w:before="4" w:line="249" w:lineRule="auto"/>
        <w:ind w:right="1105" w:firstLine="340"/>
        <w:jc w:val="both"/>
        <w:rPr>
          <w:sz w:val="20"/>
        </w:rPr>
      </w:pPr>
      <w:r>
        <w:rPr>
          <w:sz w:val="20"/>
        </w:rPr>
        <w:t>En el caso de la Sección de contratación pública electrónica, además de los indicados en las letras a), b) y c) anteriores, se incorporarán como vocales un representante del Ministerio de Energía, Turismo y Agenda Digital y un representante del Ministerio de la Presidencia y para las Administraciones Territoriales.</w:t>
      </w:r>
    </w:p>
    <w:p w:rsidR="0092635B" w:rsidRDefault="00000000">
      <w:pPr>
        <w:pStyle w:val="Textoindependiente"/>
        <w:spacing w:before="3" w:line="249" w:lineRule="auto"/>
        <w:ind w:right="1104"/>
      </w:pPr>
      <w:r>
        <w:t>Los representantes de las Comunidades Autónomas en esta Sección serán cinco, designados según lo previsto en la letra b) anterior. Tres de ellos serán designados entre las Comunidades Autónomas que hubieran firmado con la Administración General del Estado el correspondiente convenio para la utilización de los servicios que ofrece la Plataforma de Contratación del Sector Público y los dos restantes representarán al resto de las Comunidades Autónomas.</w:t>
      </w:r>
    </w:p>
    <w:p w:rsidR="0092635B" w:rsidRDefault="00000000">
      <w:pPr>
        <w:pStyle w:val="Prrafodelista"/>
        <w:numPr>
          <w:ilvl w:val="1"/>
          <w:numId w:val="77"/>
        </w:numPr>
        <w:tabs>
          <w:tab w:val="left" w:pos="1702"/>
        </w:tabs>
        <w:spacing w:before="5" w:line="249" w:lineRule="auto"/>
        <w:ind w:firstLine="340"/>
        <w:jc w:val="both"/>
        <w:rPr>
          <w:sz w:val="20"/>
        </w:rPr>
      </w:pPr>
      <w:r>
        <w:rPr>
          <w:sz w:val="20"/>
        </w:rPr>
        <w:t>En el caso de la Sección que tiene por objeto la supervisión del funcionamiento del Registro Oficial de Licitadores y Empresas Clasificadas del Sector Público, los tres representantes de las Comunidades Autónomas serán designados entre las que hubieran firmado con la Administración General del Estado el correspondiente convenio de utilización de los servicios que ofrece el mencionado Registro Oficial.</w:t>
      </w:r>
    </w:p>
    <w:p w:rsidR="0092635B" w:rsidRDefault="00000000">
      <w:pPr>
        <w:pStyle w:val="Textoindependiente"/>
        <w:spacing w:before="124" w:line="249" w:lineRule="auto"/>
        <w:ind w:right="1106"/>
      </w:pPr>
      <w:r>
        <w:t>La Vicepresidencia de cada Sección corresponde a uno de los representantes de las Comunidades Autónomas, elegidos entre ellos.</w:t>
      </w:r>
    </w:p>
    <w:p w:rsidR="0092635B" w:rsidRDefault="00000000">
      <w:pPr>
        <w:pStyle w:val="Prrafodelista"/>
        <w:numPr>
          <w:ilvl w:val="0"/>
          <w:numId w:val="77"/>
        </w:numPr>
        <w:tabs>
          <w:tab w:val="left" w:pos="1673"/>
        </w:tabs>
        <w:spacing w:line="249" w:lineRule="auto"/>
        <w:ind w:right="1104" w:firstLine="340"/>
        <w:jc w:val="both"/>
        <w:rPr>
          <w:sz w:val="20"/>
        </w:rPr>
      </w:pPr>
      <w:r>
        <w:rPr>
          <w:sz w:val="20"/>
        </w:rPr>
        <w:t>Sin perjuicio de la composición establecida anteriormente, en función de los asuntos a tratar, podrán asistir a las reuniones de cada una de las Secciones los expertos o representantes de otros Ministerios, entidades u organismos que fueran convocados al efecto.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Sección</w:t>
      </w:r>
      <w:r>
        <w:rPr>
          <w:spacing w:val="-2"/>
          <w:sz w:val="20"/>
        </w:rPr>
        <w:t xml:space="preserve"> </w:t>
      </w:r>
      <w:r>
        <w:rPr>
          <w:sz w:val="20"/>
        </w:rPr>
        <w:t>que</w:t>
      </w:r>
      <w:r>
        <w:rPr>
          <w:spacing w:val="-2"/>
          <w:sz w:val="20"/>
        </w:rPr>
        <w:t xml:space="preserve"> </w:t>
      </w:r>
      <w:r>
        <w:rPr>
          <w:sz w:val="20"/>
        </w:rPr>
        <w:t>tenga</w:t>
      </w:r>
      <w:r>
        <w:rPr>
          <w:spacing w:val="-2"/>
          <w:sz w:val="20"/>
        </w:rPr>
        <w:t xml:space="preserve"> </w:t>
      </w:r>
      <w:r>
        <w:rPr>
          <w:sz w:val="20"/>
        </w:rPr>
        <w:t>por</w:t>
      </w:r>
      <w:r>
        <w:rPr>
          <w:spacing w:val="-2"/>
          <w:sz w:val="20"/>
        </w:rPr>
        <w:t xml:space="preserve"> </w:t>
      </w:r>
      <w:r>
        <w:rPr>
          <w:sz w:val="20"/>
        </w:rPr>
        <w:t>objeto</w:t>
      </w:r>
      <w:r>
        <w:rPr>
          <w:spacing w:val="-2"/>
          <w:sz w:val="20"/>
        </w:rPr>
        <w:t xml:space="preserve"> </w:t>
      </w:r>
      <w:r>
        <w:rPr>
          <w:sz w:val="20"/>
        </w:rPr>
        <w:t>la</w:t>
      </w:r>
      <w:r>
        <w:rPr>
          <w:spacing w:val="-2"/>
          <w:sz w:val="20"/>
        </w:rPr>
        <w:t xml:space="preserve"> </w:t>
      </w:r>
      <w:r>
        <w:rPr>
          <w:sz w:val="20"/>
        </w:rPr>
        <w:t>información</w:t>
      </w:r>
      <w:r>
        <w:rPr>
          <w:spacing w:val="-2"/>
          <w:sz w:val="20"/>
        </w:rPr>
        <w:t xml:space="preserve"> </w:t>
      </w:r>
      <w:r>
        <w:rPr>
          <w:sz w:val="20"/>
        </w:rPr>
        <w:t>cuantitativa</w:t>
      </w:r>
      <w:r>
        <w:rPr>
          <w:spacing w:val="-2"/>
          <w:sz w:val="20"/>
        </w:rPr>
        <w:t xml:space="preserve"> </w:t>
      </w:r>
      <w:r>
        <w:rPr>
          <w:sz w:val="20"/>
        </w:rPr>
        <w:t>y</w:t>
      </w:r>
      <w:r>
        <w:rPr>
          <w:spacing w:val="-2"/>
          <w:sz w:val="20"/>
        </w:rPr>
        <w:t xml:space="preserve"> </w:t>
      </w:r>
      <w:r>
        <w:rPr>
          <w:sz w:val="20"/>
        </w:rPr>
        <w:t>estadística para el cumplimiento de las obligaciones establecidas en la letra d) del apartado 3 del</w:t>
      </w:r>
      <w:r>
        <w:rPr>
          <w:spacing w:val="40"/>
          <w:sz w:val="20"/>
        </w:rPr>
        <w:t xml:space="preserve"> </w:t>
      </w:r>
      <w:r>
        <w:rPr>
          <w:sz w:val="20"/>
        </w:rPr>
        <w:t>artículo 328, y de la obligación de información a que se refiere la letra c) del apartado 4 del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artículo 328, cuando los asuntos a tratar así lo requieran, y sean convocados al efecto, podrán asistir a sus reuniones representantes de todas las Comunidades Autónomas.</w:t>
      </w:r>
    </w:p>
    <w:p w:rsidR="0092635B" w:rsidRDefault="00000000">
      <w:pPr>
        <w:pStyle w:val="Prrafodelista"/>
        <w:numPr>
          <w:ilvl w:val="0"/>
          <w:numId w:val="77"/>
        </w:numPr>
        <w:tabs>
          <w:tab w:val="left" w:pos="1679"/>
        </w:tabs>
        <w:spacing w:before="1" w:line="249" w:lineRule="auto"/>
        <w:ind w:firstLine="340"/>
        <w:jc w:val="both"/>
        <w:rPr>
          <w:sz w:val="20"/>
        </w:rPr>
      </w:pPr>
      <w:r>
        <w:rPr>
          <w:sz w:val="20"/>
        </w:rPr>
        <w:t>El funcionamiento del Comité de cooperación en materia de contratación pública será atendido con los medios personales, técnicos y presupuestarios asignados a la Junta Consultiva de Contratación Pública del Estado.</w:t>
      </w:r>
    </w:p>
    <w:p w:rsidR="0092635B" w:rsidRDefault="00000000">
      <w:pPr>
        <w:spacing w:before="230" w:line="249" w:lineRule="auto"/>
        <w:ind w:left="1106" w:right="1120" w:hanging="1"/>
        <w:rPr>
          <w:rFonts w:ascii="Arial" w:hAnsi="Arial"/>
          <w:i/>
          <w:sz w:val="20"/>
        </w:rPr>
      </w:pPr>
      <w:bookmarkStart w:id="558" w:name="Artículo_330._Órganos_consultivos_en_mat"/>
      <w:bookmarkEnd w:id="558"/>
      <w:r>
        <w:rPr>
          <w:rFonts w:ascii="Arial" w:hAnsi="Arial"/>
          <w:b/>
          <w:sz w:val="20"/>
        </w:rPr>
        <w:t>Artículo 330.</w:t>
      </w:r>
      <w:r>
        <w:rPr>
          <w:rFonts w:ascii="Arial" w:hAnsi="Arial"/>
          <w:b/>
          <w:spacing w:val="40"/>
          <w:sz w:val="20"/>
        </w:rPr>
        <w:t xml:space="preserve"> </w:t>
      </w:r>
      <w:r>
        <w:rPr>
          <w:rFonts w:ascii="Arial" w:hAnsi="Arial"/>
          <w:i/>
          <w:sz w:val="20"/>
        </w:rPr>
        <w:t>Órganos consultivos en materia de contratación pública de las Comunidades Autónomas y de las Ciudades Autónomas de Ceuta y Melilla.</w:t>
      </w:r>
    </w:p>
    <w:p w:rsidR="0092635B" w:rsidRDefault="00000000">
      <w:pPr>
        <w:pStyle w:val="Textoindependiente"/>
        <w:spacing w:before="115" w:line="249" w:lineRule="auto"/>
        <w:ind w:right="1103"/>
      </w:pPr>
      <w:r>
        <w:t>Los órganos consultivos en materia de contratación pública que creen las Comunidades Autónomas ejercerán su competencia en su respectivo ámbito territorial, en relación con la contratación de las Entidades que integren el sector público autonómico, y, de establecerse así en sus normas reguladoras, de las Entidades Locales incluidas en el mismo, sin perjuicio de las competencias de la Junta Consultiva de Contratación Pública del Estado.</w:t>
      </w:r>
    </w:p>
    <w:p w:rsidR="0092635B" w:rsidRDefault="0092635B">
      <w:pPr>
        <w:pStyle w:val="Textoindependiente"/>
        <w:spacing w:before="0"/>
        <w:ind w:left="0" w:firstLine="0"/>
        <w:jc w:val="left"/>
      </w:pPr>
    </w:p>
    <w:p w:rsidR="0092635B" w:rsidRDefault="00000000">
      <w:pPr>
        <w:tabs>
          <w:tab w:val="left" w:pos="2638"/>
        </w:tabs>
        <w:spacing w:line="249" w:lineRule="auto"/>
        <w:ind w:left="1106" w:right="1120"/>
        <w:rPr>
          <w:rFonts w:ascii="Arial" w:hAnsi="Arial"/>
          <w:i/>
          <w:sz w:val="20"/>
        </w:rPr>
      </w:pPr>
      <w:bookmarkStart w:id="559" w:name="Artículo_331._Aportación_de_información_"/>
      <w:bookmarkEnd w:id="559"/>
      <w:r>
        <w:rPr>
          <w:rFonts w:ascii="Arial" w:hAnsi="Arial"/>
          <w:b/>
          <w:sz w:val="20"/>
        </w:rPr>
        <w:t>Artículo</w:t>
      </w:r>
      <w:r>
        <w:rPr>
          <w:rFonts w:ascii="Arial" w:hAnsi="Arial"/>
          <w:b/>
          <w:spacing w:val="40"/>
          <w:sz w:val="20"/>
        </w:rPr>
        <w:t xml:space="preserve"> </w:t>
      </w:r>
      <w:r>
        <w:rPr>
          <w:rFonts w:ascii="Arial" w:hAnsi="Arial"/>
          <w:b/>
          <w:sz w:val="20"/>
        </w:rPr>
        <w:t>331.</w:t>
      </w:r>
      <w:r>
        <w:rPr>
          <w:rFonts w:ascii="Arial" w:hAnsi="Arial"/>
          <w:b/>
          <w:sz w:val="20"/>
        </w:rPr>
        <w:tab/>
      </w:r>
      <w:r>
        <w:rPr>
          <w:rFonts w:ascii="Arial" w:hAnsi="Arial"/>
          <w:i/>
          <w:sz w:val="20"/>
        </w:rPr>
        <w:t>Aportación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información</w:t>
      </w:r>
      <w:r>
        <w:rPr>
          <w:rFonts w:ascii="Arial" w:hAnsi="Arial"/>
          <w:i/>
          <w:spacing w:val="40"/>
          <w:sz w:val="20"/>
        </w:rPr>
        <w:t xml:space="preserve"> </w:t>
      </w:r>
      <w:r>
        <w:rPr>
          <w:rFonts w:ascii="Arial" w:hAnsi="Arial"/>
          <w:i/>
          <w:sz w:val="20"/>
        </w:rPr>
        <w:t>por</w:t>
      </w:r>
      <w:r>
        <w:rPr>
          <w:rFonts w:ascii="Arial" w:hAnsi="Arial"/>
          <w:i/>
          <w:spacing w:val="40"/>
          <w:sz w:val="20"/>
        </w:rPr>
        <w:t xml:space="preserve"> </w:t>
      </w:r>
      <w:r>
        <w:rPr>
          <w:rFonts w:ascii="Arial" w:hAnsi="Arial"/>
          <w:i/>
          <w:sz w:val="20"/>
        </w:rPr>
        <w:t>las</w:t>
      </w:r>
      <w:r>
        <w:rPr>
          <w:rFonts w:ascii="Arial" w:hAnsi="Arial"/>
          <w:i/>
          <w:spacing w:val="40"/>
          <w:sz w:val="20"/>
        </w:rPr>
        <w:t xml:space="preserve"> </w:t>
      </w:r>
      <w:r>
        <w:rPr>
          <w:rFonts w:ascii="Arial" w:hAnsi="Arial"/>
          <w:i/>
          <w:sz w:val="20"/>
        </w:rPr>
        <w:t>Comunidades</w:t>
      </w:r>
      <w:r>
        <w:rPr>
          <w:rFonts w:ascii="Arial" w:hAnsi="Arial"/>
          <w:i/>
          <w:spacing w:val="40"/>
          <w:sz w:val="20"/>
        </w:rPr>
        <w:t xml:space="preserve"> </w:t>
      </w:r>
      <w:r>
        <w:rPr>
          <w:rFonts w:ascii="Arial" w:hAnsi="Arial"/>
          <w:i/>
          <w:sz w:val="20"/>
        </w:rPr>
        <w:t>Autónomas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las</w:t>
      </w:r>
      <w:r>
        <w:rPr>
          <w:rFonts w:ascii="Arial" w:hAnsi="Arial"/>
          <w:i/>
          <w:spacing w:val="80"/>
          <w:sz w:val="20"/>
        </w:rPr>
        <w:t xml:space="preserve"> </w:t>
      </w:r>
      <w:r>
        <w:rPr>
          <w:rFonts w:ascii="Arial" w:hAnsi="Arial"/>
          <w:i/>
          <w:sz w:val="20"/>
        </w:rPr>
        <w:t>Ciudades Autónomas de Ceuta y Melilla.</w:t>
      </w:r>
    </w:p>
    <w:p w:rsidR="0092635B" w:rsidRDefault="00000000">
      <w:pPr>
        <w:pStyle w:val="Textoindependiente"/>
        <w:spacing w:before="115" w:line="249" w:lineRule="auto"/>
        <w:ind w:right="1103"/>
      </w:pPr>
      <w:r>
        <w:t>En el marco del principio de lealtad institucional que rige las relaciones entre las Administraciones Públicas contemplado con carácter básico en el artículo 3 de la Ley 40/2015, de 1 de octubre, de Régimen Jurídico del Sector Público, y con la finalidad de que</w:t>
      </w:r>
      <w:r>
        <w:rPr>
          <w:spacing w:val="40"/>
        </w:rPr>
        <w:t xml:space="preserve"> </w:t>
      </w:r>
      <w:r>
        <w:t>la Junta Consultiva de Contratación Pública del Estado pueda cumplir con las obligaciones establecidas en el artículo 328 respecto a la Comisión Europea, las Comunidades Autónomas remitirán en formato electrónico al Comité de Cooperación regulado en el</w:t>
      </w:r>
      <w:r>
        <w:rPr>
          <w:spacing w:val="80"/>
        </w:rPr>
        <w:t xml:space="preserve"> </w:t>
      </w:r>
      <w:r>
        <w:t>artículo 329, a través de sus órganos competentes y respecto de sus respectivos ámbitos territoriales, la siguiente documentación:</w:t>
      </w:r>
    </w:p>
    <w:p w:rsidR="0092635B" w:rsidRDefault="00000000">
      <w:pPr>
        <w:pStyle w:val="Prrafodelista"/>
        <w:numPr>
          <w:ilvl w:val="1"/>
          <w:numId w:val="77"/>
        </w:numPr>
        <w:tabs>
          <w:tab w:val="left" w:pos="1698"/>
        </w:tabs>
        <w:spacing w:before="127" w:line="249" w:lineRule="auto"/>
        <w:ind w:right="1104" w:firstLine="340"/>
        <w:jc w:val="both"/>
        <w:rPr>
          <w:sz w:val="20"/>
        </w:rPr>
      </w:pPr>
      <w:r>
        <w:rPr>
          <w:sz w:val="20"/>
        </w:rPr>
        <w:t xml:space="preserve">Un informe comprensivo de todas aquellas cuestiones mencionadas en las letras b), c), d), e) y f) del apartado 4 del artículo 328 con una periodicidad de –al menos– cada tres </w:t>
      </w:r>
      <w:r>
        <w:rPr>
          <w:spacing w:val="-2"/>
          <w:sz w:val="20"/>
        </w:rPr>
        <w:t>años.</w:t>
      </w:r>
    </w:p>
    <w:p w:rsidR="0092635B" w:rsidRDefault="00000000">
      <w:pPr>
        <w:pStyle w:val="Prrafodelista"/>
        <w:numPr>
          <w:ilvl w:val="1"/>
          <w:numId w:val="77"/>
        </w:numPr>
        <w:tabs>
          <w:tab w:val="left" w:pos="1690"/>
        </w:tabs>
        <w:spacing w:line="249" w:lineRule="auto"/>
        <w:ind w:right="1106" w:firstLine="340"/>
        <w:jc w:val="both"/>
        <w:rPr>
          <w:sz w:val="20"/>
        </w:rPr>
      </w:pPr>
      <w:r>
        <w:rPr>
          <w:sz w:val="20"/>
        </w:rPr>
        <w:t>Un informe comprensivo de las cuestiones previstas en el apartado 8 del artículo 332 con una periodicidad de –al menos– cada tres años.</w:t>
      </w:r>
    </w:p>
    <w:p w:rsidR="0092635B" w:rsidRDefault="00000000">
      <w:pPr>
        <w:pStyle w:val="Textoindependiente"/>
        <w:spacing w:line="249" w:lineRule="auto"/>
        <w:ind w:right="1104"/>
      </w:pPr>
      <w:r>
        <w:t>La documentación remitida incluirá información referida a los órganos de contratación de las Administraciones locales, así como los de sus entidades vinculadas o dependientes, que durante el periodo temporal a informar hubieran tenido alojada la publicación de sus perfiles de contratante en el servicio de información que a tal efecto hubiera establecido la Comunidad Autónoma de su ámbito territorial.</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560" w:name="Artículo_332._Oficina_Independiente_de_R"/>
      <w:bookmarkEnd w:id="560"/>
      <w:r>
        <w:rPr>
          <w:rFonts w:ascii="Arial" w:hAnsi="Arial"/>
          <w:b/>
          <w:sz w:val="20"/>
        </w:rPr>
        <w:t>Artículo</w:t>
      </w:r>
      <w:r>
        <w:rPr>
          <w:rFonts w:ascii="Arial" w:hAnsi="Arial"/>
          <w:b/>
          <w:spacing w:val="-6"/>
          <w:sz w:val="20"/>
        </w:rPr>
        <w:t xml:space="preserve"> </w:t>
      </w:r>
      <w:r>
        <w:rPr>
          <w:rFonts w:ascii="Arial" w:hAnsi="Arial"/>
          <w:b/>
          <w:sz w:val="20"/>
        </w:rPr>
        <w:t>332.</w:t>
      </w:r>
      <w:r>
        <w:rPr>
          <w:rFonts w:ascii="Arial" w:hAnsi="Arial"/>
          <w:b/>
          <w:spacing w:val="47"/>
          <w:sz w:val="20"/>
        </w:rPr>
        <w:t xml:space="preserve"> </w:t>
      </w:r>
      <w:r>
        <w:rPr>
          <w:rFonts w:ascii="Arial" w:hAnsi="Arial"/>
          <w:i/>
          <w:sz w:val="20"/>
        </w:rPr>
        <w:t>Oficina</w:t>
      </w:r>
      <w:r>
        <w:rPr>
          <w:rFonts w:ascii="Arial" w:hAnsi="Arial"/>
          <w:i/>
          <w:spacing w:val="-4"/>
          <w:sz w:val="20"/>
        </w:rPr>
        <w:t xml:space="preserve"> </w:t>
      </w:r>
      <w:r>
        <w:rPr>
          <w:rFonts w:ascii="Arial" w:hAnsi="Arial"/>
          <w:i/>
          <w:sz w:val="20"/>
        </w:rPr>
        <w:t>Independiente</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Regulación</w:t>
      </w:r>
      <w:r>
        <w:rPr>
          <w:rFonts w:ascii="Arial" w:hAnsi="Arial"/>
          <w:i/>
          <w:spacing w:val="-4"/>
          <w:sz w:val="20"/>
        </w:rPr>
        <w:t xml:space="preserve"> </w:t>
      </w:r>
      <w:r>
        <w:rPr>
          <w:rFonts w:ascii="Arial" w:hAnsi="Arial"/>
          <w:i/>
          <w:sz w:val="20"/>
        </w:rPr>
        <w:t>y</w:t>
      </w:r>
      <w:r>
        <w:rPr>
          <w:rFonts w:ascii="Arial" w:hAnsi="Arial"/>
          <w:i/>
          <w:spacing w:val="-4"/>
          <w:sz w:val="20"/>
        </w:rPr>
        <w:t xml:space="preserve"> </w:t>
      </w:r>
      <w:r>
        <w:rPr>
          <w:rFonts w:ascii="Arial" w:hAnsi="Arial"/>
          <w:i/>
          <w:sz w:val="20"/>
        </w:rPr>
        <w:t>Supervisión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3"/>
          <w:sz w:val="20"/>
        </w:rPr>
        <w:t xml:space="preserve"> </w:t>
      </w:r>
      <w:r>
        <w:rPr>
          <w:rFonts w:ascii="Arial" w:hAnsi="Arial"/>
          <w:i/>
          <w:spacing w:val="-2"/>
          <w:sz w:val="20"/>
        </w:rPr>
        <w:t>Contratación.</w:t>
      </w:r>
    </w:p>
    <w:p w:rsidR="0092635B" w:rsidRDefault="00000000">
      <w:pPr>
        <w:pStyle w:val="Prrafodelista"/>
        <w:numPr>
          <w:ilvl w:val="0"/>
          <w:numId w:val="76"/>
        </w:numPr>
        <w:tabs>
          <w:tab w:val="left" w:pos="1712"/>
        </w:tabs>
        <w:spacing w:before="123" w:line="249" w:lineRule="auto"/>
        <w:ind w:firstLine="340"/>
        <w:jc w:val="both"/>
        <w:rPr>
          <w:sz w:val="20"/>
        </w:rPr>
      </w:pPr>
      <w:r>
        <w:rPr>
          <w:sz w:val="20"/>
        </w:rPr>
        <w:t>Se crea la Oficina Independiente de Regulación y Supervisión de la Contratación</w:t>
      </w:r>
      <w:r>
        <w:rPr>
          <w:spacing w:val="40"/>
          <w:sz w:val="20"/>
        </w:rPr>
        <w:t xml:space="preserve"> </w:t>
      </w:r>
      <w:r>
        <w:rPr>
          <w:sz w:val="20"/>
        </w:rPr>
        <w:t>como</w:t>
      </w:r>
      <w:r>
        <w:rPr>
          <w:spacing w:val="-2"/>
          <w:sz w:val="20"/>
        </w:rPr>
        <w:t xml:space="preserve"> </w:t>
      </w:r>
      <w:r>
        <w:rPr>
          <w:sz w:val="20"/>
        </w:rPr>
        <w:t>órgano</w:t>
      </w:r>
      <w:r>
        <w:rPr>
          <w:spacing w:val="-2"/>
          <w:sz w:val="20"/>
        </w:rPr>
        <w:t xml:space="preserve"> </w:t>
      </w:r>
      <w:r>
        <w:rPr>
          <w:sz w:val="20"/>
        </w:rPr>
        <w:t>colegiado</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previstos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19</w:t>
      </w:r>
      <w:r>
        <w:rPr>
          <w:spacing w:val="-2"/>
          <w:sz w:val="20"/>
        </w:rPr>
        <w:t xml:space="preserve"> </w:t>
      </w:r>
      <w:r>
        <w:rPr>
          <w:sz w:val="20"/>
        </w:rPr>
        <w:t>de</w:t>
      </w:r>
      <w:r>
        <w:rPr>
          <w:spacing w:val="-2"/>
          <w:sz w:val="20"/>
        </w:rPr>
        <w:t xml:space="preserve"> </w:t>
      </w:r>
      <w:r>
        <w:rPr>
          <w:sz w:val="20"/>
        </w:rPr>
        <w:t>Ley</w:t>
      </w:r>
      <w:r>
        <w:rPr>
          <w:spacing w:val="-2"/>
          <w:sz w:val="20"/>
        </w:rPr>
        <w:t xml:space="preserve"> </w:t>
      </w:r>
      <w:r>
        <w:rPr>
          <w:sz w:val="20"/>
        </w:rPr>
        <w:t>40/2015,</w:t>
      </w:r>
      <w:r>
        <w:rPr>
          <w:spacing w:val="-2"/>
          <w:sz w:val="20"/>
        </w:rPr>
        <w:t xml:space="preserve"> </w:t>
      </w:r>
      <w:r>
        <w:rPr>
          <w:sz w:val="20"/>
        </w:rPr>
        <w:t>de</w:t>
      </w:r>
      <w:r>
        <w:rPr>
          <w:spacing w:val="-2"/>
          <w:sz w:val="20"/>
        </w:rPr>
        <w:t xml:space="preserve"> </w:t>
      </w:r>
      <w:r>
        <w:rPr>
          <w:sz w:val="20"/>
        </w:rPr>
        <w:t>1</w:t>
      </w:r>
      <w:r>
        <w:rPr>
          <w:spacing w:val="-2"/>
          <w:sz w:val="20"/>
        </w:rPr>
        <w:t xml:space="preserve"> </w:t>
      </w:r>
      <w:r>
        <w:rPr>
          <w:sz w:val="20"/>
        </w:rPr>
        <w:t>de</w:t>
      </w:r>
      <w:r>
        <w:rPr>
          <w:spacing w:val="-2"/>
          <w:sz w:val="20"/>
        </w:rPr>
        <w:t xml:space="preserve"> </w:t>
      </w:r>
      <w:r>
        <w:rPr>
          <w:sz w:val="20"/>
        </w:rPr>
        <w:t>octubre,</w:t>
      </w:r>
      <w:r>
        <w:rPr>
          <w:spacing w:val="-2"/>
          <w:sz w:val="20"/>
        </w:rPr>
        <w:t xml:space="preserve"> </w:t>
      </w:r>
      <w:r>
        <w:rPr>
          <w:sz w:val="20"/>
        </w:rPr>
        <w:t>de Régimen Jurídico del Sector Público, con la finalidad de velar por la correcta aplicación de la legislación y, en particular, promover la concurrencia y combatir las ilegalidades, en relación con la contratación pública. La Oficina actuará en el desarrollo de su actividad y el cumplimiento de sus fines con plena independencia orgánica y funcional.</w:t>
      </w:r>
    </w:p>
    <w:p w:rsidR="0092635B" w:rsidRDefault="00000000">
      <w:pPr>
        <w:pStyle w:val="Textoindependiente"/>
        <w:spacing w:before="5" w:line="249" w:lineRule="auto"/>
        <w:ind w:right="1105"/>
      </w:pPr>
      <w:r>
        <w:t>Estará integrada por un presidente y cuatro vocales que no podrán solicitar ni aceptar instrucciones de ninguna entidad pública o privada.</w:t>
      </w:r>
    </w:p>
    <w:p w:rsidR="0092635B" w:rsidRDefault="00000000">
      <w:pPr>
        <w:pStyle w:val="Textoindependiente"/>
        <w:spacing w:line="249" w:lineRule="auto"/>
        <w:ind w:right="1104"/>
      </w:pPr>
      <w:r>
        <w:t>Sin perjuicio de lo anterior, y a efectos puramente organizativos y presupuestarios, la Oficina</w:t>
      </w:r>
      <w:r>
        <w:rPr>
          <w:spacing w:val="-1"/>
        </w:rPr>
        <w:t xml:space="preserve"> </w:t>
      </w:r>
      <w:r>
        <w:t>se</w:t>
      </w:r>
      <w:r>
        <w:rPr>
          <w:spacing w:val="-1"/>
        </w:rPr>
        <w:t xml:space="preserve"> </w:t>
      </w:r>
      <w:r>
        <w:t>adscribe</w:t>
      </w:r>
      <w:r>
        <w:rPr>
          <w:spacing w:val="-1"/>
        </w:rPr>
        <w:t xml:space="preserve"> </w:t>
      </w:r>
      <w:r>
        <w:t>al</w:t>
      </w:r>
      <w:r>
        <w:rPr>
          <w:spacing w:val="-1"/>
        </w:rPr>
        <w:t xml:space="preserve"> </w:t>
      </w:r>
      <w:r>
        <w:t>Ministerio</w:t>
      </w:r>
      <w:r>
        <w:rPr>
          <w:spacing w:val="-1"/>
        </w:rPr>
        <w:t xml:space="preserve"> </w:t>
      </w:r>
      <w:r>
        <w:t>de</w:t>
      </w:r>
      <w:r>
        <w:rPr>
          <w:spacing w:val="-1"/>
        </w:rPr>
        <w:t xml:space="preserve"> </w:t>
      </w:r>
      <w:r>
        <w:t>Hacienda</w:t>
      </w:r>
      <w:r>
        <w:rPr>
          <w:spacing w:val="-1"/>
        </w:rPr>
        <w:t xml:space="preserve"> </w:t>
      </w:r>
      <w:r>
        <w:t>y</w:t>
      </w:r>
      <w:r>
        <w:rPr>
          <w:spacing w:val="-1"/>
        </w:rPr>
        <w:t xml:space="preserve"> </w:t>
      </w:r>
      <w:r>
        <w:t>Función</w:t>
      </w:r>
      <w:r>
        <w:rPr>
          <w:spacing w:val="-1"/>
        </w:rPr>
        <w:t xml:space="preserve"> </w:t>
      </w:r>
      <w:r>
        <w:t>Pública,</w:t>
      </w:r>
      <w:r>
        <w:rPr>
          <w:spacing w:val="-1"/>
        </w:rPr>
        <w:t xml:space="preserve"> </w:t>
      </w:r>
      <w:r>
        <w:t>a</w:t>
      </w:r>
      <w:r>
        <w:rPr>
          <w:spacing w:val="-1"/>
        </w:rPr>
        <w:t xml:space="preserve"> </w:t>
      </w:r>
      <w:r>
        <w:t>través</w:t>
      </w:r>
      <w:r>
        <w:rPr>
          <w:spacing w:val="-1"/>
        </w:rPr>
        <w:t xml:space="preserve"> </w:t>
      </w:r>
      <w:r>
        <w:t>de</w:t>
      </w:r>
      <w:r>
        <w:rPr>
          <w:spacing w:val="-1"/>
        </w:rPr>
        <w:t xml:space="preserve"> </w:t>
      </w:r>
      <w:r>
        <w:t>la</w:t>
      </w:r>
      <w:r>
        <w:rPr>
          <w:spacing w:val="-1"/>
        </w:rPr>
        <w:t xml:space="preserve"> </w:t>
      </w:r>
      <w:r>
        <w:t>Subsecretaría del Departamento.</w:t>
      </w:r>
    </w:p>
    <w:p w:rsidR="0092635B" w:rsidRDefault="00000000">
      <w:pPr>
        <w:pStyle w:val="Textoindependiente"/>
        <w:spacing w:line="249" w:lineRule="auto"/>
        <w:ind w:right="1106"/>
      </w:pPr>
      <w:r>
        <w:t>La Oficina Nacional de Evaluación regulada en el artículo 333 se integrará en la Oficina Independiente de Regulación y Supervisión de la Contratación.</w:t>
      </w:r>
    </w:p>
    <w:p w:rsidR="0092635B" w:rsidRDefault="00000000">
      <w:pPr>
        <w:pStyle w:val="Prrafodelista"/>
        <w:numPr>
          <w:ilvl w:val="0"/>
          <w:numId w:val="76"/>
        </w:numPr>
        <w:tabs>
          <w:tab w:val="left" w:pos="1722"/>
        </w:tabs>
        <w:spacing w:line="249" w:lineRule="auto"/>
        <w:ind w:right="1102" w:firstLine="340"/>
        <w:jc w:val="both"/>
        <w:rPr>
          <w:sz w:val="20"/>
        </w:rPr>
      </w:pPr>
      <w:r>
        <w:rPr>
          <w:sz w:val="20"/>
        </w:rPr>
        <w:t>Los titulares de la presidencia y de las vocalías de la Oficina Independiente de Regulación y Supervisión de la Contratación serán funcionarios de carrera, incluidos en el ámbito de la aplicación del texto refundido del Estatuto Básico del Empleado Público, aprobado</w:t>
      </w:r>
      <w:r>
        <w:rPr>
          <w:spacing w:val="-1"/>
          <w:sz w:val="20"/>
        </w:rPr>
        <w:t xml:space="preserve"> </w:t>
      </w:r>
      <w:r>
        <w:rPr>
          <w:sz w:val="20"/>
        </w:rPr>
        <w:t>por</w:t>
      </w:r>
      <w:r>
        <w:rPr>
          <w:spacing w:val="-1"/>
          <w:sz w:val="20"/>
        </w:rPr>
        <w:t xml:space="preserve"> </w:t>
      </w:r>
      <w:r>
        <w:rPr>
          <w:sz w:val="20"/>
        </w:rPr>
        <w:t>Real</w:t>
      </w:r>
      <w:r>
        <w:rPr>
          <w:spacing w:val="-1"/>
          <w:sz w:val="20"/>
        </w:rPr>
        <w:t xml:space="preserve"> </w:t>
      </w:r>
      <w:r>
        <w:rPr>
          <w:sz w:val="20"/>
        </w:rPr>
        <w:t>Decreto</w:t>
      </w:r>
      <w:r>
        <w:rPr>
          <w:spacing w:val="-1"/>
          <w:sz w:val="20"/>
        </w:rPr>
        <w:t xml:space="preserve"> </w:t>
      </w:r>
      <w:r>
        <w:rPr>
          <w:sz w:val="20"/>
        </w:rPr>
        <w:t>Legislativo</w:t>
      </w:r>
      <w:r>
        <w:rPr>
          <w:spacing w:val="-1"/>
          <w:sz w:val="20"/>
        </w:rPr>
        <w:t xml:space="preserve"> </w:t>
      </w:r>
      <w:r>
        <w:rPr>
          <w:sz w:val="20"/>
        </w:rPr>
        <w:t>5/2015,</w:t>
      </w:r>
      <w:r>
        <w:rPr>
          <w:spacing w:val="-1"/>
          <w:sz w:val="20"/>
        </w:rPr>
        <w:t xml:space="preserve"> </w:t>
      </w:r>
      <w:r>
        <w:rPr>
          <w:sz w:val="20"/>
        </w:rPr>
        <w:t>de</w:t>
      </w:r>
      <w:r>
        <w:rPr>
          <w:spacing w:val="-1"/>
          <w:sz w:val="20"/>
        </w:rPr>
        <w:t xml:space="preserve"> </w:t>
      </w:r>
      <w:r>
        <w:rPr>
          <w:sz w:val="20"/>
        </w:rPr>
        <w:t>30</w:t>
      </w:r>
      <w:r>
        <w:rPr>
          <w:spacing w:val="-1"/>
          <w:sz w:val="20"/>
        </w:rPr>
        <w:t xml:space="preserve"> </w:t>
      </w:r>
      <w:r>
        <w:rPr>
          <w:sz w:val="20"/>
        </w:rPr>
        <w:t>de</w:t>
      </w:r>
      <w:r>
        <w:rPr>
          <w:spacing w:val="-1"/>
          <w:sz w:val="20"/>
        </w:rPr>
        <w:t xml:space="preserve"> </w:t>
      </w:r>
      <w:r>
        <w:rPr>
          <w:sz w:val="20"/>
        </w:rPr>
        <w:t>octubre,</w:t>
      </w:r>
      <w:r>
        <w:rPr>
          <w:spacing w:val="-1"/>
          <w:sz w:val="20"/>
        </w:rPr>
        <w:t xml:space="preserve"> </w:t>
      </w:r>
      <w:r>
        <w:rPr>
          <w:sz w:val="20"/>
        </w:rPr>
        <w:t>pertenecientes</w:t>
      </w:r>
      <w:r>
        <w:rPr>
          <w:spacing w:val="-1"/>
          <w:sz w:val="20"/>
        </w:rPr>
        <w:t xml:space="preserve"> </w:t>
      </w:r>
      <w:r>
        <w:rPr>
          <w:sz w:val="20"/>
        </w:rPr>
        <w:t>al</w:t>
      </w:r>
      <w:r>
        <w:rPr>
          <w:spacing w:val="-1"/>
          <w:sz w:val="20"/>
        </w:rPr>
        <w:t xml:space="preserve"> </w:t>
      </w:r>
      <w:r>
        <w:rPr>
          <w:sz w:val="20"/>
        </w:rPr>
        <w:t>Subgrupo A1 del artículo 76 de dicho texto refundido, que cuenten, al menos, con 10 años de experiencia profesional en materias relacionadas con la contratación pública.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Durante el tiempo en que se hallen prestando servicio en la OIReScon, tanto el presidente como los vocales pasarán a la situación administrativa de Servicios Especiales. Durante el desempeño de sus cargos, estarán sujetos a la regulación prevista en los</w:t>
      </w:r>
      <w:r>
        <w:rPr>
          <w:spacing w:val="40"/>
        </w:rPr>
        <w:t xml:space="preserve"> </w:t>
      </w:r>
      <w:r>
        <w:t>artículos</w:t>
      </w:r>
      <w:r>
        <w:rPr>
          <w:spacing w:val="-2"/>
        </w:rPr>
        <w:t xml:space="preserve"> </w:t>
      </w:r>
      <w:r>
        <w:t>13,</w:t>
      </w:r>
      <w:r>
        <w:rPr>
          <w:spacing w:val="-2"/>
        </w:rPr>
        <w:t xml:space="preserve"> </w:t>
      </w:r>
      <w:r>
        <w:t>14</w:t>
      </w:r>
      <w:r>
        <w:rPr>
          <w:spacing w:val="-2"/>
        </w:rPr>
        <w:t xml:space="preserve"> </w:t>
      </w:r>
      <w:r>
        <w:t>y</w:t>
      </w:r>
      <w:r>
        <w:rPr>
          <w:spacing w:val="-2"/>
        </w:rPr>
        <w:t xml:space="preserve"> </w:t>
      </w:r>
      <w:r>
        <w:t>15</w:t>
      </w:r>
      <w:r>
        <w:rPr>
          <w:spacing w:val="-2"/>
        </w:rPr>
        <w:t xml:space="preserve"> </w:t>
      </w:r>
      <w:r>
        <w:t>de</w:t>
      </w:r>
      <w:r>
        <w:rPr>
          <w:spacing w:val="-2"/>
        </w:rPr>
        <w:t xml:space="preserve"> </w:t>
      </w:r>
      <w:r>
        <w:t>la</w:t>
      </w:r>
      <w:r>
        <w:rPr>
          <w:spacing w:val="-2"/>
        </w:rPr>
        <w:t xml:space="preserve"> </w:t>
      </w:r>
      <w:r>
        <w:t>Ley</w:t>
      </w:r>
      <w:r>
        <w:rPr>
          <w:spacing w:val="-2"/>
        </w:rPr>
        <w:t xml:space="preserve"> </w:t>
      </w:r>
      <w:r>
        <w:t>3/2015,</w:t>
      </w:r>
      <w:r>
        <w:rPr>
          <w:spacing w:val="-2"/>
        </w:rPr>
        <w:t xml:space="preserve"> </w:t>
      </w:r>
      <w:r>
        <w:t>de</w:t>
      </w:r>
      <w:r>
        <w:rPr>
          <w:spacing w:val="-2"/>
        </w:rPr>
        <w:t xml:space="preserve"> </w:t>
      </w:r>
      <w:r>
        <w:t>30</w:t>
      </w:r>
      <w:r>
        <w:rPr>
          <w:spacing w:val="-2"/>
        </w:rPr>
        <w:t xml:space="preserve"> </w:t>
      </w:r>
      <w:r>
        <w:t>de</w:t>
      </w:r>
      <w:r>
        <w:rPr>
          <w:spacing w:val="-2"/>
        </w:rPr>
        <w:t xml:space="preserve"> </w:t>
      </w:r>
      <w:r>
        <w:t>marzo,</w:t>
      </w:r>
      <w:r>
        <w:rPr>
          <w:spacing w:val="-2"/>
        </w:rPr>
        <w:t xml:space="preserve"> </w:t>
      </w:r>
      <w:r>
        <w:t>reguladora</w:t>
      </w:r>
      <w:r>
        <w:rPr>
          <w:spacing w:val="-2"/>
        </w:rPr>
        <w:t xml:space="preserve"> </w:t>
      </w:r>
      <w:r>
        <w:t>del</w:t>
      </w:r>
      <w:r>
        <w:rPr>
          <w:spacing w:val="-2"/>
        </w:rPr>
        <w:t xml:space="preserve"> </w:t>
      </w:r>
      <w:r>
        <w:t>ejercicio</w:t>
      </w:r>
      <w:r>
        <w:rPr>
          <w:spacing w:val="-2"/>
        </w:rPr>
        <w:t xml:space="preserve"> </w:t>
      </w:r>
      <w:r>
        <w:t>del</w:t>
      </w:r>
      <w:r>
        <w:rPr>
          <w:spacing w:val="-2"/>
        </w:rPr>
        <w:t xml:space="preserve"> </w:t>
      </w:r>
      <w:r>
        <w:t>alto</w:t>
      </w:r>
      <w:r>
        <w:rPr>
          <w:spacing w:val="-2"/>
        </w:rPr>
        <w:t xml:space="preserve"> </w:t>
      </w:r>
      <w:r>
        <w:t>cargo en la Administración General del Estado.</w:t>
      </w:r>
    </w:p>
    <w:p w:rsidR="0092635B" w:rsidRDefault="00000000">
      <w:pPr>
        <w:pStyle w:val="Prrafodelista"/>
        <w:numPr>
          <w:ilvl w:val="0"/>
          <w:numId w:val="76"/>
        </w:numPr>
        <w:tabs>
          <w:tab w:val="left" w:pos="1706"/>
        </w:tabs>
        <w:spacing w:before="4" w:line="249" w:lineRule="auto"/>
        <w:ind w:right="1104" w:firstLine="340"/>
        <w:jc w:val="both"/>
        <w:rPr>
          <w:sz w:val="20"/>
        </w:rPr>
      </w:pPr>
      <w:r>
        <w:rPr>
          <w:sz w:val="20"/>
        </w:rPr>
        <w:t>El presidente y los demás miembros de la Oficina Independiente de Regulación y Supervisión de la Contratación serán designados por el Consejo de Ministros, a propuesta</w:t>
      </w:r>
      <w:r>
        <w:rPr>
          <w:spacing w:val="80"/>
          <w:sz w:val="20"/>
        </w:rPr>
        <w:t xml:space="preserve"> </w:t>
      </w:r>
      <w:r>
        <w:rPr>
          <w:sz w:val="20"/>
        </w:rPr>
        <w:t>de la persona titular del Ministerio de Hacienda y Función Pública, por un periodo improrrogable de seis años.</w:t>
      </w:r>
    </w:p>
    <w:p w:rsidR="0092635B" w:rsidRDefault="00000000">
      <w:pPr>
        <w:pStyle w:val="Textoindependiente"/>
        <w:spacing w:before="3" w:line="249" w:lineRule="auto"/>
        <w:ind w:right="1104"/>
      </w:pPr>
      <w:r>
        <w:t>En cualquier caso, los miembros de la Oficina continuarán en el ejercicio de sus funciones hasta que tomen posesión de su cargo quien haya de sucederles.</w:t>
      </w:r>
    </w:p>
    <w:p w:rsidR="0092635B" w:rsidRDefault="00000000">
      <w:pPr>
        <w:pStyle w:val="Textoindependiente"/>
        <w:spacing w:line="249" w:lineRule="auto"/>
        <w:ind w:right="1104"/>
      </w:pPr>
      <w:r>
        <w:t>Los miembros de la Oficina Independiente de Regulación y Supervisión de la Contratación tendrán la condición de independientes e inamovibles durante el periodo de su mandato y solo podrán ser removidos de su puesto por las causas siguientes:</w:t>
      </w:r>
    </w:p>
    <w:p w:rsidR="0092635B" w:rsidRDefault="00000000">
      <w:pPr>
        <w:pStyle w:val="Prrafodelista"/>
        <w:numPr>
          <w:ilvl w:val="1"/>
          <w:numId w:val="76"/>
        </w:numPr>
        <w:tabs>
          <w:tab w:val="left" w:pos="1679"/>
        </w:tabs>
        <w:spacing w:before="122"/>
        <w:ind w:right="0" w:hanging="233"/>
        <w:rPr>
          <w:sz w:val="20"/>
        </w:rPr>
      </w:pPr>
      <w:r>
        <w:rPr>
          <w:sz w:val="20"/>
        </w:rPr>
        <w:t>Por</w:t>
      </w:r>
      <w:r>
        <w:rPr>
          <w:spacing w:val="-3"/>
          <w:sz w:val="20"/>
        </w:rPr>
        <w:t xml:space="preserve"> </w:t>
      </w:r>
      <w:r>
        <w:rPr>
          <w:sz w:val="20"/>
        </w:rPr>
        <w:t>expiración</w:t>
      </w:r>
      <w:r>
        <w:rPr>
          <w:spacing w:val="-3"/>
          <w:sz w:val="20"/>
        </w:rPr>
        <w:t xml:space="preserve"> </w:t>
      </w:r>
      <w:r>
        <w:rPr>
          <w:sz w:val="20"/>
        </w:rPr>
        <w:t>de</w:t>
      </w:r>
      <w:r>
        <w:rPr>
          <w:spacing w:val="-3"/>
          <w:sz w:val="20"/>
        </w:rPr>
        <w:t xml:space="preserve"> </w:t>
      </w:r>
      <w:r>
        <w:rPr>
          <w:sz w:val="20"/>
        </w:rPr>
        <w:t>su</w:t>
      </w:r>
      <w:r>
        <w:rPr>
          <w:spacing w:val="-2"/>
          <w:sz w:val="20"/>
        </w:rPr>
        <w:t xml:space="preserve"> mandato.</w:t>
      </w:r>
    </w:p>
    <w:p w:rsidR="0092635B" w:rsidRDefault="00000000">
      <w:pPr>
        <w:pStyle w:val="Prrafodelista"/>
        <w:numPr>
          <w:ilvl w:val="1"/>
          <w:numId w:val="76"/>
        </w:numPr>
        <w:tabs>
          <w:tab w:val="left" w:pos="1679"/>
        </w:tabs>
        <w:spacing w:before="10"/>
        <w:ind w:right="0" w:hanging="233"/>
        <w:rPr>
          <w:sz w:val="20"/>
        </w:rPr>
      </w:pPr>
      <w:r>
        <w:rPr>
          <w:sz w:val="20"/>
        </w:rPr>
        <w:t>Por</w:t>
      </w:r>
      <w:r>
        <w:rPr>
          <w:spacing w:val="-3"/>
          <w:sz w:val="20"/>
        </w:rPr>
        <w:t xml:space="preserve"> </w:t>
      </w:r>
      <w:r>
        <w:rPr>
          <w:sz w:val="20"/>
        </w:rPr>
        <w:t>renuncia</w:t>
      </w:r>
      <w:r>
        <w:rPr>
          <w:spacing w:val="-3"/>
          <w:sz w:val="20"/>
        </w:rPr>
        <w:t xml:space="preserve"> </w:t>
      </w:r>
      <w:r>
        <w:rPr>
          <w:sz w:val="20"/>
        </w:rPr>
        <w:t>aceptada</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pacing w:val="-2"/>
          <w:sz w:val="20"/>
        </w:rPr>
        <w:t>Gobierno.</w:t>
      </w:r>
    </w:p>
    <w:p w:rsidR="0092635B" w:rsidRDefault="00000000">
      <w:pPr>
        <w:pStyle w:val="Prrafodelista"/>
        <w:numPr>
          <w:ilvl w:val="1"/>
          <w:numId w:val="76"/>
        </w:numPr>
        <w:tabs>
          <w:tab w:val="left" w:pos="1668"/>
        </w:tabs>
        <w:spacing w:before="10"/>
        <w:ind w:left="1668" w:right="0" w:hanging="222"/>
        <w:rPr>
          <w:sz w:val="20"/>
        </w:rPr>
      </w:pPr>
      <w:r>
        <w:rPr>
          <w:sz w:val="20"/>
        </w:rPr>
        <w:t>Por</w:t>
      </w:r>
      <w:r>
        <w:rPr>
          <w:spacing w:val="-4"/>
          <w:sz w:val="20"/>
        </w:rPr>
        <w:t xml:space="preserve"> </w:t>
      </w:r>
      <w:r>
        <w:rPr>
          <w:sz w:val="20"/>
        </w:rPr>
        <w:t>pérdida</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nacionalidad</w:t>
      </w:r>
      <w:r>
        <w:rPr>
          <w:spacing w:val="-3"/>
          <w:sz w:val="20"/>
        </w:rPr>
        <w:t xml:space="preserve"> </w:t>
      </w:r>
      <w:r>
        <w:rPr>
          <w:spacing w:val="-2"/>
          <w:sz w:val="20"/>
        </w:rPr>
        <w:t>española.</w:t>
      </w:r>
    </w:p>
    <w:p w:rsidR="0092635B" w:rsidRDefault="00000000">
      <w:pPr>
        <w:pStyle w:val="Prrafodelista"/>
        <w:numPr>
          <w:ilvl w:val="1"/>
          <w:numId w:val="76"/>
        </w:numPr>
        <w:tabs>
          <w:tab w:val="left" w:pos="1679"/>
        </w:tabs>
        <w:spacing w:before="10"/>
        <w:ind w:right="0" w:hanging="233"/>
        <w:rPr>
          <w:sz w:val="20"/>
        </w:rPr>
      </w:pPr>
      <w:r>
        <w:rPr>
          <w:sz w:val="20"/>
        </w:rPr>
        <w:t>Por</w:t>
      </w:r>
      <w:r>
        <w:rPr>
          <w:spacing w:val="-4"/>
          <w:sz w:val="20"/>
        </w:rPr>
        <w:t xml:space="preserve"> </w:t>
      </w:r>
      <w:r>
        <w:rPr>
          <w:sz w:val="20"/>
        </w:rPr>
        <w:t>incumplimiento</w:t>
      </w:r>
      <w:r>
        <w:rPr>
          <w:spacing w:val="-4"/>
          <w:sz w:val="20"/>
        </w:rPr>
        <w:t xml:space="preserve"> </w:t>
      </w:r>
      <w:r>
        <w:rPr>
          <w:sz w:val="20"/>
        </w:rPr>
        <w:t>grave</w:t>
      </w:r>
      <w:r>
        <w:rPr>
          <w:spacing w:val="-3"/>
          <w:sz w:val="20"/>
        </w:rPr>
        <w:t xml:space="preserve"> </w:t>
      </w:r>
      <w:r>
        <w:rPr>
          <w:sz w:val="20"/>
        </w:rPr>
        <w:t>de</w:t>
      </w:r>
      <w:r>
        <w:rPr>
          <w:spacing w:val="-4"/>
          <w:sz w:val="20"/>
        </w:rPr>
        <w:t xml:space="preserve"> </w:t>
      </w:r>
      <w:r>
        <w:rPr>
          <w:sz w:val="20"/>
        </w:rPr>
        <w:t>sus</w:t>
      </w:r>
      <w:r>
        <w:rPr>
          <w:spacing w:val="-3"/>
          <w:sz w:val="20"/>
        </w:rPr>
        <w:t xml:space="preserve"> </w:t>
      </w:r>
      <w:r>
        <w:rPr>
          <w:spacing w:val="-2"/>
          <w:sz w:val="20"/>
        </w:rPr>
        <w:t>obligaciones.</w:t>
      </w:r>
    </w:p>
    <w:p w:rsidR="0092635B" w:rsidRDefault="00000000">
      <w:pPr>
        <w:pStyle w:val="Prrafodelista"/>
        <w:numPr>
          <w:ilvl w:val="1"/>
          <w:numId w:val="76"/>
        </w:numPr>
        <w:tabs>
          <w:tab w:val="left" w:pos="1691"/>
        </w:tabs>
        <w:spacing w:before="10" w:line="249" w:lineRule="auto"/>
        <w:ind w:left="1106" w:right="1105" w:firstLine="340"/>
        <w:rPr>
          <w:sz w:val="20"/>
        </w:rPr>
      </w:pPr>
      <w:r>
        <w:rPr>
          <w:sz w:val="20"/>
        </w:rPr>
        <w:t>Por condena mediante sentencia firme a pena privativa de libertad o de inhabilitación absoluta o especial para empleo o cargo público por razón de delito.</w:t>
      </w:r>
    </w:p>
    <w:p w:rsidR="0092635B" w:rsidRDefault="00000000">
      <w:pPr>
        <w:pStyle w:val="Prrafodelista"/>
        <w:numPr>
          <w:ilvl w:val="1"/>
          <w:numId w:val="76"/>
        </w:numPr>
        <w:tabs>
          <w:tab w:val="left" w:pos="1623"/>
        </w:tabs>
        <w:ind w:left="1623" w:right="0" w:hanging="177"/>
        <w:rPr>
          <w:sz w:val="20"/>
        </w:rPr>
      </w:pPr>
      <w:r>
        <w:rPr>
          <w:sz w:val="20"/>
        </w:rPr>
        <w:t>Por</w:t>
      </w:r>
      <w:r>
        <w:rPr>
          <w:spacing w:val="-7"/>
          <w:sz w:val="20"/>
        </w:rPr>
        <w:t xml:space="preserve"> </w:t>
      </w:r>
      <w:r>
        <w:rPr>
          <w:sz w:val="20"/>
        </w:rPr>
        <w:t>incapacidad</w:t>
      </w:r>
      <w:r>
        <w:rPr>
          <w:spacing w:val="-4"/>
          <w:sz w:val="20"/>
        </w:rPr>
        <w:t xml:space="preserve"> </w:t>
      </w:r>
      <w:r>
        <w:rPr>
          <w:sz w:val="20"/>
        </w:rPr>
        <w:t>sobrevenida</w:t>
      </w:r>
      <w:r>
        <w:rPr>
          <w:spacing w:val="-4"/>
          <w:sz w:val="20"/>
        </w:rPr>
        <w:t xml:space="preserve"> </w:t>
      </w:r>
      <w:r>
        <w:rPr>
          <w:sz w:val="20"/>
        </w:rPr>
        <w:t>para</w:t>
      </w:r>
      <w:r>
        <w:rPr>
          <w:spacing w:val="-4"/>
          <w:sz w:val="20"/>
        </w:rPr>
        <w:t xml:space="preserve"> </w:t>
      </w:r>
      <w:r>
        <w:rPr>
          <w:sz w:val="20"/>
        </w:rPr>
        <w:t>el</w:t>
      </w:r>
      <w:r>
        <w:rPr>
          <w:spacing w:val="-5"/>
          <w:sz w:val="20"/>
        </w:rPr>
        <w:t xml:space="preserve"> </w:t>
      </w:r>
      <w:r>
        <w:rPr>
          <w:sz w:val="20"/>
        </w:rPr>
        <w:t>ejercicio</w:t>
      </w:r>
      <w:r>
        <w:rPr>
          <w:spacing w:val="-4"/>
          <w:sz w:val="20"/>
        </w:rPr>
        <w:t xml:space="preserve"> </w:t>
      </w:r>
      <w:r>
        <w:rPr>
          <w:sz w:val="20"/>
        </w:rPr>
        <w:t>de</w:t>
      </w:r>
      <w:r>
        <w:rPr>
          <w:spacing w:val="-4"/>
          <w:sz w:val="20"/>
        </w:rPr>
        <w:t xml:space="preserve"> </w:t>
      </w:r>
      <w:r>
        <w:rPr>
          <w:sz w:val="20"/>
        </w:rPr>
        <w:t>su</w:t>
      </w:r>
      <w:r>
        <w:rPr>
          <w:spacing w:val="-4"/>
          <w:sz w:val="20"/>
        </w:rPr>
        <w:t xml:space="preserve"> </w:t>
      </w:r>
      <w:r>
        <w:rPr>
          <w:spacing w:val="-2"/>
          <w:sz w:val="20"/>
        </w:rPr>
        <w:t>función.</w:t>
      </w:r>
    </w:p>
    <w:p w:rsidR="0092635B" w:rsidRDefault="00000000">
      <w:pPr>
        <w:pStyle w:val="Textoindependiente"/>
        <w:spacing w:before="130" w:line="249" w:lineRule="auto"/>
        <w:ind w:right="1103"/>
      </w:pPr>
      <w:r>
        <w:t>La remoción por las causas previstas, salvo expiración y renuncia, se acordará por el Gobierno previo expediente.</w:t>
      </w:r>
    </w:p>
    <w:p w:rsidR="0092635B" w:rsidRDefault="00000000">
      <w:pPr>
        <w:pStyle w:val="Prrafodelista"/>
        <w:numPr>
          <w:ilvl w:val="0"/>
          <w:numId w:val="76"/>
        </w:numPr>
        <w:tabs>
          <w:tab w:val="left" w:pos="1672"/>
        </w:tabs>
        <w:spacing w:line="249" w:lineRule="auto"/>
        <w:ind w:firstLine="340"/>
        <w:jc w:val="both"/>
        <w:rPr>
          <w:sz w:val="20"/>
        </w:rPr>
      </w:pPr>
      <w:r>
        <w:rPr>
          <w:sz w:val="20"/>
        </w:rPr>
        <w:t xml:space="preserve">El titular de la presidencia de la Oficina Independiente de Regulación y Supervisión de la Contratación, representará al órgano colegiado y se relacionará, en su nombre, con las entidades públicas sobre las que se proyecten sus actuaciones. Igualmente se relacionará con el Ministerio de adscripción, a efectos organizativos y presupuestarios. Será vocal nato de la Junta Consultiva de Contratación Pública del Estado y del Comité de Cooperación en materia de contratación pública. En el primer caso, asistirá a sus sesiones con voz pero sin </w:t>
      </w:r>
      <w:r>
        <w:rPr>
          <w:spacing w:val="-2"/>
          <w:sz w:val="20"/>
        </w:rPr>
        <w:t>voto.</w:t>
      </w:r>
    </w:p>
    <w:p w:rsidR="0092635B" w:rsidRDefault="00000000">
      <w:pPr>
        <w:pStyle w:val="Textoindependiente"/>
        <w:spacing w:before="5" w:line="249" w:lineRule="auto"/>
        <w:ind w:right="1103"/>
      </w:pPr>
      <w:r>
        <w:t>El titular de la presidencia de la Oficina remitirá a las Cortes y al Tribunal de Cuentas un informe anual sobre las actuaciones de la Oficina Independiente de Regulación y</w:t>
      </w:r>
      <w:r>
        <w:rPr>
          <w:spacing w:val="80"/>
        </w:rPr>
        <w:t xml:space="preserve"> </w:t>
      </w:r>
      <w:r>
        <w:t>Supervisión</w:t>
      </w:r>
      <w:r>
        <w:rPr>
          <w:spacing w:val="-1"/>
        </w:rPr>
        <w:t xml:space="preserve"> </w:t>
      </w:r>
      <w:r>
        <w:t>de</w:t>
      </w:r>
      <w:r>
        <w:rPr>
          <w:spacing w:val="-1"/>
        </w:rPr>
        <w:t xml:space="preserve"> </w:t>
      </w:r>
      <w:r>
        <w:t>la</w:t>
      </w:r>
      <w:r>
        <w:rPr>
          <w:spacing w:val="-1"/>
        </w:rPr>
        <w:t xml:space="preserve"> </w:t>
      </w:r>
      <w:r>
        <w:t>Contratación</w:t>
      </w:r>
      <w:r>
        <w:rPr>
          <w:spacing w:val="-1"/>
        </w:rPr>
        <w:t xml:space="preserve"> </w:t>
      </w:r>
      <w:r>
        <w:t>y</w:t>
      </w:r>
      <w:r>
        <w:rPr>
          <w:spacing w:val="-1"/>
        </w:rPr>
        <w:t xml:space="preserve"> </w:t>
      </w:r>
      <w:r>
        <w:t>comparecerá</w:t>
      </w:r>
      <w:r>
        <w:rPr>
          <w:spacing w:val="-1"/>
        </w:rPr>
        <w:t xml:space="preserve"> </w:t>
      </w:r>
      <w:r>
        <w:t>en</w:t>
      </w:r>
      <w:r>
        <w:rPr>
          <w:spacing w:val="-1"/>
        </w:rPr>
        <w:t xml:space="preserve"> </w:t>
      </w:r>
      <w:r>
        <w:t>las</w:t>
      </w:r>
      <w:r>
        <w:rPr>
          <w:spacing w:val="-1"/>
        </w:rPr>
        <w:t xml:space="preserve"> </w:t>
      </w:r>
      <w:r>
        <w:t>Cortes</w:t>
      </w:r>
      <w:r>
        <w:rPr>
          <w:spacing w:val="-1"/>
        </w:rPr>
        <w:t xml:space="preserve"> </w:t>
      </w:r>
      <w:r>
        <w:t>para</w:t>
      </w:r>
      <w:r>
        <w:rPr>
          <w:spacing w:val="-1"/>
        </w:rPr>
        <w:t xml:space="preserve"> </w:t>
      </w:r>
      <w:r>
        <w:t>la</w:t>
      </w:r>
      <w:r>
        <w:rPr>
          <w:spacing w:val="-1"/>
        </w:rPr>
        <w:t xml:space="preserve"> </w:t>
      </w:r>
      <w:r>
        <w:t>presentación</w:t>
      </w:r>
      <w:r>
        <w:rPr>
          <w:spacing w:val="-1"/>
        </w:rPr>
        <w:t xml:space="preserve"> </w:t>
      </w:r>
      <w:r>
        <w:t>del</w:t>
      </w:r>
      <w:r>
        <w:rPr>
          <w:spacing w:val="-1"/>
        </w:rPr>
        <w:t xml:space="preserve"> </w:t>
      </w:r>
      <w:r>
        <w:t>informe anual y sus conclusiones, o cuando se solicite por las correspondientes Comisiones del Congreso o el Senado, en relación con los asuntos que formen parte de su ámbito funcional. Dicho informe será objeto de publicación dentro del mes siguiente a su remisión a las Cortes y al Tribunal de Cuentas.</w:t>
      </w:r>
    </w:p>
    <w:p w:rsidR="0092635B" w:rsidRDefault="00000000">
      <w:pPr>
        <w:pStyle w:val="Textoindependiente"/>
        <w:spacing w:before="6" w:line="249" w:lineRule="auto"/>
        <w:ind w:right="1104"/>
      </w:pPr>
      <w:r>
        <w:t>Los vocales de la oficina, en la forma que determine en las normas de funcionamiento que apruebe el órgano colegiado, asumirán responsabilidades funcionales específicas en materia</w:t>
      </w:r>
      <w:r>
        <w:rPr>
          <w:spacing w:val="-2"/>
        </w:rPr>
        <w:t xml:space="preserve"> </w:t>
      </w:r>
      <w:r>
        <w:t>de</w:t>
      </w:r>
      <w:r>
        <w:rPr>
          <w:spacing w:val="-2"/>
        </w:rPr>
        <w:t xml:space="preserve"> </w:t>
      </w:r>
      <w:r>
        <w:t>supervisión,</w:t>
      </w:r>
      <w:r>
        <w:rPr>
          <w:spacing w:val="-2"/>
        </w:rPr>
        <w:t xml:space="preserve"> </w:t>
      </w:r>
      <w:r>
        <w:t>en</w:t>
      </w:r>
      <w:r>
        <w:rPr>
          <w:spacing w:val="-2"/>
        </w:rPr>
        <w:t xml:space="preserve"> </w:t>
      </w:r>
      <w:r>
        <w:t>relación</w:t>
      </w:r>
      <w:r>
        <w:rPr>
          <w:spacing w:val="-2"/>
        </w:rPr>
        <w:t xml:space="preserve"> </w:t>
      </w:r>
      <w:r>
        <w:t>con</w:t>
      </w:r>
      <w:r>
        <w:rPr>
          <w:spacing w:val="-2"/>
        </w:rPr>
        <w:t xml:space="preserve"> </w:t>
      </w:r>
      <w:r>
        <w:t>la</w:t>
      </w:r>
      <w:r>
        <w:rPr>
          <w:spacing w:val="-2"/>
        </w:rPr>
        <w:t xml:space="preserve"> </w:t>
      </w:r>
      <w:r>
        <w:t>Oficina</w:t>
      </w:r>
      <w:r>
        <w:rPr>
          <w:spacing w:val="-2"/>
        </w:rPr>
        <w:t xml:space="preserve"> </w:t>
      </w:r>
      <w:r>
        <w:t>Nacional</w:t>
      </w:r>
      <w:r>
        <w:rPr>
          <w:spacing w:val="-2"/>
        </w:rPr>
        <w:t xml:space="preserve"> </w:t>
      </w:r>
      <w:r>
        <w:t>de</w:t>
      </w:r>
      <w:r>
        <w:rPr>
          <w:spacing w:val="-2"/>
        </w:rPr>
        <w:t xml:space="preserve"> </w:t>
      </w:r>
      <w:r>
        <w:t>Evaluación</w:t>
      </w:r>
      <w:r>
        <w:rPr>
          <w:spacing w:val="-2"/>
        </w:rPr>
        <w:t xml:space="preserve"> </w:t>
      </w:r>
      <w:r>
        <w:t>y</w:t>
      </w:r>
      <w:r>
        <w:rPr>
          <w:spacing w:val="-2"/>
        </w:rPr>
        <w:t xml:space="preserve"> </w:t>
      </w:r>
      <w:r>
        <w:t>de</w:t>
      </w:r>
      <w:r>
        <w:rPr>
          <w:spacing w:val="-2"/>
        </w:rPr>
        <w:t xml:space="preserve"> </w:t>
      </w:r>
      <w:r>
        <w:t>metodología</w:t>
      </w:r>
      <w:r>
        <w:rPr>
          <w:spacing w:val="-2"/>
        </w:rPr>
        <w:t xml:space="preserve"> </w:t>
      </w:r>
      <w:r>
        <w:t>y formación. En el ejercicio de estas funciones participaran en las sesiones del Comité de Cooperación en materia de contratación pública y sus Secciones, con voz pero sin voto.</w:t>
      </w:r>
    </w:p>
    <w:p w:rsidR="0092635B" w:rsidRDefault="00000000">
      <w:pPr>
        <w:pStyle w:val="Prrafodelista"/>
        <w:numPr>
          <w:ilvl w:val="0"/>
          <w:numId w:val="76"/>
        </w:numPr>
        <w:tabs>
          <w:tab w:val="left" w:pos="1678"/>
        </w:tabs>
        <w:spacing w:before="4" w:line="249" w:lineRule="auto"/>
        <w:ind w:firstLine="340"/>
        <w:jc w:val="both"/>
        <w:rPr>
          <w:sz w:val="20"/>
        </w:rPr>
      </w:pPr>
      <w:r>
        <w:rPr>
          <w:sz w:val="20"/>
        </w:rPr>
        <w:t>Como órgano de apoyo y asesoramiento a la Presidencia de la Oficina Independiente de Regulación y Supervisión de la Contratación, se podrá crear, mediante Real Decreto, un Consejo Asesor formado por académicos, profesionales y técnicos independientes de reconocido prestigio en el ámbito de la contratación de las Administraciones Públicas.</w:t>
      </w:r>
    </w:p>
    <w:p w:rsidR="0092635B" w:rsidRDefault="00000000">
      <w:pPr>
        <w:pStyle w:val="Prrafodelista"/>
        <w:numPr>
          <w:ilvl w:val="0"/>
          <w:numId w:val="76"/>
        </w:numPr>
        <w:tabs>
          <w:tab w:val="left" w:pos="1757"/>
        </w:tabs>
        <w:spacing w:before="3" w:line="249" w:lineRule="auto"/>
        <w:ind w:right="1105" w:firstLine="340"/>
        <w:jc w:val="both"/>
        <w:rPr>
          <w:sz w:val="20"/>
        </w:rPr>
      </w:pPr>
      <w:r>
        <w:rPr>
          <w:sz w:val="20"/>
        </w:rPr>
        <w:t>Corresponden a la Oficina Independiente de Regulación y Supervisión de la Contratación las siguientes funciones:</w:t>
      </w:r>
    </w:p>
    <w:p w:rsidR="0092635B" w:rsidRDefault="00000000">
      <w:pPr>
        <w:pStyle w:val="Prrafodelista"/>
        <w:numPr>
          <w:ilvl w:val="1"/>
          <w:numId w:val="76"/>
        </w:numPr>
        <w:tabs>
          <w:tab w:val="left" w:pos="1690"/>
        </w:tabs>
        <w:spacing w:before="122" w:line="249" w:lineRule="auto"/>
        <w:ind w:left="1106" w:right="1105" w:firstLine="340"/>
        <w:jc w:val="both"/>
        <w:rPr>
          <w:sz w:val="20"/>
        </w:rPr>
      </w:pPr>
      <w:r>
        <w:rPr>
          <w:sz w:val="20"/>
        </w:rPr>
        <w:t>Coordinar la supervisión en materia de contratación de los poderes adjudicadores del conjunto del sector público.</w:t>
      </w:r>
    </w:p>
    <w:p w:rsidR="0092635B" w:rsidRDefault="00000000">
      <w:pPr>
        <w:pStyle w:val="Prrafodelista"/>
        <w:numPr>
          <w:ilvl w:val="1"/>
          <w:numId w:val="76"/>
        </w:numPr>
        <w:tabs>
          <w:tab w:val="left" w:pos="1727"/>
        </w:tabs>
        <w:spacing w:line="249" w:lineRule="auto"/>
        <w:ind w:left="1106" w:right="1105" w:firstLine="340"/>
        <w:jc w:val="both"/>
        <w:rPr>
          <w:sz w:val="20"/>
        </w:rPr>
      </w:pPr>
      <w:r>
        <w:rPr>
          <w:sz w:val="20"/>
        </w:rPr>
        <w:t>Velar por la correcta aplicación de la legislación de la contratación pública a los efectos de detectar incumplimientos específicos o problemas sistémicos.</w:t>
      </w:r>
    </w:p>
    <w:p w:rsidR="0092635B" w:rsidRDefault="00000000">
      <w:pPr>
        <w:pStyle w:val="Prrafodelista"/>
        <w:numPr>
          <w:ilvl w:val="1"/>
          <w:numId w:val="76"/>
        </w:numPr>
        <w:tabs>
          <w:tab w:val="left" w:pos="1671"/>
        </w:tabs>
        <w:spacing w:before="1" w:line="249" w:lineRule="auto"/>
        <w:ind w:left="1106" w:firstLine="340"/>
        <w:jc w:val="both"/>
        <w:rPr>
          <w:sz w:val="20"/>
        </w:rPr>
      </w:pPr>
      <w:r>
        <w:rPr>
          <w:sz w:val="20"/>
        </w:rPr>
        <w:t>Velar</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estricto</w:t>
      </w:r>
      <w:r>
        <w:rPr>
          <w:spacing w:val="-1"/>
          <w:sz w:val="20"/>
        </w:rPr>
        <w:t xml:space="preserve"> </w:t>
      </w:r>
      <w:r>
        <w:rPr>
          <w:sz w:val="20"/>
        </w:rPr>
        <w:t>cumplimiento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legislación</w:t>
      </w:r>
      <w:r>
        <w:rPr>
          <w:spacing w:val="-1"/>
          <w:sz w:val="20"/>
        </w:rPr>
        <w:t xml:space="preserve"> </w:t>
      </w:r>
      <w:r>
        <w:rPr>
          <w:sz w:val="20"/>
        </w:rPr>
        <w:t>de</w:t>
      </w:r>
      <w:r>
        <w:rPr>
          <w:spacing w:val="-1"/>
          <w:sz w:val="20"/>
        </w:rPr>
        <w:t xml:space="preserve"> </w:t>
      </w:r>
      <w:r>
        <w:rPr>
          <w:sz w:val="20"/>
        </w:rPr>
        <w:t>contratos</w:t>
      </w:r>
      <w:r>
        <w:rPr>
          <w:spacing w:val="-1"/>
          <w:sz w:val="20"/>
        </w:rPr>
        <w:t xml:space="preserve"> </w:t>
      </w:r>
      <w:r>
        <w:rPr>
          <w:sz w:val="20"/>
        </w:rPr>
        <w:t>del</w:t>
      </w:r>
      <w:r>
        <w:rPr>
          <w:spacing w:val="-1"/>
          <w:sz w:val="20"/>
        </w:rPr>
        <w:t xml:space="preserve"> </w:t>
      </w:r>
      <w:r>
        <w:rPr>
          <w:sz w:val="20"/>
        </w:rPr>
        <w:t>sector</w:t>
      </w:r>
      <w:r>
        <w:rPr>
          <w:spacing w:val="-1"/>
          <w:sz w:val="20"/>
        </w:rPr>
        <w:t xml:space="preserve"> </w:t>
      </w:r>
      <w:r>
        <w:rPr>
          <w:sz w:val="20"/>
        </w:rPr>
        <w:t>público</w:t>
      </w:r>
      <w:r>
        <w:rPr>
          <w:spacing w:val="-1"/>
          <w:sz w:val="20"/>
        </w:rPr>
        <w:t xml:space="preserve"> </w:t>
      </w:r>
      <w:r>
        <w:rPr>
          <w:sz w:val="20"/>
        </w:rPr>
        <w:t>y,</w:t>
      </w:r>
      <w:r>
        <w:rPr>
          <w:spacing w:val="-1"/>
          <w:sz w:val="20"/>
        </w:rPr>
        <w:t xml:space="preserve"> </w:t>
      </w:r>
      <w:r>
        <w:rPr>
          <w:sz w:val="20"/>
        </w:rPr>
        <w:t>de modo especial, por el respeto a los principios de publicidad y concurrencia y de las prerrogativas de la Administración en la contratación.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76"/>
        </w:numPr>
        <w:tabs>
          <w:tab w:val="left" w:pos="1702"/>
        </w:tabs>
        <w:spacing w:before="1" w:line="249" w:lineRule="auto"/>
        <w:ind w:left="1106" w:right="1105" w:firstLine="340"/>
        <w:jc w:val="both"/>
        <w:rPr>
          <w:sz w:val="20"/>
        </w:rPr>
      </w:pPr>
      <w:r>
        <w:rPr>
          <w:sz w:val="20"/>
        </w:rPr>
        <w:t xml:space="preserve">Promover la concurrencia en la contratación pública y el seguimiento de las buenas </w:t>
      </w:r>
      <w:r>
        <w:rPr>
          <w:spacing w:val="-2"/>
          <w:sz w:val="20"/>
        </w:rPr>
        <w:t>prácticas.</w:t>
      </w:r>
    </w:p>
    <w:p w:rsidR="0092635B" w:rsidRDefault="00000000">
      <w:pPr>
        <w:pStyle w:val="Prrafodelista"/>
        <w:numPr>
          <w:ilvl w:val="1"/>
          <w:numId w:val="76"/>
        </w:numPr>
        <w:tabs>
          <w:tab w:val="left" w:pos="1691"/>
        </w:tabs>
        <w:spacing w:before="1" w:line="249" w:lineRule="auto"/>
        <w:ind w:left="1106" w:right="1102" w:firstLine="340"/>
        <w:jc w:val="both"/>
        <w:rPr>
          <w:sz w:val="20"/>
        </w:rPr>
      </w:pPr>
      <w:r>
        <w:rPr>
          <w:sz w:val="20"/>
        </w:rPr>
        <w:t>Verificar que se apliquen con la máxima amplitud las obligaciones y buenas prácticas de transparencia, en particular las relativas a los conflictos de interés, y detectar las irregularidades que se produzcan en materia de contratación.</w:t>
      </w:r>
    </w:p>
    <w:p w:rsidR="0092635B" w:rsidRDefault="00000000">
      <w:pPr>
        <w:pStyle w:val="Textoindependiente"/>
        <w:spacing w:before="123" w:line="249" w:lineRule="auto"/>
        <w:ind w:right="1102"/>
      </w:pPr>
      <w:r>
        <w:t>En el caso de que la Oficina tenga conocimiento de hechos constitutivos de delito o infracción a nivel estatal, autonómico o local, dará traslado inmediato, en función de su naturaleza, a la fiscalía u órganos judiciales competentes, o a las entidades u órganos administrativos competentes, incluidos el Tribunal de Cuentas y la Comisión Nacional de los Mercados y la Competencia.</w:t>
      </w:r>
    </w:p>
    <w:p w:rsidR="0092635B" w:rsidRDefault="00000000">
      <w:pPr>
        <w:pStyle w:val="Prrafodelista"/>
        <w:numPr>
          <w:ilvl w:val="0"/>
          <w:numId w:val="76"/>
        </w:numPr>
        <w:tabs>
          <w:tab w:val="left" w:pos="1778"/>
        </w:tabs>
        <w:spacing w:before="4" w:line="249" w:lineRule="auto"/>
        <w:ind w:right="1104" w:firstLine="340"/>
        <w:jc w:val="both"/>
        <w:rPr>
          <w:sz w:val="20"/>
        </w:rPr>
      </w:pPr>
      <w:r>
        <w:rPr>
          <w:sz w:val="20"/>
        </w:rPr>
        <w:t>En ejercicio de las funciones previstas en el apartado anterior, la Oficina Independiente de Regulación y Supervisión de la Contratación:</w:t>
      </w:r>
    </w:p>
    <w:p w:rsidR="0092635B" w:rsidRDefault="00000000">
      <w:pPr>
        <w:pStyle w:val="Prrafodelista"/>
        <w:numPr>
          <w:ilvl w:val="1"/>
          <w:numId w:val="76"/>
        </w:numPr>
        <w:tabs>
          <w:tab w:val="left" w:pos="1684"/>
        </w:tabs>
        <w:spacing w:before="121" w:line="249" w:lineRule="auto"/>
        <w:ind w:left="1106" w:right="1105" w:firstLine="340"/>
        <w:jc w:val="both"/>
        <w:rPr>
          <w:sz w:val="20"/>
        </w:rPr>
      </w:pPr>
      <w:r>
        <w:rPr>
          <w:sz w:val="20"/>
        </w:rPr>
        <w:t>Aprobará, a propuesta del Comité de Cooperación en materia de contratación pública, la Estrategia Nacional de Contratación Pública vinculante para el sector público prevista en</w:t>
      </w:r>
      <w:r>
        <w:rPr>
          <w:spacing w:val="80"/>
          <w:sz w:val="20"/>
        </w:rPr>
        <w:t xml:space="preserve"> </w:t>
      </w:r>
      <w:r>
        <w:rPr>
          <w:sz w:val="20"/>
        </w:rPr>
        <w:t>el artículo 334, que se diseñará y ejecutará en coordinación con las Comunidades Autónomas y Entidades Locales.</w:t>
      </w:r>
    </w:p>
    <w:p w:rsidR="0092635B" w:rsidRDefault="00000000">
      <w:pPr>
        <w:pStyle w:val="Prrafodelista"/>
        <w:numPr>
          <w:ilvl w:val="1"/>
          <w:numId w:val="76"/>
        </w:numPr>
        <w:tabs>
          <w:tab w:val="left" w:pos="1683"/>
        </w:tabs>
        <w:spacing w:before="4" w:line="249" w:lineRule="auto"/>
        <w:ind w:left="1106" w:firstLine="340"/>
        <w:jc w:val="both"/>
        <w:rPr>
          <w:sz w:val="20"/>
        </w:rPr>
      </w:pPr>
      <w:r>
        <w:rPr>
          <w:sz w:val="20"/>
        </w:rPr>
        <w:t xml:space="preserve">Podrá realizar encuestas e investigaciones, para lo que tendrá acceso a los órganos y servicios de contratación, que deberán facilitar los datos, documentos o antecedentes o cualquier información que aquella les reclame, salvo que tengan carácter secreto o </w:t>
      </w:r>
      <w:r>
        <w:rPr>
          <w:spacing w:val="-2"/>
          <w:sz w:val="20"/>
        </w:rPr>
        <w:t>reservado.</w:t>
      </w:r>
    </w:p>
    <w:p w:rsidR="0092635B" w:rsidRDefault="00000000">
      <w:pPr>
        <w:pStyle w:val="Prrafodelista"/>
        <w:numPr>
          <w:ilvl w:val="1"/>
          <w:numId w:val="76"/>
        </w:numPr>
        <w:tabs>
          <w:tab w:val="left" w:pos="1679"/>
        </w:tabs>
        <w:spacing w:before="3" w:line="249" w:lineRule="auto"/>
        <w:ind w:left="1106" w:right="1105" w:firstLine="340"/>
        <w:jc w:val="both"/>
        <w:rPr>
          <w:sz w:val="20"/>
        </w:rPr>
      </w:pPr>
      <w:r>
        <w:rPr>
          <w:sz w:val="20"/>
        </w:rPr>
        <w:t>Podrá remitir informes, a la vista del resultado de las encuestas e investigaciones y a través del Ministerio de Hacienda y Función Pública, a las Cortes Generales o, en su caso, a la Comisión Nacional de los Mercados y la Competencia.</w:t>
      </w:r>
    </w:p>
    <w:p w:rsidR="0092635B" w:rsidRDefault="00000000">
      <w:pPr>
        <w:pStyle w:val="Prrafodelista"/>
        <w:numPr>
          <w:ilvl w:val="1"/>
          <w:numId w:val="76"/>
        </w:numPr>
        <w:tabs>
          <w:tab w:val="left" w:pos="1692"/>
        </w:tabs>
        <w:spacing w:before="3" w:line="249" w:lineRule="auto"/>
        <w:ind w:left="1106" w:right="1104" w:firstLine="340"/>
        <w:jc w:val="both"/>
        <w:rPr>
          <w:sz w:val="20"/>
        </w:rPr>
      </w:pPr>
      <w:r>
        <w:rPr>
          <w:sz w:val="20"/>
        </w:rPr>
        <w:t>Podrá aprobar instrucciones fijando las pautas de interpretación y de aplicación de la legislación de la contratación pública, así como elaborar recomendaciones generales o particulares a los órganos de contratación, si de la supervisión desplegada se dedujese la conveniencia de solventar algún problema, obstáculo o circunstancia relevante a los efectos de dar satisfacción a los fines justificadores de la creación de la Oficina. Las instrucciones y las recomendaciones serán objeto de publicación. Sin perjuicio de lo dispuesto en el artículo 6 de la Ley 40/2015, de Régimen Jurídico del Sector Público, las instrucciones de la Oficina Independiente de Regulación y Supervisión de la Contratación serán obligatorias para todos los órganos de contratación del Sector público del Estado.</w:t>
      </w:r>
    </w:p>
    <w:p w:rsidR="0092635B" w:rsidRDefault="00000000">
      <w:pPr>
        <w:pStyle w:val="Prrafodelista"/>
        <w:numPr>
          <w:ilvl w:val="1"/>
          <w:numId w:val="76"/>
        </w:numPr>
        <w:tabs>
          <w:tab w:val="left" w:pos="1679"/>
        </w:tabs>
        <w:spacing w:before="7"/>
        <w:ind w:right="0" w:hanging="233"/>
        <w:jc w:val="both"/>
        <w:rPr>
          <w:sz w:val="20"/>
        </w:rPr>
      </w:pPr>
      <w:r>
        <w:rPr>
          <w:sz w:val="20"/>
        </w:rPr>
        <w:t>Podrá</w:t>
      </w:r>
      <w:r>
        <w:rPr>
          <w:spacing w:val="-1"/>
          <w:sz w:val="20"/>
        </w:rPr>
        <w:t xml:space="preserve"> </w:t>
      </w:r>
      <w:r>
        <w:rPr>
          <w:sz w:val="20"/>
        </w:rPr>
        <w:t>elaborar</w:t>
      </w:r>
      <w:r>
        <w:rPr>
          <w:spacing w:val="-1"/>
          <w:sz w:val="20"/>
        </w:rPr>
        <w:t xml:space="preserve"> </w:t>
      </w:r>
      <w:r>
        <w:rPr>
          <w:sz w:val="20"/>
        </w:rPr>
        <w:t>estudios relativos</w:t>
      </w:r>
      <w:r>
        <w:rPr>
          <w:spacing w:val="-1"/>
          <w:sz w:val="20"/>
        </w:rPr>
        <w:t xml:space="preserve"> </w:t>
      </w:r>
      <w:r>
        <w:rPr>
          <w:sz w:val="20"/>
        </w:rPr>
        <w:t>a las</w:t>
      </w:r>
      <w:r>
        <w:rPr>
          <w:spacing w:val="-1"/>
          <w:sz w:val="20"/>
        </w:rPr>
        <w:t xml:space="preserve"> </w:t>
      </w:r>
      <w:r>
        <w:rPr>
          <w:sz w:val="20"/>
        </w:rPr>
        <w:t xml:space="preserve">funciones </w:t>
      </w:r>
      <w:r>
        <w:rPr>
          <w:spacing w:val="-2"/>
          <w:sz w:val="20"/>
        </w:rPr>
        <w:t>atribuidas.</w:t>
      </w:r>
    </w:p>
    <w:p w:rsidR="0092635B" w:rsidRDefault="00000000">
      <w:pPr>
        <w:pStyle w:val="Prrafodelista"/>
        <w:numPr>
          <w:ilvl w:val="0"/>
          <w:numId w:val="76"/>
        </w:numPr>
        <w:tabs>
          <w:tab w:val="left" w:pos="1671"/>
        </w:tabs>
        <w:spacing w:before="130" w:line="249" w:lineRule="auto"/>
        <w:ind w:right="1105" w:firstLine="340"/>
        <w:jc w:val="both"/>
        <w:rPr>
          <w:sz w:val="20"/>
        </w:rPr>
      </w:pPr>
      <w:r>
        <w:rPr>
          <w:sz w:val="20"/>
        </w:rPr>
        <w:t>La Oficina Independiente de Regulación y Supervisión de la Contratación elaborará un informe</w:t>
      </w:r>
      <w:r>
        <w:rPr>
          <w:spacing w:val="-3"/>
          <w:sz w:val="20"/>
        </w:rPr>
        <w:t xml:space="preserve"> </w:t>
      </w:r>
      <w:r>
        <w:rPr>
          <w:sz w:val="20"/>
        </w:rPr>
        <w:t>de</w:t>
      </w:r>
      <w:r>
        <w:rPr>
          <w:spacing w:val="-3"/>
          <w:sz w:val="20"/>
        </w:rPr>
        <w:t xml:space="preserve"> </w:t>
      </w:r>
      <w:r>
        <w:rPr>
          <w:sz w:val="20"/>
        </w:rPr>
        <w:t>supervisión</w:t>
      </w:r>
      <w:r>
        <w:rPr>
          <w:spacing w:val="-3"/>
          <w:sz w:val="20"/>
        </w:rPr>
        <w:t xml:space="preserve"> </w:t>
      </w:r>
      <w:r>
        <w:rPr>
          <w:sz w:val="20"/>
        </w:rPr>
        <w:t>que</w:t>
      </w:r>
      <w:r>
        <w:rPr>
          <w:spacing w:val="-3"/>
          <w:sz w:val="20"/>
        </w:rPr>
        <w:t xml:space="preserve"> </w:t>
      </w:r>
      <w:r>
        <w:rPr>
          <w:sz w:val="20"/>
        </w:rPr>
        <w:t>remitirá</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Junta</w:t>
      </w:r>
      <w:r>
        <w:rPr>
          <w:spacing w:val="-3"/>
          <w:sz w:val="20"/>
        </w:rPr>
        <w:t xml:space="preserve"> </w:t>
      </w:r>
      <w:r>
        <w:rPr>
          <w:sz w:val="20"/>
        </w:rPr>
        <w:t>Consultiva</w:t>
      </w:r>
      <w:r>
        <w:rPr>
          <w:spacing w:val="-3"/>
          <w:sz w:val="20"/>
        </w:rPr>
        <w:t xml:space="preserve"> </w:t>
      </w:r>
      <w:r>
        <w:rPr>
          <w:sz w:val="20"/>
        </w:rPr>
        <w:t>de</w:t>
      </w:r>
      <w:r>
        <w:rPr>
          <w:spacing w:val="-3"/>
          <w:sz w:val="20"/>
        </w:rPr>
        <w:t xml:space="preserve"> </w:t>
      </w:r>
      <w:r>
        <w:rPr>
          <w:sz w:val="20"/>
        </w:rPr>
        <w:t>Contratación</w:t>
      </w:r>
      <w:r>
        <w:rPr>
          <w:spacing w:val="-3"/>
          <w:sz w:val="20"/>
        </w:rPr>
        <w:t xml:space="preserve"> </w:t>
      </w:r>
      <w:r>
        <w:rPr>
          <w:sz w:val="20"/>
        </w:rPr>
        <w:t>Pública</w:t>
      </w:r>
      <w:r>
        <w:rPr>
          <w:spacing w:val="-3"/>
          <w:sz w:val="20"/>
        </w:rPr>
        <w:t xml:space="preserve"> </w:t>
      </w:r>
      <w:r>
        <w:rPr>
          <w:sz w:val="20"/>
        </w:rPr>
        <w:t>del</w:t>
      </w:r>
      <w:r>
        <w:rPr>
          <w:spacing w:val="-3"/>
          <w:sz w:val="20"/>
        </w:rPr>
        <w:t xml:space="preserve"> </w:t>
      </w:r>
      <w:r>
        <w:rPr>
          <w:sz w:val="20"/>
        </w:rPr>
        <w:t>Estado, que se integrará en el informe nacional a remitir a la Comisión Europea cada tres años.</w:t>
      </w:r>
    </w:p>
    <w:p w:rsidR="0092635B" w:rsidRDefault="00000000">
      <w:pPr>
        <w:pStyle w:val="Textoindependiente"/>
        <w:spacing w:line="249" w:lineRule="auto"/>
        <w:ind w:right="1103"/>
      </w:pPr>
      <w:r>
        <w:t>Dicho informe comprenderá respecto de la licitación pública y ejecución de los contratos de obras, suministros, servicios, concesión de obras y concesión de servicios que estén sujetos a regulación armonizada, entre otras, si procede, las siguientes cuestiones:</w:t>
      </w:r>
    </w:p>
    <w:p w:rsidR="0092635B" w:rsidRDefault="00000000">
      <w:pPr>
        <w:pStyle w:val="Prrafodelista"/>
        <w:numPr>
          <w:ilvl w:val="1"/>
          <w:numId w:val="76"/>
        </w:numPr>
        <w:tabs>
          <w:tab w:val="left" w:pos="1775"/>
        </w:tabs>
        <w:spacing w:before="123" w:line="249" w:lineRule="auto"/>
        <w:ind w:left="1106" w:right="1104" w:firstLine="340"/>
        <w:jc w:val="both"/>
        <w:rPr>
          <w:sz w:val="20"/>
        </w:rPr>
      </w:pPr>
      <w:r>
        <w:rPr>
          <w:sz w:val="20"/>
        </w:rPr>
        <w:t>Una relación de los principales incumplimientos detectados por los órganos, instituciones y poderes con competencia supervisora o jurisdiccional en materia de contratación pública.</w:t>
      </w:r>
    </w:p>
    <w:p w:rsidR="0092635B" w:rsidRDefault="00000000">
      <w:pPr>
        <w:pStyle w:val="Prrafodelista"/>
        <w:numPr>
          <w:ilvl w:val="1"/>
          <w:numId w:val="76"/>
        </w:numPr>
        <w:tabs>
          <w:tab w:val="left" w:pos="1680"/>
        </w:tabs>
        <w:spacing w:line="249" w:lineRule="auto"/>
        <w:ind w:left="1106" w:right="1105" w:firstLine="340"/>
        <w:jc w:val="both"/>
        <w:rPr>
          <w:sz w:val="20"/>
        </w:rPr>
      </w:pPr>
      <w:r>
        <w:rPr>
          <w:sz w:val="20"/>
        </w:rPr>
        <w:t>Información</w:t>
      </w:r>
      <w:r>
        <w:rPr>
          <w:spacing w:val="-2"/>
          <w:sz w:val="20"/>
        </w:rPr>
        <w:t xml:space="preserve"> </w:t>
      </w:r>
      <w:r>
        <w:rPr>
          <w:sz w:val="20"/>
        </w:rPr>
        <w:t>sobre</w:t>
      </w:r>
      <w:r>
        <w:rPr>
          <w:spacing w:val="-2"/>
          <w:sz w:val="20"/>
        </w:rPr>
        <w:t xml:space="preserve"> </w:t>
      </w:r>
      <w:r>
        <w:rPr>
          <w:sz w:val="20"/>
        </w:rPr>
        <w:t>las</w:t>
      </w:r>
      <w:r>
        <w:rPr>
          <w:spacing w:val="-2"/>
          <w:sz w:val="20"/>
        </w:rPr>
        <w:t xml:space="preserve"> </w:t>
      </w:r>
      <w:r>
        <w:rPr>
          <w:sz w:val="20"/>
        </w:rPr>
        <w:t>fuentes</w:t>
      </w:r>
      <w:r>
        <w:rPr>
          <w:spacing w:val="-2"/>
          <w:sz w:val="20"/>
        </w:rPr>
        <w:t xml:space="preserve"> </w:t>
      </w:r>
      <w:r>
        <w:rPr>
          <w:sz w:val="20"/>
        </w:rPr>
        <w:t>más</w:t>
      </w:r>
      <w:r>
        <w:rPr>
          <w:spacing w:val="-2"/>
          <w:sz w:val="20"/>
        </w:rPr>
        <w:t xml:space="preserve"> </w:t>
      </w:r>
      <w:r>
        <w:rPr>
          <w:sz w:val="20"/>
        </w:rPr>
        <w:t>frecuentes</w:t>
      </w:r>
      <w:r>
        <w:rPr>
          <w:spacing w:val="-2"/>
          <w:sz w:val="20"/>
        </w:rPr>
        <w:t xml:space="preserve"> </w:t>
      </w:r>
      <w:r>
        <w:rPr>
          <w:sz w:val="20"/>
        </w:rPr>
        <w:t>de</w:t>
      </w:r>
      <w:r>
        <w:rPr>
          <w:spacing w:val="-2"/>
          <w:sz w:val="20"/>
        </w:rPr>
        <w:t xml:space="preserve"> </w:t>
      </w:r>
      <w:r>
        <w:rPr>
          <w:sz w:val="20"/>
        </w:rPr>
        <w:t>aplicación</w:t>
      </w:r>
      <w:r>
        <w:rPr>
          <w:spacing w:val="-2"/>
          <w:sz w:val="20"/>
        </w:rPr>
        <w:t xml:space="preserve"> </w:t>
      </w:r>
      <w:r>
        <w:rPr>
          <w:sz w:val="20"/>
        </w:rPr>
        <w:t>incorrecta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legislación de contratación pública o de inseguridad jurídica.</w:t>
      </w:r>
    </w:p>
    <w:p w:rsidR="0092635B" w:rsidRDefault="00000000">
      <w:pPr>
        <w:pStyle w:val="Prrafodelista"/>
        <w:numPr>
          <w:ilvl w:val="1"/>
          <w:numId w:val="76"/>
        </w:numPr>
        <w:tabs>
          <w:tab w:val="left" w:pos="1693"/>
        </w:tabs>
        <w:spacing w:line="249" w:lineRule="auto"/>
        <w:ind w:left="1106" w:firstLine="340"/>
        <w:jc w:val="both"/>
        <w:rPr>
          <w:sz w:val="20"/>
        </w:rPr>
      </w:pPr>
      <w:r>
        <w:rPr>
          <w:sz w:val="20"/>
        </w:rPr>
        <w:t>Información sobre la prevención, detección y notificación adecuada de los casos de fraude, corrupción, conflicto de intereses y otras irregularidades graves en la contratación,</w:t>
      </w:r>
      <w:r>
        <w:rPr>
          <w:spacing w:val="40"/>
          <w:sz w:val="20"/>
        </w:rPr>
        <w:t xml:space="preserve"> </w:t>
      </w:r>
      <w:r>
        <w:rPr>
          <w:sz w:val="20"/>
        </w:rPr>
        <w:t>así como sobre los problemas de colusión detectados.</w:t>
      </w:r>
    </w:p>
    <w:p w:rsidR="0092635B" w:rsidRDefault="00000000">
      <w:pPr>
        <w:pStyle w:val="Prrafodelista"/>
        <w:numPr>
          <w:ilvl w:val="0"/>
          <w:numId w:val="76"/>
        </w:numPr>
        <w:tabs>
          <w:tab w:val="left" w:pos="1731"/>
        </w:tabs>
        <w:spacing w:before="122" w:line="249" w:lineRule="auto"/>
        <w:ind w:firstLine="340"/>
        <w:jc w:val="both"/>
        <w:rPr>
          <w:sz w:val="20"/>
        </w:rPr>
      </w:pPr>
      <w:r>
        <w:rPr>
          <w:sz w:val="20"/>
        </w:rPr>
        <w:t>Asimismo, la Oficina elaborará un informe anual que recogerá las conclusiones derivadas de toda la actividad de supervisión realizada por las administraciones competentes. El informe incluirá las cuestiones a las que se refiere el apartado anterior y, en particular, una relación expresiva de los principales incumplimientos constatados y de los órganos responsables de los mismos. Dicho informe será remitido por la Oficina de Supervisión a la Comisión Europea, a través de la Junta Consultiva de Contratación Pública del Estado.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pPr>
      <w:r>
        <w:t xml:space="preserve">Las distintas autoridades de supervisión, designadas por las administraciones competentes en sus respectivos ámbitos territoriales, y la Oficina, que consolidará toda la información, pondrán a disposición del público el resultado del proceso de supervisión, que se publicará en las correspondientes plataformas de contratación. En todo caso, el informe de la Oficina al que se refiere el inciso anterior se publicará por esta en la Plataforma de Contratación del Sector Público dentro del mes siguiente a su remisión a la Comisión </w:t>
      </w:r>
      <w:r>
        <w:rPr>
          <w:spacing w:val="-2"/>
        </w:rPr>
        <w:t>Europea.</w:t>
      </w:r>
    </w:p>
    <w:p w:rsidR="0092635B" w:rsidRDefault="00000000">
      <w:pPr>
        <w:pStyle w:val="Prrafodelista"/>
        <w:numPr>
          <w:ilvl w:val="0"/>
          <w:numId w:val="76"/>
        </w:numPr>
        <w:tabs>
          <w:tab w:val="left" w:pos="1854"/>
        </w:tabs>
        <w:spacing w:before="5" w:line="249" w:lineRule="auto"/>
        <w:ind w:firstLine="340"/>
        <w:jc w:val="both"/>
        <w:rPr>
          <w:sz w:val="20"/>
        </w:rPr>
      </w:pPr>
      <w:r>
        <w:rPr>
          <w:sz w:val="20"/>
        </w:rPr>
        <w:t>La Comisión Mixta Congreso-Senado para las Relaciones con el Tribunal de Cuentas, a través de una ponencia de carácter permanente que se constituirá en los</w:t>
      </w:r>
      <w:r>
        <w:rPr>
          <w:spacing w:val="40"/>
          <w:sz w:val="20"/>
        </w:rPr>
        <w:t xml:space="preserve"> </w:t>
      </w:r>
      <w:r>
        <w:rPr>
          <w:sz w:val="20"/>
        </w:rPr>
        <w:t>términos que dispongan los Reglamentos de las Cámaras, recibirá de la Oficina Independiente de Regulación y Supervisión de la Contratación la más amplia información para hacer posible el control y la vigilancia de la contratación pública y la participación en las iniciativas de mejora normativa que se adopten en esta materia.</w:t>
      </w:r>
    </w:p>
    <w:p w:rsidR="0092635B" w:rsidRDefault="00000000">
      <w:pPr>
        <w:pStyle w:val="Prrafodelista"/>
        <w:numPr>
          <w:ilvl w:val="0"/>
          <w:numId w:val="76"/>
        </w:numPr>
        <w:tabs>
          <w:tab w:val="left" w:pos="1836"/>
        </w:tabs>
        <w:spacing w:before="5" w:line="249" w:lineRule="auto"/>
        <w:ind w:firstLine="340"/>
        <w:jc w:val="both"/>
        <w:rPr>
          <w:sz w:val="20"/>
        </w:rPr>
      </w:pPr>
      <w:r>
        <w:rPr>
          <w:sz w:val="20"/>
        </w:rPr>
        <w:t>La función de supervisión se realizará sin perjuicio de las competencias que corresponden</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Intervención</w:t>
      </w:r>
      <w:r>
        <w:rPr>
          <w:spacing w:val="-2"/>
          <w:sz w:val="20"/>
        </w:rPr>
        <w:t xml:space="preserve"> </w:t>
      </w:r>
      <w:r>
        <w:rPr>
          <w:sz w:val="20"/>
        </w:rPr>
        <w:t>General</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en</w:t>
      </w:r>
      <w:r>
        <w:rPr>
          <w:spacing w:val="-2"/>
          <w:sz w:val="20"/>
        </w:rPr>
        <w:t xml:space="preserve"> </w:t>
      </w:r>
      <w:r>
        <w:rPr>
          <w:sz w:val="20"/>
        </w:rPr>
        <w:t>cuanto</w:t>
      </w:r>
      <w:r>
        <w:rPr>
          <w:spacing w:val="-2"/>
          <w:sz w:val="20"/>
        </w:rPr>
        <w:t xml:space="preserve"> </w:t>
      </w:r>
      <w:r>
        <w:rPr>
          <w:sz w:val="20"/>
        </w:rPr>
        <w:t>órgano</w:t>
      </w:r>
      <w:r>
        <w:rPr>
          <w:spacing w:val="-2"/>
          <w:sz w:val="20"/>
        </w:rPr>
        <w:t xml:space="preserve"> </w:t>
      </w:r>
      <w:r>
        <w:rPr>
          <w:sz w:val="20"/>
        </w:rPr>
        <w:t>de control de la gestión económico-financiera del sector público estatal y a las que, en su</w:t>
      </w:r>
      <w:r>
        <w:rPr>
          <w:spacing w:val="80"/>
          <w:sz w:val="20"/>
        </w:rPr>
        <w:t xml:space="preserve"> </w:t>
      </w:r>
      <w:r>
        <w:rPr>
          <w:sz w:val="20"/>
        </w:rPr>
        <w:t>ámbito territorial, correspondan a los órganos equivalentes a nivel autonómico y local. A estos efectos, la Intervención General de la Administración del Estado, y los órganos equivalentes a nivel autonómico y local, remitirán anualmente a la Oficina Independiente de Regulación y Supervisión un informe global, que se hará público dentro del mes siguiente a su recepción, con los resultados más significativos de su actividad de control en la contratación pública.</w:t>
      </w:r>
    </w:p>
    <w:p w:rsidR="0092635B" w:rsidRDefault="00000000">
      <w:pPr>
        <w:pStyle w:val="Prrafodelista"/>
        <w:numPr>
          <w:ilvl w:val="0"/>
          <w:numId w:val="76"/>
        </w:numPr>
        <w:tabs>
          <w:tab w:val="left" w:pos="1779"/>
        </w:tabs>
        <w:spacing w:before="8" w:line="249" w:lineRule="auto"/>
        <w:ind w:right="1105" w:firstLine="340"/>
        <w:jc w:val="both"/>
        <w:rPr>
          <w:sz w:val="20"/>
        </w:rPr>
      </w:pPr>
      <w:r>
        <w:rPr>
          <w:sz w:val="20"/>
        </w:rPr>
        <w:t>Las</w:t>
      </w:r>
      <w:r>
        <w:rPr>
          <w:spacing w:val="-3"/>
          <w:sz w:val="20"/>
        </w:rPr>
        <w:t xml:space="preserve"> </w:t>
      </w:r>
      <w:r>
        <w:rPr>
          <w:sz w:val="20"/>
        </w:rPr>
        <w:t>Comunidades</w:t>
      </w:r>
      <w:r>
        <w:rPr>
          <w:spacing w:val="-3"/>
          <w:sz w:val="20"/>
        </w:rPr>
        <w:t xml:space="preserve"> </w:t>
      </w:r>
      <w:r>
        <w:rPr>
          <w:sz w:val="20"/>
        </w:rPr>
        <w:t>Autónomas</w:t>
      </w:r>
      <w:r>
        <w:rPr>
          <w:spacing w:val="-3"/>
          <w:sz w:val="20"/>
        </w:rPr>
        <w:t xml:space="preserve"> </w:t>
      </w:r>
      <w:r>
        <w:rPr>
          <w:sz w:val="20"/>
        </w:rPr>
        <w:t>podrán</w:t>
      </w:r>
      <w:r>
        <w:rPr>
          <w:spacing w:val="-3"/>
          <w:sz w:val="20"/>
        </w:rPr>
        <w:t xml:space="preserve"> </w:t>
      </w:r>
      <w:r>
        <w:rPr>
          <w:sz w:val="20"/>
        </w:rPr>
        <w:t>crear</w:t>
      </w:r>
      <w:r>
        <w:rPr>
          <w:spacing w:val="-3"/>
          <w:sz w:val="20"/>
        </w:rPr>
        <w:t xml:space="preserve"> </w:t>
      </w:r>
      <w:r>
        <w:rPr>
          <w:sz w:val="20"/>
        </w:rPr>
        <w:t>sus</w:t>
      </w:r>
      <w:r>
        <w:rPr>
          <w:spacing w:val="-3"/>
          <w:sz w:val="20"/>
        </w:rPr>
        <w:t xml:space="preserve"> </w:t>
      </w:r>
      <w:r>
        <w:rPr>
          <w:sz w:val="20"/>
        </w:rPr>
        <w:t>propias</w:t>
      </w:r>
      <w:r>
        <w:rPr>
          <w:spacing w:val="-3"/>
          <w:sz w:val="20"/>
        </w:rPr>
        <w:t xml:space="preserve"> </w:t>
      </w:r>
      <w:r>
        <w:rPr>
          <w:sz w:val="20"/>
        </w:rPr>
        <w:t>Oficinas</w:t>
      </w:r>
      <w:r>
        <w:rPr>
          <w:spacing w:val="-3"/>
          <w:sz w:val="20"/>
        </w:rPr>
        <w:t xml:space="preserve"> </w:t>
      </w:r>
      <w:r>
        <w:rPr>
          <w:sz w:val="20"/>
        </w:rPr>
        <w:t>de</w:t>
      </w:r>
      <w:r>
        <w:rPr>
          <w:spacing w:val="-3"/>
          <w:sz w:val="20"/>
        </w:rPr>
        <w:t xml:space="preserve"> </w:t>
      </w:r>
      <w:r>
        <w:rPr>
          <w:sz w:val="20"/>
        </w:rPr>
        <w:t>Supervisión</w:t>
      </w:r>
      <w:r>
        <w:rPr>
          <w:spacing w:val="-3"/>
          <w:sz w:val="20"/>
        </w:rPr>
        <w:t xml:space="preserve"> </w:t>
      </w:r>
      <w:r>
        <w:rPr>
          <w:sz w:val="20"/>
        </w:rPr>
        <w:t>de</w:t>
      </w:r>
      <w:r>
        <w:rPr>
          <w:spacing w:val="-3"/>
          <w:sz w:val="20"/>
        </w:rPr>
        <w:t xml:space="preserve"> </w:t>
      </w:r>
      <w:r>
        <w:rPr>
          <w:sz w:val="20"/>
        </w:rPr>
        <w:t xml:space="preserve">la </w:t>
      </w:r>
      <w:r>
        <w:rPr>
          <w:spacing w:val="-2"/>
          <w:sz w:val="20"/>
        </w:rPr>
        <w:t>Contratación.</w:t>
      </w:r>
    </w:p>
    <w:p w:rsidR="0092635B" w:rsidRDefault="00000000">
      <w:pPr>
        <w:pStyle w:val="Prrafodelista"/>
        <w:numPr>
          <w:ilvl w:val="0"/>
          <w:numId w:val="76"/>
        </w:numPr>
        <w:tabs>
          <w:tab w:val="left" w:pos="1850"/>
        </w:tabs>
        <w:spacing w:before="1" w:line="249" w:lineRule="auto"/>
        <w:ind w:firstLine="340"/>
        <w:jc w:val="both"/>
        <w:rPr>
          <w:sz w:val="20"/>
        </w:rPr>
      </w:pPr>
      <w:r>
        <w:rPr>
          <w:sz w:val="20"/>
        </w:rPr>
        <w:t>La Oficina Independiente de Regulación y Supervisión de la Contratación, en coordinación con el Ministerio de Hacienda y Función Pública y la Junta Consultiva de Contratación Pública del Estado, colaborará con las instituciones y organismos de la Unión Europea,</w:t>
      </w:r>
      <w:r>
        <w:rPr>
          <w:spacing w:val="-2"/>
          <w:sz w:val="20"/>
        </w:rPr>
        <w:t xml:space="preserve"> </w:t>
      </w:r>
      <w:r>
        <w:rPr>
          <w:sz w:val="20"/>
        </w:rPr>
        <w:t>en</w:t>
      </w:r>
      <w:r>
        <w:rPr>
          <w:spacing w:val="-2"/>
          <w:sz w:val="20"/>
        </w:rPr>
        <w:t xml:space="preserve"> </w:t>
      </w:r>
      <w:r>
        <w:rPr>
          <w:sz w:val="20"/>
        </w:rPr>
        <w:t>especial</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Comisión</w:t>
      </w:r>
      <w:r>
        <w:rPr>
          <w:spacing w:val="-2"/>
          <w:sz w:val="20"/>
        </w:rPr>
        <w:t xml:space="preserve"> </w:t>
      </w:r>
      <w:r>
        <w:rPr>
          <w:sz w:val="20"/>
        </w:rPr>
        <w:t>Europea,</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ejercicio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funciones</w:t>
      </w:r>
      <w:r>
        <w:rPr>
          <w:spacing w:val="-2"/>
          <w:sz w:val="20"/>
        </w:rPr>
        <w:t xml:space="preserve"> </w:t>
      </w:r>
      <w:r>
        <w:rPr>
          <w:sz w:val="20"/>
        </w:rPr>
        <w:t>de</w:t>
      </w:r>
      <w:r>
        <w:rPr>
          <w:spacing w:val="-2"/>
          <w:sz w:val="20"/>
        </w:rPr>
        <w:t xml:space="preserve"> </w:t>
      </w:r>
      <w:r>
        <w:rPr>
          <w:sz w:val="20"/>
        </w:rPr>
        <w:t>regulación y supervisión de la contratación. También podrá cooperar con las autoridades de supervisión de la contratación independientes de otros estados miembros.</w:t>
      </w:r>
    </w:p>
    <w:p w:rsidR="0092635B" w:rsidRDefault="0092635B">
      <w:pPr>
        <w:pStyle w:val="Textoindependiente"/>
        <w:ind w:left="0" w:firstLine="0"/>
        <w:jc w:val="left"/>
      </w:pPr>
    </w:p>
    <w:p w:rsidR="0092635B" w:rsidRDefault="00000000">
      <w:pPr>
        <w:ind w:left="1106"/>
        <w:rPr>
          <w:rFonts w:ascii="Arial" w:hAnsi="Arial"/>
          <w:i/>
          <w:sz w:val="20"/>
        </w:rPr>
      </w:pPr>
      <w:bookmarkStart w:id="561" w:name="Artículo_333._La_Oficina_Nacional_de_Eva"/>
      <w:bookmarkEnd w:id="561"/>
      <w:r>
        <w:rPr>
          <w:rFonts w:ascii="Arial" w:hAnsi="Arial"/>
          <w:b/>
          <w:sz w:val="20"/>
        </w:rPr>
        <w:t>Artículo</w:t>
      </w:r>
      <w:r>
        <w:rPr>
          <w:rFonts w:ascii="Arial" w:hAnsi="Arial"/>
          <w:b/>
          <w:spacing w:val="-5"/>
          <w:sz w:val="20"/>
        </w:rPr>
        <w:t xml:space="preserve"> </w:t>
      </w:r>
      <w:r>
        <w:rPr>
          <w:rFonts w:ascii="Arial" w:hAnsi="Arial"/>
          <w:b/>
          <w:sz w:val="20"/>
        </w:rPr>
        <w:t>333.</w:t>
      </w:r>
      <w:r>
        <w:rPr>
          <w:rFonts w:ascii="Arial" w:hAnsi="Arial"/>
          <w:b/>
          <w:spacing w:val="50"/>
          <w:sz w:val="20"/>
        </w:rPr>
        <w:t xml:space="preserve"> </w:t>
      </w:r>
      <w:r>
        <w:rPr>
          <w:rFonts w:ascii="Arial" w:hAnsi="Arial"/>
          <w:i/>
          <w:sz w:val="20"/>
        </w:rPr>
        <w:t>La</w:t>
      </w:r>
      <w:r>
        <w:rPr>
          <w:rFonts w:ascii="Arial" w:hAnsi="Arial"/>
          <w:i/>
          <w:spacing w:val="-2"/>
          <w:sz w:val="20"/>
        </w:rPr>
        <w:t xml:space="preserve"> </w:t>
      </w:r>
      <w:r>
        <w:rPr>
          <w:rFonts w:ascii="Arial" w:hAnsi="Arial"/>
          <w:i/>
          <w:sz w:val="20"/>
        </w:rPr>
        <w:t>Oficina</w:t>
      </w:r>
      <w:r>
        <w:rPr>
          <w:rFonts w:ascii="Arial" w:hAnsi="Arial"/>
          <w:i/>
          <w:spacing w:val="-2"/>
          <w:sz w:val="20"/>
        </w:rPr>
        <w:t xml:space="preserve"> </w:t>
      </w:r>
      <w:r>
        <w:rPr>
          <w:rFonts w:ascii="Arial" w:hAnsi="Arial"/>
          <w:i/>
          <w:sz w:val="20"/>
        </w:rPr>
        <w:t>Nacional</w:t>
      </w:r>
      <w:r>
        <w:rPr>
          <w:rFonts w:ascii="Arial" w:hAnsi="Arial"/>
          <w:i/>
          <w:spacing w:val="-2"/>
          <w:sz w:val="20"/>
        </w:rPr>
        <w:t xml:space="preserve"> </w:t>
      </w:r>
      <w:r>
        <w:rPr>
          <w:rFonts w:ascii="Arial" w:hAnsi="Arial"/>
          <w:i/>
          <w:sz w:val="20"/>
        </w:rPr>
        <w:t>de</w:t>
      </w:r>
      <w:r>
        <w:rPr>
          <w:rFonts w:ascii="Arial" w:hAnsi="Arial"/>
          <w:i/>
          <w:spacing w:val="-2"/>
          <w:sz w:val="20"/>
        </w:rPr>
        <w:t xml:space="preserve"> Evaluación.</w:t>
      </w:r>
    </w:p>
    <w:p w:rsidR="0092635B" w:rsidRDefault="00000000">
      <w:pPr>
        <w:pStyle w:val="Prrafodelista"/>
        <w:numPr>
          <w:ilvl w:val="0"/>
          <w:numId w:val="75"/>
        </w:numPr>
        <w:tabs>
          <w:tab w:val="left" w:pos="1755"/>
        </w:tabs>
        <w:spacing w:before="123" w:line="249" w:lineRule="auto"/>
        <w:ind w:firstLine="340"/>
        <w:jc w:val="both"/>
        <w:rPr>
          <w:sz w:val="20"/>
        </w:rPr>
      </w:pPr>
      <w:r>
        <w:rPr>
          <w:sz w:val="20"/>
        </w:rPr>
        <w:t>La Oficina Nacional de Evaluación, órgano colegiado integrado en la Oficina Independiente de Regulación y Supervisión de la Contratación, tiene como finalidad analizar la sostenibilidad financiera de los contratos de concesiones de obras y contratos de concesión de servicios, sin perjuicio de lo establecido en el segundo párrafo de la letra b) del apartado 3.</w:t>
      </w:r>
    </w:p>
    <w:p w:rsidR="0092635B" w:rsidRDefault="00000000">
      <w:pPr>
        <w:pStyle w:val="Prrafodelista"/>
        <w:numPr>
          <w:ilvl w:val="0"/>
          <w:numId w:val="75"/>
        </w:numPr>
        <w:tabs>
          <w:tab w:val="left" w:pos="1702"/>
        </w:tabs>
        <w:spacing w:before="5" w:line="249" w:lineRule="auto"/>
        <w:ind w:right="1105" w:firstLine="340"/>
        <w:jc w:val="both"/>
        <w:rPr>
          <w:sz w:val="20"/>
        </w:rPr>
      </w:pPr>
      <w:r>
        <w:rPr>
          <w:sz w:val="20"/>
        </w:rPr>
        <w:t>La Oficina Nacional de Evaluación estará presidida por el Presidente de la Oficina Independiente de Regulación y Supervisión de la Contratación.</w:t>
      </w:r>
    </w:p>
    <w:p w:rsidR="0092635B" w:rsidRDefault="00000000">
      <w:pPr>
        <w:pStyle w:val="Textoindependiente"/>
        <w:spacing w:before="1" w:line="249" w:lineRule="auto"/>
        <w:ind w:right="1102"/>
      </w:pPr>
      <w:r>
        <w:t>Formarán parte de la misma el Vocal de la Oficina Independiente de Regulación y Supervisión de la Contratación que se determine; y un representante con rango de Subdirector General o equivalente de la Intervención General de la Administración del Estado, de la Dirección General del Patrimonio del Estado, y de la Dirección General de Fondos Comunitarios del Ministerio de Hacienda y Función Pública. Asimismo, formará parte de la misma, dos vocales, uno nombrado a propuesta de las organizaciones empresariales representativas de los sectores afectados por la contratación administrativa, y otro, designado entre académicos, profesionales y técnicos, de reconocido conocimiento y competencia en la materia de la contratación pública, sin relación directa o indirecta con las empresas contratistas a las que se refiere el primer apartado de este artículo. Estos vocales contarán con voz pero no así con voto.</w:t>
      </w:r>
    </w:p>
    <w:p w:rsidR="0092635B" w:rsidRDefault="00000000">
      <w:pPr>
        <w:pStyle w:val="Textoindependiente"/>
        <w:spacing w:before="9" w:line="249" w:lineRule="auto"/>
        <w:ind w:right="1104"/>
      </w:pPr>
      <w:r>
        <w:t>A las reuniones de la Oficina Nacional de Evaluación en que se traten informes referidos a una Comunidad Autónoma que se hubiera adherido a la Oficina Nacional de Evaluación en virtud de lo dispuesto en el apartado siguiente, asistirá un representante de la misma. En el caso de reuniones en que se traten informes de las Corporaciones Locales, asistirá a las mismas un representante de la Federación de Entidades Locales con mayor implantación, junto</w:t>
      </w:r>
      <w:r>
        <w:rPr>
          <w:spacing w:val="40"/>
        </w:rPr>
        <w:t xml:space="preserve"> </w:t>
      </w:r>
      <w:r>
        <w:t>con</w:t>
      </w:r>
      <w:r>
        <w:rPr>
          <w:spacing w:val="40"/>
        </w:rPr>
        <w:t xml:space="preserve"> </w:t>
      </w:r>
      <w:r>
        <w:t>un</w:t>
      </w:r>
      <w:r>
        <w:rPr>
          <w:spacing w:val="40"/>
        </w:rPr>
        <w:t xml:space="preserve"> </w:t>
      </w:r>
      <w:r>
        <w:t>representante</w:t>
      </w:r>
      <w:r>
        <w:rPr>
          <w:spacing w:val="40"/>
        </w:rPr>
        <w:t xml:space="preserve"> </w:t>
      </w:r>
      <w:r>
        <w:t>de</w:t>
      </w:r>
      <w:r>
        <w:rPr>
          <w:spacing w:val="40"/>
        </w:rPr>
        <w:t xml:space="preserve"> </w:t>
      </w:r>
      <w:r>
        <w:t>la</w:t>
      </w:r>
      <w:r>
        <w:rPr>
          <w:spacing w:val="40"/>
        </w:rPr>
        <w:t xml:space="preserve"> </w:t>
      </w:r>
      <w:r>
        <w:t>propia</w:t>
      </w:r>
      <w:r>
        <w:rPr>
          <w:spacing w:val="40"/>
        </w:rPr>
        <w:t xml:space="preserve"> </w:t>
      </w:r>
      <w:r>
        <w:t>Corporación</w:t>
      </w:r>
      <w:r>
        <w:rPr>
          <w:spacing w:val="40"/>
        </w:rPr>
        <w:t xml:space="preserve"> </w:t>
      </w:r>
      <w:r>
        <w:t>en</w:t>
      </w:r>
      <w:r>
        <w:rPr>
          <w:spacing w:val="40"/>
        </w:rPr>
        <w:t xml:space="preserve"> </w:t>
      </w:r>
      <w:r>
        <w:t>el</w:t>
      </w:r>
      <w:r>
        <w:rPr>
          <w:spacing w:val="40"/>
        </w:rPr>
        <w:t xml:space="preserve"> </w:t>
      </w:r>
      <w:r>
        <w:t>caso</w:t>
      </w:r>
      <w:r>
        <w:rPr>
          <w:spacing w:val="40"/>
        </w:rPr>
        <w:t xml:space="preserve"> </w:t>
      </w:r>
      <w:r>
        <w:t>de</w:t>
      </w:r>
      <w:r>
        <w:rPr>
          <w:spacing w:val="40"/>
        </w:rPr>
        <w:t xml:space="preserve"> </w:t>
      </w:r>
      <w:r>
        <w:t>que</w:t>
      </w:r>
      <w:r>
        <w:rPr>
          <w:spacing w:val="40"/>
        </w:rPr>
        <w:t xml:space="preserve"> </w:t>
      </w:r>
      <w:r>
        <w:t>se</w:t>
      </w:r>
      <w:r>
        <w:rPr>
          <w:spacing w:val="40"/>
        </w:rPr>
        <w:t xml:space="preserve"> </w:t>
      </w:r>
      <w:r>
        <w:t>tratara</w:t>
      </w:r>
      <w:r>
        <w:rPr>
          <w:spacing w:val="40"/>
        </w:rPr>
        <w:t xml:space="preserve"> </w:t>
      </w:r>
      <w:r>
        <w:t>de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firstLine="0"/>
      </w:pPr>
      <w:r>
        <w:t>Municipios de gran población a los que se refiere el Título X de la Ley 7/1985, de 2 de abril, Reguladora de las Bases del Régimen Local.</w:t>
      </w:r>
    </w:p>
    <w:p w:rsidR="0092635B" w:rsidRDefault="00000000">
      <w:pPr>
        <w:pStyle w:val="Textoindependiente"/>
        <w:spacing w:before="1" w:line="249" w:lineRule="auto"/>
        <w:ind w:right="1104"/>
      </w:pPr>
      <w:r>
        <w:t>Mediante Orden del Ministro de Hacienda y Función Pública, a propuesta de la Oficina Independiente de Regulación y Supervisión de la Contratación, previo informe de la</w:t>
      </w:r>
      <w:r>
        <w:rPr>
          <w:spacing w:val="40"/>
        </w:rPr>
        <w:t xml:space="preserve"> </w:t>
      </w:r>
      <w:r>
        <w:t>Comisión Delegada del Gobierno para Asuntos Económicos, se determinará la organización y funcionamiento de la misma, sin perjuicio de la utilización de medios especializados complementarios que sean aportados por los órganos representados en la Oficina Nacional de Evaluación.</w:t>
      </w:r>
    </w:p>
    <w:p w:rsidR="0092635B" w:rsidRDefault="00000000">
      <w:pPr>
        <w:pStyle w:val="Textoindependiente"/>
        <w:spacing w:before="5" w:line="249" w:lineRule="auto"/>
        <w:ind w:right="1105"/>
      </w:pPr>
      <w:r>
        <w:t>Los miembros de la Oficina Nacional de Evaluación y el personal a su servicio no</w:t>
      </w:r>
      <w:r>
        <w:rPr>
          <w:spacing w:val="80"/>
        </w:rPr>
        <w:t xml:space="preserve"> </w:t>
      </w:r>
      <w:r>
        <w:t>podrán, en el ejercicio de sus funciones, solicitar ni aceptar instrucciones de ninguna entidad pública o privada.</w:t>
      </w:r>
    </w:p>
    <w:p w:rsidR="0092635B" w:rsidRDefault="00000000">
      <w:pPr>
        <w:pStyle w:val="Prrafodelista"/>
        <w:numPr>
          <w:ilvl w:val="0"/>
          <w:numId w:val="75"/>
        </w:numPr>
        <w:tabs>
          <w:tab w:val="left" w:pos="1681"/>
        </w:tabs>
        <w:spacing w:before="3" w:line="249" w:lineRule="auto"/>
        <w:ind w:firstLine="340"/>
        <w:jc w:val="both"/>
        <w:rPr>
          <w:sz w:val="20"/>
        </w:rPr>
      </w:pPr>
      <w:r>
        <w:rPr>
          <w:sz w:val="20"/>
        </w:rPr>
        <w:t>La Oficina Nacional de Evaluación, con carácter previo a la licitación de los contratos de concesión de obras y de concesión de servicios a celebrar por los poderes adjudicadores y entidades adjudicadoras, así como por otros entes, organismos y entidades dependientes de la Administración General del Estado y de las Corporaciones Locales, evacuará informe preceptivo en los siguientes casos:</w:t>
      </w:r>
    </w:p>
    <w:p w:rsidR="0092635B" w:rsidRDefault="00000000">
      <w:pPr>
        <w:pStyle w:val="Prrafodelista"/>
        <w:numPr>
          <w:ilvl w:val="1"/>
          <w:numId w:val="75"/>
        </w:numPr>
        <w:tabs>
          <w:tab w:val="left" w:pos="1688"/>
        </w:tabs>
        <w:spacing w:before="124" w:line="249" w:lineRule="auto"/>
        <w:ind w:right="1104" w:firstLine="340"/>
        <w:jc w:val="both"/>
        <w:rPr>
          <w:sz w:val="20"/>
        </w:rPr>
      </w:pPr>
      <w:r>
        <w:rPr>
          <w:sz w:val="20"/>
        </w:rPr>
        <w:t>Cuando el valor estimado del contrato sea superior a un millón de euros y se realicen aportaciones públicas a la construcción o a la explotación de la concesión, así como cualquier medida de apoyo a la financiación del concesionario.</w:t>
      </w:r>
    </w:p>
    <w:p w:rsidR="0092635B" w:rsidRDefault="00000000">
      <w:pPr>
        <w:pStyle w:val="Prrafodelista"/>
        <w:numPr>
          <w:ilvl w:val="1"/>
          <w:numId w:val="75"/>
        </w:numPr>
        <w:tabs>
          <w:tab w:val="left" w:pos="1683"/>
        </w:tabs>
        <w:spacing w:line="249" w:lineRule="auto"/>
        <w:ind w:right="1104" w:firstLine="340"/>
        <w:jc w:val="both"/>
        <w:rPr>
          <w:sz w:val="20"/>
        </w:rPr>
      </w:pPr>
      <w:r>
        <w:rPr>
          <w:sz w:val="20"/>
        </w:rPr>
        <w:t>Las concesiones de obras y concesiones de servicios en las que la tarifa sea asumida total o parcialmente por el poder adjudicador concedente, cuando el importe de las obras o los gastos de primer establecimiento superen un millón de euros.</w:t>
      </w:r>
    </w:p>
    <w:p w:rsidR="0092635B" w:rsidRDefault="00000000">
      <w:pPr>
        <w:pStyle w:val="Textoindependiente"/>
        <w:spacing w:before="123" w:line="249" w:lineRule="auto"/>
        <w:ind w:right="1103"/>
      </w:pPr>
      <w:r>
        <w:t>Asimismo, informará los acuerdos de restablecimiento del equilibrio del contrato, en los casos previstos en los artículos 270.2 y 290.4 respecto de las concesiones de obras y concesiones de servicios que hayan sido informadas previamente de conformidad con las letras a) y b) anteriores o que, sin haber sido informadas, supongan la incorporación en el contrato de alguno de los elementos previstos en estas, siempre y cuando el valor estimado del contrato sea superior a un millón de euros.</w:t>
      </w:r>
    </w:p>
    <w:p w:rsidR="0092635B" w:rsidRDefault="00000000">
      <w:pPr>
        <w:pStyle w:val="Textoindependiente"/>
        <w:spacing w:before="5" w:line="249" w:lineRule="auto"/>
        <w:ind w:right="1103"/>
      </w:pPr>
      <w:r>
        <w:t>La Oficina Nacional de Evaluación podrá proponer, en atención a los resultados obtenidos de las actuaciones previstas en la Estrategia Nacional de Contratación Pública, la ampliación del ámbito de aplicación de este artículo a contratos distintos de los recogidos en los párrafos anteriores. La ampliación del ámbito, se aprobará mediante Orden del Ministro de Hacienda y Función Pública, a propuesta de la Oficina Independiente de Regulación y Supervisión de la Contratación, previo informe de la Comisión Delegada del Gobierno para Asuntos Económicos.</w:t>
      </w:r>
    </w:p>
    <w:p w:rsidR="0092635B" w:rsidRDefault="00000000">
      <w:pPr>
        <w:pStyle w:val="Textoindependiente"/>
        <w:spacing w:before="5" w:line="249" w:lineRule="auto"/>
        <w:ind w:right="1105"/>
      </w:pPr>
      <w:r>
        <w:t>Cada Comunidad Autónoma podrá adherirse a la Oficina Nacional de Evaluación para que realice dichos informes o si hubiera creado un órgano u organismo equivalente solicitará estos informes preceptivos al mismo cuando afecte a sus contratos de concesión.</w:t>
      </w:r>
    </w:p>
    <w:p w:rsidR="0092635B" w:rsidRDefault="00000000">
      <w:pPr>
        <w:pStyle w:val="Textoindependiente"/>
        <w:spacing w:before="3" w:line="249" w:lineRule="auto"/>
        <w:ind w:right="1104"/>
      </w:pPr>
      <w:r>
        <w:t>Por el Comité de Cooperación en materia de contratación pública se fijarán las</w:t>
      </w:r>
      <w:r>
        <w:rPr>
          <w:spacing w:val="80"/>
        </w:rPr>
        <w:t xml:space="preserve"> </w:t>
      </w:r>
      <w:r>
        <w:t>directrices apropiadas para asegurar que la elaboración de los informes se realiza con criterios suficientemente homogéneos.</w:t>
      </w:r>
    </w:p>
    <w:p w:rsidR="0092635B" w:rsidRDefault="00000000">
      <w:pPr>
        <w:pStyle w:val="Prrafodelista"/>
        <w:numPr>
          <w:ilvl w:val="0"/>
          <w:numId w:val="75"/>
        </w:numPr>
        <w:tabs>
          <w:tab w:val="left" w:pos="1668"/>
        </w:tabs>
        <w:spacing w:line="249" w:lineRule="auto"/>
        <w:ind w:firstLine="340"/>
        <w:jc w:val="both"/>
        <w:rPr>
          <w:sz w:val="20"/>
        </w:rPr>
      </w:pPr>
      <w:r>
        <w:rPr>
          <w:sz w:val="20"/>
        </w:rPr>
        <w:t>Los</w:t>
      </w:r>
      <w:r>
        <w:rPr>
          <w:spacing w:val="-2"/>
          <w:sz w:val="20"/>
        </w:rPr>
        <w:t xml:space="preserve"> </w:t>
      </w:r>
      <w:r>
        <w:rPr>
          <w:sz w:val="20"/>
        </w:rPr>
        <w:t>informes</w:t>
      </w:r>
      <w:r>
        <w:rPr>
          <w:spacing w:val="-2"/>
          <w:sz w:val="20"/>
        </w:rPr>
        <w:t xml:space="preserve"> </w:t>
      </w:r>
      <w:r>
        <w:rPr>
          <w:sz w:val="20"/>
        </w:rPr>
        <w:t>previstos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apartado</w:t>
      </w:r>
      <w:r>
        <w:rPr>
          <w:spacing w:val="-2"/>
          <w:sz w:val="20"/>
        </w:rPr>
        <w:t xml:space="preserve"> </w:t>
      </w:r>
      <w:r>
        <w:rPr>
          <w:sz w:val="20"/>
        </w:rPr>
        <w:t>anterior</w:t>
      </w:r>
      <w:r>
        <w:rPr>
          <w:spacing w:val="-2"/>
          <w:sz w:val="20"/>
        </w:rPr>
        <w:t xml:space="preserve"> </w:t>
      </w:r>
      <w:r>
        <w:rPr>
          <w:sz w:val="20"/>
        </w:rPr>
        <w:t>evaluarán</w:t>
      </w:r>
      <w:r>
        <w:rPr>
          <w:spacing w:val="-2"/>
          <w:sz w:val="20"/>
        </w:rPr>
        <w:t xml:space="preserve"> </w:t>
      </w:r>
      <w:r>
        <w:rPr>
          <w:sz w:val="20"/>
        </w:rPr>
        <w:t>si</w:t>
      </w:r>
      <w:r>
        <w:rPr>
          <w:spacing w:val="-2"/>
          <w:sz w:val="20"/>
        </w:rPr>
        <w:t xml:space="preserve"> </w:t>
      </w:r>
      <w:r>
        <w:rPr>
          <w:sz w:val="20"/>
        </w:rPr>
        <w:t>la</w:t>
      </w:r>
      <w:r>
        <w:rPr>
          <w:spacing w:val="-2"/>
          <w:sz w:val="20"/>
        </w:rPr>
        <w:t xml:space="preserve"> </w:t>
      </w:r>
      <w:r>
        <w:rPr>
          <w:sz w:val="20"/>
        </w:rPr>
        <w:t>rentabilidad</w:t>
      </w:r>
      <w:r>
        <w:rPr>
          <w:spacing w:val="-2"/>
          <w:sz w:val="20"/>
        </w:rPr>
        <w:t xml:space="preserve"> </w:t>
      </w:r>
      <w:r>
        <w:rPr>
          <w:sz w:val="20"/>
        </w:rPr>
        <w:t>del</w:t>
      </w:r>
      <w:r>
        <w:rPr>
          <w:spacing w:val="-2"/>
          <w:sz w:val="20"/>
        </w:rPr>
        <w:t xml:space="preserve"> </w:t>
      </w:r>
      <w:r>
        <w:rPr>
          <w:sz w:val="20"/>
        </w:rPr>
        <w:t>proyecto, obtenida en función del valor de la inversión, las ayudas otorgadas, los flujos de caja esperados y la tasa de descuento establecida, es razonable en atención al riesgo de demanda</w:t>
      </w:r>
      <w:r>
        <w:rPr>
          <w:spacing w:val="-3"/>
          <w:sz w:val="20"/>
        </w:rPr>
        <w:t xml:space="preserve"> </w:t>
      </w:r>
      <w:r>
        <w:rPr>
          <w:sz w:val="20"/>
        </w:rPr>
        <w:t>que</w:t>
      </w:r>
      <w:r>
        <w:rPr>
          <w:spacing w:val="-3"/>
          <w:sz w:val="20"/>
        </w:rPr>
        <w:t xml:space="preserve"> </w:t>
      </w:r>
      <w:r>
        <w:rPr>
          <w:sz w:val="20"/>
        </w:rPr>
        <w:t>asuma</w:t>
      </w:r>
      <w:r>
        <w:rPr>
          <w:spacing w:val="-3"/>
          <w:sz w:val="20"/>
        </w:rPr>
        <w:t xml:space="preserve"> </w:t>
      </w:r>
      <w:r>
        <w:rPr>
          <w:sz w:val="20"/>
        </w:rPr>
        <w:t>el</w:t>
      </w:r>
      <w:r>
        <w:rPr>
          <w:spacing w:val="-3"/>
          <w:sz w:val="20"/>
        </w:rPr>
        <w:t xml:space="preserve"> </w:t>
      </w:r>
      <w:r>
        <w:rPr>
          <w:sz w:val="20"/>
        </w:rPr>
        <w:t>concesionario.</w:t>
      </w:r>
      <w:r>
        <w:rPr>
          <w:spacing w:val="-3"/>
          <w:sz w:val="20"/>
        </w:rPr>
        <w:t xml:space="preserve"> </w:t>
      </w:r>
      <w:r>
        <w:rPr>
          <w:sz w:val="20"/>
        </w:rPr>
        <w:t>En</w:t>
      </w:r>
      <w:r>
        <w:rPr>
          <w:spacing w:val="-3"/>
          <w:sz w:val="20"/>
        </w:rPr>
        <w:t xml:space="preserve"> </w:t>
      </w:r>
      <w:r>
        <w:rPr>
          <w:sz w:val="20"/>
        </w:rPr>
        <w:t>dicha</w:t>
      </w:r>
      <w:r>
        <w:rPr>
          <w:spacing w:val="-3"/>
          <w:sz w:val="20"/>
        </w:rPr>
        <w:t xml:space="preserve"> </w:t>
      </w:r>
      <w:r>
        <w:rPr>
          <w:sz w:val="20"/>
        </w:rPr>
        <w:t>evaluación</w:t>
      </w:r>
      <w:r>
        <w:rPr>
          <w:spacing w:val="-3"/>
          <w:sz w:val="20"/>
        </w:rPr>
        <w:t xml:space="preserve"> </w:t>
      </w:r>
      <w:r>
        <w:rPr>
          <w:sz w:val="20"/>
        </w:rPr>
        <w:t>se</w:t>
      </w:r>
      <w:r>
        <w:rPr>
          <w:spacing w:val="-3"/>
          <w:sz w:val="20"/>
        </w:rPr>
        <w:t xml:space="preserve"> </w:t>
      </w:r>
      <w:r>
        <w:rPr>
          <w:sz w:val="20"/>
        </w:rPr>
        <w:t>tendrá</w:t>
      </w:r>
      <w:r>
        <w:rPr>
          <w:spacing w:val="-3"/>
          <w:sz w:val="20"/>
        </w:rPr>
        <w:t xml:space="preserve"> </w:t>
      </w:r>
      <w:r>
        <w:rPr>
          <w:sz w:val="20"/>
        </w:rPr>
        <w:t>en</w:t>
      </w:r>
      <w:r>
        <w:rPr>
          <w:spacing w:val="-3"/>
          <w:sz w:val="20"/>
        </w:rPr>
        <w:t xml:space="preserve"> </w:t>
      </w:r>
      <w:r>
        <w:rPr>
          <w:sz w:val="20"/>
        </w:rPr>
        <w:t>cuenta</w:t>
      </w:r>
      <w:r>
        <w:rPr>
          <w:spacing w:val="-3"/>
          <w:sz w:val="20"/>
        </w:rPr>
        <w:t xml:space="preserve"> </w:t>
      </w:r>
      <w:r>
        <w:rPr>
          <w:sz w:val="20"/>
        </w:rPr>
        <w:t>la</w:t>
      </w:r>
      <w:r>
        <w:rPr>
          <w:spacing w:val="-3"/>
          <w:sz w:val="20"/>
        </w:rPr>
        <w:t xml:space="preserve"> </w:t>
      </w:r>
      <w:r>
        <w:rPr>
          <w:sz w:val="20"/>
        </w:rPr>
        <w:t>mitigación que</w:t>
      </w:r>
      <w:r>
        <w:rPr>
          <w:spacing w:val="-3"/>
          <w:sz w:val="20"/>
        </w:rPr>
        <w:t xml:space="preserve"> </w:t>
      </w:r>
      <w:r>
        <w:rPr>
          <w:sz w:val="20"/>
        </w:rPr>
        <w:t>las</w:t>
      </w:r>
      <w:r>
        <w:rPr>
          <w:spacing w:val="-3"/>
          <w:sz w:val="20"/>
        </w:rPr>
        <w:t xml:space="preserve"> </w:t>
      </w:r>
      <w:r>
        <w:rPr>
          <w:sz w:val="20"/>
        </w:rPr>
        <w:t>ayudas</w:t>
      </w:r>
      <w:r>
        <w:rPr>
          <w:spacing w:val="-3"/>
          <w:sz w:val="20"/>
        </w:rPr>
        <w:t xml:space="preserve"> </w:t>
      </w:r>
      <w:r>
        <w:rPr>
          <w:sz w:val="20"/>
        </w:rPr>
        <w:t>otorgadas</w:t>
      </w:r>
      <w:r>
        <w:rPr>
          <w:spacing w:val="-3"/>
          <w:sz w:val="20"/>
        </w:rPr>
        <w:t xml:space="preserve"> </w:t>
      </w:r>
      <w:r>
        <w:rPr>
          <w:sz w:val="20"/>
        </w:rPr>
        <w:t>puedan</w:t>
      </w:r>
      <w:r>
        <w:rPr>
          <w:spacing w:val="-3"/>
          <w:sz w:val="20"/>
        </w:rPr>
        <w:t xml:space="preserve"> </w:t>
      </w:r>
      <w:r>
        <w:rPr>
          <w:sz w:val="20"/>
        </w:rPr>
        <w:t>suponer</w:t>
      </w:r>
      <w:r>
        <w:rPr>
          <w:spacing w:val="-3"/>
          <w:sz w:val="20"/>
        </w:rPr>
        <w:t xml:space="preserve"> </w:t>
      </w:r>
      <w:r>
        <w:rPr>
          <w:sz w:val="20"/>
        </w:rPr>
        <w:t>sobre</w:t>
      </w:r>
      <w:r>
        <w:rPr>
          <w:spacing w:val="-3"/>
          <w:sz w:val="20"/>
        </w:rPr>
        <w:t xml:space="preserve"> </w:t>
      </w:r>
      <w:r>
        <w:rPr>
          <w:sz w:val="20"/>
        </w:rPr>
        <w:t>otros</w:t>
      </w:r>
      <w:r>
        <w:rPr>
          <w:spacing w:val="-3"/>
          <w:sz w:val="20"/>
        </w:rPr>
        <w:t xml:space="preserve"> </w:t>
      </w:r>
      <w:r>
        <w:rPr>
          <w:sz w:val="20"/>
        </w:rPr>
        <w:t>riesgos</w:t>
      </w:r>
      <w:r>
        <w:rPr>
          <w:spacing w:val="-3"/>
          <w:sz w:val="20"/>
        </w:rPr>
        <w:t xml:space="preserve"> </w:t>
      </w:r>
      <w:r>
        <w:rPr>
          <w:sz w:val="20"/>
        </w:rPr>
        <w:t>distintos</w:t>
      </w:r>
      <w:r>
        <w:rPr>
          <w:spacing w:val="-3"/>
          <w:sz w:val="20"/>
        </w:rPr>
        <w:t xml:space="preserve"> </w:t>
      </w:r>
      <w:r>
        <w:rPr>
          <w:sz w:val="20"/>
        </w:rPr>
        <w:t>del</w:t>
      </w:r>
      <w:r>
        <w:rPr>
          <w:spacing w:val="-3"/>
          <w:sz w:val="20"/>
        </w:rPr>
        <w:t xml:space="preserve"> </w:t>
      </w:r>
      <w:r>
        <w:rPr>
          <w:sz w:val="20"/>
        </w:rPr>
        <w:t>de</w:t>
      </w:r>
      <w:r>
        <w:rPr>
          <w:spacing w:val="-3"/>
          <w:sz w:val="20"/>
        </w:rPr>
        <w:t xml:space="preserve"> </w:t>
      </w:r>
      <w:r>
        <w:rPr>
          <w:sz w:val="20"/>
        </w:rPr>
        <w:t>demanda,</w:t>
      </w:r>
      <w:r>
        <w:rPr>
          <w:spacing w:val="-3"/>
          <w:sz w:val="20"/>
        </w:rPr>
        <w:t xml:space="preserve"> </w:t>
      </w:r>
      <w:r>
        <w:rPr>
          <w:sz w:val="20"/>
        </w:rPr>
        <w:t>que habitualmente deban ser soportados por los operadores económicos.</w:t>
      </w:r>
    </w:p>
    <w:p w:rsidR="0092635B" w:rsidRDefault="00000000">
      <w:pPr>
        <w:pStyle w:val="Textoindependiente"/>
        <w:spacing w:before="5" w:line="249" w:lineRule="auto"/>
        <w:ind w:right="1104"/>
      </w:pPr>
      <w:r>
        <w:t>En los contratos de concesión de obras en los que el abono de la tarifa concesional se realice por el poder adjudicador, la Oficina evaluará previamente la transferencia del riesgo de demanda al concesionario. Si este no asume completamente dicho riesgo, el informe evaluará la razonabilidad de la rentabilidad en los términos previstos en el párrafo anterior.</w:t>
      </w:r>
    </w:p>
    <w:p w:rsidR="0092635B" w:rsidRDefault="00000000">
      <w:pPr>
        <w:pStyle w:val="Textoindependiente"/>
        <w:spacing w:before="3" w:line="249" w:lineRule="auto"/>
        <w:ind w:right="1103"/>
      </w:pPr>
      <w:r>
        <w:t>En los acuerdos de restablecimiento del equilibrio del contrato, el informe evaluará si las compensaciones financieras establecidas mantienen una rentabilidad razonable según lo dispuesto en el primer párrafo de este apartado.</w:t>
      </w:r>
    </w:p>
    <w:p w:rsidR="0092635B" w:rsidRDefault="00000000">
      <w:pPr>
        <w:pStyle w:val="Prrafodelista"/>
        <w:numPr>
          <w:ilvl w:val="0"/>
          <w:numId w:val="75"/>
        </w:numPr>
        <w:tabs>
          <w:tab w:val="left" w:pos="1672"/>
        </w:tabs>
        <w:spacing w:before="3" w:line="249" w:lineRule="auto"/>
        <w:ind w:right="1105" w:firstLine="340"/>
        <w:jc w:val="both"/>
        <w:rPr>
          <w:sz w:val="20"/>
        </w:rPr>
      </w:pPr>
      <w:r>
        <w:rPr>
          <w:sz w:val="20"/>
        </w:rPr>
        <w:t>Los informes preceptivos serán evacuados en el plazo de treinta días hábiles desde la solicitud del poder adjudicador u otra entidad contratante o nueva aportación de información a</w:t>
      </w:r>
      <w:r>
        <w:rPr>
          <w:spacing w:val="16"/>
          <w:sz w:val="20"/>
        </w:rPr>
        <w:t xml:space="preserve"> </w:t>
      </w:r>
      <w:r>
        <w:rPr>
          <w:sz w:val="20"/>
        </w:rPr>
        <w:t>que</w:t>
      </w:r>
      <w:r>
        <w:rPr>
          <w:spacing w:val="16"/>
          <w:sz w:val="20"/>
        </w:rPr>
        <w:t xml:space="preserve"> </w:t>
      </w:r>
      <w:r>
        <w:rPr>
          <w:sz w:val="20"/>
        </w:rPr>
        <w:t>se</w:t>
      </w:r>
      <w:r>
        <w:rPr>
          <w:spacing w:val="16"/>
          <w:sz w:val="20"/>
        </w:rPr>
        <w:t xml:space="preserve"> </w:t>
      </w:r>
      <w:r>
        <w:rPr>
          <w:sz w:val="20"/>
        </w:rPr>
        <w:t>refiere</w:t>
      </w:r>
      <w:r>
        <w:rPr>
          <w:spacing w:val="16"/>
          <w:sz w:val="20"/>
        </w:rPr>
        <w:t xml:space="preserve"> </w:t>
      </w:r>
      <w:r>
        <w:rPr>
          <w:sz w:val="20"/>
        </w:rPr>
        <w:t>el</w:t>
      </w:r>
      <w:r>
        <w:rPr>
          <w:spacing w:val="16"/>
          <w:sz w:val="20"/>
        </w:rPr>
        <w:t xml:space="preserve"> </w:t>
      </w:r>
      <w:r>
        <w:rPr>
          <w:sz w:val="20"/>
        </w:rPr>
        <w:t>párrafo</w:t>
      </w:r>
      <w:r>
        <w:rPr>
          <w:spacing w:val="16"/>
          <w:sz w:val="20"/>
        </w:rPr>
        <w:t xml:space="preserve"> </w:t>
      </w:r>
      <w:r>
        <w:rPr>
          <w:sz w:val="20"/>
        </w:rPr>
        <w:t>siguiente.</w:t>
      </w:r>
      <w:r>
        <w:rPr>
          <w:spacing w:val="16"/>
          <w:sz w:val="20"/>
        </w:rPr>
        <w:t xml:space="preserve"> </w:t>
      </w:r>
      <w:r>
        <w:rPr>
          <w:sz w:val="20"/>
        </w:rPr>
        <w:t>Este</w:t>
      </w:r>
      <w:r>
        <w:rPr>
          <w:spacing w:val="16"/>
          <w:sz w:val="20"/>
        </w:rPr>
        <w:t xml:space="preserve"> </w:t>
      </w:r>
      <w:r>
        <w:rPr>
          <w:sz w:val="20"/>
        </w:rPr>
        <w:t>plazo</w:t>
      </w:r>
      <w:r>
        <w:rPr>
          <w:spacing w:val="16"/>
          <w:sz w:val="20"/>
        </w:rPr>
        <w:t xml:space="preserve"> </w:t>
      </w:r>
      <w:r>
        <w:rPr>
          <w:sz w:val="20"/>
        </w:rPr>
        <w:t>podrá</w:t>
      </w:r>
      <w:r>
        <w:rPr>
          <w:spacing w:val="16"/>
          <w:sz w:val="20"/>
        </w:rPr>
        <w:t xml:space="preserve"> </w:t>
      </w:r>
      <w:r>
        <w:rPr>
          <w:sz w:val="20"/>
        </w:rPr>
        <w:t>reducirse</w:t>
      </w:r>
      <w:r>
        <w:rPr>
          <w:spacing w:val="16"/>
          <w:sz w:val="20"/>
        </w:rPr>
        <w:t xml:space="preserve"> </w:t>
      </w:r>
      <w:r>
        <w:rPr>
          <w:sz w:val="20"/>
        </w:rPr>
        <w:t>a</w:t>
      </w:r>
      <w:r>
        <w:rPr>
          <w:spacing w:val="16"/>
          <w:sz w:val="20"/>
        </w:rPr>
        <w:t xml:space="preserve"> </w:t>
      </w:r>
      <w:r>
        <w:rPr>
          <w:sz w:val="20"/>
        </w:rPr>
        <w:t>la</w:t>
      </w:r>
      <w:r>
        <w:rPr>
          <w:spacing w:val="16"/>
          <w:sz w:val="20"/>
        </w:rPr>
        <w:t xml:space="preserve"> </w:t>
      </w:r>
      <w:r>
        <w:rPr>
          <w:sz w:val="20"/>
        </w:rPr>
        <w:t>mitad</w:t>
      </w:r>
      <w:r>
        <w:rPr>
          <w:spacing w:val="16"/>
          <w:sz w:val="20"/>
        </w:rPr>
        <w:t xml:space="preserve"> </w:t>
      </w:r>
      <w:r>
        <w:rPr>
          <w:sz w:val="20"/>
        </w:rPr>
        <w:t>siempre</w:t>
      </w:r>
      <w:r>
        <w:rPr>
          <w:spacing w:val="16"/>
          <w:sz w:val="20"/>
        </w:rPr>
        <w:t xml:space="preserve"> </w:t>
      </w:r>
      <w:r>
        <w:rPr>
          <w:sz w:val="20"/>
        </w:rPr>
        <w:t>que</w:t>
      </w:r>
      <w:r>
        <w:rPr>
          <w:spacing w:val="16"/>
          <w:sz w:val="20"/>
        </w:rPr>
        <w:t xml:space="preserve"> </w:t>
      </w:r>
      <w:r>
        <w:rPr>
          <w:sz w:val="20"/>
        </w:rPr>
        <w:t>se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firstLine="0"/>
      </w:pPr>
      <w:r>
        <w:t>justifique en la solicitud las razones de urgencia. Estos informes serán publicados a través</w:t>
      </w:r>
      <w:r>
        <w:rPr>
          <w:spacing w:val="80"/>
        </w:rPr>
        <w:t xml:space="preserve"> </w:t>
      </w:r>
      <w:r>
        <w:t>de la central de información económico-financiera de las Administraciones Públicas dependiente del Ministerio de Hacienda y Función Pública y estarán disponibles para su consulta pública a través de medios electrónicos.</w:t>
      </w:r>
    </w:p>
    <w:p w:rsidR="0092635B" w:rsidRDefault="00000000">
      <w:pPr>
        <w:pStyle w:val="Textoindependiente"/>
        <w:spacing w:before="3" w:line="249" w:lineRule="auto"/>
        <w:ind w:right="1103"/>
      </w:pPr>
      <w:r>
        <w:t>La entidad que formule la solicitud remitirá la información necesaria a la Oficina, quien evacuará su informe sobre la base de la información recibida. Si dicha Oficina considera que la información remitida no es suficiente, no es completa o requiriere alguna aclaración, se dirigirá al poder adjudicador peticionario para que le facilite la información requerida dentro del plazo que esta señale al efecto. La información que reciba la Oficina deberá ser tratada respetando los límites que rigen el acceso a la información confidencial.</w:t>
      </w:r>
    </w:p>
    <w:p w:rsidR="0092635B" w:rsidRDefault="00000000">
      <w:pPr>
        <w:pStyle w:val="Prrafodelista"/>
        <w:numPr>
          <w:ilvl w:val="0"/>
          <w:numId w:val="75"/>
        </w:numPr>
        <w:tabs>
          <w:tab w:val="left" w:pos="1750"/>
        </w:tabs>
        <w:spacing w:before="5" w:line="249" w:lineRule="auto"/>
        <w:ind w:right="1104" w:firstLine="340"/>
        <w:jc w:val="both"/>
        <w:rPr>
          <w:sz w:val="20"/>
        </w:rPr>
      </w:pPr>
      <w:r>
        <w:rPr>
          <w:sz w:val="20"/>
        </w:rPr>
        <w:t>Si la Administración o la entidad destinataria del informe se apartara de las recomendaciones contenidas en un informe preceptivo de la Oficina, deberá motivarlo en un informe que se incorporará al expediente del correspondiente contrato y que será objeto de publicación en su perfil de contratante y en la Plataforma de Contratación del Sector Público. En el caso de la Administración General del Estado esta publicación se hará, además, a través de la central de información económico-financiera de las Administraciones Públicas.</w:t>
      </w:r>
    </w:p>
    <w:p w:rsidR="0092635B" w:rsidRDefault="00000000">
      <w:pPr>
        <w:pStyle w:val="Prrafodelista"/>
        <w:numPr>
          <w:ilvl w:val="0"/>
          <w:numId w:val="75"/>
        </w:numPr>
        <w:tabs>
          <w:tab w:val="left" w:pos="1668"/>
        </w:tabs>
        <w:spacing w:before="5"/>
        <w:ind w:left="1668" w:right="0" w:hanging="222"/>
        <w:jc w:val="both"/>
        <w:rPr>
          <w:sz w:val="20"/>
        </w:rPr>
      </w:pPr>
      <w:r>
        <w:rPr>
          <w:sz w:val="20"/>
        </w:rPr>
        <w:t>La</w:t>
      </w:r>
      <w:r>
        <w:rPr>
          <w:spacing w:val="-5"/>
          <w:sz w:val="20"/>
        </w:rPr>
        <w:t xml:space="preserve"> </w:t>
      </w:r>
      <w:r>
        <w:rPr>
          <w:sz w:val="20"/>
        </w:rPr>
        <w:t>Oficina</w:t>
      </w:r>
      <w:r>
        <w:rPr>
          <w:spacing w:val="-5"/>
          <w:sz w:val="20"/>
        </w:rPr>
        <w:t xml:space="preserve"> </w:t>
      </w:r>
      <w:r>
        <w:rPr>
          <w:sz w:val="20"/>
        </w:rPr>
        <w:t>publicará</w:t>
      </w:r>
      <w:r>
        <w:rPr>
          <w:spacing w:val="-5"/>
          <w:sz w:val="20"/>
        </w:rPr>
        <w:t xml:space="preserve"> </w:t>
      </w:r>
      <w:r>
        <w:rPr>
          <w:sz w:val="20"/>
        </w:rPr>
        <w:t>anualmente</w:t>
      </w:r>
      <w:r>
        <w:rPr>
          <w:spacing w:val="-4"/>
          <w:sz w:val="20"/>
        </w:rPr>
        <w:t xml:space="preserve"> </w:t>
      </w:r>
      <w:r>
        <w:rPr>
          <w:sz w:val="20"/>
        </w:rPr>
        <w:t>una</w:t>
      </w:r>
      <w:r>
        <w:rPr>
          <w:spacing w:val="-5"/>
          <w:sz w:val="20"/>
        </w:rPr>
        <w:t xml:space="preserve"> </w:t>
      </w:r>
      <w:r>
        <w:rPr>
          <w:sz w:val="20"/>
        </w:rPr>
        <w:t>memoria</w:t>
      </w:r>
      <w:r>
        <w:rPr>
          <w:spacing w:val="-5"/>
          <w:sz w:val="20"/>
        </w:rPr>
        <w:t xml:space="preserve"> </w:t>
      </w:r>
      <w:r>
        <w:rPr>
          <w:sz w:val="20"/>
        </w:rPr>
        <w:t>de</w:t>
      </w:r>
      <w:r>
        <w:rPr>
          <w:spacing w:val="-4"/>
          <w:sz w:val="20"/>
        </w:rPr>
        <w:t xml:space="preserve"> </w:t>
      </w:r>
      <w:r>
        <w:rPr>
          <w:spacing w:val="-2"/>
          <w:sz w:val="20"/>
        </w:rPr>
        <w:t>actividad.</w:t>
      </w:r>
    </w:p>
    <w:p w:rsidR="0092635B" w:rsidRDefault="0092635B">
      <w:pPr>
        <w:pStyle w:val="Textoindependiente"/>
        <w:spacing w:before="6"/>
        <w:ind w:left="0" w:firstLine="0"/>
        <w:jc w:val="left"/>
      </w:pPr>
    </w:p>
    <w:p w:rsidR="0092635B" w:rsidRDefault="00000000">
      <w:pPr>
        <w:spacing w:before="1"/>
        <w:ind w:left="1106"/>
        <w:jc w:val="both"/>
        <w:rPr>
          <w:rFonts w:ascii="Arial" w:hAnsi="Arial"/>
          <w:i/>
          <w:sz w:val="20"/>
        </w:rPr>
      </w:pPr>
      <w:bookmarkStart w:id="562" w:name="Artículo_334._Estrategia_Nacional_de_Con"/>
      <w:bookmarkEnd w:id="562"/>
      <w:r>
        <w:rPr>
          <w:rFonts w:ascii="Arial" w:hAnsi="Arial"/>
          <w:b/>
          <w:sz w:val="20"/>
        </w:rPr>
        <w:t>Artículo</w:t>
      </w:r>
      <w:r>
        <w:rPr>
          <w:rFonts w:ascii="Arial" w:hAnsi="Arial"/>
          <w:b/>
          <w:spacing w:val="-5"/>
          <w:sz w:val="20"/>
        </w:rPr>
        <w:t xml:space="preserve"> </w:t>
      </w:r>
      <w:r>
        <w:rPr>
          <w:rFonts w:ascii="Arial" w:hAnsi="Arial"/>
          <w:b/>
          <w:sz w:val="20"/>
        </w:rPr>
        <w:t>334.</w:t>
      </w:r>
      <w:r>
        <w:rPr>
          <w:rFonts w:ascii="Arial" w:hAnsi="Arial"/>
          <w:b/>
          <w:spacing w:val="47"/>
          <w:sz w:val="20"/>
        </w:rPr>
        <w:t xml:space="preserve"> </w:t>
      </w:r>
      <w:r>
        <w:rPr>
          <w:rFonts w:ascii="Arial" w:hAnsi="Arial"/>
          <w:i/>
          <w:sz w:val="20"/>
        </w:rPr>
        <w:t>Estrategia</w:t>
      </w:r>
      <w:r>
        <w:rPr>
          <w:rFonts w:ascii="Arial" w:hAnsi="Arial"/>
          <w:i/>
          <w:spacing w:val="-4"/>
          <w:sz w:val="20"/>
        </w:rPr>
        <w:t xml:space="preserve"> </w:t>
      </w:r>
      <w:r>
        <w:rPr>
          <w:rFonts w:ascii="Arial" w:hAnsi="Arial"/>
          <w:i/>
          <w:sz w:val="20"/>
        </w:rPr>
        <w:t>Nacional</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Contratación</w:t>
      </w:r>
      <w:r>
        <w:rPr>
          <w:rFonts w:ascii="Arial" w:hAnsi="Arial"/>
          <w:i/>
          <w:spacing w:val="-4"/>
          <w:sz w:val="20"/>
        </w:rPr>
        <w:t xml:space="preserve"> </w:t>
      </w:r>
      <w:r>
        <w:rPr>
          <w:rFonts w:ascii="Arial" w:hAnsi="Arial"/>
          <w:i/>
          <w:spacing w:val="-2"/>
          <w:sz w:val="20"/>
        </w:rPr>
        <w:t>Pública.</w:t>
      </w:r>
    </w:p>
    <w:p w:rsidR="0092635B" w:rsidRDefault="00000000">
      <w:pPr>
        <w:pStyle w:val="Prrafodelista"/>
        <w:numPr>
          <w:ilvl w:val="0"/>
          <w:numId w:val="74"/>
        </w:numPr>
        <w:tabs>
          <w:tab w:val="left" w:pos="1699"/>
        </w:tabs>
        <w:spacing w:before="123" w:line="249" w:lineRule="auto"/>
        <w:ind w:firstLine="340"/>
        <w:jc w:val="both"/>
        <w:rPr>
          <w:sz w:val="20"/>
        </w:rPr>
      </w:pPr>
      <w:r>
        <w:rPr>
          <w:sz w:val="20"/>
        </w:rPr>
        <w:t xml:space="preserve">La Estrategia Nacional de Contratación Pública a la que se refieren el artículo 332 apartado 7 en su letra a) y el artículo 333 apartado 3, es el instrumento jurídico vinculante, aprobado por la Oficina Independiente de Regulación y Supervisión de la Contratación, que se basará en el análisis de actuaciones de contratación realizadas por todo el sector público incluyendo todos los poderes adjudicadores y entidades adjudicadoras comprendidas en el sector público estatal, autonómico o local, así como las de otros entes, organismos y entidades pertenecientes a los mismos que no tengan la naturaleza de poderes </w:t>
      </w:r>
      <w:r>
        <w:rPr>
          <w:spacing w:val="-2"/>
          <w:sz w:val="20"/>
        </w:rPr>
        <w:t>adjudicadores.</w:t>
      </w:r>
    </w:p>
    <w:p w:rsidR="0092635B" w:rsidRDefault="00000000">
      <w:pPr>
        <w:pStyle w:val="Textoindependiente"/>
        <w:spacing w:before="7" w:line="249" w:lineRule="auto"/>
        <w:ind w:right="1104"/>
      </w:pPr>
      <w:r>
        <w:t xml:space="preserve">Tendrá un horizonte temporal de cuatro años y abordará, entre otros, los siguientes </w:t>
      </w:r>
      <w:r>
        <w:rPr>
          <w:spacing w:val="-2"/>
        </w:rPr>
        <w:t>aspectos:</w:t>
      </w:r>
    </w:p>
    <w:p w:rsidR="0092635B" w:rsidRDefault="00000000">
      <w:pPr>
        <w:pStyle w:val="Prrafodelista"/>
        <w:numPr>
          <w:ilvl w:val="1"/>
          <w:numId w:val="74"/>
        </w:numPr>
        <w:tabs>
          <w:tab w:val="left" w:pos="1683"/>
        </w:tabs>
        <w:spacing w:before="121" w:line="249" w:lineRule="auto"/>
        <w:ind w:firstLine="340"/>
        <w:jc w:val="both"/>
        <w:rPr>
          <w:sz w:val="20"/>
        </w:rPr>
      </w:pPr>
      <w:r>
        <w:rPr>
          <w:sz w:val="20"/>
        </w:rPr>
        <w:t>El análisis de los datos disponibles, en las distintas fuentes de información cualitativas y cuantitativas: plataformas de contratación nacionales, información abierta de la Unión Europea en materia de contratación pública (TED), informes de órganos de supervisión y control y de asesoramiento legal, para elaborar un diagnóstico de la situación de la contratación pública y proponer medidas prioritarias para la corrección de las disfunciones que se identifiquen.</w:t>
      </w:r>
    </w:p>
    <w:p w:rsidR="0092635B" w:rsidRDefault="00000000">
      <w:pPr>
        <w:pStyle w:val="Textoindependiente"/>
        <w:spacing w:before="5" w:line="249" w:lineRule="auto"/>
        <w:ind w:right="1104"/>
      </w:pPr>
      <w:r>
        <w:t>A tales efectos, las indicadas bases de datos nacionales y los correspondientes órganos de supervisión, control y asesoramiento deberán facilitar la información necesaria para la elaboración, aprobación y ejecución de la mencionada Estrategia.</w:t>
      </w:r>
    </w:p>
    <w:p w:rsidR="0092635B" w:rsidRDefault="00000000">
      <w:pPr>
        <w:pStyle w:val="Textoindependiente"/>
        <w:spacing w:before="3" w:line="249" w:lineRule="auto"/>
        <w:ind w:right="1104"/>
      </w:pPr>
      <w:r>
        <w:t>La Comisión Nacional de los Mercados y la Competencia podrá remitir a la Oficina Independiente de Regulación y Supervisión de la Contratación sus propuestas en materia de contratación pública que afecten a la competencia, para su posible inclusión en la Estrategia Nacional de Contratación Pública.</w:t>
      </w:r>
    </w:p>
    <w:p w:rsidR="0092635B" w:rsidRDefault="00000000">
      <w:pPr>
        <w:pStyle w:val="Prrafodelista"/>
        <w:numPr>
          <w:ilvl w:val="1"/>
          <w:numId w:val="74"/>
        </w:numPr>
        <w:tabs>
          <w:tab w:val="left" w:pos="1746"/>
        </w:tabs>
        <w:spacing w:before="3" w:line="249" w:lineRule="auto"/>
        <w:ind w:right="1104" w:firstLine="340"/>
        <w:jc w:val="both"/>
        <w:rPr>
          <w:sz w:val="20"/>
        </w:rPr>
      </w:pPr>
      <w:r>
        <w:rPr>
          <w:sz w:val="20"/>
        </w:rPr>
        <w:t>La mejora de la supervisión de la contratación pública, coordinando criterios y metodologías comunes para la realización de las actuaciones de supervisión, y</w:t>
      </w:r>
      <w:r>
        <w:rPr>
          <w:spacing w:val="80"/>
          <w:sz w:val="20"/>
        </w:rPr>
        <w:t xml:space="preserve"> </w:t>
      </w:r>
      <w:r>
        <w:rPr>
          <w:sz w:val="20"/>
        </w:rPr>
        <w:t>garantizando, en todo caso, el cumplimiento de las obligaciones de supervisión impuestas por las Directivas de contratación pública y por las instituciones comunitarias.</w:t>
      </w:r>
    </w:p>
    <w:p w:rsidR="0092635B" w:rsidRDefault="00000000">
      <w:pPr>
        <w:pStyle w:val="Textoindependiente"/>
        <w:spacing w:before="3" w:line="249" w:lineRule="auto"/>
        <w:ind w:right="1103"/>
      </w:pPr>
      <w:r>
        <w:t>Contemplará, asimismo, la coherencia de las actuaciones de seguimiento precisas para garantizar la sostenibilidad financiera de los contratos previstos por el artículo 333, para lo que incluirá las estrategias y metodología adecuada para realizar la evaluación con criterios homogéneos y las reglas que deben informar los acuerdos de establecimiento del equilibrio económico de estos contratos.</w:t>
      </w:r>
    </w:p>
    <w:p w:rsidR="0092635B" w:rsidRDefault="00000000">
      <w:pPr>
        <w:pStyle w:val="Prrafodelista"/>
        <w:numPr>
          <w:ilvl w:val="1"/>
          <w:numId w:val="74"/>
        </w:numPr>
        <w:tabs>
          <w:tab w:val="left" w:pos="1724"/>
        </w:tabs>
        <w:spacing w:before="4" w:line="249" w:lineRule="auto"/>
        <w:ind w:firstLine="340"/>
        <w:jc w:val="both"/>
        <w:rPr>
          <w:sz w:val="20"/>
        </w:rPr>
      </w:pPr>
      <w:r>
        <w:rPr>
          <w:sz w:val="20"/>
        </w:rPr>
        <w:t>El análisis de los mecanismos de control de legalidad ex-ante y ex-post de los procedimientos de adjudicación de contratos públicos y concesiones en todo el sector público. Se preverán actuaciones con vistas a reforzar dichos mecanismos de control entre otras, mediante la definición de objetivos y prioridades, así como la propuesta de reasignación de efectivos encargados de dichos controles. Igualmente, se analizarán los procedimientos</w:t>
      </w:r>
      <w:r>
        <w:rPr>
          <w:spacing w:val="3"/>
          <w:sz w:val="20"/>
        </w:rPr>
        <w:t xml:space="preserve"> </w:t>
      </w:r>
      <w:r>
        <w:rPr>
          <w:sz w:val="20"/>
        </w:rPr>
        <w:t>establecidos</w:t>
      </w:r>
      <w:r>
        <w:rPr>
          <w:spacing w:val="4"/>
          <w:sz w:val="20"/>
        </w:rPr>
        <w:t xml:space="preserve"> </w:t>
      </w:r>
      <w:r>
        <w:rPr>
          <w:sz w:val="20"/>
        </w:rPr>
        <w:t>para</w:t>
      </w:r>
      <w:r>
        <w:rPr>
          <w:spacing w:val="4"/>
          <w:sz w:val="20"/>
        </w:rPr>
        <w:t xml:space="preserve"> </w:t>
      </w:r>
      <w:r>
        <w:rPr>
          <w:sz w:val="20"/>
        </w:rPr>
        <w:t>identificar</w:t>
      </w:r>
      <w:r>
        <w:rPr>
          <w:spacing w:val="4"/>
          <w:sz w:val="20"/>
        </w:rPr>
        <w:t xml:space="preserve"> </w:t>
      </w:r>
      <w:r>
        <w:rPr>
          <w:sz w:val="20"/>
        </w:rPr>
        <w:t>las</w:t>
      </w:r>
      <w:r>
        <w:rPr>
          <w:spacing w:val="4"/>
          <w:sz w:val="20"/>
        </w:rPr>
        <w:t xml:space="preserve"> </w:t>
      </w:r>
      <w:r>
        <w:rPr>
          <w:sz w:val="20"/>
        </w:rPr>
        <w:t>irregularidades</w:t>
      </w:r>
      <w:r>
        <w:rPr>
          <w:spacing w:val="3"/>
          <w:sz w:val="20"/>
        </w:rPr>
        <w:t xml:space="preserve"> </w:t>
      </w:r>
      <w:r>
        <w:rPr>
          <w:sz w:val="20"/>
        </w:rPr>
        <w:t>en</w:t>
      </w:r>
      <w:r>
        <w:rPr>
          <w:spacing w:val="4"/>
          <w:sz w:val="20"/>
        </w:rPr>
        <w:t xml:space="preserve"> </w:t>
      </w:r>
      <w:r>
        <w:rPr>
          <w:sz w:val="20"/>
        </w:rPr>
        <w:t>las</w:t>
      </w:r>
      <w:r>
        <w:rPr>
          <w:spacing w:val="4"/>
          <w:sz w:val="20"/>
        </w:rPr>
        <w:t xml:space="preserve"> </w:t>
      </w:r>
      <w:r>
        <w:rPr>
          <w:sz w:val="20"/>
        </w:rPr>
        <w:t>que</w:t>
      </w:r>
      <w:r>
        <w:rPr>
          <w:spacing w:val="4"/>
          <w:sz w:val="20"/>
        </w:rPr>
        <w:t xml:space="preserve"> </w:t>
      </w:r>
      <w:r>
        <w:rPr>
          <w:sz w:val="20"/>
        </w:rPr>
        <w:t>se</w:t>
      </w:r>
      <w:r>
        <w:rPr>
          <w:spacing w:val="4"/>
          <w:sz w:val="20"/>
        </w:rPr>
        <w:t xml:space="preserve"> </w:t>
      </w:r>
      <w:r>
        <w:rPr>
          <w:sz w:val="20"/>
        </w:rPr>
        <w:t>pudiera</w:t>
      </w:r>
      <w:r>
        <w:rPr>
          <w:spacing w:val="4"/>
          <w:sz w:val="20"/>
        </w:rPr>
        <w:t xml:space="preserve"> </w:t>
      </w:r>
      <w:r>
        <w:rPr>
          <w:spacing w:val="-2"/>
          <w:sz w:val="20"/>
        </w:rPr>
        <w:t>incurrir</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 xml:space="preserve">y el desarrollo de las medidas correctoras que deban aplicarse por los responsables de la </w:t>
      </w:r>
      <w:r>
        <w:rPr>
          <w:spacing w:val="-2"/>
        </w:rPr>
        <w:t>gestión.</w:t>
      </w:r>
    </w:p>
    <w:p w:rsidR="0092635B" w:rsidRDefault="00000000">
      <w:pPr>
        <w:pStyle w:val="Prrafodelista"/>
        <w:numPr>
          <w:ilvl w:val="1"/>
          <w:numId w:val="74"/>
        </w:numPr>
        <w:tabs>
          <w:tab w:val="left" w:pos="1780"/>
        </w:tabs>
        <w:spacing w:before="1" w:line="249" w:lineRule="auto"/>
        <w:ind w:firstLine="340"/>
        <w:jc w:val="both"/>
        <w:rPr>
          <w:sz w:val="20"/>
        </w:rPr>
      </w:pPr>
      <w:r>
        <w:rPr>
          <w:sz w:val="20"/>
        </w:rPr>
        <w:t>La elaboración de manuales de buenas prácticas o guías que establezcan recomendaciones para aplicar en los procedimientos de contratación, que permitan preventivamente evitar la posible realización de malas prácticas en los mismos.</w:t>
      </w:r>
    </w:p>
    <w:p w:rsidR="0092635B" w:rsidRDefault="00000000">
      <w:pPr>
        <w:pStyle w:val="Prrafodelista"/>
        <w:numPr>
          <w:ilvl w:val="1"/>
          <w:numId w:val="74"/>
        </w:numPr>
        <w:tabs>
          <w:tab w:val="left" w:pos="1742"/>
        </w:tabs>
        <w:spacing w:before="3" w:line="249" w:lineRule="auto"/>
        <w:ind w:right="1104" w:firstLine="340"/>
        <w:jc w:val="both"/>
        <w:rPr>
          <w:sz w:val="20"/>
        </w:rPr>
      </w:pPr>
      <w:r>
        <w:rPr>
          <w:sz w:val="20"/>
        </w:rPr>
        <w:t>Promover la profesionalización en contratación pública mediante actuaciones de formación del personal del sector público, especialmente en aquellas entidades que carecen de</w:t>
      </w:r>
      <w:r>
        <w:rPr>
          <w:spacing w:val="-2"/>
          <w:sz w:val="20"/>
        </w:rPr>
        <w:t xml:space="preserve"> </w:t>
      </w:r>
      <w:r>
        <w:rPr>
          <w:sz w:val="20"/>
        </w:rPr>
        <w:t>personal</w:t>
      </w:r>
      <w:r>
        <w:rPr>
          <w:spacing w:val="-2"/>
          <w:sz w:val="20"/>
        </w:rPr>
        <w:t xml:space="preserve"> </w:t>
      </w:r>
      <w:r>
        <w:rPr>
          <w:sz w:val="20"/>
        </w:rPr>
        <w:t>especializado,</w:t>
      </w:r>
      <w:r>
        <w:rPr>
          <w:spacing w:val="-2"/>
          <w:sz w:val="20"/>
        </w:rPr>
        <w:t xml:space="preserve"> </w:t>
      </w:r>
      <w:r>
        <w:rPr>
          <w:sz w:val="20"/>
        </w:rPr>
        <w:t>mediante</w:t>
      </w:r>
      <w:r>
        <w:rPr>
          <w:spacing w:val="-2"/>
          <w:sz w:val="20"/>
        </w:rPr>
        <w:t xml:space="preserve"> </w:t>
      </w:r>
      <w:r>
        <w:rPr>
          <w:sz w:val="20"/>
        </w:rPr>
        <w:t>el</w:t>
      </w:r>
      <w:r>
        <w:rPr>
          <w:spacing w:val="-2"/>
          <w:sz w:val="20"/>
        </w:rPr>
        <w:t xml:space="preserve"> </w:t>
      </w:r>
      <w:r>
        <w:rPr>
          <w:sz w:val="20"/>
        </w:rPr>
        <w:t>diseño</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plan</w:t>
      </w:r>
      <w:r>
        <w:rPr>
          <w:spacing w:val="-2"/>
          <w:sz w:val="20"/>
        </w:rPr>
        <w:t xml:space="preserve"> </w:t>
      </w:r>
      <w:r>
        <w:rPr>
          <w:sz w:val="20"/>
        </w:rPr>
        <w:t>específico</w:t>
      </w:r>
      <w:r>
        <w:rPr>
          <w:spacing w:val="-2"/>
          <w:sz w:val="20"/>
        </w:rPr>
        <w:t xml:space="preserve"> </w:t>
      </w:r>
      <w:r>
        <w:rPr>
          <w:sz w:val="20"/>
        </w:rPr>
        <w:t>en</w:t>
      </w:r>
      <w:r>
        <w:rPr>
          <w:spacing w:val="-2"/>
          <w:sz w:val="20"/>
        </w:rPr>
        <w:t xml:space="preserve"> </w:t>
      </w:r>
      <w:r>
        <w:rPr>
          <w:sz w:val="20"/>
        </w:rPr>
        <w:t>materia</w:t>
      </w:r>
      <w:r>
        <w:rPr>
          <w:spacing w:val="-2"/>
          <w:sz w:val="20"/>
        </w:rPr>
        <w:t xml:space="preserve"> </w:t>
      </w:r>
      <w:r>
        <w:rPr>
          <w:sz w:val="20"/>
        </w:rPr>
        <w:t>de</w:t>
      </w:r>
      <w:r>
        <w:rPr>
          <w:spacing w:val="-2"/>
          <w:sz w:val="20"/>
        </w:rPr>
        <w:t xml:space="preserve"> </w:t>
      </w:r>
      <w:r>
        <w:rPr>
          <w:sz w:val="20"/>
        </w:rPr>
        <w:t>formación en contratación pública y otras actuaciones complementarias de promoción de la profesionalización en la contratación pública.</w:t>
      </w:r>
    </w:p>
    <w:p w:rsidR="0092635B" w:rsidRDefault="00000000">
      <w:pPr>
        <w:pStyle w:val="Prrafodelista"/>
        <w:numPr>
          <w:ilvl w:val="0"/>
          <w:numId w:val="74"/>
        </w:numPr>
        <w:tabs>
          <w:tab w:val="left" w:pos="1685"/>
        </w:tabs>
        <w:spacing w:before="124" w:line="249" w:lineRule="auto"/>
        <w:ind w:right="1106" w:firstLine="340"/>
        <w:jc w:val="both"/>
        <w:rPr>
          <w:sz w:val="20"/>
        </w:rPr>
      </w:pPr>
      <w:r>
        <w:rPr>
          <w:sz w:val="20"/>
        </w:rPr>
        <w:t>La Estrategia Nacional de Contratación Pública se diseñará para establecer medidas que permitan cumplir los siguientes objetivos:</w:t>
      </w:r>
    </w:p>
    <w:p w:rsidR="0092635B" w:rsidRDefault="00000000">
      <w:pPr>
        <w:pStyle w:val="Prrafodelista"/>
        <w:numPr>
          <w:ilvl w:val="1"/>
          <w:numId w:val="74"/>
        </w:numPr>
        <w:tabs>
          <w:tab w:val="left" w:pos="1707"/>
        </w:tabs>
        <w:spacing w:before="121" w:line="249" w:lineRule="auto"/>
        <w:ind w:right="1105" w:firstLine="340"/>
        <w:jc w:val="both"/>
        <w:rPr>
          <w:sz w:val="20"/>
        </w:rPr>
      </w:pPr>
      <w:r>
        <w:rPr>
          <w:sz w:val="20"/>
        </w:rPr>
        <w:t>Combatir la corrupción y las irregularidades en la aplicación de la legislación sobre contratación pública.</w:t>
      </w:r>
    </w:p>
    <w:p w:rsidR="0092635B" w:rsidRDefault="00000000">
      <w:pPr>
        <w:pStyle w:val="Prrafodelista"/>
        <w:numPr>
          <w:ilvl w:val="1"/>
          <w:numId w:val="74"/>
        </w:numPr>
        <w:tabs>
          <w:tab w:val="left" w:pos="1744"/>
        </w:tabs>
        <w:spacing w:line="249" w:lineRule="auto"/>
        <w:ind w:right="1105" w:firstLine="340"/>
        <w:jc w:val="both"/>
        <w:rPr>
          <w:sz w:val="20"/>
        </w:rPr>
      </w:pPr>
      <w:r>
        <w:rPr>
          <w:sz w:val="20"/>
        </w:rPr>
        <w:t>Incrementar la profesionalización de los agentes públicos que participan en los procesos de contratación.</w:t>
      </w:r>
    </w:p>
    <w:p w:rsidR="0092635B" w:rsidRDefault="00000000">
      <w:pPr>
        <w:pStyle w:val="Prrafodelista"/>
        <w:numPr>
          <w:ilvl w:val="1"/>
          <w:numId w:val="74"/>
        </w:numPr>
        <w:tabs>
          <w:tab w:val="left" w:pos="1675"/>
        </w:tabs>
        <w:spacing w:line="249" w:lineRule="auto"/>
        <w:ind w:firstLine="340"/>
        <w:jc w:val="both"/>
        <w:rPr>
          <w:sz w:val="20"/>
        </w:rPr>
      </w:pPr>
      <w:r>
        <w:rPr>
          <w:sz w:val="20"/>
        </w:rPr>
        <w:t>Promover la eficiencia económica en los procesos de obtención de bienes, servicios y suministros para el sector público, estimulando la agregación de la demanda y la adecuada utilización de criterios de adjudicación.</w:t>
      </w:r>
    </w:p>
    <w:p w:rsidR="0092635B" w:rsidRDefault="00000000">
      <w:pPr>
        <w:pStyle w:val="Prrafodelista"/>
        <w:numPr>
          <w:ilvl w:val="1"/>
          <w:numId w:val="74"/>
        </w:numPr>
        <w:tabs>
          <w:tab w:val="left" w:pos="1679"/>
        </w:tabs>
        <w:ind w:left="1679" w:right="0" w:hanging="233"/>
        <w:jc w:val="both"/>
        <w:rPr>
          <w:sz w:val="20"/>
        </w:rPr>
      </w:pPr>
      <w:r>
        <w:rPr>
          <w:sz w:val="20"/>
        </w:rPr>
        <w:t>Generalizar</w:t>
      </w:r>
      <w:r>
        <w:rPr>
          <w:spacing w:val="-3"/>
          <w:sz w:val="20"/>
        </w:rPr>
        <w:t xml:space="preserve"> </w:t>
      </w:r>
      <w:r>
        <w:rPr>
          <w:sz w:val="20"/>
        </w:rPr>
        <w:t>el</w:t>
      </w:r>
      <w:r>
        <w:rPr>
          <w:spacing w:val="-2"/>
          <w:sz w:val="20"/>
        </w:rPr>
        <w:t xml:space="preserve"> </w:t>
      </w:r>
      <w:r>
        <w:rPr>
          <w:sz w:val="20"/>
        </w:rPr>
        <w:t>uso</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contratación</w:t>
      </w:r>
      <w:r>
        <w:rPr>
          <w:spacing w:val="-2"/>
          <w:sz w:val="20"/>
        </w:rPr>
        <w:t xml:space="preserve"> </w:t>
      </w:r>
      <w:r>
        <w:rPr>
          <w:sz w:val="20"/>
        </w:rPr>
        <w:t>electrónica</w:t>
      </w:r>
      <w:r>
        <w:rPr>
          <w:spacing w:val="-2"/>
          <w:sz w:val="20"/>
        </w:rPr>
        <w:t xml:space="preserve"> </w:t>
      </w:r>
      <w:r>
        <w:rPr>
          <w:sz w:val="20"/>
        </w:rPr>
        <w:t>en</w:t>
      </w:r>
      <w:r>
        <w:rPr>
          <w:spacing w:val="-3"/>
          <w:sz w:val="20"/>
        </w:rPr>
        <w:t xml:space="preserve"> </w:t>
      </w:r>
      <w:r>
        <w:rPr>
          <w:sz w:val="20"/>
        </w:rPr>
        <w:t>todas</w:t>
      </w:r>
      <w:r>
        <w:rPr>
          <w:spacing w:val="-2"/>
          <w:sz w:val="20"/>
        </w:rPr>
        <w:t xml:space="preserve"> </w:t>
      </w:r>
      <w:r>
        <w:rPr>
          <w:sz w:val="20"/>
        </w:rPr>
        <w:t>las</w:t>
      </w:r>
      <w:r>
        <w:rPr>
          <w:spacing w:val="-3"/>
          <w:sz w:val="20"/>
        </w:rPr>
        <w:t xml:space="preserve"> </w:t>
      </w:r>
      <w:r>
        <w:rPr>
          <w:sz w:val="20"/>
        </w:rPr>
        <w:t>fases</w:t>
      </w:r>
      <w:r>
        <w:rPr>
          <w:spacing w:val="-2"/>
          <w:sz w:val="20"/>
        </w:rPr>
        <w:t xml:space="preserve"> </w:t>
      </w:r>
      <w:r>
        <w:rPr>
          <w:sz w:val="20"/>
        </w:rPr>
        <w:t>del</w:t>
      </w:r>
      <w:r>
        <w:rPr>
          <w:spacing w:val="-2"/>
          <w:sz w:val="20"/>
        </w:rPr>
        <w:t xml:space="preserve"> procedimiento.</w:t>
      </w:r>
    </w:p>
    <w:p w:rsidR="0092635B" w:rsidRDefault="00000000">
      <w:pPr>
        <w:pStyle w:val="Prrafodelista"/>
        <w:numPr>
          <w:ilvl w:val="1"/>
          <w:numId w:val="74"/>
        </w:numPr>
        <w:tabs>
          <w:tab w:val="left" w:pos="1692"/>
        </w:tabs>
        <w:spacing w:before="10" w:line="249" w:lineRule="auto"/>
        <w:ind w:right="1105" w:firstLine="340"/>
        <w:jc w:val="both"/>
        <w:rPr>
          <w:sz w:val="20"/>
        </w:rPr>
      </w:pPr>
      <w:r>
        <w:rPr>
          <w:sz w:val="20"/>
        </w:rPr>
        <w:t>Utilizar las posibilidades de la contratación pública para apoyar políticas ambientales, sociales y de innovación.</w:t>
      </w:r>
    </w:p>
    <w:p w:rsidR="0092635B" w:rsidRDefault="00000000">
      <w:pPr>
        <w:pStyle w:val="Prrafodelista"/>
        <w:numPr>
          <w:ilvl w:val="1"/>
          <w:numId w:val="74"/>
        </w:numPr>
        <w:tabs>
          <w:tab w:val="left" w:pos="1623"/>
        </w:tabs>
        <w:ind w:left="1623" w:right="0" w:hanging="177"/>
        <w:jc w:val="both"/>
        <w:rPr>
          <w:sz w:val="20"/>
        </w:rPr>
      </w:pPr>
      <w:r>
        <w:rPr>
          <w:sz w:val="20"/>
        </w:rPr>
        <w:t>Promover</w:t>
      </w:r>
      <w:r>
        <w:rPr>
          <w:spacing w:val="-5"/>
          <w:sz w:val="20"/>
        </w:rPr>
        <w:t xml:space="preserve"> </w:t>
      </w:r>
      <w:r>
        <w:rPr>
          <w:sz w:val="20"/>
        </w:rPr>
        <w:t>la</w:t>
      </w:r>
      <w:r>
        <w:rPr>
          <w:spacing w:val="-3"/>
          <w:sz w:val="20"/>
        </w:rPr>
        <w:t xml:space="preserve"> </w:t>
      </w:r>
      <w:r>
        <w:rPr>
          <w:sz w:val="20"/>
        </w:rPr>
        <w:t>participación</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PYME,</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mercado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contratación</w:t>
      </w:r>
      <w:r>
        <w:rPr>
          <w:spacing w:val="-2"/>
          <w:sz w:val="20"/>
        </w:rPr>
        <w:t xml:space="preserve"> pública.</w:t>
      </w:r>
    </w:p>
    <w:p w:rsidR="0092635B" w:rsidRDefault="00000000">
      <w:pPr>
        <w:pStyle w:val="Prrafodelista"/>
        <w:numPr>
          <w:ilvl w:val="0"/>
          <w:numId w:val="74"/>
        </w:numPr>
        <w:tabs>
          <w:tab w:val="left" w:pos="1679"/>
        </w:tabs>
        <w:spacing w:before="130"/>
        <w:ind w:left="1679" w:right="0" w:hanging="233"/>
        <w:jc w:val="both"/>
        <w:rPr>
          <w:sz w:val="20"/>
        </w:rPr>
      </w:pPr>
      <w:r>
        <w:rPr>
          <w:sz w:val="20"/>
        </w:rPr>
        <w:t>Los</w:t>
      </w:r>
      <w:r>
        <w:rPr>
          <w:spacing w:val="9"/>
          <w:sz w:val="20"/>
        </w:rPr>
        <w:t xml:space="preserve"> </w:t>
      </w:r>
      <w:r>
        <w:rPr>
          <w:sz w:val="20"/>
        </w:rPr>
        <w:t>funcionarios</w:t>
      </w:r>
      <w:r>
        <w:rPr>
          <w:spacing w:val="9"/>
          <w:sz w:val="20"/>
        </w:rPr>
        <w:t xml:space="preserve"> </w:t>
      </w:r>
      <w:r>
        <w:rPr>
          <w:sz w:val="20"/>
        </w:rPr>
        <w:t>que</w:t>
      </w:r>
      <w:r>
        <w:rPr>
          <w:spacing w:val="10"/>
          <w:sz w:val="20"/>
        </w:rPr>
        <w:t xml:space="preserve"> </w:t>
      </w:r>
      <w:r>
        <w:rPr>
          <w:sz w:val="20"/>
        </w:rPr>
        <w:t>realicen</w:t>
      </w:r>
      <w:r>
        <w:rPr>
          <w:spacing w:val="9"/>
          <w:sz w:val="20"/>
        </w:rPr>
        <w:t xml:space="preserve"> </w:t>
      </w:r>
      <w:r>
        <w:rPr>
          <w:sz w:val="20"/>
        </w:rPr>
        <w:t>las</w:t>
      </w:r>
      <w:r>
        <w:rPr>
          <w:spacing w:val="9"/>
          <w:sz w:val="20"/>
        </w:rPr>
        <w:t xml:space="preserve"> </w:t>
      </w:r>
      <w:r>
        <w:rPr>
          <w:sz w:val="20"/>
        </w:rPr>
        <w:t>funciones</w:t>
      </w:r>
      <w:r>
        <w:rPr>
          <w:spacing w:val="10"/>
          <w:sz w:val="20"/>
        </w:rPr>
        <w:t xml:space="preserve"> </w:t>
      </w:r>
      <w:r>
        <w:rPr>
          <w:sz w:val="20"/>
        </w:rPr>
        <w:t>de</w:t>
      </w:r>
      <w:r>
        <w:rPr>
          <w:spacing w:val="9"/>
          <w:sz w:val="20"/>
        </w:rPr>
        <w:t xml:space="preserve"> </w:t>
      </w:r>
      <w:r>
        <w:rPr>
          <w:sz w:val="20"/>
        </w:rPr>
        <w:t>supervisión</w:t>
      </w:r>
      <w:r>
        <w:rPr>
          <w:spacing w:val="10"/>
          <w:sz w:val="20"/>
        </w:rPr>
        <w:t xml:space="preserve"> </w:t>
      </w:r>
      <w:r>
        <w:rPr>
          <w:sz w:val="20"/>
        </w:rPr>
        <w:t>previstas</w:t>
      </w:r>
      <w:r>
        <w:rPr>
          <w:spacing w:val="9"/>
          <w:sz w:val="20"/>
        </w:rPr>
        <w:t xml:space="preserve"> </w:t>
      </w:r>
      <w:r>
        <w:rPr>
          <w:sz w:val="20"/>
        </w:rPr>
        <w:t>en</w:t>
      </w:r>
      <w:r>
        <w:rPr>
          <w:spacing w:val="9"/>
          <w:sz w:val="20"/>
        </w:rPr>
        <w:t xml:space="preserve"> </w:t>
      </w:r>
      <w:r>
        <w:rPr>
          <w:sz w:val="20"/>
        </w:rPr>
        <w:t>las</w:t>
      </w:r>
      <w:r>
        <w:rPr>
          <w:spacing w:val="10"/>
          <w:sz w:val="20"/>
        </w:rPr>
        <w:t xml:space="preserve"> </w:t>
      </w:r>
      <w:r>
        <w:rPr>
          <w:sz w:val="20"/>
        </w:rPr>
        <w:t>letras</w:t>
      </w:r>
      <w:r>
        <w:rPr>
          <w:spacing w:val="9"/>
          <w:sz w:val="20"/>
        </w:rPr>
        <w:t xml:space="preserve"> </w:t>
      </w:r>
      <w:r>
        <w:rPr>
          <w:sz w:val="20"/>
        </w:rPr>
        <w:t>b)</w:t>
      </w:r>
      <w:r>
        <w:rPr>
          <w:spacing w:val="10"/>
          <w:sz w:val="20"/>
        </w:rPr>
        <w:t xml:space="preserve"> </w:t>
      </w:r>
      <w:r>
        <w:rPr>
          <w:spacing w:val="-10"/>
          <w:sz w:val="20"/>
        </w:rPr>
        <w:t>y</w:t>
      </w:r>
    </w:p>
    <w:p w:rsidR="0092635B" w:rsidRDefault="00000000">
      <w:pPr>
        <w:pStyle w:val="Textoindependiente"/>
        <w:spacing w:before="10" w:line="249" w:lineRule="auto"/>
        <w:ind w:right="1107" w:firstLine="0"/>
      </w:pPr>
      <w:r>
        <w:t>c) del apartado primero de este artículo gozarán de independencia funcional respecto de los titulares de los órganos cuyos contratos supervisen.</w:t>
      </w:r>
    </w:p>
    <w:p w:rsidR="0092635B" w:rsidRDefault="00000000">
      <w:pPr>
        <w:pStyle w:val="Textoindependiente"/>
        <w:spacing w:line="249" w:lineRule="auto"/>
        <w:ind w:right="1103"/>
      </w:pPr>
      <w:r>
        <w:t>Las autoridades, cualquiera que sea su naturaleza, los jefes o directores de oficinas públicas, los de las entidades integrantes del sector público y quienes en general, ejerzan funciones públicas o desarrollen su trabajo en dichas entidades deberán prestar a los funcionarios encargados de la supervisión de los contratos el apoyo, concurso, auxilio y colaboración que les sean precisos, facilitando la documentación e información necesaria para dicha supervisión.</w:t>
      </w:r>
    </w:p>
    <w:p w:rsidR="0092635B" w:rsidRDefault="00000000">
      <w:pPr>
        <w:pStyle w:val="Prrafodelista"/>
        <w:numPr>
          <w:ilvl w:val="0"/>
          <w:numId w:val="74"/>
        </w:numPr>
        <w:tabs>
          <w:tab w:val="left" w:pos="1678"/>
        </w:tabs>
        <w:spacing w:before="4" w:line="249" w:lineRule="auto"/>
        <w:ind w:right="1104" w:firstLine="340"/>
        <w:jc w:val="both"/>
        <w:rPr>
          <w:sz w:val="20"/>
        </w:rPr>
      </w:pPr>
      <w:r>
        <w:rPr>
          <w:sz w:val="20"/>
        </w:rPr>
        <w:t xml:space="preserve">Tras la elevación de su propuesta de Estrategia Nacional de Contratación Pública por el Comité de cooperación en materia de contratación pública y su aprobación por la Oficina Independiente de Regulación y Supervisión de la Contratación, se remitirá a la Comisión Europea. Por su parte, el Consejo de Ministros, a propuesta del Ministerio de Hacienda y Función Pública, tomará conocimiento de la misma y la elevará para conocimiento a las Cortes Generales. Transcurrido un mes desde la remisión a la Comisión Europea de la Estrategia aprobada por la Oficina Independiente de Regulación y Supervisión de la Contratación se hará público su contenido en la Plataforma de Contratación del Sector </w:t>
      </w:r>
      <w:r>
        <w:rPr>
          <w:spacing w:val="-2"/>
          <w:sz w:val="20"/>
        </w:rPr>
        <w:t>Público.</w:t>
      </w:r>
    </w:p>
    <w:p w:rsidR="0092635B" w:rsidRDefault="00000000">
      <w:pPr>
        <w:pStyle w:val="Prrafodelista"/>
        <w:numPr>
          <w:ilvl w:val="0"/>
          <w:numId w:val="74"/>
        </w:numPr>
        <w:tabs>
          <w:tab w:val="left" w:pos="1697"/>
        </w:tabs>
        <w:spacing w:before="8" w:line="249" w:lineRule="auto"/>
        <w:ind w:right="1104" w:firstLine="340"/>
        <w:jc w:val="both"/>
        <w:rPr>
          <w:sz w:val="20"/>
        </w:rPr>
      </w:pPr>
      <w:r>
        <w:rPr>
          <w:sz w:val="20"/>
        </w:rPr>
        <w:t>El Comité de cooperación en materia de contratación pública, transcurridos los dos primeros años de la aprobación de la Estrategia, hará una primera valoración de la</w:t>
      </w:r>
      <w:r>
        <w:rPr>
          <w:spacing w:val="80"/>
          <w:sz w:val="20"/>
        </w:rPr>
        <w:t xml:space="preserve"> </w:t>
      </w:r>
      <w:r>
        <w:rPr>
          <w:sz w:val="20"/>
        </w:rPr>
        <w:t>aplicación de la misma, pudiéndose modificar o ajustar aquellos aspectos de la Estrategia que resultaran necesarios al objeto de conseguir los objetivos perseguidos por la misma. Tras ello, elevará tales modificaciones o ajustes a la Oficina Independiente de Regulación y Supervisión de la Contratación para su aprobación. Dichas modificaciones o ajustes serán objeto de publicación dentro del mes siguiente a su aprobación.</w:t>
      </w:r>
    </w:p>
    <w:p w:rsidR="0092635B" w:rsidRDefault="00000000">
      <w:pPr>
        <w:pStyle w:val="Prrafodelista"/>
        <w:numPr>
          <w:ilvl w:val="0"/>
          <w:numId w:val="74"/>
        </w:numPr>
        <w:tabs>
          <w:tab w:val="left" w:pos="1689"/>
        </w:tabs>
        <w:spacing w:before="6" w:line="249" w:lineRule="auto"/>
        <w:ind w:right="1104" w:firstLine="340"/>
        <w:jc w:val="both"/>
        <w:rPr>
          <w:sz w:val="20"/>
        </w:rPr>
      </w:pPr>
      <w:r>
        <w:rPr>
          <w:sz w:val="20"/>
        </w:rPr>
        <w:t>Finalizado el ámbito temporal de la Estrategia, el Comité de cooperación en materia</w:t>
      </w:r>
      <w:r>
        <w:rPr>
          <w:spacing w:val="40"/>
          <w:sz w:val="20"/>
        </w:rPr>
        <w:t xml:space="preserve"> </w:t>
      </w:r>
      <w:r>
        <w:rPr>
          <w:sz w:val="20"/>
        </w:rPr>
        <w:t>de contratación pública elaborará un informe sobre los resultados de la aplicación de la misma. El informe se comunicará a la Oficina Independiente de Regulación y Supervisión de la Contratación y a la Junta Consultiva de Contratación Pública del Estado que lo remitirá a</w:t>
      </w:r>
      <w:r>
        <w:rPr>
          <w:spacing w:val="40"/>
          <w:sz w:val="20"/>
        </w:rPr>
        <w:t xml:space="preserve"> </w:t>
      </w:r>
      <w:r>
        <w:rPr>
          <w:sz w:val="20"/>
        </w:rPr>
        <w:t>la Comisión Europea y lo pondrá en conocimiento de la Comisión Nacional de los Mercados</w:t>
      </w:r>
      <w:r>
        <w:rPr>
          <w:spacing w:val="40"/>
          <w:sz w:val="20"/>
        </w:rPr>
        <w:t xml:space="preserve"> </w:t>
      </w:r>
      <w:r>
        <w:rPr>
          <w:sz w:val="20"/>
        </w:rPr>
        <w:t xml:space="preserve">y la Competencia, haciendo público su contenido en el plazo de un mes desde dicha </w:t>
      </w:r>
      <w:r>
        <w:rPr>
          <w:spacing w:val="-2"/>
          <w:sz w:val="20"/>
        </w:rPr>
        <w:t>remisión.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pPr>
      <w:r>
        <w:t xml:space="preserve">Por su parte, el Consejo de Ministros, a propuesta del Ministerio de Hacienda y Función Pública, tomará conocimiento del informe y lo elevará para conocimiento a las Cortes </w:t>
      </w:r>
      <w:r>
        <w:rPr>
          <w:spacing w:val="-2"/>
        </w:rPr>
        <w:t>Generales.</w:t>
      </w:r>
    </w:p>
    <w:p w:rsidR="0092635B" w:rsidRDefault="00000000">
      <w:pPr>
        <w:pStyle w:val="Textoindependiente"/>
        <w:spacing w:line="249" w:lineRule="auto"/>
        <w:ind w:right="1104"/>
      </w:pPr>
      <w:r>
        <w:t>El informe servirá para la definición y aprobación de una nueva Estrategia Nacional de Contratación, por el mismo procedimiento y con las mismas características y duración mencionadas en este artículo. La nueva Estrategia será aprobada en el plazo de seis meses contados desde la adopción del informe.</w:t>
      </w:r>
    </w:p>
    <w:p w:rsidR="0092635B" w:rsidRDefault="00000000">
      <w:pPr>
        <w:pStyle w:val="Prrafodelista"/>
        <w:numPr>
          <w:ilvl w:val="0"/>
          <w:numId w:val="74"/>
        </w:numPr>
        <w:tabs>
          <w:tab w:val="left" w:pos="1720"/>
        </w:tabs>
        <w:spacing w:before="3" w:line="249" w:lineRule="auto"/>
        <w:ind w:right="1104" w:firstLine="340"/>
        <w:jc w:val="both"/>
        <w:rPr>
          <w:sz w:val="20"/>
        </w:rPr>
      </w:pPr>
      <w:r>
        <w:rPr>
          <w:sz w:val="20"/>
        </w:rPr>
        <w:t>La primera Estrategia se aprobará por la Oficina Independiente de Regulación y Supervisión de la Contratación en el plazo de nueve meses desde la publicación de la presente Ley en el «Boletín Oficial del Estado.»</w:t>
      </w:r>
    </w:p>
    <w:p w:rsidR="0092635B" w:rsidRDefault="00000000">
      <w:pPr>
        <w:pStyle w:val="Prrafodelista"/>
        <w:numPr>
          <w:ilvl w:val="0"/>
          <w:numId w:val="74"/>
        </w:numPr>
        <w:tabs>
          <w:tab w:val="left" w:pos="1673"/>
        </w:tabs>
        <w:spacing w:before="3" w:line="249" w:lineRule="auto"/>
        <w:ind w:right="1105" w:firstLine="340"/>
        <w:jc w:val="both"/>
        <w:rPr>
          <w:sz w:val="20"/>
        </w:rPr>
      </w:pPr>
      <w:r>
        <w:rPr>
          <w:sz w:val="20"/>
        </w:rPr>
        <w:t>En el ámbito de las Comunidades Autónomas y de las Ciudades Autónomas de Ceuta y Melilla podrá elaborarse una estrategia de contratación pública que deberá ser coherente con la estrategia nacional de contratación.</w:t>
      </w:r>
    </w:p>
    <w:p w:rsidR="0092635B" w:rsidRDefault="0092635B">
      <w:pPr>
        <w:pStyle w:val="Textoindependiente"/>
        <w:spacing w:before="112"/>
        <w:ind w:left="0" w:firstLine="0"/>
        <w:jc w:val="left"/>
      </w:pPr>
    </w:p>
    <w:p w:rsidR="0092635B" w:rsidRDefault="00000000">
      <w:pPr>
        <w:pStyle w:val="Textoindependiente"/>
        <w:spacing w:before="0"/>
        <w:ind w:left="0" w:firstLine="0"/>
        <w:jc w:val="center"/>
      </w:pPr>
      <w:bookmarkStart w:id="563" w:name="CAPÍTULO_IV._Elaboración_y_remisión_de_i"/>
      <w:bookmarkStart w:id="564" w:name="_bookmark116"/>
      <w:bookmarkEnd w:id="563"/>
      <w:bookmarkEnd w:id="564"/>
      <w:r>
        <w:t xml:space="preserve">CAPÍTULO </w:t>
      </w:r>
      <w:r>
        <w:rPr>
          <w:spacing w:val="-5"/>
        </w:rPr>
        <w:t>IV</w:t>
      </w:r>
    </w:p>
    <w:p w:rsidR="0092635B" w:rsidRDefault="00000000">
      <w:pPr>
        <w:pStyle w:val="Ttulo2"/>
        <w:spacing w:before="124"/>
        <w:ind w:left="1"/>
      </w:pPr>
      <w:r>
        <w:t>Elaboración</w:t>
      </w:r>
      <w:r>
        <w:rPr>
          <w:spacing w:val="-3"/>
        </w:rPr>
        <w:t xml:space="preserve"> </w:t>
      </w:r>
      <w:r>
        <w:t xml:space="preserve">y remisión de </w:t>
      </w:r>
      <w:r>
        <w:rPr>
          <w:spacing w:val="-2"/>
        </w:rPr>
        <w:t>información</w:t>
      </w:r>
    </w:p>
    <w:p w:rsidR="0092635B" w:rsidRDefault="0092635B">
      <w:pPr>
        <w:pStyle w:val="Textoindependiente"/>
        <w:spacing w:before="7"/>
        <w:ind w:left="0" w:firstLine="0"/>
        <w:jc w:val="left"/>
        <w:rPr>
          <w:rFonts w:ascii="Arial"/>
          <w:b/>
        </w:rPr>
      </w:pPr>
    </w:p>
    <w:p w:rsidR="0092635B" w:rsidRDefault="00000000">
      <w:pPr>
        <w:ind w:left="1106"/>
        <w:rPr>
          <w:rFonts w:ascii="Arial" w:hAnsi="Arial"/>
          <w:i/>
          <w:sz w:val="20"/>
        </w:rPr>
      </w:pPr>
      <w:bookmarkStart w:id="565" w:name="Artículo_335._Remisión_de_contratos_al_T"/>
      <w:bookmarkEnd w:id="565"/>
      <w:r>
        <w:rPr>
          <w:rFonts w:ascii="Arial" w:hAnsi="Arial"/>
          <w:b/>
          <w:sz w:val="20"/>
        </w:rPr>
        <w:t>Artículo</w:t>
      </w:r>
      <w:r>
        <w:rPr>
          <w:rFonts w:ascii="Arial" w:hAnsi="Arial"/>
          <w:b/>
          <w:spacing w:val="-4"/>
          <w:sz w:val="20"/>
        </w:rPr>
        <w:t xml:space="preserve"> </w:t>
      </w:r>
      <w:r>
        <w:rPr>
          <w:rFonts w:ascii="Arial" w:hAnsi="Arial"/>
          <w:b/>
          <w:sz w:val="20"/>
        </w:rPr>
        <w:t>335.</w:t>
      </w:r>
      <w:r>
        <w:rPr>
          <w:rFonts w:ascii="Arial" w:hAnsi="Arial"/>
          <w:b/>
          <w:spacing w:val="47"/>
          <w:sz w:val="20"/>
        </w:rPr>
        <w:t xml:space="preserve"> </w:t>
      </w:r>
      <w:r>
        <w:rPr>
          <w:rFonts w:ascii="Arial" w:hAnsi="Arial"/>
          <w:i/>
          <w:sz w:val="20"/>
        </w:rPr>
        <w:t>Remisión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contratos</w:t>
      </w:r>
      <w:r>
        <w:rPr>
          <w:rFonts w:ascii="Arial" w:hAnsi="Arial"/>
          <w:i/>
          <w:spacing w:val="-3"/>
          <w:sz w:val="20"/>
        </w:rPr>
        <w:t xml:space="preserve"> </w:t>
      </w:r>
      <w:r>
        <w:rPr>
          <w:rFonts w:ascii="Arial" w:hAnsi="Arial"/>
          <w:i/>
          <w:sz w:val="20"/>
        </w:rPr>
        <w:t>al</w:t>
      </w:r>
      <w:r>
        <w:rPr>
          <w:rFonts w:ascii="Arial" w:hAnsi="Arial"/>
          <w:i/>
          <w:spacing w:val="-4"/>
          <w:sz w:val="20"/>
        </w:rPr>
        <w:t xml:space="preserve"> </w:t>
      </w:r>
      <w:r>
        <w:rPr>
          <w:rFonts w:ascii="Arial" w:hAnsi="Arial"/>
          <w:i/>
          <w:sz w:val="20"/>
        </w:rPr>
        <w:t>Tribunal</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Cuentas.</w:t>
      </w:r>
    </w:p>
    <w:p w:rsidR="0092635B" w:rsidRDefault="00000000">
      <w:pPr>
        <w:pStyle w:val="Prrafodelista"/>
        <w:numPr>
          <w:ilvl w:val="0"/>
          <w:numId w:val="73"/>
        </w:numPr>
        <w:tabs>
          <w:tab w:val="left" w:pos="1670"/>
        </w:tabs>
        <w:spacing w:before="123" w:line="249" w:lineRule="auto"/>
        <w:ind w:right="1102" w:firstLine="340"/>
        <w:jc w:val="both"/>
        <w:rPr>
          <w:sz w:val="20"/>
        </w:rPr>
      </w:pPr>
      <w:r>
        <w:rPr>
          <w:sz w:val="20"/>
        </w:rPr>
        <w:t>Dentro de los tres meses siguientes a la formalización del contrato, para el ejercicio de la función fiscalizadora, deberá remitirse al Tribunal de Cuentas u órgano externo de fiscalización de la Comunidad Autónoma una copia certificada del documento en el que se hubiere formalizado aquel, acompañada de un extracto del expediente del que se derive, siempre que el precio de adjudicación del contrato o en el caso de acuerdos marco, el valor estimado, exceda de 600.000 euros, tratándose de obras, concesiones de obras, concesiones de servicios y acuerdos marco; de 450.000 euros, tratándose de suministros; y de 150.000 euros, tratándose de servicios y de contratos administrativos especiales.</w:t>
      </w:r>
    </w:p>
    <w:p w:rsidR="0092635B" w:rsidRDefault="00000000">
      <w:pPr>
        <w:pStyle w:val="Textoindependiente"/>
        <w:spacing w:before="7" w:line="249" w:lineRule="auto"/>
        <w:ind w:right="1104"/>
      </w:pPr>
      <w:r>
        <w:t>Asimismo, serán objeto de remisión al Tribunal de Cuentas u órgano externo de fiscalización de la Comunidad Autónoma la copia certificada y el extracto del expediente a</w:t>
      </w:r>
      <w:r>
        <w:rPr>
          <w:spacing w:val="40"/>
        </w:rPr>
        <w:t xml:space="preserve"> </w:t>
      </w:r>
      <w:r>
        <w:t>los que se refiere el párrafo anterior, relativos a los contratos basados en un acuerdo marco</w:t>
      </w:r>
      <w:r>
        <w:rPr>
          <w:spacing w:val="40"/>
        </w:rPr>
        <w:t xml:space="preserve"> </w:t>
      </w:r>
      <w:r>
        <w:t>y a los contratos específicos celebrados en el marco de un sistema dinámico de adquisición, siempre</w:t>
      </w:r>
      <w:r>
        <w:rPr>
          <w:spacing w:val="-2"/>
        </w:rPr>
        <w:t xml:space="preserve"> </w:t>
      </w:r>
      <w:r>
        <w:t>que</w:t>
      </w:r>
      <w:r>
        <w:rPr>
          <w:spacing w:val="-2"/>
        </w:rPr>
        <w:t xml:space="preserve"> </w:t>
      </w:r>
      <w:r>
        <w:t>el</w:t>
      </w:r>
      <w:r>
        <w:rPr>
          <w:spacing w:val="-2"/>
        </w:rPr>
        <w:t xml:space="preserve"> </w:t>
      </w:r>
      <w:r>
        <w:t>precio</w:t>
      </w:r>
      <w:r>
        <w:rPr>
          <w:spacing w:val="-2"/>
        </w:rPr>
        <w:t xml:space="preserve"> </w:t>
      </w:r>
      <w:r>
        <w:t>de</w:t>
      </w:r>
      <w:r>
        <w:rPr>
          <w:spacing w:val="-2"/>
        </w:rPr>
        <w:t xml:space="preserve"> </w:t>
      </w:r>
      <w:r>
        <w:t>adjudicación</w:t>
      </w:r>
      <w:r>
        <w:rPr>
          <w:spacing w:val="-2"/>
        </w:rPr>
        <w:t xml:space="preserve"> </w:t>
      </w:r>
      <w:r>
        <w:t>del</w:t>
      </w:r>
      <w:r>
        <w:rPr>
          <w:spacing w:val="-2"/>
        </w:rPr>
        <w:t xml:space="preserve"> </w:t>
      </w:r>
      <w:r>
        <w:t>contrato</w:t>
      </w:r>
      <w:r>
        <w:rPr>
          <w:spacing w:val="-2"/>
        </w:rPr>
        <w:t xml:space="preserve"> </w:t>
      </w:r>
      <w:r>
        <w:t>exceda</w:t>
      </w:r>
      <w:r>
        <w:rPr>
          <w:spacing w:val="-2"/>
        </w:rPr>
        <w:t xml:space="preserve"> </w:t>
      </w:r>
      <w:r>
        <w:t>en</w:t>
      </w:r>
      <w:r>
        <w:rPr>
          <w:spacing w:val="-2"/>
        </w:rPr>
        <w:t xml:space="preserve"> </w:t>
      </w:r>
      <w:r>
        <w:t>función</w:t>
      </w:r>
      <w:r>
        <w:rPr>
          <w:spacing w:val="-2"/>
        </w:rPr>
        <w:t xml:space="preserve"> </w:t>
      </w:r>
      <w:r>
        <w:t>de</w:t>
      </w:r>
      <w:r>
        <w:rPr>
          <w:spacing w:val="-2"/>
        </w:rPr>
        <w:t xml:space="preserve"> </w:t>
      </w:r>
      <w:r>
        <w:t>su</w:t>
      </w:r>
      <w:r>
        <w:rPr>
          <w:spacing w:val="-2"/>
        </w:rPr>
        <w:t xml:space="preserve"> </w:t>
      </w:r>
      <w:r>
        <w:t>naturaleza</w:t>
      </w:r>
      <w:r>
        <w:rPr>
          <w:spacing w:val="-2"/>
        </w:rPr>
        <w:t xml:space="preserve"> </w:t>
      </w:r>
      <w:r>
        <w:t>de</w:t>
      </w:r>
      <w:r>
        <w:rPr>
          <w:spacing w:val="-2"/>
        </w:rPr>
        <w:t xml:space="preserve"> </w:t>
      </w:r>
      <w:r>
        <w:t>las cuantías señaladas en el citado párrafo.</w:t>
      </w:r>
    </w:p>
    <w:p w:rsidR="0092635B" w:rsidRDefault="00000000">
      <w:pPr>
        <w:pStyle w:val="Textoindependiente"/>
        <w:spacing w:before="5" w:line="249" w:lineRule="auto"/>
        <w:ind w:right="1103"/>
      </w:pPr>
      <w:r>
        <w:t>Además, se remitirá una relación del resto de contratos celebrados incluyendo los contratos menores, excepto aquellos que siendo su importe inferior a cinco mil euros se satisfagan a través del sistema de anticipo de caja fija u otro sistema similar para realizar pagos menores, donde se consignará la identidad del adjudicatario, el objeto del contrato y su cuantía. Dichas relaciones se ordenarán por adjudicatario. Esta remisión podrá realizarse directamente por vía electrónica por la Plataforma de Contratación donde tenga ubicado su perfil del contratante el correspondiente órgano de contratación.</w:t>
      </w:r>
    </w:p>
    <w:p w:rsidR="0092635B" w:rsidRDefault="00000000">
      <w:pPr>
        <w:pStyle w:val="Prrafodelista"/>
        <w:numPr>
          <w:ilvl w:val="0"/>
          <w:numId w:val="73"/>
        </w:numPr>
        <w:tabs>
          <w:tab w:val="left" w:pos="1686"/>
        </w:tabs>
        <w:spacing w:before="5" w:line="249" w:lineRule="auto"/>
        <w:ind w:firstLine="340"/>
        <w:jc w:val="both"/>
        <w:rPr>
          <w:sz w:val="20"/>
        </w:rPr>
      </w:pPr>
      <w:r>
        <w:rPr>
          <w:sz w:val="20"/>
        </w:rPr>
        <w:t>Igualmente se comunicarán al Tribunal de Cuentas u órgano externo de fiscalización de la Comunidad Autónoma las modificaciones, prórrogas o variaciones de plazos, las variaciones de precio y el importe final, la nulidad y la extinción normal o anormal de los contratos indicados.</w:t>
      </w:r>
    </w:p>
    <w:p w:rsidR="0092635B" w:rsidRDefault="00000000">
      <w:pPr>
        <w:pStyle w:val="Prrafodelista"/>
        <w:numPr>
          <w:ilvl w:val="0"/>
          <w:numId w:val="73"/>
        </w:numPr>
        <w:tabs>
          <w:tab w:val="left" w:pos="1728"/>
        </w:tabs>
        <w:spacing w:before="4" w:line="249" w:lineRule="auto"/>
        <w:ind w:firstLine="340"/>
        <w:jc w:val="both"/>
        <w:rPr>
          <w:sz w:val="20"/>
        </w:rPr>
      </w:pPr>
      <w:r>
        <w:rPr>
          <w:sz w:val="20"/>
        </w:rPr>
        <w:t>Lo dispuesto en los dos apartados anteriores se entenderá sin perjuicio de las facultades del Tribunal de Cuentas o, en su caso, de los correspondientes órganos de fiscalización externos de las Comunidades Autónomas para reclamar cuantos datos, documentos y antecedentes estime pertinentes con relación a los contratos de cualquier naturaleza y cuantía.</w:t>
      </w:r>
    </w:p>
    <w:p w:rsidR="0092635B" w:rsidRDefault="00000000">
      <w:pPr>
        <w:pStyle w:val="Prrafodelista"/>
        <w:numPr>
          <w:ilvl w:val="0"/>
          <w:numId w:val="73"/>
        </w:numPr>
        <w:tabs>
          <w:tab w:val="left" w:pos="1705"/>
        </w:tabs>
        <w:spacing w:before="4" w:line="249" w:lineRule="auto"/>
        <w:ind w:right="1104" w:firstLine="340"/>
        <w:jc w:val="both"/>
        <w:rPr>
          <w:sz w:val="20"/>
        </w:rPr>
      </w:pPr>
      <w:r>
        <w:rPr>
          <w:sz w:val="20"/>
        </w:rPr>
        <w:t>Las comunicaciones a que se refiere este artículo se efectuarán por el órgano de contratación en el ámbito de la Administración General del Estado y de entidades del sector público dependientes de ella.</w:t>
      </w:r>
    </w:p>
    <w:p w:rsidR="0092635B" w:rsidRDefault="00000000">
      <w:pPr>
        <w:pStyle w:val="Prrafodelista"/>
        <w:numPr>
          <w:ilvl w:val="0"/>
          <w:numId w:val="73"/>
        </w:numPr>
        <w:tabs>
          <w:tab w:val="left" w:pos="1694"/>
        </w:tabs>
        <w:spacing w:line="249" w:lineRule="auto"/>
        <w:ind w:right="1105" w:firstLine="340"/>
        <w:jc w:val="both"/>
        <w:rPr>
          <w:sz w:val="20"/>
        </w:rPr>
      </w:pPr>
      <w:r>
        <w:rPr>
          <w:sz w:val="20"/>
        </w:rPr>
        <w:t>La forma y el procedimiento para hacer efectivas las remisiones a que se refiere el presente artículo podrán determinarse por el Tribunal de Cuentas u órgano externo de fiscalización de la Comunidad Autónoma mediante las correspondientes instrucciones.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line="249" w:lineRule="auto"/>
        <w:ind w:left="1106" w:right="1120"/>
        <w:rPr>
          <w:rFonts w:ascii="Arial" w:hAnsi="Arial"/>
          <w:i/>
          <w:sz w:val="20"/>
        </w:rPr>
      </w:pPr>
      <w:bookmarkStart w:id="566" w:name="Artículo_336._Informes_específicos_sobre"/>
      <w:bookmarkEnd w:id="566"/>
      <w:r>
        <w:rPr>
          <w:rFonts w:ascii="Arial" w:hAnsi="Arial"/>
          <w:b/>
          <w:sz w:val="20"/>
        </w:rPr>
        <w:t>Artículo</w:t>
      </w:r>
      <w:r>
        <w:rPr>
          <w:rFonts w:ascii="Arial" w:hAnsi="Arial"/>
          <w:b/>
          <w:spacing w:val="32"/>
          <w:sz w:val="20"/>
        </w:rPr>
        <w:t xml:space="preserve"> </w:t>
      </w:r>
      <w:r>
        <w:rPr>
          <w:rFonts w:ascii="Arial" w:hAnsi="Arial"/>
          <w:b/>
          <w:sz w:val="20"/>
        </w:rPr>
        <w:t>336.</w:t>
      </w:r>
      <w:r>
        <w:rPr>
          <w:rFonts w:ascii="Arial" w:hAnsi="Arial"/>
          <w:b/>
          <w:spacing w:val="80"/>
          <w:sz w:val="20"/>
        </w:rPr>
        <w:t xml:space="preserve"> </w:t>
      </w:r>
      <w:r>
        <w:rPr>
          <w:rFonts w:ascii="Arial" w:hAnsi="Arial"/>
          <w:i/>
          <w:sz w:val="20"/>
        </w:rPr>
        <w:t>Informes</w:t>
      </w:r>
      <w:r>
        <w:rPr>
          <w:rFonts w:ascii="Arial" w:hAnsi="Arial"/>
          <w:i/>
          <w:spacing w:val="32"/>
          <w:sz w:val="20"/>
        </w:rPr>
        <w:t xml:space="preserve"> </w:t>
      </w:r>
      <w:r>
        <w:rPr>
          <w:rFonts w:ascii="Arial" w:hAnsi="Arial"/>
          <w:i/>
          <w:sz w:val="20"/>
        </w:rPr>
        <w:t>específicos</w:t>
      </w:r>
      <w:r>
        <w:rPr>
          <w:rFonts w:ascii="Arial" w:hAnsi="Arial"/>
          <w:i/>
          <w:spacing w:val="32"/>
          <w:sz w:val="20"/>
        </w:rPr>
        <w:t xml:space="preserve"> </w:t>
      </w:r>
      <w:r>
        <w:rPr>
          <w:rFonts w:ascii="Arial" w:hAnsi="Arial"/>
          <w:i/>
          <w:sz w:val="20"/>
        </w:rPr>
        <w:t>sobre</w:t>
      </w:r>
      <w:r>
        <w:rPr>
          <w:rFonts w:ascii="Arial" w:hAnsi="Arial"/>
          <w:i/>
          <w:spacing w:val="32"/>
          <w:sz w:val="20"/>
        </w:rPr>
        <w:t xml:space="preserve"> </w:t>
      </w:r>
      <w:r>
        <w:rPr>
          <w:rFonts w:ascii="Arial" w:hAnsi="Arial"/>
          <w:i/>
          <w:sz w:val="20"/>
        </w:rPr>
        <w:t>los</w:t>
      </w:r>
      <w:r>
        <w:rPr>
          <w:rFonts w:ascii="Arial" w:hAnsi="Arial"/>
          <w:i/>
          <w:spacing w:val="32"/>
          <w:sz w:val="20"/>
        </w:rPr>
        <w:t xml:space="preserve"> </w:t>
      </w:r>
      <w:r>
        <w:rPr>
          <w:rFonts w:ascii="Arial" w:hAnsi="Arial"/>
          <w:i/>
          <w:sz w:val="20"/>
        </w:rPr>
        <w:t>procedimientos</w:t>
      </w:r>
      <w:r>
        <w:rPr>
          <w:rFonts w:ascii="Arial" w:hAnsi="Arial"/>
          <w:i/>
          <w:spacing w:val="32"/>
          <w:sz w:val="20"/>
        </w:rPr>
        <w:t xml:space="preserve"> </w:t>
      </w:r>
      <w:r>
        <w:rPr>
          <w:rFonts w:ascii="Arial" w:hAnsi="Arial"/>
          <w:i/>
          <w:sz w:val="20"/>
        </w:rPr>
        <w:t>para</w:t>
      </w:r>
      <w:r>
        <w:rPr>
          <w:rFonts w:ascii="Arial" w:hAnsi="Arial"/>
          <w:i/>
          <w:spacing w:val="32"/>
          <w:sz w:val="20"/>
        </w:rPr>
        <w:t xml:space="preserve"> </w:t>
      </w:r>
      <w:r>
        <w:rPr>
          <w:rFonts w:ascii="Arial" w:hAnsi="Arial"/>
          <w:i/>
          <w:sz w:val="20"/>
        </w:rPr>
        <w:t>la</w:t>
      </w:r>
      <w:r>
        <w:rPr>
          <w:rFonts w:ascii="Arial" w:hAnsi="Arial"/>
          <w:i/>
          <w:spacing w:val="32"/>
          <w:sz w:val="20"/>
        </w:rPr>
        <w:t xml:space="preserve"> </w:t>
      </w:r>
      <w:r>
        <w:rPr>
          <w:rFonts w:ascii="Arial" w:hAnsi="Arial"/>
          <w:i/>
          <w:sz w:val="20"/>
        </w:rPr>
        <w:t>adjudicación</w:t>
      </w:r>
      <w:r>
        <w:rPr>
          <w:rFonts w:ascii="Arial" w:hAnsi="Arial"/>
          <w:i/>
          <w:spacing w:val="32"/>
          <w:sz w:val="20"/>
        </w:rPr>
        <w:t xml:space="preserve"> </w:t>
      </w:r>
      <w:r>
        <w:rPr>
          <w:rFonts w:ascii="Arial" w:hAnsi="Arial"/>
          <w:i/>
          <w:sz w:val="20"/>
        </w:rPr>
        <w:t>de</w:t>
      </w:r>
      <w:r>
        <w:rPr>
          <w:rFonts w:ascii="Arial" w:hAnsi="Arial"/>
          <w:i/>
          <w:spacing w:val="32"/>
          <w:sz w:val="20"/>
        </w:rPr>
        <w:t xml:space="preserve"> </w:t>
      </w:r>
      <w:r>
        <w:rPr>
          <w:rFonts w:ascii="Arial" w:hAnsi="Arial"/>
          <w:i/>
          <w:sz w:val="20"/>
        </w:rPr>
        <w:t xml:space="preserve">los </w:t>
      </w:r>
      <w:r>
        <w:rPr>
          <w:rFonts w:ascii="Arial" w:hAnsi="Arial"/>
          <w:i/>
          <w:spacing w:val="-2"/>
          <w:sz w:val="20"/>
        </w:rPr>
        <w:t>contratos.</w:t>
      </w:r>
    </w:p>
    <w:p w:rsidR="0092635B" w:rsidRDefault="00000000">
      <w:pPr>
        <w:pStyle w:val="Prrafodelista"/>
        <w:numPr>
          <w:ilvl w:val="0"/>
          <w:numId w:val="72"/>
        </w:numPr>
        <w:tabs>
          <w:tab w:val="left" w:pos="1703"/>
        </w:tabs>
        <w:spacing w:before="115" w:line="249" w:lineRule="auto"/>
        <w:ind w:firstLine="340"/>
        <w:jc w:val="both"/>
        <w:rPr>
          <w:sz w:val="20"/>
        </w:rPr>
      </w:pPr>
      <w:r>
        <w:rPr>
          <w:sz w:val="20"/>
        </w:rPr>
        <w:t xml:space="preserve">Los órganos de contratación redactarán un informe escrito sobre cada contrato de obras, suministros o servicios o acuerdo marco, sujetos a regulación armonizada, así como cada vez que establezcan un sistema dinámico de adquisición, que incluya al menos lo </w:t>
      </w:r>
      <w:r>
        <w:rPr>
          <w:spacing w:val="-2"/>
          <w:sz w:val="20"/>
        </w:rPr>
        <w:t>siguiente:</w:t>
      </w:r>
    </w:p>
    <w:p w:rsidR="0092635B" w:rsidRDefault="00000000">
      <w:pPr>
        <w:pStyle w:val="Prrafodelista"/>
        <w:numPr>
          <w:ilvl w:val="1"/>
          <w:numId w:val="72"/>
        </w:numPr>
        <w:tabs>
          <w:tab w:val="left" w:pos="1715"/>
        </w:tabs>
        <w:spacing w:before="123" w:line="249" w:lineRule="auto"/>
        <w:ind w:right="1104" w:firstLine="340"/>
        <w:jc w:val="both"/>
        <w:rPr>
          <w:sz w:val="20"/>
        </w:rPr>
      </w:pPr>
      <w:r>
        <w:rPr>
          <w:sz w:val="20"/>
        </w:rPr>
        <w:t>El nombre y dirección del poder adjudicador, y el objeto y precio del contrato, del acuerdo marco o del sistema dinámico de adquisición;</w:t>
      </w:r>
    </w:p>
    <w:p w:rsidR="0092635B" w:rsidRDefault="00000000">
      <w:pPr>
        <w:pStyle w:val="Prrafodelista"/>
        <w:numPr>
          <w:ilvl w:val="1"/>
          <w:numId w:val="72"/>
        </w:numPr>
        <w:tabs>
          <w:tab w:val="left" w:pos="1696"/>
        </w:tabs>
        <w:spacing w:line="249" w:lineRule="auto"/>
        <w:ind w:firstLine="340"/>
        <w:jc w:val="both"/>
        <w:rPr>
          <w:sz w:val="20"/>
        </w:rPr>
      </w:pPr>
      <w:r>
        <w:rPr>
          <w:sz w:val="20"/>
        </w:rPr>
        <w:t>En su caso, los resultados de la selección cualitativa y/o la reducción del número de ofertas y de soluciones, de conformidad con lo establecido en la presente Ley para los procedimientos restringido, de licitación con negociación, de diálogo competitivo, y de asociación para la innovación, concretamente:</w:t>
      </w:r>
    </w:p>
    <w:p w:rsidR="0092635B" w:rsidRDefault="00000000">
      <w:pPr>
        <w:pStyle w:val="Prrafodelista"/>
        <w:numPr>
          <w:ilvl w:val="2"/>
          <w:numId w:val="72"/>
        </w:numPr>
        <w:tabs>
          <w:tab w:val="left" w:pos="1621"/>
        </w:tabs>
        <w:spacing w:before="123" w:line="249" w:lineRule="auto"/>
        <w:ind w:firstLine="340"/>
        <w:jc w:val="both"/>
        <w:rPr>
          <w:sz w:val="20"/>
        </w:rPr>
      </w:pPr>
      <w:r>
        <w:rPr>
          <w:sz w:val="20"/>
        </w:rPr>
        <w:t>Los nombres de los candidatos o licitadores seleccionados y los motivos que justifican su selección,</w:t>
      </w:r>
    </w:p>
    <w:p w:rsidR="0092635B" w:rsidRDefault="00000000">
      <w:pPr>
        <w:pStyle w:val="Prrafodelista"/>
        <w:numPr>
          <w:ilvl w:val="2"/>
          <w:numId w:val="72"/>
        </w:numPr>
        <w:tabs>
          <w:tab w:val="left" w:pos="1674"/>
        </w:tabs>
        <w:spacing w:line="249" w:lineRule="auto"/>
        <w:ind w:right="1104" w:firstLine="340"/>
        <w:jc w:val="both"/>
        <w:rPr>
          <w:sz w:val="20"/>
        </w:rPr>
      </w:pPr>
      <w:r>
        <w:rPr>
          <w:sz w:val="20"/>
        </w:rPr>
        <w:t xml:space="preserve">Los nombres de los candidatos o licitadores excluidos y los motivos que justifican su </w:t>
      </w:r>
      <w:r>
        <w:rPr>
          <w:spacing w:val="-2"/>
          <w:sz w:val="20"/>
        </w:rPr>
        <w:t>exclusión;</w:t>
      </w:r>
    </w:p>
    <w:p w:rsidR="0092635B" w:rsidRDefault="00000000">
      <w:pPr>
        <w:pStyle w:val="Prrafodelista"/>
        <w:numPr>
          <w:ilvl w:val="1"/>
          <w:numId w:val="72"/>
        </w:numPr>
        <w:tabs>
          <w:tab w:val="left" w:pos="1712"/>
        </w:tabs>
        <w:spacing w:before="121" w:line="249" w:lineRule="auto"/>
        <w:ind w:right="1104" w:firstLine="340"/>
        <w:jc w:val="both"/>
        <w:rPr>
          <w:sz w:val="20"/>
        </w:rPr>
      </w:pPr>
      <w:r>
        <w:rPr>
          <w:sz w:val="20"/>
        </w:rPr>
        <w:t xml:space="preserve">Los motivos por los que se hayan rechazado ofertas consideradas anormalmente </w:t>
      </w:r>
      <w:r>
        <w:rPr>
          <w:spacing w:val="-2"/>
          <w:sz w:val="20"/>
        </w:rPr>
        <w:t>bajas;</w:t>
      </w:r>
    </w:p>
    <w:p w:rsidR="0092635B" w:rsidRDefault="00000000">
      <w:pPr>
        <w:pStyle w:val="Prrafodelista"/>
        <w:numPr>
          <w:ilvl w:val="1"/>
          <w:numId w:val="72"/>
        </w:numPr>
        <w:tabs>
          <w:tab w:val="left" w:pos="1713"/>
        </w:tabs>
        <w:spacing w:line="249" w:lineRule="auto"/>
        <w:ind w:firstLine="340"/>
        <w:jc w:val="both"/>
        <w:rPr>
          <w:sz w:val="20"/>
        </w:rPr>
      </w:pPr>
      <w:r>
        <w:rPr>
          <w:sz w:val="20"/>
        </w:rPr>
        <w:t>El nombre del adjudicatario y los motivos por los que se ha elegido su oferta, así como, si se conoce, la parte del contrato o del acuerdo marco que el adjudicatario tenga previsto subcontratar con terceros; y, en caso de que existan, y si se conocen en ese momento, los nombres de los subcontratistas del contratista principal;</w:t>
      </w:r>
    </w:p>
    <w:p w:rsidR="0092635B" w:rsidRDefault="00000000">
      <w:pPr>
        <w:pStyle w:val="Prrafodelista"/>
        <w:numPr>
          <w:ilvl w:val="1"/>
          <w:numId w:val="72"/>
        </w:numPr>
        <w:tabs>
          <w:tab w:val="left" w:pos="1687"/>
        </w:tabs>
        <w:spacing w:before="3" w:line="249" w:lineRule="auto"/>
        <w:ind w:firstLine="340"/>
        <w:jc w:val="both"/>
        <w:rPr>
          <w:sz w:val="20"/>
        </w:rPr>
      </w:pPr>
      <w:r>
        <w:rPr>
          <w:sz w:val="20"/>
        </w:rPr>
        <w:t>Para los procedimientos de licitación con negociación y los procedimientos de diálogo competitivo, las circunstancias establecidas en el artículo 167 y en el apartado 3 del artículo 172 que justifiquen el recurso a estos procedimientos;</w:t>
      </w:r>
    </w:p>
    <w:p w:rsidR="0092635B" w:rsidRDefault="00000000">
      <w:pPr>
        <w:pStyle w:val="Prrafodelista"/>
        <w:numPr>
          <w:ilvl w:val="1"/>
          <w:numId w:val="72"/>
        </w:numPr>
        <w:tabs>
          <w:tab w:val="left" w:pos="1683"/>
        </w:tabs>
        <w:spacing w:before="3" w:line="249" w:lineRule="auto"/>
        <w:ind w:firstLine="340"/>
        <w:jc w:val="both"/>
        <w:rPr>
          <w:sz w:val="20"/>
        </w:rPr>
      </w:pPr>
      <w:r>
        <w:rPr>
          <w:sz w:val="20"/>
        </w:rPr>
        <w:t xml:space="preserve">Por lo que respecta a los procedimientos negociados sin publicación previa, las circunstancias contempladas en el artículo 168 que justifiquen el recurso a dicho </w:t>
      </w:r>
      <w:r>
        <w:rPr>
          <w:spacing w:val="-2"/>
          <w:sz w:val="20"/>
        </w:rPr>
        <w:t>procedimiento;</w:t>
      </w:r>
    </w:p>
    <w:p w:rsidR="0092635B" w:rsidRDefault="00000000">
      <w:pPr>
        <w:pStyle w:val="Prrafodelista"/>
        <w:numPr>
          <w:ilvl w:val="1"/>
          <w:numId w:val="72"/>
        </w:numPr>
        <w:tabs>
          <w:tab w:val="left" w:pos="1684"/>
        </w:tabs>
        <w:spacing w:line="249" w:lineRule="auto"/>
        <w:ind w:right="1104" w:firstLine="340"/>
        <w:jc w:val="both"/>
        <w:rPr>
          <w:sz w:val="20"/>
        </w:rPr>
      </w:pPr>
      <w:r>
        <w:rPr>
          <w:sz w:val="20"/>
        </w:rPr>
        <w:t>En su caso, los motivos por los que el poder adjudicador haya decidido no adjudicar o celebrar un contrato o un acuerdo marco o haya renunciado a establecer un sistema dinámico de adquisición;</w:t>
      </w:r>
    </w:p>
    <w:p w:rsidR="0092635B" w:rsidRDefault="00000000">
      <w:pPr>
        <w:pStyle w:val="Prrafodelista"/>
        <w:numPr>
          <w:ilvl w:val="1"/>
          <w:numId w:val="72"/>
        </w:numPr>
        <w:tabs>
          <w:tab w:val="left" w:pos="1683"/>
        </w:tabs>
        <w:spacing w:line="249" w:lineRule="auto"/>
        <w:ind w:right="1104" w:firstLine="340"/>
        <w:jc w:val="both"/>
        <w:rPr>
          <w:sz w:val="20"/>
        </w:rPr>
      </w:pPr>
      <w:r>
        <w:rPr>
          <w:sz w:val="20"/>
        </w:rPr>
        <w:t>En su caso, los motivos por los que se han utilizado medios de comunicación distintos de los electrónicos para la presentación electrónica de ofertas;</w:t>
      </w:r>
    </w:p>
    <w:p w:rsidR="0092635B" w:rsidRDefault="00000000">
      <w:pPr>
        <w:pStyle w:val="Prrafodelista"/>
        <w:numPr>
          <w:ilvl w:val="1"/>
          <w:numId w:val="72"/>
        </w:numPr>
        <w:tabs>
          <w:tab w:val="left" w:pos="1612"/>
        </w:tabs>
        <w:ind w:left="1612" w:right="0" w:hanging="166"/>
        <w:jc w:val="both"/>
        <w:rPr>
          <w:sz w:val="20"/>
        </w:rPr>
      </w:pPr>
      <w:r>
        <w:rPr>
          <w:sz w:val="20"/>
        </w:rPr>
        <w:t>En</w:t>
      </w:r>
      <w:r>
        <w:rPr>
          <w:spacing w:val="-1"/>
          <w:sz w:val="20"/>
        </w:rPr>
        <w:t xml:space="preserve"> </w:t>
      </w:r>
      <w:r>
        <w:rPr>
          <w:sz w:val="20"/>
        </w:rPr>
        <w:t>su caso, los</w:t>
      </w:r>
      <w:r>
        <w:rPr>
          <w:spacing w:val="-1"/>
          <w:sz w:val="20"/>
        </w:rPr>
        <w:t xml:space="preserve"> </w:t>
      </w:r>
      <w:r>
        <w:rPr>
          <w:sz w:val="20"/>
        </w:rPr>
        <w:t>conflictos de intereses</w:t>
      </w:r>
      <w:r>
        <w:rPr>
          <w:spacing w:val="-1"/>
          <w:sz w:val="20"/>
        </w:rPr>
        <w:t xml:space="preserve"> </w:t>
      </w:r>
      <w:r>
        <w:rPr>
          <w:sz w:val="20"/>
        </w:rPr>
        <w:t>detectados y las</w:t>
      </w:r>
      <w:r>
        <w:rPr>
          <w:spacing w:val="-1"/>
          <w:sz w:val="20"/>
        </w:rPr>
        <w:t xml:space="preserve"> </w:t>
      </w:r>
      <w:r>
        <w:rPr>
          <w:sz w:val="20"/>
        </w:rPr>
        <w:t xml:space="preserve">medidas tomadas al </w:t>
      </w:r>
      <w:r>
        <w:rPr>
          <w:spacing w:val="-2"/>
          <w:sz w:val="20"/>
        </w:rPr>
        <w:t>respecto.</w:t>
      </w:r>
    </w:p>
    <w:p w:rsidR="0092635B" w:rsidRDefault="00000000">
      <w:pPr>
        <w:pStyle w:val="Prrafodelista"/>
        <w:numPr>
          <w:ilvl w:val="1"/>
          <w:numId w:val="72"/>
        </w:numPr>
        <w:tabs>
          <w:tab w:val="left" w:pos="1612"/>
        </w:tabs>
        <w:spacing w:before="10"/>
        <w:ind w:left="1612" w:right="0" w:hanging="166"/>
        <w:jc w:val="both"/>
        <w:rPr>
          <w:sz w:val="20"/>
        </w:rPr>
      </w:pPr>
      <w:r>
        <w:rPr>
          <w:sz w:val="20"/>
        </w:rPr>
        <w:t>En</w:t>
      </w:r>
      <w:r>
        <w:rPr>
          <w:spacing w:val="-4"/>
          <w:sz w:val="20"/>
        </w:rPr>
        <w:t xml:space="preserve"> </w:t>
      </w:r>
      <w:r>
        <w:rPr>
          <w:sz w:val="20"/>
        </w:rPr>
        <w:t>su</w:t>
      </w:r>
      <w:r>
        <w:rPr>
          <w:spacing w:val="-2"/>
          <w:sz w:val="20"/>
        </w:rPr>
        <w:t xml:space="preserve"> </w:t>
      </w:r>
      <w:r>
        <w:rPr>
          <w:sz w:val="20"/>
        </w:rPr>
        <w:t>caso,</w:t>
      </w:r>
      <w:r>
        <w:rPr>
          <w:spacing w:val="-1"/>
          <w:sz w:val="20"/>
        </w:rPr>
        <w:t xml:space="preserve"> </w:t>
      </w:r>
      <w:r>
        <w:rPr>
          <w:sz w:val="20"/>
        </w:rPr>
        <w:t>la</w:t>
      </w:r>
      <w:r>
        <w:rPr>
          <w:spacing w:val="-2"/>
          <w:sz w:val="20"/>
        </w:rPr>
        <w:t xml:space="preserve"> </w:t>
      </w:r>
      <w:r>
        <w:rPr>
          <w:sz w:val="20"/>
        </w:rPr>
        <w:t>medidas</w:t>
      </w:r>
      <w:r>
        <w:rPr>
          <w:spacing w:val="-2"/>
          <w:sz w:val="20"/>
        </w:rPr>
        <w:t xml:space="preserve"> </w:t>
      </w:r>
      <w:r>
        <w:rPr>
          <w:sz w:val="20"/>
        </w:rPr>
        <w:t>tomadas</w:t>
      </w:r>
      <w:r>
        <w:rPr>
          <w:spacing w:val="-1"/>
          <w:sz w:val="20"/>
        </w:rPr>
        <w:t xml:space="preserve"> </w:t>
      </w:r>
      <w:r>
        <w:rPr>
          <w:sz w:val="20"/>
        </w:rPr>
        <w:t>en</w:t>
      </w:r>
      <w:r>
        <w:rPr>
          <w:spacing w:val="-2"/>
          <w:sz w:val="20"/>
        </w:rPr>
        <w:t xml:space="preserve"> </w:t>
      </w:r>
      <w:r>
        <w:rPr>
          <w:sz w:val="20"/>
        </w:rPr>
        <w:t>el</w:t>
      </w:r>
      <w:r>
        <w:rPr>
          <w:spacing w:val="-2"/>
          <w:sz w:val="20"/>
        </w:rPr>
        <w:t xml:space="preserve"> </w:t>
      </w:r>
      <w:r>
        <w:rPr>
          <w:sz w:val="20"/>
        </w:rPr>
        <w:t>marco</w:t>
      </w:r>
      <w:r>
        <w:rPr>
          <w:spacing w:val="-1"/>
          <w:sz w:val="20"/>
        </w:rPr>
        <w:t xml:space="preserve"> </w:t>
      </w:r>
      <w:r>
        <w:rPr>
          <w:sz w:val="20"/>
        </w:rPr>
        <w:t>del</w:t>
      </w:r>
      <w:r>
        <w:rPr>
          <w:spacing w:val="-2"/>
          <w:sz w:val="20"/>
        </w:rPr>
        <w:t xml:space="preserve"> </w:t>
      </w:r>
      <w:r>
        <w:rPr>
          <w:sz w:val="20"/>
        </w:rPr>
        <w:t>artículo</w:t>
      </w:r>
      <w:r>
        <w:rPr>
          <w:spacing w:val="-1"/>
          <w:sz w:val="20"/>
        </w:rPr>
        <w:t xml:space="preserve"> </w:t>
      </w:r>
      <w:r>
        <w:rPr>
          <w:spacing w:val="-5"/>
          <w:sz w:val="20"/>
        </w:rPr>
        <w:t>70.</w:t>
      </w:r>
    </w:p>
    <w:p w:rsidR="0092635B" w:rsidRDefault="00000000">
      <w:pPr>
        <w:pStyle w:val="Textoindependiente"/>
        <w:spacing w:before="130" w:line="249" w:lineRule="auto"/>
        <w:ind w:right="1104"/>
      </w:pPr>
      <w:r>
        <w:t>Dicho informe no será exigido por lo que respecta a contratos basados en acuerdos marco,</w:t>
      </w:r>
      <w:r>
        <w:rPr>
          <w:spacing w:val="40"/>
        </w:rPr>
        <w:t xml:space="preserve"> </w:t>
      </w:r>
      <w:r>
        <w:t>cuando</w:t>
      </w:r>
      <w:r>
        <w:rPr>
          <w:spacing w:val="40"/>
        </w:rPr>
        <w:t xml:space="preserve"> </w:t>
      </w:r>
      <w:r>
        <w:t>estos</w:t>
      </w:r>
      <w:r>
        <w:rPr>
          <w:spacing w:val="40"/>
        </w:rPr>
        <w:t xml:space="preserve"> </w:t>
      </w:r>
      <w:r>
        <w:t>se</w:t>
      </w:r>
      <w:r>
        <w:rPr>
          <w:spacing w:val="40"/>
        </w:rPr>
        <w:t xml:space="preserve"> </w:t>
      </w:r>
      <w:r>
        <w:t>hayan</w:t>
      </w:r>
      <w:r>
        <w:rPr>
          <w:spacing w:val="40"/>
        </w:rPr>
        <w:t xml:space="preserve"> </w:t>
      </w:r>
      <w:r>
        <w:t>celebrado</w:t>
      </w:r>
      <w:r>
        <w:rPr>
          <w:spacing w:val="40"/>
        </w:rPr>
        <w:t xml:space="preserve"> </w:t>
      </w:r>
      <w:r>
        <w:t>con</w:t>
      </w:r>
      <w:r>
        <w:rPr>
          <w:spacing w:val="40"/>
        </w:rPr>
        <w:t xml:space="preserve"> </w:t>
      </w:r>
      <w:r>
        <w:t>arreglo</w:t>
      </w:r>
      <w:r>
        <w:rPr>
          <w:spacing w:val="40"/>
        </w:rPr>
        <w:t xml:space="preserve"> </w:t>
      </w:r>
      <w:r>
        <w:t>a</w:t>
      </w:r>
      <w:r>
        <w:rPr>
          <w:spacing w:val="40"/>
        </w:rPr>
        <w:t xml:space="preserve"> </w:t>
      </w:r>
      <w:r>
        <w:t>los</w:t>
      </w:r>
      <w:r>
        <w:rPr>
          <w:spacing w:val="40"/>
        </w:rPr>
        <w:t xml:space="preserve"> </w:t>
      </w:r>
      <w:r>
        <w:t>apartados</w:t>
      </w:r>
      <w:r>
        <w:rPr>
          <w:spacing w:val="40"/>
        </w:rPr>
        <w:t xml:space="preserve"> </w:t>
      </w:r>
      <w:r>
        <w:t>3</w:t>
      </w:r>
      <w:r>
        <w:rPr>
          <w:spacing w:val="40"/>
        </w:rPr>
        <w:t xml:space="preserve"> </w:t>
      </w:r>
      <w:r>
        <w:t>y</w:t>
      </w:r>
      <w:r>
        <w:rPr>
          <w:spacing w:val="40"/>
        </w:rPr>
        <w:t xml:space="preserve"> </w:t>
      </w:r>
      <w:r>
        <w:t>4.a)</w:t>
      </w:r>
      <w:r>
        <w:rPr>
          <w:spacing w:val="40"/>
        </w:rPr>
        <w:t xml:space="preserve"> </w:t>
      </w:r>
      <w:r>
        <w:t>del artículo 221.</w:t>
      </w:r>
    </w:p>
    <w:p w:rsidR="0092635B" w:rsidRDefault="00000000">
      <w:pPr>
        <w:pStyle w:val="Textoindependiente"/>
        <w:spacing w:before="3" w:line="249" w:lineRule="auto"/>
        <w:ind w:right="1103"/>
      </w:pPr>
      <w:r>
        <w:t>En la medida en que el anuncio de formalización del contrato contenga la información requerida en el presente apartado, los poderes adjudicadores podrán hacer referencia a dicho anuncio.</w:t>
      </w:r>
    </w:p>
    <w:p w:rsidR="0092635B" w:rsidRDefault="00000000">
      <w:pPr>
        <w:pStyle w:val="Prrafodelista"/>
        <w:numPr>
          <w:ilvl w:val="0"/>
          <w:numId w:val="72"/>
        </w:numPr>
        <w:tabs>
          <w:tab w:val="left" w:pos="1711"/>
        </w:tabs>
        <w:spacing w:line="249" w:lineRule="auto"/>
        <w:ind w:right="1104" w:firstLine="340"/>
        <w:jc w:val="both"/>
        <w:rPr>
          <w:sz w:val="20"/>
        </w:rPr>
      </w:pPr>
      <w:r>
        <w:rPr>
          <w:sz w:val="20"/>
        </w:rPr>
        <w:t>El informe, o sus elementos principales, se remitirán a la Comisión Europea o al Comité de cooperación en materia de contratación pública regulado en el artículo 329, cuando lo soliciten.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567" w:name="TÍTULO_II._Registros_Oficiales"/>
      <w:bookmarkStart w:id="568" w:name="_bookmark117"/>
      <w:bookmarkEnd w:id="567"/>
      <w:bookmarkEnd w:id="568"/>
      <w:r>
        <w:t xml:space="preserve">TÍTULO </w:t>
      </w:r>
      <w:r>
        <w:rPr>
          <w:spacing w:val="-5"/>
        </w:rPr>
        <w:t>II</w:t>
      </w:r>
    </w:p>
    <w:p w:rsidR="0092635B" w:rsidRDefault="00000000">
      <w:pPr>
        <w:pStyle w:val="Ttulo2"/>
      </w:pPr>
      <w:r>
        <w:t>Registros</w:t>
      </w:r>
      <w:r>
        <w:rPr>
          <w:spacing w:val="-8"/>
        </w:rPr>
        <w:t xml:space="preserve"> </w:t>
      </w:r>
      <w:r>
        <w:rPr>
          <w:spacing w:val="-2"/>
        </w:rPr>
        <w:t>Oficiales</w:t>
      </w:r>
    </w:p>
    <w:p w:rsidR="0092635B" w:rsidRDefault="0092635B">
      <w:pPr>
        <w:pStyle w:val="Textoindependiente"/>
        <w:spacing w:before="120"/>
        <w:ind w:left="0" w:firstLine="0"/>
        <w:jc w:val="left"/>
        <w:rPr>
          <w:rFonts w:ascii="Arial"/>
          <w:b/>
        </w:rPr>
      </w:pPr>
    </w:p>
    <w:p w:rsidR="0092635B" w:rsidRDefault="00000000">
      <w:pPr>
        <w:pStyle w:val="Textoindependiente"/>
        <w:spacing w:before="0"/>
        <w:ind w:left="0" w:firstLine="0"/>
        <w:jc w:val="center"/>
      </w:pPr>
      <w:bookmarkStart w:id="569" w:name="CAPÍTULO_I._Registros_Oficiales_de_Licit"/>
      <w:bookmarkStart w:id="570" w:name="_bookmark118"/>
      <w:bookmarkEnd w:id="569"/>
      <w:bookmarkEnd w:id="570"/>
      <w:r>
        <w:t xml:space="preserve">CAPÍTULO </w:t>
      </w:r>
      <w:r>
        <w:rPr>
          <w:spacing w:val="-10"/>
        </w:rPr>
        <w:t>I</w:t>
      </w:r>
    </w:p>
    <w:p w:rsidR="0092635B" w:rsidRDefault="00000000">
      <w:pPr>
        <w:pStyle w:val="Ttulo2"/>
        <w:spacing w:before="124"/>
        <w:ind w:right="1"/>
      </w:pPr>
      <w:r>
        <w:t>Registros</w:t>
      </w:r>
      <w:r>
        <w:rPr>
          <w:spacing w:val="-6"/>
        </w:rPr>
        <w:t xml:space="preserve"> </w:t>
      </w:r>
      <w:r>
        <w:t>Oficiales</w:t>
      </w:r>
      <w:r>
        <w:rPr>
          <w:spacing w:val="-6"/>
        </w:rPr>
        <w:t xml:space="preserve"> </w:t>
      </w:r>
      <w:r>
        <w:t>de</w:t>
      </w:r>
      <w:r>
        <w:rPr>
          <w:spacing w:val="-5"/>
        </w:rPr>
        <w:t xml:space="preserve"> </w:t>
      </w:r>
      <w:r>
        <w:t>Licitadores</w:t>
      </w:r>
      <w:r>
        <w:rPr>
          <w:spacing w:val="-6"/>
        </w:rPr>
        <w:t xml:space="preserve"> </w:t>
      </w:r>
      <w:r>
        <w:t>y</w:t>
      </w:r>
      <w:r>
        <w:rPr>
          <w:spacing w:val="-6"/>
        </w:rPr>
        <w:t xml:space="preserve"> </w:t>
      </w:r>
      <w:r>
        <w:t>Empresas</w:t>
      </w:r>
      <w:r>
        <w:rPr>
          <w:spacing w:val="-5"/>
        </w:rPr>
        <w:t xml:space="preserve"> </w:t>
      </w:r>
      <w:r>
        <w:rPr>
          <w:spacing w:val="-2"/>
        </w:rPr>
        <w:t>Clasificadas</w:t>
      </w:r>
    </w:p>
    <w:p w:rsidR="0092635B" w:rsidRDefault="0092635B">
      <w:pPr>
        <w:pStyle w:val="Textoindependiente"/>
        <w:spacing w:before="6"/>
        <w:ind w:left="0" w:firstLine="0"/>
        <w:jc w:val="left"/>
        <w:rPr>
          <w:rFonts w:ascii="Arial"/>
          <w:b/>
        </w:rPr>
      </w:pPr>
    </w:p>
    <w:p w:rsidR="0092635B" w:rsidRDefault="00000000">
      <w:pPr>
        <w:ind w:left="1106"/>
        <w:jc w:val="both"/>
        <w:rPr>
          <w:rFonts w:ascii="Arial" w:hAnsi="Arial"/>
          <w:i/>
          <w:sz w:val="20"/>
        </w:rPr>
      </w:pPr>
      <w:bookmarkStart w:id="571" w:name="Artículo_337._Registro_Oficial_de_Licita"/>
      <w:bookmarkEnd w:id="571"/>
      <w:r>
        <w:rPr>
          <w:rFonts w:ascii="Arial" w:hAnsi="Arial"/>
          <w:b/>
          <w:sz w:val="20"/>
        </w:rPr>
        <w:t>Artículo</w:t>
      </w:r>
      <w:r>
        <w:rPr>
          <w:rFonts w:ascii="Arial" w:hAnsi="Arial"/>
          <w:b/>
          <w:spacing w:val="-2"/>
          <w:sz w:val="20"/>
        </w:rPr>
        <w:t xml:space="preserve"> </w:t>
      </w:r>
      <w:r>
        <w:rPr>
          <w:rFonts w:ascii="Arial" w:hAnsi="Arial"/>
          <w:b/>
          <w:sz w:val="20"/>
        </w:rPr>
        <w:t>337.</w:t>
      </w:r>
      <w:r>
        <w:rPr>
          <w:rFonts w:ascii="Arial" w:hAnsi="Arial"/>
          <w:b/>
          <w:spacing w:val="52"/>
          <w:sz w:val="20"/>
        </w:rPr>
        <w:t xml:space="preserve"> </w:t>
      </w:r>
      <w:r>
        <w:rPr>
          <w:rFonts w:ascii="Arial" w:hAnsi="Arial"/>
          <w:i/>
          <w:sz w:val="20"/>
        </w:rPr>
        <w:t>Registro</w:t>
      </w:r>
      <w:r>
        <w:rPr>
          <w:rFonts w:ascii="Arial" w:hAnsi="Arial"/>
          <w:i/>
          <w:spacing w:val="-2"/>
          <w:sz w:val="20"/>
        </w:rPr>
        <w:t xml:space="preserve"> </w:t>
      </w:r>
      <w:r>
        <w:rPr>
          <w:rFonts w:ascii="Arial" w:hAnsi="Arial"/>
          <w:i/>
          <w:sz w:val="20"/>
        </w:rPr>
        <w:t>Oficial</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Licitadores</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Empresas</w:t>
      </w:r>
      <w:r>
        <w:rPr>
          <w:rFonts w:ascii="Arial" w:hAnsi="Arial"/>
          <w:i/>
          <w:spacing w:val="-1"/>
          <w:sz w:val="20"/>
        </w:rPr>
        <w:t xml:space="preserve"> </w:t>
      </w:r>
      <w:r>
        <w:rPr>
          <w:rFonts w:ascii="Arial" w:hAnsi="Arial"/>
          <w:i/>
          <w:sz w:val="20"/>
        </w:rPr>
        <w:t>Clasificadas</w:t>
      </w:r>
      <w:r>
        <w:rPr>
          <w:rFonts w:ascii="Arial" w:hAnsi="Arial"/>
          <w:i/>
          <w:spacing w:val="-2"/>
          <w:sz w:val="20"/>
        </w:rPr>
        <w:t xml:space="preserve"> </w:t>
      </w:r>
      <w:r>
        <w:rPr>
          <w:rFonts w:ascii="Arial" w:hAnsi="Arial"/>
          <w:i/>
          <w:sz w:val="20"/>
        </w:rPr>
        <w:t>del</w:t>
      </w:r>
      <w:r>
        <w:rPr>
          <w:rFonts w:ascii="Arial" w:hAnsi="Arial"/>
          <w:i/>
          <w:spacing w:val="-1"/>
          <w:sz w:val="20"/>
        </w:rPr>
        <w:t xml:space="preserve"> </w:t>
      </w:r>
      <w:r>
        <w:rPr>
          <w:rFonts w:ascii="Arial" w:hAnsi="Arial"/>
          <w:i/>
          <w:sz w:val="20"/>
        </w:rPr>
        <w:t>Sector</w:t>
      </w:r>
      <w:r>
        <w:rPr>
          <w:rFonts w:ascii="Arial" w:hAnsi="Arial"/>
          <w:i/>
          <w:spacing w:val="-1"/>
          <w:sz w:val="20"/>
        </w:rPr>
        <w:t xml:space="preserve"> </w:t>
      </w:r>
      <w:r>
        <w:rPr>
          <w:rFonts w:ascii="Arial" w:hAnsi="Arial"/>
          <w:i/>
          <w:spacing w:val="-2"/>
          <w:sz w:val="20"/>
        </w:rPr>
        <w:t>Público.</w:t>
      </w:r>
    </w:p>
    <w:p w:rsidR="0092635B" w:rsidRDefault="00000000">
      <w:pPr>
        <w:pStyle w:val="Prrafodelista"/>
        <w:numPr>
          <w:ilvl w:val="0"/>
          <w:numId w:val="71"/>
        </w:numPr>
        <w:tabs>
          <w:tab w:val="left" w:pos="1674"/>
        </w:tabs>
        <w:spacing w:before="124" w:line="249" w:lineRule="auto"/>
        <w:ind w:firstLine="340"/>
        <w:jc w:val="both"/>
        <w:rPr>
          <w:sz w:val="20"/>
        </w:rPr>
      </w:pPr>
      <w:r>
        <w:rPr>
          <w:sz w:val="20"/>
        </w:rPr>
        <w:t>El Registro Oficial de Licitadores y Empresas Clasificadas del Sector Público tiene por objeto la inscripción de los datos y circunstancias que resulten relevantes para acreditar las condiciones</w:t>
      </w:r>
      <w:r>
        <w:rPr>
          <w:spacing w:val="-3"/>
          <w:sz w:val="20"/>
        </w:rPr>
        <w:t xml:space="preserve"> </w:t>
      </w:r>
      <w:r>
        <w:rPr>
          <w:sz w:val="20"/>
        </w:rPr>
        <w:t>de</w:t>
      </w:r>
      <w:r>
        <w:rPr>
          <w:spacing w:val="-3"/>
          <w:sz w:val="20"/>
        </w:rPr>
        <w:t xml:space="preserve"> </w:t>
      </w:r>
      <w:r>
        <w:rPr>
          <w:sz w:val="20"/>
        </w:rPr>
        <w:t>aptitud</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empresarios</w:t>
      </w:r>
      <w:r>
        <w:rPr>
          <w:spacing w:val="-3"/>
          <w:sz w:val="20"/>
        </w:rPr>
        <w:t xml:space="preserve"> </w:t>
      </w:r>
      <w:r>
        <w:rPr>
          <w:sz w:val="20"/>
        </w:rPr>
        <w:t>para</w:t>
      </w:r>
      <w:r>
        <w:rPr>
          <w:spacing w:val="-3"/>
          <w:sz w:val="20"/>
        </w:rPr>
        <w:t xml:space="preserve"> </w:t>
      </w:r>
      <w:r>
        <w:rPr>
          <w:sz w:val="20"/>
        </w:rPr>
        <w:t>contratar</w:t>
      </w:r>
      <w:r>
        <w:rPr>
          <w:spacing w:val="-3"/>
          <w:sz w:val="20"/>
        </w:rPr>
        <w:t xml:space="preserve"> </w:t>
      </w:r>
      <w:r>
        <w:rPr>
          <w:sz w:val="20"/>
        </w:rPr>
        <w:t>con</w:t>
      </w:r>
      <w:r>
        <w:rPr>
          <w:spacing w:val="-3"/>
          <w:sz w:val="20"/>
        </w:rPr>
        <w:t xml:space="preserve"> </w:t>
      </w:r>
      <w:r>
        <w:rPr>
          <w:sz w:val="20"/>
        </w:rPr>
        <w:t>las</w:t>
      </w:r>
      <w:r>
        <w:rPr>
          <w:spacing w:val="-3"/>
          <w:sz w:val="20"/>
        </w:rPr>
        <w:t xml:space="preserve"> </w:t>
      </w:r>
      <w:r>
        <w:rPr>
          <w:sz w:val="20"/>
        </w:rPr>
        <w:t>Administraciones</w:t>
      </w:r>
      <w:r>
        <w:rPr>
          <w:spacing w:val="-3"/>
          <w:sz w:val="20"/>
        </w:rPr>
        <w:t xml:space="preserve"> </w:t>
      </w:r>
      <w:r>
        <w:rPr>
          <w:sz w:val="20"/>
        </w:rPr>
        <w:t>Públicas</w:t>
      </w:r>
      <w:r>
        <w:rPr>
          <w:spacing w:val="-3"/>
          <w:sz w:val="20"/>
        </w:rPr>
        <w:t xml:space="preserve"> </w:t>
      </w:r>
      <w:r>
        <w:rPr>
          <w:sz w:val="20"/>
        </w:rPr>
        <w:t>y demás organismos y entidades del sector público, incluidas las facultades de sus representantes y apoderados, así como la acreditación de todo ello ante cualquier órgano de contratación del sector público.</w:t>
      </w:r>
    </w:p>
    <w:p w:rsidR="0092635B" w:rsidRDefault="00000000">
      <w:pPr>
        <w:pStyle w:val="Prrafodelista"/>
        <w:numPr>
          <w:ilvl w:val="0"/>
          <w:numId w:val="71"/>
        </w:numPr>
        <w:tabs>
          <w:tab w:val="left" w:pos="1750"/>
        </w:tabs>
        <w:spacing w:before="5" w:line="249" w:lineRule="auto"/>
        <w:ind w:right="1104" w:firstLine="340"/>
        <w:jc w:val="both"/>
        <w:rPr>
          <w:sz w:val="20"/>
        </w:rPr>
      </w:pPr>
      <w:r>
        <w:rPr>
          <w:sz w:val="20"/>
        </w:rPr>
        <w:t>El Registro Oficial de Licitadores y Empresas Clasificadas del Sector Público dependerá del Ministerio de Hacienda y Función Pública, y su llevanza corresponderá a los órganos de apoyo técnico de la Junta Consultiva de Contratación Pública del Estado.</w:t>
      </w:r>
    </w:p>
    <w:p w:rsidR="0092635B" w:rsidRDefault="00000000">
      <w:pPr>
        <w:pStyle w:val="Prrafodelista"/>
        <w:numPr>
          <w:ilvl w:val="0"/>
          <w:numId w:val="71"/>
        </w:numPr>
        <w:tabs>
          <w:tab w:val="left" w:pos="1688"/>
        </w:tabs>
        <w:spacing w:line="249" w:lineRule="auto"/>
        <w:ind w:firstLine="340"/>
        <w:jc w:val="both"/>
        <w:rPr>
          <w:sz w:val="20"/>
        </w:rPr>
      </w:pPr>
      <w:r>
        <w:rPr>
          <w:sz w:val="20"/>
        </w:rPr>
        <w:t>Las Comunidades Autónomas que opten por no llevar el registro al que se refiere el artículo</w:t>
      </w:r>
      <w:r>
        <w:rPr>
          <w:spacing w:val="-2"/>
          <w:sz w:val="20"/>
        </w:rPr>
        <w:t xml:space="preserve"> </w:t>
      </w:r>
      <w:r>
        <w:rPr>
          <w:sz w:val="20"/>
        </w:rPr>
        <w:t>341</w:t>
      </w:r>
      <w:r>
        <w:rPr>
          <w:spacing w:val="-2"/>
          <w:sz w:val="20"/>
        </w:rPr>
        <w:t xml:space="preserve"> </w:t>
      </w:r>
      <w:r>
        <w:rPr>
          <w:sz w:val="20"/>
        </w:rPr>
        <w:t>podrán</w:t>
      </w:r>
      <w:r>
        <w:rPr>
          <w:spacing w:val="-2"/>
          <w:sz w:val="20"/>
        </w:rPr>
        <w:t xml:space="preserve"> </w:t>
      </w:r>
      <w:r>
        <w:rPr>
          <w:sz w:val="20"/>
        </w:rPr>
        <w:t>practicar</w:t>
      </w:r>
      <w:r>
        <w:rPr>
          <w:spacing w:val="-2"/>
          <w:sz w:val="20"/>
        </w:rPr>
        <w:t xml:space="preserve"> </w:t>
      </w:r>
      <w:r>
        <w:rPr>
          <w:sz w:val="20"/>
        </w:rPr>
        <w:t>inscripciones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registro</w:t>
      </w:r>
      <w:r>
        <w:rPr>
          <w:spacing w:val="-2"/>
          <w:sz w:val="20"/>
        </w:rPr>
        <w:t xml:space="preserve"> </w:t>
      </w:r>
      <w:r>
        <w:rPr>
          <w:sz w:val="20"/>
        </w:rPr>
        <w:t>al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refiere</w:t>
      </w:r>
      <w:r>
        <w:rPr>
          <w:spacing w:val="-2"/>
          <w:sz w:val="20"/>
        </w:rPr>
        <w:t xml:space="preserve"> </w:t>
      </w:r>
      <w:r>
        <w:rPr>
          <w:sz w:val="20"/>
        </w:rPr>
        <w:t>el</w:t>
      </w:r>
      <w:r>
        <w:rPr>
          <w:spacing w:val="-2"/>
          <w:sz w:val="20"/>
        </w:rPr>
        <w:t xml:space="preserve"> </w:t>
      </w:r>
      <w:r>
        <w:rPr>
          <w:sz w:val="20"/>
        </w:rPr>
        <w:t>presente</w:t>
      </w:r>
      <w:r>
        <w:rPr>
          <w:spacing w:val="-2"/>
          <w:sz w:val="20"/>
        </w:rPr>
        <w:t xml:space="preserve"> </w:t>
      </w:r>
      <w:r>
        <w:rPr>
          <w:sz w:val="20"/>
        </w:rPr>
        <w:t>artículo, en los términos establecidos en el apartado 2 del artículo 340.</w:t>
      </w:r>
    </w:p>
    <w:p w:rsidR="0092635B" w:rsidRDefault="00000000">
      <w:pPr>
        <w:pStyle w:val="Prrafodelista"/>
        <w:numPr>
          <w:ilvl w:val="0"/>
          <w:numId w:val="71"/>
        </w:numPr>
        <w:tabs>
          <w:tab w:val="left" w:pos="1693"/>
        </w:tabs>
        <w:spacing w:before="3" w:line="249" w:lineRule="auto"/>
        <w:ind w:right="1104" w:firstLine="340"/>
        <w:jc w:val="both"/>
        <w:rPr>
          <w:sz w:val="20"/>
        </w:rPr>
      </w:pPr>
      <w:r>
        <w:rPr>
          <w:sz w:val="20"/>
        </w:rPr>
        <w:t>El Registro Oficial de Licitadores y Empresas Clasificadas del Sector Público estará interconectado y será interoperable con el Registro Electrónico de Apoderamientos de la Administración General del Estado.</w:t>
      </w:r>
    </w:p>
    <w:p w:rsidR="0092635B" w:rsidRDefault="00000000">
      <w:pPr>
        <w:pStyle w:val="Textoindependiente"/>
        <w:spacing w:line="249" w:lineRule="auto"/>
        <w:ind w:right="1103"/>
      </w:pPr>
      <w:r>
        <w:t>Los órganos de contratación consultarán el Registro Oficial de Licitadores y Empresas Clasificadas del Sector Público para verificar la inscripción de los poderes. Si los poderes no estuvieran</w:t>
      </w:r>
      <w:r>
        <w:rPr>
          <w:spacing w:val="-2"/>
        </w:rPr>
        <w:t xml:space="preserve"> </w:t>
      </w:r>
      <w:r>
        <w:t>inscritos,</w:t>
      </w:r>
      <w:r>
        <w:rPr>
          <w:spacing w:val="-2"/>
        </w:rPr>
        <w:t xml:space="preserve"> </w:t>
      </w:r>
      <w:r>
        <w:t>consultarán</w:t>
      </w:r>
      <w:r>
        <w:rPr>
          <w:spacing w:val="-2"/>
        </w:rPr>
        <w:t xml:space="preserve"> </w:t>
      </w:r>
      <w:r>
        <w:t>subsidiariamente</w:t>
      </w:r>
      <w:r>
        <w:rPr>
          <w:spacing w:val="-2"/>
        </w:rPr>
        <w:t xml:space="preserve"> </w:t>
      </w:r>
      <w:r>
        <w:t>los</w:t>
      </w:r>
      <w:r>
        <w:rPr>
          <w:spacing w:val="-2"/>
        </w:rPr>
        <w:t xml:space="preserve"> </w:t>
      </w:r>
      <w:r>
        <w:t>registros</w:t>
      </w:r>
      <w:r>
        <w:rPr>
          <w:spacing w:val="-2"/>
        </w:rPr>
        <w:t xml:space="preserve"> </w:t>
      </w:r>
      <w:r>
        <w:t>generales</w:t>
      </w:r>
      <w:r>
        <w:rPr>
          <w:spacing w:val="-2"/>
        </w:rPr>
        <w:t xml:space="preserve"> </w:t>
      </w:r>
      <w:r>
        <w:t>de</w:t>
      </w:r>
      <w:r>
        <w:rPr>
          <w:spacing w:val="-2"/>
        </w:rPr>
        <w:t xml:space="preserve"> </w:t>
      </w:r>
      <w:r>
        <w:t>apoderamientos de las Administraciones Públicas. La consulta a dichos registros se realizará a través del Registro Electrónico de Apoderamientos de la Administración General del Estado.</w:t>
      </w:r>
    </w:p>
    <w:p w:rsidR="0092635B" w:rsidRDefault="00000000">
      <w:pPr>
        <w:pStyle w:val="Textoindependiente"/>
        <w:spacing w:before="4" w:line="249" w:lineRule="auto"/>
        <w:ind w:right="1105"/>
      </w:pPr>
      <w:r>
        <w:t>En</w:t>
      </w:r>
      <w:r>
        <w:rPr>
          <w:spacing w:val="-1"/>
        </w:rPr>
        <w:t xml:space="preserve"> </w:t>
      </w:r>
      <w:r>
        <w:t>caso</w:t>
      </w:r>
      <w:r>
        <w:rPr>
          <w:spacing w:val="-1"/>
        </w:rPr>
        <w:t xml:space="preserve"> </w:t>
      </w:r>
      <w:r>
        <w:t>de</w:t>
      </w:r>
      <w:r>
        <w:rPr>
          <w:spacing w:val="-1"/>
        </w:rPr>
        <w:t xml:space="preserve"> </w:t>
      </w:r>
      <w:r>
        <w:t>discrepancia</w:t>
      </w:r>
      <w:r>
        <w:rPr>
          <w:spacing w:val="-1"/>
        </w:rPr>
        <w:t xml:space="preserve"> </w:t>
      </w:r>
      <w:r>
        <w:t>entre</w:t>
      </w:r>
      <w:r>
        <w:rPr>
          <w:spacing w:val="-1"/>
        </w:rPr>
        <w:t xml:space="preserve"> </w:t>
      </w:r>
      <w:r>
        <w:t>los</w:t>
      </w:r>
      <w:r>
        <w:rPr>
          <w:spacing w:val="-1"/>
        </w:rPr>
        <w:t xml:space="preserve"> </w:t>
      </w:r>
      <w:r>
        <w:t>poderes</w:t>
      </w:r>
      <w:r>
        <w:rPr>
          <w:spacing w:val="-1"/>
        </w:rPr>
        <w:t xml:space="preserve"> </w:t>
      </w:r>
      <w:r>
        <w:t>inscritos,</w:t>
      </w:r>
      <w:r>
        <w:rPr>
          <w:spacing w:val="-1"/>
        </w:rPr>
        <w:t xml:space="preserve"> </w:t>
      </w:r>
      <w:r>
        <w:t>prevalecerá</w:t>
      </w:r>
      <w:r>
        <w:rPr>
          <w:spacing w:val="-1"/>
        </w:rPr>
        <w:t xml:space="preserve"> </w:t>
      </w:r>
      <w:r>
        <w:t>el</w:t>
      </w:r>
      <w:r>
        <w:rPr>
          <w:spacing w:val="-1"/>
        </w:rPr>
        <w:t xml:space="preserve"> </w:t>
      </w:r>
      <w:r>
        <w:t>inscrito</w:t>
      </w:r>
      <w:r>
        <w:rPr>
          <w:spacing w:val="-1"/>
        </w:rPr>
        <w:t xml:space="preserve"> </w:t>
      </w:r>
      <w:r>
        <w:t>en</w:t>
      </w:r>
      <w:r>
        <w:rPr>
          <w:spacing w:val="-1"/>
        </w:rPr>
        <w:t xml:space="preserve"> </w:t>
      </w:r>
      <w:r>
        <w:t>el</w:t>
      </w:r>
      <w:r>
        <w:rPr>
          <w:spacing w:val="-1"/>
        </w:rPr>
        <w:t xml:space="preserve"> </w:t>
      </w:r>
      <w:r>
        <w:t>Registro Oficial de Licitadores y Empresas Clasificadas del Sector Público frente a los inscritos en cualquier otro registro de apoderamientos.</w:t>
      </w:r>
    </w:p>
    <w:p w:rsidR="0092635B" w:rsidRDefault="00000000">
      <w:pPr>
        <w:spacing w:before="230"/>
        <w:ind w:left="1106"/>
        <w:jc w:val="both"/>
        <w:rPr>
          <w:rFonts w:ascii="Arial" w:hAnsi="Arial"/>
          <w:i/>
          <w:sz w:val="20"/>
        </w:rPr>
      </w:pPr>
      <w:bookmarkStart w:id="572" w:name="Artículo_338._Inscripciones_y_publicacio"/>
      <w:bookmarkEnd w:id="572"/>
      <w:r>
        <w:rPr>
          <w:rFonts w:ascii="Arial" w:hAnsi="Arial"/>
          <w:b/>
          <w:sz w:val="20"/>
        </w:rPr>
        <w:t>Artículo</w:t>
      </w:r>
      <w:r>
        <w:rPr>
          <w:rFonts w:ascii="Arial" w:hAnsi="Arial"/>
          <w:b/>
          <w:spacing w:val="-1"/>
          <w:sz w:val="20"/>
        </w:rPr>
        <w:t xml:space="preserve"> </w:t>
      </w:r>
      <w:r>
        <w:rPr>
          <w:rFonts w:ascii="Arial" w:hAnsi="Arial"/>
          <w:b/>
          <w:sz w:val="20"/>
        </w:rPr>
        <w:t>338.</w:t>
      </w:r>
      <w:r>
        <w:rPr>
          <w:rFonts w:ascii="Arial" w:hAnsi="Arial"/>
          <w:b/>
          <w:spacing w:val="54"/>
          <w:sz w:val="20"/>
        </w:rPr>
        <w:t xml:space="preserve"> </w:t>
      </w:r>
      <w:r>
        <w:rPr>
          <w:rFonts w:ascii="Arial" w:hAnsi="Arial"/>
          <w:i/>
          <w:sz w:val="20"/>
        </w:rPr>
        <w:t xml:space="preserve">Inscripciones y publicaciones de </w:t>
      </w:r>
      <w:r>
        <w:rPr>
          <w:rFonts w:ascii="Arial" w:hAnsi="Arial"/>
          <w:i/>
          <w:spacing w:val="-2"/>
          <w:sz w:val="20"/>
        </w:rPr>
        <w:t>oficio.</w:t>
      </w:r>
    </w:p>
    <w:p w:rsidR="0092635B" w:rsidRDefault="00000000">
      <w:pPr>
        <w:pStyle w:val="Prrafodelista"/>
        <w:numPr>
          <w:ilvl w:val="0"/>
          <w:numId w:val="70"/>
        </w:numPr>
        <w:tabs>
          <w:tab w:val="left" w:pos="1695"/>
        </w:tabs>
        <w:spacing w:before="123" w:line="249" w:lineRule="auto"/>
        <w:ind w:firstLine="340"/>
        <w:jc w:val="right"/>
        <w:rPr>
          <w:sz w:val="20"/>
        </w:rPr>
      </w:pPr>
      <w:r>
        <w:rPr>
          <w:sz w:val="20"/>
        </w:rPr>
        <w:t>En</w:t>
      </w:r>
      <w:r>
        <w:rPr>
          <w:spacing w:val="25"/>
          <w:sz w:val="20"/>
        </w:rPr>
        <w:t xml:space="preserve"> </w:t>
      </w:r>
      <w:r>
        <w:rPr>
          <w:sz w:val="20"/>
        </w:rPr>
        <w:t>el</w:t>
      </w:r>
      <w:r>
        <w:rPr>
          <w:spacing w:val="25"/>
          <w:sz w:val="20"/>
        </w:rPr>
        <w:t xml:space="preserve"> </w:t>
      </w:r>
      <w:r>
        <w:rPr>
          <w:sz w:val="20"/>
        </w:rPr>
        <w:t>Registro</w:t>
      </w:r>
      <w:r>
        <w:rPr>
          <w:spacing w:val="25"/>
          <w:sz w:val="20"/>
        </w:rPr>
        <w:t xml:space="preserve"> </w:t>
      </w:r>
      <w:r>
        <w:rPr>
          <w:sz w:val="20"/>
        </w:rPr>
        <w:t>Oficial</w:t>
      </w:r>
      <w:r>
        <w:rPr>
          <w:spacing w:val="25"/>
          <w:sz w:val="20"/>
        </w:rPr>
        <w:t xml:space="preserve"> </w:t>
      </w:r>
      <w:r>
        <w:rPr>
          <w:sz w:val="20"/>
        </w:rPr>
        <w:t>de</w:t>
      </w:r>
      <w:r>
        <w:rPr>
          <w:spacing w:val="25"/>
          <w:sz w:val="20"/>
        </w:rPr>
        <w:t xml:space="preserve"> </w:t>
      </w:r>
      <w:r>
        <w:rPr>
          <w:sz w:val="20"/>
        </w:rPr>
        <w:t>Licitadores</w:t>
      </w:r>
      <w:r>
        <w:rPr>
          <w:spacing w:val="25"/>
          <w:sz w:val="20"/>
        </w:rPr>
        <w:t xml:space="preserve"> </w:t>
      </w:r>
      <w:r>
        <w:rPr>
          <w:sz w:val="20"/>
        </w:rPr>
        <w:t>y</w:t>
      </w:r>
      <w:r>
        <w:rPr>
          <w:spacing w:val="25"/>
          <w:sz w:val="20"/>
        </w:rPr>
        <w:t xml:space="preserve"> </w:t>
      </w:r>
      <w:r>
        <w:rPr>
          <w:sz w:val="20"/>
        </w:rPr>
        <w:t>Empresas</w:t>
      </w:r>
      <w:r>
        <w:rPr>
          <w:spacing w:val="25"/>
          <w:sz w:val="20"/>
        </w:rPr>
        <w:t xml:space="preserve"> </w:t>
      </w:r>
      <w:r>
        <w:rPr>
          <w:sz w:val="20"/>
        </w:rPr>
        <w:t>Clasificadas</w:t>
      </w:r>
      <w:r>
        <w:rPr>
          <w:spacing w:val="25"/>
          <w:sz w:val="20"/>
        </w:rPr>
        <w:t xml:space="preserve"> </w:t>
      </w:r>
      <w:r>
        <w:rPr>
          <w:sz w:val="20"/>
        </w:rPr>
        <w:t>del</w:t>
      </w:r>
      <w:r>
        <w:rPr>
          <w:spacing w:val="25"/>
          <w:sz w:val="20"/>
        </w:rPr>
        <w:t xml:space="preserve"> </w:t>
      </w:r>
      <w:r>
        <w:rPr>
          <w:sz w:val="20"/>
        </w:rPr>
        <w:t>Sector</w:t>
      </w:r>
      <w:r>
        <w:rPr>
          <w:spacing w:val="25"/>
          <w:sz w:val="20"/>
        </w:rPr>
        <w:t xml:space="preserve"> </w:t>
      </w:r>
      <w:r>
        <w:rPr>
          <w:sz w:val="20"/>
        </w:rPr>
        <w:t>Público</w:t>
      </w:r>
      <w:r>
        <w:rPr>
          <w:spacing w:val="25"/>
          <w:sz w:val="20"/>
        </w:rPr>
        <w:t xml:space="preserve"> </w:t>
      </w:r>
      <w:r>
        <w:rPr>
          <w:sz w:val="20"/>
        </w:rPr>
        <w:t>se harán constar de oficio los datos relativos a las clasificaciones otorgadas a los empresarios por la Junta Consultiva de Contratación Pública del Estado. Asimismo, se harán constar las otorgadas</w:t>
      </w:r>
      <w:r>
        <w:rPr>
          <w:spacing w:val="40"/>
          <w:sz w:val="20"/>
        </w:rPr>
        <w:t xml:space="preserve"> </w:t>
      </w:r>
      <w:r>
        <w:rPr>
          <w:sz w:val="20"/>
        </w:rPr>
        <w:t>por</w:t>
      </w:r>
      <w:r>
        <w:rPr>
          <w:spacing w:val="40"/>
          <w:sz w:val="20"/>
        </w:rPr>
        <w:t xml:space="preserve"> </w:t>
      </w:r>
      <w:r>
        <w:rPr>
          <w:sz w:val="20"/>
        </w:rPr>
        <w:t>los</w:t>
      </w:r>
      <w:r>
        <w:rPr>
          <w:spacing w:val="40"/>
          <w:sz w:val="20"/>
        </w:rPr>
        <w:t xml:space="preserve"> </w:t>
      </w:r>
      <w:r>
        <w:rPr>
          <w:sz w:val="20"/>
        </w:rPr>
        <w:t>órganos</w:t>
      </w:r>
      <w:r>
        <w:rPr>
          <w:spacing w:val="40"/>
          <w:sz w:val="20"/>
        </w:rPr>
        <w:t xml:space="preserve"> </w:t>
      </w:r>
      <w:r>
        <w:rPr>
          <w:sz w:val="20"/>
        </w:rPr>
        <w:t>competentes</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Comunidades</w:t>
      </w:r>
      <w:r>
        <w:rPr>
          <w:spacing w:val="40"/>
          <w:sz w:val="20"/>
        </w:rPr>
        <w:t xml:space="preserve"> </w:t>
      </w:r>
      <w:r>
        <w:rPr>
          <w:sz w:val="20"/>
        </w:rPr>
        <w:t>Autónomas</w:t>
      </w:r>
      <w:r>
        <w:rPr>
          <w:spacing w:val="40"/>
          <w:sz w:val="20"/>
        </w:rPr>
        <w:t xml:space="preserve"> </w:t>
      </w:r>
      <w:r>
        <w:rPr>
          <w:sz w:val="20"/>
        </w:rPr>
        <w:t>que</w:t>
      </w:r>
      <w:r>
        <w:rPr>
          <w:spacing w:val="40"/>
          <w:sz w:val="20"/>
        </w:rPr>
        <w:t xml:space="preserve"> </w:t>
      </w:r>
      <w:r>
        <w:rPr>
          <w:sz w:val="20"/>
        </w:rPr>
        <w:t>ejerzan</w:t>
      </w:r>
      <w:r>
        <w:rPr>
          <w:spacing w:val="80"/>
          <w:w w:val="150"/>
          <w:sz w:val="20"/>
        </w:rPr>
        <w:t xml:space="preserve"> </w:t>
      </w:r>
      <w:r>
        <w:rPr>
          <w:sz w:val="20"/>
        </w:rPr>
        <w:t>competencias</w:t>
      </w:r>
      <w:r>
        <w:rPr>
          <w:spacing w:val="80"/>
          <w:w w:val="150"/>
          <w:sz w:val="20"/>
        </w:rPr>
        <w:t xml:space="preserve"> </w:t>
      </w:r>
      <w:r>
        <w:rPr>
          <w:sz w:val="20"/>
        </w:rPr>
        <w:t>en</w:t>
      </w:r>
      <w:r>
        <w:rPr>
          <w:spacing w:val="80"/>
          <w:w w:val="150"/>
          <w:sz w:val="20"/>
        </w:rPr>
        <w:t xml:space="preserve"> </w:t>
      </w:r>
      <w:r>
        <w:rPr>
          <w:sz w:val="20"/>
        </w:rPr>
        <w:t>materia</w:t>
      </w:r>
      <w:r>
        <w:rPr>
          <w:spacing w:val="80"/>
          <w:w w:val="150"/>
          <w:sz w:val="20"/>
        </w:rPr>
        <w:t xml:space="preserve"> </w:t>
      </w:r>
      <w:r>
        <w:rPr>
          <w:sz w:val="20"/>
        </w:rPr>
        <w:t>de</w:t>
      </w:r>
      <w:r>
        <w:rPr>
          <w:spacing w:val="80"/>
          <w:w w:val="150"/>
          <w:sz w:val="20"/>
        </w:rPr>
        <w:t xml:space="preserve"> </w:t>
      </w:r>
      <w:r>
        <w:rPr>
          <w:sz w:val="20"/>
        </w:rPr>
        <w:t>clasificación</w:t>
      </w:r>
      <w:r>
        <w:rPr>
          <w:spacing w:val="80"/>
          <w:w w:val="150"/>
          <w:sz w:val="20"/>
        </w:rPr>
        <w:t xml:space="preserve"> </w:t>
      </w:r>
      <w:r>
        <w:rPr>
          <w:sz w:val="20"/>
        </w:rPr>
        <w:t>de</w:t>
      </w:r>
      <w:r>
        <w:rPr>
          <w:spacing w:val="80"/>
          <w:w w:val="150"/>
          <w:sz w:val="20"/>
        </w:rPr>
        <w:t xml:space="preserve"> </w:t>
      </w:r>
      <w:r>
        <w:rPr>
          <w:sz w:val="20"/>
        </w:rPr>
        <w:t>empresas,</w:t>
      </w:r>
      <w:r>
        <w:rPr>
          <w:spacing w:val="80"/>
          <w:w w:val="150"/>
          <w:sz w:val="20"/>
        </w:rPr>
        <w:t xml:space="preserve"> </w:t>
      </w:r>
      <w:r>
        <w:rPr>
          <w:sz w:val="20"/>
        </w:rPr>
        <w:t>siempre</w:t>
      </w:r>
      <w:r>
        <w:rPr>
          <w:spacing w:val="80"/>
          <w:w w:val="150"/>
          <w:sz w:val="20"/>
        </w:rPr>
        <w:t xml:space="preserve"> </w:t>
      </w:r>
      <w:r>
        <w:rPr>
          <w:sz w:val="20"/>
        </w:rPr>
        <w:t>que</w:t>
      </w:r>
      <w:r>
        <w:rPr>
          <w:spacing w:val="80"/>
          <w:w w:val="150"/>
          <w:sz w:val="20"/>
        </w:rPr>
        <w:t xml:space="preserve"> </w:t>
      </w:r>
      <w:r>
        <w:rPr>
          <w:sz w:val="20"/>
        </w:rPr>
        <w:t>no</w:t>
      </w:r>
      <w:r>
        <w:rPr>
          <w:spacing w:val="80"/>
          <w:w w:val="150"/>
          <w:sz w:val="20"/>
        </w:rPr>
        <w:t xml:space="preserve"> </w:t>
      </w:r>
      <w:r>
        <w:rPr>
          <w:sz w:val="20"/>
        </w:rPr>
        <w:t>resulten contradictorias</w:t>
      </w:r>
      <w:r>
        <w:rPr>
          <w:spacing w:val="-2"/>
          <w:sz w:val="20"/>
        </w:rPr>
        <w:t xml:space="preserve"> </w:t>
      </w:r>
      <w:r>
        <w:rPr>
          <w:sz w:val="20"/>
        </w:rPr>
        <w:t>con</w:t>
      </w:r>
      <w:r>
        <w:rPr>
          <w:spacing w:val="-2"/>
          <w:sz w:val="20"/>
        </w:rPr>
        <w:t xml:space="preserve"> </w:t>
      </w:r>
      <w:r>
        <w:rPr>
          <w:sz w:val="20"/>
        </w:rPr>
        <w:t>las</w:t>
      </w:r>
      <w:r>
        <w:rPr>
          <w:spacing w:val="-2"/>
          <w:sz w:val="20"/>
        </w:rPr>
        <w:t xml:space="preserve"> </w:t>
      </w:r>
      <w:r>
        <w:rPr>
          <w:sz w:val="20"/>
        </w:rPr>
        <w:t>otorgadas</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Junta</w:t>
      </w:r>
      <w:r>
        <w:rPr>
          <w:spacing w:val="-2"/>
          <w:sz w:val="20"/>
        </w:rPr>
        <w:t xml:space="preserve"> </w:t>
      </w:r>
      <w:r>
        <w:rPr>
          <w:sz w:val="20"/>
        </w:rPr>
        <w:t>Consultiva</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Pública</w:t>
      </w:r>
      <w:r>
        <w:rPr>
          <w:spacing w:val="-2"/>
          <w:sz w:val="20"/>
        </w:rPr>
        <w:t xml:space="preserve"> </w:t>
      </w:r>
      <w:r>
        <w:rPr>
          <w:sz w:val="20"/>
        </w:rPr>
        <w:t>del</w:t>
      </w:r>
      <w:r>
        <w:rPr>
          <w:spacing w:val="-2"/>
          <w:sz w:val="20"/>
        </w:rPr>
        <w:t xml:space="preserve"> </w:t>
      </w:r>
      <w:r>
        <w:rPr>
          <w:sz w:val="20"/>
        </w:rPr>
        <w:t>Estado. En</w:t>
      </w:r>
      <w:r>
        <w:rPr>
          <w:spacing w:val="40"/>
          <w:sz w:val="20"/>
        </w:rPr>
        <w:t xml:space="preserve"> </w:t>
      </w:r>
      <w:r>
        <w:rPr>
          <w:sz w:val="20"/>
        </w:rPr>
        <w:t>los</w:t>
      </w:r>
      <w:r>
        <w:rPr>
          <w:spacing w:val="40"/>
          <w:sz w:val="20"/>
        </w:rPr>
        <w:t xml:space="preserve"> </w:t>
      </w:r>
      <w:r>
        <w:rPr>
          <w:sz w:val="20"/>
        </w:rPr>
        <w:t>casos</w:t>
      </w:r>
      <w:r>
        <w:rPr>
          <w:spacing w:val="40"/>
          <w:sz w:val="20"/>
        </w:rPr>
        <w:t xml:space="preserve"> </w:t>
      </w:r>
      <w:r>
        <w:rPr>
          <w:sz w:val="20"/>
        </w:rPr>
        <w:t>en</w:t>
      </w:r>
      <w:r>
        <w:rPr>
          <w:spacing w:val="40"/>
          <w:sz w:val="20"/>
        </w:rPr>
        <w:t xml:space="preserve"> </w:t>
      </w:r>
      <w:r>
        <w:rPr>
          <w:sz w:val="20"/>
        </w:rPr>
        <w:t>que</w:t>
      </w:r>
      <w:r>
        <w:rPr>
          <w:spacing w:val="40"/>
          <w:sz w:val="20"/>
        </w:rPr>
        <w:t xml:space="preserve"> </w:t>
      </w:r>
      <w:r>
        <w:rPr>
          <w:sz w:val="20"/>
        </w:rPr>
        <w:t>con</w:t>
      </w:r>
      <w:r>
        <w:rPr>
          <w:spacing w:val="40"/>
          <w:sz w:val="20"/>
        </w:rPr>
        <w:t xml:space="preserve"> </w:t>
      </w:r>
      <w:r>
        <w:rPr>
          <w:sz w:val="20"/>
        </w:rPr>
        <w:t>respecto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empresa</w:t>
      </w:r>
      <w:r>
        <w:rPr>
          <w:spacing w:val="40"/>
          <w:sz w:val="20"/>
        </w:rPr>
        <w:t xml:space="preserve"> </w:t>
      </w:r>
      <w:r>
        <w:rPr>
          <w:sz w:val="20"/>
        </w:rPr>
        <w:t>de</w:t>
      </w:r>
      <w:r>
        <w:rPr>
          <w:spacing w:val="40"/>
          <w:sz w:val="20"/>
        </w:rPr>
        <w:t xml:space="preserve"> </w:t>
      </w:r>
      <w:r>
        <w:rPr>
          <w:sz w:val="20"/>
        </w:rPr>
        <w:t>cuya</w:t>
      </w:r>
      <w:r>
        <w:rPr>
          <w:spacing w:val="40"/>
          <w:sz w:val="20"/>
        </w:rPr>
        <w:t xml:space="preserve"> </w:t>
      </w:r>
      <w:r>
        <w:rPr>
          <w:sz w:val="20"/>
        </w:rPr>
        <w:t>clasificación</w:t>
      </w:r>
      <w:r>
        <w:rPr>
          <w:spacing w:val="40"/>
          <w:sz w:val="20"/>
        </w:rPr>
        <w:t xml:space="preserve"> </w:t>
      </w:r>
      <w:r>
        <w:rPr>
          <w:sz w:val="20"/>
        </w:rPr>
        <w:t>se</w:t>
      </w:r>
      <w:r>
        <w:rPr>
          <w:spacing w:val="40"/>
          <w:sz w:val="20"/>
        </w:rPr>
        <w:t xml:space="preserve"> </w:t>
      </w:r>
      <w:r>
        <w:rPr>
          <w:sz w:val="20"/>
        </w:rPr>
        <w:t>trate,</w:t>
      </w:r>
      <w:r>
        <w:rPr>
          <w:spacing w:val="40"/>
          <w:sz w:val="20"/>
        </w:rPr>
        <w:t xml:space="preserve"> </w:t>
      </w:r>
      <w:r>
        <w:rPr>
          <w:sz w:val="20"/>
        </w:rPr>
        <w:t>no constasen inscritas en el Registro Oficial de Licitadores y Empresas Clasificadas del Sector Público las circunstancias a que se refieren las letras a) y c) del apartado 1 del artículo 339, se</w:t>
      </w:r>
      <w:r>
        <w:rPr>
          <w:spacing w:val="23"/>
          <w:sz w:val="20"/>
        </w:rPr>
        <w:t xml:space="preserve"> </w:t>
      </w:r>
      <w:r>
        <w:rPr>
          <w:sz w:val="20"/>
        </w:rPr>
        <w:t>inscribirán</w:t>
      </w:r>
      <w:r>
        <w:rPr>
          <w:spacing w:val="26"/>
          <w:sz w:val="20"/>
        </w:rPr>
        <w:t xml:space="preserve"> </w:t>
      </w:r>
      <w:r>
        <w:rPr>
          <w:sz w:val="20"/>
        </w:rPr>
        <w:t>estas</w:t>
      </w:r>
      <w:r>
        <w:rPr>
          <w:spacing w:val="26"/>
          <w:sz w:val="20"/>
        </w:rPr>
        <w:t xml:space="preserve"> </w:t>
      </w:r>
      <w:r>
        <w:rPr>
          <w:sz w:val="20"/>
        </w:rPr>
        <w:t>de</w:t>
      </w:r>
      <w:r>
        <w:rPr>
          <w:spacing w:val="25"/>
          <w:sz w:val="20"/>
        </w:rPr>
        <w:t xml:space="preserve"> </w:t>
      </w:r>
      <w:r>
        <w:rPr>
          <w:sz w:val="20"/>
        </w:rPr>
        <w:t>oficio,</w:t>
      </w:r>
      <w:r>
        <w:rPr>
          <w:spacing w:val="26"/>
          <w:sz w:val="20"/>
        </w:rPr>
        <w:t xml:space="preserve"> </w:t>
      </w:r>
      <w:r>
        <w:rPr>
          <w:sz w:val="20"/>
        </w:rPr>
        <w:t>tomando</w:t>
      </w:r>
      <w:r>
        <w:rPr>
          <w:spacing w:val="26"/>
          <w:sz w:val="20"/>
        </w:rPr>
        <w:t xml:space="preserve"> </w:t>
      </w:r>
      <w:r>
        <w:rPr>
          <w:sz w:val="20"/>
        </w:rPr>
        <w:t>como</w:t>
      </w:r>
      <w:r>
        <w:rPr>
          <w:spacing w:val="25"/>
          <w:sz w:val="20"/>
        </w:rPr>
        <w:t xml:space="preserve"> </w:t>
      </w:r>
      <w:r>
        <w:rPr>
          <w:sz w:val="20"/>
        </w:rPr>
        <w:t>base</w:t>
      </w:r>
      <w:r>
        <w:rPr>
          <w:spacing w:val="26"/>
          <w:sz w:val="20"/>
        </w:rPr>
        <w:t xml:space="preserve"> </w:t>
      </w:r>
      <w:r>
        <w:rPr>
          <w:sz w:val="20"/>
        </w:rPr>
        <w:t>los</w:t>
      </w:r>
      <w:r>
        <w:rPr>
          <w:spacing w:val="26"/>
          <w:sz w:val="20"/>
        </w:rPr>
        <w:t xml:space="preserve"> </w:t>
      </w:r>
      <w:r>
        <w:rPr>
          <w:sz w:val="20"/>
        </w:rPr>
        <w:t>documentos</w:t>
      </w:r>
      <w:r>
        <w:rPr>
          <w:spacing w:val="25"/>
          <w:sz w:val="20"/>
        </w:rPr>
        <w:t xml:space="preserve"> </w:t>
      </w:r>
      <w:r>
        <w:rPr>
          <w:sz w:val="20"/>
        </w:rPr>
        <w:t>adecuados</w:t>
      </w:r>
      <w:r>
        <w:rPr>
          <w:spacing w:val="26"/>
          <w:sz w:val="20"/>
        </w:rPr>
        <w:t xml:space="preserve"> </w:t>
      </w:r>
      <w:r>
        <w:rPr>
          <w:sz w:val="20"/>
        </w:rPr>
        <w:t>para</w:t>
      </w:r>
      <w:r>
        <w:rPr>
          <w:spacing w:val="26"/>
          <w:sz w:val="20"/>
        </w:rPr>
        <w:t xml:space="preserve"> </w:t>
      </w:r>
      <w:r>
        <w:rPr>
          <w:sz w:val="20"/>
        </w:rPr>
        <w:t>ello</w:t>
      </w:r>
      <w:r>
        <w:rPr>
          <w:spacing w:val="26"/>
          <w:sz w:val="20"/>
        </w:rPr>
        <w:t xml:space="preserve"> </w:t>
      </w:r>
      <w:r>
        <w:rPr>
          <w:spacing w:val="-10"/>
          <w:sz w:val="20"/>
        </w:rPr>
        <w:t>y</w:t>
      </w:r>
    </w:p>
    <w:p w:rsidR="0092635B" w:rsidRDefault="00000000">
      <w:pPr>
        <w:pStyle w:val="Textoindependiente"/>
        <w:spacing w:before="8"/>
        <w:ind w:firstLine="0"/>
      </w:pPr>
      <w:r>
        <w:t>que</w:t>
      </w:r>
      <w:r>
        <w:rPr>
          <w:spacing w:val="-7"/>
        </w:rPr>
        <w:t xml:space="preserve"> </w:t>
      </w:r>
      <w:r>
        <w:t>se</w:t>
      </w:r>
      <w:r>
        <w:rPr>
          <w:spacing w:val="-4"/>
        </w:rPr>
        <w:t xml:space="preserve"> </w:t>
      </w:r>
      <w:r>
        <w:t>hubiesen</w:t>
      </w:r>
      <w:r>
        <w:rPr>
          <w:spacing w:val="-5"/>
        </w:rPr>
        <w:t xml:space="preserve"> </w:t>
      </w:r>
      <w:r>
        <w:t>aportado</w:t>
      </w:r>
      <w:r>
        <w:rPr>
          <w:spacing w:val="-4"/>
        </w:rPr>
        <w:t xml:space="preserve"> </w:t>
      </w:r>
      <w:r>
        <w:t>al</w:t>
      </w:r>
      <w:r>
        <w:rPr>
          <w:spacing w:val="-5"/>
        </w:rPr>
        <w:t xml:space="preserve"> </w:t>
      </w:r>
      <w:r>
        <w:t>procedimiento</w:t>
      </w:r>
      <w:r>
        <w:rPr>
          <w:spacing w:val="-4"/>
        </w:rPr>
        <w:t xml:space="preserve"> </w:t>
      </w:r>
      <w:r>
        <w:t>de</w:t>
      </w:r>
      <w:r>
        <w:rPr>
          <w:spacing w:val="-4"/>
        </w:rPr>
        <w:t xml:space="preserve"> </w:t>
      </w:r>
      <w:r>
        <w:rPr>
          <w:spacing w:val="-2"/>
        </w:rPr>
        <w:t>clasificación.</w:t>
      </w:r>
    </w:p>
    <w:p w:rsidR="0092635B" w:rsidRDefault="00000000">
      <w:pPr>
        <w:pStyle w:val="Prrafodelista"/>
        <w:numPr>
          <w:ilvl w:val="0"/>
          <w:numId w:val="70"/>
        </w:numPr>
        <w:tabs>
          <w:tab w:val="left" w:pos="1681"/>
        </w:tabs>
        <w:spacing w:before="10" w:line="249" w:lineRule="auto"/>
        <w:ind w:right="1104" w:firstLine="340"/>
        <w:jc w:val="both"/>
        <w:rPr>
          <w:sz w:val="20"/>
        </w:rPr>
      </w:pPr>
      <w:r>
        <w:rPr>
          <w:sz w:val="20"/>
        </w:rPr>
        <w:t>Se harán constar igualmente los datos relativos a las prohibiciones de contratar a las que se refiere el apartado 2 del artículo 73.</w:t>
      </w:r>
    </w:p>
    <w:p w:rsidR="0092635B" w:rsidRDefault="00000000">
      <w:pPr>
        <w:pStyle w:val="Prrafodelista"/>
        <w:numPr>
          <w:ilvl w:val="0"/>
          <w:numId w:val="70"/>
        </w:numPr>
        <w:tabs>
          <w:tab w:val="left" w:pos="1668"/>
        </w:tabs>
        <w:spacing w:line="249" w:lineRule="auto"/>
        <w:ind w:right="1104" w:firstLine="340"/>
        <w:jc w:val="both"/>
        <w:rPr>
          <w:sz w:val="20"/>
        </w:rPr>
      </w:pPr>
      <w:r>
        <w:rPr>
          <w:sz w:val="20"/>
        </w:rPr>
        <w:t>A</w:t>
      </w:r>
      <w:r>
        <w:rPr>
          <w:spacing w:val="-3"/>
          <w:sz w:val="20"/>
        </w:rPr>
        <w:t xml:space="preserve"> </w:t>
      </w:r>
      <w:r>
        <w:rPr>
          <w:sz w:val="20"/>
        </w:rPr>
        <w:t>efectos</w:t>
      </w:r>
      <w:r>
        <w:rPr>
          <w:spacing w:val="-3"/>
          <w:sz w:val="20"/>
        </w:rPr>
        <w:t xml:space="preserve"> </w:t>
      </w:r>
      <w:r>
        <w:rPr>
          <w:sz w:val="20"/>
        </w:rPr>
        <w:t>de</w:t>
      </w:r>
      <w:r>
        <w:rPr>
          <w:spacing w:val="-3"/>
          <w:sz w:val="20"/>
        </w:rPr>
        <w:t xml:space="preserve"> </w:t>
      </w:r>
      <w:r>
        <w:rPr>
          <w:sz w:val="20"/>
        </w:rPr>
        <w:t>poder</w:t>
      </w:r>
      <w:r>
        <w:rPr>
          <w:spacing w:val="-3"/>
          <w:sz w:val="20"/>
        </w:rPr>
        <w:t xml:space="preserve"> </w:t>
      </w:r>
      <w:r>
        <w:rPr>
          <w:sz w:val="20"/>
        </w:rPr>
        <w:t>dar</w:t>
      </w:r>
      <w:r>
        <w:rPr>
          <w:spacing w:val="-3"/>
          <w:sz w:val="20"/>
        </w:rPr>
        <w:t xml:space="preserve"> </w:t>
      </w:r>
      <w:r>
        <w:rPr>
          <w:sz w:val="20"/>
        </w:rPr>
        <w:t>cumplimiento</w:t>
      </w:r>
      <w:r>
        <w:rPr>
          <w:spacing w:val="-3"/>
          <w:sz w:val="20"/>
        </w:rPr>
        <w:t xml:space="preserve"> </w:t>
      </w:r>
      <w:r>
        <w:rPr>
          <w:sz w:val="20"/>
        </w:rPr>
        <w:t>a</w:t>
      </w:r>
      <w:r>
        <w:rPr>
          <w:spacing w:val="-3"/>
          <w:sz w:val="20"/>
        </w:rPr>
        <w:t xml:space="preserve"> </w:t>
      </w:r>
      <w:r>
        <w:rPr>
          <w:sz w:val="20"/>
        </w:rPr>
        <w:t>lo</w:t>
      </w:r>
      <w:r>
        <w:rPr>
          <w:spacing w:val="-3"/>
          <w:sz w:val="20"/>
        </w:rPr>
        <w:t xml:space="preserve"> </w:t>
      </w:r>
      <w:r>
        <w:rPr>
          <w:sz w:val="20"/>
        </w:rPr>
        <w:t>establecido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apartado</w:t>
      </w:r>
      <w:r>
        <w:rPr>
          <w:spacing w:val="-3"/>
          <w:sz w:val="20"/>
        </w:rPr>
        <w:t xml:space="preserve"> </w:t>
      </w:r>
      <w:r>
        <w:rPr>
          <w:sz w:val="20"/>
        </w:rPr>
        <w:t>anterior,</w:t>
      </w:r>
      <w:r>
        <w:rPr>
          <w:spacing w:val="-3"/>
          <w:sz w:val="20"/>
        </w:rPr>
        <w:t xml:space="preserve"> </w:t>
      </w:r>
      <w:r>
        <w:rPr>
          <w:sz w:val="20"/>
        </w:rPr>
        <w:t>el</w:t>
      </w:r>
      <w:r>
        <w:rPr>
          <w:spacing w:val="-3"/>
          <w:sz w:val="20"/>
        </w:rPr>
        <w:t xml:space="preserve"> </w:t>
      </w:r>
      <w:r>
        <w:rPr>
          <w:sz w:val="20"/>
        </w:rPr>
        <w:t>órgano del que emane la sentencia o resolución que impone la prohibición de contratar deberá remitir de oficio testimonio de aquella o copia de esta a la Junta Consultiva de Contratación Pública del Estado, sin perjuicio de que por parte de este órgano, de tener conocimiento de su existencia y no habiendo recibido el citado testimonio de la sentencia o copia de la resolución pueda solicitarlos al órgano del que emanaron.</w:t>
      </w:r>
    </w:p>
    <w:p w:rsidR="0092635B" w:rsidRDefault="00000000">
      <w:pPr>
        <w:pStyle w:val="Prrafodelista"/>
        <w:numPr>
          <w:ilvl w:val="0"/>
          <w:numId w:val="70"/>
        </w:numPr>
        <w:tabs>
          <w:tab w:val="left" w:pos="1672"/>
        </w:tabs>
        <w:spacing w:before="5" w:line="249" w:lineRule="auto"/>
        <w:ind w:right="1104" w:firstLine="340"/>
        <w:jc w:val="both"/>
        <w:rPr>
          <w:sz w:val="20"/>
        </w:rPr>
      </w:pPr>
      <w:r>
        <w:rPr>
          <w:sz w:val="20"/>
        </w:rPr>
        <w:t>Las prohibiciones de contratar que, en función de su ámbito y del órgano que las haya declarado, deban ser inscritas en el registro de licitadores y empresas clasificadas de una Comunidad Autónoma que cuente con dicho registro, serán comunicadas al Registro Oficial de</w:t>
      </w:r>
      <w:r>
        <w:rPr>
          <w:spacing w:val="55"/>
          <w:w w:val="150"/>
          <w:sz w:val="20"/>
        </w:rPr>
        <w:t xml:space="preserve"> </w:t>
      </w:r>
      <w:r>
        <w:rPr>
          <w:sz w:val="20"/>
        </w:rPr>
        <w:t>Licitadores</w:t>
      </w:r>
      <w:r>
        <w:rPr>
          <w:spacing w:val="55"/>
          <w:w w:val="150"/>
          <w:sz w:val="20"/>
        </w:rPr>
        <w:t xml:space="preserve"> </w:t>
      </w:r>
      <w:r>
        <w:rPr>
          <w:sz w:val="20"/>
        </w:rPr>
        <w:t>y</w:t>
      </w:r>
      <w:r>
        <w:rPr>
          <w:spacing w:val="56"/>
          <w:w w:val="150"/>
          <w:sz w:val="20"/>
        </w:rPr>
        <w:t xml:space="preserve"> </w:t>
      </w:r>
      <w:r>
        <w:rPr>
          <w:sz w:val="20"/>
        </w:rPr>
        <w:t>Empresas</w:t>
      </w:r>
      <w:r>
        <w:rPr>
          <w:spacing w:val="55"/>
          <w:w w:val="150"/>
          <w:sz w:val="20"/>
        </w:rPr>
        <w:t xml:space="preserve"> </w:t>
      </w:r>
      <w:r>
        <w:rPr>
          <w:sz w:val="20"/>
        </w:rPr>
        <w:t>Clasificadas</w:t>
      </w:r>
      <w:r>
        <w:rPr>
          <w:spacing w:val="55"/>
          <w:w w:val="150"/>
          <w:sz w:val="20"/>
        </w:rPr>
        <w:t xml:space="preserve"> </w:t>
      </w:r>
      <w:r>
        <w:rPr>
          <w:sz w:val="20"/>
        </w:rPr>
        <w:t>del</w:t>
      </w:r>
      <w:r>
        <w:rPr>
          <w:spacing w:val="56"/>
          <w:w w:val="150"/>
          <w:sz w:val="20"/>
        </w:rPr>
        <w:t xml:space="preserve"> </w:t>
      </w:r>
      <w:r>
        <w:rPr>
          <w:sz w:val="20"/>
        </w:rPr>
        <w:t>Sector</w:t>
      </w:r>
      <w:r>
        <w:rPr>
          <w:spacing w:val="55"/>
          <w:w w:val="150"/>
          <w:sz w:val="20"/>
        </w:rPr>
        <w:t xml:space="preserve"> </w:t>
      </w:r>
      <w:r>
        <w:rPr>
          <w:sz w:val="20"/>
        </w:rPr>
        <w:t>Público,</w:t>
      </w:r>
      <w:r>
        <w:rPr>
          <w:spacing w:val="56"/>
          <w:w w:val="150"/>
          <w:sz w:val="20"/>
        </w:rPr>
        <w:t xml:space="preserve"> </w:t>
      </w:r>
      <w:r>
        <w:rPr>
          <w:sz w:val="20"/>
        </w:rPr>
        <w:t>por</w:t>
      </w:r>
      <w:r>
        <w:rPr>
          <w:spacing w:val="55"/>
          <w:w w:val="150"/>
          <w:sz w:val="20"/>
        </w:rPr>
        <w:t xml:space="preserve"> </w:t>
      </w:r>
      <w:r>
        <w:rPr>
          <w:sz w:val="20"/>
        </w:rPr>
        <w:t>el</w:t>
      </w:r>
      <w:r>
        <w:rPr>
          <w:spacing w:val="55"/>
          <w:w w:val="150"/>
          <w:sz w:val="20"/>
        </w:rPr>
        <w:t xml:space="preserve"> </w:t>
      </w:r>
      <w:r>
        <w:rPr>
          <w:sz w:val="20"/>
        </w:rPr>
        <w:t>órgano</w:t>
      </w:r>
      <w:r>
        <w:rPr>
          <w:spacing w:val="56"/>
          <w:w w:val="150"/>
          <w:sz w:val="20"/>
        </w:rPr>
        <w:t xml:space="preserve"> </w:t>
      </w:r>
      <w:r>
        <w:rPr>
          <w:sz w:val="20"/>
        </w:rPr>
        <w:t>de</w:t>
      </w:r>
      <w:r>
        <w:rPr>
          <w:spacing w:val="55"/>
          <w:w w:val="150"/>
          <w:sz w:val="20"/>
        </w:rPr>
        <w:t xml:space="preserve"> </w:t>
      </w:r>
      <w:r>
        <w:rPr>
          <w:spacing w:val="-2"/>
          <w:sz w:val="20"/>
        </w:rPr>
        <w:t>dicha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Comunidad</w:t>
      </w:r>
      <w:r>
        <w:rPr>
          <w:spacing w:val="40"/>
        </w:rPr>
        <w:t xml:space="preserve"> </w:t>
      </w:r>
      <w:r>
        <w:t>Autónoma</w:t>
      </w:r>
      <w:r>
        <w:rPr>
          <w:spacing w:val="40"/>
        </w:rPr>
        <w:t xml:space="preserve"> </w:t>
      </w:r>
      <w:r>
        <w:t>competente</w:t>
      </w:r>
      <w:r>
        <w:rPr>
          <w:spacing w:val="40"/>
        </w:rPr>
        <w:t xml:space="preserve"> </w:t>
      </w:r>
      <w:r>
        <w:t>para</w:t>
      </w:r>
      <w:r>
        <w:rPr>
          <w:spacing w:val="40"/>
        </w:rPr>
        <w:t xml:space="preserve"> </w:t>
      </w:r>
      <w:r>
        <w:t>la</w:t>
      </w:r>
      <w:r>
        <w:rPr>
          <w:spacing w:val="40"/>
        </w:rPr>
        <w:t xml:space="preserve"> </w:t>
      </w:r>
      <w:r>
        <w:t>llevanza</w:t>
      </w:r>
      <w:r>
        <w:rPr>
          <w:spacing w:val="40"/>
        </w:rPr>
        <w:t xml:space="preserve"> </w:t>
      </w:r>
      <w:r>
        <w:t>del</w:t>
      </w:r>
      <w:r>
        <w:rPr>
          <w:spacing w:val="40"/>
        </w:rPr>
        <w:t xml:space="preserve"> </w:t>
      </w:r>
      <w:r>
        <w:t>registro,</w:t>
      </w:r>
      <w:r>
        <w:rPr>
          <w:spacing w:val="40"/>
        </w:rPr>
        <w:t xml:space="preserve"> </w:t>
      </w:r>
      <w:r>
        <w:t>para</w:t>
      </w:r>
      <w:r>
        <w:rPr>
          <w:spacing w:val="40"/>
        </w:rPr>
        <w:t xml:space="preserve"> </w:t>
      </w:r>
      <w:r>
        <w:t>su</w:t>
      </w:r>
      <w:r>
        <w:rPr>
          <w:spacing w:val="40"/>
        </w:rPr>
        <w:t xml:space="preserve"> </w:t>
      </w:r>
      <w:r>
        <w:t>publicación</w:t>
      </w:r>
      <w:r>
        <w:rPr>
          <w:spacing w:val="40"/>
        </w:rPr>
        <w:t xml:space="preserve"> </w:t>
      </w:r>
      <w:r>
        <w:t>de acuerdo con lo dispuesto en el artículo 345.</w:t>
      </w:r>
    </w:p>
    <w:p w:rsidR="0092635B" w:rsidRDefault="00000000">
      <w:pPr>
        <w:spacing w:before="228"/>
        <w:ind w:left="1106"/>
        <w:rPr>
          <w:rFonts w:ascii="Arial" w:hAnsi="Arial"/>
          <w:i/>
          <w:sz w:val="20"/>
        </w:rPr>
      </w:pPr>
      <w:bookmarkStart w:id="573" w:name="Artículo_339._Inscripciones_a_solicitud_"/>
      <w:bookmarkEnd w:id="573"/>
      <w:r>
        <w:rPr>
          <w:rFonts w:ascii="Arial" w:hAnsi="Arial"/>
          <w:b/>
          <w:sz w:val="20"/>
        </w:rPr>
        <w:t>Artículo</w:t>
      </w:r>
      <w:r>
        <w:rPr>
          <w:rFonts w:ascii="Arial" w:hAnsi="Arial"/>
          <w:b/>
          <w:spacing w:val="-2"/>
          <w:sz w:val="20"/>
        </w:rPr>
        <w:t xml:space="preserve"> </w:t>
      </w:r>
      <w:r>
        <w:rPr>
          <w:rFonts w:ascii="Arial" w:hAnsi="Arial"/>
          <w:b/>
          <w:sz w:val="20"/>
        </w:rPr>
        <w:t>339.</w:t>
      </w:r>
      <w:r>
        <w:rPr>
          <w:rFonts w:ascii="Arial" w:hAnsi="Arial"/>
          <w:b/>
          <w:spacing w:val="52"/>
          <w:sz w:val="20"/>
        </w:rPr>
        <w:t xml:space="preserve"> </w:t>
      </w:r>
      <w:r>
        <w:rPr>
          <w:rFonts w:ascii="Arial" w:hAnsi="Arial"/>
          <w:i/>
          <w:sz w:val="20"/>
        </w:rPr>
        <w:t>Inscripciones</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solicitud</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interesados.</w:t>
      </w:r>
    </w:p>
    <w:p w:rsidR="0092635B" w:rsidRDefault="00000000">
      <w:pPr>
        <w:pStyle w:val="Prrafodelista"/>
        <w:numPr>
          <w:ilvl w:val="0"/>
          <w:numId w:val="69"/>
        </w:numPr>
        <w:tabs>
          <w:tab w:val="left" w:pos="1671"/>
        </w:tabs>
        <w:spacing w:before="123" w:line="249" w:lineRule="auto"/>
        <w:ind w:right="1102" w:firstLine="340"/>
        <w:rPr>
          <w:sz w:val="20"/>
        </w:rPr>
      </w:pPr>
      <w:r>
        <w:rPr>
          <w:sz w:val="20"/>
        </w:rPr>
        <w:t>En</w:t>
      </w:r>
      <w:r>
        <w:rPr>
          <w:spacing w:val="-1"/>
          <w:sz w:val="20"/>
        </w:rPr>
        <w:t xml:space="preserve"> </w:t>
      </w:r>
      <w:r>
        <w:rPr>
          <w:sz w:val="20"/>
        </w:rPr>
        <w:t>el</w:t>
      </w:r>
      <w:r>
        <w:rPr>
          <w:spacing w:val="-1"/>
          <w:sz w:val="20"/>
        </w:rPr>
        <w:t xml:space="preserve"> </w:t>
      </w:r>
      <w:r>
        <w:rPr>
          <w:sz w:val="20"/>
        </w:rPr>
        <w:t>Registro</w:t>
      </w:r>
      <w:r>
        <w:rPr>
          <w:spacing w:val="-1"/>
          <w:sz w:val="20"/>
        </w:rPr>
        <w:t xml:space="preserve"> </w:t>
      </w:r>
      <w:r>
        <w:rPr>
          <w:sz w:val="20"/>
        </w:rPr>
        <w:t>podrán</w:t>
      </w:r>
      <w:r>
        <w:rPr>
          <w:spacing w:val="-1"/>
          <w:sz w:val="20"/>
        </w:rPr>
        <w:t xml:space="preserve"> </w:t>
      </w:r>
      <w:r>
        <w:rPr>
          <w:sz w:val="20"/>
        </w:rPr>
        <w:t>constar,</w:t>
      </w:r>
      <w:r>
        <w:rPr>
          <w:spacing w:val="-1"/>
          <w:sz w:val="20"/>
        </w:rPr>
        <w:t xml:space="preserve"> </w:t>
      </w:r>
      <w:r>
        <w:rPr>
          <w:sz w:val="20"/>
        </w:rPr>
        <w:t>cuando</w:t>
      </w:r>
      <w:r>
        <w:rPr>
          <w:spacing w:val="-1"/>
          <w:sz w:val="20"/>
        </w:rPr>
        <w:t xml:space="preserve"> </w:t>
      </w:r>
      <w:r>
        <w:rPr>
          <w:sz w:val="20"/>
        </w:rPr>
        <w:t>así</w:t>
      </w:r>
      <w:r>
        <w:rPr>
          <w:spacing w:val="-1"/>
          <w:sz w:val="20"/>
        </w:rPr>
        <w:t xml:space="preserve"> </w:t>
      </w:r>
      <w:r>
        <w:rPr>
          <w:sz w:val="20"/>
        </w:rPr>
        <w:t>lo</w:t>
      </w:r>
      <w:r>
        <w:rPr>
          <w:spacing w:val="-1"/>
          <w:sz w:val="20"/>
        </w:rPr>
        <w:t xml:space="preserve"> </w:t>
      </w:r>
      <w:r>
        <w:rPr>
          <w:sz w:val="20"/>
        </w:rPr>
        <w:t>solicite</w:t>
      </w:r>
      <w:r>
        <w:rPr>
          <w:spacing w:val="-1"/>
          <w:sz w:val="20"/>
        </w:rPr>
        <w:t xml:space="preserve"> </w:t>
      </w:r>
      <w:r>
        <w:rPr>
          <w:sz w:val="20"/>
        </w:rPr>
        <w:t>el</w:t>
      </w:r>
      <w:r>
        <w:rPr>
          <w:spacing w:val="-1"/>
          <w:sz w:val="20"/>
        </w:rPr>
        <w:t xml:space="preserve"> </w:t>
      </w:r>
      <w:r>
        <w:rPr>
          <w:sz w:val="20"/>
        </w:rPr>
        <w:t>interesado,</w:t>
      </w:r>
      <w:r>
        <w:rPr>
          <w:spacing w:val="-1"/>
          <w:sz w:val="20"/>
        </w:rPr>
        <w:t xml:space="preserve"> </w:t>
      </w:r>
      <w:r>
        <w:rPr>
          <w:sz w:val="20"/>
        </w:rPr>
        <w:t>los</w:t>
      </w:r>
      <w:r>
        <w:rPr>
          <w:spacing w:val="-1"/>
          <w:sz w:val="20"/>
        </w:rPr>
        <w:t xml:space="preserve"> </w:t>
      </w:r>
      <w:r>
        <w:rPr>
          <w:sz w:val="20"/>
        </w:rPr>
        <w:t>siguientes</w:t>
      </w:r>
      <w:r>
        <w:rPr>
          <w:spacing w:val="-1"/>
          <w:sz w:val="20"/>
        </w:rPr>
        <w:t xml:space="preserve"> </w:t>
      </w:r>
      <w:r>
        <w:rPr>
          <w:sz w:val="20"/>
        </w:rPr>
        <w:t>datos y circunstancias relativas a los empresarios:</w:t>
      </w:r>
    </w:p>
    <w:p w:rsidR="0092635B" w:rsidRDefault="00000000">
      <w:pPr>
        <w:pStyle w:val="Prrafodelista"/>
        <w:numPr>
          <w:ilvl w:val="1"/>
          <w:numId w:val="69"/>
        </w:numPr>
        <w:tabs>
          <w:tab w:val="left" w:pos="1683"/>
        </w:tabs>
        <w:spacing w:before="122" w:line="249" w:lineRule="auto"/>
        <w:ind w:right="1105" w:firstLine="340"/>
        <w:rPr>
          <w:sz w:val="20"/>
        </w:rPr>
      </w:pPr>
      <w:r>
        <w:rPr>
          <w:sz w:val="20"/>
        </w:rPr>
        <w:t xml:space="preserve">Los correspondientes a su personalidad y capacidad de obrar, en el caso de personas </w:t>
      </w:r>
      <w:r>
        <w:rPr>
          <w:spacing w:val="-2"/>
          <w:sz w:val="20"/>
        </w:rPr>
        <w:t>jurídicas.</w:t>
      </w:r>
    </w:p>
    <w:p w:rsidR="0092635B" w:rsidRDefault="00000000">
      <w:pPr>
        <w:pStyle w:val="Prrafodelista"/>
        <w:numPr>
          <w:ilvl w:val="1"/>
          <w:numId w:val="69"/>
        </w:numPr>
        <w:tabs>
          <w:tab w:val="left" w:pos="1686"/>
        </w:tabs>
        <w:spacing w:line="249" w:lineRule="auto"/>
        <w:ind w:right="1106" w:firstLine="340"/>
        <w:rPr>
          <w:sz w:val="20"/>
        </w:rPr>
      </w:pPr>
      <w:r>
        <w:rPr>
          <w:sz w:val="20"/>
        </w:rPr>
        <w:t>Los relativos a la extensión de las facultades de los representantes o apoderados con capacidad para actuar en su nombre y obligarla contractualmente.</w:t>
      </w:r>
    </w:p>
    <w:p w:rsidR="0092635B" w:rsidRDefault="00000000">
      <w:pPr>
        <w:pStyle w:val="Prrafodelista"/>
        <w:numPr>
          <w:ilvl w:val="1"/>
          <w:numId w:val="69"/>
        </w:numPr>
        <w:tabs>
          <w:tab w:val="left" w:pos="1721"/>
        </w:tabs>
        <w:spacing w:before="1" w:line="249" w:lineRule="auto"/>
        <w:ind w:right="1104" w:firstLine="340"/>
        <w:rPr>
          <w:sz w:val="20"/>
        </w:rPr>
      </w:pPr>
      <w:r>
        <w:rPr>
          <w:sz w:val="20"/>
        </w:rPr>
        <w:t>Los</w:t>
      </w:r>
      <w:r>
        <w:rPr>
          <w:spacing w:val="40"/>
          <w:sz w:val="20"/>
        </w:rPr>
        <w:t xml:space="preserve"> </w:t>
      </w:r>
      <w:r>
        <w:rPr>
          <w:sz w:val="20"/>
        </w:rPr>
        <w:t>referentes</w:t>
      </w:r>
      <w:r>
        <w:rPr>
          <w:spacing w:val="40"/>
          <w:sz w:val="20"/>
        </w:rPr>
        <w:t xml:space="preserve"> </w:t>
      </w:r>
      <w:r>
        <w:rPr>
          <w:sz w:val="20"/>
        </w:rPr>
        <w:t>a</w:t>
      </w:r>
      <w:r>
        <w:rPr>
          <w:spacing w:val="40"/>
          <w:sz w:val="20"/>
        </w:rPr>
        <w:t xml:space="preserve"> </w:t>
      </w:r>
      <w:r>
        <w:rPr>
          <w:sz w:val="20"/>
        </w:rPr>
        <w:t>las</w:t>
      </w:r>
      <w:r>
        <w:rPr>
          <w:spacing w:val="40"/>
          <w:sz w:val="20"/>
        </w:rPr>
        <w:t xml:space="preserve"> </w:t>
      </w:r>
      <w:r>
        <w:rPr>
          <w:sz w:val="20"/>
        </w:rPr>
        <w:t>autorizaciones</w:t>
      </w:r>
      <w:r>
        <w:rPr>
          <w:spacing w:val="40"/>
          <w:sz w:val="20"/>
        </w:rPr>
        <w:t xml:space="preserve"> </w:t>
      </w:r>
      <w:r>
        <w:rPr>
          <w:sz w:val="20"/>
        </w:rPr>
        <w:t>o</w:t>
      </w:r>
      <w:r>
        <w:rPr>
          <w:spacing w:val="40"/>
          <w:sz w:val="20"/>
        </w:rPr>
        <w:t xml:space="preserve"> </w:t>
      </w:r>
      <w:r>
        <w:rPr>
          <w:sz w:val="20"/>
        </w:rPr>
        <w:t>habilitaciones</w:t>
      </w:r>
      <w:r>
        <w:rPr>
          <w:spacing w:val="40"/>
          <w:sz w:val="20"/>
        </w:rPr>
        <w:t xml:space="preserve"> </w:t>
      </w:r>
      <w:r>
        <w:rPr>
          <w:sz w:val="20"/>
        </w:rPr>
        <w:t>profesionales</w:t>
      </w:r>
      <w:r>
        <w:rPr>
          <w:spacing w:val="40"/>
          <w:sz w:val="20"/>
        </w:rPr>
        <w:t xml:space="preserve"> </w:t>
      </w:r>
      <w:r>
        <w:rPr>
          <w:sz w:val="20"/>
        </w:rPr>
        <w:t>y</w:t>
      </w:r>
      <w:r>
        <w:rPr>
          <w:spacing w:val="40"/>
          <w:sz w:val="20"/>
        </w:rPr>
        <w:t xml:space="preserve"> </w:t>
      </w:r>
      <w:r>
        <w:rPr>
          <w:sz w:val="20"/>
        </w:rPr>
        <w:t>a</w:t>
      </w:r>
      <w:r>
        <w:rPr>
          <w:spacing w:val="40"/>
          <w:sz w:val="20"/>
        </w:rPr>
        <w:t xml:space="preserve"> </w:t>
      </w:r>
      <w:r>
        <w:rPr>
          <w:sz w:val="20"/>
        </w:rPr>
        <w:t>los</w:t>
      </w:r>
      <w:r>
        <w:rPr>
          <w:spacing w:val="40"/>
          <w:sz w:val="20"/>
        </w:rPr>
        <w:t xml:space="preserve"> </w:t>
      </w:r>
      <w:r>
        <w:rPr>
          <w:sz w:val="20"/>
        </w:rPr>
        <w:t>demás requisitos que resulten necesarios para actuar en su sector de actividad.</w:t>
      </w:r>
    </w:p>
    <w:p w:rsidR="0092635B" w:rsidRDefault="00000000">
      <w:pPr>
        <w:pStyle w:val="Prrafodelista"/>
        <w:numPr>
          <w:ilvl w:val="1"/>
          <w:numId w:val="69"/>
        </w:numPr>
        <w:tabs>
          <w:tab w:val="left" w:pos="1694"/>
        </w:tabs>
        <w:spacing w:line="249" w:lineRule="auto"/>
        <w:ind w:right="1105" w:firstLine="340"/>
        <w:rPr>
          <w:sz w:val="20"/>
        </w:rPr>
      </w:pPr>
      <w:r>
        <w:rPr>
          <w:sz w:val="20"/>
        </w:rPr>
        <w:t>Los datos relativos a la solvencia económica y financiera, que se reflejarán de forma independiente de la clasificación que, en su caso, tenga el empresario.</w:t>
      </w:r>
    </w:p>
    <w:p w:rsidR="0092635B" w:rsidRDefault="00000000">
      <w:pPr>
        <w:pStyle w:val="Prrafodelista"/>
        <w:numPr>
          <w:ilvl w:val="1"/>
          <w:numId w:val="69"/>
        </w:numPr>
        <w:tabs>
          <w:tab w:val="left" w:pos="1706"/>
        </w:tabs>
        <w:spacing w:line="249" w:lineRule="auto"/>
        <w:ind w:right="1104" w:firstLine="340"/>
        <w:rPr>
          <w:sz w:val="20"/>
        </w:rPr>
      </w:pPr>
      <w:r>
        <w:rPr>
          <w:sz w:val="20"/>
        </w:rPr>
        <w:t>Cualesquiera otros datos de interés para la contratación pública que se determinen</w:t>
      </w:r>
      <w:r>
        <w:rPr>
          <w:spacing w:val="80"/>
          <w:sz w:val="20"/>
        </w:rPr>
        <w:t xml:space="preserve"> </w:t>
      </w:r>
      <w:r>
        <w:rPr>
          <w:spacing w:val="-2"/>
          <w:sz w:val="20"/>
        </w:rPr>
        <w:t>reglamentariamente.</w:t>
      </w:r>
    </w:p>
    <w:p w:rsidR="0092635B" w:rsidRDefault="00000000">
      <w:pPr>
        <w:pStyle w:val="Prrafodelista"/>
        <w:numPr>
          <w:ilvl w:val="0"/>
          <w:numId w:val="69"/>
        </w:numPr>
        <w:tabs>
          <w:tab w:val="left" w:pos="1681"/>
        </w:tabs>
        <w:spacing w:before="121" w:line="249" w:lineRule="auto"/>
        <w:ind w:right="1106" w:firstLine="340"/>
        <w:rPr>
          <w:sz w:val="20"/>
        </w:rPr>
      </w:pPr>
      <w:r>
        <w:rPr>
          <w:sz w:val="20"/>
        </w:rPr>
        <w:t>Reglamentariamente se establecerán el procedimiento y requisitos para la inscripción de dichos datos y circunstancias.</w:t>
      </w:r>
    </w:p>
    <w:p w:rsidR="0092635B" w:rsidRDefault="00000000">
      <w:pPr>
        <w:tabs>
          <w:tab w:val="left" w:pos="2593"/>
        </w:tabs>
        <w:spacing w:before="229" w:line="249" w:lineRule="auto"/>
        <w:ind w:left="1106" w:right="1120" w:hanging="1"/>
        <w:rPr>
          <w:rFonts w:ascii="Arial" w:hAnsi="Arial"/>
          <w:i/>
          <w:sz w:val="20"/>
        </w:rPr>
      </w:pPr>
      <w:bookmarkStart w:id="574" w:name="Artículo_340._Competencia_para_la_inscri"/>
      <w:bookmarkEnd w:id="574"/>
      <w:r>
        <w:rPr>
          <w:rFonts w:ascii="Arial" w:hAnsi="Arial"/>
          <w:b/>
          <w:sz w:val="20"/>
        </w:rPr>
        <w:t>Artículo</w:t>
      </w:r>
      <w:r>
        <w:rPr>
          <w:rFonts w:ascii="Arial" w:hAnsi="Arial"/>
          <w:b/>
          <w:spacing w:val="40"/>
          <w:sz w:val="20"/>
        </w:rPr>
        <w:t xml:space="preserve"> </w:t>
      </w:r>
      <w:r>
        <w:rPr>
          <w:rFonts w:ascii="Arial" w:hAnsi="Arial"/>
          <w:b/>
          <w:sz w:val="20"/>
        </w:rPr>
        <w:t>340.</w:t>
      </w:r>
      <w:r>
        <w:rPr>
          <w:rFonts w:ascii="Arial" w:hAnsi="Arial"/>
          <w:b/>
          <w:sz w:val="20"/>
        </w:rPr>
        <w:tab/>
      </w:r>
      <w:r>
        <w:rPr>
          <w:rFonts w:ascii="Arial" w:hAnsi="Arial"/>
          <w:i/>
          <w:sz w:val="20"/>
        </w:rPr>
        <w:t>Competencia</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inscripción</w:t>
      </w:r>
      <w:r>
        <w:rPr>
          <w:rFonts w:ascii="Arial" w:hAnsi="Arial"/>
          <w:i/>
          <w:spacing w:val="40"/>
          <w:sz w:val="20"/>
        </w:rPr>
        <w:t xml:space="preserve"> </w:t>
      </w:r>
      <w:r>
        <w:rPr>
          <w:rFonts w:ascii="Arial" w:hAnsi="Arial"/>
          <w:i/>
          <w:sz w:val="20"/>
        </w:rPr>
        <w:t>en</w:t>
      </w:r>
      <w:r>
        <w:rPr>
          <w:rFonts w:ascii="Arial" w:hAnsi="Arial"/>
          <w:i/>
          <w:spacing w:val="40"/>
          <w:sz w:val="20"/>
        </w:rPr>
        <w:t xml:space="preserve"> </w:t>
      </w:r>
      <w:r>
        <w:rPr>
          <w:rFonts w:ascii="Arial" w:hAnsi="Arial"/>
          <w:i/>
          <w:sz w:val="20"/>
        </w:rPr>
        <w:t>el</w:t>
      </w:r>
      <w:r>
        <w:rPr>
          <w:rFonts w:ascii="Arial" w:hAnsi="Arial"/>
          <w:i/>
          <w:spacing w:val="40"/>
          <w:sz w:val="20"/>
        </w:rPr>
        <w:t xml:space="preserve"> </w:t>
      </w:r>
      <w:r>
        <w:rPr>
          <w:rFonts w:ascii="Arial" w:hAnsi="Arial"/>
          <w:i/>
          <w:sz w:val="20"/>
        </w:rPr>
        <w:t>Registro</w:t>
      </w:r>
      <w:r>
        <w:rPr>
          <w:rFonts w:ascii="Arial" w:hAnsi="Arial"/>
          <w:i/>
          <w:spacing w:val="40"/>
          <w:sz w:val="20"/>
        </w:rPr>
        <w:t xml:space="preserve"> </w:t>
      </w:r>
      <w:r>
        <w:rPr>
          <w:rFonts w:ascii="Arial" w:hAnsi="Arial"/>
          <w:i/>
          <w:sz w:val="20"/>
        </w:rPr>
        <w:t>Oficial</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Licitadores</w:t>
      </w:r>
      <w:r>
        <w:rPr>
          <w:rFonts w:ascii="Arial" w:hAnsi="Arial"/>
          <w:i/>
          <w:spacing w:val="40"/>
          <w:sz w:val="20"/>
        </w:rPr>
        <w:t xml:space="preserve"> </w:t>
      </w:r>
      <w:r>
        <w:rPr>
          <w:rFonts w:ascii="Arial" w:hAnsi="Arial"/>
          <w:i/>
          <w:sz w:val="20"/>
        </w:rPr>
        <w:t>y Empresas Clasificadas del Sector Público.</w:t>
      </w:r>
    </w:p>
    <w:p w:rsidR="0092635B" w:rsidRDefault="00000000">
      <w:pPr>
        <w:pStyle w:val="Prrafodelista"/>
        <w:numPr>
          <w:ilvl w:val="0"/>
          <w:numId w:val="68"/>
        </w:numPr>
        <w:tabs>
          <w:tab w:val="left" w:pos="1756"/>
        </w:tabs>
        <w:spacing w:before="115" w:line="249" w:lineRule="auto"/>
        <w:ind w:firstLine="340"/>
        <w:jc w:val="both"/>
        <w:rPr>
          <w:sz w:val="20"/>
        </w:rPr>
      </w:pPr>
      <w:r>
        <w:rPr>
          <w:sz w:val="20"/>
        </w:rPr>
        <w:t>Las inscripciones de oficio en el Registro Oficial de Licitadores y Empresas Clasificadas del Sector Público indicadas en el artículo 338, con excepción de las indicadas en el apartado siguiente, serán practicadas por el órgano del Ministerio de Hacienda y Función Pública designado para su llevanza. Igualmente corresponderá a dicho órgano la adopción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acuerdos</w:t>
      </w:r>
      <w:r>
        <w:rPr>
          <w:spacing w:val="-2"/>
          <w:sz w:val="20"/>
        </w:rPr>
        <w:t xml:space="preserve"> </w:t>
      </w:r>
      <w:r>
        <w:rPr>
          <w:sz w:val="20"/>
        </w:rPr>
        <w:t>de</w:t>
      </w:r>
      <w:r>
        <w:rPr>
          <w:spacing w:val="-2"/>
          <w:sz w:val="20"/>
        </w:rPr>
        <w:t xml:space="preserve"> </w:t>
      </w:r>
      <w:r>
        <w:rPr>
          <w:sz w:val="20"/>
        </w:rPr>
        <w:t>inscripción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datos</w:t>
      </w:r>
      <w:r>
        <w:rPr>
          <w:spacing w:val="-2"/>
          <w:sz w:val="20"/>
        </w:rPr>
        <w:t xml:space="preserve"> </w:t>
      </w:r>
      <w:r>
        <w:rPr>
          <w:sz w:val="20"/>
        </w:rPr>
        <w:t>y</w:t>
      </w:r>
      <w:r>
        <w:rPr>
          <w:spacing w:val="-2"/>
          <w:sz w:val="20"/>
        </w:rPr>
        <w:t xml:space="preserve"> </w:t>
      </w:r>
      <w:r>
        <w:rPr>
          <w:sz w:val="20"/>
        </w:rPr>
        <w:t>circunstancias</w:t>
      </w:r>
      <w:r>
        <w:rPr>
          <w:spacing w:val="-2"/>
          <w:sz w:val="20"/>
        </w:rPr>
        <w:t xml:space="preserve"> </w:t>
      </w:r>
      <w:r>
        <w:rPr>
          <w:sz w:val="20"/>
        </w:rPr>
        <w:t>indicados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 339 derivados de las solicitudes de inscripción de los interesados que así se lo soliciten.</w:t>
      </w:r>
    </w:p>
    <w:p w:rsidR="0092635B" w:rsidRDefault="00000000">
      <w:pPr>
        <w:pStyle w:val="Prrafodelista"/>
        <w:numPr>
          <w:ilvl w:val="0"/>
          <w:numId w:val="68"/>
        </w:numPr>
        <w:tabs>
          <w:tab w:val="left" w:pos="1675"/>
        </w:tabs>
        <w:spacing w:before="5" w:line="249" w:lineRule="auto"/>
        <w:ind w:right="1104" w:firstLine="340"/>
        <w:jc w:val="both"/>
        <w:rPr>
          <w:sz w:val="20"/>
        </w:rPr>
      </w:pPr>
      <w:r>
        <w:rPr>
          <w:sz w:val="20"/>
        </w:rPr>
        <w:t>Los órganos competentes de las Comunidades Autónomas que opten por no llevar su propio Registro de licitadores y empresas clasificadas practicarán en el Registro Oficial de Licitadores y Empresas Clasificadas del Sector Público las inscripciones de oficio a las que se refieren el primer párrafo del apartado 1 del artículo 341 y el segundo inciso del primer párrafo del apartado 1 del artículo 338. Podrán practicar igualmente en el Registro las inscripciones indicadas en el apartado segundo del artículo 341 cuando se refieran a empresarios domiciliados en su ámbito territorial y así les sea solicitado por el interesado.</w:t>
      </w:r>
    </w:p>
    <w:p w:rsidR="0092635B" w:rsidRDefault="00000000">
      <w:pPr>
        <w:pStyle w:val="Textoindependiente"/>
        <w:spacing w:before="5" w:line="249" w:lineRule="auto"/>
        <w:ind w:right="1104"/>
      </w:pPr>
      <w:r>
        <w:t>La práctica de inscripciones en el Registro por los órganos competentes de las Comunidades Autónomas exigirá la previa suscripción de un convenio a tal efecto con el Ministerio de Hacienda y Función Pública.</w:t>
      </w:r>
    </w:p>
    <w:p w:rsidR="0092635B" w:rsidRDefault="00000000">
      <w:pPr>
        <w:pStyle w:val="Prrafodelista"/>
        <w:numPr>
          <w:ilvl w:val="0"/>
          <w:numId w:val="68"/>
        </w:numPr>
        <w:tabs>
          <w:tab w:val="left" w:pos="1690"/>
        </w:tabs>
        <w:spacing w:before="3" w:line="249" w:lineRule="auto"/>
        <w:ind w:firstLine="340"/>
        <w:jc w:val="both"/>
        <w:rPr>
          <w:sz w:val="20"/>
        </w:rPr>
      </w:pPr>
      <w:r>
        <w:rPr>
          <w:sz w:val="20"/>
        </w:rPr>
        <w:t>Todas las inscripciones practicadas en el Registro Oficial de Licitadores y Empresas Clasificadas del Sector Público tendrán, sin distinción alguna, los mismos efectos acreditativos y eficacia plena frente a todos los órganos de contratación del Sector Público.</w:t>
      </w:r>
    </w:p>
    <w:p w:rsidR="0092635B" w:rsidRDefault="00000000">
      <w:pPr>
        <w:tabs>
          <w:tab w:val="left" w:pos="2643"/>
        </w:tabs>
        <w:spacing w:before="229" w:line="249" w:lineRule="auto"/>
        <w:ind w:left="1106" w:right="1120" w:hanging="1"/>
        <w:rPr>
          <w:rFonts w:ascii="Arial" w:hAnsi="Arial"/>
          <w:i/>
          <w:sz w:val="20"/>
        </w:rPr>
      </w:pPr>
      <w:bookmarkStart w:id="575" w:name="Artículo_341._Registros_de_licitadores_y"/>
      <w:bookmarkEnd w:id="575"/>
      <w:r>
        <w:rPr>
          <w:rFonts w:ascii="Arial" w:hAnsi="Arial"/>
          <w:b/>
          <w:sz w:val="20"/>
        </w:rPr>
        <w:t>Artículo</w:t>
      </w:r>
      <w:r>
        <w:rPr>
          <w:rFonts w:ascii="Arial" w:hAnsi="Arial"/>
          <w:b/>
          <w:spacing w:val="40"/>
          <w:sz w:val="20"/>
        </w:rPr>
        <w:t xml:space="preserve"> </w:t>
      </w:r>
      <w:r>
        <w:rPr>
          <w:rFonts w:ascii="Arial" w:hAnsi="Arial"/>
          <w:b/>
          <w:sz w:val="20"/>
        </w:rPr>
        <w:t>341.</w:t>
      </w:r>
      <w:r>
        <w:rPr>
          <w:rFonts w:ascii="Arial" w:hAnsi="Arial"/>
          <w:b/>
          <w:sz w:val="20"/>
        </w:rPr>
        <w:tab/>
      </w:r>
      <w:r>
        <w:rPr>
          <w:rFonts w:ascii="Arial" w:hAnsi="Arial"/>
          <w:i/>
          <w:sz w:val="20"/>
        </w:rPr>
        <w:t>Registros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licitadores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empresas</w:t>
      </w:r>
      <w:r>
        <w:rPr>
          <w:rFonts w:ascii="Arial" w:hAnsi="Arial"/>
          <w:i/>
          <w:spacing w:val="40"/>
          <w:sz w:val="20"/>
        </w:rPr>
        <w:t xml:space="preserve"> </w:t>
      </w:r>
      <w:r>
        <w:rPr>
          <w:rFonts w:ascii="Arial" w:hAnsi="Arial"/>
          <w:i/>
          <w:sz w:val="20"/>
        </w:rPr>
        <w:t>clasificadas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las</w:t>
      </w:r>
      <w:r>
        <w:rPr>
          <w:rFonts w:ascii="Arial" w:hAnsi="Arial"/>
          <w:i/>
          <w:spacing w:val="40"/>
          <w:sz w:val="20"/>
        </w:rPr>
        <w:t xml:space="preserve"> </w:t>
      </w:r>
      <w:r>
        <w:rPr>
          <w:rFonts w:ascii="Arial" w:hAnsi="Arial"/>
          <w:i/>
          <w:sz w:val="20"/>
        </w:rPr>
        <w:t>Comunidades</w:t>
      </w:r>
      <w:r>
        <w:rPr>
          <w:rFonts w:ascii="Arial" w:hAnsi="Arial"/>
          <w:i/>
          <w:spacing w:val="80"/>
          <w:sz w:val="20"/>
        </w:rPr>
        <w:t xml:space="preserve"> </w:t>
      </w:r>
      <w:r>
        <w:rPr>
          <w:rFonts w:ascii="Arial" w:hAnsi="Arial"/>
          <w:i/>
          <w:spacing w:val="-2"/>
          <w:sz w:val="20"/>
        </w:rPr>
        <w:t>Autónomas.</w:t>
      </w:r>
    </w:p>
    <w:p w:rsidR="0092635B" w:rsidRDefault="00000000">
      <w:pPr>
        <w:pStyle w:val="Prrafodelista"/>
        <w:numPr>
          <w:ilvl w:val="0"/>
          <w:numId w:val="67"/>
        </w:numPr>
        <w:tabs>
          <w:tab w:val="left" w:pos="1708"/>
        </w:tabs>
        <w:spacing w:before="115" w:line="249" w:lineRule="auto"/>
        <w:ind w:right="1102" w:firstLine="340"/>
        <w:jc w:val="both"/>
        <w:rPr>
          <w:sz w:val="20"/>
        </w:rPr>
      </w:pPr>
      <w:r>
        <w:rPr>
          <w:sz w:val="20"/>
        </w:rPr>
        <w:t>Las Comunidades Autónomas podrán llevar sus propios Registros de licitadores y empresas clasificadas, en los que inscribirán las clasificaciones a las que se refiere el segundo párrafo del artículo 81 y, en todo caso, las prohibiciones de contratar que sean declaradas por sus órganos competentes, por los de las entidades locales de su ámbito territorial, o por los de los organismos y entidades dependientes de una u otras.</w:t>
      </w:r>
    </w:p>
    <w:p w:rsidR="0092635B" w:rsidRDefault="00000000">
      <w:pPr>
        <w:pStyle w:val="Textoindependiente"/>
        <w:spacing w:before="4" w:line="249" w:lineRule="auto"/>
        <w:ind w:right="1104"/>
      </w:pPr>
      <w:r>
        <w:t>A efectos de poder dar cumplimiento a lo establecido en el párrafo anterior, el órgano del que</w:t>
      </w:r>
      <w:r>
        <w:rPr>
          <w:spacing w:val="-2"/>
        </w:rPr>
        <w:t xml:space="preserve"> </w:t>
      </w:r>
      <w:r>
        <w:t>emane</w:t>
      </w:r>
      <w:r>
        <w:rPr>
          <w:spacing w:val="-2"/>
        </w:rPr>
        <w:t xml:space="preserve"> </w:t>
      </w:r>
      <w:r>
        <w:t>la</w:t>
      </w:r>
      <w:r>
        <w:rPr>
          <w:spacing w:val="-2"/>
        </w:rPr>
        <w:t xml:space="preserve"> </w:t>
      </w:r>
      <w:r>
        <w:t>resolución</w:t>
      </w:r>
      <w:r>
        <w:rPr>
          <w:spacing w:val="-2"/>
        </w:rPr>
        <w:t xml:space="preserve"> </w:t>
      </w:r>
      <w:r>
        <w:t>que</w:t>
      </w:r>
      <w:r>
        <w:rPr>
          <w:spacing w:val="-2"/>
        </w:rPr>
        <w:t xml:space="preserve"> </w:t>
      </w:r>
      <w:r>
        <w:t>impone</w:t>
      </w:r>
      <w:r>
        <w:rPr>
          <w:spacing w:val="-2"/>
        </w:rPr>
        <w:t xml:space="preserve"> </w:t>
      </w:r>
      <w:r>
        <w:t>la</w:t>
      </w:r>
      <w:r>
        <w:rPr>
          <w:spacing w:val="-2"/>
        </w:rPr>
        <w:t xml:space="preserve"> </w:t>
      </w:r>
      <w:r>
        <w:t>prohibición</w:t>
      </w:r>
      <w:r>
        <w:rPr>
          <w:spacing w:val="-2"/>
        </w:rPr>
        <w:t xml:space="preserve"> </w:t>
      </w:r>
      <w:r>
        <w:t>de</w:t>
      </w:r>
      <w:r>
        <w:rPr>
          <w:spacing w:val="-2"/>
        </w:rPr>
        <w:t xml:space="preserve"> </w:t>
      </w:r>
      <w:r>
        <w:t>contratar</w:t>
      </w:r>
      <w:r>
        <w:rPr>
          <w:spacing w:val="-2"/>
        </w:rPr>
        <w:t xml:space="preserve"> </w:t>
      </w:r>
      <w:r>
        <w:t>deberá</w:t>
      </w:r>
      <w:r>
        <w:rPr>
          <w:spacing w:val="-2"/>
        </w:rPr>
        <w:t xml:space="preserve"> </w:t>
      </w:r>
      <w:r>
        <w:t>remitir</w:t>
      </w:r>
      <w:r>
        <w:rPr>
          <w:spacing w:val="-2"/>
        </w:rPr>
        <w:t xml:space="preserve"> </w:t>
      </w:r>
      <w:r>
        <w:t>de</w:t>
      </w:r>
      <w:r>
        <w:rPr>
          <w:spacing w:val="-2"/>
        </w:rPr>
        <w:t xml:space="preserve"> </w:t>
      </w:r>
      <w:r>
        <w:t>oficio</w:t>
      </w:r>
      <w:r>
        <w:rPr>
          <w:spacing w:val="-2"/>
        </w:rPr>
        <w:t xml:space="preserve"> </w:t>
      </w:r>
      <w:r>
        <w:t>copia de esta al órgano competente de la llevanza del registro, sin perjuicio de que por parte de este órgano, de tener conocimiento de su existencia y no habiendo recibido copia de la resolución pueda solicitarla al órgano del que emanó.</w:t>
      </w:r>
    </w:p>
    <w:p w:rsidR="0092635B" w:rsidRDefault="00000000">
      <w:pPr>
        <w:pStyle w:val="Textoindependiente"/>
        <w:spacing w:before="4" w:line="249" w:lineRule="auto"/>
        <w:ind w:right="1103"/>
      </w:pPr>
      <w:r>
        <w:t>Las restantes prohibiciones de contratar que deban ser inscritas en el Registro Oficial de Licitadores</w:t>
      </w:r>
      <w:r>
        <w:rPr>
          <w:spacing w:val="14"/>
        </w:rPr>
        <w:t xml:space="preserve"> </w:t>
      </w:r>
      <w:r>
        <w:t>y</w:t>
      </w:r>
      <w:r>
        <w:rPr>
          <w:spacing w:val="16"/>
        </w:rPr>
        <w:t xml:space="preserve"> </w:t>
      </w:r>
      <w:r>
        <w:t>Empresas</w:t>
      </w:r>
      <w:r>
        <w:rPr>
          <w:spacing w:val="16"/>
        </w:rPr>
        <w:t xml:space="preserve"> </w:t>
      </w:r>
      <w:r>
        <w:t>Clasificadas</w:t>
      </w:r>
      <w:r>
        <w:rPr>
          <w:spacing w:val="16"/>
        </w:rPr>
        <w:t xml:space="preserve"> </w:t>
      </w:r>
      <w:r>
        <w:t>del</w:t>
      </w:r>
      <w:r>
        <w:rPr>
          <w:spacing w:val="16"/>
        </w:rPr>
        <w:t xml:space="preserve"> </w:t>
      </w:r>
      <w:r>
        <w:t>Sector</w:t>
      </w:r>
      <w:r>
        <w:rPr>
          <w:spacing w:val="16"/>
        </w:rPr>
        <w:t xml:space="preserve"> </w:t>
      </w:r>
      <w:r>
        <w:t>Público</w:t>
      </w:r>
      <w:r>
        <w:rPr>
          <w:spacing w:val="16"/>
        </w:rPr>
        <w:t xml:space="preserve"> </w:t>
      </w:r>
      <w:r>
        <w:t>serán</w:t>
      </w:r>
      <w:r>
        <w:rPr>
          <w:spacing w:val="16"/>
        </w:rPr>
        <w:t xml:space="preserve"> </w:t>
      </w:r>
      <w:r>
        <w:t>igualmente</w:t>
      </w:r>
      <w:r>
        <w:rPr>
          <w:spacing w:val="16"/>
        </w:rPr>
        <w:t xml:space="preserve"> </w:t>
      </w:r>
      <w:r>
        <w:t>publicadas</w:t>
      </w:r>
      <w:r>
        <w:rPr>
          <w:spacing w:val="16"/>
        </w:rPr>
        <w:t xml:space="preserve"> </w:t>
      </w:r>
      <w:r>
        <w:t>en</w:t>
      </w:r>
      <w:r>
        <w:rPr>
          <w:spacing w:val="16"/>
        </w:rPr>
        <w:t xml:space="preserve"> </w:t>
      </w:r>
      <w:r>
        <w:rPr>
          <w:spacing w:val="-5"/>
        </w:rPr>
        <w:t>los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hanging="1"/>
      </w:pPr>
      <w:r>
        <w:t>registros de licitadores y empresas clasificadas de las Comunidades Autónomas,</w:t>
      </w:r>
      <w:r>
        <w:rPr>
          <w:spacing w:val="40"/>
        </w:rPr>
        <w:t xml:space="preserve"> </w:t>
      </w:r>
      <w:r>
        <w:t>aplicándose a tal efecto lo dispuesto en el artículo 345.</w:t>
      </w:r>
    </w:p>
    <w:p w:rsidR="0092635B" w:rsidRDefault="00000000">
      <w:pPr>
        <w:pStyle w:val="Prrafodelista"/>
        <w:numPr>
          <w:ilvl w:val="0"/>
          <w:numId w:val="67"/>
        </w:numPr>
        <w:tabs>
          <w:tab w:val="left" w:pos="1678"/>
        </w:tabs>
        <w:spacing w:before="1" w:line="249" w:lineRule="auto"/>
        <w:ind w:firstLine="340"/>
        <w:jc w:val="both"/>
        <w:rPr>
          <w:sz w:val="20"/>
        </w:rPr>
      </w:pPr>
      <w:r>
        <w:rPr>
          <w:sz w:val="20"/>
        </w:rPr>
        <w:t>Podrán igualmente ser inscritos en el registro, cuando así lo solicite el interesado a la Comunidad Autónoma, los datos y circunstancias indicados en el artículo 339.</w:t>
      </w:r>
    </w:p>
    <w:p w:rsidR="0092635B" w:rsidRDefault="00000000">
      <w:pPr>
        <w:pStyle w:val="Prrafodelista"/>
        <w:numPr>
          <w:ilvl w:val="0"/>
          <w:numId w:val="67"/>
        </w:numPr>
        <w:tabs>
          <w:tab w:val="left" w:pos="1677"/>
        </w:tabs>
        <w:spacing w:line="249" w:lineRule="auto"/>
        <w:ind w:right="1104" w:firstLine="340"/>
        <w:jc w:val="both"/>
        <w:rPr>
          <w:sz w:val="20"/>
        </w:rPr>
      </w:pPr>
      <w:r>
        <w:rPr>
          <w:sz w:val="20"/>
        </w:rPr>
        <w:t>La inscripción en el registro de licitadores y empresas clasificadas de una Comunidad Autónoma acreditará los datos y circunstancias de los empresarios ante los órganos de contratación de la propia Comunidad Autónoma, de las entidades locales de su ámbito territorial, y de los organismos y entidades dependientes de una u otras.</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576" w:name="Artículo_342._Voluntariedad_de_la_inscri"/>
      <w:bookmarkEnd w:id="576"/>
      <w:r>
        <w:rPr>
          <w:rFonts w:ascii="Arial" w:hAnsi="Arial"/>
          <w:b/>
          <w:sz w:val="20"/>
        </w:rPr>
        <w:t>Artículo</w:t>
      </w:r>
      <w:r>
        <w:rPr>
          <w:rFonts w:ascii="Arial" w:hAnsi="Arial"/>
          <w:b/>
          <w:spacing w:val="-6"/>
          <w:sz w:val="20"/>
        </w:rPr>
        <w:t xml:space="preserve"> </w:t>
      </w:r>
      <w:r>
        <w:rPr>
          <w:rFonts w:ascii="Arial" w:hAnsi="Arial"/>
          <w:b/>
          <w:sz w:val="20"/>
        </w:rPr>
        <w:t>342.</w:t>
      </w:r>
      <w:r>
        <w:rPr>
          <w:rFonts w:ascii="Arial" w:hAnsi="Arial"/>
          <w:b/>
          <w:spacing w:val="47"/>
          <w:sz w:val="20"/>
        </w:rPr>
        <w:t xml:space="preserve"> </w:t>
      </w:r>
      <w:r>
        <w:rPr>
          <w:rFonts w:ascii="Arial" w:hAnsi="Arial"/>
          <w:i/>
          <w:sz w:val="20"/>
        </w:rPr>
        <w:t>Voluntariedad</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3"/>
          <w:sz w:val="20"/>
        </w:rPr>
        <w:t xml:space="preserve"> </w:t>
      </w:r>
      <w:r>
        <w:rPr>
          <w:rFonts w:ascii="Arial" w:hAnsi="Arial"/>
          <w:i/>
          <w:spacing w:val="-2"/>
          <w:sz w:val="20"/>
        </w:rPr>
        <w:t>inscripción.</w:t>
      </w:r>
    </w:p>
    <w:p w:rsidR="0092635B" w:rsidRDefault="00000000">
      <w:pPr>
        <w:pStyle w:val="Prrafodelista"/>
        <w:numPr>
          <w:ilvl w:val="0"/>
          <w:numId w:val="66"/>
        </w:numPr>
        <w:tabs>
          <w:tab w:val="left" w:pos="1705"/>
        </w:tabs>
        <w:spacing w:before="123" w:line="249" w:lineRule="auto"/>
        <w:ind w:firstLine="340"/>
        <w:jc w:val="both"/>
        <w:rPr>
          <w:sz w:val="20"/>
        </w:rPr>
      </w:pPr>
      <w:r>
        <w:rPr>
          <w:sz w:val="20"/>
        </w:rPr>
        <w:t>Sin perjuicio de la práctica de oficio de las inscripciones obligatorias a las que se refieren el artículo 338 y el apartado 1 del artículo 341, la inscripción en los Registros de licitadores y empresas clasificadas es voluntaria para los empresarios, los cuales podrán determinar</w:t>
      </w:r>
      <w:r>
        <w:rPr>
          <w:spacing w:val="-1"/>
          <w:sz w:val="20"/>
        </w:rPr>
        <w:t xml:space="preserve"> </w:t>
      </w:r>
      <w:r>
        <w:rPr>
          <w:sz w:val="20"/>
        </w:rPr>
        <w:t>qué</w:t>
      </w:r>
      <w:r>
        <w:rPr>
          <w:spacing w:val="-1"/>
          <w:sz w:val="20"/>
        </w:rPr>
        <w:t xml:space="preserve"> </w:t>
      </w:r>
      <w:r>
        <w:rPr>
          <w:sz w:val="20"/>
        </w:rPr>
        <w:t>datos</w:t>
      </w:r>
      <w:r>
        <w:rPr>
          <w:spacing w:val="-1"/>
          <w:sz w:val="20"/>
        </w:rPr>
        <w:t xml:space="preserve"> </w:t>
      </w:r>
      <w:r>
        <w:rPr>
          <w:sz w:val="20"/>
        </w:rPr>
        <w:t>de</w:t>
      </w:r>
      <w:r>
        <w:rPr>
          <w:spacing w:val="-1"/>
          <w:sz w:val="20"/>
        </w:rPr>
        <w:t xml:space="preserve"> </w:t>
      </w:r>
      <w:r>
        <w:rPr>
          <w:sz w:val="20"/>
        </w:rPr>
        <w:t>entre</w:t>
      </w:r>
      <w:r>
        <w:rPr>
          <w:spacing w:val="-1"/>
          <w:sz w:val="20"/>
        </w:rPr>
        <w:t xml:space="preserve"> </w:t>
      </w:r>
      <w:r>
        <w:rPr>
          <w:sz w:val="20"/>
        </w:rPr>
        <w:t>los</w:t>
      </w:r>
      <w:r>
        <w:rPr>
          <w:spacing w:val="-1"/>
          <w:sz w:val="20"/>
        </w:rPr>
        <w:t xml:space="preserve"> </w:t>
      </w:r>
      <w:r>
        <w:rPr>
          <w:sz w:val="20"/>
        </w:rPr>
        <w:t>mencionados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anterior</w:t>
      </w:r>
      <w:r>
        <w:rPr>
          <w:spacing w:val="-1"/>
          <w:sz w:val="20"/>
        </w:rPr>
        <w:t xml:space="preserve"> </w:t>
      </w:r>
      <w:r>
        <w:rPr>
          <w:sz w:val="20"/>
        </w:rPr>
        <w:t>desean</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reflejen en ellos. La inscripción implicará el consentimiento del empresario para la difusión por medios electrónicos de sus datos inscritos, en los términos y con los límites y restricciones que legal o reglamentariamente se determinen.</w:t>
      </w:r>
    </w:p>
    <w:p w:rsidR="0092635B" w:rsidRDefault="00000000">
      <w:pPr>
        <w:pStyle w:val="Prrafodelista"/>
        <w:numPr>
          <w:ilvl w:val="0"/>
          <w:numId w:val="66"/>
        </w:numPr>
        <w:tabs>
          <w:tab w:val="left" w:pos="1680"/>
        </w:tabs>
        <w:spacing w:before="6" w:line="249" w:lineRule="auto"/>
        <w:ind w:right="1105" w:firstLine="340"/>
        <w:jc w:val="both"/>
        <w:rPr>
          <w:sz w:val="20"/>
        </w:rPr>
      </w:pPr>
      <w:r>
        <w:rPr>
          <w:sz w:val="20"/>
        </w:rPr>
        <w:t>Los interesados podrán en todo momento solicitar la cancelación de las inscripciones</w:t>
      </w:r>
      <w:r>
        <w:rPr>
          <w:spacing w:val="40"/>
          <w:sz w:val="20"/>
        </w:rPr>
        <w:t xml:space="preserve"> </w:t>
      </w:r>
      <w:r>
        <w:rPr>
          <w:sz w:val="20"/>
        </w:rPr>
        <w:t>a ellos referidas, salvo en los casos y circunstancias de inscripción obligatoria.</w:t>
      </w:r>
    </w:p>
    <w:p w:rsidR="0092635B" w:rsidRDefault="00000000">
      <w:pPr>
        <w:spacing w:before="229"/>
        <w:ind w:left="1106"/>
        <w:rPr>
          <w:rFonts w:ascii="Arial" w:hAnsi="Arial"/>
          <w:i/>
          <w:sz w:val="20"/>
        </w:rPr>
      </w:pPr>
      <w:bookmarkStart w:id="577" w:name="Artículo_343._Actualización_de_la_inform"/>
      <w:bookmarkEnd w:id="577"/>
      <w:r>
        <w:rPr>
          <w:rFonts w:ascii="Arial" w:hAnsi="Arial"/>
          <w:b/>
          <w:sz w:val="20"/>
        </w:rPr>
        <w:t>Artículo</w:t>
      </w:r>
      <w:r>
        <w:rPr>
          <w:rFonts w:ascii="Arial" w:hAnsi="Arial"/>
          <w:b/>
          <w:spacing w:val="-4"/>
          <w:sz w:val="20"/>
        </w:rPr>
        <w:t xml:space="preserve"> </w:t>
      </w:r>
      <w:r>
        <w:rPr>
          <w:rFonts w:ascii="Arial" w:hAnsi="Arial"/>
          <w:b/>
          <w:sz w:val="20"/>
        </w:rPr>
        <w:t>343.</w:t>
      </w:r>
      <w:r>
        <w:rPr>
          <w:rFonts w:ascii="Arial" w:hAnsi="Arial"/>
          <w:b/>
          <w:spacing w:val="47"/>
          <w:sz w:val="20"/>
        </w:rPr>
        <w:t xml:space="preserve"> </w:t>
      </w:r>
      <w:r>
        <w:rPr>
          <w:rFonts w:ascii="Arial" w:hAnsi="Arial"/>
          <w:i/>
          <w:sz w:val="20"/>
        </w:rPr>
        <w:t>Actualización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3"/>
          <w:sz w:val="20"/>
        </w:rPr>
        <w:t xml:space="preserve"> </w:t>
      </w:r>
      <w:r>
        <w:rPr>
          <w:rFonts w:ascii="Arial" w:hAnsi="Arial"/>
          <w:i/>
          <w:sz w:val="20"/>
        </w:rPr>
        <w:t>información</w:t>
      </w:r>
      <w:r>
        <w:rPr>
          <w:rFonts w:ascii="Arial" w:hAnsi="Arial"/>
          <w:i/>
          <w:spacing w:val="-3"/>
          <w:sz w:val="20"/>
        </w:rPr>
        <w:t xml:space="preserve"> </w:t>
      </w:r>
      <w:r>
        <w:rPr>
          <w:rFonts w:ascii="Arial" w:hAnsi="Arial"/>
          <w:i/>
          <w:spacing w:val="-2"/>
          <w:sz w:val="20"/>
        </w:rPr>
        <w:t>registral.</w:t>
      </w:r>
    </w:p>
    <w:p w:rsidR="0092635B" w:rsidRDefault="00000000">
      <w:pPr>
        <w:pStyle w:val="Prrafodelista"/>
        <w:numPr>
          <w:ilvl w:val="0"/>
          <w:numId w:val="65"/>
        </w:numPr>
        <w:tabs>
          <w:tab w:val="left" w:pos="1674"/>
        </w:tabs>
        <w:spacing w:before="123" w:line="249" w:lineRule="auto"/>
        <w:ind w:right="1102" w:firstLine="340"/>
        <w:jc w:val="both"/>
        <w:rPr>
          <w:sz w:val="20"/>
        </w:rPr>
      </w:pPr>
      <w:r>
        <w:rPr>
          <w:sz w:val="20"/>
        </w:rPr>
        <w:t>Los empresarios inscritos en los registros de licitadores y empresas clasificadas están obligados a poner en conocimiento del registro cualquier variación que se produzca en sus datos en él reflejados, así como la superveniencia de cualquier circunstancia que determine la concurrencia de una prohibición de contratar susceptible de inscripción en dichos</w:t>
      </w:r>
      <w:r>
        <w:rPr>
          <w:spacing w:val="80"/>
          <w:sz w:val="20"/>
        </w:rPr>
        <w:t xml:space="preserve"> </w:t>
      </w:r>
      <w:r>
        <w:rPr>
          <w:spacing w:val="-2"/>
          <w:sz w:val="20"/>
        </w:rPr>
        <w:t>registros.</w:t>
      </w:r>
    </w:p>
    <w:p w:rsidR="0092635B" w:rsidRDefault="00000000">
      <w:pPr>
        <w:pStyle w:val="Textoindependiente"/>
        <w:spacing w:before="4" w:line="249" w:lineRule="auto"/>
        <w:ind w:right="1103"/>
      </w:pPr>
      <w:r>
        <w:t>Sin perjuicio de lo dispuesto en la letra e) del apartado 1 del artículo 71, la omisión de esta</w:t>
      </w:r>
      <w:r>
        <w:rPr>
          <w:spacing w:val="-1"/>
        </w:rPr>
        <w:t xml:space="preserve"> </w:t>
      </w:r>
      <w:r>
        <w:t>comunicación,</w:t>
      </w:r>
      <w:r>
        <w:rPr>
          <w:spacing w:val="-1"/>
        </w:rPr>
        <w:t xml:space="preserve"> </w:t>
      </w:r>
      <w:r>
        <w:t>mediando</w:t>
      </w:r>
      <w:r>
        <w:rPr>
          <w:spacing w:val="-1"/>
        </w:rPr>
        <w:t xml:space="preserve"> </w:t>
      </w:r>
      <w:r>
        <w:t>dolo,</w:t>
      </w:r>
      <w:r>
        <w:rPr>
          <w:spacing w:val="-1"/>
        </w:rPr>
        <w:t xml:space="preserve"> </w:t>
      </w:r>
      <w:r>
        <w:t>culpa</w:t>
      </w:r>
      <w:r>
        <w:rPr>
          <w:spacing w:val="-1"/>
        </w:rPr>
        <w:t xml:space="preserve"> </w:t>
      </w:r>
      <w:r>
        <w:t>o</w:t>
      </w:r>
      <w:r>
        <w:rPr>
          <w:spacing w:val="-1"/>
        </w:rPr>
        <w:t xml:space="preserve"> </w:t>
      </w:r>
      <w:r>
        <w:t>negligencia</w:t>
      </w:r>
      <w:r>
        <w:rPr>
          <w:spacing w:val="-1"/>
        </w:rPr>
        <w:t xml:space="preserve"> </w:t>
      </w:r>
      <w:r>
        <w:t>podrá</w:t>
      </w:r>
      <w:r>
        <w:rPr>
          <w:spacing w:val="-1"/>
        </w:rPr>
        <w:t xml:space="preserve"> </w:t>
      </w:r>
      <w:r>
        <w:t>dar</w:t>
      </w:r>
      <w:r>
        <w:rPr>
          <w:spacing w:val="-1"/>
        </w:rPr>
        <w:t xml:space="preserve"> </w:t>
      </w:r>
      <w:r>
        <w:t>lugar</w:t>
      </w:r>
      <w:r>
        <w:rPr>
          <w:spacing w:val="-1"/>
        </w:rPr>
        <w:t xml:space="preserve"> </w:t>
      </w:r>
      <w:r>
        <w:t>a</w:t>
      </w:r>
      <w:r>
        <w:rPr>
          <w:spacing w:val="-1"/>
        </w:rPr>
        <w:t xml:space="preserve"> </w:t>
      </w:r>
      <w:r>
        <w:t>la</w:t>
      </w:r>
      <w:r>
        <w:rPr>
          <w:spacing w:val="-1"/>
        </w:rPr>
        <w:t xml:space="preserve"> </w:t>
      </w:r>
      <w:r>
        <w:t>suspensión</w:t>
      </w:r>
      <w:r>
        <w:rPr>
          <w:spacing w:val="-1"/>
        </w:rPr>
        <w:t xml:space="preserve"> </w:t>
      </w:r>
      <w:r>
        <w:t>de</w:t>
      </w:r>
      <w:r>
        <w:rPr>
          <w:spacing w:val="-1"/>
        </w:rPr>
        <w:t xml:space="preserve"> </w:t>
      </w:r>
      <w:r>
        <w:t>la inscripción del empresario y de sus efectos para la contratación pública, así como del derecho a la expedición de certificados del empresario, salvo en lo relativo a las</w:t>
      </w:r>
      <w:r>
        <w:rPr>
          <w:spacing w:val="40"/>
        </w:rPr>
        <w:t xml:space="preserve"> </w:t>
      </w:r>
      <w:r>
        <w:t>inscripciones practicadas de oficio. En todo caso, la falta de actualización de los datos de un empresario que figuren inscritos en un registro de licitadores y empresas clasificadas no perjudicará a la Administración Pública, organismo o entidad que haya celebrado un contrato con el empresario con base en los datos obrantes en el registro.</w:t>
      </w:r>
    </w:p>
    <w:p w:rsidR="0092635B" w:rsidRDefault="00000000">
      <w:pPr>
        <w:pStyle w:val="Prrafodelista"/>
        <w:numPr>
          <w:ilvl w:val="0"/>
          <w:numId w:val="65"/>
        </w:numPr>
        <w:tabs>
          <w:tab w:val="left" w:pos="1675"/>
        </w:tabs>
        <w:spacing w:before="7" w:line="249" w:lineRule="auto"/>
        <w:ind w:right="1105" w:firstLine="340"/>
        <w:jc w:val="both"/>
        <w:rPr>
          <w:sz w:val="20"/>
        </w:rPr>
      </w:pPr>
      <w:r>
        <w:rPr>
          <w:sz w:val="20"/>
        </w:rPr>
        <w:t>El órgano competente de la llevanza del Registro procederá a la rectificación de oficio de los datos inscritos cuando se verifique que los datos de un asiento son incorrectos, incompletos o no actualizados.</w:t>
      </w:r>
    </w:p>
    <w:p w:rsidR="0092635B" w:rsidRDefault="00000000">
      <w:pPr>
        <w:spacing w:before="229"/>
        <w:ind w:left="1106"/>
        <w:rPr>
          <w:rFonts w:ascii="Arial" w:hAnsi="Arial"/>
          <w:i/>
          <w:sz w:val="20"/>
        </w:rPr>
      </w:pPr>
      <w:bookmarkStart w:id="578" w:name="Artículo_344._Publicidad."/>
      <w:bookmarkEnd w:id="578"/>
      <w:r>
        <w:rPr>
          <w:rFonts w:ascii="Arial" w:hAnsi="Arial"/>
          <w:b/>
          <w:sz w:val="20"/>
        </w:rPr>
        <w:t>Artículo 344.</w:t>
      </w:r>
      <w:r>
        <w:rPr>
          <w:rFonts w:ascii="Arial" w:hAnsi="Arial"/>
          <w:b/>
          <w:spacing w:val="54"/>
          <w:sz w:val="20"/>
        </w:rPr>
        <w:t xml:space="preserve"> </w:t>
      </w:r>
      <w:r>
        <w:rPr>
          <w:rFonts w:ascii="Arial" w:hAnsi="Arial"/>
          <w:i/>
          <w:spacing w:val="-2"/>
          <w:sz w:val="20"/>
        </w:rPr>
        <w:t>Publicidad.</w:t>
      </w:r>
    </w:p>
    <w:p w:rsidR="0092635B" w:rsidRDefault="00000000">
      <w:pPr>
        <w:pStyle w:val="Prrafodelista"/>
        <w:numPr>
          <w:ilvl w:val="0"/>
          <w:numId w:val="64"/>
        </w:numPr>
        <w:tabs>
          <w:tab w:val="left" w:pos="1681"/>
        </w:tabs>
        <w:spacing w:before="123" w:line="249" w:lineRule="auto"/>
        <w:ind w:right="1105" w:firstLine="340"/>
        <w:jc w:val="both"/>
        <w:rPr>
          <w:sz w:val="20"/>
        </w:rPr>
      </w:pPr>
      <w:r>
        <w:rPr>
          <w:sz w:val="20"/>
        </w:rPr>
        <w:t>El Registro será público y se podrá acceder de forma abierta, previa identificación de</w:t>
      </w:r>
      <w:r>
        <w:rPr>
          <w:spacing w:val="40"/>
          <w:sz w:val="20"/>
        </w:rPr>
        <w:t xml:space="preserve"> </w:t>
      </w:r>
      <w:r>
        <w:rPr>
          <w:sz w:val="20"/>
        </w:rPr>
        <w:t>la persona que accede. Además contará con un buscador que facilite su uso.</w:t>
      </w:r>
    </w:p>
    <w:p w:rsidR="0092635B" w:rsidRDefault="00000000">
      <w:pPr>
        <w:pStyle w:val="Prrafodelista"/>
        <w:numPr>
          <w:ilvl w:val="0"/>
          <w:numId w:val="64"/>
        </w:numPr>
        <w:tabs>
          <w:tab w:val="left" w:pos="1684"/>
        </w:tabs>
        <w:spacing w:line="249" w:lineRule="auto"/>
        <w:ind w:firstLine="340"/>
        <w:jc w:val="both"/>
        <w:rPr>
          <w:sz w:val="20"/>
        </w:rPr>
      </w:pPr>
      <w:r>
        <w:rPr>
          <w:sz w:val="20"/>
        </w:rPr>
        <w:t>Reglamentariamente se determinarán las modalidades y requisitos para la publicidad de los asientos del Registro, pudiéndose excluir mediante Orden del Ministerio de Hacienda</w:t>
      </w:r>
      <w:r>
        <w:rPr>
          <w:spacing w:val="40"/>
          <w:sz w:val="20"/>
        </w:rPr>
        <w:t xml:space="preserve"> </w:t>
      </w:r>
      <w:r>
        <w:rPr>
          <w:sz w:val="20"/>
        </w:rPr>
        <w:t>y Función Pública la publicidad de las empresas clasificadas en los casos en que el número de empresas clasificadas en determinados grupos, subgrupos y categorías sea lo suficientemente reducido para dar lugar a un riesgo de colusión entre ellas.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579" w:name="Artículo_345._Colaboración_entre_Registr"/>
      <w:bookmarkEnd w:id="579"/>
      <w:r>
        <w:rPr>
          <w:rFonts w:ascii="Arial" w:hAnsi="Arial"/>
          <w:b/>
          <w:sz w:val="20"/>
        </w:rPr>
        <w:t>Artículo</w:t>
      </w:r>
      <w:r>
        <w:rPr>
          <w:rFonts w:ascii="Arial" w:hAnsi="Arial"/>
          <w:b/>
          <w:spacing w:val="-4"/>
          <w:sz w:val="20"/>
        </w:rPr>
        <w:t xml:space="preserve"> </w:t>
      </w:r>
      <w:r>
        <w:rPr>
          <w:rFonts w:ascii="Arial" w:hAnsi="Arial"/>
          <w:b/>
          <w:sz w:val="20"/>
        </w:rPr>
        <w:t>345.</w:t>
      </w:r>
      <w:r>
        <w:rPr>
          <w:rFonts w:ascii="Arial" w:hAnsi="Arial"/>
          <w:b/>
          <w:spacing w:val="49"/>
          <w:sz w:val="20"/>
        </w:rPr>
        <w:t xml:space="preserve"> </w:t>
      </w:r>
      <w:r>
        <w:rPr>
          <w:rFonts w:ascii="Arial" w:hAnsi="Arial"/>
          <w:i/>
          <w:sz w:val="20"/>
        </w:rPr>
        <w:t>Colaboración</w:t>
      </w:r>
      <w:r>
        <w:rPr>
          <w:rFonts w:ascii="Arial" w:hAnsi="Arial"/>
          <w:i/>
          <w:spacing w:val="-3"/>
          <w:sz w:val="20"/>
        </w:rPr>
        <w:t xml:space="preserve"> </w:t>
      </w:r>
      <w:r>
        <w:rPr>
          <w:rFonts w:ascii="Arial" w:hAnsi="Arial"/>
          <w:i/>
          <w:sz w:val="20"/>
        </w:rPr>
        <w:t>entre</w:t>
      </w:r>
      <w:r>
        <w:rPr>
          <w:rFonts w:ascii="Arial" w:hAnsi="Arial"/>
          <w:i/>
          <w:spacing w:val="-3"/>
          <w:sz w:val="20"/>
        </w:rPr>
        <w:t xml:space="preserve"> </w:t>
      </w:r>
      <w:r>
        <w:rPr>
          <w:rFonts w:ascii="Arial" w:hAnsi="Arial"/>
          <w:i/>
          <w:spacing w:val="-2"/>
          <w:sz w:val="20"/>
        </w:rPr>
        <w:t>Registros.</w:t>
      </w:r>
    </w:p>
    <w:p w:rsidR="0092635B" w:rsidRDefault="00000000">
      <w:pPr>
        <w:pStyle w:val="Textoindependiente"/>
        <w:spacing w:before="123" w:line="249" w:lineRule="auto"/>
        <w:ind w:right="1104"/>
      </w:pPr>
      <w:r>
        <w:t xml:space="preserve">El Registro Oficial de Licitadores y Empresas Clasificadas del Sector Público y los Registros de licitadores y empresas clasificadas de las Comunidades Autónomas se facilitarán mutuamente la información relativa a las prohibiciones de contratar en ellos </w:t>
      </w:r>
      <w:r>
        <w:rPr>
          <w:spacing w:val="-2"/>
        </w:rPr>
        <w:t>inscritas.</w:t>
      </w:r>
    </w:p>
    <w:p w:rsidR="0092635B" w:rsidRDefault="00000000">
      <w:pPr>
        <w:pStyle w:val="Textoindependiente"/>
        <w:spacing w:before="3" w:line="249" w:lineRule="auto"/>
        <w:ind w:right="1106"/>
      </w:pPr>
      <w:r>
        <w:t>Mediante Orden del Ministro de Hacienda y Función Pública se establecerán el procedimiento</w:t>
      </w:r>
      <w:r>
        <w:rPr>
          <w:spacing w:val="-3"/>
        </w:rPr>
        <w:t xml:space="preserve"> </w:t>
      </w:r>
      <w:r>
        <w:t>y</w:t>
      </w:r>
      <w:r>
        <w:rPr>
          <w:spacing w:val="-3"/>
        </w:rPr>
        <w:t xml:space="preserve"> </w:t>
      </w:r>
      <w:r>
        <w:t>las</w:t>
      </w:r>
      <w:r>
        <w:rPr>
          <w:spacing w:val="-3"/>
        </w:rPr>
        <w:t xml:space="preserve"> </w:t>
      </w:r>
      <w:r>
        <w:t>especificaciones</w:t>
      </w:r>
      <w:r>
        <w:rPr>
          <w:spacing w:val="-3"/>
        </w:rPr>
        <w:t xml:space="preserve"> </w:t>
      </w:r>
      <w:r>
        <w:t>necesarias</w:t>
      </w:r>
      <w:r>
        <w:rPr>
          <w:spacing w:val="-3"/>
        </w:rPr>
        <w:t xml:space="preserve"> </w:t>
      </w:r>
      <w:r>
        <w:t>para</w:t>
      </w:r>
      <w:r>
        <w:rPr>
          <w:spacing w:val="-3"/>
        </w:rPr>
        <w:t xml:space="preserve"> </w:t>
      </w:r>
      <w:r>
        <w:t>el</w:t>
      </w:r>
      <w:r>
        <w:rPr>
          <w:spacing w:val="-3"/>
        </w:rPr>
        <w:t xml:space="preserve"> </w:t>
      </w:r>
      <w:r>
        <w:t>intercambio</w:t>
      </w:r>
      <w:r>
        <w:rPr>
          <w:spacing w:val="-3"/>
        </w:rPr>
        <w:t xml:space="preserve"> </w:t>
      </w:r>
      <w:r>
        <w:t>de</w:t>
      </w:r>
      <w:r>
        <w:rPr>
          <w:spacing w:val="-3"/>
        </w:rPr>
        <w:t xml:space="preserve"> </w:t>
      </w:r>
      <w:r>
        <w:t>dicha</w:t>
      </w:r>
      <w:r>
        <w:rPr>
          <w:spacing w:val="-3"/>
        </w:rPr>
        <w:t xml:space="preserve"> </w:t>
      </w:r>
      <w:r>
        <w:t>información</w:t>
      </w:r>
      <w:r>
        <w:rPr>
          <w:spacing w:val="-3"/>
        </w:rPr>
        <w:t xml:space="preserve"> </w:t>
      </w:r>
      <w:r>
        <w:t>por medios electrónicos.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580" w:name="CAPÍTULO_II._Registro_de_Contratos_del_S"/>
      <w:bookmarkStart w:id="581" w:name="_bookmark119"/>
      <w:bookmarkEnd w:id="580"/>
      <w:bookmarkEnd w:id="581"/>
      <w:r>
        <w:t xml:space="preserve">CAPÍTULO </w:t>
      </w:r>
      <w:r>
        <w:rPr>
          <w:spacing w:val="-5"/>
        </w:rPr>
        <w:t>II</w:t>
      </w:r>
    </w:p>
    <w:p w:rsidR="0092635B" w:rsidRDefault="00000000">
      <w:pPr>
        <w:pStyle w:val="Ttulo2"/>
      </w:pPr>
      <w:r>
        <w:t>Registro</w:t>
      </w:r>
      <w:r>
        <w:rPr>
          <w:spacing w:val="-3"/>
        </w:rPr>
        <w:t xml:space="preserve"> </w:t>
      </w:r>
      <w:r>
        <w:t>de</w:t>
      </w:r>
      <w:r>
        <w:rPr>
          <w:spacing w:val="-3"/>
        </w:rPr>
        <w:t xml:space="preserve"> </w:t>
      </w:r>
      <w:r>
        <w:t>Contratos</w:t>
      </w:r>
      <w:r>
        <w:rPr>
          <w:spacing w:val="-3"/>
        </w:rPr>
        <w:t xml:space="preserve"> </w:t>
      </w:r>
      <w:r>
        <w:t>del</w:t>
      </w:r>
      <w:r>
        <w:rPr>
          <w:spacing w:val="-3"/>
        </w:rPr>
        <w:t xml:space="preserve"> </w:t>
      </w:r>
      <w:r>
        <w:t>Sector</w:t>
      </w:r>
      <w:r>
        <w:rPr>
          <w:spacing w:val="-2"/>
        </w:rPr>
        <w:t xml:space="preserve"> Público</w:t>
      </w:r>
    </w:p>
    <w:p w:rsidR="0092635B" w:rsidRDefault="0092635B">
      <w:pPr>
        <w:pStyle w:val="Textoindependiente"/>
        <w:spacing w:before="7"/>
        <w:ind w:left="0" w:firstLine="0"/>
        <w:jc w:val="left"/>
        <w:rPr>
          <w:rFonts w:ascii="Arial"/>
          <w:b/>
        </w:rPr>
      </w:pPr>
    </w:p>
    <w:p w:rsidR="0092635B" w:rsidRDefault="00000000">
      <w:pPr>
        <w:ind w:left="1106"/>
        <w:rPr>
          <w:rFonts w:ascii="Arial" w:hAnsi="Arial"/>
          <w:i/>
          <w:sz w:val="20"/>
        </w:rPr>
      </w:pPr>
      <w:bookmarkStart w:id="582" w:name="Artículo_346._Registro_de_Contratos_del_"/>
      <w:bookmarkEnd w:id="582"/>
      <w:r>
        <w:rPr>
          <w:rFonts w:ascii="Arial" w:hAnsi="Arial"/>
          <w:b/>
          <w:sz w:val="20"/>
        </w:rPr>
        <w:t>Artículo</w:t>
      </w:r>
      <w:r>
        <w:rPr>
          <w:rFonts w:ascii="Arial" w:hAnsi="Arial"/>
          <w:b/>
          <w:spacing w:val="-2"/>
          <w:sz w:val="20"/>
        </w:rPr>
        <w:t xml:space="preserve"> </w:t>
      </w:r>
      <w:r>
        <w:rPr>
          <w:rFonts w:ascii="Arial" w:hAnsi="Arial"/>
          <w:b/>
          <w:sz w:val="20"/>
        </w:rPr>
        <w:t>346.</w:t>
      </w:r>
      <w:r>
        <w:rPr>
          <w:rFonts w:ascii="Arial" w:hAnsi="Arial"/>
          <w:b/>
          <w:spacing w:val="52"/>
          <w:sz w:val="20"/>
        </w:rPr>
        <w:t xml:space="preserve"> </w:t>
      </w:r>
      <w:r>
        <w:rPr>
          <w:rFonts w:ascii="Arial" w:hAnsi="Arial"/>
          <w:i/>
          <w:sz w:val="20"/>
        </w:rPr>
        <w:t>Registro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Contratos</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z w:val="20"/>
        </w:rPr>
        <w:t>Sector</w:t>
      </w:r>
      <w:r>
        <w:rPr>
          <w:rFonts w:ascii="Arial" w:hAnsi="Arial"/>
          <w:i/>
          <w:spacing w:val="-1"/>
          <w:sz w:val="20"/>
        </w:rPr>
        <w:t xml:space="preserve"> </w:t>
      </w:r>
      <w:r>
        <w:rPr>
          <w:rFonts w:ascii="Arial" w:hAnsi="Arial"/>
          <w:i/>
          <w:spacing w:val="-2"/>
          <w:sz w:val="20"/>
        </w:rPr>
        <w:t>Público.</w:t>
      </w:r>
    </w:p>
    <w:p w:rsidR="0092635B" w:rsidRDefault="00000000">
      <w:pPr>
        <w:pStyle w:val="Prrafodelista"/>
        <w:numPr>
          <w:ilvl w:val="0"/>
          <w:numId w:val="63"/>
        </w:numPr>
        <w:tabs>
          <w:tab w:val="left" w:pos="1682"/>
        </w:tabs>
        <w:spacing w:before="123" w:line="249" w:lineRule="auto"/>
        <w:ind w:firstLine="340"/>
        <w:jc w:val="both"/>
        <w:rPr>
          <w:sz w:val="20"/>
        </w:rPr>
      </w:pPr>
      <w:r>
        <w:rPr>
          <w:sz w:val="20"/>
        </w:rPr>
        <w:t>El Ministerio de Hacienda y Función Pública mantendrá un Registro de Contratos, en</w:t>
      </w:r>
      <w:r>
        <w:rPr>
          <w:spacing w:val="40"/>
          <w:sz w:val="20"/>
        </w:rPr>
        <w:t xml:space="preserve"> </w:t>
      </w:r>
      <w:r>
        <w:rPr>
          <w:sz w:val="20"/>
        </w:rPr>
        <w:t>el que se inscribirán los datos básicos de los contratos adjudicados por las distintas Administraciones Públicas y demás entidades del sector público sujetas a esta Ley.</w:t>
      </w:r>
    </w:p>
    <w:p w:rsidR="0092635B" w:rsidRDefault="00000000">
      <w:pPr>
        <w:pStyle w:val="Prrafodelista"/>
        <w:numPr>
          <w:ilvl w:val="0"/>
          <w:numId w:val="63"/>
        </w:numPr>
        <w:tabs>
          <w:tab w:val="left" w:pos="1702"/>
        </w:tabs>
        <w:spacing w:before="3" w:line="249" w:lineRule="auto"/>
        <w:ind w:right="1105" w:firstLine="340"/>
        <w:jc w:val="both"/>
        <w:rPr>
          <w:sz w:val="20"/>
        </w:rPr>
      </w:pPr>
      <w:r>
        <w:rPr>
          <w:sz w:val="20"/>
        </w:rPr>
        <w:t>El Registro de Contratos del Sector Público constituye el sistema oficial central de información sobre la contratación pública en España. La información sobre la contratación pública deberá estar sistematizada siguiendo formatos y estándares abiertos adoptados a nivel internacional.</w:t>
      </w:r>
    </w:p>
    <w:p w:rsidR="0092635B" w:rsidRDefault="00000000">
      <w:pPr>
        <w:pStyle w:val="Prrafodelista"/>
        <w:numPr>
          <w:ilvl w:val="0"/>
          <w:numId w:val="63"/>
        </w:numPr>
        <w:tabs>
          <w:tab w:val="left" w:pos="1684"/>
        </w:tabs>
        <w:spacing w:before="3" w:line="249" w:lineRule="auto"/>
        <w:ind w:right="1104" w:firstLine="340"/>
        <w:jc w:val="both"/>
        <w:rPr>
          <w:sz w:val="20"/>
        </w:rPr>
      </w:pPr>
      <w:r>
        <w:rPr>
          <w:sz w:val="20"/>
        </w:rPr>
        <w:t>Los poderes adjudicadores comunicarán al Registro de Contratos del Sector Público, para su inscripción, los datos básicos de los contratos por ellos adjudicados, entre los que figurará la identidad del adjudicatario, el importe de adjudicación de los mismos, junto con el desglose correspondiente del Impuesto sobre el Valor Añadido.</w:t>
      </w:r>
    </w:p>
    <w:p w:rsidR="0092635B" w:rsidRDefault="00000000">
      <w:pPr>
        <w:pStyle w:val="Textoindependiente"/>
        <w:spacing w:before="3" w:line="249" w:lineRule="auto"/>
        <w:ind w:right="1102"/>
      </w:pPr>
      <w:r>
        <w:t>Igualmente comunicarán, en su caso, las modificaciones, prórrogas, variaciones de plazos o de precio, importe final y extinción de aquellos. El contenido y el formato de dichas comunicaciones, así como el plazo para efectuarlas, se establecerán reglamentariamente.</w:t>
      </w:r>
    </w:p>
    <w:p w:rsidR="0092635B" w:rsidRDefault="00000000">
      <w:pPr>
        <w:pStyle w:val="Textoindependiente"/>
        <w:spacing w:before="3" w:line="249" w:lineRule="auto"/>
        <w:ind w:right="1103"/>
      </w:pPr>
      <w:r>
        <w:t>Se exceptuarán de la comunicación señalada en este apartado los contratos excluidos por la presente Ley y aquellos cuyo precio fuera inferior a cinco mil euros, IVA incluido, siempre que el sistema de pago utilizado por los poderes adjudicadores fuera el de anticipo de caja fija u otro sistema similar para realizar pagos menores. En el resto de contratos inferiores a cinco mil euros, deberá comunicarse el órgano de contratación, denominación u objeto del contrato, adjudicatario, número o código identificativo del contrato e importe final.</w:t>
      </w:r>
    </w:p>
    <w:p w:rsidR="0092635B" w:rsidRDefault="00000000">
      <w:pPr>
        <w:pStyle w:val="Prrafodelista"/>
        <w:numPr>
          <w:ilvl w:val="0"/>
          <w:numId w:val="63"/>
        </w:numPr>
        <w:tabs>
          <w:tab w:val="left" w:pos="1671"/>
        </w:tabs>
        <w:spacing w:before="5" w:line="249" w:lineRule="auto"/>
        <w:ind w:firstLine="340"/>
        <w:jc w:val="both"/>
        <w:rPr>
          <w:sz w:val="20"/>
        </w:rPr>
      </w:pPr>
      <w:r>
        <w:rPr>
          <w:sz w:val="20"/>
        </w:rPr>
        <w:t>Las comunicaciones de datos de contratos al Registro de Contratos del Sector Público se</w:t>
      </w:r>
      <w:r>
        <w:rPr>
          <w:spacing w:val="-1"/>
          <w:sz w:val="20"/>
        </w:rPr>
        <w:t xml:space="preserve"> </w:t>
      </w:r>
      <w:r>
        <w:rPr>
          <w:sz w:val="20"/>
        </w:rPr>
        <w:t>efectuarán</w:t>
      </w:r>
      <w:r>
        <w:rPr>
          <w:spacing w:val="-1"/>
          <w:sz w:val="20"/>
        </w:rPr>
        <w:t xml:space="preserve"> </w:t>
      </w:r>
      <w:r>
        <w:rPr>
          <w:sz w:val="20"/>
        </w:rPr>
        <w:t>por</w:t>
      </w:r>
      <w:r>
        <w:rPr>
          <w:spacing w:val="-1"/>
          <w:sz w:val="20"/>
        </w:rPr>
        <w:t xml:space="preserve"> </w:t>
      </w:r>
      <w:r>
        <w:rPr>
          <w:sz w:val="20"/>
        </w:rPr>
        <w:t>medios</w:t>
      </w:r>
      <w:r>
        <w:rPr>
          <w:spacing w:val="-1"/>
          <w:sz w:val="20"/>
        </w:rPr>
        <w:t xml:space="preserve"> </w:t>
      </w:r>
      <w:r>
        <w:rPr>
          <w:sz w:val="20"/>
        </w:rPr>
        <w:t>electrónicos,</w:t>
      </w:r>
      <w:r>
        <w:rPr>
          <w:spacing w:val="-1"/>
          <w:sz w:val="20"/>
        </w:rPr>
        <w:t xml:space="preserve"> </w:t>
      </w:r>
      <w:r>
        <w:rPr>
          <w:sz w:val="20"/>
        </w:rPr>
        <w:t>informáticos</w:t>
      </w:r>
      <w:r>
        <w:rPr>
          <w:spacing w:val="-1"/>
          <w:sz w:val="20"/>
        </w:rPr>
        <w:t xml:space="preserve"> </w:t>
      </w:r>
      <w:r>
        <w:rPr>
          <w:sz w:val="20"/>
        </w:rPr>
        <w:t>o</w:t>
      </w:r>
      <w:r>
        <w:rPr>
          <w:spacing w:val="-1"/>
          <w:sz w:val="20"/>
        </w:rPr>
        <w:t xml:space="preserve"> </w:t>
      </w:r>
      <w:r>
        <w:rPr>
          <w:sz w:val="20"/>
        </w:rPr>
        <w:t>telemáticos,</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forma</w:t>
      </w:r>
      <w:r>
        <w:rPr>
          <w:spacing w:val="-1"/>
          <w:sz w:val="20"/>
        </w:rPr>
        <w:t xml:space="preserve"> </w:t>
      </w:r>
      <w:r>
        <w:rPr>
          <w:sz w:val="20"/>
        </w:rPr>
        <w:t>que</w:t>
      </w:r>
      <w:r>
        <w:rPr>
          <w:spacing w:val="-1"/>
          <w:sz w:val="20"/>
        </w:rPr>
        <w:t xml:space="preserve"> </w:t>
      </w:r>
      <w:r>
        <w:rPr>
          <w:sz w:val="20"/>
        </w:rPr>
        <w:t>determine el Ministro de Hacienda y Función Pública.</w:t>
      </w:r>
    </w:p>
    <w:p w:rsidR="0092635B" w:rsidRDefault="00000000">
      <w:pPr>
        <w:pStyle w:val="Prrafodelista"/>
        <w:numPr>
          <w:ilvl w:val="0"/>
          <w:numId w:val="63"/>
        </w:numPr>
        <w:tabs>
          <w:tab w:val="left" w:pos="1682"/>
        </w:tabs>
        <w:spacing w:line="249" w:lineRule="auto"/>
        <w:ind w:firstLine="340"/>
        <w:jc w:val="both"/>
        <w:rPr>
          <w:sz w:val="20"/>
        </w:rPr>
      </w:pPr>
      <w:r>
        <w:rPr>
          <w:sz w:val="20"/>
        </w:rPr>
        <w:t>El Registro de Contratos del Sector Público facilitará de modo telemático el acceso a sus datos a los órganos de las Administraciones Públicas que los precisen para el ejercicio de sus competencias legalmente atribuidas.</w:t>
      </w:r>
    </w:p>
    <w:p w:rsidR="0092635B" w:rsidRDefault="00000000">
      <w:pPr>
        <w:pStyle w:val="Textoindependiente"/>
        <w:spacing w:before="3" w:line="249" w:lineRule="auto"/>
        <w:ind w:right="1103"/>
      </w:pPr>
      <w:r>
        <w:t>Asimismo, de conformidad con lo establecido en la Ley 19/2013, de 9 de diciembre, de transparencia, acceso a la información pública y buen gobierno, y con las limitaciones que imponen las normas sobre protección de datos de carácter personal, facilitará el acceso público a los datos que no tengan el carácter de confidenciales y que no hayan sido previamente publicados de modo telemático y a través de Internet.</w:t>
      </w:r>
    </w:p>
    <w:p w:rsidR="0092635B" w:rsidRDefault="00000000">
      <w:pPr>
        <w:pStyle w:val="Prrafodelista"/>
        <w:numPr>
          <w:ilvl w:val="0"/>
          <w:numId w:val="63"/>
        </w:numPr>
        <w:tabs>
          <w:tab w:val="left" w:pos="1681"/>
        </w:tabs>
        <w:spacing w:before="4" w:line="249" w:lineRule="auto"/>
        <w:ind w:right="1104" w:firstLine="340"/>
        <w:jc w:val="both"/>
        <w:rPr>
          <w:sz w:val="20"/>
        </w:rPr>
      </w:pPr>
      <w:r>
        <w:rPr>
          <w:sz w:val="20"/>
        </w:rPr>
        <w:t>En los casos de Administraciones Públicas que dispongan de Registros de Contratos análogos en su ámbito de competencias, la comunicación de datos a que se refiere el apartado 3 del presente artículo podrá ser sustituida por comunicaciones entre los respectivos</w:t>
      </w:r>
      <w:r>
        <w:rPr>
          <w:spacing w:val="-1"/>
          <w:sz w:val="20"/>
        </w:rPr>
        <w:t xml:space="preserve"> </w:t>
      </w:r>
      <w:r>
        <w:rPr>
          <w:sz w:val="20"/>
        </w:rPr>
        <w:t>Registros</w:t>
      </w:r>
      <w:r>
        <w:rPr>
          <w:spacing w:val="-1"/>
          <w:sz w:val="20"/>
        </w:rPr>
        <w:t xml:space="preserve"> </w:t>
      </w:r>
      <w:r>
        <w:rPr>
          <w:sz w:val="20"/>
        </w:rPr>
        <w:t>de</w:t>
      </w:r>
      <w:r>
        <w:rPr>
          <w:spacing w:val="-1"/>
          <w:sz w:val="20"/>
        </w:rPr>
        <w:t xml:space="preserve"> </w:t>
      </w:r>
      <w:r>
        <w:rPr>
          <w:sz w:val="20"/>
        </w:rPr>
        <w:t>Contratos.</w:t>
      </w:r>
      <w:r>
        <w:rPr>
          <w:spacing w:val="-1"/>
          <w:sz w:val="20"/>
        </w:rPr>
        <w:t xml:space="preserve"> </w:t>
      </w:r>
      <w:r>
        <w:rPr>
          <w:sz w:val="20"/>
        </w:rPr>
        <w:t>El</w:t>
      </w:r>
      <w:r>
        <w:rPr>
          <w:spacing w:val="-1"/>
          <w:sz w:val="20"/>
        </w:rPr>
        <w:t xml:space="preserve"> </w:t>
      </w:r>
      <w:r>
        <w:rPr>
          <w:sz w:val="20"/>
        </w:rPr>
        <w:t>Ministerio</w:t>
      </w:r>
      <w:r>
        <w:rPr>
          <w:spacing w:val="-1"/>
          <w:sz w:val="20"/>
        </w:rPr>
        <w:t xml:space="preserve"> </w:t>
      </w:r>
      <w:r>
        <w:rPr>
          <w:sz w:val="20"/>
        </w:rPr>
        <w:t>de</w:t>
      </w:r>
      <w:r>
        <w:rPr>
          <w:spacing w:val="-1"/>
          <w:sz w:val="20"/>
        </w:rPr>
        <w:t xml:space="preserve"> </w:t>
      </w:r>
      <w:r>
        <w:rPr>
          <w:sz w:val="20"/>
        </w:rPr>
        <w:t>Hacienda</w:t>
      </w:r>
      <w:r>
        <w:rPr>
          <w:spacing w:val="-1"/>
          <w:sz w:val="20"/>
        </w:rPr>
        <w:t xml:space="preserve"> </w:t>
      </w:r>
      <w:r>
        <w:rPr>
          <w:sz w:val="20"/>
        </w:rPr>
        <w:t>y</w:t>
      </w:r>
      <w:r>
        <w:rPr>
          <w:spacing w:val="-1"/>
          <w:sz w:val="20"/>
        </w:rPr>
        <w:t xml:space="preserve"> </w:t>
      </w:r>
      <w:r>
        <w:rPr>
          <w:sz w:val="20"/>
        </w:rPr>
        <w:t>Función</w:t>
      </w:r>
      <w:r>
        <w:rPr>
          <w:spacing w:val="-1"/>
          <w:sz w:val="20"/>
        </w:rPr>
        <w:t xml:space="preserve"> </w:t>
      </w:r>
      <w:r>
        <w:rPr>
          <w:sz w:val="20"/>
        </w:rPr>
        <w:t>Pública</w:t>
      </w:r>
      <w:r>
        <w:rPr>
          <w:spacing w:val="-1"/>
          <w:sz w:val="20"/>
        </w:rPr>
        <w:t xml:space="preserve"> </w:t>
      </w:r>
      <w:r>
        <w:rPr>
          <w:sz w:val="20"/>
        </w:rPr>
        <w:t>determinará las especificaciones y requisitos para el intercambio de datos entre el Registro de Contratos del Sector Público y los demás Registros de Contratos.</w:t>
      </w:r>
    </w:p>
    <w:p w:rsidR="0092635B" w:rsidRDefault="00000000">
      <w:pPr>
        <w:pStyle w:val="Prrafodelista"/>
        <w:numPr>
          <w:ilvl w:val="0"/>
          <w:numId w:val="63"/>
        </w:numPr>
        <w:tabs>
          <w:tab w:val="left" w:pos="1743"/>
        </w:tabs>
        <w:spacing w:before="5" w:line="249" w:lineRule="auto"/>
        <w:ind w:right="1104" w:firstLine="340"/>
        <w:jc w:val="both"/>
        <w:rPr>
          <w:sz w:val="20"/>
        </w:rPr>
      </w:pPr>
      <w:r>
        <w:rPr>
          <w:sz w:val="20"/>
        </w:rPr>
        <w:t>Al objeto de garantizar la identificación única y precisa de cada contrato, las Administraciones y entidades comunicantes asignarán a cada uno de ellos un código identificador, que será único en su ámbito de competencias. El Ministerio de Hacienda y Función Pública determinará las reglas de asignación de dichos identificadores únicos que resulten necesarios para asegurar la identificación unívoca de cada contrato dentro del Registro de Contratos del Sector Público, así como para su coordinación con los demás Registros de Contratos.</w:t>
      </w:r>
    </w:p>
    <w:p w:rsidR="0092635B" w:rsidRDefault="00000000">
      <w:pPr>
        <w:pStyle w:val="Prrafodelista"/>
        <w:numPr>
          <w:ilvl w:val="0"/>
          <w:numId w:val="63"/>
        </w:numPr>
        <w:tabs>
          <w:tab w:val="left" w:pos="1748"/>
        </w:tabs>
        <w:spacing w:before="5" w:line="249" w:lineRule="auto"/>
        <w:ind w:firstLine="340"/>
        <w:jc w:val="both"/>
        <w:rPr>
          <w:sz w:val="20"/>
        </w:rPr>
      </w:pPr>
      <w:r>
        <w:rPr>
          <w:sz w:val="20"/>
        </w:rPr>
        <w:t>El Gobierno elevará anualmente a las Cortes Generales un informe sobre la contratación pública en España, a partir de los datos y análisis proporcionados por el Registro de Contratos del Sector Público.</w:t>
      </w:r>
    </w:p>
    <w:p w:rsidR="0092635B" w:rsidRDefault="00000000">
      <w:pPr>
        <w:pStyle w:val="Textoindependiente"/>
        <w:spacing w:before="3" w:line="249" w:lineRule="auto"/>
        <w:ind w:right="1105"/>
      </w:pPr>
      <w:r>
        <w:t>El Ministerio de Hacienda y Función Pública pondrá en conocimiento de la Comisión Nacional de los Mercados y la Competencia el informe al que se refiere el párrafo anterior, tras su elevación por el Gobierno a las Cortes Generales.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ind w:left="0" w:firstLine="0"/>
        <w:jc w:val="center"/>
      </w:pPr>
      <w:bookmarkStart w:id="583" w:name="TÍTULO_III._Gestión_de_la_publicidad_con"/>
      <w:bookmarkStart w:id="584" w:name="_bookmark120"/>
      <w:bookmarkEnd w:id="583"/>
      <w:bookmarkEnd w:id="584"/>
      <w:r>
        <w:t xml:space="preserve">TÍTULO </w:t>
      </w:r>
      <w:r>
        <w:rPr>
          <w:spacing w:val="-5"/>
        </w:rPr>
        <w:t>III</w:t>
      </w:r>
    </w:p>
    <w:p w:rsidR="0092635B" w:rsidRDefault="00000000">
      <w:pPr>
        <w:pStyle w:val="Ttulo2"/>
        <w:spacing w:line="249" w:lineRule="auto"/>
        <w:ind w:left="1446" w:right="1443"/>
      </w:pPr>
      <w:r>
        <w:t>Gestión</w:t>
      </w:r>
      <w:r>
        <w:rPr>
          <w:spacing w:val="30"/>
        </w:rPr>
        <w:t xml:space="preserve"> </w:t>
      </w:r>
      <w:r>
        <w:t>de</w:t>
      </w:r>
      <w:r>
        <w:rPr>
          <w:spacing w:val="30"/>
        </w:rPr>
        <w:t xml:space="preserve"> </w:t>
      </w:r>
      <w:r>
        <w:t>la</w:t>
      </w:r>
      <w:r>
        <w:rPr>
          <w:spacing w:val="30"/>
        </w:rPr>
        <w:t xml:space="preserve"> </w:t>
      </w:r>
      <w:r>
        <w:t>publicidad</w:t>
      </w:r>
      <w:r>
        <w:rPr>
          <w:spacing w:val="30"/>
        </w:rPr>
        <w:t xml:space="preserve"> </w:t>
      </w:r>
      <w:r>
        <w:t>contractual</w:t>
      </w:r>
      <w:r>
        <w:rPr>
          <w:spacing w:val="30"/>
        </w:rPr>
        <w:t xml:space="preserve"> </w:t>
      </w:r>
      <w:r>
        <w:t>por</w:t>
      </w:r>
      <w:r>
        <w:rPr>
          <w:spacing w:val="30"/>
        </w:rPr>
        <w:t xml:space="preserve"> </w:t>
      </w:r>
      <w:r>
        <w:t>medios</w:t>
      </w:r>
      <w:r>
        <w:rPr>
          <w:spacing w:val="30"/>
        </w:rPr>
        <w:t xml:space="preserve"> </w:t>
      </w:r>
      <w:r>
        <w:t>electrónicos,</w:t>
      </w:r>
      <w:r>
        <w:rPr>
          <w:spacing w:val="30"/>
        </w:rPr>
        <w:t xml:space="preserve"> </w:t>
      </w:r>
      <w:r>
        <w:t>informáticos</w:t>
      </w:r>
      <w:r>
        <w:rPr>
          <w:spacing w:val="30"/>
        </w:rPr>
        <w:t xml:space="preserve"> </w:t>
      </w:r>
      <w:r>
        <w:t xml:space="preserve">y </w:t>
      </w:r>
      <w:r>
        <w:rPr>
          <w:spacing w:val="-2"/>
        </w:rPr>
        <w:t>telemáticos</w:t>
      </w:r>
    </w:p>
    <w:p w:rsidR="0092635B" w:rsidRDefault="00000000">
      <w:pPr>
        <w:spacing w:before="228"/>
        <w:ind w:left="1106"/>
        <w:rPr>
          <w:rFonts w:ascii="Arial" w:hAnsi="Arial"/>
          <w:i/>
          <w:sz w:val="20"/>
        </w:rPr>
      </w:pPr>
      <w:bookmarkStart w:id="585" w:name="Artículo_347._Plataforma_de_Contratación"/>
      <w:bookmarkEnd w:id="585"/>
      <w:r>
        <w:rPr>
          <w:rFonts w:ascii="Arial" w:hAnsi="Arial"/>
          <w:b/>
          <w:sz w:val="20"/>
        </w:rPr>
        <w:t>Artículo</w:t>
      </w:r>
      <w:r>
        <w:rPr>
          <w:rFonts w:ascii="Arial" w:hAnsi="Arial"/>
          <w:b/>
          <w:spacing w:val="-3"/>
          <w:sz w:val="20"/>
        </w:rPr>
        <w:t xml:space="preserve"> </w:t>
      </w:r>
      <w:r>
        <w:rPr>
          <w:rFonts w:ascii="Arial" w:hAnsi="Arial"/>
          <w:b/>
          <w:sz w:val="20"/>
        </w:rPr>
        <w:t>347.</w:t>
      </w:r>
      <w:r>
        <w:rPr>
          <w:rFonts w:ascii="Arial" w:hAnsi="Arial"/>
          <w:b/>
          <w:spacing w:val="48"/>
          <w:sz w:val="20"/>
        </w:rPr>
        <w:t xml:space="preserve"> </w:t>
      </w:r>
      <w:r>
        <w:rPr>
          <w:rFonts w:ascii="Arial" w:hAnsi="Arial"/>
          <w:i/>
          <w:sz w:val="20"/>
        </w:rPr>
        <w:t>Plataforma</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Contratación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Sector</w:t>
      </w:r>
      <w:r>
        <w:rPr>
          <w:rFonts w:ascii="Arial" w:hAnsi="Arial"/>
          <w:i/>
          <w:spacing w:val="-2"/>
          <w:sz w:val="20"/>
        </w:rPr>
        <w:t xml:space="preserve"> Público.</w:t>
      </w:r>
    </w:p>
    <w:p w:rsidR="0092635B" w:rsidRDefault="00000000">
      <w:pPr>
        <w:pStyle w:val="Prrafodelista"/>
        <w:numPr>
          <w:ilvl w:val="0"/>
          <w:numId w:val="62"/>
        </w:numPr>
        <w:tabs>
          <w:tab w:val="left" w:pos="1680"/>
        </w:tabs>
        <w:spacing w:before="124" w:line="249" w:lineRule="auto"/>
        <w:ind w:right="1104" w:firstLine="340"/>
        <w:jc w:val="both"/>
        <w:rPr>
          <w:sz w:val="20"/>
        </w:rPr>
      </w:pPr>
      <w:r>
        <w:rPr>
          <w:sz w:val="20"/>
        </w:rPr>
        <w:t>La Dirección General del Patrimonio del Estado del Ministerio de Hacienda y Función Pública pondrá a disposición de todos los órganos de contratación del sector público una plataforma electrónica que permita la difusión a través de Internet de sus perfiles de contratante, así como prestar otros servicios complementarios asociados al tratamiento informático de estos datos.</w:t>
      </w:r>
    </w:p>
    <w:p w:rsidR="0092635B" w:rsidRDefault="00000000">
      <w:pPr>
        <w:pStyle w:val="Prrafodelista"/>
        <w:numPr>
          <w:ilvl w:val="0"/>
          <w:numId w:val="62"/>
        </w:numPr>
        <w:tabs>
          <w:tab w:val="left" w:pos="1681"/>
        </w:tabs>
        <w:spacing w:before="4" w:line="249" w:lineRule="auto"/>
        <w:ind w:right="1104" w:firstLine="340"/>
        <w:jc w:val="both"/>
        <w:rPr>
          <w:sz w:val="20"/>
        </w:rPr>
      </w:pPr>
      <w:r>
        <w:rPr>
          <w:sz w:val="20"/>
        </w:rPr>
        <w:t>Los perfiles de contratante de los órganos de contratación de todas las entidades del sector público estatal deberán alojarse de manera obligatoria en la Plataforma de Contratación del Sector Público, gestionándose y difundiéndose exclusivamente a través de la misma. En las páginas web institucionales de estos órganos se incluirá un enlace a su perfil de contratante situado en la Plataforma de Contratación del Sector Público.</w:t>
      </w:r>
    </w:p>
    <w:p w:rsidR="0092635B" w:rsidRDefault="00000000">
      <w:pPr>
        <w:pStyle w:val="Prrafodelista"/>
        <w:numPr>
          <w:ilvl w:val="0"/>
          <w:numId w:val="62"/>
        </w:numPr>
        <w:tabs>
          <w:tab w:val="left" w:pos="1691"/>
        </w:tabs>
        <w:spacing w:before="4" w:line="249" w:lineRule="auto"/>
        <w:ind w:firstLine="340"/>
        <w:jc w:val="both"/>
        <w:rPr>
          <w:sz w:val="20"/>
        </w:rPr>
      </w:pPr>
      <w:r>
        <w:rPr>
          <w:sz w:val="20"/>
        </w:rPr>
        <w:t>Las Comunidades Autónomas y las Ciudades Autónomas de Ceuta y Melilla podrán establecer servicios de información similares a la Plataforma de Contratación del Sector Público en los que deberán alojar sus perfiles de contratante de manera obligatoria, tanto</w:t>
      </w:r>
      <w:r>
        <w:rPr>
          <w:spacing w:val="80"/>
          <w:sz w:val="20"/>
        </w:rPr>
        <w:t xml:space="preserve"> </w:t>
      </w:r>
      <w:r>
        <w:rPr>
          <w:sz w:val="20"/>
        </w:rPr>
        <w:t xml:space="preserve">sus propios órganos de contratación como los de sus entes, organismos y entidades vinculados o dependientes, gestionándose y difundiéndose exclusivamente a través de los mismos y constituyendo estos servicios un punto de acceso único a los perfiles de contratante de los entes, organismos y entidades adscritos a la Comunidad Autónoma </w:t>
      </w:r>
      <w:r>
        <w:rPr>
          <w:spacing w:val="-2"/>
          <w:sz w:val="20"/>
        </w:rPr>
        <w:t>correspondiente.</w:t>
      </w:r>
    </w:p>
    <w:p w:rsidR="0092635B" w:rsidRDefault="00000000">
      <w:pPr>
        <w:pStyle w:val="Textoindependiente"/>
        <w:spacing w:before="7" w:line="249" w:lineRule="auto"/>
        <w:ind w:right="1103"/>
      </w:pPr>
      <w:r>
        <w:t>Las Comunidades Autónomas y las Ciudades Autónomas que no hubieran optado por establecer sus propios servicios de información, y alojen, por tanto, sus perfiles del contratante directamente en la Plataforma de Contratación del Sector Público, podrán utilizar todos los servicios que ofrezca la misma, así como participar en su gestión en los términos y condiciones que reglamentariamente se establezcan y de acuerdo con los convenios que a tal efecto se suscriban entre el Ministerio de Hacienda y Función Pública y el órgano de Gobierno de la respectiva Comunidad Autónoma o Ciudad Autónoma.</w:t>
      </w:r>
    </w:p>
    <w:p w:rsidR="0092635B" w:rsidRDefault="00000000">
      <w:pPr>
        <w:pStyle w:val="Textoindependiente"/>
        <w:spacing w:before="5" w:line="249" w:lineRule="auto"/>
        <w:ind w:right="1103"/>
      </w:pPr>
      <w:r>
        <w:t>En cualquier caso, e independientemente de la opción elegida por las Comunidades Autónomas o las Ciudades Autónomas, de entre las señaladas en los dos primeros párrafos del presente apartado, estas deberán publicar, bien directamente o por interconexión con dispositivos</w:t>
      </w:r>
      <w:r>
        <w:rPr>
          <w:spacing w:val="-2"/>
        </w:rPr>
        <w:t xml:space="preserve"> </w:t>
      </w:r>
      <w:r>
        <w:t>electrónicos</w:t>
      </w:r>
      <w:r>
        <w:rPr>
          <w:spacing w:val="-2"/>
        </w:rPr>
        <w:t xml:space="preserve"> </w:t>
      </w:r>
      <w:r>
        <w:t>de</w:t>
      </w:r>
      <w:r>
        <w:rPr>
          <w:spacing w:val="-2"/>
        </w:rPr>
        <w:t xml:space="preserve"> </w:t>
      </w:r>
      <w:r>
        <w:t>agregación</w:t>
      </w:r>
      <w:r>
        <w:rPr>
          <w:spacing w:val="-2"/>
        </w:rPr>
        <w:t xml:space="preserve"> </w:t>
      </w:r>
      <w:r>
        <w:t>de</w:t>
      </w:r>
      <w:r>
        <w:rPr>
          <w:spacing w:val="-2"/>
        </w:rPr>
        <w:t xml:space="preserve"> </w:t>
      </w:r>
      <w:r>
        <w:t>la</w:t>
      </w:r>
      <w:r>
        <w:rPr>
          <w:spacing w:val="-2"/>
        </w:rPr>
        <w:t xml:space="preserve"> </w:t>
      </w:r>
      <w:r>
        <w:t>información</w:t>
      </w:r>
      <w:r>
        <w:rPr>
          <w:spacing w:val="-2"/>
        </w:rPr>
        <w:t xml:space="preserve"> </w:t>
      </w:r>
      <w:r>
        <w:t>en</w:t>
      </w:r>
      <w:r>
        <w:rPr>
          <w:spacing w:val="-2"/>
        </w:rPr>
        <w:t xml:space="preserve"> </w:t>
      </w:r>
      <w:r>
        <w:t>el</w:t>
      </w:r>
      <w:r>
        <w:rPr>
          <w:spacing w:val="-2"/>
        </w:rPr>
        <w:t xml:space="preserve"> </w:t>
      </w:r>
      <w:r>
        <w:t>caso</w:t>
      </w:r>
      <w:r>
        <w:rPr>
          <w:spacing w:val="-2"/>
        </w:rPr>
        <w:t xml:space="preserve"> </w:t>
      </w:r>
      <w:r>
        <w:t>de</w:t>
      </w:r>
      <w:r>
        <w:rPr>
          <w:spacing w:val="-2"/>
        </w:rPr>
        <w:t xml:space="preserve"> </w:t>
      </w:r>
      <w:r>
        <w:t>que</w:t>
      </w:r>
      <w:r>
        <w:rPr>
          <w:spacing w:val="-2"/>
        </w:rPr>
        <w:t xml:space="preserve"> </w:t>
      </w:r>
      <w:r>
        <w:t>contaran</w:t>
      </w:r>
      <w:r>
        <w:rPr>
          <w:spacing w:val="-2"/>
        </w:rPr>
        <w:t xml:space="preserve"> </w:t>
      </w:r>
      <w:r>
        <w:t>con</w:t>
      </w:r>
      <w:r>
        <w:rPr>
          <w:spacing w:val="-2"/>
        </w:rPr>
        <w:t xml:space="preserve"> </w:t>
      </w:r>
      <w:r>
        <w:t>sus propios</w:t>
      </w:r>
      <w:r>
        <w:rPr>
          <w:spacing w:val="-2"/>
        </w:rPr>
        <w:t xml:space="preserve"> </w:t>
      </w:r>
      <w:r>
        <w:t>servicios</w:t>
      </w:r>
      <w:r>
        <w:rPr>
          <w:spacing w:val="-2"/>
        </w:rPr>
        <w:t xml:space="preserve"> </w:t>
      </w:r>
      <w:r>
        <w:t>de</w:t>
      </w:r>
      <w:r>
        <w:rPr>
          <w:spacing w:val="-2"/>
        </w:rPr>
        <w:t xml:space="preserve"> </w:t>
      </w:r>
      <w:r>
        <w:t>información,</w:t>
      </w:r>
      <w:r>
        <w:rPr>
          <w:spacing w:val="-2"/>
        </w:rPr>
        <w:t xml:space="preserve"> </w:t>
      </w:r>
      <w:r>
        <w:t>la</w:t>
      </w:r>
      <w:r>
        <w:rPr>
          <w:spacing w:val="-2"/>
        </w:rPr>
        <w:t xml:space="preserve"> </w:t>
      </w:r>
      <w:r>
        <w:t>convocatoria</w:t>
      </w:r>
      <w:r>
        <w:rPr>
          <w:spacing w:val="-2"/>
        </w:rPr>
        <w:t xml:space="preserve"> </w:t>
      </w:r>
      <w:r>
        <w:t>de</w:t>
      </w:r>
      <w:r>
        <w:rPr>
          <w:spacing w:val="-2"/>
        </w:rPr>
        <w:t xml:space="preserve"> </w:t>
      </w:r>
      <w:r>
        <w:t>todas</w:t>
      </w:r>
      <w:r>
        <w:rPr>
          <w:spacing w:val="-2"/>
        </w:rPr>
        <w:t xml:space="preserve"> </w:t>
      </w:r>
      <w:r>
        <w:t>las</w:t>
      </w:r>
      <w:r>
        <w:rPr>
          <w:spacing w:val="-2"/>
        </w:rPr>
        <w:t xml:space="preserve"> </w:t>
      </w:r>
      <w:r>
        <w:t>licitaciones</w:t>
      </w:r>
      <w:r>
        <w:rPr>
          <w:spacing w:val="-2"/>
        </w:rPr>
        <w:t xml:space="preserve"> </w:t>
      </w:r>
      <w:r>
        <w:t>y</w:t>
      </w:r>
      <w:r>
        <w:rPr>
          <w:spacing w:val="-2"/>
        </w:rPr>
        <w:t xml:space="preserve"> </w:t>
      </w:r>
      <w:r>
        <w:t>sus</w:t>
      </w:r>
      <w:r>
        <w:rPr>
          <w:spacing w:val="-2"/>
        </w:rPr>
        <w:t xml:space="preserve"> </w:t>
      </w:r>
      <w:r>
        <w:t>resultados</w:t>
      </w:r>
      <w:r>
        <w:rPr>
          <w:spacing w:val="-2"/>
        </w:rPr>
        <w:t xml:space="preserve"> </w:t>
      </w:r>
      <w:r>
        <w:t>en la Plataforma de Contratación del Sector Público.</w:t>
      </w:r>
    </w:p>
    <w:p w:rsidR="0092635B" w:rsidRDefault="00000000">
      <w:pPr>
        <w:pStyle w:val="Textoindependiente"/>
        <w:spacing w:before="5" w:line="249" w:lineRule="auto"/>
        <w:ind w:right="1105"/>
      </w:pPr>
      <w:r>
        <w:t>En relación con la publicación a la que se refiere el párrafo anterior, bien se lleve a cabo directamente o bien por interconexión con dispositivos electrónicos de agregación de la información, en caso de una eventual discrepancia entre la información recogida en el servicio</w:t>
      </w:r>
      <w:r>
        <w:rPr>
          <w:spacing w:val="-1"/>
        </w:rPr>
        <w:t xml:space="preserve"> </w:t>
      </w:r>
      <w:r>
        <w:t>de</w:t>
      </w:r>
      <w:r>
        <w:rPr>
          <w:spacing w:val="-1"/>
        </w:rPr>
        <w:t xml:space="preserve"> </w:t>
      </w:r>
      <w:r>
        <w:t>información</w:t>
      </w:r>
      <w:r>
        <w:rPr>
          <w:spacing w:val="-1"/>
        </w:rPr>
        <w:t xml:space="preserve"> </w:t>
      </w:r>
      <w:r>
        <w:t>de</w:t>
      </w:r>
      <w:r>
        <w:rPr>
          <w:spacing w:val="-1"/>
        </w:rPr>
        <w:t xml:space="preserve"> </w:t>
      </w:r>
      <w:r>
        <w:t>la</w:t>
      </w:r>
      <w:r>
        <w:rPr>
          <w:spacing w:val="-1"/>
        </w:rPr>
        <w:t xml:space="preserve"> </w:t>
      </w:r>
      <w:r>
        <w:t>Comunidad</w:t>
      </w:r>
      <w:r>
        <w:rPr>
          <w:spacing w:val="-1"/>
        </w:rPr>
        <w:t xml:space="preserve"> </w:t>
      </w:r>
      <w:r>
        <w:t>Autónoma</w:t>
      </w:r>
      <w:r>
        <w:rPr>
          <w:spacing w:val="-1"/>
        </w:rPr>
        <w:t xml:space="preserve"> </w:t>
      </w:r>
      <w:r>
        <w:t>y</w:t>
      </w:r>
      <w:r>
        <w:rPr>
          <w:spacing w:val="-1"/>
        </w:rPr>
        <w:t xml:space="preserve"> </w:t>
      </w:r>
      <w:r>
        <w:t>la</w:t>
      </w:r>
      <w:r>
        <w:rPr>
          <w:spacing w:val="-1"/>
        </w:rPr>
        <w:t xml:space="preserve"> </w:t>
      </w:r>
      <w:r>
        <w:t>de</w:t>
      </w:r>
      <w:r>
        <w:rPr>
          <w:spacing w:val="-1"/>
        </w:rPr>
        <w:t xml:space="preserve"> </w:t>
      </w:r>
      <w:r>
        <w:t>la</w:t>
      </w:r>
      <w:r>
        <w:rPr>
          <w:spacing w:val="-1"/>
        </w:rPr>
        <w:t xml:space="preserve"> </w:t>
      </w:r>
      <w:r>
        <w:t>Plataforma</w:t>
      </w:r>
      <w:r>
        <w:rPr>
          <w:spacing w:val="-1"/>
        </w:rPr>
        <w:t xml:space="preserve"> </w:t>
      </w:r>
      <w:r>
        <w:t>de</w:t>
      </w:r>
      <w:r>
        <w:rPr>
          <w:spacing w:val="-1"/>
        </w:rPr>
        <w:t xml:space="preserve"> </w:t>
      </w:r>
      <w:r>
        <w:t>Contratación</w:t>
      </w:r>
      <w:r>
        <w:rPr>
          <w:spacing w:val="-1"/>
        </w:rPr>
        <w:t xml:space="preserve"> </w:t>
      </w:r>
      <w:r>
        <w:t>del Sector Público, prevalecerá la primera.</w:t>
      </w:r>
    </w:p>
    <w:p w:rsidR="0092635B" w:rsidRDefault="00000000">
      <w:pPr>
        <w:pStyle w:val="Textoindependiente"/>
        <w:spacing w:before="4" w:line="249" w:lineRule="auto"/>
        <w:ind w:right="1103"/>
      </w:pPr>
      <w:r>
        <w:t xml:space="preserve">Los órganos de contratación de las Administraciones locales, así como los de sus entidades vinculadas o dependientes podrán optar, </w:t>
      </w:r>
      <w:r>
        <w:rPr>
          <w:rFonts w:ascii="Arial" w:hAnsi="Arial"/>
          <w:b/>
        </w:rPr>
        <w:t>de forma excluyente y exclusiva</w:t>
      </w:r>
      <w:r>
        <w:t>, bien por alojar la publicación de sus perfiles de contratante en el servicio de información que a tal efecto</w:t>
      </w:r>
      <w:r>
        <w:rPr>
          <w:spacing w:val="-2"/>
        </w:rPr>
        <w:t xml:space="preserve"> </w:t>
      </w:r>
      <w:r>
        <w:t>estableciera</w:t>
      </w:r>
      <w:r>
        <w:rPr>
          <w:spacing w:val="-2"/>
        </w:rPr>
        <w:t xml:space="preserve"> </w:t>
      </w:r>
      <w:r>
        <w:t>la</w:t>
      </w:r>
      <w:r>
        <w:rPr>
          <w:spacing w:val="-2"/>
        </w:rPr>
        <w:t xml:space="preserve"> </w:t>
      </w:r>
      <w:r>
        <w:t>Comunidad</w:t>
      </w:r>
      <w:r>
        <w:rPr>
          <w:spacing w:val="-2"/>
        </w:rPr>
        <w:t xml:space="preserve"> </w:t>
      </w:r>
      <w:r>
        <w:t>Autónoma</w:t>
      </w:r>
      <w:r>
        <w:rPr>
          <w:spacing w:val="-2"/>
        </w:rPr>
        <w:t xml:space="preserve"> </w:t>
      </w:r>
      <w:r>
        <w:t>de</w:t>
      </w:r>
      <w:r>
        <w:rPr>
          <w:spacing w:val="-2"/>
        </w:rPr>
        <w:t xml:space="preserve"> </w:t>
      </w:r>
      <w:r>
        <w:t>su</w:t>
      </w:r>
      <w:r>
        <w:rPr>
          <w:spacing w:val="-2"/>
        </w:rPr>
        <w:t xml:space="preserve"> </w:t>
      </w:r>
      <w:r>
        <w:t>ámbito</w:t>
      </w:r>
      <w:r>
        <w:rPr>
          <w:spacing w:val="-2"/>
        </w:rPr>
        <w:t xml:space="preserve"> </w:t>
      </w:r>
      <w:r>
        <w:t>territorial,</w:t>
      </w:r>
      <w:r>
        <w:rPr>
          <w:spacing w:val="-2"/>
        </w:rPr>
        <w:t xml:space="preserve"> </w:t>
      </w:r>
      <w:r>
        <w:t>o</w:t>
      </w:r>
      <w:r>
        <w:rPr>
          <w:spacing w:val="-2"/>
        </w:rPr>
        <w:t xml:space="preserve"> </w:t>
      </w:r>
      <w:r>
        <w:t>bien</w:t>
      </w:r>
      <w:r>
        <w:rPr>
          <w:spacing w:val="-2"/>
        </w:rPr>
        <w:t xml:space="preserve"> </w:t>
      </w:r>
      <w:r>
        <w:t>por</w:t>
      </w:r>
      <w:r>
        <w:rPr>
          <w:spacing w:val="-2"/>
        </w:rPr>
        <w:t xml:space="preserve"> </w:t>
      </w:r>
      <w:r>
        <w:t>alojarlos</w:t>
      </w:r>
      <w:r>
        <w:rPr>
          <w:spacing w:val="-2"/>
        </w:rPr>
        <w:t xml:space="preserve"> </w:t>
      </w:r>
      <w:r>
        <w:t>en</w:t>
      </w:r>
      <w:r>
        <w:rPr>
          <w:spacing w:val="-2"/>
        </w:rPr>
        <w:t xml:space="preserve"> </w:t>
      </w:r>
      <w:r>
        <w:t>la Plataforma de Contratación del Sector Público.</w:t>
      </w:r>
    </w:p>
    <w:p w:rsidR="0092635B" w:rsidRDefault="00000000">
      <w:pPr>
        <w:pStyle w:val="Textoindependiente"/>
        <w:spacing w:before="18"/>
        <w:ind w:left="0" w:firstLine="0"/>
        <w:jc w:val="left"/>
      </w:pPr>
      <w:r>
        <w:rPr>
          <w:noProof/>
        </w:rPr>
        <mc:AlternateContent>
          <mc:Choice Requires="wps">
            <w:drawing>
              <wp:anchor distT="0" distB="0" distL="0" distR="0" simplePos="0" relativeHeight="487596544" behindDoc="1" locked="0" layoutInCell="1" allowOverlap="1">
                <wp:simplePos x="0" y="0"/>
                <wp:positionH relativeFrom="page">
                  <wp:posOffset>1156762</wp:posOffset>
                </wp:positionH>
                <wp:positionV relativeFrom="paragraph">
                  <wp:posOffset>178155</wp:posOffset>
                </wp:positionV>
                <wp:extent cx="5247005" cy="78676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4">
                          <a:solidFill>
                            <a:srgbClr val="9F9F9F"/>
                          </a:solidFill>
                          <a:prstDash val="solid"/>
                        </a:ln>
                      </wps:spPr>
                      <wps:txbx>
                        <w:txbxContent>
                          <w:p w:rsidR="0092635B" w:rsidRDefault="00000000">
                            <w:pPr>
                              <w:spacing w:before="181" w:line="249" w:lineRule="auto"/>
                              <w:ind w:left="269" w:right="194" w:firstLine="340"/>
                              <w:rPr>
                                <w:color w:val="000000"/>
                                <w:sz w:val="18"/>
                              </w:rPr>
                            </w:pPr>
                            <w:r>
                              <w:rPr>
                                <w:color w:val="000000"/>
                                <w:sz w:val="18"/>
                              </w:rPr>
                              <w:t xml:space="preserve">Téngase en cuenta que se declara inconstitucional y nulo el inciso destacado del párrafo 5 del apartado 3 por la Sentencia del TC 68/2021, de 18 de marzo. </w:t>
                            </w:r>
                            <w:hyperlink r:id="rId51">
                              <w:r>
                                <w:rPr>
                                  <w:color w:val="0000FF"/>
                                  <w:sz w:val="18"/>
                                  <w:u w:val="single" w:color="0000FF"/>
                                </w:rPr>
                                <w:t>Ref. BOE-A-2021-6614</w:t>
                              </w:r>
                            </w:hyperlink>
                          </w:p>
                          <w:p w:rsidR="0092635B" w:rsidRDefault="00000000">
                            <w:pPr>
                              <w:spacing w:before="2" w:line="249" w:lineRule="auto"/>
                              <w:ind w:left="269" w:right="194" w:firstLine="340"/>
                              <w:rPr>
                                <w:color w:val="000000"/>
                                <w:sz w:val="18"/>
                              </w:rPr>
                            </w:pPr>
                            <w:r>
                              <w:rPr>
                                <w:color w:val="000000"/>
                                <w:sz w:val="18"/>
                              </w:rPr>
                              <w:t>La parte subsistente de este precepto ha de interpretarse conforme a lo expresado en el</w:t>
                            </w:r>
                            <w:r>
                              <w:rPr>
                                <w:color w:val="000000"/>
                                <w:spacing w:val="80"/>
                                <w:sz w:val="18"/>
                              </w:rPr>
                              <w:t xml:space="preserve"> </w:t>
                            </w:r>
                            <w:r>
                              <w:rPr>
                                <w:color w:val="000000"/>
                                <w:sz w:val="18"/>
                              </w:rPr>
                              <w:t>fundamento jurídico 8 D).</w:t>
                            </w:r>
                          </w:p>
                        </w:txbxContent>
                      </wps:txbx>
                      <wps:bodyPr wrap="square" lIns="0" tIns="0" rIns="0" bIns="0" rtlCol="0">
                        <a:noAutofit/>
                      </wps:bodyPr>
                    </wps:wsp>
                  </a:graphicData>
                </a:graphic>
              </wp:anchor>
            </w:drawing>
          </mc:Choice>
          <mc:Fallback>
            <w:pict>
              <v:shape id="Textbox 25" o:spid="_x0000_s1040" type="#_x0000_t202" style="position:absolute;margin-left:91.1pt;margin-top:14.05pt;width:413.15pt;height:61.9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" fillcolor="#f7f7ff" strokecolor="#9f9f9f" strokeweight=".26456mm">
                <v:path arrowok="t"/>
                <v:textbox inset="0,0,0,0">
                  <w:txbxContent>
                    <w:p w:rsidR="0092635B" w:rsidRDefault="00000000">
                      <w:pPr>
                        <w:spacing w:before="181" w:line="249" w:lineRule="auto"/>
                        <w:ind w:left="269" w:right="194" w:firstLine="340"/>
                        <w:rPr>
                          <w:color w:val="000000"/>
                          <w:sz w:val="18"/>
                        </w:rPr>
                      </w:pPr>
                      <w:r>
                        <w:rPr>
                          <w:color w:val="000000"/>
                          <w:sz w:val="18"/>
                        </w:rPr>
                        <w:t xml:space="preserve">Téngase en cuenta que se declara inconstitucional y nulo el inciso destacado del párrafo 5 del apartado 3 por la Sentencia del TC 68/2021, de 18 de marzo. </w:t>
                      </w:r>
                      <w:hyperlink r:id="rId52">
                        <w:r>
                          <w:rPr>
                            <w:color w:val="0000FF"/>
                            <w:sz w:val="18"/>
                            <w:u w:val="single" w:color="0000FF"/>
                          </w:rPr>
                          <w:t>Ref. BOE-A-2021-6614</w:t>
                        </w:r>
                      </w:hyperlink>
                    </w:p>
                    <w:p w:rsidR="0092635B" w:rsidRDefault="00000000">
                      <w:pPr>
                        <w:spacing w:before="2" w:line="249" w:lineRule="auto"/>
                        <w:ind w:left="269" w:right="194" w:firstLine="340"/>
                        <w:rPr>
                          <w:color w:val="000000"/>
                          <w:sz w:val="18"/>
                        </w:rPr>
                      </w:pPr>
                      <w:r>
                        <w:rPr>
                          <w:color w:val="000000"/>
                          <w:sz w:val="18"/>
                        </w:rPr>
                        <w:t>La parte subsistente de este precepto ha de interpretarse conforme a lo expresado en el</w:t>
                      </w:r>
                      <w:r>
                        <w:rPr>
                          <w:color w:val="000000"/>
                          <w:spacing w:val="80"/>
                          <w:sz w:val="18"/>
                        </w:rPr>
                        <w:t xml:space="preserve"> </w:t>
                      </w:r>
                      <w:r>
                        <w:rPr>
                          <w:color w:val="000000"/>
                          <w:sz w:val="18"/>
                        </w:rPr>
                        <w:t>fundamento jurídico 8 D).</w:t>
                      </w:r>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62"/>
        </w:numPr>
        <w:tabs>
          <w:tab w:val="left" w:pos="1728"/>
        </w:tabs>
        <w:spacing w:before="0" w:line="249" w:lineRule="auto"/>
        <w:ind w:right="1104" w:firstLine="340"/>
        <w:jc w:val="both"/>
        <w:rPr>
          <w:sz w:val="20"/>
        </w:rPr>
      </w:pPr>
      <w:r>
        <w:rPr>
          <w:sz w:val="20"/>
        </w:rPr>
        <w:t>La plataforma deberá contar con un sistema de sellado de tiempo que permita acreditar fehacientemente el inicio de la difusión pública de la información que se incluya en la misma.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62"/>
        </w:numPr>
        <w:tabs>
          <w:tab w:val="left" w:pos="1670"/>
        </w:tabs>
        <w:spacing w:before="1" w:line="249" w:lineRule="auto"/>
        <w:ind w:right="1104" w:firstLine="340"/>
        <w:jc w:val="both"/>
        <w:rPr>
          <w:sz w:val="20"/>
        </w:rPr>
      </w:pPr>
      <w:r>
        <w:rPr>
          <w:sz w:val="20"/>
        </w:rPr>
        <w:t>La</w:t>
      </w:r>
      <w:r>
        <w:rPr>
          <w:spacing w:val="-1"/>
          <w:sz w:val="20"/>
        </w:rPr>
        <w:t xml:space="preserve"> </w:t>
      </w:r>
      <w:r>
        <w:rPr>
          <w:sz w:val="20"/>
        </w:rPr>
        <w:t>publicación</w:t>
      </w:r>
      <w:r>
        <w:rPr>
          <w:spacing w:val="-1"/>
          <w:sz w:val="20"/>
        </w:rPr>
        <w:t xml:space="preserve"> </w:t>
      </w:r>
      <w:r>
        <w:rPr>
          <w:sz w:val="20"/>
        </w:rPr>
        <w:t>de</w:t>
      </w:r>
      <w:r>
        <w:rPr>
          <w:spacing w:val="-1"/>
          <w:sz w:val="20"/>
        </w:rPr>
        <w:t xml:space="preserve"> </w:t>
      </w:r>
      <w:r>
        <w:rPr>
          <w:sz w:val="20"/>
        </w:rPr>
        <w:t>anuncios</w:t>
      </w:r>
      <w:r>
        <w:rPr>
          <w:spacing w:val="-1"/>
          <w:sz w:val="20"/>
        </w:rPr>
        <w:t xml:space="preserve"> </w:t>
      </w:r>
      <w:r>
        <w:rPr>
          <w:sz w:val="20"/>
        </w:rPr>
        <w:t>y</w:t>
      </w:r>
      <w:r>
        <w:rPr>
          <w:spacing w:val="-1"/>
          <w:sz w:val="20"/>
        </w:rPr>
        <w:t xml:space="preserve"> </w:t>
      </w:r>
      <w:r>
        <w:rPr>
          <w:sz w:val="20"/>
        </w:rPr>
        <w:t>otra</w:t>
      </w:r>
      <w:r>
        <w:rPr>
          <w:spacing w:val="-1"/>
          <w:sz w:val="20"/>
        </w:rPr>
        <w:t xml:space="preserve"> </w:t>
      </w:r>
      <w:r>
        <w:rPr>
          <w:sz w:val="20"/>
        </w:rPr>
        <w:t>información</w:t>
      </w:r>
      <w:r>
        <w:rPr>
          <w:spacing w:val="-1"/>
          <w:sz w:val="20"/>
        </w:rPr>
        <w:t xml:space="preserve"> </w:t>
      </w:r>
      <w:r>
        <w:rPr>
          <w:sz w:val="20"/>
        </w:rPr>
        <w:t>relativa</w:t>
      </w:r>
      <w:r>
        <w:rPr>
          <w:spacing w:val="-1"/>
          <w:sz w:val="20"/>
        </w:rPr>
        <w:t xml:space="preserve"> </w:t>
      </w:r>
      <w:r>
        <w:rPr>
          <w:sz w:val="20"/>
        </w:rPr>
        <w:t>a</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perfiles</w:t>
      </w:r>
      <w:r>
        <w:rPr>
          <w:spacing w:val="-1"/>
          <w:sz w:val="20"/>
        </w:rPr>
        <w:t xml:space="preserve"> </w:t>
      </w:r>
      <w:r>
        <w:rPr>
          <w:sz w:val="20"/>
        </w:rPr>
        <w:t>de contratante surtirá los efectos previstos en la presente Ley cuando los mismos estén</w:t>
      </w:r>
      <w:r>
        <w:rPr>
          <w:spacing w:val="40"/>
          <w:sz w:val="20"/>
        </w:rPr>
        <w:t xml:space="preserve"> </w:t>
      </w:r>
      <w:r>
        <w:rPr>
          <w:sz w:val="20"/>
        </w:rPr>
        <w:t>alojados en la Plataforma de Contratación del Sector Público o en los servicios de información similares que se establezcan por las Comunidades Autónomas o las Ciudades Autónomas</w:t>
      </w:r>
      <w:r>
        <w:rPr>
          <w:spacing w:val="-1"/>
          <w:sz w:val="20"/>
        </w:rPr>
        <w:t xml:space="preserve"> </w:t>
      </w:r>
      <w:r>
        <w:rPr>
          <w:sz w:val="20"/>
        </w:rPr>
        <w:t>de</w:t>
      </w:r>
      <w:r>
        <w:rPr>
          <w:spacing w:val="-1"/>
          <w:sz w:val="20"/>
        </w:rPr>
        <w:t xml:space="preserve"> </w:t>
      </w:r>
      <w:r>
        <w:rPr>
          <w:sz w:val="20"/>
        </w:rPr>
        <w:t>Ceuta</w:t>
      </w:r>
      <w:r>
        <w:rPr>
          <w:spacing w:val="-1"/>
          <w:sz w:val="20"/>
        </w:rPr>
        <w:t xml:space="preserve"> </w:t>
      </w:r>
      <w:r>
        <w:rPr>
          <w:sz w:val="20"/>
        </w:rPr>
        <w:t>y</w:t>
      </w:r>
      <w:r>
        <w:rPr>
          <w:spacing w:val="-1"/>
          <w:sz w:val="20"/>
        </w:rPr>
        <w:t xml:space="preserve"> </w:t>
      </w:r>
      <w:r>
        <w:rPr>
          <w:sz w:val="20"/>
        </w:rPr>
        <w:t>Melilla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conformidad</w:t>
      </w:r>
      <w:r>
        <w:rPr>
          <w:spacing w:val="-1"/>
          <w:sz w:val="20"/>
        </w:rPr>
        <w:t xml:space="preserve"> </w:t>
      </w:r>
      <w:r>
        <w:rPr>
          <w:sz w:val="20"/>
        </w:rPr>
        <w:t>con</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apartados</w:t>
      </w:r>
      <w:r>
        <w:rPr>
          <w:spacing w:val="-1"/>
          <w:sz w:val="20"/>
        </w:rPr>
        <w:t xml:space="preserve"> </w:t>
      </w:r>
      <w:r>
        <w:rPr>
          <w:sz w:val="20"/>
        </w:rPr>
        <w:t>2</w:t>
      </w:r>
      <w:r>
        <w:rPr>
          <w:spacing w:val="-1"/>
          <w:sz w:val="20"/>
        </w:rPr>
        <w:t xml:space="preserve"> </w:t>
      </w:r>
      <w:r>
        <w:rPr>
          <w:sz w:val="20"/>
        </w:rPr>
        <w:t>y</w:t>
      </w:r>
      <w:r>
        <w:rPr>
          <w:spacing w:val="-1"/>
          <w:sz w:val="20"/>
        </w:rPr>
        <w:t xml:space="preserve"> </w:t>
      </w:r>
      <w:r>
        <w:rPr>
          <w:sz w:val="20"/>
        </w:rPr>
        <w:t>3</w:t>
      </w:r>
      <w:r>
        <w:rPr>
          <w:spacing w:val="-1"/>
          <w:sz w:val="20"/>
        </w:rPr>
        <w:t xml:space="preserve"> </w:t>
      </w:r>
      <w:r>
        <w:rPr>
          <w:sz w:val="20"/>
        </w:rPr>
        <w:t>del presente artículo, y siempre que, en este último caso, se cumpla con lo dispuesto en el párrafo tercero del citado apartado 3.</w:t>
      </w:r>
    </w:p>
    <w:p w:rsidR="0092635B" w:rsidRDefault="00000000">
      <w:pPr>
        <w:pStyle w:val="Prrafodelista"/>
        <w:numPr>
          <w:ilvl w:val="0"/>
          <w:numId w:val="62"/>
        </w:numPr>
        <w:tabs>
          <w:tab w:val="left" w:pos="1694"/>
        </w:tabs>
        <w:spacing w:before="5" w:line="249" w:lineRule="auto"/>
        <w:ind w:right="1104" w:firstLine="340"/>
        <w:jc w:val="both"/>
        <w:rPr>
          <w:sz w:val="20"/>
        </w:rPr>
      </w:pPr>
      <w:r>
        <w:rPr>
          <w:sz w:val="20"/>
        </w:rPr>
        <w:t>El acceso de los interesados a la Plataforma de Contratación del Sector Público se efectuará a través de un portal único.</w:t>
      </w:r>
    </w:p>
    <w:p w:rsidR="0092635B" w:rsidRDefault="00000000">
      <w:pPr>
        <w:pStyle w:val="Prrafodelista"/>
        <w:numPr>
          <w:ilvl w:val="0"/>
          <w:numId w:val="62"/>
        </w:numPr>
        <w:tabs>
          <w:tab w:val="left" w:pos="1736"/>
        </w:tabs>
        <w:spacing w:line="249" w:lineRule="auto"/>
        <w:ind w:right="1104" w:firstLine="340"/>
        <w:jc w:val="both"/>
        <w:rPr>
          <w:sz w:val="20"/>
        </w:rPr>
      </w:pPr>
      <w:r>
        <w:rPr>
          <w:sz w:val="20"/>
        </w:rPr>
        <w:t>Mediante Orden del Ministerio de Hacienda y Función Pública se definirán las especificaciones relativas a la operación y utilización de los servicios prestados por la Plataforma de Contratación del Sector Público.</w:t>
      </w:r>
    </w:p>
    <w:p w:rsidR="0092635B" w:rsidRDefault="00000000">
      <w:pPr>
        <w:pStyle w:val="Prrafodelista"/>
        <w:numPr>
          <w:ilvl w:val="0"/>
          <w:numId w:val="62"/>
        </w:numPr>
        <w:tabs>
          <w:tab w:val="left" w:pos="1668"/>
        </w:tabs>
        <w:ind w:left="1668" w:right="0" w:hanging="222"/>
        <w:jc w:val="both"/>
        <w:rPr>
          <w:sz w:val="20"/>
        </w:rPr>
      </w:pPr>
      <w:r>
        <w:rPr>
          <w:sz w:val="20"/>
        </w:rPr>
        <w:t>La</w:t>
      </w:r>
      <w:r>
        <w:rPr>
          <w:spacing w:val="-3"/>
          <w:sz w:val="20"/>
        </w:rPr>
        <w:t xml:space="preserve"> </w:t>
      </w:r>
      <w:r>
        <w:rPr>
          <w:sz w:val="20"/>
        </w:rPr>
        <w:t>información</w:t>
      </w:r>
      <w:r>
        <w:rPr>
          <w:spacing w:val="-3"/>
          <w:sz w:val="20"/>
        </w:rPr>
        <w:t xml:space="preserve"> </w:t>
      </w:r>
      <w:r>
        <w:rPr>
          <w:sz w:val="20"/>
        </w:rPr>
        <w:t>se</w:t>
      </w:r>
      <w:r>
        <w:rPr>
          <w:spacing w:val="-2"/>
          <w:sz w:val="20"/>
        </w:rPr>
        <w:t xml:space="preserve"> </w:t>
      </w:r>
      <w:r>
        <w:rPr>
          <w:sz w:val="20"/>
        </w:rPr>
        <w:t>publicará</w:t>
      </w:r>
      <w:r>
        <w:rPr>
          <w:spacing w:val="-3"/>
          <w:sz w:val="20"/>
        </w:rPr>
        <w:t xml:space="preserve"> </w:t>
      </w:r>
      <w:r>
        <w:rPr>
          <w:sz w:val="20"/>
        </w:rPr>
        <w:t>en</w:t>
      </w:r>
      <w:r>
        <w:rPr>
          <w:spacing w:val="-3"/>
          <w:sz w:val="20"/>
        </w:rPr>
        <w:t xml:space="preserve"> </w:t>
      </w:r>
      <w:r>
        <w:rPr>
          <w:sz w:val="20"/>
        </w:rPr>
        <w:t>estándares</w:t>
      </w:r>
      <w:r>
        <w:rPr>
          <w:spacing w:val="-2"/>
          <w:sz w:val="20"/>
        </w:rPr>
        <w:t xml:space="preserve"> </w:t>
      </w:r>
      <w:r>
        <w:rPr>
          <w:sz w:val="20"/>
        </w:rPr>
        <w:t>abiertos</w:t>
      </w:r>
      <w:r>
        <w:rPr>
          <w:spacing w:val="-3"/>
          <w:sz w:val="20"/>
        </w:rPr>
        <w:t xml:space="preserve"> </w:t>
      </w:r>
      <w:r>
        <w:rPr>
          <w:sz w:val="20"/>
        </w:rPr>
        <w:t>y</w:t>
      </w:r>
      <w:r>
        <w:rPr>
          <w:spacing w:val="-2"/>
          <w:sz w:val="20"/>
        </w:rPr>
        <w:t xml:space="preserve"> reutilizables.</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586" w:name="[Disposiciones_adicionales]"/>
      <w:bookmarkStart w:id="587" w:name="Disposición_adicional_primera._Contratac"/>
      <w:bookmarkStart w:id="588" w:name="_bookmark121"/>
      <w:bookmarkEnd w:id="586"/>
      <w:bookmarkEnd w:id="587"/>
      <w:bookmarkEnd w:id="588"/>
      <w:r>
        <w:rPr>
          <w:rFonts w:ascii="Arial" w:hAnsi="Arial"/>
          <w:b/>
          <w:sz w:val="20"/>
        </w:rPr>
        <w:t>Disposición</w:t>
      </w:r>
      <w:r>
        <w:rPr>
          <w:rFonts w:ascii="Arial" w:hAnsi="Arial"/>
          <w:b/>
          <w:spacing w:val="-4"/>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primera.</w:t>
      </w:r>
      <w:r>
        <w:rPr>
          <w:rFonts w:ascii="Arial" w:hAnsi="Arial"/>
          <w:b/>
          <w:spacing w:val="50"/>
          <w:sz w:val="20"/>
        </w:rPr>
        <w:t xml:space="preserve"> </w:t>
      </w:r>
      <w:r>
        <w:rPr>
          <w:rFonts w:ascii="Arial" w:hAnsi="Arial"/>
          <w:i/>
          <w:sz w:val="20"/>
        </w:rPr>
        <w:t>Contratación</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el</w:t>
      </w:r>
      <w:r>
        <w:rPr>
          <w:rFonts w:ascii="Arial" w:hAnsi="Arial"/>
          <w:i/>
          <w:spacing w:val="-1"/>
          <w:sz w:val="20"/>
        </w:rPr>
        <w:t xml:space="preserve"> </w:t>
      </w:r>
      <w:r>
        <w:rPr>
          <w:rFonts w:ascii="Arial" w:hAnsi="Arial"/>
          <w:i/>
          <w:spacing w:val="-2"/>
          <w:sz w:val="20"/>
        </w:rPr>
        <w:t>extranjero.</w:t>
      </w:r>
    </w:p>
    <w:p w:rsidR="0092635B" w:rsidRDefault="00000000">
      <w:pPr>
        <w:pStyle w:val="Prrafodelista"/>
        <w:numPr>
          <w:ilvl w:val="0"/>
          <w:numId w:val="61"/>
        </w:numPr>
        <w:tabs>
          <w:tab w:val="left" w:pos="1684"/>
        </w:tabs>
        <w:spacing w:before="124" w:line="249" w:lineRule="auto"/>
        <w:ind w:firstLine="340"/>
        <w:jc w:val="both"/>
        <w:rPr>
          <w:sz w:val="20"/>
        </w:rPr>
      </w:pPr>
      <w:r>
        <w:rPr>
          <w:sz w:val="20"/>
        </w:rPr>
        <w:t>Los contratos que se formalicen y ejecuten en el extranjero, sin perjuicio de tener en cuenta los principios de esta Ley para resolver las dudas y lagunas que, en su aplicación, puedan presentarse, se regirán por las siguientes normas:</w:t>
      </w:r>
    </w:p>
    <w:p w:rsidR="0092635B" w:rsidRDefault="00000000">
      <w:pPr>
        <w:pStyle w:val="Prrafodelista"/>
        <w:numPr>
          <w:ilvl w:val="1"/>
          <w:numId w:val="61"/>
        </w:numPr>
        <w:tabs>
          <w:tab w:val="left" w:pos="1762"/>
        </w:tabs>
        <w:spacing w:before="122" w:line="249" w:lineRule="auto"/>
        <w:ind w:right="1102" w:firstLine="340"/>
        <w:jc w:val="both"/>
        <w:rPr>
          <w:sz w:val="20"/>
        </w:rPr>
      </w:pPr>
      <w:r>
        <w:rPr>
          <w:sz w:val="20"/>
        </w:rPr>
        <w:t>En la Administración General del Estado, la formalización de estos contratos corresponderá al Jefe de Misión o Representación Permanente, orgánica y funcionalmente dependiente del Ministerio de Asuntos Exteriores y de Cooperación, que podrá delegarla en favor de otros órganos, funcionarios o personas particulares. Sin embargo, en el ámbito del Ministerio de Defensa, la formalización de los mismos corresponderá al titular de este Departamento, que podrá delegar esta competencia y, cuando se trate de contratos necesarios para el cumplimiento de misiones de paz en las que participen las Fuerzas y Cuerpos de Seguridad españoles, su formalización corresponderá al Ministro del Interior.</w:t>
      </w:r>
    </w:p>
    <w:p w:rsidR="0092635B" w:rsidRDefault="00000000">
      <w:pPr>
        <w:pStyle w:val="Textoindependiente"/>
        <w:spacing w:before="7" w:line="249" w:lineRule="auto"/>
        <w:ind w:right="1102"/>
      </w:pPr>
      <w:r>
        <w:t>En los Organismos Autónomos, Entidades Gestoras y Servicios Comunes de la Seguridad Social la formalización de estos contratos corresponde a sus representantes legales o a las personas en quienes los mismos deleguen.</w:t>
      </w:r>
    </w:p>
    <w:p w:rsidR="0092635B" w:rsidRDefault="00000000">
      <w:pPr>
        <w:pStyle w:val="Textoindependiente"/>
        <w:spacing w:line="249" w:lineRule="auto"/>
        <w:ind w:right="1105"/>
      </w:pPr>
      <w:r>
        <w:t>En los demás organismos y entidades sujetos a esta Ley, la formalización de los contratos corresponderá a sus representantes legales.</w:t>
      </w:r>
    </w:p>
    <w:p w:rsidR="0092635B" w:rsidRDefault="00000000">
      <w:pPr>
        <w:pStyle w:val="Textoindependiente"/>
        <w:ind w:left="1446" w:firstLine="0"/>
      </w:pPr>
      <w:r>
        <w:t>Los</w:t>
      </w:r>
      <w:r>
        <w:rPr>
          <w:spacing w:val="-2"/>
        </w:rPr>
        <w:t xml:space="preserve"> </w:t>
      </w:r>
      <w:r>
        <w:t>artículos</w:t>
      </w:r>
      <w:r>
        <w:rPr>
          <w:spacing w:val="-2"/>
        </w:rPr>
        <w:t xml:space="preserve"> </w:t>
      </w:r>
      <w:r>
        <w:t>323</w:t>
      </w:r>
      <w:r>
        <w:rPr>
          <w:spacing w:val="-2"/>
        </w:rPr>
        <w:t xml:space="preserve"> </w:t>
      </w:r>
      <w:r>
        <w:t>a</w:t>
      </w:r>
      <w:r>
        <w:rPr>
          <w:spacing w:val="-2"/>
        </w:rPr>
        <w:t xml:space="preserve"> </w:t>
      </w:r>
      <w:r>
        <w:t>325</w:t>
      </w:r>
      <w:r>
        <w:rPr>
          <w:spacing w:val="-2"/>
        </w:rPr>
        <w:t xml:space="preserve"> </w:t>
      </w:r>
      <w:r>
        <w:t>de</w:t>
      </w:r>
      <w:r>
        <w:rPr>
          <w:spacing w:val="-2"/>
        </w:rPr>
        <w:t xml:space="preserve"> </w:t>
      </w:r>
      <w:r>
        <w:t>la</w:t>
      </w:r>
      <w:r>
        <w:rPr>
          <w:spacing w:val="-2"/>
        </w:rPr>
        <w:t xml:space="preserve"> </w:t>
      </w:r>
      <w:r>
        <w:t>presente</w:t>
      </w:r>
      <w:r>
        <w:rPr>
          <w:spacing w:val="-2"/>
        </w:rPr>
        <w:t xml:space="preserve"> </w:t>
      </w:r>
      <w:r>
        <w:t>Ley</w:t>
      </w:r>
      <w:r>
        <w:rPr>
          <w:spacing w:val="-2"/>
        </w:rPr>
        <w:t xml:space="preserve"> </w:t>
      </w:r>
      <w:r>
        <w:t>serán</w:t>
      </w:r>
      <w:r>
        <w:rPr>
          <w:spacing w:val="-2"/>
        </w:rPr>
        <w:t xml:space="preserve"> </w:t>
      </w:r>
      <w:r>
        <w:t>de</w:t>
      </w:r>
      <w:r>
        <w:rPr>
          <w:spacing w:val="-2"/>
        </w:rPr>
        <w:t xml:space="preserve"> </w:t>
      </w:r>
      <w:r>
        <w:t>aplicación</w:t>
      </w:r>
      <w:r>
        <w:rPr>
          <w:spacing w:val="-2"/>
        </w:rPr>
        <w:t xml:space="preserve"> </w:t>
      </w:r>
      <w:r>
        <w:t>a</w:t>
      </w:r>
      <w:r>
        <w:rPr>
          <w:spacing w:val="-2"/>
        </w:rPr>
        <w:t xml:space="preserve"> </w:t>
      </w:r>
      <w:r>
        <w:t>estos</w:t>
      </w:r>
      <w:r>
        <w:rPr>
          <w:spacing w:val="-1"/>
        </w:rPr>
        <w:t xml:space="preserve"> </w:t>
      </w:r>
      <w:r>
        <w:rPr>
          <w:spacing w:val="-2"/>
        </w:rPr>
        <w:t>contratos.</w:t>
      </w:r>
    </w:p>
    <w:p w:rsidR="0092635B" w:rsidRDefault="00000000">
      <w:pPr>
        <w:pStyle w:val="Prrafodelista"/>
        <w:numPr>
          <w:ilvl w:val="1"/>
          <w:numId w:val="61"/>
        </w:numPr>
        <w:tabs>
          <w:tab w:val="left" w:pos="1681"/>
        </w:tabs>
        <w:spacing w:before="10" w:line="249" w:lineRule="auto"/>
        <w:ind w:right="1105" w:firstLine="340"/>
        <w:jc w:val="both"/>
        <w:rPr>
          <w:sz w:val="20"/>
        </w:rPr>
      </w:pPr>
      <w:r>
        <w:rPr>
          <w:sz w:val="20"/>
        </w:rPr>
        <w:t>Sin perjuicio de los requisitos de capacidad que puedan exigir las Leyes del Estado en que se celebre el contrato, para empresas de Estados miembros de la Unión Europea o de Estados signatarios del Acuerdo sobre el Espacio Económico Europeo se estará a lo dispuesto en esta Ley.</w:t>
      </w:r>
    </w:p>
    <w:p w:rsidR="0092635B" w:rsidRDefault="00000000">
      <w:pPr>
        <w:pStyle w:val="Prrafodelista"/>
        <w:numPr>
          <w:ilvl w:val="1"/>
          <w:numId w:val="61"/>
        </w:numPr>
        <w:tabs>
          <w:tab w:val="left" w:pos="1695"/>
        </w:tabs>
        <w:spacing w:before="3" w:line="249" w:lineRule="auto"/>
        <w:ind w:right="1104" w:firstLine="340"/>
        <w:jc w:val="both"/>
        <w:rPr>
          <w:sz w:val="20"/>
        </w:rPr>
      </w:pPr>
      <w:r>
        <w:rPr>
          <w:sz w:val="20"/>
        </w:rPr>
        <w:t>El pliego de cláusulas administrativas particulares podrá ser sustituido por el propio clausulado del contrato.</w:t>
      </w:r>
    </w:p>
    <w:p w:rsidR="0092635B" w:rsidRDefault="00000000">
      <w:pPr>
        <w:pStyle w:val="Prrafodelista"/>
        <w:numPr>
          <w:ilvl w:val="1"/>
          <w:numId w:val="61"/>
        </w:numPr>
        <w:tabs>
          <w:tab w:val="left" w:pos="1733"/>
        </w:tabs>
        <w:spacing w:line="249" w:lineRule="auto"/>
        <w:ind w:right="1104" w:firstLine="340"/>
        <w:jc w:val="both"/>
        <w:rPr>
          <w:sz w:val="20"/>
        </w:rPr>
      </w:pPr>
      <w:r>
        <w:rPr>
          <w:sz w:val="20"/>
        </w:rPr>
        <w:t>Sin perjuicio de lo establecido para los contratos menores, los contratos podrán adjudicarse</w:t>
      </w:r>
      <w:r>
        <w:rPr>
          <w:spacing w:val="-3"/>
          <w:sz w:val="20"/>
        </w:rPr>
        <w:t xml:space="preserve"> </w:t>
      </w:r>
      <w:r>
        <w:rPr>
          <w:sz w:val="20"/>
        </w:rPr>
        <w:t>por</w:t>
      </w:r>
      <w:r>
        <w:rPr>
          <w:spacing w:val="-3"/>
          <w:sz w:val="20"/>
        </w:rPr>
        <w:t xml:space="preserve"> </w:t>
      </w:r>
      <w:r>
        <w:rPr>
          <w:sz w:val="20"/>
        </w:rPr>
        <w:t>procedimiento</w:t>
      </w:r>
      <w:r>
        <w:rPr>
          <w:spacing w:val="-3"/>
          <w:sz w:val="20"/>
        </w:rPr>
        <w:t xml:space="preserve"> </w:t>
      </w:r>
      <w:r>
        <w:rPr>
          <w:sz w:val="20"/>
        </w:rPr>
        <w:t>negociado,</w:t>
      </w:r>
      <w:r>
        <w:rPr>
          <w:spacing w:val="-3"/>
          <w:sz w:val="20"/>
        </w:rPr>
        <w:t xml:space="preserve"> </w:t>
      </w:r>
      <w:r>
        <w:rPr>
          <w:sz w:val="20"/>
        </w:rPr>
        <w:t>debiendo</w:t>
      </w:r>
      <w:r>
        <w:rPr>
          <w:spacing w:val="-3"/>
          <w:sz w:val="20"/>
        </w:rPr>
        <w:t xml:space="preserve"> </w:t>
      </w:r>
      <w:r>
        <w:rPr>
          <w:sz w:val="20"/>
        </w:rPr>
        <w:t>conseguirse,</w:t>
      </w:r>
      <w:r>
        <w:rPr>
          <w:spacing w:val="-3"/>
          <w:sz w:val="20"/>
        </w:rPr>
        <w:t xml:space="preserve"> </w:t>
      </w:r>
      <w:r>
        <w:rPr>
          <w:sz w:val="20"/>
        </w:rPr>
        <w:t>siempre</w:t>
      </w:r>
      <w:r>
        <w:rPr>
          <w:spacing w:val="-3"/>
          <w:sz w:val="20"/>
        </w:rPr>
        <w:t xml:space="preserve"> </w:t>
      </w:r>
      <w:r>
        <w:rPr>
          <w:sz w:val="20"/>
        </w:rPr>
        <w:t>que</w:t>
      </w:r>
      <w:r>
        <w:rPr>
          <w:spacing w:val="-3"/>
          <w:sz w:val="20"/>
        </w:rPr>
        <w:t xml:space="preserve"> </w:t>
      </w:r>
      <w:r>
        <w:rPr>
          <w:sz w:val="20"/>
        </w:rPr>
        <w:t>sea</w:t>
      </w:r>
      <w:r>
        <w:rPr>
          <w:spacing w:val="-3"/>
          <w:sz w:val="20"/>
        </w:rPr>
        <w:t xml:space="preserve"> </w:t>
      </w:r>
      <w:r>
        <w:rPr>
          <w:sz w:val="20"/>
        </w:rPr>
        <w:t>posible,</w:t>
      </w:r>
      <w:r>
        <w:rPr>
          <w:spacing w:val="-3"/>
          <w:sz w:val="20"/>
        </w:rPr>
        <w:t xml:space="preserve"> </w:t>
      </w:r>
      <w:r>
        <w:rPr>
          <w:sz w:val="20"/>
        </w:rPr>
        <w:t>al menos tres ofertas de empresas capaces de cumplir los mismos.</w:t>
      </w:r>
    </w:p>
    <w:p w:rsidR="0092635B" w:rsidRDefault="00000000">
      <w:pPr>
        <w:pStyle w:val="Prrafodelista"/>
        <w:numPr>
          <w:ilvl w:val="1"/>
          <w:numId w:val="61"/>
        </w:numPr>
        <w:tabs>
          <w:tab w:val="left" w:pos="1716"/>
        </w:tabs>
        <w:spacing w:line="249" w:lineRule="auto"/>
        <w:ind w:right="1104" w:firstLine="340"/>
        <w:jc w:val="both"/>
        <w:rPr>
          <w:sz w:val="20"/>
        </w:rPr>
      </w:pPr>
      <w:r>
        <w:rPr>
          <w:sz w:val="20"/>
        </w:rPr>
        <w:t xml:space="preserve">La formalización se llevará a cabo mediante documento fehaciente, remitiendo los datos de estos contratos al Ministerio de Hacienda y Función Pública a los efectos previstos en el artículo 346 relativo al Registro de Contratos del Sector Público, sin perjuicio de la obligación de remisión al Tribunal de Cuentas prevista en el artículo 335. En cuanto a los contratos menores se estará a lo dispuesto con carácter general para los mismos en esta </w:t>
      </w:r>
      <w:r>
        <w:rPr>
          <w:spacing w:val="-4"/>
          <w:sz w:val="20"/>
        </w:rPr>
        <w:t>Ley.</w:t>
      </w:r>
    </w:p>
    <w:p w:rsidR="0092635B" w:rsidRDefault="00000000">
      <w:pPr>
        <w:pStyle w:val="Prrafodelista"/>
        <w:numPr>
          <w:ilvl w:val="1"/>
          <w:numId w:val="61"/>
        </w:numPr>
        <w:tabs>
          <w:tab w:val="left" w:pos="1625"/>
        </w:tabs>
        <w:spacing w:before="5" w:line="249" w:lineRule="auto"/>
        <w:ind w:right="1104" w:firstLine="340"/>
        <w:jc w:val="both"/>
        <w:rPr>
          <w:sz w:val="20"/>
        </w:rPr>
      </w:pPr>
      <w:r>
        <w:rPr>
          <w:sz w:val="20"/>
        </w:rPr>
        <w:t>Al</w:t>
      </w:r>
      <w:r>
        <w:rPr>
          <w:spacing w:val="-1"/>
          <w:sz w:val="20"/>
        </w:rPr>
        <w:t xml:space="preserve"> </w:t>
      </w:r>
      <w:r>
        <w:rPr>
          <w:sz w:val="20"/>
        </w:rPr>
        <w:t>adjudicatario</w:t>
      </w:r>
      <w:r>
        <w:rPr>
          <w:spacing w:val="-1"/>
          <w:sz w:val="20"/>
        </w:rPr>
        <w:t xml:space="preserve"> </w:t>
      </w:r>
      <w:r>
        <w:rPr>
          <w:sz w:val="20"/>
        </w:rPr>
        <w:t>se</w:t>
      </w:r>
      <w:r>
        <w:rPr>
          <w:spacing w:val="-1"/>
          <w:sz w:val="20"/>
        </w:rPr>
        <w:t xml:space="preserve"> </w:t>
      </w:r>
      <w:r>
        <w:rPr>
          <w:sz w:val="20"/>
        </w:rPr>
        <w:t>le</w:t>
      </w:r>
      <w:r>
        <w:rPr>
          <w:spacing w:val="-1"/>
          <w:sz w:val="20"/>
        </w:rPr>
        <w:t xml:space="preserve"> </w:t>
      </w:r>
      <w:r>
        <w:rPr>
          <w:sz w:val="20"/>
        </w:rPr>
        <w:t>podrán</w:t>
      </w:r>
      <w:r>
        <w:rPr>
          <w:spacing w:val="-1"/>
          <w:sz w:val="20"/>
        </w:rPr>
        <w:t xml:space="preserve"> </w:t>
      </w:r>
      <w:r>
        <w:rPr>
          <w:sz w:val="20"/>
        </w:rPr>
        <w:t>exigir</w:t>
      </w:r>
      <w:r>
        <w:rPr>
          <w:spacing w:val="-1"/>
          <w:sz w:val="20"/>
        </w:rPr>
        <w:t xml:space="preserve"> </w:t>
      </w:r>
      <w:r>
        <w:rPr>
          <w:sz w:val="20"/>
        </w:rPr>
        <w:t>unas</w:t>
      </w:r>
      <w:r>
        <w:rPr>
          <w:spacing w:val="-1"/>
          <w:sz w:val="20"/>
        </w:rPr>
        <w:t xml:space="preserve"> </w:t>
      </w:r>
      <w:r>
        <w:rPr>
          <w:sz w:val="20"/>
        </w:rPr>
        <w:t>garantías</w:t>
      </w:r>
      <w:r>
        <w:rPr>
          <w:spacing w:val="-1"/>
          <w:sz w:val="20"/>
        </w:rPr>
        <w:t xml:space="preserve"> </w:t>
      </w:r>
      <w:r>
        <w:rPr>
          <w:sz w:val="20"/>
        </w:rPr>
        <w:t>análogas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previstas</w:t>
      </w:r>
      <w:r>
        <w:rPr>
          <w:spacing w:val="-1"/>
          <w:sz w:val="20"/>
        </w:rPr>
        <w:t xml:space="preserve"> </w:t>
      </w:r>
      <w:r>
        <w:rPr>
          <w:sz w:val="20"/>
        </w:rPr>
        <w:t>en</w:t>
      </w:r>
      <w:r>
        <w:rPr>
          <w:spacing w:val="-1"/>
          <w:sz w:val="20"/>
        </w:rPr>
        <w:t xml:space="preserve"> </w:t>
      </w:r>
      <w:r>
        <w:rPr>
          <w:sz w:val="20"/>
        </w:rPr>
        <w:t>esta</w:t>
      </w:r>
      <w:r>
        <w:rPr>
          <w:spacing w:val="-1"/>
          <w:sz w:val="20"/>
        </w:rPr>
        <w:t xml:space="preserve"> </w:t>
      </w:r>
      <w:r>
        <w:rPr>
          <w:sz w:val="20"/>
        </w:rPr>
        <w:t xml:space="preserve">Ley para asegurar la ejecución del contrato, siempre que ello sea posible y adecuado a las condiciones del Estado en que se efectúa la contratación y, en su defecto, las que sean usuales y autorizadas en dicho Estado o resulten conformes con las prácticas comerciales </w:t>
      </w:r>
      <w:r>
        <w:rPr>
          <w:spacing w:val="-2"/>
          <w:sz w:val="20"/>
        </w:rPr>
        <w:t>internacionales.</w:t>
      </w:r>
    </w:p>
    <w:p w:rsidR="0092635B" w:rsidRDefault="00000000">
      <w:pPr>
        <w:pStyle w:val="Textoindependiente"/>
        <w:spacing w:before="4" w:line="249" w:lineRule="auto"/>
        <w:ind w:right="1103"/>
      </w:pPr>
      <w:r>
        <w:t>En la Administración General del Estado, las garantías se constituirán en la Misión Diplomática, Representación Permanente u Oficina Consular correspondiente. En el caso de que se trate de Organismos Autónomos, Entidades Gestoras y Servicios Comunes de la Seguridad Social y demás entidades públicas del sector público estatal, las garantías se constituirán en el propio organismo, de contar el mismo con representación en el exterior, 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hanging="1"/>
      </w:pPr>
      <w:r>
        <w:t xml:space="preserve">en su defecto, en la Misión Diplomática, Representación Permanente u Oficina Consular </w:t>
      </w:r>
      <w:r>
        <w:rPr>
          <w:spacing w:val="-2"/>
        </w:rPr>
        <w:t>correspondiente.</w:t>
      </w:r>
    </w:p>
    <w:p w:rsidR="0092635B" w:rsidRDefault="00000000">
      <w:pPr>
        <w:pStyle w:val="Prrafodelista"/>
        <w:numPr>
          <w:ilvl w:val="1"/>
          <w:numId w:val="61"/>
        </w:numPr>
        <w:tabs>
          <w:tab w:val="left" w:pos="1714"/>
        </w:tabs>
        <w:spacing w:before="1" w:line="249" w:lineRule="auto"/>
        <w:ind w:right="1104" w:firstLine="340"/>
        <w:jc w:val="both"/>
        <w:rPr>
          <w:sz w:val="20"/>
        </w:rPr>
      </w:pPr>
      <w:r>
        <w:rPr>
          <w:sz w:val="20"/>
        </w:rPr>
        <w:t>El pago del precio se condicionará a la entrega por el contratista de la prestación convenida, salvo que se oponga a ello el derecho o las costumbres del Estado, en cuyo supuesto se deberá exigir garantía que cubra el anticipo, prestada en la forma prevista en la letra e) anterior.</w:t>
      </w:r>
    </w:p>
    <w:p w:rsidR="0092635B" w:rsidRDefault="00000000">
      <w:pPr>
        <w:pStyle w:val="Textoindependiente"/>
        <w:spacing w:before="4" w:line="249" w:lineRule="auto"/>
        <w:ind w:right="1104"/>
      </w:pPr>
      <w:r>
        <w:t>Excepcionalmente, por resolución motivada del órgano de contratación, y cuando las circunstancias así lo impongan, podrá eximirse de la prestación de esta garantía, siempre que ello sea conforme con las prácticas comerciales internacionales.</w:t>
      </w:r>
    </w:p>
    <w:p w:rsidR="0092635B" w:rsidRDefault="00000000">
      <w:pPr>
        <w:pStyle w:val="Prrafodelista"/>
        <w:numPr>
          <w:ilvl w:val="1"/>
          <w:numId w:val="61"/>
        </w:numPr>
        <w:tabs>
          <w:tab w:val="left" w:pos="1738"/>
        </w:tabs>
        <w:spacing w:line="249" w:lineRule="auto"/>
        <w:ind w:right="1104" w:firstLine="340"/>
        <w:jc w:val="both"/>
        <w:rPr>
          <w:sz w:val="20"/>
        </w:rPr>
      </w:pPr>
      <w:r>
        <w:rPr>
          <w:sz w:val="20"/>
        </w:rPr>
        <w:t>En estos contratos se procurará incluir estipulaciones tendentes a preservar los intereses de la Administración ante posibles incumplimientos del contratista y, sin perjuicio</w:t>
      </w:r>
      <w:r>
        <w:rPr>
          <w:spacing w:val="40"/>
          <w:sz w:val="20"/>
        </w:rPr>
        <w:t xml:space="preserve"> </w:t>
      </w:r>
      <w:r>
        <w:rPr>
          <w:sz w:val="20"/>
        </w:rPr>
        <w:t>de los establecido en el apartado cuarto del presente artículo, a autorizar las modificaciones del contrato que puedan hacerse convenientes.</w:t>
      </w:r>
    </w:p>
    <w:p w:rsidR="0092635B" w:rsidRDefault="00000000">
      <w:pPr>
        <w:pStyle w:val="Prrafodelista"/>
        <w:numPr>
          <w:ilvl w:val="1"/>
          <w:numId w:val="61"/>
        </w:numPr>
        <w:tabs>
          <w:tab w:val="left" w:pos="1626"/>
        </w:tabs>
        <w:spacing w:before="3" w:line="249" w:lineRule="auto"/>
        <w:ind w:right="1104" w:firstLine="340"/>
        <w:jc w:val="both"/>
        <w:rPr>
          <w:sz w:val="20"/>
        </w:rPr>
      </w:pPr>
      <w:r>
        <w:rPr>
          <w:sz w:val="20"/>
        </w:rPr>
        <w:t>Por el órgano de contratación podrá establecerse en la documentación contractual un régimen de revisión de precios diferente al previsto con carácter general en esta Ley, atendiendo a la legislación del país en que haya de ejecutarse el contrato y a sus circunstancias</w:t>
      </w:r>
      <w:r>
        <w:rPr>
          <w:spacing w:val="-2"/>
          <w:sz w:val="20"/>
        </w:rPr>
        <w:t xml:space="preserve"> </w:t>
      </w:r>
      <w:r>
        <w:rPr>
          <w:sz w:val="20"/>
        </w:rPr>
        <w:t>socioeconómicas.</w:t>
      </w:r>
      <w:r>
        <w:rPr>
          <w:spacing w:val="-2"/>
          <w:sz w:val="20"/>
        </w:rPr>
        <w:t xml:space="preserve"> </w:t>
      </w:r>
      <w:r>
        <w:rPr>
          <w:sz w:val="20"/>
        </w:rPr>
        <w:t>En</w:t>
      </w:r>
      <w:r>
        <w:rPr>
          <w:spacing w:val="-2"/>
          <w:sz w:val="20"/>
        </w:rPr>
        <w:t xml:space="preserve"> </w:t>
      </w:r>
      <w:r>
        <w:rPr>
          <w:sz w:val="20"/>
        </w:rPr>
        <w:t>cualquier</w:t>
      </w:r>
      <w:r>
        <w:rPr>
          <w:spacing w:val="-2"/>
          <w:sz w:val="20"/>
        </w:rPr>
        <w:t xml:space="preserve"> </w:t>
      </w:r>
      <w:r>
        <w:rPr>
          <w:sz w:val="20"/>
        </w:rPr>
        <w:t>caso,</w:t>
      </w:r>
      <w:r>
        <w:rPr>
          <w:spacing w:val="-2"/>
          <w:sz w:val="20"/>
        </w:rPr>
        <w:t xml:space="preserve"> </w:t>
      </w:r>
      <w:r>
        <w:rPr>
          <w:sz w:val="20"/>
        </w:rPr>
        <w:t>el</w:t>
      </w:r>
      <w:r>
        <w:rPr>
          <w:spacing w:val="-2"/>
          <w:sz w:val="20"/>
        </w:rPr>
        <w:t xml:space="preserve"> </w:t>
      </w:r>
      <w:r>
        <w:rPr>
          <w:sz w:val="20"/>
        </w:rPr>
        <w:t>régimen</w:t>
      </w:r>
      <w:r>
        <w:rPr>
          <w:spacing w:val="-2"/>
          <w:sz w:val="20"/>
        </w:rPr>
        <w:t xml:space="preserve"> </w:t>
      </w:r>
      <w:r>
        <w:rPr>
          <w:sz w:val="20"/>
        </w:rPr>
        <w:t>de</w:t>
      </w:r>
      <w:r>
        <w:rPr>
          <w:spacing w:val="-2"/>
          <w:sz w:val="20"/>
        </w:rPr>
        <w:t xml:space="preserve"> </w:t>
      </w:r>
      <w:r>
        <w:rPr>
          <w:sz w:val="20"/>
        </w:rPr>
        <w:t>revisión</w:t>
      </w:r>
      <w:r>
        <w:rPr>
          <w:spacing w:val="-2"/>
          <w:sz w:val="20"/>
        </w:rPr>
        <w:t xml:space="preserve"> </w:t>
      </w:r>
      <w:r>
        <w:rPr>
          <w:sz w:val="20"/>
        </w:rPr>
        <w:t>de</w:t>
      </w:r>
      <w:r>
        <w:rPr>
          <w:spacing w:val="-2"/>
          <w:sz w:val="20"/>
        </w:rPr>
        <w:t xml:space="preserve"> </w:t>
      </w:r>
      <w:r>
        <w:rPr>
          <w:sz w:val="20"/>
        </w:rPr>
        <w:t>precios</w:t>
      </w:r>
      <w:r>
        <w:rPr>
          <w:spacing w:val="-2"/>
          <w:sz w:val="20"/>
        </w:rPr>
        <w:t xml:space="preserve"> </w:t>
      </w:r>
      <w:r>
        <w:rPr>
          <w:sz w:val="20"/>
        </w:rPr>
        <w:t>que</w:t>
      </w:r>
      <w:r>
        <w:rPr>
          <w:spacing w:val="-2"/>
          <w:sz w:val="20"/>
        </w:rPr>
        <w:t xml:space="preserve"> </w:t>
      </w:r>
      <w:r>
        <w:rPr>
          <w:sz w:val="20"/>
        </w:rPr>
        <w:t xml:space="preserve">se establezca se basará en parámetros objetivos y, a ser posible, públicos o, cuando menos, fácilmente medibles, pudiendo utilizarse a estos efectos los calculados por Organismos </w:t>
      </w:r>
      <w:r>
        <w:rPr>
          <w:spacing w:val="-2"/>
          <w:sz w:val="20"/>
        </w:rPr>
        <w:t>Internacionales.</w:t>
      </w:r>
    </w:p>
    <w:p w:rsidR="0092635B" w:rsidRDefault="00000000">
      <w:pPr>
        <w:pStyle w:val="Prrafodelista"/>
        <w:numPr>
          <w:ilvl w:val="0"/>
          <w:numId w:val="61"/>
        </w:numPr>
        <w:tabs>
          <w:tab w:val="left" w:pos="1701"/>
        </w:tabs>
        <w:spacing w:before="126" w:line="249" w:lineRule="auto"/>
        <w:ind w:right="1104" w:firstLine="340"/>
        <w:jc w:val="both"/>
        <w:rPr>
          <w:sz w:val="20"/>
        </w:rPr>
      </w:pPr>
      <w:r>
        <w:rPr>
          <w:sz w:val="20"/>
        </w:rPr>
        <w:t>En los contratos con empresas españolas se incluirán cláusulas de sumisión a los Tribunales españoles.</w:t>
      </w:r>
    </w:p>
    <w:p w:rsidR="0092635B" w:rsidRDefault="00000000">
      <w:pPr>
        <w:pStyle w:val="Prrafodelista"/>
        <w:numPr>
          <w:ilvl w:val="0"/>
          <w:numId w:val="61"/>
        </w:numPr>
        <w:tabs>
          <w:tab w:val="left" w:pos="1677"/>
        </w:tabs>
        <w:spacing w:line="249" w:lineRule="auto"/>
        <w:ind w:right="1106" w:firstLine="340"/>
        <w:jc w:val="both"/>
        <w:rPr>
          <w:sz w:val="20"/>
        </w:rPr>
      </w:pPr>
      <w:r>
        <w:rPr>
          <w:sz w:val="20"/>
        </w:rPr>
        <w:t>En los contratos con empresas extranjeras se procurará la incorporación de cláusulas de sumisión a los Tribunales españoles para resolver las discrepancias que puedan surgir. Cuando no sea posible, se procurará la incorporación de cláusulas de arbitraje. En estos contratos se podrá transigir previa autorización del Consejo de Ministros o del órgano competente de las Comunidades Autónomas y entidades locales.</w:t>
      </w:r>
    </w:p>
    <w:p w:rsidR="0092635B" w:rsidRDefault="00000000">
      <w:pPr>
        <w:pStyle w:val="Prrafodelista"/>
        <w:numPr>
          <w:ilvl w:val="0"/>
          <w:numId w:val="61"/>
        </w:numPr>
        <w:tabs>
          <w:tab w:val="left" w:pos="1680"/>
        </w:tabs>
        <w:spacing w:before="4" w:line="249" w:lineRule="auto"/>
        <w:ind w:right="1102" w:firstLine="340"/>
        <w:jc w:val="both"/>
        <w:rPr>
          <w:sz w:val="20"/>
        </w:rPr>
      </w:pPr>
      <w:r>
        <w:rPr>
          <w:sz w:val="20"/>
        </w:rPr>
        <w:t>Las reglas contenidas en este artículo no obstan para que, en los contratos sujetos a regulación armonizada que se formalicen y ejecuten en los restantes Estados miembros de</w:t>
      </w:r>
      <w:r>
        <w:rPr>
          <w:spacing w:val="40"/>
          <w:sz w:val="20"/>
        </w:rPr>
        <w:t xml:space="preserve"> </w:t>
      </w:r>
      <w:r>
        <w:rPr>
          <w:sz w:val="20"/>
        </w:rPr>
        <w:t>la Unión Europea o en un Estado signatario del Acuerdo sobre el Espacio Económico Europeo, deban cumplirse las normas de esta Ley referentes a la publicidad comunitaria; los procedimientos de adjudicación de los contratos; régimen de modificaciones contractuales; subcontratación; control del cumplimiento de las obligaciones sociales, medioambientales y laborales aplicables; la resolución como consecuencia de una modificación esencial durante la ejecución del contrato y a la declaración de nulidad del contrato como consecuencia de hallarse incurso el adjudicatario en causa de prohibición para contratar cuando celebró el contrato</w:t>
      </w:r>
      <w:r>
        <w:rPr>
          <w:spacing w:val="-1"/>
          <w:sz w:val="20"/>
        </w:rPr>
        <w:t xml:space="preserve"> </w:t>
      </w:r>
      <w:r>
        <w:rPr>
          <w:sz w:val="20"/>
        </w:rPr>
        <w:t>o</w:t>
      </w:r>
      <w:r>
        <w:rPr>
          <w:spacing w:val="-1"/>
          <w:sz w:val="20"/>
        </w:rPr>
        <w:t xml:space="preserve"> </w:t>
      </w:r>
      <w:r>
        <w:rPr>
          <w:sz w:val="20"/>
        </w:rPr>
        <w:t>como</w:t>
      </w:r>
      <w:r>
        <w:rPr>
          <w:spacing w:val="-1"/>
          <w:sz w:val="20"/>
        </w:rPr>
        <w:t xml:space="preserve"> </w:t>
      </w:r>
      <w:r>
        <w:rPr>
          <w:sz w:val="20"/>
        </w:rPr>
        <w:t>consecuencia</w:t>
      </w:r>
      <w:r>
        <w:rPr>
          <w:spacing w:val="-1"/>
          <w:sz w:val="20"/>
        </w:rPr>
        <w:t xml:space="preserve"> </w:t>
      </w:r>
      <w:r>
        <w:rPr>
          <w:sz w:val="20"/>
        </w:rPr>
        <w:t>de</w:t>
      </w:r>
      <w:r>
        <w:rPr>
          <w:spacing w:val="-1"/>
          <w:sz w:val="20"/>
        </w:rPr>
        <w:t xml:space="preserve"> </w:t>
      </w:r>
      <w:r>
        <w:rPr>
          <w:sz w:val="20"/>
        </w:rPr>
        <w:t>un</w:t>
      </w:r>
      <w:r>
        <w:rPr>
          <w:spacing w:val="-1"/>
          <w:sz w:val="20"/>
        </w:rPr>
        <w:t xml:space="preserve"> </w:t>
      </w:r>
      <w:r>
        <w:rPr>
          <w:sz w:val="20"/>
        </w:rPr>
        <w:t>incumplimiento</w:t>
      </w:r>
      <w:r>
        <w:rPr>
          <w:spacing w:val="-1"/>
          <w:sz w:val="20"/>
        </w:rPr>
        <w:t xml:space="preserve"> </w:t>
      </w:r>
      <w:r>
        <w:rPr>
          <w:sz w:val="20"/>
        </w:rPr>
        <w:t>grave</w:t>
      </w:r>
      <w:r>
        <w:rPr>
          <w:spacing w:val="-1"/>
          <w:sz w:val="20"/>
        </w:rPr>
        <w:t xml:space="preserve"> </w:t>
      </w:r>
      <w:r>
        <w:rPr>
          <w:sz w:val="20"/>
        </w:rPr>
        <w:t>del</w:t>
      </w:r>
      <w:r>
        <w:rPr>
          <w:spacing w:val="-1"/>
          <w:sz w:val="20"/>
        </w:rPr>
        <w:t xml:space="preserve"> </w:t>
      </w:r>
      <w:r>
        <w:rPr>
          <w:sz w:val="20"/>
        </w:rPr>
        <w:t>derecho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Unión</w:t>
      </w:r>
      <w:r>
        <w:rPr>
          <w:spacing w:val="-1"/>
          <w:sz w:val="20"/>
        </w:rPr>
        <w:t xml:space="preserve"> </w:t>
      </w:r>
      <w:r>
        <w:rPr>
          <w:sz w:val="20"/>
        </w:rPr>
        <w:t>Europea.</w:t>
      </w:r>
    </w:p>
    <w:p w:rsidR="0092635B" w:rsidRDefault="00000000">
      <w:pPr>
        <w:pStyle w:val="Prrafodelista"/>
        <w:numPr>
          <w:ilvl w:val="0"/>
          <w:numId w:val="61"/>
        </w:numPr>
        <w:tabs>
          <w:tab w:val="left" w:pos="1677"/>
        </w:tabs>
        <w:spacing w:before="8" w:line="249" w:lineRule="auto"/>
        <w:ind w:right="1104" w:firstLine="340"/>
        <w:jc w:val="both"/>
        <w:rPr>
          <w:sz w:val="20"/>
        </w:rPr>
      </w:pPr>
      <w:r>
        <w:rPr>
          <w:sz w:val="20"/>
        </w:rPr>
        <w:t>Los contratos formalizados en el extranjero que deban ejecutarse total o parcialmente en España y que estén vinculados directamente a la realización de programas o proyectos</w:t>
      </w:r>
      <w:r>
        <w:rPr>
          <w:spacing w:val="40"/>
          <w:sz w:val="20"/>
        </w:rPr>
        <w:t xml:space="preserve"> </w:t>
      </w:r>
      <w:r>
        <w:rPr>
          <w:sz w:val="20"/>
        </w:rPr>
        <w:t>de cooperación en materia cultural o de investigación o de cooperación al desarrollo, podrán adjudicarse por procedimiento negociado sin publicidad y con sujeción a las condiciones libremente pactadas por la Administración con el contratista extranjero, cuando la intervención de este sea absolutamente indispensable para la ejecución del proyecto o programa, por requerirlo así las condiciones de participación en los programas o proyectos de cooperación, y así se acredite en el expediente.</w:t>
      </w:r>
    </w:p>
    <w:p w:rsidR="0092635B" w:rsidRDefault="00000000">
      <w:pPr>
        <w:pStyle w:val="Prrafodelista"/>
        <w:numPr>
          <w:ilvl w:val="0"/>
          <w:numId w:val="61"/>
        </w:numPr>
        <w:tabs>
          <w:tab w:val="left" w:pos="1670"/>
        </w:tabs>
        <w:spacing w:before="7" w:line="249" w:lineRule="auto"/>
        <w:ind w:firstLine="340"/>
        <w:jc w:val="both"/>
        <w:rPr>
          <w:sz w:val="20"/>
        </w:rPr>
      </w:pPr>
      <w:r>
        <w:rPr>
          <w:sz w:val="20"/>
        </w:rPr>
        <w:t>Los</w:t>
      </w:r>
      <w:r>
        <w:rPr>
          <w:spacing w:val="-2"/>
          <w:sz w:val="20"/>
        </w:rPr>
        <w:t xml:space="preserve"> </w:t>
      </w:r>
      <w:r>
        <w:rPr>
          <w:sz w:val="20"/>
        </w:rPr>
        <w:t>documentos</w:t>
      </w:r>
      <w:r>
        <w:rPr>
          <w:spacing w:val="-2"/>
          <w:sz w:val="20"/>
        </w:rPr>
        <w:t xml:space="preserve"> </w:t>
      </w:r>
      <w:r>
        <w:rPr>
          <w:sz w:val="20"/>
        </w:rPr>
        <w:t>contractuales</w:t>
      </w:r>
      <w:r>
        <w:rPr>
          <w:spacing w:val="-2"/>
          <w:sz w:val="20"/>
        </w:rPr>
        <w:t xml:space="preserve"> </w:t>
      </w:r>
      <w:r>
        <w:rPr>
          <w:sz w:val="20"/>
        </w:rPr>
        <w:t>y</w:t>
      </w:r>
      <w:r>
        <w:rPr>
          <w:spacing w:val="-2"/>
          <w:sz w:val="20"/>
        </w:rPr>
        <w:t xml:space="preserve"> </w:t>
      </w:r>
      <w:r>
        <w:rPr>
          <w:sz w:val="20"/>
        </w:rPr>
        <w:t>toda</w:t>
      </w:r>
      <w:r>
        <w:rPr>
          <w:spacing w:val="-2"/>
          <w:sz w:val="20"/>
        </w:rPr>
        <w:t xml:space="preserve"> </w:t>
      </w:r>
      <w:r>
        <w:rPr>
          <w:sz w:val="20"/>
        </w:rPr>
        <w:t>la</w:t>
      </w:r>
      <w:r>
        <w:rPr>
          <w:spacing w:val="-2"/>
          <w:sz w:val="20"/>
        </w:rPr>
        <w:t xml:space="preserve"> </w:t>
      </w:r>
      <w:r>
        <w:rPr>
          <w:sz w:val="20"/>
        </w:rPr>
        <w:t>documentación</w:t>
      </w:r>
      <w:r>
        <w:rPr>
          <w:spacing w:val="-2"/>
          <w:sz w:val="20"/>
        </w:rPr>
        <w:t xml:space="preserve"> </w:t>
      </w:r>
      <w:r>
        <w:rPr>
          <w:sz w:val="20"/>
        </w:rPr>
        <w:t>necesaria</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preparación, adjudicación y ejecución de los contratos deberá estar redactada en castellano o lengua cooficial correspondiente, a las que, en su caso, deberán traducirse desde el idioma local</w:t>
      </w:r>
      <w:r>
        <w:rPr>
          <w:spacing w:val="40"/>
          <w:sz w:val="20"/>
        </w:rPr>
        <w:t xml:space="preserve"> </w:t>
      </w:r>
      <w:r>
        <w:rPr>
          <w:sz w:val="20"/>
        </w:rPr>
        <w:t>que corresponda. No obstante, por el órgano de contratación y bajo su responsabilidad podrán aceptarse, sin necesidad de traducción al castellano, los documentos redactados en otras lenguas. En estos casos, el Ministerio de Asuntos Exteriores y de Cooperación garantizará la disponibilidad de la traducción al castellano de los documentos redactados en lengua extranjera, a efectos de la fiscalización del contrato.</w:t>
      </w:r>
    </w:p>
    <w:p w:rsidR="0092635B" w:rsidRDefault="00000000">
      <w:pPr>
        <w:pStyle w:val="Prrafodelista"/>
        <w:numPr>
          <w:ilvl w:val="0"/>
          <w:numId w:val="61"/>
        </w:numPr>
        <w:tabs>
          <w:tab w:val="left" w:pos="1752"/>
        </w:tabs>
        <w:spacing w:before="6" w:line="249" w:lineRule="auto"/>
        <w:ind w:firstLine="340"/>
        <w:jc w:val="both"/>
        <w:rPr>
          <w:sz w:val="20"/>
        </w:rPr>
      </w:pPr>
      <w:r>
        <w:rPr>
          <w:sz w:val="20"/>
        </w:rPr>
        <w:t>En los casos en los que un poder adjudicador se presente a una licitación internacional acompañado por medios propios personificados, para los que resulte</w:t>
      </w:r>
      <w:r>
        <w:rPr>
          <w:spacing w:val="40"/>
          <w:sz w:val="20"/>
        </w:rPr>
        <w:t xml:space="preserve"> </w:t>
      </w:r>
      <w:r>
        <w:rPr>
          <w:sz w:val="20"/>
        </w:rPr>
        <w:t>obligatorio participar en el proceso de licitación en los términos definidos por el poder adjudicador,</w:t>
      </w:r>
      <w:r>
        <w:rPr>
          <w:spacing w:val="42"/>
          <w:sz w:val="20"/>
        </w:rPr>
        <w:t xml:space="preserve"> </w:t>
      </w:r>
      <w:r>
        <w:rPr>
          <w:sz w:val="20"/>
        </w:rPr>
        <w:t>las</w:t>
      </w:r>
      <w:r>
        <w:rPr>
          <w:spacing w:val="43"/>
          <w:sz w:val="20"/>
        </w:rPr>
        <w:t xml:space="preserve"> </w:t>
      </w:r>
      <w:r>
        <w:rPr>
          <w:sz w:val="20"/>
        </w:rPr>
        <w:t>relaciones</w:t>
      </w:r>
      <w:r>
        <w:rPr>
          <w:spacing w:val="43"/>
          <w:sz w:val="20"/>
        </w:rPr>
        <w:t xml:space="preserve"> </w:t>
      </w:r>
      <w:r>
        <w:rPr>
          <w:sz w:val="20"/>
        </w:rPr>
        <w:t>jurídicas</w:t>
      </w:r>
      <w:r>
        <w:rPr>
          <w:spacing w:val="42"/>
          <w:sz w:val="20"/>
        </w:rPr>
        <w:t xml:space="preserve"> </w:t>
      </w:r>
      <w:r>
        <w:rPr>
          <w:sz w:val="20"/>
        </w:rPr>
        <w:t>entre</w:t>
      </w:r>
      <w:r>
        <w:rPr>
          <w:spacing w:val="43"/>
          <w:sz w:val="20"/>
        </w:rPr>
        <w:t xml:space="preserve"> </w:t>
      </w:r>
      <w:r>
        <w:rPr>
          <w:sz w:val="20"/>
        </w:rPr>
        <w:t>el</w:t>
      </w:r>
      <w:r>
        <w:rPr>
          <w:spacing w:val="43"/>
          <w:sz w:val="20"/>
        </w:rPr>
        <w:t xml:space="preserve"> </w:t>
      </w:r>
      <w:r>
        <w:rPr>
          <w:sz w:val="20"/>
        </w:rPr>
        <w:t>poder</w:t>
      </w:r>
      <w:r>
        <w:rPr>
          <w:spacing w:val="42"/>
          <w:sz w:val="20"/>
        </w:rPr>
        <w:t xml:space="preserve"> </w:t>
      </w:r>
      <w:r>
        <w:rPr>
          <w:sz w:val="20"/>
        </w:rPr>
        <w:t>adjudicador</w:t>
      </w:r>
      <w:r>
        <w:rPr>
          <w:spacing w:val="43"/>
          <w:sz w:val="20"/>
        </w:rPr>
        <w:t xml:space="preserve"> </w:t>
      </w:r>
      <w:r>
        <w:rPr>
          <w:sz w:val="20"/>
        </w:rPr>
        <w:t>y</w:t>
      </w:r>
      <w:r>
        <w:rPr>
          <w:spacing w:val="43"/>
          <w:sz w:val="20"/>
        </w:rPr>
        <w:t xml:space="preserve"> </w:t>
      </w:r>
      <w:r>
        <w:rPr>
          <w:sz w:val="20"/>
        </w:rPr>
        <w:t>sus</w:t>
      </w:r>
      <w:r>
        <w:rPr>
          <w:spacing w:val="42"/>
          <w:sz w:val="20"/>
        </w:rPr>
        <w:t xml:space="preserve"> </w:t>
      </w:r>
      <w:r>
        <w:rPr>
          <w:sz w:val="20"/>
        </w:rPr>
        <w:t>medios</w:t>
      </w:r>
      <w:r>
        <w:rPr>
          <w:spacing w:val="43"/>
          <w:sz w:val="20"/>
        </w:rPr>
        <w:t xml:space="preserve"> </w:t>
      </w:r>
      <w:r>
        <w:rPr>
          <w:sz w:val="20"/>
        </w:rPr>
        <w:t>propios</w:t>
      </w:r>
      <w:r>
        <w:rPr>
          <w:spacing w:val="43"/>
          <w:sz w:val="20"/>
        </w:rPr>
        <w:t xml:space="preserve"> </w:t>
      </w:r>
      <w:r>
        <w:rPr>
          <w:spacing w:val="-5"/>
          <w:sz w:val="20"/>
        </w:rPr>
        <w:t>se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regirán por lo dispuesto en el artículo 32 de esta Ley, considerándose a todos los efectos</w:t>
      </w:r>
      <w:r>
        <w:rPr>
          <w:spacing w:val="40"/>
        </w:rPr>
        <w:t xml:space="preserve"> </w:t>
      </w:r>
      <w:r>
        <w:t>que estas relaciones constituyen encargos a dichos medios propios personificados.</w:t>
      </w:r>
    </w:p>
    <w:p w:rsidR="0092635B" w:rsidRDefault="00000000">
      <w:pPr>
        <w:pStyle w:val="Textoindependiente"/>
        <w:spacing w:before="1" w:line="249" w:lineRule="auto"/>
        <w:ind w:right="1104"/>
      </w:pPr>
      <w:r>
        <w:t>Igualmente será de aplicación lo previsto en el párrafo anterior cuando las actuaciones del poder adjudicador en el extranjero se realicen en el marco de tratados internacionales, acuerdos internacionales administrativos o acuerdos internacionales no normativos.</w:t>
      </w:r>
    </w:p>
    <w:p w:rsidR="0092635B" w:rsidRDefault="00000000">
      <w:pPr>
        <w:spacing w:before="230" w:line="249" w:lineRule="auto"/>
        <w:ind w:left="1106" w:right="1104"/>
        <w:jc w:val="both"/>
        <w:rPr>
          <w:rFonts w:ascii="Arial" w:hAnsi="Arial"/>
          <w:i/>
          <w:sz w:val="20"/>
        </w:rPr>
      </w:pPr>
      <w:bookmarkStart w:id="589" w:name="Disposición_adicional_segunda._Competenc"/>
      <w:bookmarkEnd w:id="589"/>
      <w:r>
        <w:rPr>
          <w:rFonts w:ascii="Arial" w:hAnsi="Arial"/>
          <w:b/>
          <w:sz w:val="20"/>
        </w:rPr>
        <w:t>Disposición adicional segunda.</w:t>
      </w:r>
      <w:r>
        <w:rPr>
          <w:rFonts w:ascii="Arial" w:hAnsi="Arial"/>
          <w:b/>
          <w:spacing w:val="40"/>
          <w:sz w:val="20"/>
        </w:rPr>
        <w:t xml:space="preserve"> </w:t>
      </w:r>
      <w:r>
        <w:rPr>
          <w:rFonts w:ascii="Arial" w:hAnsi="Arial"/>
          <w:i/>
          <w:sz w:val="20"/>
        </w:rPr>
        <w:t>Competencias en materia de contratación en las</w:t>
      </w:r>
      <w:r>
        <w:rPr>
          <w:rFonts w:ascii="Arial" w:hAnsi="Arial"/>
          <w:i/>
          <w:spacing w:val="40"/>
          <w:sz w:val="20"/>
        </w:rPr>
        <w:t xml:space="preserve"> </w:t>
      </w:r>
      <w:r>
        <w:rPr>
          <w:rFonts w:ascii="Arial" w:hAnsi="Arial"/>
          <w:i/>
          <w:sz w:val="20"/>
        </w:rPr>
        <w:t>Entidades Locales.</w:t>
      </w:r>
    </w:p>
    <w:p w:rsidR="0092635B" w:rsidRDefault="00000000">
      <w:pPr>
        <w:pStyle w:val="Prrafodelista"/>
        <w:numPr>
          <w:ilvl w:val="0"/>
          <w:numId w:val="60"/>
        </w:numPr>
        <w:tabs>
          <w:tab w:val="left" w:pos="1730"/>
        </w:tabs>
        <w:spacing w:before="115" w:line="249" w:lineRule="auto"/>
        <w:ind w:firstLine="340"/>
        <w:jc w:val="both"/>
        <w:rPr>
          <w:sz w:val="20"/>
        </w:rPr>
      </w:pPr>
      <w:r>
        <w:rPr>
          <w:sz w:val="20"/>
        </w:rPr>
        <w:t>Corresponden a los Alcaldes y a los Presidentes de las Entidades Locales las competencias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rsidR="0092635B" w:rsidRDefault="00000000">
      <w:pPr>
        <w:pStyle w:val="Prrafodelista"/>
        <w:numPr>
          <w:ilvl w:val="0"/>
          <w:numId w:val="60"/>
        </w:numPr>
        <w:tabs>
          <w:tab w:val="left" w:pos="1668"/>
        </w:tabs>
        <w:spacing w:before="7" w:line="249" w:lineRule="auto"/>
        <w:ind w:right="1104" w:firstLine="340"/>
        <w:jc w:val="both"/>
        <w:rPr>
          <w:sz w:val="20"/>
        </w:rPr>
      </w:pPr>
      <w:r>
        <w:rPr>
          <w:sz w:val="20"/>
        </w:rPr>
        <w:t>Corresponden</w:t>
      </w:r>
      <w:r>
        <w:rPr>
          <w:spacing w:val="-3"/>
          <w:sz w:val="20"/>
        </w:rPr>
        <w:t xml:space="preserve"> </w:t>
      </w:r>
      <w:r>
        <w:rPr>
          <w:sz w:val="20"/>
        </w:rPr>
        <w:t>al</w:t>
      </w:r>
      <w:r>
        <w:rPr>
          <w:spacing w:val="-3"/>
          <w:sz w:val="20"/>
        </w:rPr>
        <w:t xml:space="preserve"> </w:t>
      </w:r>
      <w:r>
        <w:rPr>
          <w:sz w:val="20"/>
        </w:rPr>
        <w:t>Pleno</w:t>
      </w:r>
      <w:r>
        <w:rPr>
          <w:spacing w:val="-3"/>
          <w:sz w:val="20"/>
        </w:rPr>
        <w:t xml:space="preserve"> </w:t>
      </w:r>
      <w:r>
        <w:rPr>
          <w:sz w:val="20"/>
        </w:rPr>
        <w:t>las</w:t>
      </w:r>
      <w:r>
        <w:rPr>
          <w:spacing w:val="-3"/>
          <w:sz w:val="20"/>
        </w:rPr>
        <w:t xml:space="preserve"> </w:t>
      </w:r>
      <w:r>
        <w:rPr>
          <w:sz w:val="20"/>
        </w:rPr>
        <w:t>competencias</w:t>
      </w:r>
      <w:r>
        <w:rPr>
          <w:spacing w:val="-3"/>
          <w:sz w:val="20"/>
        </w:rPr>
        <w:t xml:space="preserve"> </w:t>
      </w:r>
      <w:r>
        <w:rPr>
          <w:sz w:val="20"/>
        </w:rPr>
        <w:t>como</w:t>
      </w:r>
      <w:r>
        <w:rPr>
          <w:spacing w:val="-3"/>
          <w:sz w:val="20"/>
        </w:rPr>
        <w:t xml:space="preserve"> </w:t>
      </w:r>
      <w:r>
        <w:rPr>
          <w:sz w:val="20"/>
        </w:rPr>
        <w:t>órgano</w:t>
      </w:r>
      <w:r>
        <w:rPr>
          <w:spacing w:val="-3"/>
          <w:sz w:val="20"/>
        </w:rPr>
        <w:t xml:space="preserve"> </w:t>
      </w:r>
      <w:r>
        <w:rPr>
          <w:sz w:val="20"/>
        </w:rPr>
        <w:t>de</w:t>
      </w:r>
      <w:r>
        <w:rPr>
          <w:spacing w:val="-3"/>
          <w:sz w:val="20"/>
        </w:rPr>
        <w:t xml:space="preserve"> </w:t>
      </w:r>
      <w:r>
        <w:rPr>
          <w:sz w:val="20"/>
        </w:rPr>
        <w:t>contratación</w:t>
      </w:r>
      <w:r>
        <w:rPr>
          <w:spacing w:val="-3"/>
          <w:sz w:val="20"/>
        </w:rPr>
        <w:t xml:space="preserve"> </w:t>
      </w:r>
      <w:r>
        <w:rPr>
          <w:sz w:val="20"/>
        </w:rPr>
        <w:t>respecto</w:t>
      </w:r>
      <w:r>
        <w:rPr>
          <w:spacing w:val="-3"/>
          <w:sz w:val="20"/>
        </w:rPr>
        <w:t xml:space="preserve"> </w:t>
      </w:r>
      <w:r>
        <w:rPr>
          <w:sz w:val="20"/>
        </w:rPr>
        <w:t>de</w:t>
      </w:r>
      <w:r>
        <w:rPr>
          <w:spacing w:val="-3"/>
          <w:sz w:val="20"/>
        </w:rPr>
        <w:t xml:space="preserve"> </w:t>
      </w:r>
      <w:r>
        <w:rPr>
          <w:sz w:val="20"/>
        </w:rPr>
        <w:t>los contratos mencionados en el apartado anterior que celebre la Entidad Local, cuando por su valor o duración no correspondan al Alcalde o Presidente de la Entidad Local, conforme al apartado anterior. Asimismo, corresponde al Pleno la aprobación de los pliegos de cláusulas administrativas generales a los que se refiere el artículo 121 de esta Ley.</w:t>
      </w:r>
    </w:p>
    <w:p w:rsidR="0092635B" w:rsidRDefault="00000000">
      <w:pPr>
        <w:pStyle w:val="Prrafodelista"/>
        <w:numPr>
          <w:ilvl w:val="0"/>
          <w:numId w:val="60"/>
        </w:numPr>
        <w:tabs>
          <w:tab w:val="left" w:pos="1677"/>
        </w:tabs>
        <w:spacing w:before="4" w:line="249" w:lineRule="auto"/>
        <w:ind w:right="1104" w:firstLine="340"/>
        <w:jc w:val="both"/>
        <w:rPr>
          <w:sz w:val="20"/>
        </w:rPr>
      </w:pPr>
      <w:r>
        <w:rPr>
          <w:sz w:val="20"/>
        </w:rPr>
        <w:t>En los municipios de población inferior a 5.000 habitantes es igualmente competencia del Pleno autorizar la redacción y licitación de proyectos independientes relativos a cada una de las partes de una obra cuyo periodo de ejecución exceda al de un presupuesto anual, siempre que estas sean susceptibles de utilización separada en el sentido del uso general o del servicio, o puedan ser sustancialmente definidas.</w:t>
      </w:r>
    </w:p>
    <w:p w:rsidR="0092635B" w:rsidRDefault="00000000">
      <w:pPr>
        <w:pStyle w:val="Prrafodelista"/>
        <w:numPr>
          <w:ilvl w:val="0"/>
          <w:numId w:val="60"/>
        </w:numPr>
        <w:tabs>
          <w:tab w:val="left" w:pos="1677"/>
        </w:tabs>
        <w:spacing w:before="4" w:line="249" w:lineRule="auto"/>
        <w:ind w:firstLine="340"/>
        <w:jc w:val="both"/>
        <w:rPr>
          <w:sz w:val="20"/>
        </w:rPr>
      </w:pPr>
      <w:r>
        <w:rPr>
          <w:sz w:val="20"/>
        </w:rPr>
        <w:t>En los municipios de gran población a que se refiere el artículo 121 de la Ley 7/1985, de 2 de abril, Reguladora de las Bases del Régimen Local, las competencias del órgano de contratación que se describen en los apartados anteriores se ejercerán por la Junta de Gobierno</w:t>
      </w:r>
      <w:r>
        <w:rPr>
          <w:spacing w:val="-2"/>
          <w:sz w:val="20"/>
        </w:rPr>
        <w:t xml:space="preserve"> </w:t>
      </w:r>
      <w:r>
        <w:rPr>
          <w:sz w:val="20"/>
        </w:rPr>
        <w:t>Local,</w:t>
      </w:r>
      <w:r>
        <w:rPr>
          <w:spacing w:val="-2"/>
          <w:sz w:val="20"/>
        </w:rPr>
        <w:t xml:space="preserve"> </w:t>
      </w:r>
      <w:r>
        <w:rPr>
          <w:sz w:val="20"/>
        </w:rPr>
        <w:t>cualquiera</w:t>
      </w:r>
      <w:r>
        <w:rPr>
          <w:spacing w:val="-2"/>
          <w:sz w:val="20"/>
        </w:rPr>
        <w:t xml:space="preserve"> </w:t>
      </w:r>
      <w:r>
        <w:rPr>
          <w:sz w:val="20"/>
        </w:rPr>
        <w:t>que</w:t>
      </w:r>
      <w:r>
        <w:rPr>
          <w:spacing w:val="-2"/>
          <w:sz w:val="20"/>
        </w:rPr>
        <w:t xml:space="preserve"> </w:t>
      </w:r>
      <w:r>
        <w:rPr>
          <w:sz w:val="20"/>
        </w:rPr>
        <w:t>sea</w:t>
      </w:r>
      <w:r>
        <w:rPr>
          <w:spacing w:val="-2"/>
          <w:sz w:val="20"/>
        </w:rPr>
        <w:t xml:space="preserve"> </w:t>
      </w:r>
      <w:r>
        <w:rPr>
          <w:sz w:val="20"/>
        </w:rPr>
        <w:t>el</w:t>
      </w:r>
      <w:r>
        <w:rPr>
          <w:spacing w:val="-2"/>
          <w:sz w:val="20"/>
        </w:rPr>
        <w:t xml:space="preserve"> </w:t>
      </w:r>
      <w:r>
        <w:rPr>
          <w:sz w:val="20"/>
        </w:rPr>
        <w:t>importe</w:t>
      </w:r>
      <w:r>
        <w:rPr>
          <w:spacing w:val="-2"/>
          <w:sz w:val="20"/>
        </w:rPr>
        <w:t xml:space="preserve"> </w:t>
      </w:r>
      <w:r>
        <w:rPr>
          <w:sz w:val="20"/>
        </w:rPr>
        <w:t>del</w:t>
      </w:r>
      <w:r>
        <w:rPr>
          <w:spacing w:val="-2"/>
          <w:sz w:val="20"/>
        </w:rPr>
        <w:t xml:space="preserve"> </w:t>
      </w:r>
      <w:r>
        <w:rPr>
          <w:sz w:val="20"/>
        </w:rPr>
        <w:t>contrato</w:t>
      </w:r>
      <w:r>
        <w:rPr>
          <w:spacing w:val="-2"/>
          <w:sz w:val="20"/>
        </w:rPr>
        <w:t xml:space="preserve"> </w:t>
      </w:r>
      <w:r>
        <w:rPr>
          <w:sz w:val="20"/>
        </w:rPr>
        <w:t>o</w:t>
      </w:r>
      <w:r>
        <w:rPr>
          <w:spacing w:val="-2"/>
          <w:sz w:val="20"/>
        </w:rPr>
        <w:t xml:space="preserve"> </w:t>
      </w:r>
      <w:r>
        <w:rPr>
          <w:sz w:val="20"/>
        </w:rPr>
        <w:t>la</w:t>
      </w:r>
      <w:r>
        <w:rPr>
          <w:spacing w:val="-2"/>
          <w:sz w:val="20"/>
        </w:rPr>
        <w:t xml:space="preserve"> </w:t>
      </w:r>
      <w:r>
        <w:rPr>
          <w:sz w:val="20"/>
        </w:rPr>
        <w:t>duración</w:t>
      </w:r>
      <w:r>
        <w:rPr>
          <w:spacing w:val="-2"/>
          <w:sz w:val="20"/>
        </w:rPr>
        <w:t xml:space="preserve"> </w:t>
      </w:r>
      <w:r>
        <w:rPr>
          <w:sz w:val="20"/>
        </w:rPr>
        <w:t>del</w:t>
      </w:r>
      <w:r>
        <w:rPr>
          <w:spacing w:val="-2"/>
          <w:sz w:val="20"/>
        </w:rPr>
        <w:t xml:space="preserve"> </w:t>
      </w:r>
      <w:r>
        <w:rPr>
          <w:sz w:val="20"/>
        </w:rPr>
        <w:t>mismo,</w:t>
      </w:r>
      <w:r>
        <w:rPr>
          <w:spacing w:val="-2"/>
          <w:sz w:val="20"/>
        </w:rPr>
        <w:t xml:space="preserve"> </w:t>
      </w:r>
      <w:r>
        <w:rPr>
          <w:sz w:val="20"/>
        </w:rPr>
        <w:t>siendo</w:t>
      </w:r>
      <w:r>
        <w:rPr>
          <w:spacing w:val="-2"/>
          <w:sz w:val="20"/>
        </w:rPr>
        <w:t xml:space="preserve"> </w:t>
      </w:r>
      <w:r>
        <w:rPr>
          <w:sz w:val="20"/>
        </w:rPr>
        <w:t>el Pleno el competente para aprobar los pliegos de cláusulas administrativas generales.</w:t>
      </w:r>
    </w:p>
    <w:p w:rsidR="0092635B" w:rsidRDefault="00000000">
      <w:pPr>
        <w:pStyle w:val="Prrafodelista"/>
        <w:numPr>
          <w:ilvl w:val="0"/>
          <w:numId w:val="60"/>
        </w:numPr>
        <w:tabs>
          <w:tab w:val="left" w:pos="1692"/>
        </w:tabs>
        <w:spacing w:before="4" w:line="249" w:lineRule="auto"/>
        <w:ind w:firstLine="340"/>
        <w:jc w:val="both"/>
        <w:rPr>
          <w:sz w:val="20"/>
        </w:rPr>
      </w:pPr>
      <w:r>
        <w:rPr>
          <w:sz w:val="20"/>
        </w:rPr>
        <w:t>En las Entidades Locales será potestativa la constitución de Juntas de Contratación que actuarán como órganos de contratación en los contratos de obras que tengan por objeto trabajos de reparación simple, de conservación y de mantenimiento, en los contratos de suministro que se refieran a bienes consumibles o de fácil deterioro por el uso, y en los contratos de servicios cuando su valor estimado no supere el 10 por ciento de los recursos ordinarios de la Entidad, o cuando superen este importe las acciones estén previstas en el presupuesto</w:t>
      </w:r>
      <w:r>
        <w:rPr>
          <w:spacing w:val="-2"/>
          <w:sz w:val="20"/>
        </w:rPr>
        <w:t xml:space="preserve"> </w:t>
      </w:r>
      <w:r>
        <w:rPr>
          <w:sz w:val="20"/>
        </w:rPr>
        <w:t>del</w:t>
      </w:r>
      <w:r>
        <w:rPr>
          <w:spacing w:val="-2"/>
          <w:sz w:val="20"/>
        </w:rPr>
        <w:t xml:space="preserve"> </w:t>
      </w:r>
      <w:r>
        <w:rPr>
          <w:sz w:val="20"/>
        </w:rPr>
        <w:t>ejercicio</w:t>
      </w:r>
      <w:r>
        <w:rPr>
          <w:spacing w:val="-2"/>
          <w:sz w:val="20"/>
        </w:rPr>
        <w:t xml:space="preserve"> </w:t>
      </w:r>
      <w:r>
        <w:rPr>
          <w:sz w:val="20"/>
        </w:rPr>
        <w:t>a</w:t>
      </w:r>
      <w:r>
        <w:rPr>
          <w:spacing w:val="-2"/>
          <w:sz w:val="20"/>
        </w:rPr>
        <w:t xml:space="preserve"> </w:t>
      </w:r>
      <w:r>
        <w:rPr>
          <w:sz w:val="20"/>
        </w:rPr>
        <w:t>que</w:t>
      </w:r>
      <w:r>
        <w:rPr>
          <w:spacing w:val="-2"/>
          <w:sz w:val="20"/>
        </w:rPr>
        <w:t xml:space="preserve"> </w:t>
      </w:r>
      <w:r>
        <w:rPr>
          <w:sz w:val="20"/>
        </w:rPr>
        <w:t>corresponda</w:t>
      </w:r>
      <w:r>
        <w:rPr>
          <w:spacing w:val="-2"/>
          <w:sz w:val="20"/>
        </w:rPr>
        <w:t xml:space="preserve"> </w:t>
      </w:r>
      <w:r>
        <w:rPr>
          <w:sz w:val="20"/>
        </w:rPr>
        <w:t>y</w:t>
      </w:r>
      <w:r>
        <w:rPr>
          <w:spacing w:val="-2"/>
          <w:sz w:val="20"/>
        </w:rPr>
        <w:t xml:space="preserve"> </w:t>
      </w:r>
      <w:r>
        <w:rPr>
          <w:sz w:val="20"/>
        </w:rPr>
        <w:t>se</w:t>
      </w:r>
      <w:r>
        <w:rPr>
          <w:spacing w:val="-2"/>
          <w:sz w:val="20"/>
        </w:rPr>
        <w:t xml:space="preserve"> </w:t>
      </w:r>
      <w:r>
        <w:rPr>
          <w:sz w:val="20"/>
        </w:rPr>
        <w:t>realicen</w:t>
      </w:r>
      <w:r>
        <w:rPr>
          <w:spacing w:val="-2"/>
          <w:sz w:val="20"/>
        </w:rPr>
        <w:t xml:space="preserve"> </w:t>
      </w:r>
      <w:r>
        <w:rPr>
          <w:sz w:val="20"/>
        </w:rPr>
        <w:t>de</w:t>
      </w:r>
      <w:r>
        <w:rPr>
          <w:spacing w:val="-2"/>
          <w:sz w:val="20"/>
        </w:rPr>
        <w:t xml:space="preserve"> </w:t>
      </w:r>
      <w:r>
        <w:rPr>
          <w:sz w:val="20"/>
        </w:rPr>
        <w:t>acuerdo</w:t>
      </w:r>
      <w:r>
        <w:rPr>
          <w:spacing w:val="-2"/>
          <w:sz w:val="20"/>
        </w:rPr>
        <w:t xml:space="preserve"> </w:t>
      </w:r>
      <w:r>
        <w:rPr>
          <w:sz w:val="20"/>
        </w:rPr>
        <w:t>con</w:t>
      </w:r>
      <w:r>
        <w:rPr>
          <w:spacing w:val="-2"/>
          <w:sz w:val="20"/>
        </w:rPr>
        <w:t xml:space="preserve"> </w:t>
      </w:r>
      <w:r>
        <w:rPr>
          <w:sz w:val="20"/>
        </w:rPr>
        <w:t>lo</w:t>
      </w:r>
      <w:r>
        <w:rPr>
          <w:spacing w:val="-2"/>
          <w:sz w:val="20"/>
        </w:rPr>
        <w:t xml:space="preserve"> </w:t>
      </w:r>
      <w:r>
        <w:rPr>
          <w:sz w:val="20"/>
        </w:rPr>
        <w:t>dispuesto</w:t>
      </w:r>
      <w:r>
        <w:rPr>
          <w:spacing w:val="-2"/>
          <w:sz w:val="20"/>
        </w:rPr>
        <w:t xml:space="preserve"> </w:t>
      </w:r>
      <w:r>
        <w:rPr>
          <w:sz w:val="20"/>
        </w:rPr>
        <w:t>en</w:t>
      </w:r>
      <w:r>
        <w:rPr>
          <w:spacing w:val="-2"/>
          <w:sz w:val="20"/>
        </w:rPr>
        <w:t xml:space="preserve"> </w:t>
      </w:r>
      <w:r>
        <w:rPr>
          <w:sz w:val="20"/>
        </w:rPr>
        <w:t>las bases de ejecución de este.</w:t>
      </w:r>
    </w:p>
    <w:p w:rsidR="0092635B" w:rsidRDefault="00000000">
      <w:pPr>
        <w:pStyle w:val="Textoindependiente"/>
        <w:spacing w:before="7" w:line="249" w:lineRule="auto"/>
        <w:ind w:right="1103"/>
      </w:pPr>
      <w:r>
        <w:t>Corresponde al Pleno acordar la constitución de las Juntas de Contratación y determinar su composición, debiendo formar parte de las mismas necesariamente el Secretario o el titular del órgano que tenga atribuida la función de asesoramiento jurídico de la Corporación, y el Interventor de la misma. Los límites cuantitativos, que podrán ser inferiores a los señalados en el párrafo anterior, o los referentes a las características de los contratos en los que intervendrá la Junta de Contratación como órgano de contratación, se determinarán, en los municipios de gran población por la Junta de Gobierno Local y en las restantes entidades locales, por el Pleno, a propuesta del Alcalde o del Presidente cuando sea, el órgano que tenga atribuida la competencia sobre dichos contratos, de acuerdo con el apartado 2.</w:t>
      </w:r>
    </w:p>
    <w:p w:rsidR="0092635B" w:rsidRDefault="00000000">
      <w:pPr>
        <w:pStyle w:val="Textoindependiente"/>
        <w:spacing w:before="7" w:line="249" w:lineRule="auto"/>
        <w:ind w:right="1106"/>
      </w:pPr>
      <w:r>
        <w:t>En los casos de actuación de las Juntas de Contratación se prescindirá de la</w:t>
      </w:r>
      <w:r>
        <w:rPr>
          <w:spacing w:val="40"/>
        </w:rPr>
        <w:t xml:space="preserve"> </w:t>
      </w:r>
      <w:r>
        <w:t>intervención de la Mesa de contratación.</w:t>
      </w:r>
    </w:p>
    <w:p w:rsidR="0092635B" w:rsidRDefault="00000000">
      <w:pPr>
        <w:pStyle w:val="Prrafodelista"/>
        <w:numPr>
          <w:ilvl w:val="0"/>
          <w:numId w:val="60"/>
        </w:numPr>
        <w:tabs>
          <w:tab w:val="left" w:pos="1727"/>
        </w:tabs>
        <w:spacing w:line="249" w:lineRule="auto"/>
        <w:ind w:firstLine="340"/>
        <w:jc w:val="both"/>
        <w:rPr>
          <w:sz w:val="20"/>
        </w:rPr>
      </w:pPr>
      <w:r>
        <w:rPr>
          <w:sz w:val="20"/>
        </w:rPr>
        <w:t>En los municipios de población inferior a 5.000 habitantes las competencias en materia de contratación podrán ser ejercidas por los órganos que, con carácter de centrales de contratación, se constituyan en la forma prevista en el artículo 228 de la presente Ley, mediante acuerdos al efecto.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Asimismo podrán concertarse convenios en virtud de los cuales se encomiende la</w:t>
      </w:r>
      <w:r>
        <w:rPr>
          <w:spacing w:val="40"/>
        </w:rPr>
        <w:t xml:space="preserve"> </w:t>
      </w:r>
      <w:r>
        <w:t>gestión del procedimiento de contratación a las Diputaciones provinciales o a las Comunidades Autónomas de carácter uniprovincial.</w:t>
      </w:r>
    </w:p>
    <w:p w:rsidR="0092635B" w:rsidRDefault="00000000">
      <w:pPr>
        <w:pStyle w:val="Prrafodelista"/>
        <w:numPr>
          <w:ilvl w:val="0"/>
          <w:numId w:val="60"/>
        </w:numPr>
        <w:tabs>
          <w:tab w:val="left" w:pos="1703"/>
        </w:tabs>
        <w:spacing w:line="249" w:lineRule="auto"/>
        <w:ind w:firstLine="340"/>
        <w:jc w:val="both"/>
        <w:rPr>
          <w:sz w:val="20"/>
        </w:rPr>
      </w:pPr>
      <w:r>
        <w:rPr>
          <w:sz w:val="20"/>
        </w:rPr>
        <w:t>La Mesa de contratación estará presidida por un miembro de la Corporación o un funcionario de la misma, y formarán parte de ella, como vocales, el Secretario o, en su caso, el titular del órgano que tenga atribuida la función de asesoramiento jurídico, y el Interventor, o, en su caso, el titular del órgano que tenga atribuidas la función de control económico- presupuestario, así como aquellos otros que se designen por el órgano de contratación entre el personal funcionario de carrera o personal laboral al servicio de la Corporación, o miembros</w:t>
      </w:r>
      <w:r>
        <w:rPr>
          <w:spacing w:val="-1"/>
          <w:sz w:val="20"/>
        </w:rPr>
        <w:t xml:space="preserve"> </w:t>
      </w:r>
      <w:r>
        <w:rPr>
          <w:sz w:val="20"/>
        </w:rPr>
        <w:t>electos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misma,</w:t>
      </w:r>
      <w:r>
        <w:rPr>
          <w:spacing w:val="-1"/>
          <w:sz w:val="20"/>
        </w:rPr>
        <w:t xml:space="preserve"> </w:t>
      </w:r>
      <w:r>
        <w:rPr>
          <w:sz w:val="20"/>
        </w:rPr>
        <w:t>sin</w:t>
      </w:r>
      <w:r>
        <w:rPr>
          <w:spacing w:val="-1"/>
          <w:sz w:val="20"/>
        </w:rPr>
        <w:t xml:space="preserve"> </w:t>
      </w:r>
      <w:r>
        <w:rPr>
          <w:sz w:val="20"/>
        </w:rPr>
        <w:t>que</w:t>
      </w:r>
      <w:r>
        <w:rPr>
          <w:spacing w:val="-1"/>
          <w:sz w:val="20"/>
        </w:rPr>
        <w:t xml:space="preserve"> </w:t>
      </w:r>
      <w:r>
        <w:rPr>
          <w:sz w:val="20"/>
        </w:rPr>
        <w:t>su</w:t>
      </w:r>
      <w:r>
        <w:rPr>
          <w:spacing w:val="-1"/>
          <w:sz w:val="20"/>
        </w:rPr>
        <w:t xml:space="preserve"> </w:t>
      </w:r>
      <w:r>
        <w:rPr>
          <w:sz w:val="20"/>
        </w:rPr>
        <w:t>número,</w:t>
      </w:r>
      <w:r>
        <w:rPr>
          <w:spacing w:val="-1"/>
          <w:sz w:val="20"/>
        </w:rPr>
        <w:t xml:space="preserve"> </w:t>
      </w:r>
      <w:r>
        <w:rPr>
          <w:sz w:val="20"/>
        </w:rPr>
        <w:t>en</w:t>
      </w:r>
      <w:r>
        <w:rPr>
          <w:spacing w:val="-1"/>
          <w:sz w:val="20"/>
        </w:rPr>
        <w:t xml:space="preserve"> </w:t>
      </w:r>
      <w:r>
        <w:rPr>
          <w:sz w:val="20"/>
        </w:rPr>
        <w:t>total,</w:t>
      </w:r>
      <w:r>
        <w:rPr>
          <w:spacing w:val="-1"/>
          <w:sz w:val="20"/>
        </w:rPr>
        <w:t xml:space="preserve"> </w:t>
      </w:r>
      <w:r>
        <w:rPr>
          <w:sz w:val="20"/>
        </w:rPr>
        <w:t>sea</w:t>
      </w:r>
      <w:r>
        <w:rPr>
          <w:spacing w:val="-1"/>
          <w:sz w:val="20"/>
        </w:rPr>
        <w:t xml:space="preserve"> </w:t>
      </w:r>
      <w:r>
        <w:rPr>
          <w:sz w:val="20"/>
        </w:rPr>
        <w:t>inferior</w:t>
      </w:r>
      <w:r>
        <w:rPr>
          <w:spacing w:val="-1"/>
          <w:sz w:val="20"/>
        </w:rPr>
        <w:t xml:space="preserve"> </w:t>
      </w:r>
      <w:r>
        <w:rPr>
          <w:sz w:val="20"/>
        </w:rPr>
        <w:t>a</w:t>
      </w:r>
      <w:r>
        <w:rPr>
          <w:spacing w:val="-1"/>
          <w:sz w:val="20"/>
        </w:rPr>
        <w:t xml:space="preserve"> </w:t>
      </w:r>
      <w:r>
        <w:rPr>
          <w:sz w:val="20"/>
        </w:rPr>
        <w:t>tres.</w:t>
      </w:r>
      <w:r>
        <w:rPr>
          <w:spacing w:val="-1"/>
          <w:sz w:val="20"/>
        </w:rPr>
        <w:t xml:space="preserve"> </w:t>
      </w:r>
      <w:r>
        <w:rPr>
          <w:sz w:val="20"/>
        </w:rPr>
        <w:t>Los</w:t>
      </w:r>
      <w:r>
        <w:rPr>
          <w:spacing w:val="-1"/>
          <w:sz w:val="20"/>
        </w:rPr>
        <w:t xml:space="preserve"> </w:t>
      </w:r>
      <w:r>
        <w:rPr>
          <w:sz w:val="20"/>
        </w:rPr>
        <w:t>miembros electos</w:t>
      </w:r>
      <w:r>
        <w:rPr>
          <w:spacing w:val="-1"/>
          <w:sz w:val="20"/>
        </w:rPr>
        <w:t xml:space="preserve"> </w:t>
      </w:r>
      <w:r>
        <w:rPr>
          <w:sz w:val="20"/>
        </w:rPr>
        <w:t>que,</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caso,</w:t>
      </w:r>
      <w:r>
        <w:rPr>
          <w:spacing w:val="-1"/>
          <w:sz w:val="20"/>
        </w:rPr>
        <w:t xml:space="preserve"> </w:t>
      </w:r>
      <w:r>
        <w:rPr>
          <w:sz w:val="20"/>
        </w:rPr>
        <w:t>formen</w:t>
      </w:r>
      <w:r>
        <w:rPr>
          <w:spacing w:val="-1"/>
          <w:sz w:val="20"/>
        </w:rPr>
        <w:t xml:space="preserve"> </w:t>
      </w:r>
      <w:r>
        <w:rPr>
          <w:sz w:val="20"/>
        </w:rPr>
        <w:t>parte</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Mesa</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no</w:t>
      </w:r>
      <w:r>
        <w:rPr>
          <w:spacing w:val="-1"/>
          <w:sz w:val="20"/>
        </w:rPr>
        <w:t xml:space="preserve"> </w:t>
      </w:r>
      <w:r>
        <w:rPr>
          <w:sz w:val="20"/>
        </w:rPr>
        <w:t>podrán</w:t>
      </w:r>
      <w:r>
        <w:rPr>
          <w:spacing w:val="-1"/>
          <w:sz w:val="20"/>
        </w:rPr>
        <w:t xml:space="preserve"> </w:t>
      </w:r>
      <w:r>
        <w:rPr>
          <w:sz w:val="20"/>
        </w:rPr>
        <w:t>suponer</w:t>
      </w:r>
      <w:r>
        <w:rPr>
          <w:spacing w:val="-1"/>
          <w:sz w:val="20"/>
        </w:rPr>
        <w:t xml:space="preserve"> </w:t>
      </w:r>
      <w:r>
        <w:rPr>
          <w:sz w:val="20"/>
        </w:rPr>
        <w:t>más</w:t>
      </w:r>
      <w:r>
        <w:rPr>
          <w:spacing w:val="-1"/>
          <w:sz w:val="20"/>
        </w:rPr>
        <w:t xml:space="preserve"> </w:t>
      </w:r>
      <w:r>
        <w:rPr>
          <w:sz w:val="20"/>
        </w:rPr>
        <w:t xml:space="preserve">de un tercio del total de miembros de la misma. Actuará como Secretario un funcionario de la </w:t>
      </w:r>
      <w:r>
        <w:rPr>
          <w:spacing w:val="-2"/>
          <w:sz w:val="20"/>
        </w:rPr>
        <w:t>Corporación.</w:t>
      </w:r>
    </w:p>
    <w:p w:rsidR="0092635B" w:rsidRDefault="00000000">
      <w:pPr>
        <w:pStyle w:val="Textoindependiente"/>
        <w:spacing w:before="8" w:line="249" w:lineRule="auto"/>
        <w:ind w:right="1102"/>
      </w:pPr>
      <w:r>
        <w:t>En las Entidades locales municipales, mancomunidades y consorcios locales, podrán integrarse en la Mesa personal al servicio de las correspondientes Diputaciones Provinciales o Comunidades Autónomas uniprovinciales.</w:t>
      </w:r>
    </w:p>
    <w:p w:rsidR="0092635B" w:rsidRDefault="00000000">
      <w:pPr>
        <w:pStyle w:val="Textoindependiente"/>
        <w:spacing w:before="3" w:line="249" w:lineRule="auto"/>
        <w:ind w:right="1104"/>
      </w:pPr>
      <w:r>
        <w:t>En ningún caso podrá formar parte de las Mesas de contratación ni emitir informes de valoración de las ofertas, personal eventual. Podrá formar parte de la Mesa personal funcionario interino únicamente cuando no existan funcionarios de carrera suficientemente cualificados y así se acredite en el expediente.</w:t>
      </w:r>
    </w:p>
    <w:p w:rsidR="0092635B" w:rsidRDefault="00000000">
      <w:pPr>
        <w:pStyle w:val="Textoindependiente"/>
        <w:spacing w:before="3" w:line="249" w:lineRule="auto"/>
        <w:ind w:right="1107"/>
      </w:pPr>
      <w:r>
        <w:t>La composición de la Mesa se publicará en el perfil de contratante del órgano de contratación correspondiente. Se podrán constituir Mesas de Contratación permanentes.</w:t>
      </w:r>
    </w:p>
    <w:p w:rsidR="0092635B" w:rsidRDefault="00000000">
      <w:pPr>
        <w:pStyle w:val="Prrafodelista"/>
        <w:numPr>
          <w:ilvl w:val="0"/>
          <w:numId w:val="60"/>
        </w:numPr>
        <w:tabs>
          <w:tab w:val="left" w:pos="1679"/>
        </w:tabs>
        <w:spacing w:line="249" w:lineRule="auto"/>
        <w:ind w:right="1104" w:firstLine="340"/>
        <w:jc w:val="both"/>
        <w:rPr>
          <w:sz w:val="20"/>
        </w:rPr>
      </w:pPr>
      <w:r>
        <w:rPr>
          <w:sz w:val="20"/>
        </w:rPr>
        <w:t>El comité de expertos a que se refiere la letra a) del apartado 2 del artículo 146 de la presente Ley, para la valoración de los criterios que dependan de un juicio de valor, podrá estar integrado en las Entidades locales por cualquier personal funcionario de carrera o laboral fijo con cualificación apropiada que no haya participado en la redacción de la documentación técnica del contrato de que se trate. En todo caso, entre este personal</w:t>
      </w:r>
      <w:r>
        <w:rPr>
          <w:spacing w:val="40"/>
          <w:sz w:val="20"/>
        </w:rPr>
        <w:t xml:space="preserve"> </w:t>
      </w:r>
      <w:r>
        <w:rPr>
          <w:sz w:val="20"/>
        </w:rPr>
        <w:t>deberá formar parte un técnico jurista especializado en contratación pública.</w:t>
      </w:r>
    </w:p>
    <w:p w:rsidR="0092635B" w:rsidRDefault="00000000">
      <w:pPr>
        <w:pStyle w:val="Prrafodelista"/>
        <w:numPr>
          <w:ilvl w:val="0"/>
          <w:numId w:val="60"/>
        </w:numPr>
        <w:tabs>
          <w:tab w:val="left" w:pos="1722"/>
        </w:tabs>
        <w:spacing w:before="5" w:line="249" w:lineRule="auto"/>
        <w:ind w:firstLine="340"/>
        <w:jc w:val="both"/>
        <w:rPr>
          <w:sz w:val="20"/>
        </w:rPr>
      </w:pPr>
      <w:r>
        <w:rPr>
          <w:sz w:val="20"/>
        </w:rPr>
        <w:t>En las entidades locales corresponde a los Alcaldes y a los Presidentes de las Entidades Locales la competencia para la celebración de los contratos privados, así como la adjudicación de concesiones sobre los bienes de las mismas y la adquisición de bienes inmuebles y derechos sujetos a la legislación patrimonial cuando el presupuesto base de licitación, en los términos definidos en el artículo 100.1, no supere el 10 por ciento de los recursos ordinarios del presupuesto ni el importe de tres millones de euros, así como la enajenación del patrimonio, cuando su valor no supere el porcentaje ni la cuantía indicados.</w:t>
      </w:r>
    </w:p>
    <w:p w:rsidR="0092635B" w:rsidRDefault="00000000">
      <w:pPr>
        <w:pStyle w:val="Prrafodelista"/>
        <w:numPr>
          <w:ilvl w:val="0"/>
          <w:numId w:val="60"/>
        </w:numPr>
        <w:tabs>
          <w:tab w:val="left" w:pos="1886"/>
        </w:tabs>
        <w:spacing w:before="5" w:line="249" w:lineRule="auto"/>
        <w:ind w:firstLine="340"/>
        <w:jc w:val="both"/>
        <w:rPr>
          <w:sz w:val="20"/>
        </w:rPr>
      </w:pPr>
      <w:r>
        <w:rPr>
          <w:sz w:val="20"/>
        </w:rPr>
        <w:t>Corresponde al Pleno la competencia para celebrar contratos privados, la adjudicación de concesiones sobre los bienes de la Corporación y la adquisición de bienes inmuebles y derechos sujetos a la legislación patrimonial así como la enajenación del patrimonio cuando no estén atribuidas al Alcalde o al Presidente, y de los bienes declarados de valor histórico o artístico cualquiera que sea su valor.</w:t>
      </w:r>
    </w:p>
    <w:p w:rsidR="0092635B" w:rsidRDefault="00000000">
      <w:pPr>
        <w:pStyle w:val="Prrafodelista"/>
        <w:numPr>
          <w:ilvl w:val="0"/>
          <w:numId w:val="60"/>
        </w:numPr>
        <w:tabs>
          <w:tab w:val="left" w:pos="1768"/>
        </w:tabs>
        <w:spacing w:before="4" w:line="249" w:lineRule="auto"/>
        <w:ind w:firstLine="340"/>
        <w:jc w:val="both"/>
        <w:rPr>
          <w:sz w:val="20"/>
        </w:rPr>
      </w:pPr>
      <w:r>
        <w:rPr>
          <w:sz w:val="20"/>
        </w:rPr>
        <w:t>En los municipios de gran población a que se refiere el artículo 121 de la Ley 7/1985, de 2 de abril, Reguladora de las Bases del Régimen Local, las competencias que se describen en los apartados anteriores se ejercerán por la Junta de Gobierno Local, cualquiera que sea el importe del contrato o la duración del mismo.</w:t>
      </w:r>
    </w:p>
    <w:p w:rsidR="0092635B" w:rsidRDefault="00000000">
      <w:pPr>
        <w:pStyle w:val="Prrafodelista"/>
        <w:numPr>
          <w:ilvl w:val="0"/>
          <w:numId w:val="60"/>
        </w:numPr>
        <w:tabs>
          <w:tab w:val="left" w:pos="1803"/>
        </w:tabs>
        <w:spacing w:before="4" w:line="249" w:lineRule="auto"/>
        <w:ind w:right="1104" w:firstLine="340"/>
        <w:jc w:val="both"/>
        <w:rPr>
          <w:sz w:val="20"/>
        </w:rPr>
      </w:pPr>
      <w:r>
        <w:rPr>
          <w:sz w:val="20"/>
        </w:rPr>
        <w:t>Las referencias a las Diputaciones provinciales contenidas en esta Ley también se entenderán efectuadas a los entes locales supramunicipales previstos en los correspondientes Estatutos de Autonomía con competencias en materia de asistencia y de cooperación a los municipios, y de prestación de servicios públicos locales.</w:t>
      </w:r>
    </w:p>
    <w:p w:rsidR="0092635B" w:rsidRDefault="0092635B">
      <w:pPr>
        <w:pStyle w:val="Textoindependiente"/>
        <w:spacing w:before="0"/>
        <w:ind w:left="0" w:firstLine="0"/>
        <w:jc w:val="left"/>
      </w:pPr>
    </w:p>
    <w:p w:rsidR="0092635B" w:rsidRDefault="00000000">
      <w:pPr>
        <w:tabs>
          <w:tab w:val="left" w:pos="4400"/>
        </w:tabs>
        <w:spacing w:line="249" w:lineRule="auto"/>
        <w:ind w:left="1106" w:right="1120" w:hanging="1"/>
        <w:rPr>
          <w:rFonts w:ascii="Arial" w:hAnsi="Arial"/>
          <w:i/>
          <w:sz w:val="20"/>
        </w:rPr>
      </w:pPr>
      <w:bookmarkStart w:id="590" w:name="Disposición_adicional_tercera._Normas_es"/>
      <w:bookmarkEnd w:id="590"/>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tercera.</w:t>
      </w:r>
      <w:r>
        <w:rPr>
          <w:rFonts w:ascii="Arial" w:hAnsi="Arial"/>
          <w:b/>
          <w:sz w:val="20"/>
        </w:rPr>
        <w:tab/>
      </w:r>
      <w:r>
        <w:rPr>
          <w:rFonts w:ascii="Arial" w:hAnsi="Arial"/>
          <w:i/>
          <w:sz w:val="20"/>
        </w:rPr>
        <w:t>Normas</w:t>
      </w:r>
      <w:r>
        <w:rPr>
          <w:rFonts w:ascii="Arial" w:hAnsi="Arial"/>
          <w:i/>
          <w:spacing w:val="40"/>
          <w:sz w:val="20"/>
        </w:rPr>
        <w:t xml:space="preserve"> </w:t>
      </w:r>
      <w:r>
        <w:rPr>
          <w:rFonts w:ascii="Arial" w:hAnsi="Arial"/>
          <w:i/>
          <w:sz w:val="20"/>
        </w:rPr>
        <w:t>específicas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contratación</w:t>
      </w:r>
      <w:r>
        <w:rPr>
          <w:rFonts w:ascii="Arial" w:hAnsi="Arial"/>
          <w:i/>
          <w:spacing w:val="40"/>
          <w:sz w:val="20"/>
        </w:rPr>
        <w:t xml:space="preserve"> </w:t>
      </w:r>
      <w:r>
        <w:rPr>
          <w:rFonts w:ascii="Arial" w:hAnsi="Arial"/>
          <w:i/>
          <w:sz w:val="20"/>
        </w:rPr>
        <w:t>pública</w:t>
      </w:r>
      <w:r>
        <w:rPr>
          <w:rFonts w:ascii="Arial" w:hAnsi="Arial"/>
          <w:i/>
          <w:spacing w:val="40"/>
          <w:sz w:val="20"/>
        </w:rPr>
        <w:t xml:space="preserve"> </w:t>
      </w:r>
      <w:r>
        <w:rPr>
          <w:rFonts w:ascii="Arial" w:hAnsi="Arial"/>
          <w:i/>
          <w:sz w:val="20"/>
        </w:rPr>
        <w:t>en</w:t>
      </w:r>
      <w:r>
        <w:rPr>
          <w:rFonts w:ascii="Arial" w:hAnsi="Arial"/>
          <w:i/>
          <w:spacing w:val="40"/>
          <w:sz w:val="20"/>
        </w:rPr>
        <w:t xml:space="preserve"> </w:t>
      </w:r>
      <w:r>
        <w:rPr>
          <w:rFonts w:ascii="Arial" w:hAnsi="Arial"/>
          <w:i/>
          <w:sz w:val="20"/>
        </w:rPr>
        <w:t>las</w:t>
      </w:r>
      <w:r>
        <w:rPr>
          <w:rFonts w:ascii="Arial" w:hAnsi="Arial"/>
          <w:i/>
          <w:spacing w:val="80"/>
          <w:sz w:val="20"/>
        </w:rPr>
        <w:t xml:space="preserve"> </w:t>
      </w:r>
      <w:r>
        <w:rPr>
          <w:rFonts w:ascii="Arial" w:hAnsi="Arial"/>
          <w:i/>
          <w:sz w:val="20"/>
        </w:rPr>
        <w:t>Entidades Locales.</w:t>
      </w:r>
    </w:p>
    <w:p w:rsidR="0092635B" w:rsidRDefault="00000000">
      <w:pPr>
        <w:pStyle w:val="Prrafodelista"/>
        <w:numPr>
          <w:ilvl w:val="0"/>
          <w:numId w:val="59"/>
        </w:numPr>
        <w:tabs>
          <w:tab w:val="left" w:pos="1669"/>
        </w:tabs>
        <w:spacing w:before="115" w:line="249" w:lineRule="auto"/>
        <w:ind w:firstLine="340"/>
        <w:jc w:val="both"/>
        <w:rPr>
          <w:sz w:val="20"/>
        </w:rPr>
      </w:pPr>
      <w:r>
        <w:rPr>
          <w:sz w:val="20"/>
        </w:rPr>
        <w:t>Las</w:t>
      </w:r>
      <w:r>
        <w:rPr>
          <w:spacing w:val="-4"/>
          <w:sz w:val="20"/>
        </w:rPr>
        <w:t xml:space="preserve"> </w:t>
      </w:r>
      <w:r>
        <w:rPr>
          <w:sz w:val="20"/>
        </w:rPr>
        <w:t>Administraciones</w:t>
      </w:r>
      <w:r>
        <w:rPr>
          <w:spacing w:val="-4"/>
          <w:sz w:val="20"/>
        </w:rPr>
        <w:t xml:space="preserve"> </w:t>
      </w:r>
      <w:r>
        <w:rPr>
          <w:sz w:val="20"/>
        </w:rPr>
        <w:t>Públicas</w:t>
      </w:r>
      <w:r>
        <w:rPr>
          <w:spacing w:val="-4"/>
          <w:sz w:val="20"/>
        </w:rPr>
        <w:t xml:space="preserve"> </w:t>
      </w:r>
      <w:r>
        <w:rPr>
          <w:sz w:val="20"/>
        </w:rPr>
        <w:t>locales</w:t>
      </w:r>
      <w:r>
        <w:rPr>
          <w:spacing w:val="-4"/>
          <w:sz w:val="20"/>
        </w:rPr>
        <w:t xml:space="preserve"> </w:t>
      </w:r>
      <w:r>
        <w:rPr>
          <w:sz w:val="20"/>
        </w:rPr>
        <w:t>aplicarán</w:t>
      </w:r>
      <w:r>
        <w:rPr>
          <w:spacing w:val="-4"/>
          <w:sz w:val="20"/>
        </w:rPr>
        <w:t xml:space="preserve"> </w:t>
      </w:r>
      <w:r>
        <w:rPr>
          <w:sz w:val="20"/>
        </w:rPr>
        <w:t>las</w:t>
      </w:r>
      <w:r>
        <w:rPr>
          <w:spacing w:val="-4"/>
          <w:sz w:val="20"/>
        </w:rPr>
        <w:t xml:space="preserve"> </w:t>
      </w:r>
      <w:r>
        <w:rPr>
          <w:sz w:val="20"/>
        </w:rPr>
        <w:t>reglas</w:t>
      </w:r>
      <w:r>
        <w:rPr>
          <w:spacing w:val="-4"/>
          <w:sz w:val="20"/>
        </w:rPr>
        <w:t xml:space="preserve"> </w:t>
      </w:r>
      <w:r>
        <w:rPr>
          <w:sz w:val="20"/>
        </w:rPr>
        <w:t>contenidas</w:t>
      </w:r>
      <w:r>
        <w:rPr>
          <w:spacing w:val="-4"/>
          <w:sz w:val="20"/>
        </w:rPr>
        <w:t xml:space="preserve"> </w:t>
      </w:r>
      <w:r>
        <w:rPr>
          <w:sz w:val="20"/>
        </w:rPr>
        <w:t>en</w:t>
      </w:r>
      <w:r>
        <w:rPr>
          <w:spacing w:val="-4"/>
          <w:sz w:val="20"/>
        </w:rPr>
        <w:t xml:space="preserve"> </w:t>
      </w:r>
      <w:r>
        <w:rPr>
          <w:sz w:val="20"/>
        </w:rPr>
        <w:t>esta</w:t>
      </w:r>
      <w:r>
        <w:rPr>
          <w:spacing w:val="-4"/>
          <w:sz w:val="20"/>
        </w:rPr>
        <w:t xml:space="preserve"> </w:t>
      </w:r>
      <w:r>
        <w:rPr>
          <w:sz w:val="20"/>
        </w:rPr>
        <w:t>Ley,</w:t>
      </w:r>
      <w:r>
        <w:rPr>
          <w:spacing w:val="-4"/>
          <w:sz w:val="20"/>
        </w:rPr>
        <w:t xml:space="preserve"> </w:t>
      </w:r>
      <w:r>
        <w:rPr>
          <w:sz w:val="20"/>
        </w:rPr>
        <w:t>con las especialidades que se recogen en la disposición adicional anterior y en la presente.</w:t>
      </w:r>
    </w:p>
    <w:p w:rsidR="0092635B" w:rsidRDefault="00000000">
      <w:pPr>
        <w:pStyle w:val="Prrafodelista"/>
        <w:numPr>
          <w:ilvl w:val="0"/>
          <w:numId w:val="59"/>
        </w:numPr>
        <w:tabs>
          <w:tab w:val="left" w:pos="1706"/>
        </w:tabs>
        <w:spacing w:before="1" w:line="249" w:lineRule="auto"/>
        <w:ind w:right="1104" w:firstLine="340"/>
        <w:jc w:val="both"/>
        <w:rPr>
          <w:sz w:val="20"/>
        </w:rPr>
      </w:pPr>
      <w:r>
        <w:rPr>
          <w:sz w:val="20"/>
        </w:rPr>
        <w:t>Se podrán tramitar anticipadamente los contratos cuya ejecución material haya de comenzar en el ejercicio siguiente o aquellos cuya financiación dependa de un préstamo, un crédito</w:t>
      </w:r>
      <w:r>
        <w:rPr>
          <w:spacing w:val="77"/>
          <w:sz w:val="20"/>
        </w:rPr>
        <w:t xml:space="preserve"> </w:t>
      </w:r>
      <w:r>
        <w:rPr>
          <w:sz w:val="20"/>
        </w:rPr>
        <w:t>o</w:t>
      </w:r>
      <w:r>
        <w:rPr>
          <w:spacing w:val="77"/>
          <w:sz w:val="20"/>
        </w:rPr>
        <w:t xml:space="preserve"> </w:t>
      </w:r>
      <w:r>
        <w:rPr>
          <w:sz w:val="20"/>
        </w:rPr>
        <w:t>una</w:t>
      </w:r>
      <w:r>
        <w:rPr>
          <w:spacing w:val="77"/>
          <w:sz w:val="20"/>
        </w:rPr>
        <w:t xml:space="preserve"> </w:t>
      </w:r>
      <w:r>
        <w:rPr>
          <w:sz w:val="20"/>
        </w:rPr>
        <w:t>subvención</w:t>
      </w:r>
      <w:r>
        <w:rPr>
          <w:spacing w:val="77"/>
          <w:sz w:val="20"/>
        </w:rPr>
        <w:t xml:space="preserve"> </w:t>
      </w:r>
      <w:r>
        <w:rPr>
          <w:sz w:val="20"/>
        </w:rPr>
        <w:t>solicitada</w:t>
      </w:r>
      <w:r>
        <w:rPr>
          <w:spacing w:val="77"/>
          <w:sz w:val="20"/>
        </w:rPr>
        <w:t xml:space="preserve"> </w:t>
      </w:r>
      <w:r>
        <w:rPr>
          <w:sz w:val="20"/>
        </w:rPr>
        <w:t>a</w:t>
      </w:r>
      <w:r>
        <w:rPr>
          <w:spacing w:val="77"/>
          <w:sz w:val="20"/>
        </w:rPr>
        <w:t xml:space="preserve"> </w:t>
      </w:r>
      <w:r>
        <w:rPr>
          <w:sz w:val="20"/>
        </w:rPr>
        <w:t>otra</w:t>
      </w:r>
      <w:r>
        <w:rPr>
          <w:spacing w:val="77"/>
          <w:sz w:val="20"/>
        </w:rPr>
        <w:t xml:space="preserve"> </w:t>
      </w:r>
      <w:r>
        <w:rPr>
          <w:sz w:val="20"/>
        </w:rPr>
        <w:t>entidad</w:t>
      </w:r>
      <w:r>
        <w:rPr>
          <w:spacing w:val="77"/>
          <w:sz w:val="20"/>
        </w:rPr>
        <w:t xml:space="preserve"> </w:t>
      </w:r>
      <w:r>
        <w:rPr>
          <w:sz w:val="20"/>
        </w:rPr>
        <w:t>pública</w:t>
      </w:r>
      <w:r>
        <w:rPr>
          <w:spacing w:val="77"/>
          <w:sz w:val="20"/>
        </w:rPr>
        <w:t xml:space="preserve"> </w:t>
      </w:r>
      <w:r>
        <w:rPr>
          <w:sz w:val="20"/>
        </w:rPr>
        <w:t>o</w:t>
      </w:r>
      <w:r>
        <w:rPr>
          <w:spacing w:val="77"/>
          <w:sz w:val="20"/>
        </w:rPr>
        <w:t xml:space="preserve"> </w:t>
      </w:r>
      <w:r>
        <w:rPr>
          <w:sz w:val="20"/>
        </w:rPr>
        <w:t>privada,</w:t>
      </w:r>
      <w:r>
        <w:rPr>
          <w:spacing w:val="77"/>
          <w:sz w:val="20"/>
        </w:rPr>
        <w:t xml:space="preserve"> </w:t>
      </w:r>
      <w:r>
        <w:rPr>
          <w:sz w:val="20"/>
        </w:rPr>
        <w:t>sometiendo</w:t>
      </w:r>
      <w:r>
        <w:rPr>
          <w:spacing w:val="77"/>
          <w:sz w:val="20"/>
        </w:rPr>
        <w:t xml:space="preserve"> </w:t>
      </w:r>
      <w:r>
        <w:rPr>
          <w:sz w:val="20"/>
        </w:rPr>
        <w:t>la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6" w:firstLine="0"/>
      </w:pPr>
      <w:r>
        <w:t>adjudicación a la condición suspensiva de la efectiva consolidación de los recursos que han de financiar el contrato correspondiente.</w:t>
      </w:r>
    </w:p>
    <w:p w:rsidR="0092635B" w:rsidRDefault="00000000">
      <w:pPr>
        <w:pStyle w:val="Prrafodelista"/>
        <w:numPr>
          <w:ilvl w:val="0"/>
          <w:numId w:val="59"/>
        </w:numPr>
        <w:tabs>
          <w:tab w:val="left" w:pos="1669"/>
        </w:tabs>
        <w:spacing w:before="1" w:line="249" w:lineRule="auto"/>
        <w:ind w:firstLine="340"/>
        <w:jc w:val="both"/>
        <w:rPr>
          <w:sz w:val="20"/>
        </w:rPr>
      </w:pPr>
      <w:r>
        <w:rPr>
          <w:sz w:val="20"/>
        </w:rPr>
        <w:t>Los</w:t>
      </w:r>
      <w:r>
        <w:rPr>
          <w:spacing w:val="-1"/>
          <w:sz w:val="20"/>
        </w:rPr>
        <w:t xml:space="preserve"> </w:t>
      </w:r>
      <w:r>
        <w:rPr>
          <w:sz w:val="20"/>
        </w:rPr>
        <w:t>actos</w:t>
      </w:r>
      <w:r>
        <w:rPr>
          <w:spacing w:val="-1"/>
          <w:sz w:val="20"/>
        </w:rPr>
        <w:t xml:space="preserve"> </w:t>
      </w:r>
      <w:r>
        <w:rPr>
          <w:sz w:val="20"/>
        </w:rPr>
        <w:t>de</w:t>
      </w:r>
      <w:r>
        <w:rPr>
          <w:spacing w:val="-1"/>
          <w:sz w:val="20"/>
        </w:rPr>
        <w:t xml:space="preserve"> </w:t>
      </w:r>
      <w:r>
        <w:rPr>
          <w:sz w:val="20"/>
        </w:rPr>
        <w:t>fiscalización</w:t>
      </w:r>
      <w:r>
        <w:rPr>
          <w:spacing w:val="-1"/>
          <w:sz w:val="20"/>
        </w:rPr>
        <w:t xml:space="preserve"> </w:t>
      </w:r>
      <w:r>
        <w:rPr>
          <w:sz w:val="20"/>
        </w:rPr>
        <w:t>se</w:t>
      </w:r>
      <w:r>
        <w:rPr>
          <w:spacing w:val="-1"/>
          <w:sz w:val="20"/>
        </w:rPr>
        <w:t xml:space="preserve"> </w:t>
      </w:r>
      <w:r>
        <w:rPr>
          <w:sz w:val="20"/>
        </w:rPr>
        <w:t>ejercen</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órgano</w:t>
      </w:r>
      <w:r>
        <w:rPr>
          <w:spacing w:val="-1"/>
          <w:sz w:val="20"/>
        </w:rPr>
        <w:t xml:space="preserve"> </w:t>
      </w:r>
      <w:r>
        <w:rPr>
          <w:sz w:val="20"/>
        </w:rPr>
        <w:t>Interventor</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Entidad</w:t>
      </w:r>
      <w:r>
        <w:rPr>
          <w:spacing w:val="-1"/>
          <w:sz w:val="20"/>
        </w:rPr>
        <w:t xml:space="preserve"> </w:t>
      </w:r>
      <w:r>
        <w:rPr>
          <w:sz w:val="20"/>
        </w:rPr>
        <w:t>local.</w:t>
      </w:r>
      <w:r>
        <w:rPr>
          <w:spacing w:val="-1"/>
          <w:sz w:val="20"/>
        </w:rPr>
        <w:t xml:space="preserve"> </w:t>
      </w:r>
      <w:r>
        <w:rPr>
          <w:sz w:val="20"/>
        </w:rPr>
        <w:t>Esta fiscalización recaerá también sobre la valoración que se incorpore al expediente de contratación sobre las repercusiones de cada nuevo contrato, excepto los contratos</w:t>
      </w:r>
      <w:r>
        <w:rPr>
          <w:spacing w:val="40"/>
          <w:sz w:val="20"/>
        </w:rPr>
        <w:t xml:space="preserve"> </w:t>
      </w:r>
      <w:r>
        <w:rPr>
          <w:sz w:val="20"/>
        </w:rPr>
        <w:t>menores, en el cumplimiento por la Entidad local de los principios de estabilidad presupuestaria y sostenibilidad financiera que exige el artículo 7.3 de la Ley Orgánica</w:t>
      </w:r>
      <w:r>
        <w:rPr>
          <w:spacing w:val="40"/>
          <w:sz w:val="20"/>
        </w:rPr>
        <w:t xml:space="preserve"> </w:t>
      </w:r>
      <w:r>
        <w:rPr>
          <w:sz w:val="20"/>
        </w:rPr>
        <w:t>2/2012, de 27 de abril, de Estabilidad Presupuestaria y Sostenibilidad Financiera. El órgano interventor realizará la comprobación material de la inversión en el ejercicio de la función señalada en el artículo 214.2.d) del Real Decreto Legislativo 2/2004, de 5 de marzo, por el que se aprueba el texto refundido de la Ley Reguladora de las Haciendas Locales, en los términos</w:t>
      </w:r>
      <w:r>
        <w:rPr>
          <w:spacing w:val="-1"/>
          <w:sz w:val="20"/>
        </w:rPr>
        <w:t xml:space="preserve"> </w:t>
      </w:r>
      <w:r>
        <w:rPr>
          <w:sz w:val="20"/>
        </w:rPr>
        <w:t>desarrollados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20</w:t>
      </w:r>
      <w:r>
        <w:rPr>
          <w:spacing w:val="-1"/>
          <w:sz w:val="20"/>
        </w:rPr>
        <w:t xml:space="preserve"> </w:t>
      </w:r>
      <w:r>
        <w:rPr>
          <w:sz w:val="20"/>
        </w:rPr>
        <w:t>del</w:t>
      </w:r>
      <w:r>
        <w:rPr>
          <w:spacing w:val="-1"/>
          <w:sz w:val="20"/>
        </w:rPr>
        <w:t xml:space="preserve"> </w:t>
      </w:r>
      <w:r>
        <w:rPr>
          <w:sz w:val="20"/>
        </w:rPr>
        <w:t>Real</w:t>
      </w:r>
      <w:r>
        <w:rPr>
          <w:spacing w:val="-1"/>
          <w:sz w:val="20"/>
        </w:rPr>
        <w:t xml:space="preserve"> </w:t>
      </w:r>
      <w:r>
        <w:rPr>
          <w:sz w:val="20"/>
        </w:rPr>
        <w:t>Decreto</w:t>
      </w:r>
      <w:r>
        <w:rPr>
          <w:spacing w:val="-1"/>
          <w:sz w:val="20"/>
        </w:rPr>
        <w:t xml:space="preserve"> </w:t>
      </w:r>
      <w:r>
        <w:rPr>
          <w:sz w:val="20"/>
        </w:rPr>
        <w:t>424/2017,</w:t>
      </w:r>
      <w:r>
        <w:rPr>
          <w:spacing w:val="-1"/>
          <w:sz w:val="20"/>
        </w:rPr>
        <w:t xml:space="preserve"> </w:t>
      </w:r>
      <w:r>
        <w:rPr>
          <w:sz w:val="20"/>
        </w:rPr>
        <w:t>de</w:t>
      </w:r>
      <w:r>
        <w:rPr>
          <w:spacing w:val="-1"/>
          <w:sz w:val="20"/>
        </w:rPr>
        <w:t xml:space="preserve"> </w:t>
      </w:r>
      <w:r>
        <w:rPr>
          <w:sz w:val="20"/>
        </w:rPr>
        <w:t>28</w:t>
      </w:r>
      <w:r>
        <w:rPr>
          <w:spacing w:val="-1"/>
          <w:sz w:val="20"/>
        </w:rPr>
        <w:t xml:space="preserve"> </w:t>
      </w:r>
      <w:r>
        <w:rPr>
          <w:sz w:val="20"/>
        </w:rPr>
        <w:t>de</w:t>
      </w:r>
      <w:r>
        <w:rPr>
          <w:spacing w:val="-1"/>
          <w:sz w:val="20"/>
        </w:rPr>
        <w:t xml:space="preserve"> </w:t>
      </w:r>
      <w:r>
        <w:rPr>
          <w:sz w:val="20"/>
        </w:rPr>
        <w:t>abril,</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que se regula el régimen jurídico del control interno en las entidades del Sector Público Local. A efectos de la designación de representante en aquellas inversiones cuyo objeto sea susceptible de comprobación, el órgano interventor podrá aplicar técnicas de muestreo. Podrá estar asistido en la recepción por un técnico especializado en el objeto del contrato, que deberá ser diferente del director de obra y del responsable del contrato. Los servicios de asistencia de las Diputaciones Provinciales asistirán a los pequeños Municipios a estos efectos y los demás previstos en la Ley.</w:t>
      </w:r>
    </w:p>
    <w:p w:rsidR="0092635B" w:rsidRDefault="00000000">
      <w:pPr>
        <w:pStyle w:val="Prrafodelista"/>
        <w:numPr>
          <w:ilvl w:val="0"/>
          <w:numId w:val="59"/>
        </w:numPr>
        <w:tabs>
          <w:tab w:val="left" w:pos="1717"/>
        </w:tabs>
        <w:spacing w:before="14" w:line="249" w:lineRule="auto"/>
        <w:ind w:right="1102" w:firstLine="340"/>
        <w:jc w:val="both"/>
        <w:rPr>
          <w:sz w:val="20"/>
        </w:rPr>
      </w:pPr>
      <w:r>
        <w:rPr>
          <w:sz w:val="20"/>
        </w:rPr>
        <w:t>En los contratos celebrados en los municipios de menos de 5.000 habitantes, la aprobación del gasto podrá ser sustituida por una certificación de existencia de crédito que</w:t>
      </w:r>
      <w:r>
        <w:rPr>
          <w:spacing w:val="40"/>
          <w:sz w:val="20"/>
        </w:rPr>
        <w:t xml:space="preserve"> </w:t>
      </w:r>
      <w:r>
        <w:rPr>
          <w:sz w:val="20"/>
        </w:rPr>
        <w:t>se expedirá por el Secretario Interventor o, en su caso, por el Interventor de la Corporación.</w:t>
      </w:r>
    </w:p>
    <w:p w:rsidR="0092635B" w:rsidRDefault="00000000">
      <w:pPr>
        <w:pStyle w:val="Prrafodelista"/>
        <w:numPr>
          <w:ilvl w:val="0"/>
          <w:numId w:val="59"/>
        </w:numPr>
        <w:tabs>
          <w:tab w:val="left" w:pos="1673"/>
        </w:tabs>
        <w:spacing w:before="3" w:line="249" w:lineRule="auto"/>
        <w:ind w:firstLine="340"/>
        <w:jc w:val="both"/>
        <w:rPr>
          <w:sz w:val="20"/>
        </w:rPr>
      </w:pPr>
      <w:r>
        <w:rPr>
          <w:sz w:val="20"/>
        </w:rPr>
        <w:t>En los contratos de concesión de obras y de servicios, el expediente acreditativo de la conveniencia y oportunidad de la medida que exige el artículo 86.1 de la Ley 7/1985, de 2 de abril, Reguladora de las Bases del Régimen Local, con el contenido reglamentariamente determinado, se tramitará conjuntamente con el estudio de viabilidad regulado en esta Ley.</w:t>
      </w:r>
    </w:p>
    <w:p w:rsidR="0092635B" w:rsidRDefault="00000000">
      <w:pPr>
        <w:pStyle w:val="Prrafodelista"/>
        <w:numPr>
          <w:ilvl w:val="0"/>
          <w:numId w:val="59"/>
        </w:numPr>
        <w:tabs>
          <w:tab w:val="left" w:pos="1731"/>
        </w:tabs>
        <w:spacing w:before="3" w:line="249" w:lineRule="auto"/>
        <w:ind w:right="1104" w:firstLine="340"/>
        <w:jc w:val="both"/>
        <w:rPr>
          <w:sz w:val="20"/>
        </w:rPr>
      </w:pPr>
      <w:r>
        <w:rPr>
          <w:sz w:val="20"/>
        </w:rPr>
        <w:t>Serán de aplicación a los contratos de obras las normas sobre supervisión de proyectos establecidas en el artículo 235. La supervisión podrá efectuarse por las oficinas o unidades competentes de la propia entidad contratante o, en el caso de municipios que carezcan de ellas, por las de la correspondiente Diputación provincial o Administración autonómica uniprovincial. En el acuerdo de aprobación de los proyectos se recogerá expresamente la referencia a la supervisión favorable del mismo.</w:t>
      </w:r>
    </w:p>
    <w:p w:rsidR="0092635B" w:rsidRDefault="00000000">
      <w:pPr>
        <w:pStyle w:val="Prrafodelista"/>
        <w:numPr>
          <w:ilvl w:val="0"/>
          <w:numId w:val="59"/>
        </w:numPr>
        <w:tabs>
          <w:tab w:val="left" w:pos="1685"/>
        </w:tabs>
        <w:spacing w:before="5" w:line="249" w:lineRule="auto"/>
        <w:ind w:firstLine="340"/>
        <w:jc w:val="both"/>
        <w:rPr>
          <w:sz w:val="20"/>
        </w:rPr>
      </w:pPr>
      <w:r>
        <w:rPr>
          <w:sz w:val="20"/>
        </w:rPr>
        <w:t>En los municipios de población inferior a 5.000 habitantes, en los contratos de obras cuya financiación exceda de un presupuesto anual, podrán redactarse proyectos independientes relativos a cada una de las partes de la obra, siempre que estas sean susceptibles de utilización separada en el sentido del uso general o del servicio, o puedan</w:t>
      </w:r>
      <w:r>
        <w:rPr>
          <w:spacing w:val="40"/>
          <w:sz w:val="20"/>
        </w:rPr>
        <w:t xml:space="preserve"> </w:t>
      </w:r>
      <w:r>
        <w:rPr>
          <w:sz w:val="20"/>
        </w:rPr>
        <w:t>ser sustancialmente definidas. La ejecución de cada uno de los proyectos podrá ser objeto</w:t>
      </w:r>
      <w:r>
        <w:rPr>
          <w:spacing w:val="40"/>
          <w:sz w:val="20"/>
        </w:rPr>
        <w:t xml:space="preserve"> </w:t>
      </w:r>
      <w:r>
        <w:rPr>
          <w:sz w:val="20"/>
        </w:rPr>
        <w:t>de un contrato diferente, sin perjuicio de la aplicación de los artículos 99 y 101.</w:t>
      </w:r>
    </w:p>
    <w:p w:rsidR="0092635B" w:rsidRDefault="00000000">
      <w:pPr>
        <w:pStyle w:val="Prrafodelista"/>
        <w:numPr>
          <w:ilvl w:val="0"/>
          <w:numId w:val="59"/>
        </w:numPr>
        <w:tabs>
          <w:tab w:val="left" w:pos="1740"/>
        </w:tabs>
        <w:spacing w:before="5" w:line="249" w:lineRule="auto"/>
        <w:ind w:right="1102" w:firstLine="340"/>
        <w:jc w:val="both"/>
        <w:rPr>
          <w:sz w:val="20"/>
        </w:rPr>
      </w:pPr>
      <w:r>
        <w:rPr>
          <w:sz w:val="20"/>
        </w:rPr>
        <w:t>Los informes que la Ley asigna a los servicios jurídicos se evacuarán por el Secretario. Será también preceptivo el informe jurídico del Secretario en la aprobación de expedientes de contratación, modificación de contratos, revisión de precios, prórrogas, mantenimiento del equilibrio económico, interpretación y resolución de los contratos. Corresponderá también al Secretario la coordinación de las obligaciones de publicidad e información que se establecen en la Ley 19/2013, de 9 de diciembre, de Transparencia, Acceso a la Información Pública y Buen Gobierno.</w:t>
      </w:r>
    </w:p>
    <w:p w:rsidR="0092635B" w:rsidRDefault="00000000">
      <w:pPr>
        <w:pStyle w:val="Textoindependiente"/>
        <w:spacing w:before="6" w:line="249" w:lineRule="auto"/>
        <w:ind w:right="1102"/>
      </w:pPr>
      <w:r>
        <w:t>Conforme</w:t>
      </w:r>
      <w:r>
        <w:rPr>
          <w:spacing w:val="75"/>
        </w:rPr>
        <w:t xml:space="preserve"> </w:t>
      </w:r>
      <w:r>
        <w:t>a</w:t>
      </w:r>
      <w:r>
        <w:rPr>
          <w:spacing w:val="75"/>
        </w:rPr>
        <w:t xml:space="preserve"> </w:t>
      </w:r>
      <w:r>
        <w:t>lo</w:t>
      </w:r>
      <w:r>
        <w:rPr>
          <w:spacing w:val="75"/>
        </w:rPr>
        <w:t xml:space="preserve"> </w:t>
      </w:r>
      <w:r>
        <w:t>dispuesto</w:t>
      </w:r>
      <w:r>
        <w:rPr>
          <w:spacing w:val="75"/>
        </w:rPr>
        <w:t xml:space="preserve"> </w:t>
      </w:r>
      <w:r>
        <w:t>en</w:t>
      </w:r>
      <w:r>
        <w:rPr>
          <w:spacing w:val="75"/>
        </w:rPr>
        <w:t xml:space="preserve"> </w:t>
      </w:r>
      <w:r>
        <w:t>la</w:t>
      </w:r>
      <w:r>
        <w:rPr>
          <w:spacing w:val="75"/>
        </w:rPr>
        <w:t xml:space="preserve"> </w:t>
      </w:r>
      <w:r>
        <w:t>letra</w:t>
      </w:r>
      <w:r>
        <w:rPr>
          <w:spacing w:val="75"/>
        </w:rPr>
        <w:t xml:space="preserve"> </w:t>
      </w:r>
      <w:r>
        <w:t>e)</w:t>
      </w:r>
      <w:r>
        <w:rPr>
          <w:spacing w:val="75"/>
        </w:rPr>
        <w:t xml:space="preserve"> </w:t>
      </w:r>
      <w:r>
        <w:t>de</w:t>
      </w:r>
      <w:r>
        <w:rPr>
          <w:spacing w:val="75"/>
        </w:rPr>
        <w:t xml:space="preserve"> </w:t>
      </w:r>
      <w:r>
        <w:t>la</w:t>
      </w:r>
      <w:r>
        <w:rPr>
          <w:spacing w:val="75"/>
        </w:rPr>
        <w:t xml:space="preserve"> </w:t>
      </w:r>
      <w:r>
        <w:t>disposición</w:t>
      </w:r>
      <w:r>
        <w:rPr>
          <w:spacing w:val="75"/>
        </w:rPr>
        <w:t xml:space="preserve"> </w:t>
      </w:r>
      <w:r>
        <w:t>adicional</w:t>
      </w:r>
      <w:r>
        <w:rPr>
          <w:spacing w:val="75"/>
        </w:rPr>
        <w:t xml:space="preserve"> </w:t>
      </w:r>
      <w:r>
        <w:t>octava</w:t>
      </w:r>
      <w:r>
        <w:rPr>
          <w:spacing w:val="75"/>
        </w:rPr>
        <w:t xml:space="preserve"> </w:t>
      </w:r>
      <w:r>
        <w:t>de</w:t>
      </w:r>
      <w:r>
        <w:rPr>
          <w:spacing w:val="75"/>
        </w:rPr>
        <w:t xml:space="preserve"> </w:t>
      </w:r>
      <w:r>
        <w:t>la Ley 7/1985, de 2 de abril, Reguladoras de las Bases del Régimen Local, en los municipios acogidos al régimen regulado en su Título X, corresponderá al titular de la asesoría jurídica</w:t>
      </w:r>
      <w:r>
        <w:rPr>
          <w:spacing w:val="40"/>
        </w:rPr>
        <w:t xml:space="preserve"> </w:t>
      </w:r>
      <w:r>
        <w:t>la emisión de los informes atribuidos al Secretario en el presente apartado. La coordinación de las obligaciones de publicidad e información antedichas corresponderá al titular del Órgano de Apoyo a la Junta de Gobierno.</w:t>
      </w:r>
    </w:p>
    <w:p w:rsidR="0092635B" w:rsidRDefault="00000000">
      <w:pPr>
        <w:pStyle w:val="Prrafodelista"/>
        <w:numPr>
          <w:ilvl w:val="0"/>
          <w:numId w:val="59"/>
        </w:numPr>
        <w:tabs>
          <w:tab w:val="left" w:pos="1677"/>
        </w:tabs>
        <w:spacing w:before="4" w:line="249" w:lineRule="auto"/>
        <w:ind w:right="1104" w:firstLine="340"/>
        <w:jc w:val="both"/>
        <w:rPr>
          <w:sz w:val="20"/>
        </w:rPr>
      </w:pPr>
      <w:r>
        <w:rPr>
          <w:sz w:val="20"/>
        </w:rPr>
        <w:t>En los contratos que tengan por objeto la adquisición de bienes inmuebles, el importe de la adquisición podrá ser objeto de un aplazamiento de hasta cuatro años, con sujeción a los trámites previstos en la normativa reguladora de las Haciendas Locales para los compromisos de gastos futuros. Este aplazamiento también podrá ser utilizado para la adquisición de títulos representativos de la titularidad del capital de entidades que formen parte del sector público de la Entidad local para su reestructuración.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59"/>
        </w:numPr>
        <w:tabs>
          <w:tab w:val="left" w:pos="1791"/>
        </w:tabs>
        <w:spacing w:before="1" w:line="249" w:lineRule="auto"/>
        <w:ind w:right="1104" w:firstLine="340"/>
        <w:jc w:val="both"/>
        <w:rPr>
          <w:sz w:val="20"/>
        </w:rPr>
      </w:pPr>
      <w:r>
        <w:rPr>
          <w:sz w:val="20"/>
        </w:rPr>
        <w:t>Las Entidades Locales, sin perjuicio de la posibilidad de adherirse al sistema estatal de contratación centralizada y a las centrales de contratación de las Comunidades Autónomas y de otras Entidades Locales, tal y como prevé el apartado 3 del artículo 228, podrán adherirse también a las centrales de contratación que creen conforme a esta Ley las asociaciones de entidades locales a que se refiere la disposición adicional quinta de la Ley 7/1985, de 2 de abril, así como a las creadas por la Administración General del Estado.</w:t>
      </w:r>
    </w:p>
    <w:p w:rsidR="0092635B" w:rsidRDefault="00000000">
      <w:pPr>
        <w:pStyle w:val="Prrafodelista"/>
        <w:numPr>
          <w:ilvl w:val="0"/>
          <w:numId w:val="59"/>
        </w:numPr>
        <w:tabs>
          <w:tab w:val="left" w:pos="1786"/>
        </w:tabs>
        <w:spacing w:before="5" w:line="249" w:lineRule="auto"/>
        <w:ind w:firstLine="340"/>
        <w:jc w:val="both"/>
        <w:rPr>
          <w:sz w:val="20"/>
        </w:rPr>
      </w:pPr>
      <w:r>
        <w:rPr>
          <w:sz w:val="20"/>
        </w:rPr>
        <w:t>Los Municipios de población inferior a 20.000 habitantes podrán licitar contratos no sujetos a regulación armonizada de concesión de servicios que se refieran a la gestión de dos o más servicios públicos diferentes siempre y cuando la anualidad media del contrato no supere los 200.000 euros, y el órgano de contratación justifique en el expediente de contratación esta decisión en base a la necesidad objetiva de proceder a la gestión unificada de dichos servicios. En todo caso, el pliego de cláusulas administrativas particulares precisará el ámbito funcional y territorial del contrato de concesión de servicios.</w:t>
      </w:r>
    </w:p>
    <w:p w:rsidR="0092635B" w:rsidRDefault="0092635B">
      <w:pPr>
        <w:pStyle w:val="Textoindependiente"/>
        <w:ind w:left="0" w:firstLine="0"/>
        <w:jc w:val="left"/>
      </w:pPr>
    </w:p>
    <w:p w:rsidR="0092635B" w:rsidRDefault="00000000">
      <w:pPr>
        <w:ind w:left="1106"/>
        <w:rPr>
          <w:rFonts w:ascii="Arial" w:hAnsi="Arial"/>
          <w:i/>
          <w:sz w:val="20"/>
        </w:rPr>
      </w:pPr>
      <w:bookmarkStart w:id="591" w:name="Disposición_adicional_cuarta._Contratos_"/>
      <w:bookmarkEnd w:id="591"/>
      <w:r>
        <w:rPr>
          <w:rFonts w:ascii="Arial" w:hAnsi="Arial"/>
          <w:b/>
          <w:sz w:val="20"/>
        </w:rPr>
        <w:t>Disposición adicional cuarta.</w:t>
      </w:r>
      <w:r>
        <w:rPr>
          <w:rFonts w:ascii="Arial" w:hAnsi="Arial"/>
          <w:b/>
          <w:spacing w:val="54"/>
          <w:sz w:val="20"/>
        </w:rPr>
        <w:t xml:space="preserve"> </w:t>
      </w:r>
      <w:r>
        <w:rPr>
          <w:rFonts w:ascii="Arial" w:hAnsi="Arial"/>
          <w:i/>
          <w:sz w:val="20"/>
        </w:rPr>
        <w:t xml:space="preserve">Contratos </w:t>
      </w:r>
      <w:r>
        <w:rPr>
          <w:rFonts w:ascii="Arial" w:hAnsi="Arial"/>
          <w:i/>
          <w:spacing w:val="-2"/>
          <w:sz w:val="20"/>
        </w:rPr>
        <w:t>reservados.</w:t>
      </w:r>
    </w:p>
    <w:p w:rsidR="0092635B" w:rsidRDefault="00000000">
      <w:pPr>
        <w:pStyle w:val="Prrafodelista"/>
        <w:numPr>
          <w:ilvl w:val="0"/>
          <w:numId w:val="58"/>
        </w:numPr>
        <w:tabs>
          <w:tab w:val="left" w:pos="1679"/>
        </w:tabs>
        <w:spacing w:before="124" w:line="249" w:lineRule="auto"/>
        <w:ind w:firstLine="340"/>
        <w:jc w:val="both"/>
        <w:rPr>
          <w:sz w:val="20"/>
        </w:rPr>
      </w:pPr>
      <w:r>
        <w:rPr>
          <w:sz w:val="20"/>
        </w:rPr>
        <w:t>Mediante Acuerdo del Consejo de Ministros o del órgano competente en el ámbito de las Comunidades Autónomas y de las Entidades Locales, se fijarán porcentajes mínimos de reserva del derecho a participar en los procedimientos de adjudicación de determinados contratos o de determinados lotes de los mismos a Centros Especiales de Empleo de iniciativa social y a empresas de inserción reguladas, respectivamente, en el texto refundido de la Ley General de derechos de las personas con discapacidad y de su inclusión social, aprobada mediante Real Decreto Legislativo 1/2013, de 29 de noviembre, y en la Ley 44/2007, de 13 de diciembre, para la regulación del régimen de las empresas de inserción, que cumplan con los requisitos establecidos en dicha normativa para tener esta consideración, o un porcentaje mínimo de reserva de la ejecución de estos contratos en el marco de programas de empleo protegido, a condición de que el porcentaje de trabajadores con discapacidad o en situación de exclusión social de los Centros Especiales de Empleo,</w:t>
      </w:r>
      <w:r>
        <w:rPr>
          <w:spacing w:val="80"/>
          <w:sz w:val="20"/>
        </w:rPr>
        <w:t xml:space="preserve"> </w:t>
      </w:r>
      <w:r>
        <w:rPr>
          <w:sz w:val="20"/>
        </w:rPr>
        <w:t>de las empresas de inserción o de los programas sea el previsto en su normativa de referencia y, en todo caso, al menos del 30 por 100.</w:t>
      </w:r>
    </w:p>
    <w:p w:rsidR="0092635B" w:rsidRDefault="00000000">
      <w:pPr>
        <w:pStyle w:val="Textoindependiente"/>
        <w:spacing w:before="11" w:line="249" w:lineRule="auto"/>
        <w:ind w:right="1104"/>
      </w:pPr>
      <w:r>
        <w:t>En</w:t>
      </w:r>
      <w:r>
        <w:rPr>
          <w:spacing w:val="-2"/>
        </w:rPr>
        <w:t xml:space="preserve"> </w:t>
      </w:r>
      <w:r>
        <w:t>el</w:t>
      </w:r>
      <w:r>
        <w:rPr>
          <w:spacing w:val="-2"/>
        </w:rPr>
        <w:t xml:space="preserve"> </w:t>
      </w:r>
      <w:r>
        <w:t>referido</w:t>
      </w:r>
      <w:r>
        <w:rPr>
          <w:spacing w:val="-2"/>
        </w:rPr>
        <w:t xml:space="preserve"> </w:t>
      </w:r>
      <w:r>
        <w:t>Acuerdo</w:t>
      </w:r>
      <w:r>
        <w:rPr>
          <w:spacing w:val="-2"/>
        </w:rPr>
        <w:t xml:space="preserve"> </w:t>
      </w:r>
      <w:r>
        <w:t>del</w:t>
      </w:r>
      <w:r>
        <w:rPr>
          <w:spacing w:val="-2"/>
        </w:rPr>
        <w:t xml:space="preserve"> </w:t>
      </w:r>
      <w:r>
        <w:t>Consejo</w:t>
      </w:r>
      <w:r>
        <w:rPr>
          <w:spacing w:val="-2"/>
        </w:rPr>
        <w:t xml:space="preserve"> </w:t>
      </w:r>
      <w:r>
        <w:t>de</w:t>
      </w:r>
      <w:r>
        <w:rPr>
          <w:spacing w:val="-2"/>
        </w:rPr>
        <w:t xml:space="preserve"> </w:t>
      </w:r>
      <w:r>
        <w:t>Ministros</w:t>
      </w:r>
      <w:r>
        <w:rPr>
          <w:spacing w:val="-2"/>
        </w:rPr>
        <w:t xml:space="preserve"> </w:t>
      </w:r>
      <w:r>
        <w:t>o</w:t>
      </w:r>
      <w:r>
        <w:rPr>
          <w:spacing w:val="-2"/>
        </w:rPr>
        <w:t xml:space="preserve"> </w:t>
      </w:r>
      <w:r>
        <w:t>del</w:t>
      </w:r>
      <w:r>
        <w:rPr>
          <w:spacing w:val="-2"/>
        </w:rPr>
        <w:t xml:space="preserve"> </w:t>
      </w:r>
      <w:r>
        <w:t>órgano</w:t>
      </w:r>
      <w:r>
        <w:rPr>
          <w:spacing w:val="-2"/>
        </w:rPr>
        <w:t xml:space="preserve"> </w:t>
      </w:r>
      <w:r>
        <w:t>competente</w:t>
      </w:r>
      <w:r>
        <w:rPr>
          <w:spacing w:val="-2"/>
        </w:rPr>
        <w:t xml:space="preserve"> </w:t>
      </w:r>
      <w:r>
        <w:t>en</w:t>
      </w:r>
      <w:r>
        <w:rPr>
          <w:spacing w:val="-2"/>
        </w:rPr>
        <w:t xml:space="preserve"> </w:t>
      </w:r>
      <w:r>
        <w:t>el</w:t>
      </w:r>
      <w:r>
        <w:rPr>
          <w:spacing w:val="-2"/>
        </w:rPr>
        <w:t xml:space="preserve"> </w:t>
      </w:r>
      <w:r>
        <w:t>ámbito</w:t>
      </w:r>
      <w:r>
        <w:rPr>
          <w:spacing w:val="-2"/>
        </w:rPr>
        <w:t xml:space="preserve"> </w:t>
      </w:r>
      <w:r>
        <w:t>de las Comunidades Autónomas y de las Entidades Locales, se fijarán las condiciones mínimas para garantizar el cumplimiento de lo establecido en el párrafo anterior.</w:t>
      </w:r>
    </w:p>
    <w:p w:rsidR="0092635B" w:rsidRDefault="00000000">
      <w:pPr>
        <w:pStyle w:val="Textoindependiente"/>
        <w:spacing w:line="249" w:lineRule="auto"/>
        <w:ind w:right="1104"/>
      </w:pPr>
      <w:r>
        <w:t>El Acuerdo de Consejo de Ministros a que se refiere este apartado deberá adoptarse en el plazo máximo de un año a contar desde la entrada en vigor de esta Ley. Si transcurrido este plazo el Acuerdo de Consejo de Ministros no se hubiera adoptado, los órganos de contratación del sector público estatal deberán aplicar el porcentaje mínimo de reserva de 7 por ciento, que se incrementará hasta un 10 por ciento a los cuatro años de la entrada en vigor de esta Ley, sobre el importe global de los procedimientos de adjudicación de suministros y servicios incluidos en los códigos CPV recogidos en el anexo VI celebrados en el ejercicio anterior a aquel al que se refiera la reserva, en los términos indicados en el</w:t>
      </w:r>
      <w:r>
        <w:rPr>
          <w:spacing w:val="40"/>
        </w:rPr>
        <w:t xml:space="preserve"> </w:t>
      </w:r>
      <w:r>
        <w:t>primer párrafo de este apartado.</w:t>
      </w:r>
    </w:p>
    <w:p w:rsidR="0092635B" w:rsidRDefault="00000000">
      <w:pPr>
        <w:pStyle w:val="Prrafodelista"/>
        <w:numPr>
          <w:ilvl w:val="0"/>
          <w:numId w:val="58"/>
        </w:numPr>
        <w:tabs>
          <w:tab w:val="left" w:pos="1668"/>
        </w:tabs>
        <w:spacing w:before="8"/>
        <w:ind w:left="1668" w:right="0" w:hanging="222"/>
        <w:jc w:val="both"/>
        <w:rPr>
          <w:sz w:val="20"/>
        </w:rPr>
      </w:pPr>
      <w:r>
        <w:rPr>
          <w:sz w:val="20"/>
        </w:rPr>
        <w:t>En</w:t>
      </w:r>
      <w:r>
        <w:rPr>
          <w:spacing w:val="-7"/>
          <w:sz w:val="20"/>
        </w:rPr>
        <w:t xml:space="preserve"> </w:t>
      </w:r>
      <w:r>
        <w:rPr>
          <w:sz w:val="20"/>
        </w:rPr>
        <w:t>el</w:t>
      </w:r>
      <w:r>
        <w:rPr>
          <w:spacing w:val="-4"/>
          <w:sz w:val="20"/>
        </w:rPr>
        <w:t xml:space="preserve"> </w:t>
      </w:r>
      <w:r>
        <w:rPr>
          <w:sz w:val="20"/>
        </w:rPr>
        <w:t>anuncio</w:t>
      </w:r>
      <w:r>
        <w:rPr>
          <w:spacing w:val="-4"/>
          <w:sz w:val="20"/>
        </w:rPr>
        <w:t xml:space="preserve"> </w:t>
      </w:r>
      <w:r>
        <w:rPr>
          <w:sz w:val="20"/>
        </w:rPr>
        <w:t>de</w:t>
      </w:r>
      <w:r>
        <w:rPr>
          <w:spacing w:val="-4"/>
          <w:sz w:val="20"/>
        </w:rPr>
        <w:t xml:space="preserve"> </w:t>
      </w:r>
      <w:r>
        <w:rPr>
          <w:sz w:val="20"/>
        </w:rPr>
        <w:t>licitación</w:t>
      </w:r>
      <w:r>
        <w:rPr>
          <w:spacing w:val="-4"/>
          <w:sz w:val="20"/>
        </w:rPr>
        <w:t xml:space="preserve"> </w:t>
      </w:r>
      <w:r>
        <w:rPr>
          <w:sz w:val="20"/>
        </w:rPr>
        <w:t>deberá</w:t>
      </w:r>
      <w:r>
        <w:rPr>
          <w:spacing w:val="-5"/>
          <w:sz w:val="20"/>
        </w:rPr>
        <w:t xml:space="preserve"> </w:t>
      </w:r>
      <w:r>
        <w:rPr>
          <w:sz w:val="20"/>
        </w:rPr>
        <w:t>hacerse</w:t>
      </w:r>
      <w:r>
        <w:rPr>
          <w:spacing w:val="-4"/>
          <w:sz w:val="20"/>
        </w:rPr>
        <w:t xml:space="preserve"> </w:t>
      </w:r>
      <w:r>
        <w:rPr>
          <w:sz w:val="20"/>
        </w:rPr>
        <w:t>referencia</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presente</w:t>
      </w:r>
      <w:r>
        <w:rPr>
          <w:spacing w:val="-4"/>
          <w:sz w:val="20"/>
        </w:rPr>
        <w:t xml:space="preserve"> </w:t>
      </w:r>
      <w:r>
        <w:rPr>
          <w:spacing w:val="-2"/>
          <w:sz w:val="20"/>
        </w:rPr>
        <w:t>disposición.</w:t>
      </w:r>
    </w:p>
    <w:p w:rsidR="0092635B" w:rsidRDefault="00000000">
      <w:pPr>
        <w:pStyle w:val="Prrafodelista"/>
        <w:numPr>
          <w:ilvl w:val="0"/>
          <w:numId w:val="58"/>
        </w:numPr>
        <w:tabs>
          <w:tab w:val="left" w:pos="1678"/>
        </w:tabs>
        <w:spacing w:before="10" w:line="249" w:lineRule="auto"/>
        <w:ind w:firstLine="340"/>
        <w:jc w:val="both"/>
        <w:rPr>
          <w:sz w:val="20"/>
        </w:rPr>
      </w:pPr>
      <w:r>
        <w:rPr>
          <w:sz w:val="20"/>
        </w:rPr>
        <w:t xml:space="preserve">En los procedimientos de contratación en los que se aplique la reserva que establece esta disposición adicional no procederá la exigencia de la garantía definitiva a que se refiere el artículo 107 de esta Ley, salvo en los casos en los que el órgano de contratación, por motivos excepcionales, lo considere necesario y así lo justifique motivadamente en el </w:t>
      </w:r>
      <w:r>
        <w:rPr>
          <w:spacing w:val="-2"/>
          <w:sz w:val="20"/>
        </w:rPr>
        <w:t>expediente.</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592" w:name="Disposición_adicional_quinta._Publicació"/>
      <w:bookmarkEnd w:id="592"/>
      <w:r>
        <w:rPr>
          <w:rFonts w:ascii="Arial" w:hAnsi="Arial"/>
          <w:b/>
          <w:sz w:val="20"/>
        </w:rPr>
        <w:t>Disposición</w:t>
      </w:r>
      <w:r>
        <w:rPr>
          <w:rFonts w:ascii="Arial" w:hAnsi="Arial"/>
          <w:b/>
          <w:spacing w:val="-4"/>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quinta.</w:t>
      </w:r>
      <w:r>
        <w:rPr>
          <w:rFonts w:ascii="Arial" w:hAnsi="Arial"/>
          <w:b/>
          <w:spacing w:val="50"/>
          <w:sz w:val="20"/>
        </w:rPr>
        <w:t xml:space="preserve"> </w:t>
      </w:r>
      <w:r>
        <w:rPr>
          <w:rFonts w:ascii="Arial" w:hAnsi="Arial"/>
          <w:i/>
          <w:sz w:val="20"/>
        </w:rPr>
        <w:t>Publicación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anuncios.</w:t>
      </w:r>
    </w:p>
    <w:p w:rsidR="0092635B" w:rsidRDefault="00000000">
      <w:pPr>
        <w:pStyle w:val="Prrafodelista"/>
        <w:numPr>
          <w:ilvl w:val="0"/>
          <w:numId w:val="57"/>
        </w:numPr>
        <w:tabs>
          <w:tab w:val="left" w:pos="1685"/>
        </w:tabs>
        <w:spacing w:before="123" w:line="249" w:lineRule="auto"/>
        <w:ind w:right="1102" w:firstLine="340"/>
        <w:jc w:val="both"/>
        <w:rPr>
          <w:sz w:val="20"/>
        </w:rPr>
      </w:pPr>
      <w:r>
        <w:rPr>
          <w:sz w:val="20"/>
        </w:rPr>
        <w:t>Los anuncios de información previa, de publicación de información previa en el perfil de contratante, de licitación, de formalización, de concurso de proyectos, del resultado de concurso de proyectos, y de modificación, a que se refieren los artículos 134, 135, 154 y 186 y el apartado 3 del artículo 207, cuando vayan a ser publicados en el «Diario Oficial de la Unión</w:t>
      </w:r>
      <w:r>
        <w:rPr>
          <w:spacing w:val="-2"/>
          <w:sz w:val="20"/>
        </w:rPr>
        <w:t xml:space="preserve"> </w:t>
      </w:r>
      <w:r>
        <w:rPr>
          <w:sz w:val="20"/>
        </w:rPr>
        <w:t>Europea»,</w:t>
      </w:r>
      <w:r>
        <w:rPr>
          <w:spacing w:val="-2"/>
          <w:sz w:val="20"/>
        </w:rPr>
        <w:t xml:space="preserve"> </w:t>
      </w:r>
      <w:r>
        <w:rPr>
          <w:sz w:val="20"/>
        </w:rPr>
        <w:t>incluirán</w:t>
      </w:r>
      <w:r>
        <w:rPr>
          <w:spacing w:val="-2"/>
          <w:sz w:val="20"/>
        </w:rPr>
        <w:t xml:space="preserve"> </w:t>
      </w:r>
      <w:r>
        <w:rPr>
          <w:sz w:val="20"/>
        </w:rPr>
        <w:t>la</w:t>
      </w:r>
      <w:r>
        <w:rPr>
          <w:spacing w:val="-2"/>
          <w:sz w:val="20"/>
        </w:rPr>
        <w:t xml:space="preserve"> </w:t>
      </w:r>
      <w:r>
        <w:rPr>
          <w:sz w:val="20"/>
        </w:rPr>
        <w:t>información</w:t>
      </w:r>
      <w:r>
        <w:rPr>
          <w:spacing w:val="-2"/>
          <w:sz w:val="20"/>
        </w:rPr>
        <w:t xml:space="preserve"> </w:t>
      </w:r>
      <w:r>
        <w:rPr>
          <w:sz w:val="20"/>
        </w:rPr>
        <w:t>mencionada</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Anexo</w:t>
      </w:r>
      <w:r>
        <w:rPr>
          <w:spacing w:val="-2"/>
          <w:sz w:val="20"/>
        </w:rPr>
        <w:t xml:space="preserve"> </w:t>
      </w:r>
      <w:r>
        <w:rPr>
          <w:sz w:val="20"/>
        </w:rPr>
        <w:t>III,</w:t>
      </w:r>
      <w:r>
        <w:rPr>
          <w:spacing w:val="-2"/>
          <w:sz w:val="20"/>
        </w:rPr>
        <w:t xml:space="preserve"> </w:t>
      </w:r>
      <w:r>
        <w:rPr>
          <w:sz w:val="20"/>
        </w:rPr>
        <w:t>según</w:t>
      </w:r>
      <w:r>
        <w:rPr>
          <w:spacing w:val="-2"/>
          <w:sz w:val="20"/>
        </w:rPr>
        <w:t xml:space="preserve"> </w:t>
      </w:r>
      <w:r>
        <w:rPr>
          <w:sz w:val="20"/>
        </w:rPr>
        <w:t>el</w:t>
      </w:r>
      <w:r>
        <w:rPr>
          <w:spacing w:val="-2"/>
          <w:sz w:val="20"/>
        </w:rPr>
        <w:t xml:space="preserve"> </w:t>
      </w:r>
      <w:r>
        <w:rPr>
          <w:sz w:val="20"/>
        </w:rPr>
        <w:t>formato</w:t>
      </w:r>
      <w:r>
        <w:rPr>
          <w:spacing w:val="-2"/>
          <w:sz w:val="20"/>
        </w:rPr>
        <w:t xml:space="preserve"> </w:t>
      </w:r>
      <w:r>
        <w:rPr>
          <w:sz w:val="20"/>
        </w:rPr>
        <w:t>de</w:t>
      </w:r>
      <w:r>
        <w:rPr>
          <w:spacing w:val="-2"/>
          <w:sz w:val="20"/>
        </w:rPr>
        <w:t xml:space="preserve"> </w:t>
      </w:r>
      <w:r>
        <w:rPr>
          <w:sz w:val="20"/>
        </w:rPr>
        <w:t xml:space="preserve">los formularios normalizados correspondientes, incluidos aquellos destinados a la corrección de </w:t>
      </w:r>
      <w:r>
        <w:rPr>
          <w:spacing w:val="-2"/>
          <w:sz w:val="20"/>
        </w:rPr>
        <w:t>errores.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57"/>
        </w:numPr>
        <w:tabs>
          <w:tab w:val="left" w:pos="1696"/>
        </w:tabs>
        <w:spacing w:before="1" w:line="249" w:lineRule="auto"/>
        <w:ind w:right="1104" w:firstLine="340"/>
        <w:jc w:val="both"/>
        <w:rPr>
          <w:sz w:val="20"/>
        </w:rPr>
      </w:pPr>
      <w:r>
        <w:rPr>
          <w:sz w:val="20"/>
        </w:rPr>
        <w:t>Los órganos de contratación que vayan a publicar en el «Diario Oficial de la Unión Europea» un anuncio de los referidos en el apartado primero, deberán enviarlo por medios electrónicos a la Oficina de Publicaciones de la Unión Europea, la cual confirmará al órgano de</w:t>
      </w:r>
      <w:r>
        <w:rPr>
          <w:spacing w:val="-2"/>
          <w:sz w:val="20"/>
        </w:rPr>
        <w:t xml:space="preserve"> </w:t>
      </w:r>
      <w:r>
        <w:rPr>
          <w:sz w:val="20"/>
        </w:rPr>
        <w:t>contratación</w:t>
      </w:r>
      <w:r>
        <w:rPr>
          <w:spacing w:val="-2"/>
          <w:sz w:val="20"/>
        </w:rPr>
        <w:t xml:space="preserve"> </w:t>
      </w:r>
      <w:r>
        <w:rPr>
          <w:sz w:val="20"/>
        </w:rPr>
        <w:t>la</w:t>
      </w:r>
      <w:r>
        <w:rPr>
          <w:spacing w:val="-2"/>
          <w:sz w:val="20"/>
        </w:rPr>
        <w:t xml:space="preserve"> </w:t>
      </w:r>
      <w:r>
        <w:rPr>
          <w:sz w:val="20"/>
        </w:rPr>
        <w:t>recepción</w:t>
      </w:r>
      <w:r>
        <w:rPr>
          <w:spacing w:val="-2"/>
          <w:sz w:val="20"/>
        </w:rPr>
        <w:t xml:space="preserve"> </w:t>
      </w:r>
      <w:r>
        <w:rPr>
          <w:sz w:val="20"/>
        </w:rPr>
        <w:t>del</w:t>
      </w:r>
      <w:r>
        <w:rPr>
          <w:spacing w:val="-2"/>
          <w:sz w:val="20"/>
        </w:rPr>
        <w:t xml:space="preserve"> </w:t>
      </w:r>
      <w:r>
        <w:rPr>
          <w:sz w:val="20"/>
        </w:rPr>
        <w:t>mismo.</w:t>
      </w:r>
      <w:r>
        <w:rPr>
          <w:spacing w:val="-2"/>
          <w:sz w:val="20"/>
        </w:rPr>
        <w:t xml:space="preserve"> </w:t>
      </w:r>
      <w:r>
        <w:rPr>
          <w:sz w:val="20"/>
        </w:rPr>
        <w:t>Una</w:t>
      </w:r>
      <w:r>
        <w:rPr>
          <w:spacing w:val="-2"/>
          <w:sz w:val="20"/>
        </w:rPr>
        <w:t xml:space="preserve"> </w:t>
      </w:r>
      <w:r>
        <w:rPr>
          <w:sz w:val="20"/>
        </w:rPr>
        <w:t>vez</w:t>
      </w:r>
      <w:r>
        <w:rPr>
          <w:spacing w:val="-2"/>
          <w:sz w:val="20"/>
        </w:rPr>
        <w:t xml:space="preserve"> </w:t>
      </w:r>
      <w:r>
        <w:rPr>
          <w:sz w:val="20"/>
        </w:rPr>
        <w:t>publicado</w:t>
      </w:r>
      <w:r>
        <w:rPr>
          <w:spacing w:val="-2"/>
          <w:sz w:val="20"/>
        </w:rPr>
        <w:t xml:space="preserve"> </w:t>
      </w:r>
      <w:r>
        <w:rPr>
          <w:sz w:val="20"/>
        </w:rPr>
        <w:t>el</w:t>
      </w:r>
      <w:r>
        <w:rPr>
          <w:spacing w:val="-2"/>
          <w:sz w:val="20"/>
        </w:rPr>
        <w:t xml:space="preserve"> </w:t>
      </w:r>
      <w:r>
        <w:rPr>
          <w:sz w:val="20"/>
        </w:rPr>
        <w:t>anuncio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«Diario</w:t>
      </w:r>
      <w:r>
        <w:rPr>
          <w:spacing w:val="-2"/>
          <w:sz w:val="20"/>
        </w:rPr>
        <w:t xml:space="preserve"> </w:t>
      </w:r>
      <w:r>
        <w:rPr>
          <w:sz w:val="20"/>
        </w:rPr>
        <w:t>Oficial</w:t>
      </w:r>
      <w:r>
        <w:rPr>
          <w:spacing w:val="-2"/>
          <w:sz w:val="20"/>
        </w:rPr>
        <w:t xml:space="preserve"> </w:t>
      </w:r>
      <w:r>
        <w:rPr>
          <w:sz w:val="20"/>
        </w:rPr>
        <w:t xml:space="preserve">de la Unión Europea» el órgano de contratación recibirá una notificación de la publicación que servirá de prueba de esta última. Asimismo los órganos de contratación deberán poder demostrar la fecha de envío de los anuncios a la Oficina de Publicaciones de la Unión </w:t>
      </w:r>
      <w:r>
        <w:rPr>
          <w:spacing w:val="-2"/>
          <w:sz w:val="20"/>
        </w:rPr>
        <w:t>Europea.</w:t>
      </w:r>
    </w:p>
    <w:p w:rsidR="0092635B" w:rsidRDefault="00000000">
      <w:pPr>
        <w:pStyle w:val="Prrafodelista"/>
        <w:numPr>
          <w:ilvl w:val="0"/>
          <w:numId w:val="57"/>
        </w:numPr>
        <w:tabs>
          <w:tab w:val="left" w:pos="1707"/>
        </w:tabs>
        <w:spacing w:before="6" w:line="249" w:lineRule="auto"/>
        <w:ind w:firstLine="340"/>
        <w:jc w:val="both"/>
        <w:rPr>
          <w:sz w:val="20"/>
        </w:rPr>
      </w:pPr>
      <w:r>
        <w:rPr>
          <w:sz w:val="20"/>
        </w:rPr>
        <w:t>Cuando los anuncios a que se refiere el apartado primero, excepto el anuncio de modificación, se publiquen a nivel nacional, estos deberán contener, además de la información indicada en este artículo, la fecha de envío del anuncio a la Oficina de Publicaciones de la Unión Europea o de su publicación en el perfil de contratante del órgano de contratación, según proceda en cada caso.</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593" w:name="Disposición_adicional_sexta._Disposicion"/>
      <w:bookmarkEnd w:id="593"/>
      <w:r>
        <w:rPr>
          <w:rFonts w:ascii="Arial" w:hAnsi="Arial"/>
          <w:b/>
          <w:sz w:val="20"/>
        </w:rPr>
        <w:t>Disposición adicional sexta.</w:t>
      </w:r>
      <w:r>
        <w:rPr>
          <w:rFonts w:ascii="Arial" w:hAnsi="Arial"/>
          <w:b/>
          <w:spacing w:val="54"/>
          <w:sz w:val="20"/>
        </w:rPr>
        <w:t xml:space="preserve"> </w:t>
      </w:r>
      <w:r>
        <w:rPr>
          <w:rFonts w:ascii="Arial" w:hAnsi="Arial"/>
          <w:i/>
          <w:sz w:val="20"/>
        </w:rPr>
        <w:t xml:space="preserve">Disposiciones aplicables a las Universidades </w:t>
      </w:r>
      <w:r>
        <w:rPr>
          <w:rFonts w:ascii="Arial" w:hAnsi="Arial"/>
          <w:i/>
          <w:spacing w:val="-2"/>
          <w:sz w:val="20"/>
        </w:rPr>
        <w:t>Públicas.</w:t>
      </w:r>
    </w:p>
    <w:p w:rsidR="0092635B" w:rsidRDefault="00000000">
      <w:pPr>
        <w:pStyle w:val="Prrafodelista"/>
        <w:numPr>
          <w:ilvl w:val="0"/>
          <w:numId w:val="56"/>
        </w:numPr>
        <w:tabs>
          <w:tab w:val="left" w:pos="1694"/>
        </w:tabs>
        <w:spacing w:before="124" w:line="249" w:lineRule="auto"/>
        <w:ind w:firstLine="340"/>
        <w:jc w:val="both"/>
        <w:rPr>
          <w:sz w:val="20"/>
        </w:rPr>
      </w:pPr>
      <w:r>
        <w:rPr>
          <w:sz w:val="20"/>
        </w:rPr>
        <w:t>A efectos de lo establecido en el apartado 2 del artículo 80, para los contratos que adjudiquen las Universidades Públicas dependientes de las Comunidades Autónomas, surtirán efecto los acuerdos de clasificación y revisión de clasificaciones adoptados por los correspondientes órganos de la Comunidad Autónoma respectiva.</w:t>
      </w:r>
    </w:p>
    <w:p w:rsidR="0092635B" w:rsidRDefault="00000000">
      <w:pPr>
        <w:pStyle w:val="Prrafodelista"/>
        <w:numPr>
          <w:ilvl w:val="0"/>
          <w:numId w:val="56"/>
        </w:numPr>
        <w:tabs>
          <w:tab w:val="left" w:pos="1688"/>
        </w:tabs>
        <w:spacing w:before="3" w:line="249" w:lineRule="auto"/>
        <w:ind w:right="1104" w:firstLine="340"/>
        <w:jc w:val="both"/>
        <w:rPr>
          <w:sz w:val="20"/>
        </w:rPr>
      </w:pPr>
      <w:r>
        <w:rPr>
          <w:sz w:val="20"/>
        </w:rPr>
        <w:t>No será exigible la clasificación a las Universidades Públicas para ser adjudicatarias de contratos en los supuestos a que se refiere el apartado 1 del artículo 83 de la Ley Orgánica 6/2001, de 21 de diciembre, de Universidades.</w:t>
      </w:r>
    </w:p>
    <w:p w:rsidR="0092635B" w:rsidRDefault="00000000">
      <w:pPr>
        <w:spacing w:before="229"/>
        <w:ind w:left="1106"/>
        <w:rPr>
          <w:rFonts w:ascii="Arial" w:hAnsi="Arial"/>
          <w:i/>
          <w:sz w:val="20"/>
        </w:rPr>
      </w:pPr>
      <w:bookmarkStart w:id="594" w:name="Disposición_adicional_séptima._Bienes_in"/>
      <w:bookmarkEnd w:id="594"/>
      <w:r>
        <w:rPr>
          <w:rFonts w:ascii="Arial" w:hAnsi="Arial"/>
          <w:b/>
          <w:sz w:val="20"/>
        </w:rPr>
        <w:t>Disposición</w:t>
      </w:r>
      <w:r>
        <w:rPr>
          <w:rFonts w:ascii="Arial" w:hAnsi="Arial"/>
          <w:b/>
          <w:spacing w:val="-3"/>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séptima.</w:t>
      </w:r>
      <w:r>
        <w:rPr>
          <w:rFonts w:ascii="Arial" w:hAnsi="Arial"/>
          <w:b/>
          <w:spacing w:val="50"/>
          <w:sz w:val="20"/>
        </w:rPr>
        <w:t xml:space="preserve"> </w:t>
      </w:r>
      <w:r>
        <w:rPr>
          <w:rFonts w:ascii="Arial" w:hAnsi="Arial"/>
          <w:i/>
          <w:sz w:val="20"/>
        </w:rPr>
        <w:t>Bienes</w:t>
      </w:r>
      <w:r>
        <w:rPr>
          <w:rFonts w:ascii="Arial" w:hAnsi="Arial"/>
          <w:i/>
          <w:spacing w:val="-2"/>
          <w:sz w:val="20"/>
        </w:rPr>
        <w:t xml:space="preserve"> </w:t>
      </w:r>
      <w:r>
        <w:rPr>
          <w:rFonts w:ascii="Arial" w:hAnsi="Arial"/>
          <w:i/>
          <w:sz w:val="20"/>
        </w:rPr>
        <w:t>integrantes</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Patrimonio</w:t>
      </w:r>
      <w:r>
        <w:rPr>
          <w:rFonts w:ascii="Arial" w:hAnsi="Arial"/>
          <w:i/>
          <w:spacing w:val="-2"/>
          <w:sz w:val="20"/>
        </w:rPr>
        <w:t xml:space="preserve"> </w:t>
      </w:r>
      <w:r>
        <w:rPr>
          <w:rFonts w:ascii="Arial" w:hAnsi="Arial"/>
          <w:i/>
          <w:sz w:val="20"/>
        </w:rPr>
        <w:t>Histórico</w:t>
      </w:r>
      <w:r>
        <w:rPr>
          <w:rFonts w:ascii="Arial" w:hAnsi="Arial"/>
          <w:i/>
          <w:spacing w:val="-2"/>
          <w:sz w:val="20"/>
        </w:rPr>
        <w:t xml:space="preserve"> Español.</w:t>
      </w:r>
    </w:p>
    <w:p w:rsidR="0092635B" w:rsidRDefault="00000000">
      <w:pPr>
        <w:pStyle w:val="Textoindependiente"/>
        <w:spacing w:before="123" w:line="249" w:lineRule="auto"/>
        <w:ind w:right="1105"/>
      </w:pPr>
      <w:r>
        <w:t>La adquisición de bienes muebles integrantes del Patrimonio Histórico Español se regulará por su normativa específica.</w:t>
      </w:r>
    </w:p>
    <w:p w:rsidR="0092635B" w:rsidRDefault="00000000">
      <w:pPr>
        <w:tabs>
          <w:tab w:val="left" w:pos="4249"/>
        </w:tabs>
        <w:spacing w:before="229" w:line="249" w:lineRule="auto"/>
        <w:ind w:left="1106" w:right="1120" w:hanging="1"/>
        <w:rPr>
          <w:rFonts w:ascii="Arial" w:hAnsi="Arial"/>
          <w:i/>
          <w:sz w:val="20"/>
        </w:rPr>
      </w:pPr>
      <w:bookmarkStart w:id="595" w:name="Disposición_adicional_octava._Contratos_"/>
      <w:bookmarkEnd w:id="595"/>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octava.</w:t>
      </w:r>
      <w:r>
        <w:rPr>
          <w:rFonts w:ascii="Arial" w:hAnsi="Arial"/>
          <w:b/>
          <w:sz w:val="20"/>
        </w:rPr>
        <w:tab/>
      </w:r>
      <w:r>
        <w:rPr>
          <w:rFonts w:ascii="Arial" w:hAnsi="Arial"/>
          <w:i/>
          <w:sz w:val="20"/>
        </w:rPr>
        <w:t>Contratos</w:t>
      </w:r>
      <w:r>
        <w:rPr>
          <w:rFonts w:ascii="Arial" w:hAnsi="Arial"/>
          <w:i/>
          <w:spacing w:val="40"/>
          <w:sz w:val="20"/>
        </w:rPr>
        <w:t xml:space="preserve"> </w:t>
      </w:r>
      <w:r>
        <w:rPr>
          <w:rFonts w:ascii="Arial" w:hAnsi="Arial"/>
          <w:i/>
          <w:sz w:val="20"/>
        </w:rPr>
        <w:t>celebrados</w:t>
      </w:r>
      <w:r>
        <w:rPr>
          <w:rFonts w:ascii="Arial" w:hAnsi="Arial"/>
          <w:i/>
          <w:spacing w:val="40"/>
          <w:sz w:val="20"/>
        </w:rPr>
        <w:t xml:space="preserve"> </w:t>
      </w:r>
      <w:r>
        <w:rPr>
          <w:rFonts w:ascii="Arial" w:hAnsi="Arial"/>
          <w:i/>
          <w:sz w:val="20"/>
        </w:rPr>
        <w:t>en</w:t>
      </w:r>
      <w:r>
        <w:rPr>
          <w:rFonts w:ascii="Arial" w:hAnsi="Arial"/>
          <w:i/>
          <w:spacing w:val="40"/>
          <w:sz w:val="20"/>
        </w:rPr>
        <w:t xml:space="preserve"> </w:t>
      </w:r>
      <w:r>
        <w:rPr>
          <w:rFonts w:ascii="Arial" w:hAnsi="Arial"/>
          <w:i/>
          <w:sz w:val="20"/>
        </w:rPr>
        <w:t>los</w:t>
      </w:r>
      <w:r>
        <w:rPr>
          <w:rFonts w:ascii="Arial" w:hAnsi="Arial"/>
          <w:i/>
          <w:spacing w:val="40"/>
          <w:sz w:val="20"/>
        </w:rPr>
        <w:t xml:space="preserve"> </w:t>
      </w:r>
      <w:r>
        <w:rPr>
          <w:rFonts w:ascii="Arial" w:hAnsi="Arial"/>
          <w:i/>
          <w:sz w:val="20"/>
        </w:rPr>
        <w:t>sectores</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agua,</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 energía, de los transportes y de los servicios postales.</w:t>
      </w:r>
    </w:p>
    <w:p w:rsidR="0092635B" w:rsidRDefault="00000000">
      <w:pPr>
        <w:pStyle w:val="Prrafodelista"/>
        <w:numPr>
          <w:ilvl w:val="0"/>
          <w:numId w:val="55"/>
        </w:numPr>
        <w:tabs>
          <w:tab w:val="left" w:pos="1707"/>
        </w:tabs>
        <w:spacing w:before="115" w:line="249" w:lineRule="auto"/>
        <w:ind w:firstLine="340"/>
        <w:jc w:val="both"/>
        <w:rPr>
          <w:sz w:val="20"/>
        </w:rPr>
      </w:pPr>
      <w:r>
        <w:rPr>
          <w:sz w:val="20"/>
        </w:rPr>
        <w:t>La adjudicación de los contratos de las Administraciones Públicas que tengan por objeto alguna de las actividades enumeradas en el ámbito de aplicación objetiva de la legislación vigente sobre procedimientos de contratación en los sectores del agua, la</w:t>
      </w:r>
      <w:r>
        <w:rPr>
          <w:spacing w:val="40"/>
          <w:sz w:val="20"/>
        </w:rPr>
        <w:t xml:space="preserve"> </w:t>
      </w:r>
      <w:r>
        <w:rPr>
          <w:sz w:val="20"/>
        </w:rPr>
        <w:t>energía, los transportes y los servicios postales, se regirá por la presente ley, resultando de aplicación la mencionada legislación vigente únicamente para determinar qué contratos tendrán la consideración de contratos sujetos a regulación armonizada. No obstante, será de aplicación a la adjudicación de dichos contratos el artículo 70 del Real Decreto-ley 3/2020,</w:t>
      </w:r>
      <w:r>
        <w:rPr>
          <w:spacing w:val="40"/>
          <w:sz w:val="20"/>
        </w:rPr>
        <w:t xml:space="preserve"> </w:t>
      </w:r>
      <w:r>
        <w:rPr>
          <w:sz w:val="20"/>
        </w:rPr>
        <w:t>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w:t>
      </w:r>
    </w:p>
    <w:p w:rsidR="0092635B" w:rsidRDefault="00000000">
      <w:pPr>
        <w:pStyle w:val="Prrafodelista"/>
        <w:numPr>
          <w:ilvl w:val="0"/>
          <w:numId w:val="55"/>
        </w:numPr>
        <w:tabs>
          <w:tab w:val="left" w:pos="1705"/>
        </w:tabs>
        <w:spacing w:before="9" w:line="249" w:lineRule="auto"/>
        <w:ind w:right="1102" w:firstLine="340"/>
        <w:jc w:val="both"/>
        <w:rPr>
          <w:sz w:val="20"/>
        </w:rPr>
      </w:pPr>
      <w:r>
        <w:rPr>
          <w:sz w:val="20"/>
        </w:rPr>
        <w:t>La adjudicación por las entidades del sector público que no tengan el carácter de Administraciones Públicas de contratos que tengan por objeto alguna de las actividades enumeradas en el ámbito de aplicación objetiva de la legislación vigente sobre procedimientos de contratación en los sectores del agua, la energía, los transportes y los servicios postales, se regirá por dicha legislación, salvo que una Ley sujete estos contratos</w:t>
      </w:r>
      <w:r>
        <w:rPr>
          <w:spacing w:val="80"/>
          <w:sz w:val="20"/>
        </w:rPr>
        <w:t xml:space="preserve"> </w:t>
      </w:r>
      <w:r>
        <w:rPr>
          <w:sz w:val="20"/>
        </w:rPr>
        <w:t>al régimen previsto en la presente Ley, en cuyo caso se les aplicarán las normas previstas para los contratos sujetos a regulación armonizada.</w:t>
      </w:r>
    </w:p>
    <w:p w:rsidR="0092635B" w:rsidRDefault="00000000">
      <w:pPr>
        <w:pStyle w:val="Textoindependiente"/>
        <w:spacing w:before="6" w:line="249" w:lineRule="auto"/>
        <w:ind w:right="1104"/>
      </w:pPr>
      <w:r>
        <w:t>A los contratos destinados a la realización de varias actividades en los que al menos una de ellas esté comprendida en el ámbito de la Ley sobre procedimientos de contratación en los sectores del agua, la energía, los transportes y los servicios postales, se les aplicará el régimen jurídico de la actividad a la que se destinen principalmente.</w:t>
      </w:r>
    </w:p>
    <w:p w:rsidR="0092635B" w:rsidRDefault="00000000">
      <w:pPr>
        <w:pStyle w:val="Textoindependiente"/>
        <w:spacing w:before="3" w:line="249" w:lineRule="auto"/>
        <w:ind w:right="1104"/>
      </w:pPr>
      <w:r>
        <w:t>En el supuesto de que no fuera objetivamente posible determinar a qué actividad se destina principalmente el contrato, se aplicará la presente Ley.</w:t>
      </w:r>
    </w:p>
    <w:p w:rsidR="0092635B" w:rsidRDefault="00000000">
      <w:pPr>
        <w:pStyle w:val="Textoindependiente"/>
        <w:spacing w:line="249" w:lineRule="auto"/>
        <w:ind w:right="1103"/>
      </w:pPr>
      <w:r>
        <w:t>Los contratos excluidos de la aplicación de la legislación vigente sobre procedimientos</w:t>
      </w:r>
      <w:r>
        <w:rPr>
          <w:spacing w:val="40"/>
        </w:rPr>
        <w:t xml:space="preserve"> </w:t>
      </w:r>
      <w:r>
        <w:t>de contratación en los sectores del agua, la energía, los transportes y los servicios postales, que se celebren en los sectores del agua, la energía, los transportes y los servicios postales por</w:t>
      </w:r>
      <w:r>
        <w:rPr>
          <w:spacing w:val="5"/>
        </w:rPr>
        <w:t xml:space="preserve"> </w:t>
      </w:r>
      <w:r>
        <w:t>las</w:t>
      </w:r>
      <w:r>
        <w:rPr>
          <w:spacing w:val="6"/>
        </w:rPr>
        <w:t xml:space="preserve"> </w:t>
      </w:r>
      <w:r>
        <w:t>entidades</w:t>
      </w:r>
      <w:r>
        <w:rPr>
          <w:spacing w:val="5"/>
        </w:rPr>
        <w:t xml:space="preserve"> </w:t>
      </w:r>
      <w:r>
        <w:t>del</w:t>
      </w:r>
      <w:r>
        <w:rPr>
          <w:spacing w:val="6"/>
        </w:rPr>
        <w:t xml:space="preserve"> </w:t>
      </w:r>
      <w:r>
        <w:t>sector</w:t>
      </w:r>
      <w:r>
        <w:rPr>
          <w:spacing w:val="6"/>
        </w:rPr>
        <w:t xml:space="preserve"> </w:t>
      </w:r>
      <w:r>
        <w:t>público</w:t>
      </w:r>
      <w:r>
        <w:rPr>
          <w:spacing w:val="5"/>
        </w:rPr>
        <w:t xml:space="preserve"> </w:t>
      </w:r>
      <w:r>
        <w:t>que</w:t>
      </w:r>
      <w:r>
        <w:rPr>
          <w:spacing w:val="6"/>
        </w:rPr>
        <w:t xml:space="preserve"> </w:t>
      </w:r>
      <w:r>
        <w:t>no</w:t>
      </w:r>
      <w:r>
        <w:rPr>
          <w:spacing w:val="5"/>
        </w:rPr>
        <w:t xml:space="preserve"> </w:t>
      </w:r>
      <w:r>
        <w:t>tengan</w:t>
      </w:r>
      <w:r>
        <w:rPr>
          <w:spacing w:val="6"/>
        </w:rPr>
        <w:t xml:space="preserve"> </w:t>
      </w:r>
      <w:r>
        <w:t>el</w:t>
      </w:r>
      <w:r>
        <w:rPr>
          <w:spacing w:val="6"/>
        </w:rPr>
        <w:t xml:space="preserve"> </w:t>
      </w:r>
      <w:r>
        <w:t>carácter</w:t>
      </w:r>
      <w:r>
        <w:rPr>
          <w:spacing w:val="5"/>
        </w:rPr>
        <w:t xml:space="preserve"> </w:t>
      </w:r>
      <w:r>
        <w:t>de</w:t>
      </w:r>
      <w:r>
        <w:rPr>
          <w:spacing w:val="6"/>
        </w:rPr>
        <w:t xml:space="preserve"> </w:t>
      </w:r>
      <w:r>
        <w:t>Administraciones</w:t>
      </w:r>
      <w:r>
        <w:rPr>
          <w:spacing w:val="6"/>
        </w:rPr>
        <w:t xml:space="preserve"> </w:t>
      </w:r>
      <w:r>
        <w:rPr>
          <w:spacing w:val="-2"/>
        </w:rPr>
        <w:t>Públicas,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hanging="1"/>
      </w:pPr>
      <w:r>
        <w:t>se regirán por las disposiciones pertinentes de la presente Ley, sin que les sean aplicables, en ningún caso, las normas que en esta se establecen exclusivamente para los contratos sujetos a regulación armonizada.</w:t>
      </w:r>
    </w:p>
    <w:p w:rsidR="0092635B" w:rsidRDefault="00000000">
      <w:pPr>
        <w:pStyle w:val="Prrafodelista"/>
        <w:numPr>
          <w:ilvl w:val="0"/>
          <w:numId w:val="55"/>
        </w:numPr>
        <w:tabs>
          <w:tab w:val="left" w:pos="1721"/>
        </w:tabs>
        <w:spacing w:line="249" w:lineRule="auto"/>
        <w:ind w:firstLine="340"/>
        <w:jc w:val="both"/>
        <w:rPr>
          <w:sz w:val="20"/>
        </w:rPr>
      </w:pPr>
      <w:r>
        <w:rPr>
          <w:sz w:val="20"/>
        </w:rPr>
        <w:t>La adjudicación de los contratos que celebren las entidades a que se refiere el apartado anterior, que no tengan por objeto alguna de las actividades enumeradas en el ámbito de aplicación objetiva de la legislación vigente sobre procedimientos de contratación en</w:t>
      </w:r>
      <w:r>
        <w:rPr>
          <w:spacing w:val="-1"/>
          <w:sz w:val="20"/>
        </w:rPr>
        <w:t xml:space="preserve"> </w:t>
      </w:r>
      <w:r>
        <w:rPr>
          <w:sz w:val="20"/>
        </w:rPr>
        <w:t>los</w:t>
      </w:r>
      <w:r>
        <w:rPr>
          <w:spacing w:val="-1"/>
          <w:sz w:val="20"/>
        </w:rPr>
        <w:t xml:space="preserve"> </w:t>
      </w:r>
      <w:r>
        <w:rPr>
          <w:sz w:val="20"/>
        </w:rPr>
        <w:t>sectores</w:t>
      </w:r>
      <w:r>
        <w:rPr>
          <w:spacing w:val="-1"/>
          <w:sz w:val="20"/>
        </w:rPr>
        <w:t xml:space="preserve"> </w:t>
      </w:r>
      <w:r>
        <w:rPr>
          <w:sz w:val="20"/>
        </w:rPr>
        <w:t>del</w:t>
      </w:r>
      <w:r>
        <w:rPr>
          <w:spacing w:val="-1"/>
          <w:sz w:val="20"/>
        </w:rPr>
        <w:t xml:space="preserve"> </w:t>
      </w:r>
      <w:r>
        <w:rPr>
          <w:sz w:val="20"/>
        </w:rPr>
        <w:t>agua,</w:t>
      </w:r>
      <w:r>
        <w:rPr>
          <w:spacing w:val="-1"/>
          <w:sz w:val="20"/>
        </w:rPr>
        <w:t xml:space="preserve"> </w:t>
      </w:r>
      <w:r>
        <w:rPr>
          <w:sz w:val="20"/>
        </w:rPr>
        <w:t>la</w:t>
      </w:r>
      <w:r>
        <w:rPr>
          <w:spacing w:val="-1"/>
          <w:sz w:val="20"/>
        </w:rPr>
        <w:t xml:space="preserve"> </w:t>
      </w:r>
      <w:r>
        <w:rPr>
          <w:sz w:val="20"/>
        </w:rPr>
        <w:t>energía,</w:t>
      </w:r>
      <w:r>
        <w:rPr>
          <w:spacing w:val="-1"/>
          <w:sz w:val="20"/>
        </w:rPr>
        <w:t xml:space="preserve"> </w:t>
      </w:r>
      <w:r>
        <w:rPr>
          <w:sz w:val="20"/>
        </w:rPr>
        <w:t>los</w:t>
      </w:r>
      <w:r>
        <w:rPr>
          <w:spacing w:val="-1"/>
          <w:sz w:val="20"/>
        </w:rPr>
        <w:t xml:space="preserve"> </w:t>
      </w:r>
      <w:r>
        <w:rPr>
          <w:sz w:val="20"/>
        </w:rPr>
        <w:t>transportes</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servicios</w:t>
      </w:r>
      <w:r>
        <w:rPr>
          <w:spacing w:val="-1"/>
          <w:sz w:val="20"/>
        </w:rPr>
        <w:t xml:space="preserve"> </w:t>
      </w:r>
      <w:r>
        <w:rPr>
          <w:sz w:val="20"/>
        </w:rPr>
        <w:t>postales,</w:t>
      </w:r>
      <w:r>
        <w:rPr>
          <w:spacing w:val="-1"/>
          <w:sz w:val="20"/>
        </w:rPr>
        <w:t xml:space="preserve"> </w:t>
      </w:r>
      <w:r>
        <w:rPr>
          <w:sz w:val="20"/>
        </w:rPr>
        <w:t>se</w:t>
      </w:r>
      <w:r>
        <w:rPr>
          <w:spacing w:val="-1"/>
          <w:sz w:val="20"/>
        </w:rPr>
        <w:t xml:space="preserve"> </w:t>
      </w:r>
      <w:r>
        <w:rPr>
          <w:sz w:val="20"/>
        </w:rPr>
        <w:t>regirán</w:t>
      </w:r>
      <w:r>
        <w:rPr>
          <w:spacing w:val="-1"/>
          <w:sz w:val="20"/>
        </w:rPr>
        <w:t xml:space="preserve"> </w:t>
      </w:r>
      <w:r>
        <w:rPr>
          <w:sz w:val="20"/>
        </w:rPr>
        <w:t>por</w:t>
      </w:r>
      <w:r>
        <w:rPr>
          <w:spacing w:val="-1"/>
          <w:sz w:val="20"/>
        </w:rPr>
        <w:t xml:space="preserve"> </w:t>
      </w:r>
      <w:r>
        <w:rPr>
          <w:sz w:val="20"/>
        </w:rPr>
        <w:t>lo establecido en la presente Ley, en los términos establecidos en la misma.</w:t>
      </w:r>
    </w:p>
    <w:p w:rsidR="0092635B" w:rsidRDefault="0092635B">
      <w:pPr>
        <w:pStyle w:val="Textoindependiente"/>
        <w:spacing w:before="1"/>
        <w:ind w:left="0" w:firstLine="0"/>
        <w:jc w:val="left"/>
      </w:pPr>
    </w:p>
    <w:p w:rsidR="0092635B" w:rsidRDefault="00000000">
      <w:pPr>
        <w:spacing w:line="249" w:lineRule="auto"/>
        <w:ind w:left="1106" w:right="1120"/>
        <w:rPr>
          <w:rFonts w:ascii="Arial" w:hAnsi="Arial"/>
          <w:i/>
          <w:sz w:val="20"/>
        </w:rPr>
      </w:pPr>
      <w:bookmarkStart w:id="596" w:name="Disposición_adicional_novena._Normas_esp"/>
      <w:bookmarkEnd w:id="596"/>
      <w:r>
        <w:rPr>
          <w:rFonts w:ascii="Arial" w:hAnsi="Arial"/>
          <w:b/>
          <w:sz w:val="20"/>
        </w:rPr>
        <w:t>Disposición</w:t>
      </w:r>
      <w:r>
        <w:rPr>
          <w:rFonts w:ascii="Arial" w:hAnsi="Arial"/>
          <w:b/>
          <w:spacing w:val="-3"/>
          <w:sz w:val="20"/>
        </w:rPr>
        <w:t xml:space="preserve"> </w:t>
      </w:r>
      <w:r>
        <w:rPr>
          <w:rFonts w:ascii="Arial" w:hAnsi="Arial"/>
          <w:b/>
          <w:sz w:val="20"/>
        </w:rPr>
        <w:t>adicional</w:t>
      </w:r>
      <w:r>
        <w:rPr>
          <w:rFonts w:ascii="Arial" w:hAnsi="Arial"/>
          <w:b/>
          <w:spacing w:val="-3"/>
          <w:sz w:val="20"/>
        </w:rPr>
        <w:t xml:space="preserve"> </w:t>
      </w:r>
      <w:r>
        <w:rPr>
          <w:rFonts w:ascii="Arial" w:hAnsi="Arial"/>
          <w:b/>
          <w:sz w:val="20"/>
        </w:rPr>
        <w:t>novena.</w:t>
      </w:r>
      <w:r>
        <w:rPr>
          <w:rFonts w:ascii="Arial" w:hAnsi="Arial"/>
          <w:b/>
          <w:spacing w:val="40"/>
          <w:sz w:val="20"/>
        </w:rPr>
        <w:t xml:space="preserve"> </w:t>
      </w:r>
      <w:r>
        <w:rPr>
          <w:rFonts w:ascii="Arial" w:hAnsi="Arial"/>
          <w:i/>
          <w:sz w:val="20"/>
        </w:rPr>
        <w:t>Normas</w:t>
      </w:r>
      <w:r>
        <w:rPr>
          <w:rFonts w:ascii="Arial" w:hAnsi="Arial"/>
          <w:i/>
          <w:spacing w:val="-2"/>
          <w:sz w:val="20"/>
        </w:rPr>
        <w:t xml:space="preserve"> </w:t>
      </w:r>
      <w:r>
        <w:rPr>
          <w:rFonts w:ascii="Arial" w:hAnsi="Arial"/>
          <w:i/>
          <w:sz w:val="20"/>
        </w:rPr>
        <w:t>especiales</w:t>
      </w:r>
      <w:r>
        <w:rPr>
          <w:rFonts w:ascii="Arial" w:hAnsi="Arial"/>
          <w:i/>
          <w:spacing w:val="-2"/>
          <w:sz w:val="20"/>
        </w:rPr>
        <w:t xml:space="preserve"> </w:t>
      </w:r>
      <w:r>
        <w:rPr>
          <w:rFonts w:ascii="Arial" w:hAnsi="Arial"/>
          <w:i/>
          <w:sz w:val="20"/>
        </w:rPr>
        <w:t>para</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contratación</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acceso</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bases de datos y la suscripción a publicaciones.</w:t>
      </w:r>
    </w:p>
    <w:p w:rsidR="0092635B" w:rsidRDefault="00000000">
      <w:pPr>
        <w:pStyle w:val="Prrafodelista"/>
        <w:numPr>
          <w:ilvl w:val="0"/>
          <w:numId w:val="54"/>
        </w:numPr>
        <w:tabs>
          <w:tab w:val="left" w:pos="1700"/>
        </w:tabs>
        <w:spacing w:before="115" w:line="249" w:lineRule="auto"/>
        <w:ind w:right="1102" w:firstLine="340"/>
        <w:jc w:val="both"/>
        <w:rPr>
          <w:sz w:val="20"/>
        </w:rPr>
      </w:pPr>
      <w:r>
        <w:rPr>
          <w:sz w:val="20"/>
        </w:rPr>
        <w:t>La suscripción a revistas y otras publicaciones, cualquiera que sea su soporte, así como la contratación del acceso a la información contenida en bases de datos especializadas, y en la medida en que resulten imprescindibles, la contratación de los servicios necesarios para la suscripción o la contratación citadas anteriormente, podrán efectuarse, cualquiera que sea su cuantía siempre que no tengan el carácter de contratos sujetos a regulación armonizada, de acuerdo con las normas establecidas en esta Ley para los contratos menores y con sujeción a las condiciones generales que apliquen los proveedores, incluyendo las referidas a las fórmulas de pago. El abono del precio, en estos casos, se hará en la forma prevista en las condiciones que rijan estos contratos, siendo admisible el pago con anterioridad a la entrega o realización de la prestación, siempre que ello responda a los usos habituales del mercado.</w:t>
      </w:r>
    </w:p>
    <w:p w:rsidR="0092635B" w:rsidRDefault="00000000">
      <w:pPr>
        <w:pStyle w:val="Prrafodelista"/>
        <w:numPr>
          <w:ilvl w:val="0"/>
          <w:numId w:val="54"/>
        </w:numPr>
        <w:tabs>
          <w:tab w:val="left" w:pos="1699"/>
        </w:tabs>
        <w:spacing w:before="9" w:line="249" w:lineRule="auto"/>
        <w:ind w:firstLine="340"/>
        <w:jc w:val="both"/>
        <w:rPr>
          <w:sz w:val="20"/>
        </w:rPr>
      </w:pPr>
      <w:r>
        <w:rPr>
          <w:sz w:val="20"/>
        </w:rPr>
        <w:t>Cuando los contratos a que se refiere el apartado anterior se celebren por medios electrónicos, informáticos o telemáticos, las entidades del sector público contratantes</w:t>
      </w:r>
      <w:r>
        <w:rPr>
          <w:spacing w:val="80"/>
          <w:sz w:val="20"/>
        </w:rPr>
        <w:t xml:space="preserve"> </w:t>
      </w:r>
      <w:r>
        <w:rPr>
          <w:sz w:val="20"/>
        </w:rPr>
        <w:t>tendrán la consideración de consumidores, a los efectos previstos en la legislación de servicios de la sociedad de la información y comercio electrónico.</w:t>
      </w:r>
    </w:p>
    <w:p w:rsidR="0092635B" w:rsidRDefault="0092635B">
      <w:pPr>
        <w:pStyle w:val="Textoindependiente"/>
        <w:spacing w:before="0"/>
        <w:ind w:left="0" w:firstLine="0"/>
        <w:jc w:val="left"/>
      </w:pPr>
    </w:p>
    <w:p w:rsidR="0092635B" w:rsidRDefault="00000000">
      <w:pPr>
        <w:spacing w:line="249" w:lineRule="auto"/>
        <w:ind w:left="1106" w:right="1120" w:hanging="1"/>
        <w:rPr>
          <w:rFonts w:ascii="Arial" w:hAnsi="Arial"/>
          <w:i/>
          <w:sz w:val="20"/>
        </w:rPr>
      </w:pPr>
      <w:bookmarkStart w:id="597" w:name="Disposición_adicional_décima._Modificaci"/>
      <w:bookmarkEnd w:id="597"/>
      <w:r>
        <w:rPr>
          <w:rFonts w:ascii="Arial" w:hAnsi="Arial"/>
          <w:b/>
          <w:sz w:val="20"/>
        </w:rPr>
        <w:t>Disposición adicional décima.</w:t>
      </w:r>
      <w:r>
        <w:rPr>
          <w:rFonts w:ascii="Arial" w:hAnsi="Arial"/>
          <w:b/>
          <w:spacing w:val="40"/>
          <w:sz w:val="20"/>
        </w:rPr>
        <w:t xml:space="preserve"> </w:t>
      </w:r>
      <w:r>
        <w:rPr>
          <w:rFonts w:ascii="Arial" w:hAnsi="Arial"/>
          <w:i/>
          <w:sz w:val="20"/>
        </w:rPr>
        <w:t>Modificaciones de cuantías, plazos y otras derivadas de los anexos de directivas comunitarias.</w:t>
      </w:r>
    </w:p>
    <w:p w:rsidR="0092635B" w:rsidRDefault="00000000">
      <w:pPr>
        <w:pStyle w:val="Textoindependiente"/>
        <w:spacing w:before="115" w:line="249" w:lineRule="auto"/>
        <w:ind w:right="1103"/>
      </w:pPr>
      <w:r>
        <w:t>Se autoriza al Consejo de Ministros a modificar, mediante Real Decreto, previa audiencia de</w:t>
      </w:r>
      <w:r>
        <w:rPr>
          <w:spacing w:val="-3"/>
        </w:rPr>
        <w:t xml:space="preserve"> </w:t>
      </w:r>
      <w:r>
        <w:t>las</w:t>
      </w:r>
      <w:r>
        <w:rPr>
          <w:spacing w:val="-3"/>
        </w:rPr>
        <w:t xml:space="preserve"> </w:t>
      </w:r>
      <w:r>
        <w:t>Comunidades</w:t>
      </w:r>
      <w:r>
        <w:rPr>
          <w:spacing w:val="-3"/>
        </w:rPr>
        <w:t xml:space="preserve"> </w:t>
      </w:r>
      <w:r>
        <w:t>Autónomas,</w:t>
      </w:r>
      <w:r>
        <w:rPr>
          <w:spacing w:val="-3"/>
        </w:rPr>
        <w:t xml:space="preserve"> </w:t>
      </w:r>
      <w:r>
        <w:t>y</w:t>
      </w:r>
      <w:r>
        <w:rPr>
          <w:spacing w:val="-3"/>
        </w:rPr>
        <w:t xml:space="preserve"> </w:t>
      </w:r>
      <w:r>
        <w:t>de</w:t>
      </w:r>
      <w:r>
        <w:rPr>
          <w:spacing w:val="-3"/>
        </w:rPr>
        <w:t xml:space="preserve"> </w:t>
      </w:r>
      <w:r>
        <w:t>acuerdo</w:t>
      </w:r>
      <w:r>
        <w:rPr>
          <w:spacing w:val="-3"/>
        </w:rPr>
        <w:t xml:space="preserve"> </w:t>
      </w:r>
      <w:r>
        <w:t>con</w:t>
      </w:r>
      <w:r>
        <w:rPr>
          <w:spacing w:val="-3"/>
        </w:rPr>
        <w:t xml:space="preserve"> </w:t>
      </w:r>
      <w:r>
        <w:t>la</w:t>
      </w:r>
      <w:r>
        <w:rPr>
          <w:spacing w:val="-3"/>
        </w:rPr>
        <w:t xml:space="preserve"> </w:t>
      </w:r>
      <w:r>
        <w:t>coyuntura</w:t>
      </w:r>
      <w:r>
        <w:rPr>
          <w:spacing w:val="-3"/>
        </w:rPr>
        <w:t xml:space="preserve"> </w:t>
      </w:r>
      <w:r>
        <w:t>económica,</w:t>
      </w:r>
      <w:r>
        <w:rPr>
          <w:spacing w:val="-3"/>
        </w:rPr>
        <w:t xml:space="preserve"> </w:t>
      </w:r>
      <w:r>
        <w:t>las</w:t>
      </w:r>
      <w:r>
        <w:rPr>
          <w:spacing w:val="-3"/>
        </w:rPr>
        <w:t xml:space="preserve"> </w:t>
      </w:r>
      <w:r>
        <w:t>cuantías</w:t>
      </w:r>
      <w:r>
        <w:rPr>
          <w:spacing w:val="-3"/>
        </w:rPr>
        <w:t xml:space="preserve"> </w:t>
      </w:r>
      <w:r>
        <w:t>que se indican en los artículos de esta Ley. Igualmente, se autoriza al Ministro de Hacienda y Función Pública a incorporar a la Ley las oportunas modificaciones derivadas de los Anexos de las directivas comunitarias que regulan la contratación pública.</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598" w:name="Disposición_adicional_undécima._Actualiz"/>
      <w:bookmarkEnd w:id="598"/>
      <w:r>
        <w:rPr>
          <w:rFonts w:ascii="Arial" w:hAnsi="Arial"/>
          <w:b/>
          <w:sz w:val="20"/>
        </w:rPr>
        <w:t>Disposición</w:t>
      </w:r>
      <w:r>
        <w:rPr>
          <w:rFonts w:ascii="Arial" w:hAnsi="Arial"/>
          <w:b/>
          <w:spacing w:val="-2"/>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undécima.</w:t>
      </w:r>
      <w:r>
        <w:rPr>
          <w:rFonts w:ascii="Arial" w:hAnsi="Arial"/>
          <w:b/>
          <w:spacing w:val="51"/>
          <w:sz w:val="20"/>
        </w:rPr>
        <w:t xml:space="preserve"> </w:t>
      </w:r>
      <w:r>
        <w:rPr>
          <w:rFonts w:ascii="Arial" w:hAnsi="Arial"/>
          <w:i/>
          <w:sz w:val="20"/>
        </w:rPr>
        <w:t>Actualización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cifras</w:t>
      </w:r>
      <w:r>
        <w:rPr>
          <w:rFonts w:ascii="Arial" w:hAnsi="Arial"/>
          <w:i/>
          <w:spacing w:val="-2"/>
          <w:sz w:val="20"/>
        </w:rPr>
        <w:t xml:space="preserve"> </w:t>
      </w:r>
      <w:r>
        <w:rPr>
          <w:rFonts w:ascii="Arial" w:hAnsi="Arial"/>
          <w:i/>
          <w:sz w:val="20"/>
        </w:rPr>
        <w:t>fijadas</w:t>
      </w:r>
      <w:r>
        <w:rPr>
          <w:rFonts w:ascii="Arial" w:hAnsi="Arial"/>
          <w:i/>
          <w:spacing w:val="-2"/>
          <w:sz w:val="20"/>
        </w:rPr>
        <w:t xml:space="preserve"> </w:t>
      </w:r>
      <w:r>
        <w:rPr>
          <w:rFonts w:ascii="Arial" w:hAnsi="Arial"/>
          <w:i/>
          <w:sz w:val="20"/>
        </w:rPr>
        <w:t>por</w:t>
      </w:r>
      <w:r>
        <w:rPr>
          <w:rFonts w:ascii="Arial" w:hAnsi="Arial"/>
          <w:i/>
          <w:spacing w:val="-1"/>
          <w:sz w:val="20"/>
        </w:rPr>
        <w:t xml:space="preserve"> </w:t>
      </w:r>
      <w:r>
        <w:rPr>
          <w:rFonts w:ascii="Arial" w:hAnsi="Arial"/>
          <w:i/>
          <w:sz w:val="20"/>
        </w:rPr>
        <w:t>la</w:t>
      </w:r>
      <w:r>
        <w:rPr>
          <w:rFonts w:ascii="Arial" w:hAnsi="Arial"/>
          <w:i/>
          <w:spacing w:val="-2"/>
          <w:sz w:val="20"/>
        </w:rPr>
        <w:t xml:space="preserve"> </w:t>
      </w:r>
      <w:r>
        <w:rPr>
          <w:rFonts w:ascii="Arial" w:hAnsi="Arial"/>
          <w:i/>
          <w:sz w:val="20"/>
        </w:rPr>
        <w:t>Unión</w:t>
      </w:r>
      <w:r>
        <w:rPr>
          <w:rFonts w:ascii="Arial" w:hAnsi="Arial"/>
          <w:i/>
          <w:spacing w:val="-1"/>
          <w:sz w:val="20"/>
        </w:rPr>
        <w:t xml:space="preserve"> </w:t>
      </w:r>
      <w:r>
        <w:rPr>
          <w:rFonts w:ascii="Arial" w:hAnsi="Arial"/>
          <w:i/>
          <w:spacing w:val="-2"/>
          <w:sz w:val="20"/>
        </w:rPr>
        <w:t>Europea.</w:t>
      </w:r>
    </w:p>
    <w:p w:rsidR="0092635B" w:rsidRDefault="00000000">
      <w:pPr>
        <w:pStyle w:val="Textoindependiente"/>
        <w:spacing w:before="123" w:line="249" w:lineRule="auto"/>
        <w:ind w:right="1104"/>
      </w:pPr>
      <w:r>
        <w:t>Las cifras que, en lo sucesivo, se fijen por la Comisión Europea sustituirán a las que figuran en el texto de esta Ley. El Ministerio de Hacienda y Función Pública adoptará las medidas pertinentes para asegurar su publicidad.</w:t>
      </w:r>
    </w:p>
    <w:p w:rsidR="0092635B" w:rsidRDefault="00000000">
      <w:pPr>
        <w:spacing w:before="230"/>
        <w:ind w:left="1106"/>
        <w:rPr>
          <w:rFonts w:ascii="Arial" w:hAnsi="Arial"/>
          <w:i/>
          <w:sz w:val="20"/>
        </w:rPr>
      </w:pPr>
      <w:bookmarkStart w:id="599" w:name="Disposición_adicional_duodécima._Cómputo"/>
      <w:bookmarkEnd w:id="599"/>
      <w:r>
        <w:rPr>
          <w:rFonts w:ascii="Arial" w:hAnsi="Arial"/>
          <w:b/>
          <w:sz w:val="20"/>
        </w:rPr>
        <w:t>Disposición</w:t>
      </w:r>
      <w:r>
        <w:rPr>
          <w:rFonts w:ascii="Arial" w:hAnsi="Arial"/>
          <w:b/>
          <w:spacing w:val="-2"/>
          <w:sz w:val="20"/>
        </w:rPr>
        <w:t xml:space="preserve"> </w:t>
      </w:r>
      <w:r>
        <w:rPr>
          <w:rFonts w:ascii="Arial" w:hAnsi="Arial"/>
          <w:b/>
          <w:sz w:val="20"/>
        </w:rPr>
        <w:t>adicional</w:t>
      </w:r>
      <w:r>
        <w:rPr>
          <w:rFonts w:ascii="Arial" w:hAnsi="Arial"/>
          <w:b/>
          <w:spacing w:val="-1"/>
          <w:sz w:val="20"/>
        </w:rPr>
        <w:t xml:space="preserve"> </w:t>
      </w:r>
      <w:r>
        <w:rPr>
          <w:rFonts w:ascii="Arial" w:hAnsi="Arial"/>
          <w:b/>
          <w:sz w:val="20"/>
        </w:rPr>
        <w:t>duodécima.</w:t>
      </w:r>
      <w:r>
        <w:rPr>
          <w:rFonts w:ascii="Arial" w:hAnsi="Arial"/>
          <w:b/>
          <w:spacing w:val="52"/>
          <w:sz w:val="20"/>
        </w:rPr>
        <w:t xml:space="preserve"> </w:t>
      </w:r>
      <w:r>
        <w:rPr>
          <w:rFonts w:ascii="Arial" w:hAnsi="Arial"/>
          <w:i/>
          <w:sz w:val="20"/>
        </w:rPr>
        <w:t>Cómputo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plazos.</w:t>
      </w:r>
    </w:p>
    <w:p w:rsidR="0092635B" w:rsidRDefault="00000000">
      <w:pPr>
        <w:pStyle w:val="Textoindependiente"/>
        <w:spacing w:before="123" w:line="249" w:lineRule="auto"/>
        <w:ind w:right="1102"/>
      </w:pPr>
      <w:r>
        <w:t>Los plazos establecidos por días en esta Ley se entenderán referidos a días naturales, salvo que en la misma se indique expresamente que solo deben computarse los días</w:t>
      </w:r>
      <w:r>
        <w:rPr>
          <w:spacing w:val="40"/>
        </w:rPr>
        <w:t xml:space="preserve"> </w:t>
      </w:r>
      <w:r>
        <w:t>hábiles. No obstante, si el último día del plazo fuera inhábil, este se entenderá prorrogado al primer día hábil siguiente.</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600" w:name="Disposición_adicional_decimotercera._Ref"/>
      <w:bookmarkEnd w:id="600"/>
      <w:r>
        <w:rPr>
          <w:rFonts w:ascii="Arial" w:hAnsi="Arial"/>
          <w:b/>
          <w:sz w:val="20"/>
        </w:rPr>
        <w:t>Disposición</w:t>
      </w:r>
      <w:r>
        <w:rPr>
          <w:rFonts w:ascii="Arial" w:hAnsi="Arial"/>
          <w:b/>
          <w:spacing w:val="-3"/>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decimotercera.</w:t>
      </w:r>
      <w:r>
        <w:rPr>
          <w:rFonts w:ascii="Arial" w:hAnsi="Arial"/>
          <w:b/>
          <w:spacing w:val="49"/>
          <w:sz w:val="20"/>
        </w:rPr>
        <w:t xml:space="preserve"> </w:t>
      </w:r>
      <w:r>
        <w:rPr>
          <w:rFonts w:ascii="Arial" w:hAnsi="Arial"/>
          <w:i/>
          <w:sz w:val="20"/>
        </w:rPr>
        <w:t>Referencias</w:t>
      </w:r>
      <w:r>
        <w:rPr>
          <w:rFonts w:ascii="Arial" w:hAnsi="Arial"/>
          <w:i/>
          <w:spacing w:val="-2"/>
          <w:sz w:val="20"/>
        </w:rPr>
        <w:t xml:space="preserve"> </w:t>
      </w:r>
      <w:r>
        <w:rPr>
          <w:rFonts w:ascii="Arial" w:hAnsi="Arial"/>
          <w:i/>
          <w:sz w:val="20"/>
        </w:rPr>
        <w:t>al</w:t>
      </w:r>
      <w:r>
        <w:rPr>
          <w:rFonts w:ascii="Arial" w:hAnsi="Arial"/>
          <w:i/>
          <w:spacing w:val="-2"/>
          <w:sz w:val="20"/>
        </w:rPr>
        <w:t xml:space="preserve"> </w:t>
      </w:r>
      <w:r>
        <w:rPr>
          <w:rFonts w:ascii="Arial" w:hAnsi="Arial"/>
          <w:i/>
          <w:sz w:val="20"/>
        </w:rPr>
        <w:t>Impuesto</w:t>
      </w:r>
      <w:r>
        <w:rPr>
          <w:rFonts w:ascii="Arial" w:hAnsi="Arial"/>
          <w:i/>
          <w:spacing w:val="-2"/>
          <w:sz w:val="20"/>
        </w:rPr>
        <w:t xml:space="preserve"> </w:t>
      </w:r>
      <w:r>
        <w:rPr>
          <w:rFonts w:ascii="Arial" w:hAnsi="Arial"/>
          <w:i/>
          <w:sz w:val="20"/>
        </w:rPr>
        <w:t>sobre</w:t>
      </w:r>
      <w:r>
        <w:rPr>
          <w:rFonts w:ascii="Arial" w:hAnsi="Arial"/>
          <w:i/>
          <w:spacing w:val="-2"/>
          <w:sz w:val="20"/>
        </w:rPr>
        <w:t xml:space="preserve"> </w:t>
      </w:r>
      <w:r>
        <w:rPr>
          <w:rFonts w:ascii="Arial" w:hAnsi="Arial"/>
          <w:i/>
          <w:sz w:val="20"/>
        </w:rPr>
        <w:t>el</w:t>
      </w:r>
      <w:r>
        <w:rPr>
          <w:rFonts w:ascii="Arial" w:hAnsi="Arial"/>
          <w:i/>
          <w:spacing w:val="-2"/>
          <w:sz w:val="20"/>
        </w:rPr>
        <w:t xml:space="preserve"> </w:t>
      </w:r>
      <w:r>
        <w:rPr>
          <w:rFonts w:ascii="Arial" w:hAnsi="Arial"/>
          <w:i/>
          <w:sz w:val="20"/>
        </w:rPr>
        <w:t>Valor</w:t>
      </w:r>
      <w:r>
        <w:rPr>
          <w:rFonts w:ascii="Arial" w:hAnsi="Arial"/>
          <w:i/>
          <w:spacing w:val="-2"/>
          <w:sz w:val="20"/>
        </w:rPr>
        <w:t xml:space="preserve"> Añadido.</w:t>
      </w:r>
    </w:p>
    <w:p w:rsidR="0092635B" w:rsidRDefault="00000000">
      <w:pPr>
        <w:pStyle w:val="Textoindependiente"/>
        <w:spacing w:before="124" w:line="249" w:lineRule="auto"/>
        <w:ind w:right="1104"/>
      </w:pPr>
      <w:r>
        <w:t>Las referencias al Impuesto sobre el Valor Añadido deberán entenderse realizadas al Impuesto General Indirecto Canario o al Impuesto sobre la Producción, los Servicios y la Importación, en los territorios en que rijan estas figuras impositivas.</w:t>
      </w:r>
    </w:p>
    <w:p w:rsidR="0092635B" w:rsidRDefault="00000000">
      <w:pPr>
        <w:tabs>
          <w:tab w:val="left" w:pos="5150"/>
        </w:tabs>
        <w:spacing w:before="229" w:line="249" w:lineRule="auto"/>
        <w:ind w:left="1106" w:right="1120" w:hanging="1"/>
        <w:rPr>
          <w:rFonts w:ascii="Arial" w:hAnsi="Arial"/>
          <w:i/>
          <w:sz w:val="20"/>
        </w:rPr>
      </w:pPr>
      <w:bookmarkStart w:id="601" w:name="Disposición_adicional_decimocuarta._Sust"/>
      <w:bookmarkEnd w:id="601"/>
      <w:r>
        <w:rPr>
          <w:rFonts w:ascii="Arial" w:hAnsi="Arial"/>
          <w:b/>
          <w:sz w:val="20"/>
        </w:rPr>
        <w:t>Disposición</w:t>
      </w:r>
      <w:r>
        <w:rPr>
          <w:rFonts w:ascii="Arial" w:hAnsi="Arial"/>
          <w:b/>
          <w:spacing w:val="80"/>
          <w:sz w:val="20"/>
        </w:rPr>
        <w:t xml:space="preserve"> </w:t>
      </w:r>
      <w:r>
        <w:rPr>
          <w:rFonts w:ascii="Arial" w:hAnsi="Arial"/>
          <w:b/>
          <w:sz w:val="20"/>
        </w:rPr>
        <w:t>adicional</w:t>
      </w:r>
      <w:r>
        <w:rPr>
          <w:rFonts w:ascii="Arial" w:hAnsi="Arial"/>
          <w:b/>
          <w:spacing w:val="80"/>
          <w:sz w:val="20"/>
        </w:rPr>
        <w:t xml:space="preserve"> </w:t>
      </w:r>
      <w:r>
        <w:rPr>
          <w:rFonts w:ascii="Arial" w:hAnsi="Arial"/>
          <w:b/>
          <w:sz w:val="20"/>
        </w:rPr>
        <w:t>decimocuarta.</w:t>
      </w:r>
      <w:r>
        <w:rPr>
          <w:rFonts w:ascii="Arial" w:hAnsi="Arial"/>
          <w:b/>
          <w:sz w:val="20"/>
        </w:rPr>
        <w:tab/>
      </w:r>
      <w:r>
        <w:rPr>
          <w:rFonts w:ascii="Arial" w:hAnsi="Arial"/>
          <w:i/>
          <w:sz w:val="20"/>
        </w:rPr>
        <w:t>Sustitución</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letrados</w:t>
      </w:r>
      <w:r>
        <w:rPr>
          <w:rFonts w:ascii="Arial" w:hAnsi="Arial"/>
          <w:i/>
          <w:spacing w:val="80"/>
          <w:sz w:val="20"/>
        </w:rPr>
        <w:t xml:space="preserve"> </w:t>
      </w:r>
      <w:r>
        <w:rPr>
          <w:rFonts w:ascii="Arial" w:hAnsi="Arial"/>
          <w:i/>
          <w:sz w:val="20"/>
        </w:rPr>
        <w:t>en</w:t>
      </w:r>
      <w:r>
        <w:rPr>
          <w:rFonts w:ascii="Arial" w:hAnsi="Arial"/>
          <w:i/>
          <w:spacing w:val="80"/>
          <w:sz w:val="20"/>
        </w:rPr>
        <w:t xml:space="preserve"> </w:t>
      </w:r>
      <w:r>
        <w:rPr>
          <w:rFonts w:ascii="Arial" w:hAnsi="Arial"/>
          <w:i/>
          <w:sz w:val="20"/>
        </w:rPr>
        <w:t>las</w:t>
      </w:r>
      <w:r>
        <w:rPr>
          <w:rFonts w:ascii="Arial" w:hAnsi="Arial"/>
          <w:i/>
          <w:spacing w:val="80"/>
          <w:sz w:val="20"/>
        </w:rPr>
        <w:t xml:space="preserve"> </w:t>
      </w:r>
      <w:r>
        <w:rPr>
          <w:rFonts w:ascii="Arial" w:hAnsi="Arial"/>
          <w:i/>
          <w:sz w:val="20"/>
        </w:rPr>
        <w:t>Mesas</w:t>
      </w:r>
      <w:r>
        <w:rPr>
          <w:rFonts w:ascii="Arial" w:hAnsi="Arial"/>
          <w:i/>
          <w:spacing w:val="80"/>
          <w:sz w:val="20"/>
        </w:rPr>
        <w:t xml:space="preserve"> </w:t>
      </w:r>
      <w:r>
        <w:rPr>
          <w:rFonts w:ascii="Arial" w:hAnsi="Arial"/>
          <w:i/>
          <w:sz w:val="20"/>
        </w:rPr>
        <w:t xml:space="preserve">de </w:t>
      </w:r>
      <w:r>
        <w:rPr>
          <w:rFonts w:ascii="Arial" w:hAnsi="Arial"/>
          <w:i/>
          <w:spacing w:val="-2"/>
          <w:sz w:val="20"/>
        </w:rPr>
        <w:t>contratación.</w:t>
      </w:r>
    </w:p>
    <w:p w:rsidR="0092635B" w:rsidRDefault="00000000">
      <w:pPr>
        <w:pStyle w:val="Textoindependiente"/>
        <w:spacing w:before="115" w:line="249" w:lineRule="auto"/>
        <w:ind w:right="1105"/>
      </w:pPr>
      <w:r>
        <w:t>Para las Entidades Gestoras y Servicios Comunes de la Seguridad Social podrán establecerse</w:t>
      </w:r>
      <w:r>
        <w:rPr>
          <w:spacing w:val="40"/>
        </w:rPr>
        <w:t xml:space="preserve"> </w:t>
      </w:r>
      <w:r>
        <w:t>reglamentariamente</w:t>
      </w:r>
      <w:r>
        <w:rPr>
          <w:spacing w:val="40"/>
        </w:rPr>
        <w:t xml:space="preserve"> </w:t>
      </w:r>
      <w:r>
        <w:t>los</w:t>
      </w:r>
      <w:r>
        <w:rPr>
          <w:spacing w:val="40"/>
        </w:rPr>
        <w:t xml:space="preserve"> </w:t>
      </w:r>
      <w:r>
        <w:t>supuestos</w:t>
      </w:r>
      <w:r>
        <w:rPr>
          <w:spacing w:val="40"/>
        </w:rPr>
        <w:t xml:space="preserve"> </w:t>
      </w:r>
      <w:r>
        <w:t>en</w:t>
      </w:r>
      <w:r>
        <w:rPr>
          <w:spacing w:val="40"/>
        </w:rPr>
        <w:t xml:space="preserve"> </w:t>
      </w:r>
      <w:r>
        <w:t>que</w:t>
      </w:r>
      <w:r>
        <w:rPr>
          <w:spacing w:val="40"/>
        </w:rPr>
        <w:t xml:space="preserve"> </w:t>
      </w:r>
      <w:r>
        <w:t>formarán</w:t>
      </w:r>
      <w:r>
        <w:rPr>
          <w:spacing w:val="40"/>
        </w:rPr>
        <w:t xml:space="preserve"> </w:t>
      </w:r>
      <w:r>
        <w:t>parte</w:t>
      </w:r>
      <w:r>
        <w:rPr>
          <w:spacing w:val="40"/>
        </w:rPr>
        <w:t xml:space="preserve"> </w:t>
      </w:r>
      <w:r>
        <w:t>de</w:t>
      </w:r>
      <w:r>
        <w:rPr>
          <w:spacing w:val="40"/>
        </w:rPr>
        <w:t xml:space="preserve"> </w:t>
      </w:r>
      <w:r>
        <w:t>la</w:t>
      </w:r>
      <w:r>
        <w:rPr>
          <w:spacing w:val="40"/>
        </w:rPr>
        <w:t xml:space="preserve"> </w:t>
      </w:r>
      <w:r>
        <w:t>Mesa</w:t>
      </w:r>
      <w:r>
        <w:rPr>
          <w:spacing w:val="40"/>
        </w:rPr>
        <w:t xml:space="preserve"> </w:t>
      </w:r>
      <w:r>
        <w:t>de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20" w:hanging="1"/>
        <w:jc w:val="left"/>
      </w:pPr>
      <w:r>
        <w:t>contratación letrados habilitados específicamente para ello en sustitución de quienes tengan atribuido legal o reglamentariamente el asesoramiento jurídico del órgano de contratación.</w:t>
      </w:r>
    </w:p>
    <w:p w:rsidR="0092635B" w:rsidRDefault="00000000">
      <w:pPr>
        <w:tabs>
          <w:tab w:val="left" w:pos="4869"/>
        </w:tabs>
        <w:spacing w:before="228" w:line="249" w:lineRule="auto"/>
        <w:ind w:left="1106" w:right="1105" w:hanging="1"/>
        <w:rPr>
          <w:rFonts w:ascii="Arial" w:hAnsi="Arial"/>
          <w:i/>
          <w:sz w:val="20"/>
        </w:rPr>
      </w:pPr>
      <w:bookmarkStart w:id="602" w:name="Disposición_adicional_decimoquinta._Norm"/>
      <w:bookmarkEnd w:id="602"/>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decimoquinta.</w:t>
      </w:r>
      <w:r>
        <w:rPr>
          <w:rFonts w:ascii="Arial" w:hAnsi="Arial"/>
          <w:b/>
          <w:sz w:val="20"/>
        </w:rPr>
        <w:tab/>
      </w:r>
      <w:r>
        <w:rPr>
          <w:rFonts w:ascii="Arial" w:hAnsi="Arial"/>
          <w:i/>
          <w:sz w:val="20"/>
        </w:rPr>
        <w:t>Normas</w:t>
      </w:r>
      <w:r>
        <w:rPr>
          <w:rFonts w:ascii="Arial" w:hAnsi="Arial"/>
          <w:i/>
          <w:spacing w:val="40"/>
          <w:sz w:val="20"/>
        </w:rPr>
        <w:t xml:space="preserve"> </w:t>
      </w:r>
      <w:r>
        <w:rPr>
          <w:rFonts w:ascii="Arial" w:hAnsi="Arial"/>
          <w:i/>
          <w:sz w:val="20"/>
        </w:rPr>
        <w:t>relativas</w:t>
      </w:r>
      <w:r>
        <w:rPr>
          <w:rFonts w:ascii="Arial" w:hAnsi="Arial"/>
          <w:i/>
          <w:spacing w:val="40"/>
          <w:sz w:val="20"/>
        </w:rPr>
        <w:t xml:space="preserve"> </w:t>
      </w:r>
      <w:r>
        <w:rPr>
          <w:rFonts w:ascii="Arial" w:hAnsi="Arial"/>
          <w:i/>
          <w:sz w:val="20"/>
        </w:rPr>
        <w:t>a</w:t>
      </w:r>
      <w:r>
        <w:rPr>
          <w:rFonts w:ascii="Arial" w:hAnsi="Arial"/>
          <w:i/>
          <w:spacing w:val="40"/>
          <w:sz w:val="20"/>
        </w:rPr>
        <w:t xml:space="preserve"> </w:t>
      </w:r>
      <w:r>
        <w:rPr>
          <w:rFonts w:ascii="Arial" w:hAnsi="Arial"/>
          <w:i/>
          <w:sz w:val="20"/>
        </w:rPr>
        <w:t>los</w:t>
      </w:r>
      <w:r>
        <w:rPr>
          <w:rFonts w:ascii="Arial" w:hAnsi="Arial"/>
          <w:i/>
          <w:spacing w:val="40"/>
          <w:sz w:val="20"/>
        </w:rPr>
        <w:t xml:space="preserve"> </w:t>
      </w:r>
      <w:r>
        <w:rPr>
          <w:rFonts w:ascii="Arial" w:hAnsi="Arial"/>
          <w:i/>
          <w:sz w:val="20"/>
        </w:rPr>
        <w:t>medios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comunicación utilizables en los procedimientos regulados en esta Ley.</w:t>
      </w:r>
    </w:p>
    <w:p w:rsidR="0092635B" w:rsidRDefault="00000000">
      <w:pPr>
        <w:pStyle w:val="Prrafodelista"/>
        <w:numPr>
          <w:ilvl w:val="0"/>
          <w:numId w:val="53"/>
        </w:numPr>
        <w:tabs>
          <w:tab w:val="left" w:pos="1696"/>
        </w:tabs>
        <w:spacing w:before="115" w:line="249" w:lineRule="auto"/>
        <w:ind w:firstLine="340"/>
        <w:jc w:val="both"/>
        <w:rPr>
          <w:sz w:val="20"/>
        </w:rPr>
      </w:pPr>
      <w:r>
        <w:rPr>
          <w:sz w:val="20"/>
        </w:rPr>
        <w:t>Las notificaciones a las que se refiere la presente Ley se podrán realizar mediante dirección electrónica habilitada o mediante comparecencia electrónica.</w:t>
      </w:r>
    </w:p>
    <w:p w:rsidR="0092635B" w:rsidRDefault="00000000">
      <w:pPr>
        <w:pStyle w:val="Textoindependiente"/>
        <w:spacing w:line="249" w:lineRule="auto"/>
        <w:ind w:right="1104"/>
      </w:pPr>
      <w:r>
        <w:t>Los plazos a contar desde la notificación se computarán desde la fecha de envío de la misma o del aviso de notificación, si fuera mediante comparecencia electrónica, siempre que el acto objeto de notificación se haya publicado el mismo día en el Perfil de contratante del órgano</w:t>
      </w:r>
      <w:r>
        <w:rPr>
          <w:spacing w:val="-2"/>
        </w:rPr>
        <w:t xml:space="preserve"> </w:t>
      </w:r>
      <w:r>
        <w:t>de</w:t>
      </w:r>
      <w:r>
        <w:rPr>
          <w:spacing w:val="-2"/>
        </w:rPr>
        <w:t xml:space="preserve"> </w:t>
      </w:r>
      <w:r>
        <w:t>contratación.</w:t>
      </w:r>
      <w:r>
        <w:rPr>
          <w:spacing w:val="-2"/>
        </w:rPr>
        <w:t xml:space="preserve"> </w:t>
      </w:r>
      <w:r>
        <w:t>En</w:t>
      </w:r>
      <w:r>
        <w:rPr>
          <w:spacing w:val="-2"/>
        </w:rPr>
        <w:t xml:space="preserve"> </w:t>
      </w:r>
      <w:r>
        <w:t>caso</w:t>
      </w:r>
      <w:r>
        <w:rPr>
          <w:spacing w:val="-2"/>
        </w:rPr>
        <w:t xml:space="preserve"> </w:t>
      </w:r>
      <w:r>
        <w:t>contrario</w:t>
      </w:r>
      <w:r>
        <w:rPr>
          <w:spacing w:val="-2"/>
        </w:rPr>
        <w:t xml:space="preserve"> </w:t>
      </w:r>
      <w:r>
        <w:t>los</w:t>
      </w:r>
      <w:r>
        <w:rPr>
          <w:spacing w:val="-2"/>
        </w:rPr>
        <w:t xml:space="preserve"> </w:t>
      </w:r>
      <w:r>
        <w:t>plazos</w:t>
      </w:r>
      <w:r>
        <w:rPr>
          <w:spacing w:val="-2"/>
        </w:rPr>
        <w:t xml:space="preserve"> </w:t>
      </w:r>
      <w:r>
        <w:t>se</w:t>
      </w:r>
      <w:r>
        <w:rPr>
          <w:spacing w:val="-2"/>
        </w:rPr>
        <w:t xml:space="preserve"> </w:t>
      </w:r>
      <w:r>
        <w:t>computarán</w:t>
      </w:r>
      <w:r>
        <w:rPr>
          <w:spacing w:val="-2"/>
        </w:rPr>
        <w:t xml:space="preserve"> </w:t>
      </w:r>
      <w:r>
        <w:t>desde</w:t>
      </w:r>
      <w:r>
        <w:rPr>
          <w:spacing w:val="-2"/>
        </w:rPr>
        <w:t xml:space="preserve"> </w:t>
      </w:r>
      <w:r>
        <w:t>la</w:t>
      </w:r>
      <w:r>
        <w:rPr>
          <w:spacing w:val="-2"/>
        </w:rPr>
        <w:t xml:space="preserve"> </w:t>
      </w:r>
      <w:r>
        <w:t>recepción</w:t>
      </w:r>
      <w:r>
        <w:rPr>
          <w:spacing w:val="-2"/>
        </w:rPr>
        <w:t xml:space="preserve"> </w:t>
      </w:r>
      <w:r>
        <w:t>de</w:t>
      </w:r>
      <w:r>
        <w:rPr>
          <w:spacing w:val="-2"/>
        </w:rPr>
        <w:t xml:space="preserve"> </w:t>
      </w:r>
      <w:r>
        <w:t>la notificación por el interesado.</w:t>
      </w:r>
    </w:p>
    <w:p w:rsidR="0092635B" w:rsidRDefault="00000000">
      <w:pPr>
        <w:pStyle w:val="Textoindependiente"/>
        <w:spacing w:before="4" w:line="249" w:lineRule="auto"/>
        <w:ind w:right="1104"/>
      </w:pPr>
      <w:r>
        <w:t>No obstante lo anterior, el requisito de publicidad en el perfil de contratante no resultará aplicable a las notificaciones practicadas con motivo del procedimiento de recurso especial por los órganos competentes para su resolución computando los plazos desde la fecha de envío de la misma o del aviso de notificación, si fuera mediante comparecencia electrónica.</w:t>
      </w:r>
    </w:p>
    <w:p w:rsidR="0092635B" w:rsidRDefault="00000000">
      <w:pPr>
        <w:pStyle w:val="Prrafodelista"/>
        <w:numPr>
          <w:ilvl w:val="0"/>
          <w:numId w:val="53"/>
        </w:numPr>
        <w:tabs>
          <w:tab w:val="left" w:pos="1703"/>
        </w:tabs>
        <w:spacing w:before="3" w:line="249" w:lineRule="auto"/>
        <w:ind w:right="1104" w:firstLine="340"/>
        <w:jc w:val="both"/>
        <w:rPr>
          <w:sz w:val="20"/>
        </w:rPr>
      </w:pPr>
      <w:r>
        <w:rPr>
          <w:sz w:val="20"/>
        </w:rPr>
        <w:t>La tramitación de los procedimientos de adjudicación de contratos regulados en la presente Ley conllevará la práctica de las notificaciones y comunicaciones derivadas de los mismos por medios exclusivamente electrónicos.</w:t>
      </w:r>
    </w:p>
    <w:p w:rsidR="0092635B" w:rsidRDefault="00000000">
      <w:pPr>
        <w:pStyle w:val="Textoindependiente"/>
        <w:spacing w:before="3" w:line="249" w:lineRule="auto"/>
        <w:ind w:right="1103"/>
      </w:pPr>
      <w:r>
        <w:t>No</w:t>
      </w:r>
      <w:r>
        <w:rPr>
          <w:spacing w:val="-1"/>
        </w:rPr>
        <w:t xml:space="preserve"> </w:t>
      </w:r>
      <w:r>
        <w:t>obstante</w:t>
      </w:r>
      <w:r>
        <w:rPr>
          <w:spacing w:val="-1"/>
        </w:rPr>
        <w:t xml:space="preserve"> </w:t>
      </w:r>
      <w:r>
        <w:t>lo</w:t>
      </w:r>
      <w:r>
        <w:rPr>
          <w:spacing w:val="-1"/>
        </w:rPr>
        <w:t xml:space="preserve"> </w:t>
      </w:r>
      <w:r>
        <w:t>dispuesto</w:t>
      </w:r>
      <w:r>
        <w:rPr>
          <w:spacing w:val="-1"/>
        </w:rPr>
        <w:t xml:space="preserve"> </w:t>
      </w:r>
      <w:r>
        <w:t>en</w:t>
      </w:r>
      <w:r>
        <w:rPr>
          <w:spacing w:val="-1"/>
        </w:rPr>
        <w:t xml:space="preserve"> </w:t>
      </w:r>
      <w:r>
        <w:t>el</w:t>
      </w:r>
      <w:r>
        <w:rPr>
          <w:spacing w:val="-1"/>
        </w:rPr>
        <w:t xml:space="preserve"> </w:t>
      </w:r>
      <w:r>
        <w:t>párrafo</w:t>
      </w:r>
      <w:r>
        <w:rPr>
          <w:spacing w:val="-1"/>
        </w:rPr>
        <w:t xml:space="preserve"> </w:t>
      </w:r>
      <w:r>
        <w:t>anterior,</w:t>
      </w:r>
      <w:r>
        <w:rPr>
          <w:spacing w:val="-1"/>
        </w:rPr>
        <w:t xml:space="preserve"> </w:t>
      </w:r>
      <w:r>
        <w:t>podrá</w:t>
      </w:r>
      <w:r>
        <w:rPr>
          <w:spacing w:val="-1"/>
        </w:rPr>
        <w:t xml:space="preserve"> </w:t>
      </w:r>
      <w:r>
        <w:t>utilizarse</w:t>
      </w:r>
      <w:r>
        <w:rPr>
          <w:spacing w:val="-1"/>
        </w:rPr>
        <w:t xml:space="preserve"> </w:t>
      </w:r>
      <w:r>
        <w:t>la</w:t>
      </w:r>
      <w:r>
        <w:rPr>
          <w:spacing w:val="-1"/>
        </w:rPr>
        <w:t xml:space="preserve"> </w:t>
      </w:r>
      <w:r>
        <w:t>comunicación</w:t>
      </w:r>
      <w:r>
        <w:rPr>
          <w:spacing w:val="-1"/>
        </w:rPr>
        <w:t xml:space="preserve"> </w:t>
      </w:r>
      <w:r>
        <w:t>oral</w:t>
      </w:r>
      <w:r>
        <w:rPr>
          <w:spacing w:val="-1"/>
        </w:rPr>
        <w:t xml:space="preserve"> </w:t>
      </w:r>
      <w:r>
        <w:t>para comunicaciones distintas de las relativas a los elementos esenciales de un procedimiento de contratación, siempre que el contenido de la comunicación oral esté suficientemente documentado. A este respecto, los elementos esenciales de un procedimiento de contratación incluyen: los pliegos de la contratación, las solicitudes de participación y las ofertas. En particular, las comunicaciones orales con los licitadores que puedan incidir sustancialmente en el contenido y la evaluación de las ofertas estarán documentadas de modo suficiente y a través de los medios adecuados, tales como los archivos o resúmenes escritos o sonoros de los principales elementos de la comunicación.</w:t>
      </w:r>
    </w:p>
    <w:p w:rsidR="0092635B" w:rsidRDefault="00000000">
      <w:pPr>
        <w:pStyle w:val="Prrafodelista"/>
        <w:numPr>
          <w:ilvl w:val="0"/>
          <w:numId w:val="53"/>
        </w:numPr>
        <w:tabs>
          <w:tab w:val="left" w:pos="1689"/>
        </w:tabs>
        <w:spacing w:before="7" w:line="249" w:lineRule="auto"/>
        <w:ind w:right="1104" w:firstLine="340"/>
        <w:jc w:val="both"/>
        <w:rPr>
          <w:sz w:val="20"/>
        </w:rPr>
      </w:pPr>
      <w:r>
        <w:rPr>
          <w:sz w:val="20"/>
        </w:rPr>
        <w:t>La presentación de ofertas y solicitudes de participación se llevará a cabo utilizando medios electrónicos, de conformidad con los requisitos establecidos en la presente disposición adicional.</w:t>
      </w:r>
    </w:p>
    <w:p w:rsidR="0092635B" w:rsidRDefault="00000000">
      <w:pPr>
        <w:pStyle w:val="Textoindependiente"/>
        <w:spacing w:line="249" w:lineRule="auto"/>
        <w:ind w:right="1105"/>
      </w:pPr>
      <w:r>
        <w:t>No obstante lo dispuesto en el párrafo anterior, los órganos de contratación no estarán obligados a exigir el empleo de medios electrónicos en el procedimiento de presentación de ofertas en los siguientes casos:</w:t>
      </w:r>
    </w:p>
    <w:p w:rsidR="0092635B" w:rsidRDefault="00000000">
      <w:pPr>
        <w:pStyle w:val="Prrafodelista"/>
        <w:numPr>
          <w:ilvl w:val="1"/>
          <w:numId w:val="53"/>
        </w:numPr>
        <w:tabs>
          <w:tab w:val="left" w:pos="1743"/>
        </w:tabs>
        <w:spacing w:before="123" w:line="249" w:lineRule="auto"/>
        <w:ind w:firstLine="340"/>
        <w:jc w:val="both"/>
        <w:rPr>
          <w:sz w:val="20"/>
        </w:rPr>
      </w:pPr>
      <w:r>
        <w:rPr>
          <w:sz w:val="20"/>
        </w:rPr>
        <w:t>Cuando, debido al carácter especializado de la contratación, el uso de medios electrónicos requeriría herramientas, dispositivos o formatos de archivo específicos que no están en general disponibles o no aceptan los programas generalmente disponibles.</w:t>
      </w:r>
    </w:p>
    <w:p w:rsidR="0092635B" w:rsidRDefault="00000000">
      <w:pPr>
        <w:pStyle w:val="Prrafodelista"/>
        <w:numPr>
          <w:ilvl w:val="1"/>
          <w:numId w:val="53"/>
        </w:numPr>
        <w:tabs>
          <w:tab w:val="left" w:pos="1751"/>
        </w:tabs>
        <w:spacing w:line="249" w:lineRule="auto"/>
        <w:ind w:right="1104" w:firstLine="340"/>
        <w:jc w:val="both"/>
        <w:rPr>
          <w:sz w:val="20"/>
        </w:rPr>
      </w:pPr>
      <w:r>
        <w:rPr>
          <w:sz w:val="20"/>
        </w:rPr>
        <w:t>Cuando las aplicaciones que soportan formatos de archivo adecuados para la descripción de las ofertas utilizan formatos de archivo que no pueden ser procesados por otros programas abiertos o generalmente disponibles o están sujetas a un régimen de licencias de uso privativo y el órgano de contratación no pueda ofrecerlas para su descarga</w:t>
      </w:r>
      <w:r>
        <w:rPr>
          <w:spacing w:val="80"/>
          <w:sz w:val="20"/>
        </w:rPr>
        <w:t xml:space="preserve"> </w:t>
      </w:r>
      <w:r>
        <w:rPr>
          <w:sz w:val="20"/>
        </w:rPr>
        <w:t>o utilización a distancia.</w:t>
      </w:r>
    </w:p>
    <w:p w:rsidR="0092635B" w:rsidRDefault="00000000">
      <w:pPr>
        <w:pStyle w:val="Prrafodelista"/>
        <w:numPr>
          <w:ilvl w:val="1"/>
          <w:numId w:val="53"/>
        </w:numPr>
        <w:tabs>
          <w:tab w:val="left" w:pos="1808"/>
        </w:tabs>
        <w:spacing w:before="4" w:line="249" w:lineRule="auto"/>
        <w:ind w:right="1104" w:firstLine="340"/>
        <w:jc w:val="both"/>
        <w:rPr>
          <w:sz w:val="20"/>
        </w:rPr>
      </w:pPr>
      <w:r>
        <w:rPr>
          <w:sz w:val="20"/>
        </w:rPr>
        <w:t>Cuando la utilización de medios electrónicos requiera equipos ofimáticos especializados de los que no disponen generalmente los órganos de contratación.</w:t>
      </w:r>
    </w:p>
    <w:p w:rsidR="0092635B" w:rsidRDefault="00000000">
      <w:pPr>
        <w:pStyle w:val="Prrafodelista"/>
        <w:numPr>
          <w:ilvl w:val="1"/>
          <w:numId w:val="53"/>
        </w:numPr>
        <w:tabs>
          <w:tab w:val="left" w:pos="1679"/>
        </w:tabs>
        <w:spacing w:line="249" w:lineRule="auto"/>
        <w:ind w:firstLine="340"/>
        <w:jc w:val="both"/>
        <w:rPr>
          <w:sz w:val="20"/>
        </w:rPr>
      </w:pPr>
      <w:r>
        <w:rPr>
          <w:sz w:val="20"/>
        </w:rPr>
        <w:t>Cuando</w:t>
      </w:r>
      <w:r>
        <w:rPr>
          <w:spacing w:val="-2"/>
          <w:sz w:val="20"/>
        </w:rPr>
        <w:t xml:space="preserve"> </w:t>
      </w:r>
      <w:r>
        <w:rPr>
          <w:sz w:val="20"/>
        </w:rPr>
        <w:t>los</w:t>
      </w:r>
      <w:r>
        <w:rPr>
          <w:spacing w:val="-2"/>
          <w:sz w:val="20"/>
        </w:rPr>
        <w:t xml:space="preserve"> </w:t>
      </w:r>
      <w:r>
        <w:rPr>
          <w:sz w:val="20"/>
        </w:rPr>
        <w:t>pliegos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contratación</w:t>
      </w:r>
      <w:r>
        <w:rPr>
          <w:spacing w:val="-2"/>
          <w:sz w:val="20"/>
        </w:rPr>
        <w:t xml:space="preserve"> </w:t>
      </w:r>
      <w:r>
        <w:rPr>
          <w:sz w:val="20"/>
        </w:rPr>
        <w:t>requieran</w:t>
      </w:r>
      <w:r>
        <w:rPr>
          <w:spacing w:val="-2"/>
          <w:sz w:val="20"/>
        </w:rPr>
        <w:t xml:space="preserve"> </w:t>
      </w:r>
      <w:r>
        <w:rPr>
          <w:sz w:val="20"/>
        </w:rPr>
        <w:t>la</w:t>
      </w:r>
      <w:r>
        <w:rPr>
          <w:spacing w:val="-2"/>
          <w:sz w:val="20"/>
        </w:rPr>
        <w:t xml:space="preserve"> </w:t>
      </w:r>
      <w:r>
        <w:rPr>
          <w:sz w:val="20"/>
        </w:rPr>
        <w:t>presentación</w:t>
      </w:r>
      <w:r>
        <w:rPr>
          <w:spacing w:val="-2"/>
          <w:sz w:val="20"/>
        </w:rPr>
        <w:t xml:space="preserve"> </w:t>
      </w:r>
      <w:r>
        <w:rPr>
          <w:sz w:val="20"/>
        </w:rPr>
        <w:t>de</w:t>
      </w:r>
      <w:r>
        <w:rPr>
          <w:spacing w:val="-2"/>
          <w:sz w:val="20"/>
        </w:rPr>
        <w:t xml:space="preserve"> </w:t>
      </w:r>
      <w:r>
        <w:rPr>
          <w:sz w:val="20"/>
        </w:rPr>
        <w:t>modelos</w:t>
      </w:r>
      <w:r>
        <w:rPr>
          <w:spacing w:val="-2"/>
          <w:sz w:val="20"/>
        </w:rPr>
        <w:t xml:space="preserve"> </w:t>
      </w:r>
      <w:r>
        <w:rPr>
          <w:sz w:val="20"/>
        </w:rPr>
        <w:t>físicos</w:t>
      </w:r>
      <w:r>
        <w:rPr>
          <w:spacing w:val="-2"/>
          <w:sz w:val="20"/>
        </w:rPr>
        <w:t xml:space="preserve"> </w:t>
      </w:r>
      <w:r>
        <w:rPr>
          <w:sz w:val="20"/>
        </w:rPr>
        <w:t>o</w:t>
      </w:r>
      <w:r>
        <w:rPr>
          <w:spacing w:val="-2"/>
          <w:sz w:val="20"/>
        </w:rPr>
        <w:t xml:space="preserve"> </w:t>
      </w:r>
      <w:r>
        <w:rPr>
          <w:sz w:val="20"/>
        </w:rPr>
        <w:t>a escala que no pueden ser transmitidos utilizando medios electrónicos.</w:t>
      </w:r>
    </w:p>
    <w:p w:rsidR="0092635B" w:rsidRDefault="00000000">
      <w:pPr>
        <w:pStyle w:val="Textoindependiente"/>
        <w:spacing w:before="122" w:line="249" w:lineRule="auto"/>
        <w:ind w:right="1103"/>
      </w:pPr>
      <w:r>
        <w:t>Con respecto a los intercambios de información para los que no se utilicen medios electrónicos</w:t>
      </w:r>
      <w:r>
        <w:rPr>
          <w:spacing w:val="-1"/>
        </w:rPr>
        <w:t xml:space="preserve"> </w:t>
      </w:r>
      <w:r>
        <w:t>con</w:t>
      </w:r>
      <w:r>
        <w:rPr>
          <w:spacing w:val="-1"/>
        </w:rPr>
        <w:t xml:space="preserve"> </w:t>
      </w:r>
      <w:r>
        <w:t>arreglo</w:t>
      </w:r>
      <w:r>
        <w:rPr>
          <w:spacing w:val="-1"/>
        </w:rPr>
        <w:t xml:space="preserve"> </w:t>
      </w:r>
      <w:r>
        <w:t>al</w:t>
      </w:r>
      <w:r>
        <w:rPr>
          <w:spacing w:val="-1"/>
        </w:rPr>
        <w:t xml:space="preserve"> </w:t>
      </w:r>
      <w:r>
        <w:t>presente</w:t>
      </w:r>
      <w:r>
        <w:rPr>
          <w:spacing w:val="-1"/>
        </w:rPr>
        <w:t xml:space="preserve"> </w:t>
      </w:r>
      <w:r>
        <w:t>apartado,</w:t>
      </w:r>
      <w:r>
        <w:rPr>
          <w:spacing w:val="-1"/>
        </w:rPr>
        <w:t xml:space="preserve"> </w:t>
      </w:r>
      <w:r>
        <w:t>el</w:t>
      </w:r>
      <w:r>
        <w:rPr>
          <w:spacing w:val="-1"/>
        </w:rPr>
        <w:t xml:space="preserve"> </w:t>
      </w:r>
      <w:r>
        <w:t>envío</w:t>
      </w:r>
      <w:r>
        <w:rPr>
          <w:spacing w:val="-1"/>
        </w:rPr>
        <w:t xml:space="preserve"> </w:t>
      </w:r>
      <w:r>
        <w:t>de</w:t>
      </w:r>
      <w:r>
        <w:rPr>
          <w:spacing w:val="-1"/>
        </w:rPr>
        <w:t xml:space="preserve"> </w:t>
      </w:r>
      <w:r>
        <w:t>información</w:t>
      </w:r>
      <w:r>
        <w:rPr>
          <w:spacing w:val="-1"/>
        </w:rPr>
        <w:t xml:space="preserve"> </w:t>
      </w:r>
      <w:r>
        <w:t>se</w:t>
      </w:r>
      <w:r>
        <w:rPr>
          <w:spacing w:val="-1"/>
        </w:rPr>
        <w:t xml:space="preserve"> </w:t>
      </w:r>
      <w:r>
        <w:t>realizará</w:t>
      </w:r>
      <w:r>
        <w:rPr>
          <w:spacing w:val="-1"/>
        </w:rPr>
        <w:t xml:space="preserve"> </w:t>
      </w:r>
      <w:r>
        <w:t>por</w:t>
      </w:r>
      <w:r>
        <w:rPr>
          <w:spacing w:val="-1"/>
        </w:rPr>
        <w:t xml:space="preserve"> </w:t>
      </w:r>
      <w:r>
        <w:t>correo o por cualquier otro medio apropiado o mediante una combinación de correo o de cualquier otro medio apropiado y de medios electrónicos. En este caso, los órganos de contratación indicarán en un informe específico las razones por las que se haya considerado necesario utilizar medios distintos de los electrónicos.</w:t>
      </w:r>
    </w:p>
    <w:p w:rsidR="0092635B" w:rsidRDefault="00000000">
      <w:pPr>
        <w:pStyle w:val="Prrafodelista"/>
        <w:numPr>
          <w:ilvl w:val="0"/>
          <w:numId w:val="53"/>
        </w:numPr>
        <w:tabs>
          <w:tab w:val="left" w:pos="1687"/>
        </w:tabs>
        <w:spacing w:before="5" w:line="249" w:lineRule="auto"/>
        <w:ind w:firstLine="340"/>
        <w:jc w:val="both"/>
        <w:rPr>
          <w:sz w:val="20"/>
        </w:rPr>
      </w:pPr>
      <w:r>
        <w:rPr>
          <w:sz w:val="20"/>
        </w:rPr>
        <w:t>Los órganos de contratación tampoco estarán obligados a exigir medios electrónicos en el proceso de presentación de ofertas cuando el uso de medios no electrónicos sea necesario bien por una violación de la seguridad de los antedichos medios electrónicos o para</w:t>
      </w:r>
      <w:r>
        <w:rPr>
          <w:spacing w:val="80"/>
          <w:sz w:val="20"/>
        </w:rPr>
        <w:t xml:space="preserve"> </w:t>
      </w:r>
      <w:r>
        <w:rPr>
          <w:sz w:val="20"/>
        </w:rPr>
        <w:t>proteger</w:t>
      </w:r>
      <w:r>
        <w:rPr>
          <w:spacing w:val="80"/>
          <w:sz w:val="20"/>
        </w:rPr>
        <w:t xml:space="preserve"> </w:t>
      </w:r>
      <w:r>
        <w:rPr>
          <w:sz w:val="20"/>
        </w:rPr>
        <w:t>información</w:t>
      </w:r>
      <w:r>
        <w:rPr>
          <w:spacing w:val="80"/>
          <w:sz w:val="20"/>
        </w:rPr>
        <w:t xml:space="preserve"> </w:t>
      </w:r>
      <w:r>
        <w:rPr>
          <w:sz w:val="20"/>
        </w:rPr>
        <w:t>especialmente</w:t>
      </w:r>
      <w:r>
        <w:rPr>
          <w:spacing w:val="80"/>
          <w:sz w:val="20"/>
        </w:rPr>
        <w:t xml:space="preserve"> </w:t>
      </w:r>
      <w:r>
        <w:rPr>
          <w:sz w:val="20"/>
        </w:rPr>
        <w:t>delicada</w:t>
      </w:r>
      <w:r>
        <w:rPr>
          <w:spacing w:val="80"/>
          <w:sz w:val="20"/>
        </w:rPr>
        <w:t xml:space="preserve"> </w:t>
      </w:r>
      <w:r>
        <w:rPr>
          <w:sz w:val="20"/>
        </w:rPr>
        <w:t>que</w:t>
      </w:r>
      <w:r>
        <w:rPr>
          <w:spacing w:val="80"/>
          <w:sz w:val="20"/>
        </w:rPr>
        <w:t xml:space="preserve"> </w:t>
      </w:r>
      <w:r>
        <w:rPr>
          <w:sz w:val="20"/>
        </w:rPr>
        <w:t>requiera</w:t>
      </w:r>
      <w:r>
        <w:rPr>
          <w:spacing w:val="80"/>
          <w:sz w:val="20"/>
        </w:rPr>
        <w:t xml:space="preserve"> </w:t>
      </w:r>
      <w:r>
        <w:rPr>
          <w:sz w:val="20"/>
        </w:rPr>
        <w:t>un</w:t>
      </w:r>
      <w:r>
        <w:rPr>
          <w:spacing w:val="80"/>
          <w:sz w:val="20"/>
        </w:rPr>
        <w:t xml:space="preserve"> </w:t>
      </w:r>
      <w:r>
        <w:rPr>
          <w:sz w:val="20"/>
        </w:rPr>
        <w:t>nivel</w:t>
      </w:r>
      <w:r>
        <w:rPr>
          <w:spacing w:val="80"/>
          <w:sz w:val="20"/>
        </w:rPr>
        <w:t xml:space="preserve"> </w:t>
      </w:r>
      <w:r>
        <w:rPr>
          <w:sz w:val="20"/>
        </w:rPr>
        <w:t>tan</w:t>
      </w:r>
      <w:r>
        <w:rPr>
          <w:spacing w:val="80"/>
          <w:sz w:val="20"/>
        </w:rPr>
        <w:t xml:space="preserve"> </w:t>
      </w:r>
      <w:r>
        <w:rPr>
          <w:sz w:val="20"/>
        </w:rPr>
        <w:t>alto</w:t>
      </w:r>
      <w:r>
        <w:rPr>
          <w:spacing w:val="80"/>
          <w:sz w:val="20"/>
        </w:rPr>
        <w:t xml:space="preserve"> </w:t>
      </w:r>
      <w:r>
        <w:rPr>
          <w:sz w:val="20"/>
        </w:rPr>
        <w:t>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protección</w:t>
      </w:r>
      <w:r>
        <w:rPr>
          <w:spacing w:val="-3"/>
        </w:rPr>
        <w:t xml:space="preserve"> </w:t>
      </w:r>
      <w:r>
        <w:t>que</w:t>
      </w:r>
      <w:r>
        <w:rPr>
          <w:spacing w:val="-3"/>
        </w:rPr>
        <w:t xml:space="preserve"> </w:t>
      </w:r>
      <w:r>
        <w:t>no</w:t>
      </w:r>
      <w:r>
        <w:rPr>
          <w:spacing w:val="-3"/>
        </w:rPr>
        <w:t xml:space="preserve"> </w:t>
      </w:r>
      <w:r>
        <w:t>se</w:t>
      </w:r>
      <w:r>
        <w:rPr>
          <w:spacing w:val="-3"/>
        </w:rPr>
        <w:t xml:space="preserve"> </w:t>
      </w:r>
      <w:r>
        <w:t>pueda</w:t>
      </w:r>
      <w:r>
        <w:rPr>
          <w:spacing w:val="-3"/>
        </w:rPr>
        <w:t xml:space="preserve"> </w:t>
      </w:r>
      <w:r>
        <w:t>garantizar</w:t>
      </w:r>
      <w:r>
        <w:rPr>
          <w:spacing w:val="-3"/>
        </w:rPr>
        <w:t xml:space="preserve"> </w:t>
      </w:r>
      <w:r>
        <w:t>adecuadamente</w:t>
      </w:r>
      <w:r>
        <w:rPr>
          <w:spacing w:val="-3"/>
        </w:rPr>
        <w:t xml:space="preserve"> </w:t>
      </w:r>
      <w:r>
        <w:t>utilizando</w:t>
      </w:r>
      <w:r>
        <w:rPr>
          <w:spacing w:val="-3"/>
        </w:rPr>
        <w:t xml:space="preserve"> </w:t>
      </w:r>
      <w:r>
        <w:t>dispositivos</w:t>
      </w:r>
      <w:r>
        <w:rPr>
          <w:spacing w:val="-3"/>
        </w:rPr>
        <w:t xml:space="preserve"> </w:t>
      </w:r>
      <w:r>
        <w:t>y</w:t>
      </w:r>
      <w:r>
        <w:rPr>
          <w:spacing w:val="-3"/>
        </w:rPr>
        <w:t xml:space="preserve"> </w:t>
      </w:r>
      <w:r>
        <w:t>herramientas electrónicos de los que disponen en general los operadores económicos o de los que se pueda disponer a través de otros medios de acceso alternativos en el sentido expresado en el apartado 7 de la presente disposición adicional. En este caso, los órganos de contratación indicarán en un informe específico las razones por las que se haya considerado necesario utilizar medios distintos de los electrónicos.</w:t>
      </w:r>
    </w:p>
    <w:p w:rsidR="0092635B" w:rsidRDefault="00000000">
      <w:pPr>
        <w:pStyle w:val="Prrafodelista"/>
        <w:numPr>
          <w:ilvl w:val="0"/>
          <w:numId w:val="53"/>
        </w:numPr>
        <w:tabs>
          <w:tab w:val="left" w:pos="1686"/>
        </w:tabs>
        <w:spacing w:before="5" w:line="249" w:lineRule="auto"/>
        <w:ind w:firstLine="340"/>
        <w:jc w:val="both"/>
        <w:rPr>
          <w:sz w:val="20"/>
        </w:rPr>
      </w:pPr>
      <w:r>
        <w:rPr>
          <w:sz w:val="20"/>
        </w:rPr>
        <w:t xml:space="preserve">Los órganos de contratación y los servicios dependientes de los mismos velarán por que en todas las comunicaciones, intercambios de información y operaciones de almacenamiento y custodia de información se preserven la integridad de los datos y la confidencialidad de las ofertas y las solicitudes de participación. Además, deberán garantizar que el contenido de las ofertas y de las solicitudes de participación no será conocido hasta después de finalizado el plazo para su presentación y hasta el momento fijado para su </w:t>
      </w:r>
      <w:r>
        <w:rPr>
          <w:spacing w:val="-2"/>
          <w:sz w:val="20"/>
        </w:rPr>
        <w:t>apertura.</w:t>
      </w:r>
    </w:p>
    <w:p w:rsidR="0092635B" w:rsidRDefault="00000000">
      <w:pPr>
        <w:pStyle w:val="Prrafodelista"/>
        <w:numPr>
          <w:ilvl w:val="0"/>
          <w:numId w:val="53"/>
        </w:numPr>
        <w:tabs>
          <w:tab w:val="left" w:pos="1675"/>
        </w:tabs>
        <w:spacing w:before="5" w:line="249" w:lineRule="auto"/>
        <w:ind w:right="1104" w:firstLine="340"/>
        <w:jc w:val="both"/>
        <w:rPr>
          <w:sz w:val="20"/>
        </w:rPr>
      </w:pPr>
      <w:r>
        <w:rPr>
          <w:sz w:val="20"/>
        </w:rPr>
        <w:t>Para contratos públicos de obras, de concesión de obras, de servicios y concursos de proyectos, y en contratos mixtos que combinen elementos de los mismos, los órganos de contratación podrán exigir el uso de herramientas electrónicas específicas, tales como herramientas de modelado digital de la información de la construcción (BIM) o herramientas similares. En esos casos, ofrecerán medios de acceso alternativos según lo dispuesto en el apartado 7 de la presente Disposición adicional hasta el momento en que dichas herramientas estén generalmente disponibles para los operadores económicos.</w:t>
      </w:r>
    </w:p>
    <w:p w:rsidR="0092635B" w:rsidRDefault="00000000">
      <w:pPr>
        <w:pStyle w:val="Prrafodelista"/>
        <w:numPr>
          <w:ilvl w:val="0"/>
          <w:numId w:val="53"/>
        </w:numPr>
        <w:tabs>
          <w:tab w:val="left" w:pos="1710"/>
        </w:tabs>
        <w:spacing w:before="6" w:line="249" w:lineRule="auto"/>
        <w:ind w:firstLine="340"/>
        <w:jc w:val="both"/>
        <w:rPr>
          <w:sz w:val="20"/>
        </w:rPr>
      </w:pPr>
      <w:r>
        <w:rPr>
          <w:sz w:val="20"/>
        </w:rPr>
        <w:t>Cuando sea necesario, los órganos de contratación podrán exigir la utilización de herramientas y dispositivos que no estén disponibles de forma general, a condición de que ofrezcan medios de acceso alternativos. Se considerará que los órganos de contratación ofrecen medios de acceso alternativos apropiados cuando:</w:t>
      </w:r>
    </w:p>
    <w:p w:rsidR="0092635B" w:rsidRDefault="00000000">
      <w:pPr>
        <w:pStyle w:val="Prrafodelista"/>
        <w:numPr>
          <w:ilvl w:val="1"/>
          <w:numId w:val="53"/>
        </w:numPr>
        <w:tabs>
          <w:tab w:val="left" w:pos="1682"/>
        </w:tabs>
        <w:spacing w:before="123" w:line="249" w:lineRule="auto"/>
        <w:ind w:firstLine="340"/>
        <w:jc w:val="both"/>
        <w:rPr>
          <w:sz w:val="20"/>
        </w:rPr>
      </w:pPr>
      <w:r>
        <w:rPr>
          <w:sz w:val="20"/>
        </w:rPr>
        <w:t>ofrezcan gratuitamente un acceso completo y directo por medios electrónicos a dichas herramientas y dispositivos a partir de la fecha de publicación del anuncio correspondiente o a partir de la fecha de envío de la invitación, en su caso. El texto del anuncio o de la invitación especificará la dirección de Internet en la que puede accederse a dichas herramientas y dispositivos, o bien,</w:t>
      </w:r>
    </w:p>
    <w:p w:rsidR="0092635B" w:rsidRDefault="00000000">
      <w:pPr>
        <w:pStyle w:val="Prrafodelista"/>
        <w:numPr>
          <w:ilvl w:val="1"/>
          <w:numId w:val="53"/>
        </w:numPr>
        <w:tabs>
          <w:tab w:val="left" w:pos="1695"/>
        </w:tabs>
        <w:spacing w:before="4" w:line="249" w:lineRule="auto"/>
        <w:ind w:right="1104" w:firstLine="340"/>
        <w:jc w:val="both"/>
        <w:rPr>
          <w:sz w:val="20"/>
        </w:rPr>
      </w:pPr>
      <w:r>
        <w:rPr>
          <w:sz w:val="20"/>
        </w:rPr>
        <w:t>garanticen que los licitadores que no tienen acceso a las herramientas y dispositivos de que se trate, o que no tienen la posibilidad de obtenerlos en el plazo fijado, siempre que</w:t>
      </w:r>
      <w:r>
        <w:rPr>
          <w:spacing w:val="80"/>
          <w:sz w:val="20"/>
        </w:rPr>
        <w:t xml:space="preserve"> </w:t>
      </w:r>
      <w:r>
        <w:rPr>
          <w:sz w:val="20"/>
        </w:rPr>
        <w:t>la falta de acceso no pueda atribuirse al licitador en cuestión, pueden tener acceso al procedimiento de contratación utilizando mecanismos de acceso provisionales disponibles gratuitamente en línea; o bien,</w:t>
      </w:r>
    </w:p>
    <w:p w:rsidR="0092635B" w:rsidRDefault="00000000">
      <w:pPr>
        <w:pStyle w:val="Prrafodelista"/>
        <w:numPr>
          <w:ilvl w:val="1"/>
          <w:numId w:val="53"/>
        </w:numPr>
        <w:tabs>
          <w:tab w:val="left" w:pos="1668"/>
        </w:tabs>
        <w:spacing w:before="5"/>
        <w:ind w:left="1668" w:right="0" w:hanging="222"/>
        <w:jc w:val="both"/>
        <w:rPr>
          <w:sz w:val="20"/>
        </w:rPr>
      </w:pPr>
      <w:r>
        <w:rPr>
          <w:sz w:val="20"/>
        </w:rPr>
        <w:t>admitan</w:t>
      </w:r>
      <w:r>
        <w:rPr>
          <w:spacing w:val="-6"/>
          <w:sz w:val="20"/>
        </w:rPr>
        <w:t xml:space="preserve"> </w:t>
      </w:r>
      <w:r>
        <w:rPr>
          <w:sz w:val="20"/>
        </w:rPr>
        <w:t>un</w:t>
      </w:r>
      <w:r>
        <w:rPr>
          <w:spacing w:val="-5"/>
          <w:sz w:val="20"/>
        </w:rPr>
        <w:t xml:space="preserve"> </w:t>
      </w:r>
      <w:r>
        <w:rPr>
          <w:sz w:val="20"/>
        </w:rPr>
        <w:t>canal</w:t>
      </w:r>
      <w:r>
        <w:rPr>
          <w:spacing w:val="-5"/>
          <w:sz w:val="20"/>
        </w:rPr>
        <w:t xml:space="preserve"> </w:t>
      </w:r>
      <w:r>
        <w:rPr>
          <w:sz w:val="20"/>
        </w:rPr>
        <w:t>alternativo</w:t>
      </w:r>
      <w:r>
        <w:rPr>
          <w:spacing w:val="-5"/>
          <w:sz w:val="20"/>
        </w:rPr>
        <w:t xml:space="preserve"> </w:t>
      </w:r>
      <w:r>
        <w:rPr>
          <w:sz w:val="20"/>
        </w:rPr>
        <w:t>para</w:t>
      </w:r>
      <w:r>
        <w:rPr>
          <w:spacing w:val="-6"/>
          <w:sz w:val="20"/>
        </w:rPr>
        <w:t xml:space="preserve"> </w:t>
      </w:r>
      <w:r>
        <w:rPr>
          <w:sz w:val="20"/>
        </w:rPr>
        <w:t>la</w:t>
      </w:r>
      <w:r>
        <w:rPr>
          <w:spacing w:val="-5"/>
          <w:sz w:val="20"/>
        </w:rPr>
        <w:t xml:space="preserve"> </w:t>
      </w:r>
      <w:r>
        <w:rPr>
          <w:sz w:val="20"/>
        </w:rPr>
        <w:t>presentación</w:t>
      </w:r>
      <w:r>
        <w:rPr>
          <w:spacing w:val="-5"/>
          <w:sz w:val="20"/>
        </w:rPr>
        <w:t xml:space="preserve"> </w:t>
      </w:r>
      <w:r>
        <w:rPr>
          <w:sz w:val="20"/>
        </w:rPr>
        <w:t>electrónica</w:t>
      </w:r>
      <w:r>
        <w:rPr>
          <w:spacing w:val="-5"/>
          <w:sz w:val="20"/>
        </w:rPr>
        <w:t xml:space="preserve"> </w:t>
      </w:r>
      <w:r>
        <w:rPr>
          <w:sz w:val="20"/>
        </w:rPr>
        <w:t>de</w:t>
      </w:r>
      <w:r>
        <w:rPr>
          <w:spacing w:val="-5"/>
          <w:sz w:val="20"/>
        </w:rPr>
        <w:t xml:space="preserve"> </w:t>
      </w:r>
      <w:r>
        <w:rPr>
          <w:spacing w:val="-2"/>
          <w:sz w:val="20"/>
        </w:rPr>
        <w:t>ofertas.</w:t>
      </w:r>
    </w:p>
    <w:p w:rsidR="0092635B" w:rsidRDefault="00000000">
      <w:pPr>
        <w:pStyle w:val="Prrafodelista"/>
        <w:numPr>
          <w:ilvl w:val="0"/>
          <w:numId w:val="53"/>
        </w:numPr>
        <w:tabs>
          <w:tab w:val="left" w:pos="1744"/>
        </w:tabs>
        <w:spacing w:before="130" w:line="249" w:lineRule="auto"/>
        <w:ind w:firstLine="340"/>
        <w:jc w:val="both"/>
        <w:rPr>
          <w:sz w:val="20"/>
        </w:rPr>
      </w:pPr>
      <w:r>
        <w:rPr>
          <w:sz w:val="20"/>
        </w:rPr>
        <w:t xml:space="preserve">Los medios electrónicos, informáticos y telemáticos utilizables deberán cumplir, además, los requisitos establecidos en la Disposición adicional decimosexta de la presente </w:t>
      </w:r>
      <w:r>
        <w:rPr>
          <w:spacing w:val="-4"/>
          <w:sz w:val="20"/>
        </w:rPr>
        <w:t>Ley.</w:t>
      </w:r>
    </w:p>
    <w:p w:rsidR="0092635B" w:rsidRDefault="00000000">
      <w:pPr>
        <w:spacing w:before="229" w:line="249" w:lineRule="auto"/>
        <w:ind w:left="1106" w:right="1103"/>
        <w:jc w:val="both"/>
        <w:rPr>
          <w:rFonts w:ascii="Arial" w:hAnsi="Arial"/>
          <w:i/>
          <w:sz w:val="20"/>
        </w:rPr>
      </w:pPr>
      <w:bookmarkStart w:id="603" w:name="Disposición_adicional_decimosexta._Uso_d"/>
      <w:bookmarkEnd w:id="603"/>
      <w:r>
        <w:rPr>
          <w:rFonts w:ascii="Arial" w:hAnsi="Arial"/>
          <w:b/>
          <w:sz w:val="20"/>
        </w:rPr>
        <w:t>Disposición adicional decimosexta.</w:t>
      </w:r>
      <w:r>
        <w:rPr>
          <w:rFonts w:ascii="Arial" w:hAnsi="Arial"/>
          <w:b/>
          <w:spacing w:val="40"/>
          <w:sz w:val="20"/>
        </w:rPr>
        <w:t xml:space="preserve"> </w:t>
      </w:r>
      <w:r>
        <w:rPr>
          <w:rFonts w:ascii="Arial" w:hAnsi="Arial"/>
          <w:i/>
          <w:sz w:val="20"/>
        </w:rPr>
        <w:t>Uso de medios electrónicos, informáticos y telemáticos en los procedimientos regulados en la Ley.</w:t>
      </w:r>
    </w:p>
    <w:p w:rsidR="0092635B" w:rsidRDefault="00000000">
      <w:pPr>
        <w:pStyle w:val="Prrafodelista"/>
        <w:numPr>
          <w:ilvl w:val="0"/>
          <w:numId w:val="52"/>
        </w:numPr>
        <w:tabs>
          <w:tab w:val="left" w:pos="1695"/>
        </w:tabs>
        <w:spacing w:before="115" w:line="249" w:lineRule="auto"/>
        <w:ind w:right="1104" w:firstLine="340"/>
        <w:jc w:val="both"/>
        <w:rPr>
          <w:sz w:val="20"/>
        </w:rPr>
      </w:pPr>
      <w:r>
        <w:rPr>
          <w:sz w:val="20"/>
        </w:rPr>
        <w:t>El empleo de medios electrónicos, informáticos y telemáticos en los procedimientos contemplados en esta Ley se ajustará a las normas siguientes:</w:t>
      </w:r>
    </w:p>
    <w:p w:rsidR="0092635B" w:rsidRDefault="00000000">
      <w:pPr>
        <w:pStyle w:val="Prrafodelista"/>
        <w:numPr>
          <w:ilvl w:val="1"/>
          <w:numId w:val="52"/>
        </w:numPr>
        <w:tabs>
          <w:tab w:val="left" w:pos="1685"/>
        </w:tabs>
        <w:spacing w:before="121" w:line="249" w:lineRule="auto"/>
        <w:ind w:firstLine="340"/>
        <w:jc w:val="both"/>
        <w:rPr>
          <w:sz w:val="20"/>
        </w:rPr>
      </w:pPr>
      <w:r>
        <w:rPr>
          <w:sz w:val="20"/>
        </w:rPr>
        <w:t xml:space="preserve">Las herramientas y dispositivos que deban utilizarse para la comunicación por medios electrónicos, así como sus características técnicas, serán no discriminatorios, estarán disponibles de forma general y serán compatibles con los productos informáticos de uso general, y no restringirán el acceso de los operadores económicos al procedimiento de </w:t>
      </w:r>
      <w:r>
        <w:rPr>
          <w:spacing w:val="-2"/>
          <w:sz w:val="20"/>
        </w:rPr>
        <w:t>contratación.</w:t>
      </w:r>
    </w:p>
    <w:p w:rsidR="0092635B" w:rsidRDefault="00000000">
      <w:pPr>
        <w:pStyle w:val="Prrafodelista"/>
        <w:numPr>
          <w:ilvl w:val="1"/>
          <w:numId w:val="52"/>
        </w:numPr>
        <w:tabs>
          <w:tab w:val="left" w:pos="1750"/>
        </w:tabs>
        <w:spacing w:before="5" w:line="249" w:lineRule="auto"/>
        <w:ind w:firstLine="340"/>
        <w:jc w:val="both"/>
        <w:rPr>
          <w:sz w:val="20"/>
        </w:rPr>
      </w:pPr>
      <w:r>
        <w:rPr>
          <w:sz w:val="20"/>
        </w:rPr>
        <w:t>La información y las especificaciones técnicas necesarias para la presentación electrónica de las ofertas, solicitudes de participación, así como de los planos y proyectos en los concursos de proyectos, incluido el cifrado y la validación de la fecha, deberán estar a disposición de todas las partes interesadas, no ser discriminatorios y ser conformes con estándares abiertos, de uso general y amplia implantación.</w:t>
      </w:r>
    </w:p>
    <w:p w:rsidR="0092635B" w:rsidRDefault="00000000">
      <w:pPr>
        <w:pStyle w:val="Prrafodelista"/>
        <w:numPr>
          <w:ilvl w:val="1"/>
          <w:numId w:val="52"/>
        </w:numPr>
        <w:tabs>
          <w:tab w:val="left" w:pos="1718"/>
        </w:tabs>
        <w:spacing w:before="4" w:line="249" w:lineRule="auto"/>
        <w:ind w:right="1105" w:firstLine="340"/>
        <w:jc w:val="both"/>
        <w:rPr>
          <w:sz w:val="20"/>
        </w:rPr>
      </w:pPr>
      <w:r>
        <w:rPr>
          <w:sz w:val="20"/>
        </w:rPr>
        <w:t>Los programas y aplicaciones necesarios para la presentación electrónica de las ofertas</w:t>
      </w:r>
      <w:r>
        <w:rPr>
          <w:spacing w:val="78"/>
          <w:sz w:val="20"/>
        </w:rPr>
        <w:t xml:space="preserve"> </w:t>
      </w:r>
      <w:r>
        <w:rPr>
          <w:sz w:val="20"/>
        </w:rPr>
        <w:t>y</w:t>
      </w:r>
      <w:r>
        <w:rPr>
          <w:spacing w:val="78"/>
          <w:sz w:val="20"/>
        </w:rPr>
        <w:t xml:space="preserve"> </w:t>
      </w:r>
      <w:r>
        <w:rPr>
          <w:sz w:val="20"/>
        </w:rPr>
        <w:t>solicitudes</w:t>
      </w:r>
      <w:r>
        <w:rPr>
          <w:spacing w:val="78"/>
          <w:sz w:val="20"/>
        </w:rPr>
        <w:t xml:space="preserve"> </w:t>
      </w:r>
      <w:r>
        <w:rPr>
          <w:sz w:val="20"/>
        </w:rPr>
        <w:t>de</w:t>
      </w:r>
      <w:r>
        <w:rPr>
          <w:spacing w:val="78"/>
          <w:sz w:val="20"/>
        </w:rPr>
        <w:t xml:space="preserve"> </w:t>
      </w:r>
      <w:r>
        <w:rPr>
          <w:sz w:val="20"/>
        </w:rPr>
        <w:t>participación</w:t>
      </w:r>
      <w:r>
        <w:rPr>
          <w:spacing w:val="78"/>
          <w:sz w:val="20"/>
        </w:rPr>
        <w:t xml:space="preserve"> </w:t>
      </w:r>
      <w:r>
        <w:rPr>
          <w:sz w:val="20"/>
        </w:rPr>
        <w:t>deberán</w:t>
      </w:r>
      <w:r>
        <w:rPr>
          <w:spacing w:val="78"/>
          <w:sz w:val="20"/>
        </w:rPr>
        <w:t xml:space="preserve"> </w:t>
      </w:r>
      <w:r>
        <w:rPr>
          <w:sz w:val="20"/>
        </w:rPr>
        <w:t>ser</w:t>
      </w:r>
      <w:r>
        <w:rPr>
          <w:spacing w:val="78"/>
          <w:sz w:val="20"/>
        </w:rPr>
        <w:t xml:space="preserve"> </w:t>
      </w:r>
      <w:r>
        <w:rPr>
          <w:sz w:val="20"/>
        </w:rPr>
        <w:t>de</w:t>
      </w:r>
      <w:r>
        <w:rPr>
          <w:spacing w:val="78"/>
          <w:sz w:val="20"/>
        </w:rPr>
        <w:t xml:space="preserve"> </w:t>
      </w:r>
      <w:r>
        <w:rPr>
          <w:sz w:val="20"/>
        </w:rPr>
        <w:t>amplio</w:t>
      </w:r>
      <w:r>
        <w:rPr>
          <w:spacing w:val="78"/>
          <w:sz w:val="20"/>
        </w:rPr>
        <w:t xml:space="preserve"> </w:t>
      </w:r>
      <w:r>
        <w:rPr>
          <w:sz w:val="20"/>
        </w:rPr>
        <w:t>uso,</w:t>
      </w:r>
      <w:r>
        <w:rPr>
          <w:spacing w:val="78"/>
          <w:sz w:val="20"/>
        </w:rPr>
        <w:t xml:space="preserve"> </w:t>
      </w:r>
      <w:r>
        <w:rPr>
          <w:sz w:val="20"/>
        </w:rPr>
        <w:t>fácil</w:t>
      </w:r>
      <w:r>
        <w:rPr>
          <w:spacing w:val="78"/>
          <w:sz w:val="20"/>
        </w:rPr>
        <w:t xml:space="preserve"> </w:t>
      </w:r>
      <w:r>
        <w:rPr>
          <w:sz w:val="20"/>
        </w:rPr>
        <w:t>acceso</w:t>
      </w:r>
      <w:r>
        <w:rPr>
          <w:spacing w:val="78"/>
          <w:sz w:val="20"/>
        </w:rPr>
        <w:t xml:space="preserve"> </w:t>
      </w:r>
      <w:r>
        <w:rPr>
          <w:sz w:val="20"/>
        </w:rPr>
        <w:t>y</w:t>
      </w:r>
      <w:r>
        <w:rPr>
          <w:spacing w:val="78"/>
          <w:sz w:val="20"/>
        </w:rPr>
        <w:t xml:space="preserve"> </w:t>
      </w:r>
      <w:r>
        <w:rPr>
          <w:sz w:val="20"/>
        </w:rPr>
        <w:t>no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firstLine="0"/>
      </w:pPr>
      <w:r>
        <w:t xml:space="preserve">discriminatorios, o deberán ponerse a disposición de los interesados por el órgano de </w:t>
      </w:r>
      <w:r>
        <w:rPr>
          <w:spacing w:val="-2"/>
        </w:rPr>
        <w:t>contratación.</w:t>
      </w:r>
    </w:p>
    <w:p w:rsidR="0092635B" w:rsidRDefault="00000000">
      <w:pPr>
        <w:pStyle w:val="Prrafodelista"/>
        <w:numPr>
          <w:ilvl w:val="1"/>
          <w:numId w:val="52"/>
        </w:numPr>
        <w:tabs>
          <w:tab w:val="left" w:pos="1760"/>
        </w:tabs>
        <w:spacing w:before="1" w:line="249" w:lineRule="auto"/>
        <w:ind w:firstLine="340"/>
        <w:jc w:val="both"/>
        <w:rPr>
          <w:sz w:val="20"/>
        </w:rPr>
      </w:pPr>
      <w:r>
        <w:rPr>
          <w:sz w:val="20"/>
        </w:rPr>
        <w:t>Los sistemas de comunicaciones y para el intercambio y almacenamiento de información deberán poder garantizar de forma razonable, según el estado de la técnica, la integridad de los datos transmitidos y que solo los órganos competentes, en la fecha señalada para ello, puedan tener acceso a los mismos, o que en caso de quebrantamiento</w:t>
      </w:r>
      <w:r>
        <w:rPr>
          <w:spacing w:val="40"/>
          <w:sz w:val="20"/>
        </w:rPr>
        <w:t xml:space="preserve"> </w:t>
      </w:r>
      <w:r>
        <w:rPr>
          <w:sz w:val="20"/>
        </w:rPr>
        <w:t>de esta prohibición de acceso, la violación pueda detectarse con claridad. Estos sistemas deberán asimismo ofrecer suficiente seguridad, de acuerdo con el estado de la técnica,</w:t>
      </w:r>
      <w:r>
        <w:rPr>
          <w:spacing w:val="40"/>
          <w:sz w:val="20"/>
        </w:rPr>
        <w:t xml:space="preserve"> </w:t>
      </w:r>
      <w:r>
        <w:rPr>
          <w:sz w:val="20"/>
        </w:rPr>
        <w:t>frente a los virus informáticos y otro tipo de programas o códigos nocivos, pudiendo establecerse reglamentariamente otras medidas que, respetando los principios de confidencialidad e integridad de las ofertas e igualdad entre los licitadores, se dirijan a minimizar su incidencia en los procedimientos.</w:t>
      </w:r>
    </w:p>
    <w:p w:rsidR="0092635B" w:rsidRDefault="00000000">
      <w:pPr>
        <w:pStyle w:val="Prrafodelista"/>
        <w:numPr>
          <w:ilvl w:val="1"/>
          <w:numId w:val="52"/>
        </w:numPr>
        <w:tabs>
          <w:tab w:val="left" w:pos="1714"/>
        </w:tabs>
        <w:spacing w:before="8" w:line="249" w:lineRule="auto"/>
        <w:ind w:right="1104" w:firstLine="340"/>
        <w:jc w:val="both"/>
        <w:rPr>
          <w:sz w:val="20"/>
        </w:rPr>
      </w:pPr>
      <w:r>
        <w:rPr>
          <w:sz w:val="20"/>
        </w:rPr>
        <w:t>Las aplicaciones que se utilicen para efectuar las comunicaciones y, notificaciones entre el órgano de contratación y el licitador o contratista deberán poder acreditar la fecha y hora de su envío o puesta a disposición y la de la recepción o acceso por el interesado, la integridad de su contenido y la identidad del remitente de la misma.</w:t>
      </w:r>
    </w:p>
    <w:p w:rsidR="0092635B" w:rsidRDefault="00000000">
      <w:pPr>
        <w:pStyle w:val="Prrafodelista"/>
        <w:numPr>
          <w:ilvl w:val="1"/>
          <w:numId w:val="52"/>
        </w:numPr>
        <w:tabs>
          <w:tab w:val="left" w:pos="1629"/>
        </w:tabs>
        <w:spacing w:before="4" w:line="249" w:lineRule="auto"/>
        <w:ind w:right="1104" w:firstLine="340"/>
        <w:jc w:val="both"/>
        <w:rPr>
          <w:sz w:val="20"/>
        </w:rPr>
      </w:pPr>
      <w:r>
        <w:rPr>
          <w:sz w:val="20"/>
        </w:rPr>
        <w:t>Los órganos de contratación deberán especificar el nivel de seguridad exigido para los medios de comunicación electrónicos utilizados en las diferentes fases de cada procedimiento de contratación que deberá ser proporcional a los riesgos asociados a los intercambios de información a realizar.</w:t>
      </w:r>
    </w:p>
    <w:p w:rsidR="0092635B" w:rsidRDefault="00000000">
      <w:pPr>
        <w:pStyle w:val="Textoindependiente"/>
        <w:spacing w:before="3" w:line="249" w:lineRule="auto"/>
        <w:ind w:right="1104"/>
      </w:pPr>
      <w:r>
        <w:t>Mediante Orden del Ministerio de Hacienda y Función Pública se establecerán las condiciones de utilización de las firmas electrónicas en los procedimientos de contratación del Sector Público.</w:t>
      </w:r>
    </w:p>
    <w:p w:rsidR="0092635B" w:rsidRDefault="00000000">
      <w:pPr>
        <w:pStyle w:val="Prrafodelista"/>
        <w:numPr>
          <w:ilvl w:val="1"/>
          <w:numId w:val="52"/>
        </w:numPr>
        <w:tabs>
          <w:tab w:val="left" w:pos="1679"/>
        </w:tabs>
        <w:spacing w:before="3" w:line="249" w:lineRule="auto"/>
        <w:ind w:firstLine="340"/>
        <w:jc w:val="both"/>
        <w:rPr>
          <w:sz w:val="20"/>
        </w:rPr>
      </w:pPr>
      <w:r>
        <w:rPr>
          <w:sz w:val="20"/>
        </w:rPr>
        <w:t>Las</w:t>
      </w:r>
      <w:r>
        <w:rPr>
          <w:spacing w:val="-2"/>
          <w:sz w:val="20"/>
        </w:rPr>
        <w:t xml:space="preserve"> </w:t>
      </w:r>
      <w:r>
        <w:rPr>
          <w:sz w:val="20"/>
        </w:rPr>
        <w:t>referencias</w:t>
      </w:r>
      <w:r>
        <w:rPr>
          <w:spacing w:val="-2"/>
          <w:sz w:val="20"/>
        </w:rPr>
        <w:t xml:space="preserve"> </w:t>
      </w:r>
      <w:r>
        <w:rPr>
          <w:sz w:val="20"/>
        </w:rPr>
        <w:t>de</w:t>
      </w:r>
      <w:r>
        <w:rPr>
          <w:spacing w:val="-2"/>
          <w:sz w:val="20"/>
        </w:rPr>
        <w:t xml:space="preserve"> </w:t>
      </w:r>
      <w:r>
        <w:rPr>
          <w:sz w:val="20"/>
        </w:rPr>
        <w:t>esta</w:t>
      </w:r>
      <w:r>
        <w:rPr>
          <w:spacing w:val="-2"/>
          <w:sz w:val="20"/>
        </w:rPr>
        <w:t xml:space="preserve"> </w:t>
      </w:r>
      <w:r>
        <w:rPr>
          <w:sz w:val="20"/>
        </w:rPr>
        <w:t>Ley</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presentación</w:t>
      </w:r>
      <w:r>
        <w:rPr>
          <w:spacing w:val="-2"/>
          <w:sz w:val="20"/>
        </w:rPr>
        <w:t xml:space="preserve"> </w:t>
      </w:r>
      <w:r>
        <w:rPr>
          <w:sz w:val="20"/>
        </w:rPr>
        <w:t>de</w:t>
      </w:r>
      <w:r>
        <w:rPr>
          <w:spacing w:val="-2"/>
          <w:sz w:val="20"/>
        </w:rPr>
        <w:t xml:space="preserve"> </w:t>
      </w:r>
      <w:r>
        <w:rPr>
          <w:sz w:val="20"/>
        </w:rPr>
        <w:t>documentos</w:t>
      </w:r>
      <w:r>
        <w:rPr>
          <w:spacing w:val="-2"/>
          <w:sz w:val="20"/>
        </w:rPr>
        <w:t xml:space="preserve"> </w:t>
      </w:r>
      <w:r>
        <w:rPr>
          <w:sz w:val="20"/>
        </w:rPr>
        <w:t>escritos</w:t>
      </w:r>
      <w:r>
        <w:rPr>
          <w:spacing w:val="-2"/>
          <w:sz w:val="20"/>
        </w:rPr>
        <w:t xml:space="preserve"> </w:t>
      </w:r>
      <w:r>
        <w:rPr>
          <w:sz w:val="20"/>
        </w:rPr>
        <w:t>no</w:t>
      </w:r>
      <w:r>
        <w:rPr>
          <w:spacing w:val="-2"/>
          <w:sz w:val="20"/>
        </w:rPr>
        <w:t xml:space="preserve"> </w:t>
      </w:r>
      <w:r>
        <w:rPr>
          <w:sz w:val="20"/>
        </w:rPr>
        <w:t>obstarán</w:t>
      </w:r>
      <w:r>
        <w:rPr>
          <w:spacing w:val="-2"/>
          <w:sz w:val="20"/>
        </w:rPr>
        <w:t xml:space="preserve"> </w:t>
      </w:r>
      <w:r>
        <w:rPr>
          <w:sz w:val="20"/>
        </w:rPr>
        <w:t>a</w:t>
      </w:r>
      <w:r>
        <w:rPr>
          <w:spacing w:val="-2"/>
          <w:sz w:val="20"/>
        </w:rPr>
        <w:t xml:space="preserve"> </w:t>
      </w:r>
      <w:r>
        <w:rPr>
          <w:sz w:val="20"/>
        </w:rPr>
        <w:t>la presentación de los mismos por medios electrónicos ni, en su caso, a la generación de soportes físicos electrónicos y su posterior presentación, de acuerdo con las normas fijadas en el presente artículo y en sus disposiciones de desarrollo.</w:t>
      </w:r>
    </w:p>
    <w:p w:rsidR="0092635B" w:rsidRDefault="00000000">
      <w:pPr>
        <w:pStyle w:val="Prrafodelista"/>
        <w:numPr>
          <w:ilvl w:val="1"/>
          <w:numId w:val="52"/>
        </w:numPr>
        <w:tabs>
          <w:tab w:val="left" w:pos="1692"/>
        </w:tabs>
        <w:spacing w:before="3" w:line="249" w:lineRule="auto"/>
        <w:ind w:firstLine="340"/>
        <w:jc w:val="both"/>
        <w:rPr>
          <w:sz w:val="20"/>
        </w:rPr>
      </w:pPr>
      <w:r>
        <w:rPr>
          <w:sz w:val="20"/>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w:t>
      </w:r>
      <w:r>
        <w:rPr>
          <w:spacing w:val="-2"/>
          <w:sz w:val="20"/>
        </w:rPr>
        <w:t xml:space="preserve"> </w:t>
      </w:r>
      <w:r>
        <w:rPr>
          <w:sz w:val="20"/>
        </w:rPr>
        <w:t>la</w:t>
      </w:r>
      <w:r>
        <w:rPr>
          <w:spacing w:val="-2"/>
          <w:sz w:val="20"/>
        </w:rPr>
        <w:t xml:space="preserve"> </w:t>
      </w:r>
      <w:r>
        <w:rPr>
          <w:sz w:val="20"/>
        </w:rPr>
        <w:t>oferta</w:t>
      </w:r>
      <w:r>
        <w:rPr>
          <w:spacing w:val="-2"/>
          <w:sz w:val="20"/>
        </w:rPr>
        <w:t xml:space="preserve"> </w:t>
      </w:r>
      <w:r>
        <w:rPr>
          <w:sz w:val="20"/>
        </w:rPr>
        <w:t>propiamente</w:t>
      </w:r>
      <w:r>
        <w:rPr>
          <w:spacing w:val="-2"/>
          <w:sz w:val="20"/>
        </w:rPr>
        <w:t xml:space="preserve"> </w:t>
      </w:r>
      <w:r>
        <w:rPr>
          <w:sz w:val="20"/>
        </w:rPr>
        <w:t>dicha</w:t>
      </w:r>
      <w:r>
        <w:rPr>
          <w:spacing w:val="-2"/>
          <w:sz w:val="20"/>
        </w:rPr>
        <w:t xml:space="preserve"> </w:t>
      </w:r>
      <w:r>
        <w:rPr>
          <w:sz w:val="20"/>
        </w:rPr>
        <w:t>en</w:t>
      </w:r>
      <w:r>
        <w:rPr>
          <w:spacing w:val="-2"/>
          <w:sz w:val="20"/>
        </w:rPr>
        <w:t xml:space="preserve"> </w:t>
      </w:r>
      <w:r>
        <w:rPr>
          <w:sz w:val="20"/>
        </w:rPr>
        <w:t>un</w:t>
      </w:r>
      <w:r>
        <w:rPr>
          <w:spacing w:val="-2"/>
          <w:sz w:val="20"/>
        </w:rPr>
        <w:t xml:space="preserve"> </w:t>
      </w:r>
      <w:r>
        <w:rPr>
          <w:sz w:val="20"/>
        </w:rPr>
        <w:t>plazo</w:t>
      </w:r>
      <w:r>
        <w:rPr>
          <w:spacing w:val="-2"/>
          <w:sz w:val="20"/>
        </w:rPr>
        <w:t xml:space="preserve"> </w:t>
      </w:r>
      <w:r>
        <w:rPr>
          <w:sz w:val="20"/>
        </w:rPr>
        <w:t>máximo</w:t>
      </w:r>
      <w:r>
        <w:rPr>
          <w:spacing w:val="-2"/>
          <w:sz w:val="20"/>
        </w:rPr>
        <w:t xml:space="preserve"> </w:t>
      </w:r>
      <w:r>
        <w:rPr>
          <w:sz w:val="20"/>
        </w:rPr>
        <w:t>de</w:t>
      </w:r>
      <w:r>
        <w:rPr>
          <w:spacing w:val="-2"/>
          <w:sz w:val="20"/>
        </w:rPr>
        <w:t xml:space="preserve"> </w:t>
      </w:r>
      <w:r>
        <w:rPr>
          <w:sz w:val="20"/>
        </w:rPr>
        <w:t>24</w:t>
      </w:r>
      <w:r>
        <w:rPr>
          <w:spacing w:val="-2"/>
          <w:sz w:val="20"/>
        </w:rPr>
        <w:t xml:space="preserve"> </w:t>
      </w:r>
      <w:r>
        <w:rPr>
          <w:sz w:val="20"/>
        </w:rPr>
        <w:t>horas.</w:t>
      </w:r>
      <w:r>
        <w:rPr>
          <w:spacing w:val="-2"/>
          <w:sz w:val="20"/>
        </w:rPr>
        <w:t xml:space="preserve"> </w:t>
      </w:r>
      <w:r>
        <w:rPr>
          <w:sz w:val="20"/>
        </w:rPr>
        <w:t>De</w:t>
      </w:r>
      <w:r>
        <w:rPr>
          <w:spacing w:val="-2"/>
          <w:sz w:val="20"/>
        </w:rPr>
        <w:t xml:space="preserve"> </w:t>
      </w:r>
      <w:r>
        <w:rPr>
          <w:sz w:val="20"/>
        </w:rPr>
        <w:t>no</w:t>
      </w:r>
      <w:r>
        <w:rPr>
          <w:spacing w:val="-2"/>
          <w:sz w:val="20"/>
        </w:rPr>
        <w:t xml:space="preserve"> </w:t>
      </w:r>
      <w:r>
        <w:rPr>
          <w:sz w:val="20"/>
        </w:rPr>
        <w:t>efectuarse</w:t>
      </w:r>
      <w:r>
        <w:rPr>
          <w:spacing w:val="-2"/>
          <w:sz w:val="20"/>
        </w:rPr>
        <w:t xml:space="preserve"> </w:t>
      </w:r>
      <w:r>
        <w:rPr>
          <w:sz w:val="20"/>
        </w:rPr>
        <w:t>esta segunda remisión en el plazo indicado, se considerará que la oferta ha sido retirada.</w:t>
      </w:r>
    </w:p>
    <w:p w:rsidR="0092635B" w:rsidRDefault="00000000">
      <w:pPr>
        <w:pStyle w:val="Textoindependiente"/>
        <w:spacing w:before="4" w:line="249" w:lineRule="auto"/>
        <w:ind w:right="1104"/>
      </w:pPr>
      <w:r>
        <w:t>Se entiende por huella electrónica de la oferta el conjunto de datos cuyo proceso de generación garantiza que se relacionan de manera inequívoca con el contenido de la oferta propiamente dicha, y que permiten detectar posibles alteraciones del contenido de esta garantizando su integridad. Las copias electrónicas de los documentos que deban incorporarse al expediente, deberán cumplir con lo establecido a tal efecto en la legislación vigente en materia de procedimiento administrativo común, surtiendo los efectos</w:t>
      </w:r>
      <w:r>
        <w:rPr>
          <w:spacing w:val="40"/>
        </w:rPr>
        <w:t xml:space="preserve"> </w:t>
      </w:r>
      <w:r>
        <w:t>establecidos en la misma.</w:t>
      </w:r>
    </w:p>
    <w:p w:rsidR="0092635B" w:rsidRDefault="00000000">
      <w:pPr>
        <w:pStyle w:val="Prrafodelista"/>
        <w:numPr>
          <w:ilvl w:val="1"/>
          <w:numId w:val="52"/>
        </w:numPr>
        <w:tabs>
          <w:tab w:val="left" w:pos="1665"/>
        </w:tabs>
        <w:spacing w:before="6" w:line="249" w:lineRule="auto"/>
        <w:ind w:right="1104" w:firstLine="340"/>
        <w:jc w:val="both"/>
        <w:rPr>
          <w:sz w:val="20"/>
        </w:rPr>
      </w:pPr>
      <w:r>
        <w:rPr>
          <w:sz w:val="20"/>
        </w:rPr>
        <w:t>Los licitadores o candidatos que presenten sus documentos de forma electrónica podrán presentar al órgano de contratación, en soporte físico electrónico, una copia de seguridad de dichos documentos de acuerdo con los términos fijados mediante Orden del Ministro de Hacienda y Función Pública, y siempre de acuerdo con lo establecido a tal efecto por el órgano de contratación.</w:t>
      </w:r>
    </w:p>
    <w:p w:rsidR="0092635B" w:rsidRDefault="00000000">
      <w:pPr>
        <w:pStyle w:val="Prrafodelista"/>
        <w:numPr>
          <w:ilvl w:val="1"/>
          <w:numId w:val="52"/>
        </w:numPr>
        <w:tabs>
          <w:tab w:val="left" w:pos="1691"/>
        </w:tabs>
        <w:spacing w:before="4" w:line="249" w:lineRule="auto"/>
        <w:ind w:firstLine="340"/>
        <w:jc w:val="both"/>
        <w:rPr>
          <w:sz w:val="20"/>
        </w:rPr>
      </w:pPr>
      <w:r>
        <w:rPr>
          <w:sz w:val="20"/>
        </w:rPr>
        <w:t>Los formatos de los documentos electrónicos que integran los expedientes de contratación deberán ajustarse a especificaciones públicamente disponibles y de uso no sujeto a restricciones, que garanticen la libre y plena accesibilidad a los mismos por el</w:t>
      </w:r>
      <w:r>
        <w:rPr>
          <w:spacing w:val="40"/>
          <w:sz w:val="20"/>
        </w:rPr>
        <w:t xml:space="preserve"> </w:t>
      </w:r>
      <w:r>
        <w:rPr>
          <w:sz w:val="20"/>
        </w:rPr>
        <w:t>órgano de contratación, los órganos de fiscalización y control, los órganos jurisdiccionales y los interesados, durante el plazo por el que deba conservarse el expediente. En los procedimientos de adjudicación de contratos, los formatos admisibles deberán indicarse en</w:t>
      </w:r>
      <w:r>
        <w:rPr>
          <w:spacing w:val="40"/>
          <w:sz w:val="20"/>
        </w:rPr>
        <w:t xml:space="preserve"> </w:t>
      </w:r>
      <w:r>
        <w:rPr>
          <w:sz w:val="20"/>
        </w:rPr>
        <w:t>el anuncio o en los pliegos.</w:t>
      </w:r>
    </w:p>
    <w:p w:rsidR="0092635B" w:rsidRDefault="00000000">
      <w:pPr>
        <w:pStyle w:val="Prrafodelista"/>
        <w:numPr>
          <w:ilvl w:val="1"/>
          <w:numId w:val="52"/>
        </w:numPr>
        <w:tabs>
          <w:tab w:val="left" w:pos="1670"/>
        </w:tabs>
        <w:spacing w:before="5" w:line="249" w:lineRule="auto"/>
        <w:ind w:firstLine="340"/>
        <w:jc w:val="both"/>
        <w:rPr>
          <w:sz w:val="20"/>
        </w:rPr>
      </w:pPr>
      <w:r>
        <w:rPr>
          <w:sz w:val="20"/>
        </w:rPr>
        <w:t>Como</w:t>
      </w:r>
      <w:r>
        <w:rPr>
          <w:spacing w:val="-1"/>
          <w:sz w:val="20"/>
        </w:rPr>
        <w:t xml:space="preserve"> </w:t>
      </w:r>
      <w:r>
        <w:rPr>
          <w:sz w:val="20"/>
        </w:rPr>
        <w:t>requisito</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tramitación</w:t>
      </w:r>
      <w:r>
        <w:rPr>
          <w:spacing w:val="-1"/>
          <w:sz w:val="20"/>
        </w:rPr>
        <w:t xml:space="preserve"> </w:t>
      </w:r>
      <w:r>
        <w:rPr>
          <w:sz w:val="20"/>
        </w:rPr>
        <w:t>de</w:t>
      </w:r>
      <w:r>
        <w:rPr>
          <w:spacing w:val="-1"/>
          <w:sz w:val="20"/>
        </w:rPr>
        <w:t xml:space="preserve"> </w:t>
      </w:r>
      <w:r>
        <w:rPr>
          <w:sz w:val="20"/>
        </w:rPr>
        <w:t>procedimientos</w:t>
      </w:r>
      <w:r>
        <w:rPr>
          <w:spacing w:val="-1"/>
          <w:sz w:val="20"/>
        </w:rPr>
        <w:t xml:space="preserve"> </w:t>
      </w:r>
      <w:r>
        <w:rPr>
          <w:sz w:val="20"/>
        </w:rPr>
        <w:t>de</w:t>
      </w:r>
      <w:r>
        <w:rPr>
          <w:spacing w:val="-1"/>
          <w:sz w:val="20"/>
        </w:rPr>
        <w:t xml:space="preserve"> </w:t>
      </w:r>
      <w:r>
        <w:rPr>
          <w:sz w:val="20"/>
        </w:rPr>
        <w:t>adjudicación</w:t>
      </w:r>
      <w:r>
        <w:rPr>
          <w:spacing w:val="-1"/>
          <w:sz w:val="20"/>
        </w:rPr>
        <w:t xml:space="preserve"> </w:t>
      </w:r>
      <w:r>
        <w:rPr>
          <w:sz w:val="20"/>
        </w:rPr>
        <w:t>de</w:t>
      </w:r>
      <w:r>
        <w:rPr>
          <w:spacing w:val="-1"/>
          <w:sz w:val="20"/>
        </w:rPr>
        <w:t xml:space="preserve"> </w:t>
      </w:r>
      <w:r>
        <w:rPr>
          <w:sz w:val="20"/>
        </w:rPr>
        <w:t>contratos</w:t>
      </w:r>
      <w:r>
        <w:rPr>
          <w:spacing w:val="-1"/>
          <w:sz w:val="20"/>
        </w:rPr>
        <w:t xml:space="preserve"> </w:t>
      </w:r>
      <w:r>
        <w:rPr>
          <w:sz w:val="20"/>
        </w:rPr>
        <w:t>por medios electrónicos, los órganos de contratación podrán exigir a los licitadores la previa inscripción en el Registro de Licitadores que corresponda de los datos necesarios.</w:t>
      </w:r>
    </w:p>
    <w:p w:rsidR="0092635B" w:rsidRDefault="00000000">
      <w:pPr>
        <w:pStyle w:val="Textoindependiente"/>
        <w:spacing w:before="123" w:line="249" w:lineRule="auto"/>
        <w:ind w:right="1105"/>
      </w:pPr>
      <w:r>
        <w:t>Cuando a la licitación se presenten empresarios extranjeros de un Estado Miembro de la Unión Europea o signatario del Espacio Económico Europeo, la acreditación de su capacidad,</w:t>
      </w:r>
      <w:r>
        <w:rPr>
          <w:spacing w:val="69"/>
        </w:rPr>
        <w:t xml:space="preserve"> </w:t>
      </w:r>
      <w:r>
        <w:t>solvencia</w:t>
      </w:r>
      <w:r>
        <w:rPr>
          <w:spacing w:val="69"/>
        </w:rPr>
        <w:t xml:space="preserve"> </w:t>
      </w:r>
      <w:r>
        <w:t>y</w:t>
      </w:r>
      <w:r>
        <w:rPr>
          <w:spacing w:val="69"/>
        </w:rPr>
        <w:t xml:space="preserve"> </w:t>
      </w:r>
      <w:r>
        <w:t>ausencia</w:t>
      </w:r>
      <w:r>
        <w:rPr>
          <w:spacing w:val="69"/>
        </w:rPr>
        <w:t xml:space="preserve"> </w:t>
      </w:r>
      <w:r>
        <w:t>de</w:t>
      </w:r>
      <w:r>
        <w:rPr>
          <w:spacing w:val="69"/>
        </w:rPr>
        <w:t xml:space="preserve"> </w:t>
      </w:r>
      <w:r>
        <w:t>prohibiciones</w:t>
      </w:r>
      <w:r>
        <w:rPr>
          <w:spacing w:val="69"/>
        </w:rPr>
        <w:t xml:space="preserve"> </w:t>
      </w:r>
      <w:r>
        <w:t>de</w:t>
      </w:r>
      <w:r>
        <w:rPr>
          <w:spacing w:val="69"/>
        </w:rPr>
        <w:t xml:space="preserve"> </w:t>
      </w:r>
      <w:r>
        <w:t>contratar</w:t>
      </w:r>
      <w:r>
        <w:rPr>
          <w:spacing w:val="69"/>
        </w:rPr>
        <w:t xml:space="preserve"> </w:t>
      </w:r>
      <w:r>
        <w:t>se</w:t>
      </w:r>
      <w:r>
        <w:rPr>
          <w:spacing w:val="69"/>
        </w:rPr>
        <w:t xml:space="preserve"> </w:t>
      </w:r>
      <w:r>
        <w:t>podrá</w:t>
      </w:r>
      <w:r>
        <w:rPr>
          <w:spacing w:val="69"/>
        </w:rPr>
        <w:t xml:space="preserve"> </w:t>
      </w:r>
      <w:r>
        <w:t>realizar</w:t>
      </w:r>
      <w:r>
        <w:rPr>
          <w:spacing w:val="69"/>
        </w:rPr>
        <w:t xml:space="preserve"> </w:t>
      </w:r>
      <w:r>
        <w:rPr>
          <w:spacing w:val="-4"/>
        </w:rPr>
        <w:t>bien</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4" w:firstLine="0"/>
      </w:pPr>
      <w:r>
        <w:t>mediante consulta en la correspondiente lista oficial de empresarios autorizados para contratar establecida por un Estado Miembro de la Unión Europea, o bien mediante la aportación de la documentación acreditativa de los citados extremos, que deberá presentar, en este último caso, en el plazo concedido para la presentación de la garantía definitiva.</w:t>
      </w:r>
    </w:p>
    <w:p w:rsidR="0092635B" w:rsidRDefault="00000000">
      <w:pPr>
        <w:pStyle w:val="Prrafodelista"/>
        <w:numPr>
          <w:ilvl w:val="0"/>
          <w:numId w:val="52"/>
        </w:numPr>
        <w:tabs>
          <w:tab w:val="left" w:pos="1736"/>
        </w:tabs>
        <w:spacing w:before="3" w:line="249" w:lineRule="auto"/>
        <w:ind w:right="1104" w:firstLine="340"/>
        <w:jc w:val="both"/>
        <w:rPr>
          <w:sz w:val="20"/>
        </w:rPr>
      </w:pPr>
      <w:r>
        <w:rPr>
          <w:sz w:val="20"/>
        </w:rPr>
        <w:t>Mediante Orden del Ministerio de Hacienda y Función Pública se definirán las especificaciones técnicas para la utilización de medios electrónicos en los procedimientos de contratación del Sector Público.</w:t>
      </w:r>
    </w:p>
    <w:p w:rsidR="0092635B" w:rsidRDefault="00000000">
      <w:pPr>
        <w:spacing w:before="229" w:line="249" w:lineRule="auto"/>
        <w:ind w:left="1106" w:right="1103"/>
        <w:jc w:val="both"/>
        <w:rPr>
          <w:rFonts w:ascii="Arial" w:hAnsi="Arial"/>
          <w:i/>
          <w:sz w:val="20"/>
        </w:rPr>
      </w:pPr>
      <w:bookmarkStart w:id="604" w:name="Disposición_adicional_decimoséptima._Req"/>
      <w:bookmarkEnd w:id="604"/>
      <w:r>
        <w:rPr>
          <w:rFonts w:ascii="Arial" w:hAnsi="Arial"/>
          <w:b/>
          <w:sz w:val="20"/>
        </w:rPr>
        <w:t>Disposición adicional decimoséptima.</w:t>
      </w:r>
      <w:r>
        <w:rPr>
          <w:rFonts w:ascii="Arial" w:hAnsi="Arial"/>
          <w:b/>
          <w:spacing w:val="40"/>
          <w:sz w:val="20"/>
        </w:rPr>
        <w:t xml:space="preserve"> </w:t>
      </w:r>
      <w:r>
        <w:rPr>
          <w:rFonts w:ascii="Arial" w:hAnsi="Arial"/>
          <w:i/>
          <w:sz w:val="20"/>
        </w:rPr>
        <w:t>Requisitos específicos relativos a las herramientas y los dispositivos de recepción electrónica de documentos.</w:t>
      </w:r>
    </w:p>
    <w:p w:rsidR="0092635B" w:rsidRDefault="00000000">
      <w:pPr>
        <w:pStyle w:val="Textoindependiente"/>
        <w:spacing w:before="115" w:line="249" w:lineRule="auto"/>
        <w:ind w:right="1104"/>
      </w:pPr>
      <w:r>
        <w:t xml:space="preserve">Las herramientas y los dispositivos de recepción electrónica de las ofertas, de las solicitudes de participación, así como de los planos y proyectos en los concursos de proyectos y de cuanta documentación deba presentarse ante el órgano de contratación deberán garantizar, como mínimo y por los medios técnicos y procedimientos adecuados, </w:t>
      </w:r>
      <w:r>
        <w:rPr>
          <w:spacing w:val="-4"/>
        </w:rPr>
        <w:t>que:</w:t>
      </w:r>
    </w:p>
    <w:p w:rsidR="0092635B" w:rsidRDefault="00000000">
      <w:pPr>
        <w:pStyle w:val="Prrafodelista"/>
        <w:numPr>
          <w:ilvl w:val="1"/>
          <w:numId w:val="52"/>
        </w:numPr>
        <w:tabs>
          <w:tab w:val="left" w:pos="1702"/>
        </w:tabs>
        <w:spacing w:before="124" w:line="249" w:lineRule="auto"/>
        <w:ind w:right="1104" w:firstLine="340"/>
        <w:jc w:val="both"/>
        <w:rPr>
          <w:sz w:val="20"/>
        </w:rPr>
      </w:pPr>
      <w:r>
        <w:rPr>
          <w:sz w:val="20"/>
        </w:rPr>
        <w:t>Pueda determinarse con precisión la hora y la fecha exactas de la recepción de las ofertas, de las solicitudes de participación, de la documentación asociada a estas y las del envío de los planos y proyectos.</w:t>
      </w:r>
    </w:p>
    <w:p w:rsidR="0092635B" w:rsidRDefault="00000000">
      <w:pPr>
        <w:pStyle w:val="Prrafodelista"/>
        <w:numPr>
          <w:ilvl w:val="1"/>
          <w:numId w:val="52"/>
        </w:numPr>
        <w:tabs>
          <w:tab w:val="left" w:pos="1780"/>
        </w:tabs>
        <w:spacing w:before="3" w:line="249" w:lineRule="auto"/>
        <w:ind w:firstLine="340"/>
        <w:jc w:val="both"/>
        <w:rPr>
          <w:sz w:val="20"/>
        </w:rPr>
      </w:pPr>
      <w:r>
        <w:rPr>
          <w:sz w:val="20"/>
        </w:rPr>
        <w:t>Pueda garantizarse razonablemente que nadie tenga acceso a los datos y documentos transmitidos a tenor de los presentes requisitos antes de que finalicen los</w:t>
      </w:r>
      <w:r>
        <w:rPr>
          <w:spacing w:val="80"/>
          <w:sz w:val="20"/>
        </w:rPr>
        <w:t xml:space="preserve"> </w:t>
      </w:r>
      <w:r>
        <w:rPr>
          <w:sz w:val="20"/>
        </w:rPr>
        <w:t>plazos especificados.</w:t>
      </w:r>
    </w:p>
    <w:p w:rsidR="0092635B" w:rsidRDefault="00000000">
      <w:pPr>
        <w:pStyle w:val="Prrafodelista"/>
        <w:numPr>
          <w:ilvl w:val="1"/>
          <w:numId w:val="52"/>
        </w:numPr>
        <w:tabs>
          <w:tab w:val="left" w:pos="1684"/>
        </w:tabs>
        <w:spacing w:line="249" w:lineRule="auto"/>
        <w:ind w:right="1104" w:firstLine="340"/>
        <w:jc w:val="both"/>
        <w:rPr>
          <w:sz w:val="20"/>
        </w:rPr>
      </w:pPr>
      <w:r>
        <w:rPr>
          <w:sz w:val="20"/>
        </w:rPr>
        <w:t>Únicamente las personas autorizadas puedan fijar o modificar las fechas de apertura de los datos y documentos recibidos.</w:t>
      </w:r>
    </w:p>
    <w:p w:rsidR="0092635B" w:rsidRDefault="00000000">
      <w:pPr>
        <w:pStyle w:val="Prrafodelista"/>
        <w:numPr>
          <w:ilvl w:val="1"/>
          <w:numId w:val="52"/>
        </w:numPr>
        <w:tabs>
          <w:tab w:val="left" w:pos="1679"/>
        </w:tabs>
        <w:spacing w:line="249" w:lineRule="auto"/>
        <w:ind w:right="1104" w:firstLine="340"/>
        <w:jc w:val="both"/>
        <w:rPr>
          <w:sz w:val="20"/>
        </w:rPr>
      </w:pPr>
      <w:r>
        <w:rPr>
          <w:sz w:val="20"/>
        </w:rPr>
        <w:t>En</w:t>
      </w:r>
      <w:r>
        <w:rPr>
          <w:spacing w:val="-2"/>
          <w:sz w:val="20"/>
        </w:rPr>
        <w:t xml:space="preserve"> </w:t>
      </w:r>
      <w:r>
        <w:rPr>
          <w:sz w:val="20"/>
        </w:rPr>
        <w:t>las</w:t>
      </w:r>
      <w:r>
        <w:rPr>
          <w:spacing w:val="-2"/>
          <w:sz w:val="20"/>
        </w:rPr>
        <w:t xml:space="preserve"> </w:t>
      </w:r>
      <w:r>
        <w:rPr>
          <w:sz w:val="20"/>
        </w:rPr>
        <w:t>diferentes</w:t>
      </w:r>
      <w:r>
        <w:rPr>
          <w:spacing w:val="-2"/>
          <w:sz w:val="20"/>
        </w:rPr>
        <w:t xml:space="preserve"> </w:t>
      </w:r>
      <w:r>
        <w:rPr>
          <w:sz w:val="20"/>
        </w:rPr>
        <w:t>fases</w:t>
      </w:r>
      <w:r>
        <w:rPr>
          <w:spacing w:val="-2"/>
          <w:sz w:val="20"/>
        </w:rPr>
        <w:t xml:space="preserve"> </w:t>
      </w:r>
      <w:r>
        <w:rPr>
          <w:sz w:val="20"/>
        </w:rPr>
        <w:t>del</w:t>
      </w:r>
      <w:r>
        <w:rPr>
          <w:spacing w:val="-2"/>
          <w:sz w:val="20"/>
        </w:rPr>
        <w:t xml:space="preserve"> </w:t>
      </w:r>
      <w:r>
        <w:rPr>
          <w:sz w:val="20"/>
        </w:rPr>
        <w:t>procedimiento</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o</w:t>
      </w:r>
      <w:r>
        <w:rPr>
          <w:spacing w:val="-2"/>
          <w:sz w:val="20"/>
        </w:rPr>
        <w:t xml:space="preserve"> </w:t>
      </w:r>
      <w:r>
        <w:rPr>
          <w:sz w:val="20"/>
        </w:rPr>
        <w:t>del</w:t>
      </w:r>
      <w:r>
        <w:rPr>
          <w:spacing w:val="-2"/>
          <w:sz w:val="20"/>
        </w:rPr>
        <w:t xml:space="preserve"> </w:t>
      </w:r>
      <w:r>
        <w:rPr>
          <w:sz w:val="20"/>
        </w:rPr>
        <w:t>concurso</w:t>
      </w:r>
      <w:r>
        <w:rPr>
          <w:spacing w:val="-2"/>
          <w:sz w:val="20"/>
        </w:rPr>
        <w:t xml:space="preserve"> </w:t>
      </w:r>
      <w:r>
        <w:rPr>
          <w:sz w:val="20"/>
        </w:rPr>
        <w:t>de</w:t>
      </w:r>
      <w:r>
        <w:rPr>
          <w:spacing w:val="-2"/>
          <w:sz w:val="20"/>
        </w:rPr>
        <w:t xml:space="preserve"> </w:t>
      </w:r>
      <w:r>
        <w:rPr>
          <w:sz w:val="20"/>
        </w:rPr>
        <w:t>proyectos, solo las personas autorizadas puedan acceder a la totalidad o a parte de los datos y documentos presentados.</w:t>
      </w:r>
    </w:p>
    <w:p w:rsidR="0092635B" w:rsidRDefault="00000000">
      <w:pPr>
        <w:pStyle w:val="Prrafodelista"/>
        <w:numPr>
          <w:ilvl w:val="1"/>
          <w:numId w:val="52"/>
        </w:numPr>
        <w:tabs>
          <w:tab w:val="left" w:pos="1757"/>
        </w:tabs>
        <w:spacing w:line="249" w:lineRule="auto"/>
        <w:ind w:right="1104" w:firstLine="340"/>
        <w:jc w:val="both"/>
        <w:rPr>
          <w:sz w:val="20"/>
        </w:rPr>
      </w:pPr>
      <w:r>
        <w:rPr>
          <w:sz w:val="20"/>
        </w:rPr>
        <w:t>Solo las personas autorizadas puedan dar acceso a los datos y documentos transmitidos, y solo después de la fecha especificada.</w:t>
      </w:r>
    </w:p>
    <w:p w:rsidR="0092635B" w:rsidRDefault="00000000">
      <w:pPr>
        <w:pStyle w:val="Prrafodelista"/>
        <w:numPr>
          <w:ilvl w:val="1"/>
          <w:numId w:val="52"/>
        </w:numPr>
        <w:tabs>
          <w:tab w:val="left" w:pos="1635"/>
        </w:tabs>
        <w:spacing w:line="249" w:lineRule="auto"/>
        <w:ind w:firstLine="340"/>
        <w:jc w:val="both"/>
        <w:rPr>
          <w:sz w:val="20"/>
        </w:rPr>
      </w:pPr>
      <w:r>
        <w:rPr>
          <w:sz w:val="20"/>
        </w:rPr>
        <w:t>Los datos y documentos recibidos y abiertos en aplicación de los presentes requisitos solo sean accesibles a las personas autorizadas a tener conocimiento de los mismos.</w:t>
      </w:r>
    </w:p>
    <w:p w:rsidR="0092635B" w:rsidRDefault="00000000">
      <w:pPr>
        <w:pStyle w:val="Prrafodelista"/>
        <w:numPr>
          <w:ilvl w:val="1"/>
          <w:numId w:val="52"/>
        </w:numPr>
        <w:tabs>
          <w:tab w:val="left" w:pos="1697"/>
        </w:tabs>
        <w:spacing w:line="249" w:lineRule="auto"/>
        <w:ind w:right="1105" w:firstLine="340"/>
        <w:jc w:val="both"/>
        <w:rPr>
          <w:sz w:val="20"/>
        </w:rPr>
      </w:pPr>
      <w:r>
        <w:rPr>
          <w:sz w:val="20"/>
        </w:rPr>
        <w:t>En caso de que se infrinjan o se intenten infringir las prohibiciones o condiciones de acceso</w:t>
      </w:r>
      <w:r>
        <w:rPr>
          <w:spacing w:val="-3"/>
          <w:sz w:val="20"/>
        </w:rPr>
        <w:t xml:space="preserve"> </w:t>
      </w:r>
      <w:r>
        <w:rPr>
          <w:sz w:val="20"/>
        </w:rPr>
        <w:t>a</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refieren</w:t>
      </w:r>
      <w:r>
        <w:rPr>
          <w:spacing w:val="-3"/>
          <w:sz w:val="20"/>
        </w:rPr>
        <w:t xml:space="preserve"> </w:t>
      </w:r>
      <w:r>
        <w:rPr>
          <w:sz w:val="20"/>
        </w:rPr>
        <w:t>las</w:t>
      </w:r>
      <w:r>
        <w:rPr>
          <w:spacing w:val="-3"/>
          <w:sz w:val="20"/>
        </w:rPr>
        <w:t xml:space="preserve"> </w:t>
      </w:r>
      <w:r>
        <w:rPr>
          <w:sz w:val="20"/>
        </w:rPr>
        <w:t>letras</w:t>
      </w:r>
      <w:r>
        <w:rPr>
          <w:spacing w:val="-3"/>
          <w:sz w:val="20"/>
        </w:rPr>
        <w:t xml:space="preserve"> </w:t>
      </w:r>
      <w:r>
        <w:rPr>
          <w:sz w:val="20"/>
        </w:rPr>
        <w:t>b)</w:t>
      </w:r>
      <w:r>
        <w:rPr>
          <w:spacing w:val="-3"/>
          <w:sz w:val="20"/>
        </w:rPr>
        <w:t xml:space="preserve"> </w:t>
      </w:r>
      <w:r>
        <w:rPr>
          <w:sz w:val="20"/>
        </w:rPr>
        <w:t>a</w:t>
      </w:r>
      <w:r>
        <w:rPr>
          <w:spacing w:val="-3"/>
          <w:sz w:val="20"/>
        </w:rPr>
        <w:t xml:space="preserve"> </w:t>
      </w:r>
      <w:r>
        <w:rPr>
          <w:sz w:val="20"/>
        </w:rPr>
        <w:t>f)</w:t>
      </w:r>
      <w:r>
        <w:rPr>
          <w:spacing w:val="-3"/>
          <w:sz w:val="20"/>
        </w:rPr>
        <w:t xml:space="preserve"> </w:t>
      </w:r>
      <w:r>
        <w:rPr>
          <w:sz w:val="20"/>
        </w:rPr>
        <w:t>anteriores,</w:t>
      </w:r>
      <w:r>
        <w:rPr>
          <w:spacing w:val="-3"/>
          <w:sz w:val="20"/>
        </w:rPr>
        <w:t xml:space="preserve"> </w:t>
      </w:r>
      <w:r>
        <w:rPr>
          <w:sz w:val="20"/>
        </w:rPr>
        <w:t>pueda</w:t>
      </w:r>
      <w:r>
        <w:rPr>
          <w:spacing w:val="-3"/>
          <w:sz w:val="20"/>
        </w:rPr>
        <w:t xml:space="preserve"> </w:t>
      </w:r>
      <w:r>
        <w:rPr>
          <w:sz w:val="20"/>
        </w:rPr>
        <w:t>garantizarse</w:t>
      </w:r>
      <w:r>
        <w:rPr>
          <w:spacing w:val="-3"/>
          <w:sz w:val="20"/>
        </w:rPr>
        <w:t xml:space="preserve"> </w:t>
      </w:r>
      <w:r>
        <w:rPr>
          <w:sz w:val="20"/>
        </w:rPr>
        <w:t>razonablemente</w:t>
      </w:r>
      <w:r>
        <w:rPr>
          <w:spacing w:val="-3"/>
          <w:sz w:val="20"/>
        </w:rPr>
        <w:t xml:space="preserve"> </w:t>
      </w:r>
      <w:r>
        <w:rPr>
          <w:sz w:val="20"/>
        </w:rPr>
        <w:t>que las infracciones o tentativas sean claramente detectables.</w:t>
      </w:r>
    </w:p>
    <w:p w:rsidR="0092635B" w:rsidRDefault="00000000">
      <w:pPr>
        <w:spacing w:before="229" w:line="249" w:lineRule="auto"/>
        <w:ind w:left="1106" w:right="1105"/>
        <w:jc w:val="both"/>
        <w:rPr>
          <w:rFonts w:ascii="Arial" w:hAnsi="Arial"/>
          <w:i/>
          <w:sz w:val="20"/>
        </w:rPr>
      </w:pPr>
      <w:bookmarkStart w:id="605" w:name="Disposición_adicional_decimoctava._Garan"/>
      <w:bookmarkEnd w:id="605"/>
      <w:r>
        <w:rPr>
          <w:rFonts w:ascii="Arial" w:hAnsi="Arial"/>
          <w:b/>
          <w:sz w:val="20"/>
        </w:rPr>
        <w:t>Disposición adicional decimoctava.</w:t>
      </w:r>
      <w:r>
        <w:rPr>
          <w:rFonts w:ascii="Arial" w:hAnsi="Arial"/>
          <w:b/>
          <w:spacing w:val="40"/>
          <w:sz w:val="20"/>
        </w:rPr>
        <w:t xml:space="preserve"> </w:t>
      </w:r>
      <w:r>
        <w:rPr>
          <w:rFonts w:ascii="Arial" w:hAnsi="Arial"/>
          <w:i/>
          <w:sz w:val="20"/>
        </w:rPr>
        <w:t xml:space="preserve">Garantía de accesibilidad para personas con </w:t>
      </w:r>
      <w:r>
        <w:rPr>
          <w:rFonts w:ascii="Arial" w:hAnsi="Arial"/>
          <w:i/>
          <w:spacing w:val="-2"/>
          <w:sz w:val="20"/>
        </w:rPr>
        <w:t>discapacidad.</w:t>
      </w:r>
    </w:p>
    <w:p w:rsidR="0092635B" w:rsidRDefault="00000000">
      <w:pPr>
        <w:pStyle w:val="Textoindependiente"/>
        <w:spacing w:before="115" w:line="249" w:lineRule="auto"/>
        <w:ind w:right="1103"/>
      </w:pPr>
      <w:r>
        <w:t>En el ámbito de la contratación pública, la determinación de los medios de comunicación admisibles, el diseño de los elementos instrumentales y la implantación de los trámites procedimentales, deberán realizarse teniendo en cuenta criterios de accesibilidad universal y de diseño universal o diseño para todas las personas, tal y como son definidos estos términos en el Real Decreto Legislativo 1/2013, de 29 de noviembre, por el que se aprueba</w:t>
      </w:r>
      <w:r>
        <w:rPr>
          <w:spacing w:val="40"/>
        </w:rPr>
        <w:t xml:space="preserve"> </w:t>
      </w:r>
      <w:r>
        <w:t>el texto refundido de la Ley General de derechos de las personas con discapacidad y de su inclusión social.</w:t>
      </w:r>
    </w:p>
    <w:p w:rsidR="0092635B" w:rsidRDefault="0092635B">
      <w:pPr>
        <w:pStyle w:val="Textoindependiente"/>
        <w:ind w:left="0" w:firstLine="0"/>
        <w:jc w:val="left"/>
      </w:pPr>
    </w:p>
    <w:p w:rsidR="0092635B" w:rsidRDefault="00000000">
      <w:pPr>
        <w:spacing w:line="249" w:lineRule="auto"/>
        <w:ind w:left="1106" w:right="1105"/>
        <w:jc w:val="both"/>
        <w:rPr>
          <w:rFonts w:ascii="Arial" w:hAnsi="Arial"/>
          <w:i/>
          <w:sz w:val="20"/>
        </w:rPr>
      </w:pPr>
      <w:bookmarkStart w:id="606" w:name="Disposición_adicional_decimonovena._Conc"/>
      <w:bookmarkEnd w:id="606"/>
      <w:r>
        <w:rPr>
          <w:rFonts w:ascii="Arial" w:hAnsi="Arial"/>
          <w:b/>
          <w:sz w:val="20"/>
        </w:rPr>
        <w:t>Disposición adicional decimonovena.</w:t>
      </w:r>
      <w:r>
        <w:rPr>
          <w:rFonts w:ascii="Arial" w:hAnsi="Arial"/>
          <w:b/>
          <w:spacing w:val="40"/>
          <w:sz w:val="20"/>
        </w:rPr>
        <w:t xml:space="preserve"> </w:t>
      </w:r>
      <w:r>
        <w:rPr>
          <w:rFonts w:ascii="Arial" w:hAnsi="Arial"/>
          <w:i/>
          <w:sz w:val="20"/>
        </w:rPr>
        <w:t>Conciertos para la prestación de asistencia</w:t>
      </w:r>
      <w:r>
        <w:rPr>
          <w:rFonts w:ascii="Arial" w:hAnsi="Arial"/>
          <w:i/>
          <w:spacing w:val="40"/>
          <w:sz w:val="20"/>
        </w:rPr>
        <w:t xml:space="preserve"> </w:t>
      </w:r>
      <w:r>
        <w:rPr>
          <w:rFonts w:ascii="Arial" w:hAnsi="Arial"/>
          <w:i/>
          <w:sz w:val="20"/>
        </w:rPr>
        <w:t>sanitaria celebrados por la Mutualidad General de Funcionarios Civiles del Estado, la Mutualidad General Judicial y el Instituto Social de las Fuerzas Armadas.</w:t>
      </w:r>
    </w:p>
    <w:p w:rsidR="0092635B" w:rsidRDefault="00000000">
      <w:pPr>
        <w:pStyle w:val="Prrafodelista"/>
        <w:numPr>
          <w:ilvl w:val="0"/>
          <w:numId w:val="51"/>
        </w:numPr>
        <w:tabs>
          <w:tab w:val="left" w:pos="1674"/>
        </w:tabs>
        <w:spacing w:before="116" w:line="249" w:lineRule="auto"/>
        <w:ind w:firstLine="340"/>
        <w:jc w:val="both"/>
        <w:rPr>
          <w:sz w:val="20"/>
        </w:rPr>
      </w:pPr>
      <w:r>
        <w:rPr>
          <w:sz w:val="20"/>
        </w:rPr>
        <w:t>Los conciertos que tengan por objeto la prestación de servicios de asistencia sanitaria y que, para el desarrollo de su acción protectora, celebren la Mutualidad General de Funcionarios Civiles del Estado, la Mutualidad General Judicial y el Instituto Social de las Fuerzas Armadas con entidades públicas, entidades aseguradoras, sociedades médicas y otras entidades o empresas, cualquiera que sea su importe y modalidad, tendrán la naturaleza de contratos de concesión de servicios regulándose por la normativa especial de cada mutualidad y, en todo lo no previsto por la misma, por la legislación de contratos del sector público.</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51"/>
        </w:numPr>
        <w:tabs>
          <w:tab w:val="left" w:pos="1698"/>
        </w:tabs>
        <w:spacing w:before="1" w:line="249" w:lineRule="auto"/>
        <w:ind w:right="1104" w:firstLine="340"/>
        <w:jc w:val="both"/>
        <w:rPr>
          <w:sz w:val="20"/>
        </w:rPr>
      </w:pPr>
      <w:r>
        <w:rPr>
          <w:sz w:val="20"/>
        </w:rPr>
        <w:t>En todo caso, las referidas entidades darán a conocer su intención de celebrar los mencionados conciertos mediante un anuncio de información previa en el que figurará el contenido recogido en el anexo III. B. Sección 3 de la presente Ley, que deberá publicarse</w:t>
      </w:r>
      <w:r>
        <w:rPr>
          <w:spacing w:val="40"/>
          <w:sz w:val="20"/>
        </w:rPr>
        <w:t xml:space="preserve"> </w:t>
      </w:r>
      <w:r>
        <w:rPr>
          <w:sz w:val="20"/>
        </w:rPr>
        <w:t>en su perfil de contratante y en el «Diario Oficial de la Unión Europea».</w:t>
      </w:r>
    </w:p>
    <w:p w:rsidR="0092635B" w:rsidRDefault="00000000">
      <w:pPr>
        <w:pStyle w:val="Textoindependiente"/>
        <w:spacing w:before="3" w:line="249" w:lineRule="auto"/>
        <w:ind w:right="1105"/>
      </w:pPr>
      <w:r>
        <w:t>Asimismo, les será de aplicación lo señalado en el artículo 154 y en el Capítulo V del Título I del Libro Primero de la presente Ley, referidos respectivamente a la publicación del anuncio de formalización y al recurso especial en materia de contratación.</w:t>
      </w:r>
    </w:p>
    <w:p w:rsidR="0092635B" w:rsidRDefault="00000000">
      <w:pPr>
        <w:tabs>
          <w:tab w:val="left" w:pos="4505"/>
        </w:tabs>
        <w:spacing w:before="229" w:line="249" w:lineRule="auto"/>
        <w:ind w:left="1106" w:right="1120" w:hanging="1"/>
        <w:rPr>
          <w:rFonts w:ascii="Arial" w:hAnsi="Arial"/>
          <w:i/>
          <w:sz w:val="20"/>
        </w:rPr>
      </w:pPr>
      <w:bookmarkStart w:id="607" w:name="Disposición_adicional_vigésima._Reglas_e"/>
      <w:bookmarkEnd w:id="607"/>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vigésima.</w:t>
      </w:r>
      <w:r>
        <w:rPr>
          <w:rFonts w:ascii="Arial" w:hAnsi="Arial"/>
          <w:b/>
          <w:sz w:val="20"/>
        </w:rPr>
        <w:tab/>
      </w:r>
      <w:r>
        <w:rPr>
          <w:rFonts w:ascii="Arial" w:hAnsi="Arial"/>
          <w:i/>
          <w:sz w:val="20"/>
        </w:rPr>
        <w:t>Reglas</w:t>
      </w:r>
      <w:r>
        <w:rPr>
          <w:rFonts w:ascii="Arial" w:hAnsi="Arial"/>
          <w:i/>
          <w:spacing w:val="40"/>
          <w:sz w:val="20"/>
        </w:rPr>
        <w:t xml:space="preserve"> </w:t>
      </w:r>
      <w:r>
        <w:rPr>
          <w:rFonts w:ascii="Arial" w:hAnsi="Arial"/>
          <w:i/>
          <w:sz w:val="20"/>
        </w:rPr>
        <w:t>especiales</w:t>
      </w:r>
      <w:r>
        <w:rPr>
          <w:rFonts w:ascii="Arial" w:hAnsi="Arial"/>
          <w:i/>
          <w:spacing w:val="40"/>
          <w:sz w:val="20"/>
        </w:rPr>
        <w:t xml:space="preserve"> </w:t>
      </w:r>
      <w:r>
        <w:rPr>
          <w:rFonts w:ascii="Arial" w:hAnsi="Arial"/>
          <w:i/>
          <w:sz w:val="20"/>
        </w:rPr>
        <w:t>sobre</w:t>
      </w:r>
      <w:r>
        <w:rPr>
          <w:rFonts w:ascii="Arial" w:hAnsi="Arial"/>
          <w:i/>
          <w:spacing w:val="40"/>
          <w:sz w:val="20"/>
        </w:rPr>
        <w:t xml:space="preserve"> </w:t>
      </w:r>
      <w:r>
        <w:rPr>
          <w:rFonts w:ascii="Arial" w:hAnsi="Arial"/>
          <w:i/>
          <w:sz w:val="20"/>
        </w:rPr>
        <w:t>competencia</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adquirir equipos y sistemas para el tratamiento de la información y de las comunicaciones.</w:t>
      </w:r>
    </w:p>
    <w:p w:rsidR="0092635B" w:rsidRDefault="00000000">
      <w:pPr>
        <w:pStyle w:val="Textoindependiente"/>
        <w:spacing w:before="115" w:line="249" w:lineRule="auto"/>
        <w:ind w:right="1103"/>
      </w:pPr>
      <w:r>
        <w:t>No obstante lo señalado en el artículo 230, la competencia para adquirir equipos y sistemas</w:t>
      </w:r>
      <w:r>
        <w:rPr>
          <w:spacing w:val="-2"/>
        </w:rPr>
        <w:t xml:space="preserve"> </w:t>
      </w:r>
      <w:r>
        <w:t>para</w:t>
      </w:r>
      <w:r>
        <w:rPr>
          <w:spacing w:val="-2"/>
        </w:rPr>
        <w:t xml:space="preserve"> </w:t>
      </w:r>
      <w:r>
        <w:t>el</w:t>
      </w:r>
      <w:r>
        <w:rPr>
          <w:spacing w:val="-2"/>
        </w:rPr>
        <w:t xml:space="preserve"> </w:t>
      </w:r>
      <w:r>
        <w:t>tratamiento</w:t>
      </w:r>
      <w:r>
        <w:rPr>
          <w:spacing w:val="-2"/>
        </w:rPr>
        <w:t xml:space="preserve"> </w:t>
      </w:r>
      <w:r>
        <w:t>de</w:t>
      </w:r>
      <w:r>
        <w:rPr>
          <w:spacing w:val="-2"/>
        </w:rPr>
        <w:t xml:space="preserve"> </w:t>
      </w:r>
      <w:r>
        <w:t>la</w:t>
      </w:r>
      <w:r>
        <w:rPr>
          <w:spacing w:val="-2"/>
        </w:rPr>
        <w:t xml:space="preserve"> </w:t>
      </w:r>
      <w:r>
        <w:t>información</w:t>
      </w:r>
      <w:r>
        <w:rPr>
          <w:spacing w:val="-2"/>
        </w:rPr>
        <w:t xml:space="preserve"> </w:t>
      </w:r>
      <w:r>
        <w:t>y</w:t>
      </w:r>
      <w:r>
        <w:rPr>
          <w:spacing w:val="-2"/>
        </w:rPr>
        <w:t xml:space="preserve"> </w:t>
      </w:r>
      <w:r>
        <w:t>elementos</w:t>
      </w:r>
      <w:r>
        <w:rPr>
          <w:spacing w:val="-2"/>
        </w:rPr>
        <w:t xml:space="preserve"> </w:t>
      </w:r>
      <w:r>
        <w:t>complementarios</w:t>
      </w:r>
      <w:r>
        <w:rPr>
          <w:spacing w:val="-2"/>
        </w:rPr>
        <w:t xml:space="preserve"> </w:t>
      </w:r>
      <w:r>
        <w:t>o</w:t>
      </w:r>
      <w:r>
        <w:rPr>
          <w:spacing w:val="-2"/>
        </w:rPr>
        <w:t xml:space="preserve"> </w:t>
      </w:r>
      <w:r>
        <w:t>auxiliares</w:t>
      </w:r>
      <w:r>
        <w:rPr>
          <w:spacing w:val="-2"/>
        </w:rPr>
        <w:t xml:space="preserve"> </w:t>
      </w:r>
      <w:r>
        <w:t>que no hayan sido declarados de adquisición centralizada corresponderá al Ministro de Defensa, y a los órganos de contratación de la Agencia Estatal de Administración Tributaria y de las Entidades Gestoras y Servicios Comunes de la Seguridad Social en el ámbito de sus respectivas competencias.</w:t>
      </w:r>
    </w:p>
    <w:p w:rsidR="0092635B" w:rsidRDefault="0092635B">
      <w:pPr>
        <w:pStyle w:val="Textoindependiente"/>
        <w:ind w:left="0" w:firstLine="0"/>
        <w:jc w:val="left"/>
      </w:pPr>
    </w:p>
    <w:p w:rsidR="0092635B" w:rsidRDefault="00000000">
      <w:pPr>
        <w:tabs>
          <w:tab w:val="left" w:pos="5546"/>
        </w:tabs>
        <w:spacing w:line="249" w:lineRule="auto"/>
        <w:ind w:left="1106" w:right="1120" w:hanging="1"/>
        <w:rPr>
          <w:rFonts w:ascii="Arial" w:hAnsi="Arial"/>
          <w:i/>
          <w:sz w:val="20"/>
        </w:rPr>
      </w:pPr>
      <w:bookmarkStart w:id="608" w:name="Disposición_adicional_vigésima_primera._"/>
      <w:bookmarkEnd w:id="608"/>
      <w:r>
        <w:rPr>
          <w:rFonts w:ascii="Arial" w:hAnsi="Arial"/>
          <w:b/>
          <w:sz w:val="20"/>
        </w:rPr>
        <w:t>Disposición</w:t>
      </w:r>
      <w:r>
        <w:rPr>
          <w:rFonts w:ascii="Arial" w:hAnsi="Arial"/>
          <w:b/>
          <w:spacing w:val="80"/>
          <w:sz w:val="20"/>
        </w:rPr>
        <w:t xml:space="preserve"> </w:t>
      </w:r>
      <w:r>
        <w:rPr>
          <w:rFonts w:ascii="Arial" w:hAnsi="Arial"/>
          <w:b/>
          <w:sz w:val="20"/>
        </w:rPr>
        <w:t>adicional</w:t>
      </w:r>
      <w:r>
        <w:rPr>
          <w:rFonts w:ascii="Arial" w:hAnsi="Arial"/>
          <w:b/>
          <w:spacing w:val="80"/>
          <w:sz w:val="20"/>
        </w:rPr>
        <w:t xml:space="preserve"> </w:t>
      </w:r>
      <w:r>
        <w:rPr>
          <w:rFonts w:ascii="Arial" w:hAnsi="Arial"/>
          <w:b/>
          <w:sz w:val="20"/>
        </w:rPr>
        <w:t>vigésima</w:t>
      </w:r>
      <w:r>
        <w:rPr>
          <w:rFonts w:ascii="Arial" w:hAnsi="Arial"/>
          <w:b/>
          <w:spacing w:val="80"/>
          <w:sz w:val="20"/>
        </w:rPr>
        <w:t xml:space="preserve"> </w:t>
      </w:r>
      <w:r>
        <w:rPr>
          <w:rFonts w:ascii="Arial" w:hAnsi="Arial"/>
          <w:b/>
          <w:sz w:val="20"/>
        </w:rPr>
        <w:t>primera.</w:t>
      </w:r>
      <w:r>
        <w:rPr>
          <w:rFonts w:ascii="Arial" w:hAnsi="Arial"/>
          <w:b/>
          <w:sz w:val="20"/>
        </w:rPr>
        <w:tab/>
      </w:r>
      <w:r>
        <w:rPr>
          <w:rFonts w:ascii="Arial" w:hAnsi="Arial"/>
          <w:i/>
          <w:sz w:val="20"/>
        </w:rPr>
        <w:t>Contratos</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suministro</w:t>
      </w:r>
      <w:r>
        <w:rPr>
          <w:rFonts w:ascii="Arial" w:hAnsi="Arial"/>
          <w:i/>
          <w:spacing w:val="80"/>
          <w:sz w:val="20"/>
        </w:rPr>
        <w:t xml:space="preserve"> </w:t>
      </w:r>
      <w:r>
        <w:rPr>
          <w:rFonts w:ascii="Arial" w:hAnsi="Arial"/>
          <w:i/>
          <w:sz w:val="20"/>
        </w:rPr>
        <w:t>con</w:t>
      </w:r>
      <w:r>
        <w:rPr>
          <w:rFonts w:ascii="Arial" w:hAnsi="Arial"/>
          <w:i/>
          <w:spacing w:val="80"/>
          <w:sz w:val="20"/>
        </w:rPr>
        <w:t xml:space="preserve"> </w:t>
      </w:r>
      <w:r>
        <w:rPr>
          <w:rFonts w:ascii="Arial" w:hAnsi="Arial"/>
          <w:i/>
          <w:sz w:val="20"/>
        </w:rPr>
        <w:t xml:space="preserve">empresas </w:t>
      </w:r>
      <w:r>
        <w:rPr>
          <w:rFonts w:ascii="Arial" w:hAnsi="Arial"/>
          <w:i/>
          <w:spacing w:val="-2"/>
          <w:sz w:val="20"/>
        </w:rPr>
        <w:t>extranjeras.</w:t>
      </w:r>
    </w:p>
    <w:p w:rsidR="0092635B" w:rsidRDefault="00000000">
      <w:pPr>
        <w:pStyle w:val="Textoindependiente"/>
        <w:spacing w:before="115" w:line="249" w:lineRule="auto"/>
        <w:ind w:right="1103"/>
      </w:pPr>
      <w:r>
        <w:t>Los</w:t>
      </w:r>
      <w:r>
        <w:rPr>
          <w:spacing w:val="-1"/>
        </w:rPr>
        <w:t xml:space="preserve"> </w:t>
      </w:r>
      <w:r>
        <w:t>contratos</w:t>
      </w:r>
      <w:r>
        <w:rPr>
          <w:spacing w:val="-1"/>
        </w:rPr>
        <w:t xml:space="preserve"> </w:t>
      </w:r>
      <w:r>
        <w:t>de</w:t>
      </w:r>
      <w:r>
        <w:rPr>
          <w:spacing w:val="-1"/>
        </w:rPr>
        <w:t xml:space="preserve"> </w:t>
      </w:r>
      <w:r>
        <w:t>suministro</w:t>
      </w:r>
      <w:r>
        <w:rPr>
          <w:spacing w:val="-1"/>
        </w:rPr>
        <w:t xml:space="preserve"> </w:t>
      </w:r>
      <w:r>
        <w:t>que</w:t>
      </w:r>
      <w:r>
        <w:rPr>
          <w:spacing w:val="-1"/>
        </w:rPr>
        <w:t xml:space="preserve"> </w:t>
      </w:r>
      <w:r>
        <w:t>se</w:t>
      </w:r>
      <w:r>
        <w:rPr>
          <w:spacing w:val="-1"/>
        </w:rPr>
        <w:t xml:space="preserve"> </w:t>
      </w:r>
      <w:r>
        <w:t>celebren</w:t>
      </w:r>
      <w:r>
        <w:rPr>
          <w:spacing w:val="-1"/>
        </w:rPr>
        <w:t xml:space="preserve"> </w:t>
      </w:r>
      <w:r>
        <w:t>con</w:t>
      </w:r>
      <w:r>
        <w:rPr>
          <w:spacing w:val="-1"/>
        </w:rPr>
        <w:t xml:space="preserve"> </w:t>
      </w:r>
      <w:r>
        <w:t>empresas</w:t>
      </w:r>
      <w:r>
        <w:rPr>
          <w:spacing w:val="-1"/>
        </w:rPr>
        <w:t xml:space="preserve"> </w:t>
      </w:r>
      <w:r>
        <w:t>extranjeras,</w:t>
      </w:r>
      <w:r>
        <w:rPr>
          <w:spacing w:val="-1"/>
        </w:rPr>
        <w:t xml:space="preserve"> </w:t>
      </w:r>
      <w:r>
        <w:t>cuando</w:t>
      </w:r>
      <w:r>
        <w:rPr>
          <w:spacing w:val="-1"/>
        </w:rPr>
        <w:t xml:space="preserve"> </w:t>
      </w:r>
      <w:r>
        <w:t>su</w:t>
      </w:r>
      <w:r>
        <w:rPr>
          <w:spacing w:val="-1"/>
        </w:rPr>
        <w:t xml:space="preserve"> </w:t>
      </w:r>
      <w:r>
        <w:t>objeto se fabrique o proceda de fuera del territorio nacional, así como los contratos de suministros que, con estas empresas, celebre el Ministerio de Defensa y que deban ser ejecutados fuera del territorio nacional, se regirán por la presente Ley, sin perjuicio de lo que se convenga entre las partes de acuerdo con las normas y usos vigentes en el comercio internacional.</w:t>
      </w:r>
    </w:p>
    <w:p w:rsidR="0092635B" w:rsidRDefault="0092635B">
      <w:pPr>
        <w:pStyle w:val="Textoindependiente"/>
        <w:spacing w:before="1"/>
        <w:ind w:left="0" w:firstLine="0"/>
        <w:jc w:val="left"/>
      </w:pPr>
    </w:p>
    <w:p w:rsidR="0092635B" w:rsidRDefault="00000000">
      <w:pPr>
        <w:tabs>
          <w:tab w:val="left" w:pos="5349"/>
        </w:tabs>
        <w:spacing w:line="249" w:lineRule="auto"/>
        <w:ind w:left="1106" w:right="1105" w:hanging="1"/>
        <w:rPr>
          <w:rFonts w:ascii="Arial" w:hAnsi="Arial"/>
          <w:i/>
          <w:sz w:val="20"/>
        </w:rPr>
      </w:pPr>
      <w:bookmarkStart w:id="609" w:name="Disposición_adicional_vigésima_segunda._"/>
      <w:bookmarkEnd w:id="609"/>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vigésima</w:t>
      </w:r>
      <w:r>
        <w:rPr>
          <w:rFonts w:ascii="Arial" w:hAnsi="Arial"/>
          <w:b/>
          <w:spacing w:val="40"/>
          <w:sz w:val="20"/>
        </w:rPr>
        <w:t xml:space="preserve"> </w:t>
      </w:r>
      <w:r>
        <w:rPr>
          <w:rFonts w:ascii="Arial" w:hAnsi="Arial"/>
          <w:b/>
          <w:sz w:val="20"/>
        </w:rPr>
        <w:t>segunda.</w:t>
      </w:r>
      <w:r>
        <w:rPr>
          <w:rFonts w:ascii="Arial" w:hAnsi="Arial"/>
          <w:b/>
          <w:sz w:val="20"/>
        </w:rPr>
        <w:tab/>
      </w:r>
      <w:r>
        <w:rPr>
          <w:rFonts w:ascii="Arial" w:hAnsi="Arial"/>
          <w:i/>
          <w:sz w:val="20"/>
        </w:rPr>
        <w:t>Adjudicación</w:t>
      </w:r>
      <w:r>
        <w:rPr>
          <w:rFonts w:ascii="Arial" w:hAnsi="Arial"/>
          <w:i/>
          <w:spacing w:val="39"/>
          <w:sz w:val="20"/>
        </w:rPr>
        <w:t xml:space="preserve"> </w:t>
      </w:r>
      <w:r>
        <w:rPr>
          <w:rFonts w:ascii="Arial" w:hAnsi="Arial"/>
          <w:i/>
          <w:sz w:val="20"/>
        </w:rPr>
        <w:t>de</w:t>
      </w:r>
      <w:r>
        <w:rPr>
          <w:rFonts w:ascii="Arial" w:hAnsi="Arial"/>
          <w:i/>
          <w:spacing w:val="39"/>
          <w:sz w:val="20"/>
        </w:rPr>
        <w:t xml:space="preserve"> </w:t>
      </w:r>
      <w:r>
        <w:rPr>
          <w:rFonts w:ascii="Arial" w:hAnsi="Arial"/>
          <w:i/>
          <w:sz w:val="20"/>
        </w:rPr>
        <w:t>contratos</w:t>
      </w:r>
      <w:r>
        <w:rPr>
          <w:rFonts w:ascii="Arial" w:hAnsi="Arial"/>
          <w:i/>
          <w:spacing w:val="39"/>
          <w:sz w:val="20"/>
        </w:rPr>
        <w:t xml:space="preserve"> </w:t>
      </w:r>
      <w:r>
        <w:rPr>
          <w:rFonts w:ascii="Arial" w:hAnsi="Arial"/>
          <w:i/>
          <w:sz w:val="20"/>
        </w:rPr>
        <w:t>de</w:t>
      </w:r>
      <w:r>
        <w:rPr>
          <w:rFonts w:ascii="Arial" w:hAnsi="Arial"/>
          <w:i/>
          <w:spacing w:val="39"/>
          <w:sz w:val="20"/>
        </w:rPr>
        <w:t xml:space="preserve"> </w:t>
      </w:r>
      <w:r>
        <w:rPr>
          <w:rFonts w:ascii="Arial" w:hAnsi="Arial"/>
          <w:i/>
          <w:sz w:val="20"/>
        </w:rPr>
        <w:t>concesión</w:t>
      </w:r>
      <w:r>
        <w:rPr>
          <w:rFonts w:ascii="Arial" w:hAnsi="Arial"/>
          <w:i/>
          <w:spacing w:val="39"/>
          <w:sz w:val="20"/>
        </w:rPr>
        <w:t xml:space="preserve"> </w:t>
      </w:r>
      <w:r>
        <w:rPr>
          <w:rFonts w:ascii="Arial" w:hAnsi="Arial"/>
          <w:i/>
          <w:sz w:val="20"/>
        </w:rPr>
        <w:t>de obras y de concesión de servicios a sociedades de economía mixta.</w:t>
      </w:r>
    </w:p>
    <w:p w:rsidR="0092635B" w:rsidRDefault="00000000">
      <w:pPr>
        <w:pStyle w:val="Prrafodelista"/>
        <w:numPr>
          <w:ilvl w:val="0"/>
          <w:numId w:val="50"/>
        </w:numPr>
        <w:tabs>
          <w:tab w:val="left" w:pos="1717"/>
        </w:tabs>
        <w:spacing w:before="115" w:line="249" w:lineRule="auto"/>
        <w:ind w:firstLine="340"/>
        <w:jc w:val="both"/>
        <w:rPr>
          <w:sz w:val="20"/>
        </w:rPr>
      </w:pPr>
      <w:r>
        <w:rPr>
          <w:sz w:val="20"/>
        </w:rPr>
        <w:t>Las concesiones de obras y de servicios podrán adjudicarse directamente a una sociedad de economía mixta en la que concurra mayoritariamente capital público con capital privado, siempre que la elección del socio privado se haya efectuado de conformidad con las normas establecidas en esta Ley para la adjudicación del contrato cuya ejecución constituya su objeto, y siempre que no se introduzcan modificaciones en el objeto y las condiciones del contrato que se tuvieron en cuenta en la selección del socio privado.</w:t>
      </w:r>
    </w:p>
    <w:p w:rsidR="0092635B" w:rsidRDefault="00000000">
      <w:pPr>
        <w:pStyle w:val="Textoindependiente"/>
        <w:spacing w:before="5" w:line="249" w:lineRule="auto"/>
        <w:ind w:right="1104"/>
      </w:pPr>
      <w:r>
        <w:t>La modificación de los contratos de concesión de obras o de concesión de servicios que se adjudiquen directamente según lo establecido en el párrafo anterior, únicamente se podrá realizar de conformidad con lo establecido en la Subsección 4.ª de la Sección 3.ª del</w:t>
      </w:r>
      <w:r>
        <w:rPr>
          <w:spacing w:val="40"/>
        </w:rPr>
        <w:t xml:space="preserve"> </w:t>
      </w:r>
      <w:r>
        <w:t>Capítulo I del Título I del Libro Segundo, relativa a la modificación de los contratos.</w:t>
      </w:r>
    </w:p>
    <w:p w:rsidR="0092635B" w:rsidRDefault="00000000">
      <w:pPr>
        <w:pStyle w:val="Prrafodelista"/>
        <w:numPr>
          <w:ilvl w:val="0"/>
          <w:numId w:val="50"/>
        </w:numPr>
        <w:tabs>
          <w:tab w:val="left" w:pos="1738"/>
        </w:tabs>
        <w:spacing w:before="3" w:line="249" w:lineRule="auto"/>
        <w:ind w:right="1105" w:firstLine="340"/>
        <w:jc w:val="both"/>
        <w:rPr>
          <w:sz w:val="20"/>
        </w:rPr>
      </w:pPr>
      <w:r>
        <w:rPr>
          <w:sz w:val="20"/>
        </w:rPr>
        <w:t>En el caso en que la sociedad de economía mixta pretendiera acceder como concesionaria a otros contratos distintos de los referidos en el apartado 1 anterior, deberá concurrir</w:t>
      </w:r>
      <w:r>
        <w:rPr>
          <w:spacing w:val="-2"/>
          <w:sz w:val="20"/>
        </w:rPr>
        <w:t xml:space="preserve"> </w:t>
      </w:r>
      <w:r>
        <w:rPr>
          <w:sz w:val="20"/>
        </w:rPr>
        <w:t>al</w:t>
      </w:r>
      <w:r>
        <w:rPr>
          <w:spacing w:val="-2"/>
          <w:sz w:val="20"/>
        </w:rPr>
        <w:t xml:space="preserve"> </w:t>
      </w:r>
      <w:r>
        <w:rPr>
          <w:sz w:val="20"/>
        </w:rPr>
        <w:t>correspondiente</w:t>
      </w:r>
      <w:r>
        <w:rPr>
          <w:spacing w:val="-2"/>
          <w:sz w:val="20"/>
        </w:rPr>
        <w:t xml:space="preserve"> </w:t>
      </w:r>
      <w:r>
        <w:rPr>
          <w:sz w:val="20"/>
        </w:rPr>
        <w:t>procedimiento</w:t>
      </w:r>
      <w:r>
        <w:rPr>
          <w:spacing w:val="-2"/>
          <w:sz w:val="20"/>
        </w:rPr>
        <w:t xml:space="preserve"> </w:t>
      </w:r>
      <w:r>
        <w:rPr>
          <w:sz w:val="20"/>
        </w:rPr>
        <w:t>de</w:t>
      </w:r>
      <w:r>
        <w:rPr>
          <w:spacing w:val="-2"/>
          <w:sz w:val="20"/>
        </w:rPr>
        <w:t xml:space="preserve"> </w:t>
      </w:r>
      <w:r>
        <w:rPr>
          <w:sz w:val="20"/>
        </w:rPr>
        <w:t>licitación</w:t>
      </w:r>
      <w:r>
        <w:rPr>
          <w:spacing w:val="-2"/>
          <w:sz w:val="20"/>
        </w:rPr>
        <w:t xml:space="preserve"> </w:t>
      </w:r>
      <w:r>
        <w:rPr>
          <w:sz w:val="20"/>
        </w:rPr>
        <w:t>de</w:t>
      </w:r>
      <w:r>
        <w:rPr>
          <w:spacing w:val="-2"/>
          <w:sz w:val="20"/>
        </w:rPr>
        <w:t xml:space="preserve"> </w:t>
      </w:r>
      <w:r>
        <w:rPr>
          <w:sz w:val="20"/>
        </w:rPr>
        <w:t>conformidad</w:t>
      </w:r>
      <w:r>
        <w:rPr>
          <w:spacing w:val="-2"/>
          <w:sz w:val="20"/>
        </w:rPr>
        <w:t xml:space="preserve"> </w:t>
      </w:r>
      <w:r>
        <w:rPr>
          <w:sz w:val="20"/>
        </w:rPr>
        <w:t>con</w:t>
      </w:r>
      <w:r>
        <w:rPr>
          <w:spacing w:val="-2"/>
          <w:sz w:val="20"/>
        </w:rPr>
        <w:t xml:space="preserve"> </w:t>
      </w:r>
      <w:r>
        <w:rPr>
          <w:sz w:val="20"/>
        </w:rPr>
        <w:t>lo</w:t>
      </w:r>
      <w:r>
        <w:rPr>
          <w:spacing w:val="-2"/>
          <w:sz w:val="20"/>
        </w:rPr>
        <w:t xml:space="preserve"> </w:t>
      </w:r>
      <w:r>
        <w:rPr>
          <w:sz w:val="20"/>
        </w:rPr>
        <w:t>establecido</w:t>
      </w:r>
      <w:r>
        <w:rPr>
          <w:spacing w:val="-2"/>
          <w:sz w:val="20"/>
        </w:rPr>
        <w:t xml:space="preserve"> </w:t>
      </w:r>
      <w:r>
        <w:rPr>
          <w:sz w:val="20"/>
        </w:rPr>
        <w:t>en la presente Ley.</w:t>
      </w:r>
    </w:p>
    <w:p w:rsidR="0092635B" w:rsidRDefault="00000000">
      <w:pPr>
        <w:pStyle w:val="Prrafodelista"/>
        <w:numPr>
          <w:ilvl w:val="0"/>
          <w:numId w:val="50"/>
        </w:numPr>
        <w:tabs>
          <w:tab w:val="left" w:pos="1674"/>
        </w:tabs>
        <w:spacing w:before="3" w:line="249" w:lineRule="auto"/>
        <w:ind w:right="1104" w:firstLine="340"/>
        <w:jc w:val="both"/>
        <w:rPr>
          <w:sz w:val="20"/>
        </w:rPr>
      </w:pPr>
      <w:r>
        <w:rPr>
          <w:sz w:val="20"/>
        </w:rPr>
        <w:t>Sin perjuicio de la posibilidad de utilizar medios de financiación tales como emisión de obligaciones, empréstitos o créditos participativos, las sociedades de economía mixta constituidas para la ejecución de un contrato de concesión de obras o de concesión de servicios, podrán:</w:t>
      </w:r>
    </w:p>
    <w:p w:rsidR="0092635B" w:rsidRDefault="00000000">
      <w:pPr>
        <w:pStyle w:val="Prrafodelista"/>
        <w:numPr>
          <w:ilvl w:val="1"/>
          <w:numId w:val="50"/>
        </w:numPr>
        <w:tabs>
          <w:tab w:val="left" w:pos="1726"/>
        </w:tabs>
        <w:spacing w:before="124" w:line="249" w:lineRule="auto"/>
        <w:ind w:right="1105" w:firstLine="340"/>
        <w:jc w:val="both"/>
        <w:rPr>
          <w:sz w:val="20"/>
        </w:rPr>
      </w:pPr>
      <w:r>
        <w:rPr>
          <w:sz w:val="20"/>
        </w:rPr>
        <w:t>Acudir a ampliaciones de capital, siempre que la nueva estructura del mismo no modifique</w:t>
      </w:r>
      <w:r>
        <w:rPr>
          <w:spacing w:val="-3"/>
          <w:sz w:val="20"/>
        </w:rPr>
        <w:t xml:space="preserve"> </w:t>
      </w:r>
      <w:r>
        <w:rPr>
          <w:sz w:val="20"/>
        </w:rPr>
        <w:t>las</w:t>
      </w:r>
      <w:r>
        <w:rPr>
          <w:spacing w:val="-3"/>
          <w:sz w:val="20"/>
        </w:rPr>
        <w:t xml:space="preserve"> </w:t>
      </w:r>
      <w:r>
        <w:rPr>
          <w:sz w:val="20"/>
        </w:rPr>
        <w:t>condiciones</w:t>
      </w:r>
      <w:r>
        <w:rPr>
          <w:spacing w:val="-3"/>
          <w:sz w:val="20"/>
        </w:rPr>
        <w:t xml:space="preserve"> </w:t>
      </w:r>
      <w:r>
        <w:rPr>
          <w:sz w:val="20"/>
        </w:rPr>
        <w:t>esenciales</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adjudicación</w:t>
      </w:r>
      <w:r>
        <w:rPr>
          <w:spacing w:val="-3"/>
          <w:sz w:val="20"/>
        </w:rPr>
        <w:t xml:space="preserve"> </w:t>
      </w:r>
      <w:r>
        <w:rPr>
          <w:sz w:val="20"/>
        </w:rPr>
        <w:t>salvo</w:t>
      </w:r>
      <w:r>
        <w:rPr>
          <w:spacing w:val="-3"/>
          <w:sz w:val="20"/>
        </w:rPr>
        <w:t xml:space="preserve"> </w:t>
      </w:r>
      <w:r>
        <w:rPr>
          <w:sz w:val="20"/>
        </w:rPr>
        <w:t>que</w:t>
      </w:r>
      <w:r>
        <w:rPr>
          <w:spacing w:val="-3"/>
          <w:sz w:val="20"/>
        </w:rPr>
        <w:t xml:space="preserve"> </w:t>
      </w:r>
      <w:r>
        <w:rPr>
          <w:sz w:val="20"/>
        </w:rPr>
        <w:t>hubiera</w:t>
      </w:r>
      <w:r>
        <w:rPr>
          <w:spacing w:val="-3"/>
          <w:sz w:val="20"/>
        </w:rPr>
        <w:t xml:space="preserve"> </w:t>
      </w:r>
      <w:r>
        <w:rPr>
          <w:sz w:val="20"/>
        </w:rPr>
        <w:t>estado</w:t>
      </w:r>
      <w:r>
        <w:rPr>
          <w:spacing w:val="-3"/>
          <w:sz w:val="20"/>
        </w:rPr>
        <w:t xml:space="preserve"> </w:t>
      </w:r>
      <w:r>
        <w:rPr>
          <w:sz w:val="20"/>
        </w:rPr>
        <w:t>prevista</w:t>
      </w:r>
      <w:r>
        <w:rPr>
          <w:spacing w:val="-3"/>
          <w:sz w:val="20"/>
        </w:rPr>
        <w:t xml:space="preserve"> </w:t>
      </w:r>
      <w:r>
        <w:rPr>
          <w:sz w:val="20"/>
        </w:rPr>
        <w:t>en el contrato.</w:t>
      </w:r>
    </w:p>
    <w:p w:rsidR="0092635B" w:rsidRDefault="00000000">
      <w:pPr>
        <w:pStyle w:val="Prrafodelista"/>
        <w:numPr>
          <w:ilvl w:val="1"/>
          <w:numId w:val="50"/>
        </w:numPr>
        <w:tabs>
          <w:tab w:val="left" w:pos="1724"/>
        </w:tabs>
        <w:spacing w:line="249" w:lineRule="auto"/>
        <w:ind w:right="1104" w:firstLine="340"/>
        <w:jc w:val="both"/>
        <w:rPr>
          <w:sz w:val="20"/>
        </w:rPr>
      </w:pPr>
      <w:r>
        <w:rPr>
          <w:sz w:val="20"/>
        </w:rPr>
        <w:t>Titulizar los derechos de cobro que ostenten frente a la entidad adjudicadora del contrato cuya ejecución se le encomiende, previa autorización del órgano de contratación, cumpliendo los requisitos previstos en la normativa sobre mercado de valores.</w:t>
      </w:r>
    </w:p>
    <w:p w:rsidR="0092635B" w:rsidRDefault="00000000">
      <w:pPr>
        <w:spacing w:before="229" w:line="249" w:lineRule="auto"/>
        <w:ind w:left="1106" w:right="1120" w:hanging="1"/>
        <w:rPr>
          <w:rFonts w:ascii="Arial" w:hAnsi="Arial"/>
          <w:i/>
          <w:sz w:val="20"/>
        </w:rPr>
      </w:pPr>
      <w:bookmarkStart w:id="610" w:name="Disposición_adicional_vigésima_tercera._"/>
      <w:bookmarkEnd w:id="610"/>
      <w:r>
        <w:rPr>
          <w:rFonts w:ascii="Arial" w:hAnsi="Arial"/>
          <w:b/>
          <w:sz w:val="20"/>
        </w:rPr>
        <w:t>Disposición adicional vigésima tercera.</w:t>
      </w:r>
      <w:r>
        <w:rPr>
          <w:rFonts w:ascii="Arial" w:hAnsi="Arial"/>
          <w:b/>
          <w:spacing w:val="40"/>
          <w:sz w:val="20"/>
        </w:rPr>
        <w:t xml:space="preserve"> </w:t>
      </w:r>
      <w:r>
        <w:rPr>
          <w:rFonts w:ascii="Arial" w:hAnsi="Arial"/>
          <w:i/>
          <w:sz w:val="20"/>
        </w:rPr>
        <w:t>Coordinación entre los órganos de resolución de recursos especiales en materia de contratación.</w:t>
      </w:r>
    </w:p>
    <w:p w:rsidR="0092635B" w:rsidRDefault="00000000">
      <w:pPr>
        <w:pStyle w:val="Textoindependiente"/>
        <w:spacing w:before="115" w:line="249" w:lineRule="auto"/>
        <w:ind w:right="1104"/>
      </w:pPr>
      <w:r>
        <w:t>Los diferentes órganos de recurso que sean creados acordarán las fórmulas de coordinación</w:t>
      </w:r>
      <w:r>
        <w:rPr>
          <w:spacing w:val="78"/>
          <w:w w:val="150"/>
        </w:rPr>
        <w:t xml:space="preserve"> </w:t>
      </w:r>
      <w:r>
        <w:t>y</w:t>
      </w:r>
      <w:r>
        <w:rPr>
          <w:spacing w:val="78"/>
          <w:w w:val="150"/>
        </w:rPr>
        <w:t xml:space="preserve"> </w:t>
      </w:r>
      <w:r>
        <w:t>colaboración</w:t>
      </w:r>
      <w:r>
        <w:rPr>
          <w:spacing w:val="78"/>
          <w:w w:val="150"/>
        </w:rPr>
        <w:t xml:space="preserve"> </w:t>
      </w:r>
      <w:r>
        <w:t>más</w:t>
      </w:r>
      <w:r>
        <w:rPr>
          <w:spacing w:val="78"/>
          <w:w w:val="150"/>
        </w:rPr>
        <w:t xml:space="preserve"> </w:t>
      </w:r>
      <w:r>
        <w:t>adecuadas</w:t>
      </w:r>
      <w:r>
        <w:rPr>
          <w:spacing w:val="78"/>
          <w:w w:val="150"/>
        </w:rPr>
        <w:t xml:space="preserve"> </w:t>
      </w:r>
      <w:r>
        <w:t>para</w:t>
      </w:r>
      <w:r>
        <w:rPr>
          <w:spacing w:val="78"/>
          <w:w w:val="150"/>
        </w:rPr>
        <w:t xml:space="preserve"> </w:t>
      </w:r>
      <w:r>
        <w:t>favorecer</w:t>
      </w:r>
      <w:r>
        <w:rPr>
          <w:spacing w:val="78"/>
          <w:w w:val="150"/>
        </w:rPr>
        <w:t xml:space="preserve"> </w:t>
      </w:r>
      <w:r>
        <w:t>la</w:t>
      </w:r>
      <w:r>
        <w:rPr>
          <w:spacing w:val="78"/>
          <w:w w:val="150"/>
        </w:rPr>
        <w:t xml:space="preserve"> </w:t>
      </w:r>
      <w:r>
        <w:t>coherencia</w:t>
      </w:r>
      <w:r>
        <w:rPr>
          <w:spacing w:val="78"/>
          <w:w w:val="150"/>
        </w:rPr>
        <w:t xml:space="preserve"> </w:t>
      </w:r>
      <w:r>
        <w:t>de</w:t>
      </w:r>
      <w:r>
        <w:rPr>
          <w:spacing w:val="78"/>
          <w:w w:val="150"/>
        </w:rPr>
        <w:t xml:space="preserve"> </w:t>
      </w:r>
      <w:r>
        <w:t>sus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firstLine="0"/>
      </w:pPr>
      <w:r>
        <w:t>pronunciamientos y para la unificación de su doctrina en relación con las cuestiones que sean sometidas a su conocimiento. Dichos órganos podrán además proponer los ajustes normativos</w:t>
      </w:r>
      <w:r>
        <w:rPr>
          <w:spacing w:val="-2"/>
        </w:rPr>
        <w:t xml:space="preserve"> </w:t>
      </w:r>
      <w:r>
        <w:t>y</w:t>
      </w:r>
      <w:r>
        <w:rPr>
          <w:spacing w:val="-2"/>
        </w:rPr>
        <w:t xml:space="preserve"> </w:t>
      </w:r>
      <w:r>
        <w:t>recomendaciones</w:t>
      </w:r>
      <w:r>
        <w:rPr>
          <w:spacing w:val="-2"/>
        </w:rPr>
        <w:t xml:space="preserve"> </w:t>
      </w:r>
      <w:r>
        <w:t>que</w:t>
      </w:r>
      <w:r>
        <w:rPr>
          <w:spacing w:val="-2"/>
        </w:rPr>
        <w:t xml:space="preserve"> </w:t>
      </w:r>
      <w:r>
        <w:t>resulten</w:t>
      </w:r>
      <w:r>
        <w:rPr>
          <w:spacing w:val="-2"/>
        </w:rPr>
        <w:t xml:space="preserve"> </w:t>
      </w:r>
      <w:r>
        <w:t>pertinentes</w:t>
      </w:r>
      <w:r>
        <w:rPr>
          <w:spacing w:val="-2"/>
        </w:rPr>
        <w:t xml:space="preserve"> </w:t>
      </w:r>
      <w:r>
        <w:t>para</w:t>
      </w:r>
      <w:r>
        <w:rPr>
          <w:spacing w:val="-2"/>
        </w:rPr>
        <w:t xml:space="preserve"> </w:t>
      </w:r>
      <w:r>
        <w:t>un</w:t>
      </w:r>
      <w:r>
        <w:rPr>
          <w:spacing w:val="-2"/>
        </w:rPr>
        <w:t xml:space="preserve"> </w:t>
      </w:r>
      <w:r>
        <w:t>mejor</w:t>
      </w:r>
      <w:r>
        <w:rPr>
          <w:spacing w:val="-2"/>
        </w:rPr>
        <w:t xml:space="preserve"> </w:t>
      </w:r>
      <w:r>
        <w:t>funcionamiento</w:t>
      </w:r>
      <w:r>
        <w:rPr>
          <w:spacing w:val="-2"/>
        </w:rPr>
        <w:t xml:space="preserve"> </w:t>
      </w:r>
      <w:r>
        <w:t>de</w:t>
      </w:r>
      <w:r>
        <w:rPr>
          <w:spacing w:val="-2"/>
        </w:rPr>
        <w:t xml:space="preserve"> </w:t>
      </w:r>
      <w:r>
        <w:t>los mecanismos de recurso previstos en la normativa sobre contratos públicos.</w:t>
      </w:r>
    </w:p>
    <w:p w:rsidR="0092635B" w:rsidRDefault="0092635B">
      <w:pPr>
        <w:pStyle w:val="Textoindependiente"/>
        <w:spacing w:before="0"/>
        <w:ind w:left="0" w:firstLine="0"/>
        <w:jc w:val="left"/>
      </w:pPr>
    </w:p>
    <w:p w:rsidR="0092635B" w:rsidRDefault="00000000">
      <w:pPr>
        <w:spacing w:line="249" w:lineRule="auto"/>
        <w:ind w:left="1106" w:right="1102"/>
        <w:jc w:val="both"/>
        <w:rPr>
          <w:rFonts w:ascii="Arial" w:hAnsi="Arial"/>
          <w:i/>
          <w:sz w:val="20"/>
        </w:rPr>
      </w:pPr>
      <w:bookmarkStart w:id="611" w:name="Disposición_adicional_vigésima_cuarta._R"/>
      <w:bookmarkEnd w:id="611"/>
      <w:r>
        <w:rPr>
          <w:rFonts w:ascii="Arial" w:hAnsi="Arial"/>
          <w:b/>
          <w:sz w:val="20"/>
        </w:rPr>
        <w:t>Disposición adicional vigésima cuarta.</w:t>
      </w:r>
      <w:r>
        <w:rPr>
          <w:rFonts w:ascii="Arial" w:hAnsi="Arial"/>
          <w:b/>
          <w:spacing w:val="40"/>
          <w:sz w:val="20"/>
        </w:rPr>
        <w:t xml:space="preserve"> </w:t>
      </w:r>
      <w:r>
        <w:rPr>
          <w:rFonts w:ascii="Arial" w:hAnsi="Arial"/>
          <w:i/>
          <w:sz w:val="20"/>
        </w:rPr>
        <w:t>Régimen jurídico de la «Empresa de Transformación Agraria, S. A., S. M. E., M. P.» (TRAGSA), y de su filial «Tecnologías y Servicios Agrarios, S. A., S. M. E., M. P.» (TRAGSATEC).</w:t>
      </w:r>
    </w:p>
    <w:p w:rsidR="0092635B" w:rsidRDefault="00000000">
      <w:pPr>
        <w:pStyle w:val="Prrafodelista"/>
        <w:numPr>
          <w:ilvl w:val="0"/>
          <w:numId w:val="49"/>
        </w:numPr>
        <w:tabs>
          <w:tab w:val="left" w:pos="1679"/>
        </w:tabs>
        <w:spacing w:before="116"/>
        <w:ind w:left="1679" w:right="0" w:hanging="233"/>
        <w:jc w:val="both"/>
        <w:rPr>
          <w:sz w:val="20"/>
        </w:rPr>
      </w:pPr>
      <w:r>
        <w:rPr>
          <w:sz w:val="20"/>
        </w:rPr>
        <w:t>La</w:t>
      </w:r>
      <w:r>
        <w:rPr>
          <w:spacing w:val="7"/>
          <w:sz w:val="20"/>
        </w:rPr>
        <w:t xml:space="preserve"> </w:t>
      </w:r>
      <w:r>
        <w:rPr>
          <w:sz w:val="20"/>
        </w:rPr>
        <w:t>«Empresa</w:t>
      </w:r>
      <w:r>
        <w:rPr>
          <w:spacing w:val="7"/>
          <w:sz w:val="20"/>
        </w:rPr>
        <w:t xml:space="preserve"> </w:t>
      </w:r>
      <w:r>
        <w:rPr>
          <w:sz w:val="20"/>
        </w:rPr>
        <w:t>de</w:t>
      </w:r>
      <w:r>
        <w:rPr>
          <w:spacing w:val="7"/>
          <w:sz w:val="20"/>
        </w:rPr>
        <w:t xml:space="preserve"> </w:t>
      </w:r>
      <w:r>
        <w:rPr>
          <w:sz w:val="20"/>
        </w:rPr>
        <w:t>Transformación</w:t>
      </w:r>
      <w:r>
        <w:rPr>
          <w:spacing w:val="7"/>
          <w:sz w:val="20"/>
        </w:rPr>
        <w:t xml:space="preserve"> </w:t>
      </w:r>
      <w:r>
        <w:rPr>
          <w:sz w:val="20"/>
        </w:rPr>
        <w:t>Agraria,</w:t>
      </w:r>
      <w:r>
        <w:rPr>
          <w:spacing w:val="8"/>
          <w:sz w:val="20"/>
        </w:rPr>
        <w:t xml:space="preserve"> </w:t>
      </w:r>
      <w:r>
        <w:rPr>
          <w:sz w:val="20"/>
        </w:rPr>
        <w:t>S.</w:t>
      </w:r>
      <w:r>
        <w:rPr>
          <w:spacing w:val="7"/>
          <w:sz w:val="20"/>
        </w:rPr>
        <w:t xml:space="preserve"> </w:t>
      </w:r>
      <w:r>
        <w:rPr>
          <w:sz w:val="20"/>
        </w:rPr>
        <w:t>A.,</w:t>
      </w:r>
      <w:r>
        <w:rPr>
          <w:spacing w:val="7"/>
          <w:sz w:val="20"/>
        </w:rPr>
        <w:t xml:space="preserve"> </w:t>
      </w:r>
      <w:r>
        <w:rPr>
          <w:sz w:val="20"/>
        </w:rPr>
        <w:t>S.</w:t>
      </w:r>
      <w:r>
        <w:rPr>
          <w:spacing w:val="7"/>
          <w:sz w:val="20"/>
        </w:rPr>
        <w:t xml:space="preserve"> </w:t>
      </w:r>
      <w:r>
        <w:rPr>
          <w:sz w:val="20"/>
        </w:rPr>
        <w:t>M.</w:t>
      </w:r>
      <w:r>
        <w:rPr>
          <w:spacing w:val="7"/>
          <w:sz w:val="20"/>
        </w:rPr>
        <w:t xml:space="preserve"> </w:t>
      </w:r>
      <w:r>
        <w:rPr>
          <w:sz w:val="20"/>
        </w:rPr>
        <w:t>E.,</w:t>
      </w:r>
      <w:r>
        <w:rPr>
          <w:spacing w:val="8"/>
          <w:sz w:val="20"/>
        </w:rPr>
        <w:t xml:space="preserve"> </w:t>
      </w:r>
      <w:r>
        <w:rPr>
          <w:sz w:val="20"/>
        </w:rPr>
        <w:t>M.</w:t>
      </w:r>
      <w:r>
        <w:rPr>
          <w:spacing w:val="7"/>
          <w:sz w:val="20"/>
        </w:rPr>
        <w:t xml:space="preserve"> </w:t>
      </w:r>
      <w:r>
        <w:rPr>
          <w:sz w:val="20"/>
        </w:rPr>
        <w:t>P.»</w:t>
      </w:r>
      <w:r>
        <w:rPr>
          <w:spacing w:val="7"/>
          <w:sz w:val="20"/>
        </w:rPr>
        <w:t xml:space="preserve"> </w:t>
      </w:r>
      <w:r>
        <w:rPr>
          <w:sz w:val="20"/>
        </w:rPr>
        <w:t>(TRAGSA),</w:t>
      </w:r>
      <w:r>
        <w:rPr>
          <w:spacing w:val="7"/>
          <w:sz w:val="20"/>
        </w:rPr>
        <w:t xml:space="preserve"> </w:t>
      </w:r>
      <w:r>
        <w:rPr>
          <w:sz w:val="20"/>
        </w:rPr>
        <w:t>y</w:t>
      </w:r>
      <w:r>
        <w:rPr>
          <w:spacing w:val="7"/>
          <w:sz w:val="20"/>
        </w:rPr>
        <w:t xml:space="preserve"> </w:t>
      </w:r>
      <w:r>
        <w:rPr>
          <w:sz w:val="20"/>
        </w:rPr>
        <w:t>su</w:t>
      </w:r>
      <w:r>
        <w:rPr>
          <w:spacing w:val="8"/>
          <w:sz w:val="20"/>
        </w:rPr>
        <w:t xml:space="preserve"> </w:t>
      </w:r>
      <w:r>
        <w:rPr>
          <w:spacing w:val="-2"/>
          <w:sz w:val="20"/>
        </w:rPr>
        <w:t>filial</w:t>
      </w:r>
    </w:p>
    <w:p w:rsidR="0092635B" w:rsidRDefault="00000000">
      <w:pPr>
        <w:pStyle w:val="Textoindependiente"/>
        <w:spacing w:before="10" w:line="249" w:lineRule="auto"/>
        <w:ind w:right="1102" w:hanging="1"/>
      </w:pPr>
      <w:r>
        <w:t>«Tecnologías y Servicios Agrarios, S. A., S. M. E., M. P.» (TRAGSATEC), tienen por función entre</w:t>
      </w:r>
      <w:r>
        <w:rPr>
          <w:spacing w:val="-3"/>
        </w:rPr>
        <w:t xml:space="preserve"> </w:t>
      </w:r>
      <w:r>
        <w:t>otras,</w:t>
      </w:r>
      <w:r>
        <w:rPr>
          <w:spacing w:val="-3"/>
        </w:rPr>
        <w:t xml:space="preserve"> </w:t>
      </w:r>
      <w:r>
        <w:t>la</w:t>
      </w:r>
      <w:r>
        <w:rPr>
          <w:spacing w:val="-3"/>
        </w:rPr>
        <w:t xml:space="preserve"> </w:t>
      </w:r>
      <w:r>
        <w:t>prestación</w:t>
      </w:r>
      <w:r>
        <w:rPr>
          <w:spacing w:val="-3"/>
        </w:rPr>
        <w:t xml:space="preserve"> </w:t>
      </w:r>
      <w:r>
        <w:t>de</w:t>
      </w:r>
      <w:r>
        <w:rPr>
          <w:spacing w:val="-3"/>
        </w:rPr>
        <w:t xml:space="preserve"> </w:t>
      </w:r>
      <w:r>
        <w:t>servicios</w:t>
      </w:r>
      <w:r>
        <w:rPr>
          <w:spacing w:val="-3"/>
        </w:rPr>
        <w:t xml:space="preserve"> </w:t>
      </w:r>
      <w:r>
        <w:t>esenciales</w:t>
      </w:r>
      <w:r>
        <w:rPr>
          <w:spacing w:val="-3"/>
        </w:rPr>
        <w:t xml:space="preserve"> </w:t>
      </w:r>
      <w:r>
        <w:t>en</w:t>
      </w:r>
      <w:r>
        <w:rPr>
          <w:spacing w:val="-3"/>
        </w:rPr>
        <w:t xml:space="preserve"> </w:t>
      </w:r>
      <w:r>
        <w:t>materia</w:t>
      </w:r>
      <w:r>
        <w:rPr>
          <w:spacing w:val="-3"/>
        </w:rPr>
        <w:t xml:space="preserve"> </w:t>
      </w:r>
      <w:r>
        <w:t>de</w:t>
      </w:r>
      <w:r>
        <w:rPr>
          <w:spacing w:val="-3"/>
        </w:rPr>
        <w:t xml:space="preserve"> </w:t>
      </w:r>
      <w:r>
        <w:t>desarrollo</w:t>
      </w:r>
      <w:r>
        <w:rPr>
          <w:spacing w:val="-3"/>
        </w:rPr>
        <w:t xml:space="preserve"> </w:t>
      </w:r>
      <w:r>
        <w:t>rural,</w:t>
      </w:r>
      <w:r>
        <w:rPr>
          <w:spacing w:val="-3"/>
        </w:rPr>
        <w:t xml:space="preserve"> </w:t>
      </w:r>
      <w:r>
        <w:t>conservación del medioambiente, adaptación y mantenimiento de aplicaciones informáticas, control sanitario animal, atención a emergencias, y otros ámbitos conexos, con arreglo a lo establecido en esta disposición.</w:t>
      </w:r>
    </w:p>
    <w:p w:rsidR="0092635B" w:rsidRDefault="00000000">
      <w:pPr>
        <w:pStyle w:val="Prrafodelista"/>
        <w:numPr>
          <w:ilvl w:val="0"/>
          <w:numId w:val="49"/>
        </w:numPr>
        <w:tabs>
          <w:tab w:val="left" w:pos="1747"/>
        </w:tabs>
        <w:spacing w:before="4" w:line="249" w:lineRule="auto"/>
        <w:ind w:left="1106" w:firstLine="340"/>
        <w:jc w:val="both"/>
        <w:rPr>
          <w:sz w:val="20"/>
        </w:rPr>
      </w:pPr>
      <w:r>
        <w:rPr>
          <w:sz w:val="20"/>
        </w:rPr>
        <w:t>TRAGSA y su filial TRAGSATEC tendrán la consideración de medios propios personificados y servicios técnicos de la Administración General del Estado, de las Comunidades Autónomas, de las Ciudades Autónomas de Ceuta y Melilla, de los Cabildos y Consejos Insulares, de las Diputaciones Forales del País Vasco, de las Diputaciones Provinciales y de las entidades del sector público dependientes de cualesquiera de ellas que tengan la condición de poderes adjudicadores, siempre que se cumplan los requisitos establecidos en el punto 2° de la letra d) del apartado 2 del artículo 32, y en las letras a) y b) del apartado 4 del mismo artículo, y estarán obligadas a realizar, con carácter exclusivo, los trabajos</w:t>
      </w:r>
      <w:r>
        <w:rPr>
          <w:spacing w:val="-2"/>
          <w:sz w:val="20"/>
        </w:rPr>
        <w:t xml:space="preserve"> </w:t>
      </w:r>
      <w:r>
        <w:rPr>
          <w:sz w:val="20"/>
        </w:rPr>
        <w:t>que</w:t>
      </w:r>
      <w:r>
        <w:rPr>
          <w:spacing w:val="-2"/>
          <w:sz w:val="20"/>
        </w:rPr>
        <w:t xml:space="preserve"> </w:t>
      </w:r>
      <w:r>
        <w:rPr>
          <w:sz w:val="20"/>
        </w:rPr>
        <w:t>estos</w:t>
      </w:r>
      <w:r>
        <w:rPr>
          <w:spacing w:val="-2"/>
          <w:sz w:val="20"/>
        </w:rPr>
        <w:t xml:space="preserve"> </w:t>
      </w:r>
      <w:r>
        <w:rPr>
          <w:sz w:val="20"/>
        </w:rPr>
        <w:t>les</w:t>
      </w:r>
      <w:r>
        <w:rPr>
          <w:spacing w:val="-2"/>
          <w:sz w:val="20"/>
        </w:rPr>
        <w:t xml:space="preserve"> </w:t>
      </w:r>
      <w:r>
        <w:rPr>
          <w:sz w:val="20"/>
        </w:rPr>
        <w:t>encomienden</w:t>
      </w:r>
      <w:r>
        <w:rPr>
          <w:spacing w:val="-2"/>
          <w:sz w:val="20"/>
        </w:rPr>
        <w:t xml:space="preserve"> </w:t>
      </w:r>
      <w:r>
        <w:rPr>
          <w:sz w:val="20"/>
        </w:rPr>
        <w:t>en</w:t>
      </w:r>
      <w:r>
        <w:rPr>
          <w:spacing w:val="-2"/>
          <w:sz w:val="20"/>
        </w:rPr>
        <w:t xml:space="preserve"> </w:t>
      </w:r>
      <w:r>
        <w:rPr>
          <w:sz w:val="20"/>
        </w:rPr>
        <w:t>las</w:t>
      </w:r>
      <w:r>
        <w:rPr>
          <w:spacing w:val="-2"/>
          <w:sz w:val="20"/>
        </w:rPr>
        <w:t xml:space="preserve"> </w:t>
      </w:r>
      <w:r>
        <w:rPr>
          <w:sz w:val="20"/>
        </w:rPr>
        <w:t>materias</w:t>
      </w:r>
      <w:r>
        <w:rPr>
          <w:spacing w:val="-2"/>
          <w:sz w:val="20"/>
        </w:rPr>
        <w:t xml:space="preserve"> </w:t>
      </w:r>
      <w:r>
        <w:rPr>
          <w:sz w:val="20"/>
        </w:rPr>
        <w:t>señaladas</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apartados</w:t>
      </w:r>
      <w:r>
        <w:rPr>
          <w:spacing w:val="-2"/>
          <w:sz w:val="20"/>
        </w:rPr>
        <w:t xml:space="preserve"> </w:t>
      </w:r>
      <w:r>
        <w:rPr>
          <w:sz w:val="20"/>
        </w:rPr>
        <w:t>4</w:t>
      </w:r>
      <w:r>
        <w:rPr>
          <w:spacing w:val="-2"/>
          <w:sz w:val="20"/>
        </w:rPr>
        <w:t xml:space="preserve"> </w:t>
      </w:r>
      <w:r>
        <w:rPr>
          <w:sz w:val="20"/>
        </w:rPr>
        <w:t>y</w:t>
      </w:r>
      <w:r>
        <w:rPr>
          <w:spacing w:val="-2"/>
          <w:sz w:val="20"/>
        </w:rPr>
        <w:t xml:space="preserve"> </w:t>
      </w:r>
      <w:r>
        <w:rPr>
          <w:sz w:val="20"/>
        </w:rPr>
        <w:t>5,</w:t>
      </w:r>
      <w:r>
        <w:rPr>
          <w:spacing w:val="-2"/>
          <w:sz w:val="20"/>
        </w:rPr>
        <w:t xml:space="preserve"> </w:t>
      </w:r>
      <w:r>
        <w:rPr>
          <w:sz w:val="20"/>
        </w:rPr>
        <w:t>dando una especial prioridad a aquellos que sean urgentes o que se ordenen como consecuencia de las situaciones de emergencia que se declaren. De acuerdo con esta obligación, los bienes y efectivos de TRAGSA y su filial TRAGSATEC podrán incluirse en los planes y dispositivos de protección civil y de emergencias.</w:t>
      </w:r>
    </w:p>
    <w:p w:rsidR="0092635B" w:rsidRDefault="00000000">
      <w:pPr>
        <w:pStyle w:val="Textoindependiente"/>
        <w:spacing w:before="10" w:line="249" w:lineRule="auto"/>
        <w:ind w:right="1103"/>
      </w:pPr>
      <w:r>
        <w:t>Las relaciones de TRAGSA y su filial TRAGSATEC con los poderes adjudicadores de los que son medios propios instrumentales y servicios técnicos tienen naturaleza instrumental y no contractual, articulándose a través de encargos de los previstos en el artículo 32 de esta Ley, por lo que, a todos los efectos, son de carácter interno, dependiente y subordinado.</w:t>
      </w:r>
    </w:p>
    <w:p w:rsidR="0092635B" w:rsidRDefault="00000000">
      <w:pPr>
        <w:pStyle w:val="Textoindependiente"/>
        <w:spacing w:before="4" w:line="249" w:lineRule="auto"/>
        <w:ind w:right="1104"/>
      </w:pPr>
      <w:r>
        <w:t>La comunicación efectuada por uno de estos poderes adjudicadores encargando una actuación</w:t>
      </w:r>
      <w:r>
        <w:rPr>
          <w:spacing w:val="-1"/>
        </w:rPr>
        <w:t xml:space="preserve"> </w:t>
      </w:r>
      <w:r>
        <w:t>a</w:t>
      </w:r>
      <w:r>
        <w:rPr>
          <w:spacing w:val="-1"/>
        </w:rPr>
        <w:t xml:space="preserve"> </w:t>
      </w:r>
      <w:r>
        <w:t>alguna</w:t>
      </w:r>
      <w:r>
        <w:rPr>
          <w:spacing w:val="-1"/>
        </w:rPr>
        <w:t xml:space="preserve"> </w:t>
      </w:r>
      <w:r>
        <w:t>de</w:t>
      </w:r>
      <w:r>
        <w:rPr>
          <w:spacing w:val="-1"/>
        </w:rPr>
        <w:t xml:space="preserve"> </w:t>
      </w:r>
      <w:r>
        <w:t>las</w:t>
      </w:r>
      <w:r>
        <w:rPr>
          <w:spacing w:val="-1"/>
        </w:rPr>
        <w:t xml:space="preserve"> </w:t>
      </w:r>
      <w:r>
        <w:t>sociedades</w:t>
      </w:r>
      <w:r>
        <w:rPr>
          <w:spacing w:val="-1"/>
        </w:rPr>
        <w:t xml:space="preserve"> </w:t>
      </w:r>
      <w:r>
        <w:t>del</w:t>
      </w:r>
      <w:r>
        <w:rPr>
          <w:spacing w:val="-1"/>
        </w:rPr>
        <w:t xml:space="preserve"> </w:t>
      </w:r>
      <w:r>
        <w:t>grupo</w:t>
      </w:r>
      <w:r>
        <w:rPr>
          <w:spacing w:val="-1"/>
        </w:rPr>
        <w:t xml:space="preserve"> </w:t>
      </w:r>
      <w:r>
        <w:t>supondrá</w:t>
      </w:r>
      <w:r>
        <w:rPr>
          <w:spacing w:val="-1"/>
        </w:rPr>
        <w:t xml:space="preserve"> </w:t>
      </w:r>
      <w:r>
        <w:t>la</w:t>
      </w:r>
      <w:r>
        <w:rPr>
          <w:spacing w:val="-1"/>
        </w:rPr>
        <w:t xml:space="preserve"> </w:t>
      </w:r>
      <w:r>
        <w:t>orden</w:t>
      </w:r>
      <w:r>
        <w:rPr>
          <w:spacing w:val="-1"/>
        </w:rPr>
        <w:t xml:space="preserve"> </w:t>
      </w:r>
      <w:r>
        <w:t>para</w:t>
      </w:r>
      <w:r>
        <w:rPr>
          <w:spacing w:val="-1"/>
        </w:rPr>
        <w:t xml:space="preserve"> </w:t>
      </w:r>
      <w:r>
        <w:t>iniciarla,</w:t>
      </w:r>
      <w:r>
        <w:rPr>
          <w:spacing w:val="-1"/>
        </w:rPr>
        <w:t xml:space="preserve"> </w:t>
      </w:r>
      <w:r>
        <w:t>sin</w:t>
      </w:r>
      <w:r>
        <w:rPr>
          <w:spacing w:val="-1"/>
        </w:rPr>
        <w:t xml:space="preserve"> </w:t>
      </w:r>
      <w:r>
        <w:t>perjuicio de la observancia de lo establecido en el artículo 32.6.b).</w:t>
      </w:r>
    </w:p>
    <w:p w:rsidR="0092635B" w:rsidRDefault="00000000">
      <w:pPr>
        <w:pStyle w:val="Textoindependiente"/>
        <w:spacing w:line="249" w:lineRule="auto"/>
        <w:ind w:right="1103"/>
      </w:pPr>
      <w:r>
        <w:t>Asimismo, TRAGSA y su filial TRAGSATEC tendrán la consideración de medios propios personificados y servicios técnicos de las entidades pertenecientes al sector público que no tengan la consideración de poder adjudicador y podrán recibir sus encargos, siempre y cuando se cumplan los requisitos que establece el artículo 33.</w:t>
      </w:r>
    </w:p>
    <w:p w:rsidR="0092635B" w:rsidRDefault="00000000">
      <w:pPr>
        <w:pStyle w:val="Prrafodelista"/>
        <w:numPr>
          <w:ilvl w:val="0"/>
          <w:numId w:val="49"/>
        </w:numPr>
        <w:tabs>
          <w:tab w:val="left" w:pos="1668"/>
        </w:tabs>
        <w:spacing w:before="3"/>
        <w:ind w:left="1668" w:right="0" w:hanging="222"/>
        <w:jc w:val="both"/>
        <w:rPr>
          <w:sz w:val="20"/>
        </w:rPr>
      </w:pPr>
      <w:r>
        <w:rPr>
          <w:sz w:val="20"/>
        </w:rPr>
        <w:t>El</w:t>
      </w:r>
      <w:r>
        <w:rPr>
          <w:spacing w:val="-5"/>
          <w:sz w:val="20"/>
        </w:rPr>
        <w:t xml:space="preserve"> </w:t>
      </w:r>
      <w:r>
        <w:rPr>
          <w:sz w:val="20"/>
        </w:rPr>
        <w:t>capital</w:t>
      </w:r>
      <w:r>
        <w:rPr>
          <w:spacing w:val="-4"/>
          <w:sz w:val="20"/>
        </w:rPr>
        <w:t xml:space="preserve"> </w:t>
      </w:r>
      <w:r>
        <w:rPr>
          <w:sz w:val="20"/>
        </w:rPr>
        <w:t>social</w:t>
      </w:r>
      <w:r>
        <w:rPr>
          <w:spacing w:val="-4"/>
          <w:sz w:val="20"/>
        </w:rPr>
        <w:t xml:space="preserve"> </w:t>
      </w:r>
      <w:r>
        <w:rPr>
          <w:sz w:val="20"/>
        </w:rPr>
        <w:t>de</w:t>
      </w:r>
      <w:r>
        <w:rPr>
          <w:spacing w:val="-4"/>
          <w:sz w:val="20"/>
        </w:rPr>
        <w:t xml:space="preserve"> </w:t>
      </w:r>
      <w:r>
        <w:rPr>
          <w:sz w:val="20"/>
        </w:rPr>
        <w:t>TRAGSA</w:t>
      </w:r>
      <w:r>
        <w:rPr>
          <w:spacing w:val="-5"/>
          <w:sz w:val="20"/>
        </w:rPr>
        <w:t xml:space="preserve"> </w:t>
      </w:r>
      <w:r>
        <w:rPr>
          <w:sz w:val="20"/>
        </w:rPr>
        <w:t>será</w:t>
      </w:r>
      <w:r>
        <w:rPr>
          <w:spacing w:val="-4"/>
          <w:sz w:val="20"/>
        </w:rPr>
        <w:t xml:space="preserve"> </w:t>
      </w:r>
      <w:r>
        <w:rPr>
          <w:sz w:val="20"/>
        </w:rPr>
        <w:t>íntegramente</w:t>
      </w:r>
      <w:r>
        <w:rPr>
          <w:spacing w:val="-4"/>
          <w:sz w:val="20"/>
        </w:rPr>
        <w:t xml:space="preserve"> </w:t>
      </w:r>
      <w:r>
        <w:rPr>
          <w:sz w:val="20"/>
        </w:rPr>
        <w:t>de</w:t>
      </w:r>
      <w:r>
        <w:rPr>
          <w:spacing w:val="-4"/>
          <w:sz w:val="20"/>
        </w:rPr>
        <w:t xml:space="preserve"> </w:t>
      </w:r>
      <w:r>
        <w:rPr>
          <w:sz w:val="20"/>
        </w:rPr>
        <w:t>titularidad</w:t>
      </w:r>
      <w:r>
        <w:rPr>
          <w:spacing w:val="-4"/>
          <w:sz w:val="20"/>
        </w:rPr>
        <w:t xml:space="preserve"> </w:t>
      </w:r>
      <w:r>
        <w:rPr>
          <w:spacing w:val="-2"/>
          <w:sz w:val="20"/>
        </w:rPr>
        <w:t>pública.</w:t>
      </w:r>
    </w:p>
    <w:p w:rsidR="0092635B" w:rsidRDefault="00000000">
      <w:pPr>
        <w:pStyle w:val="Textoindependiente"/>
        <w:spacing w:before="10" w:line="249" w:lineRule="auto"/>
        <w:ind w:right="1102"/>
      </w:pPr>
      <w:r>
        <w:t>Las Comunidades Autónomas, las Ciudades Autónomas de Ceuta y Melilla, los Cabildos y Consejos Insulares, las Diputaciones Forales del País Vasco y las Diputaciones provinciales deberán participar en el capital de esta sociedad mediante la adquisición de acciones cuya enajenación será autorizada por el Ministerio de Hacienda y Función Pública</w:t>
      </w:r>
      <w:r>
        <w:rPr>
          <w:spacing w:val="80"/>
        </w:rPr>
        <w:t xml:space="preserve"> </w:t>
      </w:r>
      <w:r>
        <w:t>a iniciativa del Ministerio de Agricultura y Pesca, Alimentación y Medio Ambiente. Las Comunidades Autónomas y las demás entidades a que se refiere este artículo solo podrán enajenar sus participaciones a favor de la Administración General del Estado o de organismos de derecho público vinculados o dependientes de aquella.</w:t>
      </w:r>
    </w:p>
    <w:p w:rsidR="0092635B" w:rsidRDefault="00000000">
      <w:pPr>
        <w:pStyle w:val="Prrafodelista"/>
        <w:numPr>
          <w:ilvl w:val="0"/>
          <w:numId w:val="49"/>
        </w:numPr>
        <w:tabs>
          <w:tab w:val="left" w:pos="1690"/>
        </w:tabs>
        <w:spacing w:before="7" w:line="249" w:lineRule="auto"/>
        <w:ind w:left="1106" w:firstLine="340"/>
        <w:jc w:val="both"/>
        <w:rPr>
          <w:sz w:val="20"/>
        </w:rPr>
      </w:pPr>
      <w:r>
        <w:rPr>
          <w:sz w:val="20"/>
        </w:rPr>
        <w:t>TRAGSA y su filial TRAGSATEC prestarán, por encargo de las entidades del sector público de los que son medios propios personificados, las siguientes funciones:</w:t>
      </w:r>
    </w:p>
    <w:p w:rsidR="0092635B" w:rsidRDefault="00000000">
      <w:pPr>
        <w:pStyle w:val="Prrafodelista"/>
        <w:numPr>
          <w:ilvl w:val="1"/>
          <w:numId w:val="49"/>
        </w:numPr>
        <w:tabs>
          <w:tab w:val="left" w:pos="1701"/>
        </w:tabs>
        <w:spacing w:before="122" w:line="249" w:lineRule="auto"/>
        <w:ind w:firstLine="340"/>
        <w:jc w:val="both"/>
        <w:rPr>
          <w:sz w:val="20"/>
        </w:rPr>
      </w:pPr>
      <w:r>
        <w:rPr>
          <w:sz w:val="20"/>
        </w:rPr>
        <w:t>La realización de todo tipo de actuaciones, obras, trabajos y prestación de servicios agrícolas, ganaderos, forestales, de desarrollo rural, de conservación y protección del medio natural y medioambiental, de acuicultura y de pesca, así como los necesarios para el mejor uso y gestión de los recursos naturales. Igualmente podrán llevar a cabo la realización de todo tipo de actuaciones para la mejora de los servicios y recursos públicos, siempre y cuando no impliquen el ejercicio de autoridad inherente a los poderes públicos incluida la ejecución</w:t>
      </w:r>
      <w:r>
        <w:rPr>
          <w:spacing w:val="-2"/>
          <w:sz w:val="20"/>
        </w:rPr>
        <w:t xml:space="preserve"> </w:t>
      </w:r>
      <w:r>
        <w:rPr>
          <w:sz w:val="20"/>
        </w:rPr>
        <w:t>de</w:t>
      </w:r>
      <w:r>
        <w:rPr>
          <w:spacing w:val="-2"/>
          <w:sz w:val="20"/>
        </w:rPr>
        <w:t xml:space="preserve"> </w:t>
      </w:r>
      <w:r>
        <w:rPr>
          <w:sz w:val="20"/>
        </w:rPr>
        <w:t>obras</w:t>
      </w:r>
      <w:r>
        <w:rPr>
          <w:spacing w:val="-2"/>
          <w:sz w:val="20"/>
        </w:rPr>
        <w:t xml:space="preserve"> </w:t>
      </w:r>
      <w:r>
        <w:rPr>
          <w:sz w:val="20"/>
        </w:rPr>
        <w:t>de</w:t>
      </w:r>
      <w:r>
        <w:rPr>
          <w:spacing w:val="-2"/>
          <w:sz w:val="20"/>
        </w:rPr>
        <w:t xml:space="preserve"> </w:t>
      </w:r>
      <w:r>
        <w:rPr>
          <w:sz w:val="20"/>
        </w:rPr>
        <w:t>conservación</w:t>
      </w:r>
      <w:r>
        <w:rPr>
          <w:spacing w:val="-2"/>
          <w:sz w:val="20"/>
        </w:rPr>
        <w:t xml:space="preserve"> </w:t>
      </w:r>
      <w:r>
        <w:rPr>
          <w:sz w:val="20"/>
        </w:rPr>
        <w:t>o</w:t>
      </w:r>
      <w:r>
        <w:rPr>
          <w:spacing w:val="-2"/>
          <w:sz w:val="20"/>
        </w:rPr>
        <w:t xml:space="preserve"> </w:t>
      </w:r>
      <w:r>
        <w:rPr>
          <w:sz w:val="20"/>
        </w:rPr>
        <w:t>enriquecimiento</w:t>
      </w:r>
      <w:r>
        <w:rPr>
          <w:spacing w:val="-2"/>
          <w:sz w:val="20"/>
        </w:rPr>
        <w:t xml:space="preserve"> </w:t>
      </w:r>
      <w:r>
        <w:rPr>
          <w:sz w:val="20"/>
        </w:rPr>
        <w:t>del</w:t>
      </w:r>
      <w:r>
        <w:rPr>
          <w:spacing w:val="-2"/>
          <w:sz w:val="20"/>
        </w:rPr>
        <w:t xml:space="preserve"> </w:t>
      </w:r>
      <w:r>
        <w:rPr>
          <w:sz w:val="20"/>
        </w:rPr>
        <w:t>Patrimonio</w:t>
      </w:r>
      <w:r>
        <w:rPr>
          <w:spacing w:val="-2"/>
          <w:sz w:val="20"/>
        </w:rPr>
        <w:t xml:space="preserve"> </w:t>
      </w:r>
      <w:r>
        <w:rPr>
          <w:sz w:val="20"/>
        </w:rPr>
        <w:t>Histórico</w:t>
      </w:r>
      <w:r>
        <w:rPr>
          <w:spacing w:val="-2"/>
          <w:sz w:val="20"/>
        </w:rPr>
        <w:t xml:space="preserve"> </w:t>
      </w:r>
      <w:r>
        <w:rPr>
          <w:sz w:val="20"/>
        </w:rPr>
        <w:t>Español</w:t>
      </w:r>
      <w:r>
        <w:rPr>
          <w:spacing w:val="-2"/>
          <w:sz w:val="20"/>
        </w:rPr>
        <w:t xml:space="preserve"> </w:t>
      </w:r>
      <w:r>
        <w:rPr>
          <w:sz w:val="20"/>
        </w:rPr>
        <w:t>en</w:t>
      </w:r>
      <w:r>
        <w:rPr>
          <w:spacing w:val="-2"/>
          <w:sz w:val="20"/>
        </w:rPr>
        <w:t xml:space="preserve"> </w:t>
      </w:r>
      <w:r>
        <w:rPr>
          <w:sz w:val="20"/>
        </w:rPr>
        <w:t>el</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3" w:hanging="1"/>
      </w:pPr>
      <w:r>
        <w:t>medio rural, al amparo de lo establecido en el artículo 68 de la Ley 16/1985, de 25 de junio, del Patrimonio Histórico Español.</w:t>
      </w:r>
    </w:p>
    <w:p w:rsidR="0092635B" w:rsidRDefault="00000000">
      <w:pPr>
        <w:pStyle w:val="Prrafodelista"/>
        <w:numPr>
          <w:ilvl w:val="1"/>
          <w:numId w:val="49"/>
        </w:numPr>
        <w:tabs>
          <w:tab w:val="left" w:pos="1686"/>
        </w:tabs>
        <w:spacing w:before="1" w:line="249" w:lineRule="auto"/>
        <w:ind w:right="1102" w:firstLine="340"/>
        <w:jc w:val="both"/>
        <w:rPr>
          <w:sz w:val="20"/>
        </w:rPr>
      </w:pPr>
      <w:r>
        <w:rPr>
          <w:sz w:val="20"/>
        </w:rPr>
        <w:t>La actividad agrícola, ganadera, animal, forestal y de acuicultura y la comercialización de sus productos, la administración y la gestión de fincas, montes, centros agrarios, forestales, medioambientales o de conservación de la naturaleza, así como de espacios y de recursos naturales.</w:t>
      </w:r>
    </w:p>
    <w:p w:rsidR="0092635B" w:rsidRDefault="00000000">
      <w:pPr>
        <w:pStyle w:val="Prrafodelista"/>
        <w:numPr>
          <w:ilvl w:val="1"/>
          <w:numId w:val="49"/>
        </w:numPr>
        <w:tabs>
          <w:tab w:val="left" w:pos="1679"/>
        </w:tabs>
        <w:spacing w:before="4" w:line="249" w:lineRule="auto"/>
        <w:ind w:right="1102" w:firstLine="340"/>
        <w:jc w:val="both"/>
        <w:rPr>
          <w:sz w:val="20"/>
        </w:rPr>
      </w:pPr>
      <w:r>
        <w:rPr>
          <w:sz w:val="20"/>
        </w:rPr>
        <w:t>La promoción, investigación, desarrollo, innovación, y adaptación de nuevas técnicas, equipos y sistemas de carácter agrario, forestal, medioambiental, de acuicultura y pesca, de protección de la naturaleza y para el uso sostenible de sus recursos.</w:t>
      </w:r>
    </w:p>
    <w:p w:rsidR="0092635B" w:rsidRDefault="00000000">
      <w:pPr>
        <w:pStyle w:val="Prrafodelista"/>
        <w:numPr>
          <w:ilvl w:val="1"/>
          <w:numId w:val="49"/>
        </w:numPr>
        <w:tabs>
          <w:tab w:val="left" w:pos="1719"/>
        </w:tabs>
        <w:spacing w:line="249" w:lineRule="auto"/>
        <w:ind w:right="1104" w:firstLine="340"/>
        <w:jc w:val="both"/>
        <w:rPr>
          <w:sz w:val="20"/>
        </w:rPr>
      </w:pPr>
      <w:r>
        <w:rPr>
          <w:sz w:val="20"/>
        </w:rPr>
        <w:t xml:space="preserve">La fabricación y comercialización de bienes muebles para el cumplimiento de sus </w:t>
      </w:r>
      <w:r>
        <w:rPr>
          <w:spacing w:val="-2"/>
          <w:sz w:val="20"/>
        </w:rPr>
        <w:t>funciones.</w:t>
      </w:r>
    </w:p>
    <w:p w:rsidR="0092635B" w:rsidRDefault="00000000">
      <w:pPr>
        <w:pStyle w:val="Prrafodelista"/>
        <w:numPr>
          <w:ilvl w:val="1"/>
          <w:numId w:val="49"/>
        </w:numPr>
        <w:tabs>
          <w:tab w:val="left" w:pos="1679"/>
        </w:tabs>
        <w:spacing w:line="249" w:lineRule="auto"/>
        <w:ind w:firstLine="340"/>
        <w:jc w:val="both"/>
        <w:rPr>
          <w:sz w:val="20"/>
        </w:rPr>
      </w:pPr>
      <w:r>
        <w:rPr>
          <w:sz w:val="20"/>
        </w:rPr>
        <w:t>La</w:t>
      </w:r>
      <w:r>
        <w:rPr>
          <w:spacing w:val="-2"/>
          <w:sz w:val="20"/>
        </w:rPr>
        <w:t xml:space="preserve"> </w:t>
      </w:r>
      <w:r>
        <w:rPr>
          <w:sz w:val="20"/>
        </w:rPr>
        <w:t>prevención</w:t>
      </w:r>
      <w:r>
        <w:rPr>
          <w:spacing w:val="-2"/>
          <w:sz w:val="20"/>
        </w:rPr>
        <w:t xml:space="preserve"> </w:t>
      </w:r>
      <w:r>
        <w:rPr>
          <w:sz w:val="20"/>
        </w:rPr>
        <w:t>y</w:t>
      </w:r>
      <w:r>
        <w:rPr>
          <w:spacing w:val="-2"/>
          <w:sz w:val="20"/>
        </w:rPr>
        <w:t xml:space="preserve"> </w:t>
      </w:r>
      <w:r>
        <w:rPr>
          <w:sz w:val="20"/>
        </w:rPr>
        <w:t>lucha</w:t>
      </w:r>
      <w:r>
        <w:rPr>
          <w:spacing w:val="-2"/>
          <w:sz w:val="20"/>
        </w:rPr>
        <w:t xml:space="preserve"> </w:t>
      </w:r>
      <w:r>
        <w:rPr>
          <w:sz w:val="20"/>
        </w:rPr>
        <w:t>contra</w:t>
      </w:r>
      <w:r>
        <w:rPr>
          <w:spacing w:val="-2"/>
          <w:sz w:val="20"/>
        </w:rPr>
        <w:t xml:space="preserve"> </w:t>
      </w:r>
      <w:r>
        <w:rPr>
          <w:sz w:val="20"/>
        </w:rPr>
        <w:t>las</w:t>
      </w:r>
      <w:r>
        <w:rPr>
          <w:spacing w:val="-2"/>
          <w:sz w:val="20"/>
        </w:rPr>
        <w:t xml:space="preserve"> </w:t>
      </w:r>
      <w:r>
        <w:rPr>
          <w:sz w:val="20"/>
        </w:rPr>
        <w:t>plagas</w:t>
      </w:r>
      <w:r>
        <w:rPr>
          <w:spacing w:val="-2"/>
          <w:sz w:val="20"/>
        </w:rPr>
        <w:t xml:space="preserve"> </w:t>
      </w:r>
      <w:r>
        <w:rPr>
          <w:sz w:val="20"/>
        </w:rPr>
        <w:t>y</w:t>
      </w:r>
      <w:r>
        <w:rPr>
          <w:spacing w:val="-2"/>
          <w:sz w:val="20"/>
        </w:rPr>
        <w:t xml:space="preserve"> </w:t>
      </w:r>
      <w:r>
        <w:rPr>
          <w:sz w:val="20"/>
        </w:rPr>
        <w:t>enfermedades</w:t>
      </w:r>
      <w:r>
        <w:rPr>
          <w:spacing w:val="-2"/>
          <w:sz w:val="20"/>
        </w:rPr>
        <w:t xml:space="preserve"> </w:t>
      </w:r>
      <w:r>
        <w:rPr>
          <w:sz w:val="20"/>
        </w:rPr>
        <w:t>vegetales</w:t>
      </w:r>
      <w:r>
        <w:rPr>
          <w:spacing w:val="-2"/>
          <w:sz w:val="20"/>
        </w:rPr>
        <w:t xml:space="preserve"> </w:t>
      </w:r>
      <w:r>
        <w:rPr>
          <w:sz w:val="20"/>
        </w:rPr>
        <w:t>y</w:t>
      </w:r>
      <w:r>
        <w:rPr>
          <w:spacing w:val="-2"/>
          <w:sz w:val="20"/>
        </w:rPr>
        <w:t xml:space="preserve"> </w:t>
      </w:r>
      <w:r>
        <w:rPr>
          <w:sz w:val="20"/>
        </w:rPr>
        <w:t>animales</w:t>
      </w:r>
      <w:r>
        <w:rPr>
          <w:spacing w:val="-2"/>
          <w:sz w:val="20"/>
        </w:rPr>
        <w:t xml:space="preserve"> </w:t>
      </w:r>
      <w:r>
        <w:rPr>
          <w:sz w:val="20"/>
        </w:rPr>
        <w:t>y</w:t>
      </w:r>
      <w:r>
        <w:rPr>
          <w:spacing w:val="-2"/>
          <w:sz w:val="20"/>
        </w:rPr>
        <w:t xml:space="preserve"> </w:t>
      </w:r>
      <w:r>
        <w:rPr>
          <w:sz w:val="20"/>
        </w:rPr>
        <w:t>contra los incendios forestales, así como la realización de obras y tareas de apoyo técnico de carácter urgente.</w:t>
      </w:r>
    </w:p>
    <w:p w:rsidR="0092635B" w:rsidRDefault="00000000">
      <w:pPr>
        <w:pStyle w:val="Prrafodelista"/>
        <w:numPr>
          <w:ilvl w:val="1"/>
          <w:numId w:val="49"/>
        </w:numPr>
        <w:tabs>
          <w:tab w:val="left" w:pos="1696"/>
        </w:tabs>
        <w:spacing w:line="249" w:lineRule="auto"/>
        <w:ind w:firstLine="340"/>
        <w:jc w:val="both"/>
        <w:rPr>
          <w:sz w:val="20"/>
        </w:rPr>
      </w:pPr>
      <w:r>
        <w:rPr>
          <w:sz w:val="20"/>
        </w:rPr>
        <w:t>La financiación, en los términos que se establezcan reglamentariamente, de la construcción o de la explotación de infraestructuras agrarias, medioambientales, y de equipamientos de núcleos rurales, del desarrollo de sistemas informáticos, sistemas de información frente a emergencias y otros análogos, así como la constitución de sociedades y la participación en otras ya constituidas, que tengan fines relacionados con el objeto social</w:t>
      </w:r>
      <w:r>
        <w:rPr>
          <w:spacing w:val="40"/>
          <w:sz w:val="20"/>
        </w:rPr>
        <w:t xml:space="preserve"> </w:t>
      </w:r>
      <w:r>
        <w:rPr>
          <w:sz w:val="20"/>
        </w:rPr>
        <w:t>de la empresa.</w:t>
      </w:r>
    </w:p>
    <w:p w:rsidR="0092635B" w:rsidRDefault="00000000">
      <w:pPr>
        <w:pStyle w:val="Prrafodelista"/>
        <w:numPr>
          <w:ilvl w:val="1"/>
          <w:numId w:val="49"/>
        </w:numPr>
        <w:tabs>
          <w:tab w:val="left" w:pos="1813"/>
        </w:tabs>
        <w:spacing w:before="5" w:line="249" w:lineRule="auto"/>
        <w:ind w:right="1101" w:firstLine="340"/>
        <w:jc w:val="both"/>
        <w:rPr>
          <w:sz w:val="20"/>
        </w:rPr>
      </w:pPr>
      <w:r>
        <w:rPr>
          <w:sz w:val="20"/>
        </w:rPr>
        <w:t>La planificación, organización, investigación, desarrollo, innovación, gestión, administración y supervisión de cualquier tipo de servicios ganaderos, veterinarios, de seguridad y sanidad animal y alimentaria.</w:t>
      </w:r>
    </w:p>
    <w:p w:rsidR="0092635B" w:rsidRDefault="00000000">
      <w:pPr>
        <w:pStyle w:val="Prrafodelista"/>
        <w:numPr>
          <w:ilvl w:val="1"/>
          <w:numId w:val="49"/>
        </w:numPr>
        <w:tabs>
          <w:tab w:val="left" w:pos="1747"/>
        </w:tabs>
        <w:spacing w:before="3" w:line="249" w:lineRule="auto"/>
        <w:ind w:right="1102" w:firstLine="340"/>
        <w:jc w:val="both"/>
        <w:rPr>
          <w:sz w:val="20"/>
        </w:rPr>
      </w:pPr>
      <w:r>
        <w:rPr>
          <w:sz w:val="20"/>
        </w:rPr>
        <w:t>La recogida, transporte, almacenamiento, transformación, valorización, gestión y eliminación de productos, subproductos y residuos de origen animal, vegetal y mineral.</w:t>
      </w:r>
    </w:p>
    <w:p w:rsidR="0092635B" w:rsidRDefault="00000000">
      <w:pPr>
        <w:pStyle w:val="Prrafodelista"/>
        <w:numPr>
          <w:ilvl w:val="1"/>
          <w:numId w:val="49"/>
        </w:numPr>
        <w:tabs>
          <w:tab w:val="left" w:pos="1635"/>
        </w:tabs>
        <w:spacing w:before="1" w:line="249" w:lineRule="auto"/>
        <w:ind w:right="1105" w:firstLine="340"/>
        <w:jc w:val="both"/>
        <w:rPr>
          <w:sz w:val="20"/>
        </w:rPr>
      </w:pPr>
      <w:r>
        <w:rPr>
          <w:sz w:val="20"/>
        </w:rPr>
        <w:t>El mantenimiento, el desarrollo, la innovación y la adaptación de equipos y sistemas informáticos que den soporte a las diferentes administraciones.</w:t>
      </w:r>
    </w:p>
    <w:p w:rsidR="0092635B" w:rsidRDefault="00000000">
      <w:pPr>
        <w:pStyle w:val="Prrafodelista"/>
        <w:numPr>
          <w:ilvl w:val="1"/>
          <w:numId w:val="49"/>
        </w:numPr>
        <w:tabs>
          <w:tab w:val="left" w:pos="1645"/>
        </w:tabs>
        <w:spacing w:line="249" w:lineRule="auto"/>
        <w:ind w:right="1106" w:firstLine="340"/>
        <w:jc w:val="both"/>
        <w:rPr>
          <w:sz w:val="20"/>
        </w:rPr>
      </w:pPr>
      <w:r>
        <w:rPr>
          <w:sz w:val="20"/>
        </w:rPr>
        <w:t>La realización de tareas para las que se le requiera por la vía de la urgencia o de emergencia, o actividades complementarias o accesorias a las citadas anteriormente.</w:t>
      </w:r>
    </w:p>
    <w:p w:rsidR="0092635B" w:rsidRDefault="00000000">
      <w:pPr>
        <w:pStyle w:val="Textoindependiente"/>
        <w:spacing w:before="121" w:line="249" w:lineRule="auto"/>
        <w:ind w:right="1102"/>
      </w:pPr>
      <w:r>
        <w:t>TRAGSA y su filial TRAGSATEC también estarán obligadas a satisfacer las necesidades de las entidades del sector público de las que son medios propios personificados en la consecución de sus objetivos de interés público mediante la realización, por encargo de los mismos, de la planificación, organización, investigación, desarrollo, innovación, gestión, administración y supervisión de cualquier tipo de asistencias y servicios técnicos en los ámbitos de actuación señalados en el apartado anterior, o mediante la adaptación y aplicación de la experiencia y conocimientos desarrollados en dichos ámbitos a otros sectores de la actividad administrativa.</w:t>
      </w:r>
    </w:p>
    <w:p w:rsidR="0092635B" w:rsidRDefault="00000000">
      <w:pPr>
        <w:pStyle w:val="Textoindependiente"/>
        <w:spacing w:before="7" w:line="249" w:lineRule="auto"/>
        <w:ind w:right="1103"/>
      </w:pPr>
      <w:r>
        <w:t>Asimismo, TRAGSA y su filial TRAGSATEC estarán obligadas a participar y actuar, por encargo de las entidades del sector público de las que son medios propios personificados,</w:t>
      </w:r>
      <w:r>
        <w:rPr>
          <w:spacing w:val="40"/>
        </w:rPr>
        <w:t xml:space="preserve"> </w:t>
      </w:r>
      <w:r>
        <w:t>en tareas de emergencia y protección civil de todo tipo, en especial, la intervención en catástrofes medioambientales o en crisis o necesidades de carácter agrario, pecuario o ambiental; a desarrollar tareas de prevención de riesgos y emergencias de todo tipo; y a realizar actividades de formación e información pública en supuestos de interés público y, en especial, para la prevención de riesgos, catástrofes o emergencias.</w:t>
      </w:r>
    </w:p>
    <w:p w:rsidR="0092635B" w:rsidRDefault="00000000">
      <w:pPr>
        <w:pStyle w:val="Prrafodelista"/>
        <w:numPr>
          <w:ilvl w:val="0"/>
          <w:numId w:val="49"/>
        </w:numPr>
        <w:tabs>
          <w:tab w:val="left" w:pos="1711"/>
        </w:tabs>
        <w:spacing w:before="6" w:line="249" w:lineRule="auto"/>
        <w:ind w:left="1106" w:right="1105" w:firstLine="340"/>
        <w:jc w:val="both"/>
        <w:rPr>
          <w:sz w:val="20"/>
        </w:rPr>
      </w:pPr>
      <w:r>
        <w:rPr>
          <w:sz w:val="20"/>
        </w:rPr>
        <w:t>TRAGSA y su filial TRAGSATEC podrán realizar actuaciones de apoyo y servicio institucional a la cooperación española en el ámbito internacional.</w:t>
      </w:r>
    </w:p>
    <w:p w:rsidR="0092635B" w:rsidRDefault="00000000">
      <w:pPr>
        <w:pStyle w:val="Prrafodelista"/>
        <w:numPr>
          <w:ilvl w:val="0"/>
          <w:numId w:val="49"/>
        </w:numPr>
        <w:tabs>
          <w:tab w:val="left" w:pos="1691"/>
        </w:tabs>
        <w:spacing w:before="1" w:line="249" w:lineRule="auto"/>
        <w:ind w:left="1106" w:firstLine="340"/>
        <w:jc w:val="both"/>
        <w:rPr>
          <w:sz w:val="20"/>
        </w:rPr>
      </w:pPr>
      <w:r>
        <w:rPr>
          <w:sz w:val="20"/>
        </w:rPr>
        <w:t>TRAGSA y su filial TRAGSATEC no podrán participar en los procedimientos para la adjudicación de contratos convocados por las entidades del sector público de las que sea medio propio personificado. No obstante, cuando no concurra ningún licitador podrá encargarse a estas sociedades la ejecución de la actividad objeto de licitación pública.</w:t>
      </w:r>
    </w:p>
    <w:p w:rsidR="0092635B" w:rsidRDefault="00000000">
      <w:pPr>
        <w:pStyle w:val="Prrafodelista"/>
        <w:numPr>
          <w:ilvl w:val="0"/>
          <w:numId w:val="49"/>
        </w:numPr>
        <w:tabs>
          <w:tab w:val="left" w:pos="1707"/>
        </w:tabs>
        <w:spacing w:before="4" w:line="249" w:lineRule="auto"/>
        <w:ind w:left="1106" w:firstLine="340"/>
        <w:jc w:val="both"/>
        <w:rPr>
          <w:sz w:val="20"/>
        </w:rPr>
      </w:pPr>
      <w:r>
        <w:rPr>
          <w:sz w:val="20"/>
        </w:rPr>
        <w:t>El importe de las obras, trabajos, proyectos, estudios y suministros realizados por TRAGSA y por su filial TRAGSATEC se determinará aplicando a las unidades directamente ejecutadas por el medio propio las tarifas correspondientes y, en la forma que reglamentariamente se determine, atendiendo al coste efectivo soportado por el medio</w:t>
      </w:r>
      <w:r>
        <w:rPr>
          <w:spacing w:val="40"/>
          <w:sz w:val="20"/>
        </w:rPr>
        <w:t xml:space="preserve"> </w:t>
      </w:r>
      <w:r>
        <w:rPr>
          <w:sz w:val="20"/>
        </w:rPr>
        <w:t xml:space="preserve">propio para las actividades objeto del encargo que se subcontraten con empresarios </w:t>
      </w:r>
      <w:r>
        <w:rPr>
          <w:spacing w:val="-2"/>
          <w:sz w:val="20"/>
        </w:rPr>
        <w:t>particulares.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Dichas tarifas se calcularán de manera que representen los costes reales de realización</w:t>
      </w:r>
      <w:r>
        <w:rPr>
          <w:spacing w:val="40"/>
        </w:rPr>
        <w:t xml:space="preserve"> </w:t>
      </w:r>
      <w:r>
        <w:t>y su aplicación a las unidades producidas servirá de justificante de la inversión o de los servicios realizados directamente por el medio propio.</w:t>
      </w:r>
    </w:p>
    <w:p w:rsidR="0092635B" w:rsidRDefault="00000000">
      <w:pPr>
        <w:pStyle w:val="Textoindependiente"/>
        <w:spacing w:line="249" w:lineRule="auto"/>
        <w:ind w:right="1104"/>
      </w:pPr>
      <w:r>
        <w:t xml:space="preserve">La elaboración y aprobación de las tarifas se realizará por las Administraciones de las que el grupo es medio propio personificado, con arreglo al procedimiento establecido </w:t>
      </w:r>
      <w:r>
        <w:rPr>
          <w:spacing w:val="-2"/>
        </w:rPr>
        <w:t>reglamentariamente.</w:t>
      </w:r>
    </w:p>
    <w:p w:rsidR="0092635B" w:rsidRDefault="00000000">
      <w:pPr>
        <w:pStyle w:val="Prrafodelista"/>
        <w:numPr>
          <w:ilvl w:val="0"/>
          <w:numId w:val="49"/>
        </w:numPr>
        <w:tabs>
          <w:tab w:val="left" w:pos="1696"/>
        </w:tabs>
        <w:spacing w:before="3" w:line="249" w:lineRule="auto"/>
        <w:ind w:left="1106" w:firstLine="340"/>
        <w:jc w:val="both"/>
        <w:rPr>
          <w:sz w:val="20"/>
        </w:rPr>
      </w:pPr>
      <w:r>
        <w:rPr>
          <w:sz w:val="20"/>
        </w:rPr>
        <w:t>A los efectos de la aplicación de la presente Ley, TRAGSA y su filial TRAGSATEC tendrán la consideración de poderes adjudicadores de los previstos en el apartado 3 del artículo 3 de la presente Ley.</w:t>
      </w:r>
    </w:p>
    <w:p w:rsidR="0092635B" w:rsidRDefault="00000000">
      <w:pPr>
        <w:spacing w:before="229"/>
        <w:ind w:left="1106"/>
        <w:rPr>
          <w:rFonts w:ascii="Arial" w:hAnsi="Arial"/>
          <w:i/>
          <w:sz w:val="20"/>
        </w:rPr>
      </w:pPr>
      <w:bookmarkStart w:id="612" w:name="Disposición_adicional_vigésima_quinta._P"/>
      <w:bookmarkEnd w:id="612"/>
      <w:r>
        <w:rPr>
          <w:rFonts w:ascii="Arial" w:hAnsi="Arial"/>
          <w:b/>
          <w:sz w:val="20"/>
        </w:rPr>
        <w:t>Disposición</w:t>
      </w:r>
      <w:r>
        <w:rPr>
          <w:rFonts w:ascii="Arial" w:hAnsi="Arial"/>
          <w:b/>
          <w:spacing w:val="-2"/>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vigésima</w:t>
      </w:r>
      <w:r>
        <w:rPr>
          <w:rFonts w:ascii="Arial" w:hAnsi="Arial"/>
          <w:b/>
          <w:spacing w:val="-2"/>
          <w:sz w:val="20"/>
        </w:rPr>
        <w:t xml:space="preserve"> </w:t>
      </w:r>
      <w:r>
        <w:rPr>
          <w:rFonts w:ascii="Arial" w:hAnsi="Arial"/>
          <w:b/>
          <w:sz w:val="20"/>
        </w:rPr>
        <w:t>quinta.</w:t>
      </w:r>
      <w:r>
        <w:rPr>
          <w:rFonts w:ascii="Arial" w:hAnsi="Arial"/>
          <w:b/>
          <w:spacing w:val="51"/>
          <w:sz w:val="20"/>
        </w:rPr>
        <w:t xml:space="preserve"> </w:t>
      </w:r>
      <w:r>
        <w:rPr>
          <w:rFonts w:ascii="Arial" w:hAnsi="Arial"/>
          <w:i/>
          <w:sz w:val="20"/>
        </w:rPr>
        <w:t>Protección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datos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carácter</w:t>
      </w:r>
      <w:r>
        <w:rPr>
          <w:rFonts w:ascii="Arial" w:hAnsi="Arial"/>
          <w:i/>
          <w:spacing w:val="-1"/>
          <w:sz w:val="20"/>
        </w:rPr>
        <w:t xml:space="preserve"> </w:t>
      </w:r>
      <w:r>
        <w:rPr>
          <w:rFonts w:ascii="Arial" w:hAnsi="Arial"/>
          <w:i/>
          <w:spacing w:val="-2"/>
          <w:sz w:val="20"/>
        </w:rPr>
        <w:t>personal.</w:t>
      </w:r>
    </w:p>
    <w:p w:rsidR="0092635B" w:rsidRDefault="00000000">
      <w:pPr>
        <w:pStyle w:val="Prrafodelista"/>
        <w:numPr>
          <w:ilvl w:val="0"/>
          <w:numId w:val="48"/>
        </w:numPr>
        <w:tabs>
          <w:tab w:val="left" w:pos="1683"/>
        </w:tabs>
        <w:spacing w:before="123" w:line="249" w:lineRule="auto"/>
        <w:ind w:right="1104" w:firstLine="340"/>
        <w:jc w:val="both"/>
        <w:rPr>
          <w:sz w:val="20"/>
        </w:rPr>
      </w:pPr>
      <w:r>
        <w:rPr>
          <w:sz w:val="20"/>
        </w:rPr>
        <w:t>Los contratos regulados en la presente Ley que impliquen el tratamiento de datos de carácter personal deberán respetar en su integridad la Ley Orgánica 15/1999, de 13 de diciembre, de Protección de Datos de Carácter Personal, y su normativa de desarrollo.</w:t>
      </w:r>
    </w:p>
    <w:p w:rsidR="0092635B" w:rsidRDefault="00000000">
      <w:pPr>
        <w:pStyle w:val="Prrafodelista"/>
        <w:numPr>
          <w:ilvl w:val="0"/>
          <w:numId w:val="48"/>
        </w:numPr>
        <w:tabs>
          <w:tab w:val="left" w:pos="1706"/>
        </w:tabs>
        <w:spacing w:before="3" w:line="249" w:lineRule="auto"/>
        <w:ind w:right="1105" w:firstLine="340"/>
        <w:jc w:val="both"/>
        <w:rPr>
          <w:sz w:val="20"/>
        </w:rPr>
      </w:pPr>
      <w:r>
        <w:rPr>
          <w:sz w:val="20"/>
        </w:rPr>
        <w:t>Para el caso de que la contratación implique el acceso del contratista a datos de carácter personal de cuyo tratamiento sea responsable la entidad contratante, aquel tendrá</w:t>
      </w:r>
      <w:r>
        <w:rPr>
          <w:spacing w:val="40"/>
          <w:sz w:val="20"/>
        </w:rPr>
        <w:t xml:space="preserve"> </w:t>
      </w:r>
      <w:r>
        <w:rPr>
          <w:sz w:val="20"/>
        </w:rPr>
        <w:t>la consideración de encargado del tratamiento.</w:t>
      </w:r>
    </w:p>
    <w:p w:rsidR="0092635B" w:rsidRDefault="00000000">
      <w:pPr>
        <w:pStyle w:val="Textoindependiente"/>
        <w:spacing w:line="249" w:lineRule="auto"/>
        <w:ind w:right="1103"/>
      </w:pPr>
      <w:r>
        <w:t>En este supuesto, el acceso a esos datos no se considerará comunicación de datos, cuando se cumpla lo previsto en el artículo 12.2 y 3 de la Ley Orgánica 15/1999, de 13 de diciembre. En todo caso, las previsiones del artículo 12.2 de dicha Ley deberán de constar por escrito.</w:t>
      </w:r>
    </w:p>
    <w:p w:rsidR="0092635B" w:rsidRDefault="00000000">
      <w:pPr>
        <w:pStyle w:val="Textoindependiente"/>
        <w:spacing w:before="3" w:line="249" w:lineRule="auto"/>
        <w:ind w:right="1104"/>
      </w:pPr>
      <w:r>
        <w:t>Cuando finalice la prestación contractual los datos de carácter personal deberán ser destruidos o devueltos a la entidad contratante responsable, o al encargado de tratamiento que esta hubiese designado.</w:t>
      </w:r>
    </w:p>
    <w:p w:rsidR="0092635B" w:rsidRDefault="00000000">
      <w:pPr>
        <w:pStyle w:val="Textoindependiente"/>
        <w:spacing w:before="3" w:line="249" w:lineRule="auto"/>
        <w:ind w:right="1105"/>
      </w:pPr>
      <w:r>
        <w:t xml:space="preserve">El tercero encargado del tratamiento conservará debidamente bloqueados los datos en tanto pudieran derivarse responsabilidades de su relación con la entidad responsable del </w:t>
      </w:r>
      <w:r>
        <w:rPr>
          <w:spacing w:val="-2"/>
        </w:rPr>
        <w:t>tratamiento.</w:t>
      </w:r>
    </w:p>
    <w:p w:rsidR="0092635B" w:rsidRDefault="00000000">
      <w:pPr>
        <w:pStyle w:val="Prrafodelista"/>
        <w:numPr>
          <w:ilvl w:val="0"/>
          <w:numId w:val="48"/>
        </w:numPr>
        <w:tabs>
          <w:tab w:val="left" w:pos="1722"/>
        </w:tabs>
        <w:spacing w:line="249" w:lineRule="auto"/>
        <w:ind w:firstLine="340"/>
        <w:jc w:val="both"/>
        <w:rPr>
          <w:sz w:val="20"/>
        </w:rPr>
      </w:pPr>
      <w:r>
        <w:rPr>
          <w:sz w:val="20"/>
        </w:rPr>
        <w:t>En el caso de que un tercero trate datos personales por cuenta del contratista, encargado del tratamiento, deberán de cumplirse los siguientes requisitos:</w:t>
      </w:r>
    </w:p>
    <w:p w:rsidR="0092635B" w:rsidRDefault="00000000">
      <w:pPr>
        <w:pStyle w:val="Prrafodelista"/>
        <w:numPr>
          <w:ilvl w:val="1"/>
          <w:numId w:val="48"/>
        </w:numPr>
        <w:tabs>
          <w:tab w:val="left" w:pos="1721"/>
        </w:tabs>
        <w:spacing w:before="122" w:line="249" w:lineRule="auto"/>
        <w:ind w:right="1106" w:firstLine="340"/>
        <w:rPr>
          <w:sz w:val="20"/>
        </w:rPr>
      </w:pPr>
      <w:r>
        <w:rPr>
          <w:sz w:val="20"/>
        </w:rPr>
        <w:t>Que</w:t>
      </w:r>
      <w:r>
        <w:rPr>
          <w:spacing w:val="39"/>
          <w:sz w:val="20"/>
        </w:rPr>
        <w:t xml:space="preserve"> </w:t>
      </w:r>
      <w:r>
        <w:rPr>
          <w:sz w:val="20"/>
        </w:rPr>
        <w:t>dicho</w:t>
      </w:r>
      <w:r>
        <w:rPr>
          <w:spacing w:val="39"/>
          <w:sz w:val="20"/>
        </w:rPr>
        <w:t xml:space="preserve"> </w:t>
      </w:r>
      <w:r>
        <w:rPr>
          <w:sz w:val="20"/>
        </w:rPr>
        <w:t>tratamiento</w:t>
      </w:r>
      <w:r>
        <w:rPr>
          <w:spacing w:val="39"/>
          <w:sz w:val="20"/>
        </w:rPr>
        <w:t xml:space="preserve"> </w:t>
      </w:r>
      <w:r>
        <w:rPr>
          <w:sz w:val="20"/>
        </w:rPr>
        <w:t>se</w:t>
      </w:r>
      <w:r>
        <w:rPr>
          <w:spacing w:val="39"/>
          <w:sz w:val="20"/>
        </w:rPr>
        <w:t xml:space="preserve"> </w:t>
      </w:r>
      <w:r>
        <w:rPr>
          <w:sz w:val="20"/>
        </w:rPr>
        <w:t>haya</w:t>
      </w:r>
      <w:r>
        <w:rPr>
          <w:spacing w:val="39"/>
          <w:sz w:val="20"/>
        </w:rPr>
        <w:t xml:space="preserve"> </w:t>
      </w:r>
      <w:r>
        <w:rPr>
          <w:sz w:val="20"/>
        </w:rPr>
        <w:t>especificado</w:t>
      </w:r>
      <w:r>
        <w:rPr>
          <w:spacing w:val="39"/>
          <w:sz w:val="20"/>
        </w:rPr>
        <w:t xml:space="preserve"> </w:t>
      </w:r>
      <w:r>
        <w:rPr>
          <w:sz w:val="20"/>
        </w:rPr>
        <w:t>en</w:t>
      </w:r>
      <w:r>
        <w:rPr>
          <w:spacing w:val="39"/>
          <w:sz w:val="20"/>
        </w:rPr>
        <w:t xml:space="preserve"> </w:t>
      </w:r>
      <w:r>
        <w:rPr>
          <w:sz w:val="20"/>
        </w:rPr>
        <w:t>el</w:t>
      </w:r>
      <w:r>
        <w:rPr>
          <w:spacing w:val="39"/>
          <w:sz w:val="20"/>
        </w:rPr>
        <w:t xml:space="preserve"> </w:t>
      </w:r>
      <w:r>
        <w:rPr>
          <w:sz w:val="20"/>
        </w:rPr>
        <w:t>contrato</w:t>
      </w:r>
      <w:r>
        <w:rPr>
          <w:spacing w:val="39"/>
          <w:sz w:val="20"/>
        </w:rPr>
        <w:t xml:space="preserve"> </w:t>
      </w:r>
      <w:r>
        <w:rPr>
          <w:sz w:val="20"/>
        </w:rPr>
        <w:t>firmado</w:t>
      </w:r>
      <w:r>
        <w:rPr>
          <w:spacing w:val="39"/>
          <w:sz w:val="20"/>
        </w:rPr>
        <w:t xml:space="preserve"> </w:t>
      </w:r>
      <w:r>
        <w:rPr>
          <w:sz w:val="20"/>
        </w:rPr>
        <w:t>por</w:t>
      </w:r>
      <w:r>
        <w:rPr>
          <w:spacing w:val="39"/>
          <w:sz w:val="20"/>
        </w:rPr>
        <w:t xml:space="preserve"> </w:t>
      </w:r>
      <w:r>
        <w:rPr>
          <w:sz w:val="20"/>
        </w:rPr>
        <w:t>la</w:t>
      </w:r>
      <w:r>
        <w:rPr>
          <w:spacing w:val="39"/>
          <w:sz w:val="20"/>
        </w:rPr>
        <w:t xml:space="preserve"> </w:t>
      </w:r>
      <w:r>
        <w:rPr>
          <w:sz w:val="20"/>
        </w:rPr>
        <w:t>entidad contratante y el contratista.</w:t>
      </w:r>
    </w:p>
    <w:p w:rsidR="0092635B" w:rsidRDefault="00000000">
      <w:pPr>
        <w:pStyle w:val="Prrafodelista"/>
        <w:numPr>
          <w:ilvl w:val="1"/>
          <w:numId w:val="48"/>
        </w:numPr>
        <w:tabs>
          <w:tab w:val="left" w:pos="1712"/>
        </w:tabs>
        <w:spacing w:line="249" w:lineRule="auto"/>
        <w:ind w:right="1106" w:firstLine="340"/>
        <w:rPr>
          <w:sz w:val="20"/>
        </w:rPr>
      </w:pPr>
      <w:r>
        <w:rPr>
          <w:sz w:val="20"/>
        </w:rPr>
        <w:t>Que</w:t>
      </w:r>
      <w:r>
        <w:rPr>
          <w:spacing w:val="31"/>
          <w:sz w:val="20"/>
        </w:rPr>
        <w:t xml:space="preserve"> </w:t>
      </w:r>
      <w:r>
        <w:rPr>
          <w:sz w:val="20"/>
        </w:rPr>
        <w:t>el</w:t>
      </w:r>
      <w:r>
        <w:rPr>
          <w:spacing w:val="31"/>
          <w:sz w:val="20"/>
        </w:rPr>
        <w:t xml:space="preserve"> </w:t>
      </w:r>
      <w:r>
        <w:rPr>
          <w:sz w:val="20"/>
        </w:rPr>
        <w:t>tratamiento</w:t>
      </w:r>
      <w:r>
        <w:rPr>
          <w:spacing w:val="31"/>
          <w:sz w:val="20"/>
        </w:rPr>
        <w:t xml:space="preserve"> </w:t>
      </w:r>
      <w:r>
        <w:rPr>
          <w:sz w:val="20"/>
        </w:rPr>
        <w:t>de</w:t>
      </w:r>
      <w:r>
        <w:rPr>
          <w:spacing w:val="31"/>
          <w:sz w:val="20"/>
        </w:rPr>
        <w:t xml:space="preserve"> </w:t>
      </w:r>
      <w:r>
        <w:rPr>
          <w:sz w:val="20"/>
        </w:rPr>
        <w:t>datos</w:t>
      </w:r>
      <w:r>
        <w:rPr>
          <w:spacing w:val="31"/>
          <w:sz w:val="20"/>
        </w:rPr>
        <w:t xml:space="preserve"> </w:t>
      </w:r>
      <w:r>
        <w:rPr>
          <w:sz w:val="20"/>
        </w:rPr>
        <w:t>de</w:t>
      </w:r>
      <w:r>
        <w:rPr>
          <w:spacing w:val="31"/>
          <w:sz w:val="20"/>
        </w:rPr>
        <w:t xml:space="preserve"> </w:t>
      </w:r>
      <w:r>
        <w:rPr>
          <w:sz w:val="20"/>
        </w:rPr>
        <w:t>carácter</w:t>
      </w:r>
      <w:r>
        <w:rPr>
          <w:spacing w:val="31"/>
          <w:sz w:val="20"/>
        </w:rPr>
        <w:t xml:space="preserve"> </w:t>
      </w:r>
      <w:r>
        <w:rPr>
          <w:sz w:val="20"/>
        </w:rPr>
        <w:t>personal</w:t>
      </w:r>
      <w:r>
        <w:rPr>
          <w:spacing w:val="31"/>
          <w:sz w:val="20"/>
        </w:rPr>
        <w:t xml:space="preserve"> </w:t>
      </w:r>
      <w:r>
        <w:rPr>
          <w:sz w:val="20"/>
        </w:rPr>
        <w:t>se</w:t>
      </w:r>
      <w:r>
        <w:rPr>
          <w:spacing w:val="31"/>
          <w:sz w:val="20"/>
        </w:rPr>
        <w:t xml:space="preserve"> </w:t>
      </w:r>
      <w:r>
        <w:rPr>
          <w:sz w:val="20"/>
        </w:rPr>
        <w:t>ajuste</w:t>
      </w:r>
      <w:r>
        <w:rPr>
          <w:spacing w:val="31"/>
          <w:sz w:val="20"/>
        </w:rPr>
        <w:t xml:space="preserve"> </w:t>
      </w:r>
      <w:r>
        <w:rPr>
          <w:sz w:val="20"/>
        </w:rPr>
        <w:t>a</w:t>
      </w:r>
      <w:r>
        <w:rPr>
          <w:spacing w:val="31"/>
          <w:sz w:val="20"/>
        </w:rPr>
        <w:t xml:space="preserve"> </w:t>
      </w:r>
      <w:r>
        <w:rPr>
          <w:sz w:val="20"/>
        </w:rPr>
        <w:t>las</w:t>
      </w:r>
      <w:r>
        <w:rPr>
          <w:spacing w:val="31"/>
          <w:sz w:val="20"/>
        </w:rPr>
        <w:t xml:space="preserve"> </w:t>
      </w:r>
      <w:r>
        <w:rPr>
          <w:sz w:val="20"/>
        </w:rPr>
        <w:t>instrucciones</w:t>
      </w:r>
      <w:r>
        <w:rPr>
          <w:spacing w:val="31"/>
          <w:sz w:val="20"/>
        </w:rPr>
        <w:t xml:space="preserve"> </w:t>
      </w:r>
      <w:r>
        <w:rPr>
          <w:sz w:val="20"/>
        </w:rPr>
        <w:t>del responsable del tratamiento.</w:t>
      </w:r>
    </w:p>
    <w:p w:rsidR="0092635B" w:rsidRDefault="00000000">
      <w:pPr>
        <w:pStyle w:val="Prrafodelista"/>
        <w:numPr>
          <w:ilvl w:val="1"/>
          <w:numId w:val="48"/>
        </w:numPr>
        <w:tabs>
          <w:tab w:val="left" w:pos="1679"/>
        </w:tabs>
        <w:spacing w:before="1" w:line="249" w:lineRule="auto"/>
        <w:ind w:right="1107" w:firstLine="340"/>
        <w:rPr>
          <w:sz w:val="20"/>
        </w:rPr>
      </w:pPr>
      <w:r>
        <w:rPr>
          <w:sz w:val="20"/>
        </w:rPr>
        <w:t>Que el contratista encargado del tratamiento y el tercero formalicen el contrato en los términos previstos en el artículo 12.2 de la Ley Orgánica 15/1999, de 13 de diciembre.</w:t>
      </w:r>
    </w:p>
    <w:p w:rsidR="0092635B" w:rsidRDefault="00000000">
      <w:pPr>
        <w:pStyle w:val="Textoindependiente"/>
        <w:spacing w:before="122"/>
        <w:ind w:left="307" w:firstLine="0"/>
        <w:jc w:val="center"/>
      </w:pPr>
      <w:r>
        <w:t>En</w:t>
      </w:r>
      <w:r>
        <w:rPr>
          <w:spacing w:val="-6"/>
        </w:rPr>
        <w:t xml:space="preserve"> </w:t>
      </w:r>
      <w:r>
        <w:t>estos</w:t>
      </w:r>
      <w:r>
        <w:rPr>
          <w:spacing w:val="-4"/>
        </w:rPr>
        <w:t xml:space="preserve"> </w:t>
      </w:r>
      <w:r>
        <w:t>casos,</w:t>
      </w:r>
      <w:r>
        <w:rPr>
          <w:spacing w:val="-3"/>
        </w:rPr>
        <w:t xml:space="preserve"> </w:t>
      </w:r>
      <w:r>
        <w:t>el</w:t>
      </w:r>
      <w:r>
        <w:rPr>
          <w:spacing w:val="-4"/>
        </w:rPr>
        <w:t xml:space="preserve"> </w:t>
      </w:r>
      <w:r>
        <w:t>tercero</w:t>
      </w:r>
      <w:r>
        <w:rPr>
          <w:spacing w:val="-3"/>
        </w:rPr>
        <w:t xml:space="preserve"> </w:t>
      </w:r>
      <w:r>
        <w:t>tendrá</w:t>
      </w:r>
      <w:r>
        <w:rPr>
          <w:spacing w:val="-4"/>
        </w:rPr>
        <w:t xml:space="preserve"> </w:t>
      </w:r>
      <w:r>
        <w:t>también</w:t>
      </w:r>
      <w:r>
        <w:rPr>
          <w:spacing w:val="-4"/>
        </w:rPr>
        <w:t xml:space="preserve"> </w:t>
      </w:r>
      <w:r>
        <w:t>la</w:t>
      </w:r>
      <w:r>
        <w:rPr>
          <w:spacing w:val="-3"/>
        </w:rPr>
        <w:t xml:space="preserve"> </w:t>
      </w:r>
      <w:r>
        <w:t>consideración</w:t>
      </w:r>
      <w:r>
        <w:rPr>
          <w:spacing w:val="-4"/>
        </w:rPr>
        <w:t xml:space="preserve"> </w:t>
      </w:r>
      <w:r>
        <w:t>de</w:t>
      </w:r>
      <w:r>
        <w:rPr>
          <w:spacing w:val="-3"/>
        </w:rPr>
        <w:t xml:space="preserve"> </w:t>
      </w:r>
      <w:r>
        <w:t>encargado</w:t>
      </w:r>
      <w:r>
        <w:rPr>
          <w:spacing w:val="-4"/>
        </w:rPr>
        <w:t xml:space="preserve"> </w:t>
      </w:r>
      <w:r>
        <w:t>del</w:t>
      </w:r>
      <w:r>
        <w:rPr>
          <w:spacing w:val="-3"/>
        </w:rPr>
        <w:t xml:space="preserve"> </w:t>
      </w:r>
      <w:r>
        <w:rPr>
          <w:spacing w:val="-2"/>
        </w:rPr>
        <w:t>tratamiento.</w:t>
      </w:r>
    </w:p>
    <w:p w:rsidR="0092635B" w:rsidRDefault="0092635B">
      <w:pPr>
        <w:pStyle w:val="Textoindependiente"/>
        <w:spacing w:before="7"/>
        <w:ind w:left="0" w:firstLine="0"/>
        <w:jc w:val="left"/>
      </w:pPr>
    </w:p>
    <w:p w:rsidR="0092635B" w:rsidRDefault="00000000">
      <w:pPr>
        <w:ind w:left="1106"/>
        <w:rPr>
          <w:rFonts w:ascii="Arial" w:hAnsi="Arial"/>
          <w:i/>
          <w:sz w:val="20"/>
        </w:rPr>
      </w:pPr>
      <w:bookmarkStart w:id="613" w:name="Disposición_adicional_vigésima_sexta._Ag"/>
      <w:bookmarkEnd w:id="613"/>
      <w:r>
        <w:rPr>
          <w:rFonts w:ascii="Arial" w:hAnsi="Arial"/>
          <w:b/>
          <w:sz w:val="20"/>
        </w:rPr>
        <w:t>Disposición</w:t>
      </w:r>
      <w:r>
        <w:rPr>
          <w:rFonts w:ascii="Arial" w:hAnsi="Arial"/>
          <w:b/>
          <w:spacing w:val="-2"/>
          <w:sz w:val="20"/>
        </w:rPr>
        <w:t xml:space="preserve"> </w:t>
      </w:r>
      <w:r>
        <w:rPr>
          <w:rFonts w:ascii="Arial" w:hAnsi="Arial"/>
          <w:b/>
          <w:sz w:val="20"/>
        </w:rPr>
        <w:t>adicional</w:t>
      </w:r>
      <w:r>
        <w:rPr>
          <w:rFonts w:ascii="Arial" w:hAnsi="Arial"/>
          <w:b/>
          <w:spacing w:val="-3"/>
          <w:sz w:val="20"/>
        </w:rPr>
        <w:t xml:space="preserve"> </w:t>
      </w:r>
      <w:r>
        <w:rPr>
          <w:rFonts w:ascii="Arial" w:hAnsi="Arial"/>
          <w:b/>
          <w:sz w:val="20"/>
        </w:rPr>
        <w:t>vigésima</w:t>
      </w:r>
      <w:r>
        <w:rPr>
          <w:rFonts w:ascii="Arial" w:hAnsi="Arial"/>
          <w:b/>
          <w:spacing w:val="-2"/>
          <w:sz w:val="20"/>
        </w:rPr>
        <w:t xml:space="preserve"> </w:t>
      </w:r>
      <w:r>
        <w:rPr>
          <w:rFonts w:ascii="Arial" w:hAnsi="Arial"/>
          <w:b/>
          <w:sz w:val="20"/>
        </w:rPr>
        <w:t>sexta.</w:t>
      </w:r>
      <w:r>
        <w:rPr>
          <w:rFonts w:ascii="Arial" w:hAnsi="Arial"/>
          <w:b/>
          <w:spacing w:val="51"/>
          <w:sz w:val="20"/>
        </w:rPr>
        <w:t xml:space="preserve"> </w:t>
      </w:r>
      <w:r>
        <w:rPr>
          <w:rFonts w:ascii="Arial" w:hAnsi="Arial"/>
          <w:i/>
          <w:sz w:val="20"/>
        </w:rPr>
        <w:t>Agrupaciones</w:t>
      </w:r>
      <w:r>
        <w:rPr>
          <w:rFonts w:ascii="Arial" w:hAnsi="Arial"/>
          <w:i/>
          <w:spacing w:val="-2"/>
          <w:sz w:val="20"/>
        </w:rPr>
        <w:t xml:space="preserve"> </w:t>
      </w:r>
      <w:r>
        <w:rPr>
          <w:rFonts w:ascii="Arial" w:hAnsi="Arial"/>
          <w:i/>
          <w:sz w:val="20"/>
        </w:rPr>
        <w:t>europeas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cooperación</w:t>
      </w:r>
      <w:r>
        <w:rPr>
          <w:rFonts w:ascii="Arial" w:hAnsi="Arial"/>
          <w:i/>
          <w:spacing w:val="-2"/>
          <w:sz w:val="20"/>
        </w:rPr>
        <w:t xml:space="preserve"> territorial.</w:t>
      </w:r>
    </w:p>
    <w:p w:rsidR="0092635B" w:rsidRDefault="00000000">
      <w:pPr>
        <w:pStyle w:val="Textoindependiente"/>
        <w:spacing w:before="123" w:line="249" w:lineRule="auto"/>
        <w:ind w:right="1104"/>
      </w:pPr>
      <w:r>
        <w:t>Las Agrupaciones europeas de cooperación territorial reguladas en el Reglamento (CE) número 1082/2006 del Parlamento Europeo y del Consejo, de 5 de julio de 2006, cuando tengan su domicilio social en España, ajustarán la preparación y adjudicación de sus contratos a las normas establecidas en esta Ley para los poderes adjudicadores.</w:t>
      </w:r>
    </w:p>
    <w:p w:rsidR="0092635B" w:rsidRDefault="0092635B">
      <w:pPr>
        <w:pStyle w:val="Textoindependiente"/>
        <w:spacing w:before="0"/>
        <w:ind w:left="0" w:firstLine="0"/>
        <w:jc w:val="left"/>
      </w:pPr>
    </w:p>
    <w:p w:rsidR="0092635B" w:rsidRDefault="00000000">
      <w:pPr>
        <w:tabs>
          <w:tab w:val="left" w:pos="5327"/>
        </w:tabs>
        <w:spacing w:line="249" w:lineRule="auto"/>
        <w:ind w:left="1106" w:right="1105" w:hanging="1"/>
        <w:rPr>
          <w:rFonts w:ascii="Arial" w:hAnsi="Arial"/>
          <w:i/>
          <w:sz w:val="20"/>
        </w:rPr>
      </w:pPr>
      <w:bookmarkStart w:id="614" w:name="Disposición_adicional_vigésima_séptima._"/>
      <w:bookmarkEnd w:id="614"/>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vigésima</w:t>
      </w:r>
      <w:r>
        <w:rPr>
          <w:rFonts w:ascii="Arial" w:hAnsi="Arial"/>
          <w:b/>
          <w:spacing w:val="40"/>
          <w:sz w:val="20"/>
        </w:rPr>
        <w:t xml:space="preserve"> </w:t>
      </w:r>
      <w:r>
        <w:rPr>
          <w:rFonts w:ascii="Arial" w:hAnsi="Arial"/>
          <w:b/>
          <w:sz w:val="20"/>
        </w:rPr>
        <w:t>séptima.</w:t>
      </w:r>
      <w:r>
        <w:rPr>
          <w:rFonts w:ascii="Arial" w:hAnsi="Arial"/>
          <w:b/>
          <w:sz w:val="20"/>
        </w:rPr>
        <w:tab/>
      </w:r>
      <w:r>
        <w:rPr>
          <w:rFonts w:ascii="Arial" w:hAnsi="Arial"/>
          <w:i/>
          <w:sz w:val="20"/>
        </w:rPr>
        <w:t>Adquisición</w:t>
      </w:r>
      <w:r>
        <w:rPr>
          <w:rFonts w:ascii="Arial" w:hAnsi="Arial"/>
          <w:i/>
          <w:spacing w:val="40"/>
          <w:sz w:val="20"/>
        </w:rPr>
        <w:t xml:space="preserve"> </w:t>
      </w:r>
      <w:r>
        <w:rPr>
          <w:rFonts w:ascii="Arial" w:hAnsi="Arial"/>
          <w:i/>
          <w:sz w:val="20"/>
        </w:rPr>
        <w:t>Centralizada</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medicamentos, productos y servicios sanitarios con miras al Sistema Nacional de Salud.</w:t>
      </w:r>
    </w:p>
    <w:p w:rsidR="0092635B" w:rsidRDefault="00000000">
      <w:pPr>
        <w:pStyle w:val="Prrafodelista"/>
        <w:numPr>
          <w:ilvl w:val="0"/>
          <w:numId w:val="47"/>
        </w:numPr>
        <w:tabs>
          <w:tab w:val="left" w:pos="1722"/>
        </w:tabs>
        <w:spacing w:before="115" w:line="249" w:lineRule="auto"/>
        <w:ind w:firstLine="340"/>
        <w:jc w:val="both"/>
        <w:rPr>
          <w:sz w:val="20"/>
        </w:rPr>
      </w:pPr>
      <w:r>
        <w:rPr>
          <w:sz w:val="20"/>
        </w:rPr>
        <w:t>Mediante Orden del Ministerio de Sanidad, Servicios Sociales e Igualdad, previo informe favorable de la Dirección General de Racionalización y Centralización de la Contratación del Ministerio de Hacienda y Función Pública, se podrá declarar de adquisición centralizada los suministros de medicamentos y productos sanitarios, así como los servicios sanitarios, que se contraten en el ámbito estatal por los diferentes órganos y organismos. Esta contratación deberá efectuarse a través del Ministerio de Sanidad, Servicios Sociales e Igualdad. La financiación de los correspondientes contratos correrá a cargo del organismo o entidad peticionarios. Las competencias que el artículo 229 atribuye a la Junta de Contratación Centralizada del Ministerio de Hacienda y Función Pública corresponderán en relación al suministro de medicamentos, productos sanitarios y servicios sanitarios al Ministerio de Sanidad, Servicios Sociales e Igualdad.</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3"/>
      </w:pPr>
      <w:r>
        <w:t>Las Comunidades Autónomas y las entidades locales, así como las entidades y organismos dependientes de ellas e integradas en el Sistema Nacional de Salud, podrán adherirse al sistema de adquisición centralizada estatal de medicamentos, productos y servicios sanitarios, para la totalidad o solo para determinadas categorías de ellos. La adhesión requerirá la conclusión del correspondiente acuerdo con el Ministerio de Sanidad, Servicios Sociales e Igualdad.</w:t>
      </w:r>
    </w:p>
    <w:p w:rsidR="0092635B" w:rsidRDefault="00000000">
      <w:pPr>
        <w:pStyle w:val="Prrafodelista"/>
        <w:numPr>
          <w:ilvl w:val="0"/>
          <w:numId w:val="47"/>
        </w:numPr>
        <w:tabs>
          <w:tab w:val="left" w:pos="1744"/>
        </w:tabs>
        <w:spacing w:before="5" w:line="249" w:lineRule="auto"/>
        <w:ind w:firstLine="340"/>
        <w:jc w:val="both"/>
        <w:rPr>
          <w:sz w:val="20"/>
        </w:rPr>
      </w:pPr>
      <w:r>
        <w:rPr>
          <w:sz w:val="20"/>
        </w:rPr>
        <w:t>Los órganos de contratación de la Administración General del Estado, de las Comunidades Autónomas y de las entidades locales, así como las entidades y organismos dependientes de ellas e integradas en el Sistema Nacional de Salud, podrán concluir de forma conjunta acuerdos marco de los previstos en el artículo 219, con uno o varios empresarios con el fin de fijar las condiciones a que habrán de ajustarse los contratos a que se refiere el apartado primero de esta disposición que pretendan adjudicar durante un período determinado, siempre que el recurso a estos instrumentos no se efectúe de forma abusiva o de modo que la competencia se vea obstaculizada, restringida o falseada.</w:t>
      </w:r>
    </w:p>
    <w:p w:rsidR="0092635B" w:rsidRDefault="00000000">
      <w:pPr>
        <w:pStyle w:val="Prrafodelista"/>
        <w:numPr>
          <w:ilvl w:val="0"/>
          <w:numId w:val="47"/>
        </w:numPr>
        <w:tabs>
          <w:tab w:val="left" w:pos="1735"/>
        </w:tabs>
        <w:spacing w:before="6" w:line="249" w:lineRule="auto"/>
        <w:ind w:firstLine="340"/>
        <w:jc w:val="both"/>
        <w:rPr>
          <w:sz w:val="20"/>
        </w:rPr>
      </w:pPr>
      <w:r>
        <w:rPr>
          <w:sz w:val="20"/>
        </w:rPr>
        <w:t>A los efectos previstos en esta disposición adicional, el Ministerio de Sanidad, Servicios Sociales e Igualdad podrá, a través de la Secretaría General de Sanidad y Consumo, encomendar al Instituto Nacional de Gestión Sanitaria la materialización y conclusión de los procedimientos de adquisición centralizada, con miras al Sistema Nacional de Salud, para todos o algunos de los medicamentos, productos y servicios sanitarios.</w:t>
      </w:r>
    </w:p>
    <w:p w:rsidR="0092635B" w:rsidRDefault="00000000">
      <w:pPr>
        <w:pStyle w:val="Prrafodelista"/>
        <w:numPr>
          <w:ilvl w:val="0"/>
          <w:numId w:val="47"/>
        </w:numPr>
        <w:tabs>
          <w:tab w:val="left" w:pos="1713"/>
        </w:tabs>
        <w:spacing w:before="4" w:line="249" w:lineRule="auto"/>
        <w:ind w:firstLine="340"/>
        <w:jc w:val="both"/>
        <w:rPr>
          <w:sz w:val="20"/>
        </w:rPr>
      </w:pPr>
      <w:r>
        <w:rPr>
          <w:sz w:val="20"/>
        </w:rPr>
        <w:t>No serán de aplicación las medidas establecidas en los artículos 9 y 10, párrafo tercero, del Real Decreto-ley 8/2010, de 20 de mayo, por el que se adoptan medidas extraordinarias para la reducción del déficit público, a los contratos derivados de adquisición de medicamentos promovidos al amparo de lo previsto en esta disposición adicional siempre que los ahorros que resulten de la compra centralizada sean superiores a las deducciones fijadas en dichos artículos del Real Decreto-ley 8/2010, de 20 de mayo.</w:t>
      </w:r>
    </w:p>
    <w:p w:rsidR="0092635B" w:rsidRDefault="0092635B">
      <w:pPr>
        <w:pStyle w:val="Textoindependiente"/>
        <w:ind w:left="0" w:firstLine="0"/>
        <w:jc w:val="left"/>
      </w:pPr>
    </w:p>
    <w:p w:rsidR="0092635B" w:rsidRDefault="00000000">
      <w:pPr>
        <w:spacing w:line="249" w:lineRule="auto"/>
        <w:ind w:left="1106" w:right="1104" w:hanging="1"/>
        <w:jc w:val="both"/>
        <w:rPr>
          <w:rFonts w:ascii="Arial" w:hAnsi="Arial"/>
          <w:i/>
          <w:sz w:val="20"/>
        </w:rPr>
      </w:pPr>
      <w:bookmarkStart w:id="615" w:name="Disposición_adicional_vigésima_octava._R"/>
      <w:bookmarkEnd w:id="615"/>
      <w:r>
        <w:rPr>
          <w:rFonts w:ascii="Arial" w:hAnsi="Arial"/>
          <w:b/>
          <w:sz w:val="20"/>
        </w:rPr>
        <w:t>Disposición adicional vigésima octava.</w:t>
      </w:r>
      <w:r>
        <w:rPr>
          <w:rFonts w:ascii="Arial" w:hAnsi="Arial"/>
          <w:b/>
          <w:spacing w:val="80"/>
          <w:sz w:val="20"/>
        </w:rPr>
        <w:t xml:space="preserve"> </w:t>
      </w:r>
      <w:r>
        <w:rPr>
          <w:rFonts w:ascii="Arial" w:hAnsi="Arial"/>
          <w:i/>
          <w:sz w:val="20"/>
        </w:rPr>
        <w:t>Responsabilidad de las autoridades y del</w:t>
      </w:r>
      <w:r>
        <w:rPr>
          <w:rFonts w:ascii="Arial" w:hAnsi="Arial"/>
          <w:i/>
          <w:spacing w:val="40"/>
          <w:sz w:val="20"/>
        </w:rPr>
        <w:t xml:space="preserve"> </w:t>
      </w:r>
      <w:r>
        <w:rPr>
          <w:rFonts w:ascii="Arial" w:hAnsi="Arial"/>
          <w:i/>
          <w:sz w:val="20"/>
        </w:rPr>
        <w:t>personal al servicio de las Administraciones Públicas.</w:t>
      </w:r>
    </w:p>
    <w:p w:rsidR="0092635B" w:rsidRDefault="00000000">
      <w:pPr>
        <w:pStyle w:val="Prrafodelista"/>
        <w:numPr>
          <w:ilvl w:val="0"/>
          <w:numId w:val="46"/>
        </w:numPr>
        <w:tabs>
          <w:tab w:val="left" w:pos="1704"/>
        </w:tabs>
        <w:spacing w:before="115" w:line="249" w:lineRule="auto"/>
        <w:ind w:firstLine="340"/>
        <w:jc w:val="both"/>
        <w:rPr>
          <w:sz w:val="20"/>
        </w:rPr>
      </w:pPr>
      <w:r>
        <w:rPr>
          <w:sz w:val="20"/>
        </w:rPr>
        <w:t>La responsabilidad patrimonial de las autoridades y del personal al servicio de las Administraciones Públicas derivada de sus actuaciones en materia de contratación pública, tanto por daños causados a particulares como a la propia Administración, se exigirá con arreglo a lo dispuesto en la Ley 40/2015, de 1 de octubre, del Régimen Jurídico del Sector Público, así como en la normativa reglamentaria de desarrollo de la misma.</w:t>
      </w:r>
    </w:p>
    <w:p w:rsidR="0092635B" w:rsidRDefault="00000000">
      <w:pPr>
        <w:pStyle w:val="Prrafodelista"/>
        <w:numPr>
          <w:ilvl w:val="0"/>
          <w:numId w:val="46"/>
        </w:numPr>
        <w:tabs>
          <w:tab w:val="left" w:pos="1672"/>
        </w:tabs>
        <w:spacing w:before="4" w:line="249" w:lineRule="auto"/>
        <w:ind w:right="1105" w:firstLine="340"/>
        <w:jc w:val="both"/>
        <w:rPr>
          <w:sz w:val="20"/>
        </w:rPr>
      </w:pPr>
      <w:r>
        <w:rPr>
          <w:sz w:val="20"/>
        </w:rPr>
        <w:t>La infracción o aplicación indebida de los preceptos contenidos en la presente Ley por parte del personal al servicio de las Administraciones Públicas dará lugar a responsabilidad disciplinaria, que se exigirá conforme a la normativa específica en la materia.</w:t>
      </w:r>
    </w:p>
    <w:p w:rsidR="0092635B" w:rsidRDefault="00000000">
      <w:pPr>
        <w:spacing w:before="229" w:line="249" w:lineRule="auto"/>
        <w:ind w:left="1106" w:right="1104" w:hanging="1"/>
        <w:jc w:val="both"/>
        <w:rPr>
          <w:rFonts w:ascii="Arial" w:hAnsi="Arial"/>
          <w:i/>
          <w:sz w:val="20"/>
        </w:rPr>
      </w:pPr>
      <w:bookmarkStart w:id="616" w:name="Disposición_adicional_vigésima_novena._R"/>
      <w:bookmarkEnd w:id="616"/>
      <w:r>
        <w:rPr>
          <w:rFonts w:ascii="Arial" w:hAnsi="Arial"/>
          <w:b/>
          <w:sz w:val="20"/>
        </w:rPr>
        <w:t>Disposición adicional vigésima novena.</w:t>
      </w:r>
      <w:r>
        <w:rPr>
          <w:rFonts w:ascii="Arial" w:hAnsi="Arial"/>
          <w:b/>
          <w:spacing w:val="40"/>
          <w:sz w:val="20"/>
        </w:rPr>
        <w:t xml:space="preserve"> </w:t>
      </w:r>
      <w:r>
        <w:rPr>
          <w:rFonts w:ascii="Arial" w:hAnsi="Arial"/>
          <w:i/>
          <w:sz w:val="20"/>
        </w:rPr>
        <w:t>Régimen de los órganos competentes para resolver los recursos de la Administración General del Estado y Entidades Contratantes adscritas a ella.</w:t>
      </w:r>
    </w:p>
    <w:p w:rsidR="0092635B" w:rsidRDefault="00000000">
      <w:pPr>
        <w:pStyle w:val="Prrafodelista"/>
        <w:numPr>
          <w:ilvl w:val="0"/>
          <w:numId w:val="45"/>
        </w:numPr>
        <w:tabs>
          <w:tab w:val="left" w:pos="1717"/>
        </w:tabs>
        <w:spacing w:before="116" w:line="249" w:lineRule="auto"/>
        <w:ind w:firstLine="340"/>
        <w:jc w:val="both"/>
        <w:rPr>
          <w:sz w:val="20"/>
        </w:rPr>
      </w:pPr>
      <w:r>
        <w:rPr>
          <w:sz w:val="20"/>
        </w:rPr>
        <w:t>A medida que el número de asuntos sometidos al conocimiento y resolución del Tribunal Administrativo Central de Recursos Contractuales lo exija se podrán constituir Tribunales Administrativos Territoriales de Recursos Contractuales con sede en cada una de las capitales de Comunidad Autónoma.</w:t>
      </w:r>
    </w:p>
    <w:p w:rsidR="0092635B" w:rsidRDefault="00000000">
      <w:pPr>
        <w:pStyle w:val="Textoindependiente"/>
        <w:spacing w:before="3" w:line="249" w:lineRule="auto"/>
        <w:ind w:right="1104"/>
      </w:pPr>
      <w:r>
        <w:t>Estos Tribunales tendrán competencia exclusiva para la resolución de los recursos a que se</w:t>
      </w:r>
      <w:r>
        <w:rPr>
          <w:spacing w:val="-1"/>
        </w:rPr>
        <w:t xml:space="preserve"> </w:t>
      </w:r>
      <w:r>
        <w:t>refiere</w:t>
      </w:r>
      <w:r>
        <w:rPr>
          <w:spacing w:val="-1"/>
        </w:rPr>
        <w:t xml:space="preserve"> </w:t>
      </w:r>
      <w:r>
        <w:t>el</w:t>
      </w:r>
      <w:r>
        <w:rPr>
          <w:spacing w:val="-1"/>
        </w:rPr>
        <w:t xml:space="preserve"> </w:t>
      </w:r>
      <w:r>
        <w:t>artículo</w:t>
      </w:r>
      <w:r>
        <w:rPr>
          <w:spacing w:val="-1"/>
        </w:rPr>
        <w:t xml:space="preserve"> </w:t>
      </w:r>
      <w:r>
        <w:t>44</w:t>
      </w:r>
      <w:r>
        <w:rPr>
          <w:spacing w:val="-1"/>
        </w:rPr>
        <w:t xml:space="preserve"> </w:t>
      </w:r>
      <w:r>
        <w:t>de</w:t>
      </w:r>
      <w:r>
        <w:rPr>
          <w:spacing w:val="-1"/>
        </w:rPr>
        <w:t xml:space="preserve"> </w:t>
      </w:r>
      <w:r>
        <w:t>la</w:t>
      </w:r>
      <w:r>
        <w:rPr>
          <w:spacing w:val="-1"/>
        </w:rPr>
        <w:t xml:space="preserve"> </w:t>
      </w:r>
      <w:r>
        <w:t>presente</w:t>
      </w:r>
      <w:r>
        <w:rPr>
          <w:spacing w:val="-1"/>
        </w:rPr>
        <w:t xml:space="preserve"> </w:t>
      </w:r>
      <w:r>
        <w:t>Ley,</w:t>
      </w:r>
      <w:r>
        <w:rPr>
          <w:spacing w:val="-1"/>
        </w:rPr>
        <w:t xml:space="preserve"> </w:t>
      </w:r>
      <w:r>
        <w:t>interpuestos</w:t>
      </w:r>
      <w:r>
        <w:rPr>
          <w:spacing w:val="-1"/>
        </w:rPr>
        <w:t xml:space="preserve"> </w:t>
      </w:r>
      <w:r>
        <w:t>contra</w:t>
      </w:r>
      <w:r>
        <w:rPr>
          <w:spacing w:val="-1"/>
        </w:rPr>
        <w:t xml:space="preserve"> </w:t>
      </w:r>
      <w:r>
        <w:t>los</w:t>
      </w:r>
      <w:r>
        <w:rPr>
          <w:spacing w:val="-1"/>
        </w:rPr>
        <w:t xml:space="preserve"> </w:t>
      </w:r>
      <w:r>
        <w:t>actos</w:t>
      </w:r>
      <w:r>
        <w:rPr>
          <w:spacing w:val="-1"/>
        </w:rPr>
        <w:t xml:space="preserve"> </w:t>
      </w:r>
      <w:r>
        <w:t>de</w:t>
      </w:r>
      <w:r>
        <w:rPr>
          <w:spacing w:val="-1"/>
        </w:rPr>
        <w:t xml:space="preserve"> </w:t>
      </w:r>
      <w:r>
        <w:t>la</w:t>
      </w:r>
      <w:r>
        <w:rPr>
          <w:spacing w:val="-1"/>
        </w:rPr>
        <w:t xml:space="preserve"> </w:t>
      </w:r>
      <w:r>
        <w:t>Administración territorial del Estado o de los Organismos y Entidades dependientes del mismo que tengan competencia en todo o parte del territorio de la correspondiente Comunidad Autónoma.</w:t>
      </w:r>
    </w:p>
    <w:p w:rsidR="0092635B" w:rsidRDefault="00000000">
      <w:pPr>
        <w:pStyle w:val="Textoindependiente"/>
        <w:spacing w:before="4" w:line="249" w:lineRule="auto"/>
        <w:ind w:right="1103"/>
      </w:pPr>
      <w:r>
        <w:t>El nombramiento del Presidente y los vocales de estos Tribunales se hará en los mismos términos y requisitos previstos para el del Tribunal Administrativo Central de Recursos Contractuales, si bien solo se le exigirán diez años de antigüedad.</w:t>
      </w:r>
    </w:p>
    <w:p w:rsidR="0092635B" w:rsidRDefault="00000000">
      <w:pPr>
        <w:pStyle w:val="Prrafodelista"/>
        <w:numPr>
          <w:ilvl w:val="0"/>
          <w:numId w:val="45"/>
        </w:numPr>
        <w:tabs>
          <w:tab w:val="left" w:pos="1676"/>
        </w:tabs>
        <w:spacing w:line="249" w:lineRule="auto"/>
        <w:ind w:right="1105" w:firstLine="340"/>
        <w:jc w:val="both"/>
        <w:rPr>
          <w:sz w:val="20"/>
        </w:rPr>
      </w:pPr>
      <w:r>
        <w:rPr>
          <w:sz w:val="20"/>
        </w:rPr>
        <w:t xml:space="preserve">Reglamentariamente se incrementará el número de vocales que hayan de integrar los Tribunales Territoriales a medida que lo requiera el volumen de asuntos sometidos a su </w:t>
      </w:r>
      <w:r>
        <w:rPr>
          <w:spacing w:val="-2"/>
          <w:sz w:val="20"/>
        </w:rPr>
        <w:t>conocimiento.</w:t>
      </w:r>
    </w:p>
    <w:p w:rsidR="0092635B" w:rsidRDefault="00000000">
      <w:pPr>
        <w:pStyle w:val="Textoindependiente"/>
        <w:spacing w:before="3" w:line="249" w:lineRule="auto"/>
        <w:ind w:right="1104"/>
      </w:pPr>
      <w:r>
        <w:t>La primera renovación de los Tribunales se hará de forma parcial a los tres años del nombramiento. A este respecto, antes de cumplirse el plazo indicado se determinará, mediante sorteo, los que deban cesar.</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pPr>
      <w:r>
        <w:t>En cualquier caso, cesado un vocal, este continuará en el ejercicio de sus funciones hasta que tome posesión de su cargo el que lo haya de sustituir.</w:t>
      </w:r>
    </w:p>
    <w:p w:rsidR="0092635B" w:rsidRDefault="00000000">
      <w:pPr>
        <w:spacing w:before="228" w:line="249" w:lineRule="auto"/>
        <w:ind w:left="1106" w:right="1120"/>
        <w:rPr>
          <w:rFonts w:ascii="Arial" w:hAnsi="Arial"/>
          <w:i/>
          <w:sz w:val="20"/>
        </w:rPr>
      </w:pPr>
      <w:bookmarkStart w:id="617" w:name="Disposición_adicional_trigésima._Autoriz"/>
      <w:bookmarkEnd w:id="617"/>
      <w:r>
        <w:rPr>
          <w:rFonts w:ascii="Arial" w:hAnsi="Arial"/>
          <w:b/>
          <w:sz w:val="20"/>
        </w:rPr>
        <w:t>Disposición adicional trigésima.</w:t>
      </w:r>
      <w:r>
        <w:rPr>
          <w:rFonts w:ascii="Arial" w:hAnsi="Arial"/>
          <w:b/>
          <w:spacing w:val="40"/>
          <w:sz w:val="20"/>
        </w:rPr>
        <w:t xml:space="preserve"> </w:t>
      </w:r>
      <w:r>
        <w:rPr>
          <w:rFonts w:ascii="Arial" w:hAnsi="Arial"/>
          <w:i/>
          <w:sz w:val="20"/>
        </w:rPr>
        <w:t>Autorización del Consejo de Ministros en concesiones de autopistas de competencia estatal.</w:t>
      </w:r>
    </w:p>
    <w:p w:rsidR="0092635B" w:rsidRDefault="00000000">
      <w:pPr>
        <w:pStyle w:val="Textoindependiente"/>
        <w:spacing w:before="115" w:line="249" w:lineRule="auto"/>
        <w:ind w:right="1106"/>
      </w:pPr>
      <w:r>
        <w:t xml:space="preserve">Será necesaria la autorización del Consejo de Ministros para la celebración, y, en su caso, modificación y resolución de los contratos de concesión de autopistas de competencia </w:t>
      </w:r>
      <w:r>
        <w:rPr>
          <w:spacing w:val="-2"/>
        </w:rPr>
        <w:t>estatal.</w:t>
      </w:r>
    </w:p>
    <w:p w:rsidR="0092635B" w:rsidRDefault="00000000">
      <w:pPr>
        <w:spacing w:before="229" w:line="249" w:lineRule="auto"/>
        <w:ind w:left="1106" w:right="1120" w:hanging="1"/>
        <w:rPr>
          <w:rFonts w:ascii="Arial" w:hAnsi="Arial"/>
          <w:i/>
          <w:sz w:val="20"/>
        </w:rPr>
      </w:pPr>
      <w:bookmarkStart w:id="618" w:name="Disposición_adicional_trigésima_primera."/>
      <w:bookmarkEnd w:id="618"/>
      <w:r>
        <w:rPr>
          <w:rFonts w:ascii="Arial" w:hAnsi="Arial"/>
          <w:b/>
          <w:sz w:val="20"/>
        </w:rPr>
        <w:t>Disposición adicional trigésima primera.</w:t>
      </w:r>
      <w:r>
        <w:rPr>
          <w:rFonts w:ascii="Arial" w:hAnsi="Arial"/>
          <w:b/>
          <w:spacing w:val="40"/>
          <w:sz w:val="20"/>
        </w:rPr>
        <w:t xml:space="preserve"> </w:t>
      </w:r>
      <w:r>
        <w:rPr>
          <w:rFonts w:ascii="Arial" w:hAnsi="Arial"/>
          <w:i/>
          <w:sz w:val="20"/>
        </w:rPr>
        <w:t>Formalización conjunta de acuerdos marco para la contratación de servicios que faciliten el desarrollo de políticas activas de empleo.</w:t>
      </w:r>
    </w:p>
    <w:p w:rsidR="0092635B" w:rsidRDefault="00000000">
      <w:pPr>
        <w:pStyle w:val="Textoindependiente"/>
        <w:spacing w:before="115" w:line="249" w:lineRule="auto"/>
        <w:ind w:right="1103"/>
      </w:pPr>
      <w:r>
        <w:t>Los órganos de contratación competentes de la Agencia Española de Empleo, y de los organismos de empleo de las Comunidades Autónomas podrán concluir de forma conjunta entre</w:t>
      </w:r>
      <w:r>
        <w:rPr>
          <w:spacing w:val="-2"/>
        </w:rPr>
        <w:t xml:space="preserve"> </w:t>
      </w:r>
      <w:r>
        <w:t>algunos</w:t>
      </w:r>
      <w:r>
        <w:rPr>
          <w:spacing w:val="-2"/>
        </w:rPr>
        <w:t xml:space="preserve"> </w:t>
      </w:r>
      <w:r>
        <w:t>de</w:t>
      </w:r>
      <w:r>
        <w:rPr>
          <w:spacing w:val="-2"/>
        </w:rPr>
        <w:t xml:space="preserve"> </w:t>
      </w:r>
      <w:r>
        <w:t>ellos,</w:t>
      </w:r>
      <w:r>
        <w:rPr>
          <w:spacing w:val="-2"/>
        </w:rPr>
        <w:t xml:space="preserve"> </w:t>
      </w:r>
      <w:r>
        <w:t>acuerdos</w:t>
      </w:r>
      <w:r>
        <w:rPr>
          <w:spacing w:val="-2"/>
        </w:rPr>
        <w:t xml:space="preserve"> </w:t>
      </w:r>
      <w:r>
        <w:t>marco</w:t>
      </w:r>
      <w:r>
        <w:rPr>
          <w:spacing w:val="-2"/>
        </w:rPr>
        <w:t xml:space="preserve"> </w:t>
      </w:r>
      <w:r>
        <w:t>con</w:t>
      </w:r>
      <w:r>
        <w:rPr>
          <w:spacing w:val="-2"/>
        </w:rPr>
        <w:t xml:space="preserve"> </w:t>
      </w:r>
      <w:r>
        <w:t>una</w:t>
      </w:r>
      <w:r>
        <w:rPr>
          <w:spacing w:val="-2"/>
        </w:rPr>
        <w:t xml:space="preserve"> </w:t>
      </w:r>
      <w:r>
        <w:t>o</w:t>
      </w:r>
      <w:r>
        <w:rPr>
          <w:spacing w:val="-2"/>
        </w:rPr>
        <w:t xml:space="preserve"> </w:t>
      </w:r>
      <w:r>
        <w:t>varias</w:t>
      </w:r>
      <w:r>
        <w:rPr>
          <w:spacing w:val="-2"/>
        </w:rPr>
        <w:t xml:space="preserve"> </w:t>
      </w:r>
      <w:r>
        <w:t>entidades</w:t>
      </w:r>
      <w:r>
        <w:rPr>
          <w:spacing w:val="-2"/>
        </w:rPr>
        <w:t xml:space="preserve"> </w:t>
      </w:r>
      <w:r>
        <w:t>privadas</w:t>
      </w:r>
      <w:r>
        <w:rPr>
          <w:spacing w:val="-2"/>
        </w:rPr>
        <w:t xml:space="preserve"> </w:t>
      </w:r>
      <w:r>
        <w:t>con</w:t>
      </w:r>
      <w:r>
        <w:rPr>
          <w:spacing w:val="-2"/>
        </w:rPr>
        <w:t xml:space="preserve"> </w:t>
      </w:r>
      <w:r>
        <w:t>el</w:t>
      </w:r>
      <w:r>
        <w:rPr>
          <w:spacing w:val="-2"/>
        </w:rPr>
        <w:t xml:space="preserve"> </w:t>
      </w:r>
      <w:r>
        <w:t>fin</w:t>
      </w:r>
      <w:r>
        <w:rPr>
          <w:spacing w:val="-2"/>
        </w:rPr>
        <w:t xml:space="preserve"> </w:t>
      </w:r>
      <w:r>
        <w:t>de</w:t>
      </w:r>
      <w:r>
        <w:rPr>
          <w:spacing w:val="-2"/>
        </w:rPr>
        <w:t xml:space="preserve"> </w:t>
      </w:r>
      <w:r>
        <w:t xml:space="preserve">fijar las condiciones a que habrán de ajustarse todos los contratos de servicios de características </w:t>
      </w:r>
      <w:r>
        <w:rPr>
          <w:spacing w:val="-2"/>
        </w:rPr>
        <w:t>homogéneas.</w:t>
      </w:r>
    </w:p>
    <w:p w:rsidR="0092635B" w:rsidRDefault="00000000">
      <w:pPr>
        <w:pStyle w:val="Textoindependiente"/>
        <w:spacing w:before="4" w:line="249" w:lineRule="auto"/>
        <w:ind w:right="1103"/>
      </w:pPr>
      <w:r>
        <w:t>Dichos acuerdos marco, encuadrados en el párrafo siguiente, deben facilitar el desarrollo de políticas activas de empleo y deben incluir la totalidad o una parte de las iniciativas públicas que se pretendan adjudicar durante un período determinado. En todo caso, el recurso a estos instrumentos no podrá efectuarse de forma abusiva o de modo que la competencia se vea obstaculizada, restringida o falseada, y deberán tenerse en cuenta las limitaciones que establecen los artículos 17, 308 y 312 de la presente ley.</w:t>
      </w:r>
    </w:p>
    <w:p w:rsidR="0092635B" w:rsidRDefault="00000000">
      <w:pPr>
        <w:pStyle w:val="Textoindependiente"/>
        <w:spacing w:before="5" w:line="249" w:lineRule="auto"/>
        <w:ind w:right="1104"/>
      </w:pPr>
      <w:r>
        <w:t>Esta</w:t>
      </w:r>
      <w:r>
        <w:rPr>
          <w:spacing w:val="-1"/>
        </w:rPr>
        <w:t xml:space="preserve"> </w:t>
      </w:r>
      <w:r>
        <w:t>conclusión</w:t>
      </w:r>
      <w:r>
        <w:rPr>
          <w:spacing w:val="-1"/>
        </w:rPr>
        <w:t xml:space="preserve"> </w:t>
      </w:r>
      <w:r>
        <w:t>conjunta</w:t>
      </w:r>
      <w:r>
        <w:rPr>
          <w:spacing w:val="-1"/>
        </w:rPr>
        <w:t xml:space="preserve"> </w:t>
      </w:r>
      <w:r>
        <w:t>de</w:t>
      </w:r>
      <w:r>
        <w:rPr>
          <w:spacing w:val="-1"/>
        </w:rPr>
        <w:t xml:space="preserve"> </w:t>
      </w:r>
      <w:r>
        <w:t>acuerdos</w:t>
      </w:r>
      <w:r>
        <w:rPr>
          <w:spacing w:val="-1"/>
        </w:rPr>
        <w:t xml:space="preserve"> </w:t>
      </w:r>
      <w:r>
        <w:t>marco</w:t>
      </w:r>
      <w:r>
        <w:rPr>
          <w:spacing w:val="-1"/>
        </w:rPr>
        <w:t xml:space="preserve"> </w:t>
      </w:r>
      <w:r>
        <w:t>se</w:t>
      </w:r>
      <w:r>
        <w:rPr>
          <w:spacing w:val="-1"/>
        </w:rPr>
        <w:t xml:space="preserve"> </w:t>
      </w:r>
      <w:r>
        <w:t>realizará</w:t>
      </w:r>
      <w:r>
        <w:rPr>
          <w:spacing w:val="-1"/>
        </w:rPr>
        <w:t xml:space="preserve"> </w:t>
      </w:r>
      <w:r>
        <w:t>con</w:t>
      </w:r>
      <w:r>
        <w:rPr>
          <w:spacing w:val="-1"/>
        </w:rPr>
        <w:t xml:space="preserve"> </w:t>
      </w:r>
      <w:r>
        <w:t>arreglo</w:t>
      </w:r>
      <w:r>
        <w:rPr>
          <w:spacing w:val="-1"/>
        </w:rPr>
        <w:t xml:space="preserve"> </w:t>
      </w:r>
      <w:r>
        <w:t>a</w:t>
      </w:r>
      <w:r>
        <w:rPr>
          <w:spacing w:val="-1"/>
        </w:rPr>
        <w:t xml:space="preserve"> </w:t>
      </w:r>
      <w:r>
        <w:t>lo</w:t>
      </w:r>
      <w:r>
        <w:rPr>
          <w:spacing w:val="-1"/>
        </w:rPr>
        <w:t xml:space="preserve"> </w:t>
      </w:r>
      <w:r>
        <w:t>dispuesto</w:t>
      </w:r>
      <w:r>
        <w:rPr>
          <w:spacing w:val="-1"/>
        </w:rPr>
        <w:t xml:space="preserve"> </w:t>
      </w:r>
      <w:r>
        <w:t>en</w:t>
      </w:r>
      <w:r>
        <w:rPr>
          <w:spacing w:val="-1"/>
        </w:rPr>
        <w:t xml:space="preserve"> </w:t>
      </w:r>
      <w:r>
        <w:t>la sección 2.ª del capítulo II del título I del libro segundo de la presente ley y previa adopción</w:t>
      </w:r>
      <w:r>
        <w:rPr>
          <w:spacing w:val="40"/>
        </w:rPr>
        <w:t xml:space="preserve"> </w:t>
      </w:r>
      <w:r>
        <w:t>del correspondiente convenio entre los organismos públicos implicados, integrados en el Sistema Nacional de Empleo.</w:t>
      </w:r>
    </w:p>
    <w:p w:rsidR="0092635B" w:rsidRDefault="00000000">
      <w:pPr>
        <w:pStyle w:val="Textoindependiente"/>
        <w:spacing w:before="4" w:line="249" w:lineRule="auto"/>
        <w:ind w:right="1105"/>
      </w:pPr>
      <w:r>
        <w:t>No podrán ser objeto de estos contratos marco las actuaciones de intermediación laboral que puedan preverse en los procedimientos de selección de personal laboral temporal por parte de las Administraciones públicas, debiendo realizarse dicha intermediación exclusivamente y de manera directa por los correspondientes servicios públicos de empleo.</w:t>
      </w:r>
    </w:p>
    <w:p w:rsidR="0092635B" w:rsidRDefault="0092635B">
      <w:pPr>
        <w:pStyle w:val="Textoindependiente"/>
        <w:spacing w:before="0"/>
        <w:ind w:left="0" w:firstLine="0"/>
        <w:jc w:val="left"/>
      </w:pPr>
    </w:p>
    <w:p w:rsidR="0092635B" w:rsidRDefault="00000000">
      <w:pPr>
        <w:spacing w:line="249" w:lineRule="auto"/>
        <w:ind w:left="1106" w:right="1120" w:hanging="1"/>
        <w:rPr>
          <w:rFonts w:ascii="Arial" w:hAnsi="Arial"/>
          <w:i/>
          <w:sz w:val="20"/>
        </w:rPr>
      </w:pPr>
      <w:bookmarkStart w:id="619" w:name="Disposición_adicional_trigésima_segunda."/>
      <w:bookmarkEnd w:id="619"/>
      <w:r>
        <w:rPr>
          <w:rFonts w:ascii="Arial" w:hAnsi="Arial"/>
          <w:b/>
          <w:sz w:val="20"/>
        </w:rPr>
        <w:t>Disposición adicional trigésima segunda.</w:t>
      </w:r>
      <w:r>
        <w:rPr>
          <w:rFonts w:ascii="Arial" w:hAnsi="Arial"/>
          <w:b/>
          <w:spacing w:val="80"/>
          <w:sz w:val="20"/>
        </w:rPr>
        <w:t xml:space="preserve"> </w:t>
      </w:r>
      <w:r>
        <w:rPr>
          <w:rFonts w:ascii="Arial" w:hAnsi="Arial"/>
          <w:i/>
          <w:sz w:val="20"/>
        </w:rPr>
        <w:t>Obligación de presentación de facturas en un registro administrativo e identificación de órganos.</w:t>
      </w:r>
    </w:p>
    <w:p w:rsidR="0092635B" w:rsidRDefault="00000000">
      <w:pPr>
        <w:pStyle w:val="Prrafodelista"/>
        <w:numPr>
          <w:ilvl w:val="0"/>
          <w:numId w:val="44"/>
        </w:numPr>
        <w:tabs>
          <w:tab w:val="left" w:pos="1690"/>
        </w:tabs>
        <w:spacing w:before="115" w:line="249" w:lineRule="auto"/>
        <w:ind w:right="1104" w:firstLine="340"/>
        <w:jc w:val="both"/>
        <w:rPr>
          <w:sz w:val="20"/>
        </w:rPr>
      </w:pPr>
      <w:r>
        <w:rPr>
          <w:sz w:val="20"/>
        </w:rPr>
        <w:t>El contratista tendrá la obligación de presentar la factura que haya expedido por los servicios prestados o bienes entregados ante el correspondiente registro administrativo a efectos de su remisión al órgano administrativo o unidad a quien corresponda la tramitación de la misma.</w:t>
      </w:r>
    </w:p>
    <w:p w:rsidR="0092635B" w:rsidRDefault="00000000">
      <w:pPr>
        <w:pStyle w:val="Prrafodelista"/>
        <w:numPr>
          <w:ilvl w:val="0"/>
          <w:numId w:val="44"/>
        </w:numPr>
        <w:tabs>
          <w:tab w:val="left" w:pos="1668"/>
        </w:tabs>
        <w:spacing w:before="3" w:line="249" w:lineRule="auto"/>
        <w:ind w:firstLine="340"/>
        <w:jc w:val="both"/>
        <w:rPr>
          <w:sz w:val="20"/>
        </w:rPr>
      </w:pPr>
      <w:r>
        <w:rPr>
          <w:sz w:val="20"/>
        </w:rPr>
        <w:t>En</w:t>
      </w:r>
      <w:r>
        <w:rPr>
          <w:spacing w:val="-2"/>
          <w:sz w:val="20"/>
        </w:rPr>
        <w:t xml:space="preserve"> </w:t>
      </w:r>
      <w:r>
        <w:rPr>
          <w:sz w:val="20"/>
        </w:rPr>
        <w:t>los</w:t>
      </w:r>
      <w:r>
        <w:rPr>
          <w:spacing w:val="-2"/>
          <w:sz w:val="20"/>
        </w:rPr>
        <w:t xml:space="preserve"> </w:t>
      </w:r>
      <w:r>
        <w:rPr>
          <w:sz w:val="20"/>
        </w:rPr>
        <w:t>pliegos</w:t>
      </w:r>
      <w:r>
        <w:rPr>
          <w:spacing w:val="-2"/>
          <w:sz w:val="20"/>
        </w:rPr>
        <w:t xml:space="preserve"> </w:t>
      </w:r>
      <w:r>
        <w:rPr>
          <w:sz w:val="20"/>
        </w:rPr>
        <w:t>de</w:t>
      </w:r>
      <w:r>
        <w:rPr>
          <w:spacing w:val="-2"/>
          <w:sz w:val="20"/>
        </w:rPr>
        <w:t xml:space="preserve"> </w:t>
      </w:r>
      <w:r>
        <w:rPr>
          <w:sz w:val="20"/>
        </w:rPr>
        <w:t>cláusulas</w:t>
      </w:r>
      <w:r>
        <w:rPr>
          <w:spacing w:val="-2"/>
          <w:sz w:val="20"/>
        </w:rPr>
        <w:t xml:space="preserve"> </w:t>
      </w:r>
      <w:r>
        <w:rPr>
          <w:sz w:val="20"/>
        </w:rPr>
        <w:t>administrativas</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preparación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contratos</w:t>
      </w:r>
      <w:r>
        <w:rPr>
          <w:spacing w:val="-2"/>
          <w:sz w:val="20"/>
        </w:rPr>
        <w:t xml:space="preserve"> </w:t>
      </w:r>
      <w:r>
        <w:rPr>
          <w:sz w:val="20"/>
        </w:rPr>
        <w:t>que</w:t>
      </w:r>
      <w:r>
        <w:rPr>
          <w:spacing w:val="-2"/>
          <w:sz w:val="20"/>
        </w:rPr>
        <w:t xml:space="preserve"> </w:t>
      </w:r>
      <w:r>
        <w:rPr>
          <w:sz w:val="20"/>
        </w:rPr>
        <w:t>se aprueben a partir de la entrada en vigor de la presente disposición, se incluirá la</w:t>
      </w:r>
      <w:r>
        <w:rPr>
          <w:spacing w:val="40"/>
          <w:sz w:val="20"/>
        </w:rPr>
        <w:t xml:space="preserve"> </w:t>
      </w:r>
      <w:r>
        <w:rPr>
          <w:sz w:val="20"/>
        </w:rPr>
        <w:t>identificación</w:t>
      </w:r>
      <w:r>
        <w:rPr>
          <w:spacing w:val="-2"/>
          <w:sz w:val="20"/>
        </w:rPr>
        <w:t xml:space="preserve"> </w:t>
      </w:r>
      <w:r>
        <w:rPr>
          <w:sz w:val="20"/>
        </w:rPr>
        <w:t>del</w:t>
      </w:r>
      <w:r>
        <w:rPr>
          <w:spacing w:val="-2"/>
          <w:sz w:val="20"/>
        </w:rPr>
        <w:t xml:space="preserve"> </w:t>
      </w:r>
      <w:r>
        <w:rPr>
          <w:sz w:val="20"/>
        </w:rPr>
        <w:t>órgano</w:t>
      </w:r>
      <w:r>
        <w:rPr>
          <w:spacing w:val="-2"/>
          <w:sz w:val="20"/>
        </w:rPr>
        <w:t xml:space="preserve"> </w:t>
      </w:r>
      <w:r>
        <w:rPr>
          <w:sz w:val="20"/>
        </w:rPr>
        <w:t>administrativo</w:t>
      </w:r>
      <w:r>
        <w:rPr>
          <w:spacing w:val="-2"/>
          <w:sz w:val="20"/>
        </w:rPr>
        <w:t xml:space="preserve"> </w:t>
      </w:r>
      <w:r>
        <w:rPr>
          <w:sz w:val="20"/>
        </w:rPr>
        <w:t>con</w:t>
      </w:r>
      <w:r>
        <w:rPr>
          <w:spacing w:val="-2"/>
          <w:sz w:val="20"/>
        </w:rPr>
        <w:t xml:space="preserve"> </w:t>
      </w:r>
      <w:r>
        <w:rPr>
          <w:sz w:val="20"/>
        </w:rPr>
        <w:t>competencias</w:t>
      </w:r>
      <w:r>
        <w:rPr>
          <w:spacing w:val="-2"/>
          <w:sz w:val="20"/>
        </w:rPr>
        <w:t xml:space="preserve"> </w:t>
      </w:r>
      <w:r>
        <w:rPr>
          <w:sz w:val="20"/>
        </w:rPr>
        <w:t>en</w:t>
      </w:r>
      <w:r>
        <w:rPr>
          <w:spacing w:val="-2"/>
          <w:sz w:val="20"/>
        </w:rPr>
        <w:t xml:space="preserve"> </w:t>
      </w:r>
      <w:r>
        <w:rPr>
          <w:sz w:val="20"/>
        </w:rPr>
        <w:t>materia</w:t>
      </w:r>
      <w:r>
        <w:rPr>
          <w:spacing w:val="-2"/>
          <w:sz w:val="20"/>
        </w:rPr>
        <w:t xml:space="preserve"> </w:t>
      </w:r>
      <w:r>
        <w:rPr>
          <w:sz w:val="20"/>
        </w:rPr>
        <w:t>de</w:t>
      </w:r>
      <w:r>
        <w:rPr>
          <w:spacing w:val="-2"/>
          <w:sz w:val="20"/>
        </w:rPr>
        <w:t xml:space="preserve"> </w:t>
      </w:r>
      <w:r>
        <w:rPr>
          <w:sz w:val="20"/>
        </w:rPr>
        <w:t>contabilidad</w:t>
      </w:r>
      <w:r>
        <w:rPr>
          <w:spacing w:val="-2"/>
          <w:sz w:val="20"/>
        </w:rPr>
        <w:t xml:space="preserve"> </w:t>
      </w:r>
      <w:r>
        <w:rPr>
          <w:sz w:val="20"/>
        </w:rPr>
        <w:t>pública, así como la identificación del órgano de contratación y del destinatario, que deberán constar en la factura correspondiente.</w:t>
      </w:r>
    </w:p>
    <w:p w:rsidR="0092635B" w:rsidRDefault="00000000">
      <w:pPr>
        <w:pStyle w:val="Prrafodelista"/>
        <w:numPr>
          <w:ilvl w:val="0"/>
          <w:numId w:val="44"/>
        </w:numPr>
        <w:tabs>
          <w:tab w:val="left" w:pos="1693"/>
        </w:tabs>
        <w:spacing w:before="4" w:line="249" w:lineRule="auto"/>
        <w:ind w:firstLine="340"/>
        <w:jc w:val="both"/>
        <w:rPr>
          <w:sz w:val="20"/>
        </w:rPr>
      </w:pPr>
      <w:r>
        <w:rPr>
          <w:sz w:val="20"/>
        </w:rPr>
        <w:t>Antes del 30 de junio de 2018, por el Ministerio de Hacienda y Función Pública, se pondrá a disposición de los operadores económicos y particulares un Registro Electrónico Único que, entre otras funcionalidades, permitirá acreditar la fecha en que se presenten facturas por los subcontratistas al contratista principal y traslade dichas facturas al destinatario de las mismas conforme a la configuración para recibir las facturas electrónicas que consignen en el directorio de empresas.</w:t>
      </w:r>
    </w:p>
    <w:p w:rsidR="0092635B" w:rsidRDefault="0092635B">
      <w:pPr>
        <w:pStyle w:val="Textoindependiente"/>
        <w:ind w:left="0" w:firstLine="0"/>
        <w:jc w:val="left"/>
      </w:pPr>
    </w:p>
    <w:p w:rsidR="0092635B" w:rsidRDefault="00000000">
      <w:pPr>
        <w:spacing w:line="249" w:lineRule="auto"/>
        <w:ind w:left="1106" w:right="1120"/>
        <w:rPr>
          <w:rFonts w:ascii="Arial" w:hAnsi="Arial"/>
          <w:i/>
          <w:sz w:val="20"/>
        </w:rPr>
      </w:pPr>
      <w:bookmarkStart w:id="620" w:name="Disposición_adicional_trigésima_tercera."/>
      <w:bookmarkEnd w:id="620"/>
      <w:r>
        <w:rPr>
          <w:rFonts w:ascii="Arial" w:hAnsi="Arial"/>
          <w:b/>
          <w:sz w:val="20"/>
        </w:rPr>
        <w:t>Disposición adicional trigésima tercera.</w:t>
      </w:r>
      <w:r>
        <w:rPr>
          <w:rFonts w:ascii="Arial" w:hAnsi="Arial"/>
          <w:b/>
          <w:spacing w:val="80"/>
          <w:sz w:val="20"/>
        </w:rPr>
        <w:t xml:space="preserve"> </w:t>
      </w:r>
      <w:r>
        <w:rPr>
          <w:rFonts w:ascii="Arial" w:hAnsi="Arial"/>
          <w:i/>
          <w:sz w:val="20"/>
        </w:rPr>
        <w:t>Contratos de suministros y servicios en función de las necesidades.</w:t>
      </w:r>
    </w:p>
    <w:p w:rsidR="0092635B" w:rsidRDefault="00000000">
      <w:pPr>
        <w:pStyle w:val="Textoindependiente"/>
        <w:spacing w:before="115" w:line="249" w:lineRule="auto"/>
        <w:ind w:right="1103"/>
      </w:pPr>
      <w:r>
        <w:t>En</w:t>
      </w:r>
      <w:r>
        <w:rPr>
          <w:spacing w:val="-1"/>
        </w:rPr>
        <w:t xml:space="preserve"> </w:t>
      </w:r>
      <w:r>
        <w:t>los</w:t>
      </w:r>
      <w:r>
        <w:rPr>
          <w:spacing w:val="-1"/>
        </w:rPr>
        <w:t xml:space="preserve"> </w:t>
      </w:r>
      <w:r>
        <w:t>contratos</w:t>
      </w:r>
      <w:r>
        <w:rPr>
          <w:spacing w:val="-1"/>
        </w:rPr>
        <w:t xml:space="preserve"> </w:t>
      </w:r>
      <w:r>
        <w:t>de</w:t>
      </w:r>
      <w:r>
        <w:rPr>
          <w:spacing w:val="-1"/>
        </w:rPr>
        <w:t xml:space="preserve"> </w:t>
      </w:r>
      <w:r>
        <w:t>suministros</w:t>
      </w:r>
      <w:r>
        <w:rPr>
          <w:spacing w:val="-1"/>
        </w:rPr>
        <w:t xml:space="preserve"> </w:t>
      </w:r>
      <w:r>
        <w:t>y</w:t>
      </w:r>
      <w:r>
        <w:rPr>
          <w:spacing w:val="-1"/>
        </w:rPr>
        <w:t xml:space="preserve"> </w:t>
      </w:r>
      <w:r>
        <w:t>de</w:t>
      </w:r>
      <w:r>
        <w:rPr>
          <w:spacing w:val="-1"/>
        </w:rPr>
        <w:t xml:space="preserve"> </w:t>
      </w:r>
      <w:r>
        <w:t>servicios</w:t>
      </w:r>
      <w:r>
        <w:rPr>
          <w:spacing w:val="-1"/>
        </w:rPr>
        <w:t xml:space="preserve"> </w:t>
      </w:r>
      <w:r>
        <w:t>que</w:t>
      </w:r>
      <w:r>
        <w:rPr>
          <w:spacing w:val="-1"/>
        </w:rPr>
        <w:t xml:space="preserve"> </w:t>
      </w:r>
      <w:r>
        <w:t>tramiten</w:t>
      </w:r>
      <w:r>
        <w:rPr>
          <w:spacing w:val="-1"/>
        </w:rPr>
        <w:t xml:space="preserve"> </w:t>
      </w:r>
      <w:r>
        <w:t>las</w:t>
      </w:r>
      <w:r>
        <w:rPr>
          <w:spacing w:val="-1"/>
        </w:rPr>
        <w:t xml:space="preserve"> </w:t>
      </w:r>
      <w:r>
        <w:t>Administraciones</w:t>
      </w:r>
      <w:r>
        <w:rPr>
          <w:spacing w:val="-1"/>
        </w:rPr>
        <w:t xml:space="preserve"> </w:t>
      </w:r>
      <w:r>
        <w:t>Públicas y demás entidades del sector público con presupuesto limitativo, en los cuales el empresario se obligue a entregar una pluralidad de bienes o a ejecutar el servicio de forma sucesiva y por</w:t>
      </w:r>
      <w:r>
        <w:rPr>
          <w:spacing w:val="8"/>
        </w:rPr>
        <w:t xml:space="preserve"> </w:t>
      </w:r>
      <w:r>
        <w:t>precio</w:t>
      </w:r>
      <w:r>
        <w:rPr>
          <w:spacing w:val="9"/>
        </w:rPr>
        <w:t xml:space="preserve"> </w:t>
      </w:r>
      <w:r>
        <w:t>unitario,</w:t>
      </w:r>
      <w:r>
        <w:rPr>
          <w:spacing w:val="8"/>
        </w:rPr>
        <w:t xml:space="preserve"> </w:t>
      </w:r>
      <w:r>
        <w:t>sin</w:t>
      </w:r>
      <w:r>
        <w:rPr>
          <w:spacing w:val="9"/>
        </w:rPr>
        <w:t xml:space="preserve"> </w:t>
      </w:r>
      <w:r>
        <w:t>que</w:t>
      </w:r>
      <w:r>
        <w:rPr>
          <w:spacing w:val="8"/>
        </w:rPr>
        <w:t xml:space="preserve"> </w:t>
      </w:r>
      <w:r>
        <w:t>el</w:t>
      </w:r>
      <w:r>
        <w:rPr>
          <w:spacing w:val="9"/>
        </w:rPr>
        <w:t xml:space="preserve"> </w:t>
      </w:r>
      <w:r>
        <w:t>número</w:t>
      </w:r>
      <w:r>
        <w:rPr>
          <w:spacing w:val="8"/>
        </w:rPr>
        <w:t xml:space="preserve"> </w:t>
      </w:r>
      <w:r>
        <w:t>total</w:t>
      </w:r>
      <w:r>
        <w:rPr>
          <w:spacing w:val="9"/>
        </w:rPr>
        <w:t xml:space="preserve"> </w:t>
      </w:r>
      <w:r>
        <w:t>de</w:t>
      </w:r>
      <w:r>
        <w:rPr>
          <w:spacing w:val="8"/>
        </w:rPr>
        <w:t xml:space="preserve"> </w:t>
      </w:r>
      <w:r>
        <w:t>entregas</w:t>
      </w:r>
      <w:r>
        <w:rPr>
          <w:spacing w:val="9"/>
        </w:rPr>
        <w:t xml:space="preserve"> </w:t>
      </w:r>
      <w:r>
        <w:t>o</w:t>
      </w:r>
      <w:r>
        <w:rPr>
          <w:spacing w:val="8"/>
        </w:rPr>
        <w:t xml:space="preserve"> </w:t>
      </w:r>
      <w:r>
        <w:t>prestaciones</w:t>
      </w:r>
      <w:r>
        <w:rPr>
          <w:spacing w:val="9"/>
        </w:rPr>
        <w:t xml:space="preserve"> </w:t>
      </w:r>
      <w:r>
        <w:t>incluidas</w:t>
      </w:r>
      <w:r>
        <w:rPr>
          <w:spacing w:val="8"/>
        </w:rPr>
        <w:t xml:space="preserve"> </w:t>
      </w:r>
      <w:r>
        <w:t>en</w:t>
      </w:r>
      <w:r>
        <w:rPr>
          <w:spacing w:val="9"/>
        </w:rPr>
        <w:t xml:space="preserve"> </w:t>
      </w:r>
      <w:r>
        <w:t>el</w:t>
      </w:r>
      <w:r>
        <w:rPr>
          <w:spacing w:val="9"/>
        </w:rPr>
        <w:t xml:space="preserve"> </w:t>
      </w:r>
      <w:r>
        <w:rPr>
          <w:spacing w:val="-2"/>
        </w:rPr>
        <w:t>objeto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del contrato se defina con exactitud al tiempo de celebrar este, por estar subordinadas las mismas a las necesidades de la Administración, deberá aprobarse un presupuesto máximo.</w:t>
      </w:r>
    </w:p>
    <w:p w:rsidR="0092635B" w:rsidRDefault="00000000">
      <w:pPr>
        <w:pStyle w:val="Textoindependiente"/>
        <w:spacing w:before="1" w:line="249" w:lineRule="auto"/>
        <w:ind w:right="1104"/>
      </w:pPr>
      <w:r>
        <w:t>En el caso de que, dentro de la vigencia del contrato, las necesidades reales fuesen superiores a las estimadas inicialmente, deberá tramitarse la correspondiente modificación.</w:t>
      </w:r>
      <w:r>
        <w:rPr>
          <w:spacing w:val="80"/>
        </w:rPr>
        <w:t xml:space="preserve"> </w:t>
      </w:r>
      <w:r>
        <w:t>A tales efectos, habrá de preverse en la documentación que rija la licitación la posibilidad de que pueda modificarse el contrato como consecuencia de tal circunstancia, en los términos previstos en el artículo 204 de esta Ley. La citada modificación deberá tramitarse antes de que se agote el presupuesto máximo inicialmente aprobado, reservándose a tal fin el crédito necesario para cubrir el importe máximo de las nuevas necesidades.</w:t>
      </w:r>
    </w:p>
    <w:p w:rsidR="0092635B" w:rsidRDefault="0092635B">
      <w:pPr>
        <w:pStyle w:val="Textoindependiente"/>
        <w:spacing w:before="3"/>
        <w:ind w:left="0" w:firstLine="0"/>
        <w:jc w:val="left"/>
      </w:pPr>
    </w:p>
    <w:p w:rsidR="0092635B" w:rsidRDefault="00000000">
      <w:pPr>
        <w:spacing w:line="249" w:lineRule="auto"/>
        <w:ind w:left="1106" w:right="1120" w:hanging="1"/>
        <w:rPr>
          <w:rFonts w:ascii="Arial" w:hAnsi="Arial"/>
          <w:i/>
          <w:sz w:val="20"/>
        </w:rPr>
      </w:pPr>
      <w:bookmarkStart w:id="621" w:name="Disposición_adicional_trigésima_cuarta._"/>
      <w:bookmarkEnd w:id="621"/>
      <w:r>
        <w:rPr>
          <w:rFonts w:ascii="Arial" w:hAnsi="Arial"/>
          <w:b/>
          <w:sz w:val="20"/>
        </w:rPr>
        <w:t>Disposición adicional trigésima cuarta.</w:t>
      </w:r>
      <w:r>
        <w:rPr>
          <w:rFonts w:ascii="Arial" w:hAnsi="Arial"/>
          <w:b/>
          <w:spacing w:val="80"/>
          <w:sz w:val="20"/>
        </w:rPr>
        <w:t xml:space="preserve"> </w:t>
      </w:r>
      <w:r>
        <w:rPr>
          <w:rFonts w:ascii="Arial" w:hAnsi="Arial"/>
          <w:i/>
          <w:sz w:val="20"/>
        </w:rPr>
        <w:t xml:space="preserve">Referencias a contratos de gestión de servicios </w:t>
      </w:r>
      <w:r>
        <w:rPr>
          <w:rFonts w:ascii="Arial" w:hAnsi="Arial"/>
          <w:i/>
          <w:spacing w:val="-2"/>
          <w:sz w:val="20"/>
        </w:rPr>
        <w:t>públicos.</w:t>
      </w:r>
    </w:p>
    <w:p w:rsidR="0092635B" w:rsidRDefault="00000000">
      <w:pPr>
        <w:pStyle w:val="Textoindependiente"/>
        <w:spacing w:before="115" w:line="249" w:lineRule="auto"/>
        <w:ind w:right="1104"/>
      </w:pPr>
      <w:r>
        <w:t>Las referencias existentes en la legislación vigente al contrato de gestión de servicios públicos se entenderán realizadas tras la entrada en vigor de la presente Ley al contrato de concesión de servicios, en la medida en que se adecuen a lo regulado para dicho contrato</w:t>
      </w:r>
      <w:r>
        <w:rPr>
          <w:spacing w:val="80"/>
        </w:rPr>
        <w:t xml:space="preserve"> </w:t>
      </w:r>
      <w:r>
        <w:t>en la presente Ley.</w:t>
      </w:r>
    </w:p>
    <w:p w:rsidR="0092635B" w:rsidRDefault="0092635B">
      <w:pPr>
        <w:pStyle w:val="Textoindependiente"/>
        <w:spacing w:before="0"/>
        <w:ind w:left="0" w:firstLine="0"/>
        <w:jc w:val="left"/>
      </w:pPr>
    </w:p>
    <w:p w:rsidR="0092635B" w:rsidRDefault="00000000">
      <w:pPr>
        <w:spacing w:line="249" w:lineRule="auto"/>
        <w:ind w:left="1106" w:right="1120" w:hanging="1"/>
        <w:rPr>
          <w:rFonts w:ascii="Arial" w:hAnsi="Arial"/>
          <w:i/>
          <w:sz w:val="20"/>
        </w:rPr>
      </w:pPr>
      <w:bookmarkStart w:id="622" w:name="Disposición_adicional_trigésima_quinta._"/>
      <w:bookmarkEnd w:id="622"/>
      <w:r>
        <w:rPr>
          <w:rFonts w:ascii="Arial" w:hAnsi="Arial"/>
          <w:b/>
          <w:sz w:val="20"/>
        </w:rPr>
        <w:t>Disposición adicional trigésima quinta.</w:t>
      </w:r>
      <w:r>
        <w:rPr>
          <w:rFonts w:ascii="Arial" w:hAnsi="Arial"/>
          <w:b/>
          <w:spacing w:val="40"/>
          <w:sz w:val="20"/>
        </w:rPr>
        <w:t xml:space="preserve"> </w:t>
      </w:r>
      <w:r>
        <w:rPr>
          <w:rFonts w:ascii="Arial" w:hAnsi="Arial"/>
          <w:i/>
          <w:sz w:val="20"/>
        </w:rPr>
        <w:t>Publicación de datos en e-Certis e informe sobre la dirección del Registro Oficial de Licitadores y Empresas Clasificadas del Sector Público.</w:t>
      </w:r>
    </w:p>
    <w:p w:rsidR="0092635B" w:rsidRDefault="00000000">
      <w:pPr>
        <w:pStyle w:val="Textoindependiente"/>
        <w:spacing w:before="115" w:line="249" w:lineRule="auto"/>
        <w:ind w:right="1104"/>
      </w:pPr>
      <w:r>
        <w:t>La Junta Consultiva de Contratación Pública del Estado, a través de sus órganos de apoyo técnico, publicará y mantendrá actualizado en el depósito de certificados en línea e- Certis, la relación de bases de datos que contengan información relevante para la acreditación de las condiciones de solvencia y aptitud de los empresarios españoles a efectos de la contratación pública.</w:t>
      </w:r>
    </w:p>
    <w:p w:rsidR="0092635B" w:rsidRDefault="00000000">
      <w:pPr>
        <w:pStyle w:val="Textoindependiente"/>
        <w:spacing w:before="4" w:line="249" w:lineRule="auto"/>
        <w:ind w:right="1104"/>
      </w:pPr>
      <w:r>
        <w:t>El Registro Oficial de Licitadores y Empresas Clasificadas del Sector Público constituirá</w:t>
      </w:r>
      <w:r>
        <w:rPr>
          <w:spacing w:val="40"/>
        </w:rPr>
        <w:t xml:space="preserve"> </w:t>
      </w:r>
      <w:r>
        <w:t>la base de datos primaria de la información a la que se refiere el párrafo anterior.</w:t>
      </w:r>
    </w:p>
    <w:p w:rsidR="0092635B" w:rsidRDefault="00000000">
      <w:pPr>
        <w:pStyle w:val="Textoindependiente"/>
        <w:spacing w:line="249" w:lineRule="auto"/>
        <w:ind w:right="1103"/>
      </w:pPr>
      <w:r>
        <w:t>La Junta Consultiva de Contratación Pública del Estado, asimismo, informará a la Comisión</w:t>
      </w:r>
      <w:r>
        <w:rPr>
          <w:spacing w:val="-1"/>
        </w:rPr>
        <w:t xml:space="preserve"> </w:t>
      </w:r>
      <w:r>
        <w:t>Europea</w:t>
      </w:r>
      <w:r>
        <w:rPr>
          <w:spacing w:val="-1"/>
        </w:rPr>
        <w:t xml:space="preserve"> </w:t>
      </w:r>
      <w:r>
        <w:t>y</w:t>
      </w:r>
      <w:r>
        <w:rPr>
          <w:spacing w:val="-1"/>
        </w:rPr>
        <w:t xml:space="preserve"> </w:t>
      </w:r>
      <w:r>
        <w:t>a</w:t>
      </w:r>
      <w:r>
        <w:rPr>
          <w:spacing w:val="-1"/>
        </w:rPr>
        <w:t xml:space="preserve"> </w:t>
      </w:r>
      <w:r>
        <w:t>los</w:t>
      </w:r>
      <w:r>
        <w:rPr>
          <w:spacing w:val="-1"/>
        </w:rPr>
        <w:t xml:space="preserve"> </w:t>
      </w:r>
      <w:r>
        <w:t>demás</w:t>
      </w:r>
      <w:r>
        <w:rPr>
          <w:spacing w:val="-1"/>
        </w:rPr>
        <w:t xml:space="preserve"> </w:t>
      </w:r>
      <w:r>
        <w:t>estados</w:t>
      </w:r>
      <w:r>
        <w:rPr>
          <w:spacing w:val="-1"/>
        </w:rPr>
        <w:t xml:space="preserve"> </w:t>
      </w:r>
      <w:r>
        <w:t>miembros</w:t>
      </w:r>
      <w:r>
        <w:rPr>
          <w:spacing w:val="-1"/>
        </w:rPr>
        <w:t xml:space="preserve"> </w:t>
      </w:r>
      <w:r>
        <w:t>de</w:t>
      </w:r>
      <w:r>
        <w:rPr>
          <w:spacing w:val="-1"/>
        </w:rPr>
        <w:t xml:space="preserve"> </w:t>
      </w:r>
      <w:r>
        <w:t>la</w:t>
      </w:r>
      <w:r>
        <w:rPr>
          <w:spacing w:val="-1"/>
        </w:rPr>
        <w:t xml:space="preserve"> </w:t>
      </w:r>
      <w:r>
        <w:t>dirección</w:t>
      </w:r>
      <w:r>
        <w:rPr>
          <w:spacing w:val="-1"/>
        </w:rPr>
        <w:t xml:space="preserve"> </w:t>
      </w:r>
      <w:r>
        <w:t>del</w:t>
      </w:r>
      <w:r>
        <w:rPr>
          <w:spacing w:val="-1"/>
        </w:rPr>
        <w:t xml:space="preserve"> </w:t>
      </w:r>
      <w:r>
        <w:t>citado</w:t>
      </w:r>
      <w:r>
        <w:rPr>
          <w:spacing w:val="-1"/>
        </w:rPr>
        <w:t xml:space="preserve"> </w:t>
      </w:r>
      <w:r>
        <w:t>registro,</w:t>
      </w:r>
      <w:r>
        <w:rPr>
          <w:spacing w:val="-1"/>
        </w:rPr>
        <w:t xml:space="preserve"> </w:t>
      </w:r>
      <w:r>
        <w:t>al</w:t>
      </w:r>
      <w:r>
        <w:rPr>
          <w:spacing w:val="-1"/>
        </w:rPr>
        <w:t xml:space="preserve"> </w:t>
      </w:r>
      <w:r>
        <w:t>que deberán remitirse las solicitudes de consulta por los poderes adjudicadores de los demás estados miembros, así como de cualquier otra información relativa al mismo.</w:t>
      </w:r>
    </w:p>
    <w:p w:rsidR="0092635B" w:rsidRDefault="0092635B">
      <w:pPr>
        <w:pStyle w:val="Textoindependiente"/>
        <w:spacing w:before="0"/>
        <w:ind w:left="0" w:firstLine="0"/>
        <w:jc w:val="left"/>
      </w:pPr>
    </w:p>
    <w:p w:rsidR="0092635B" w:rsidRDefault="00000000">
      <w:pPr>
        <w:tabs>
          <w:tab w:val="left" w:pos="5121"/>
        </w:tabs>
        <w:spacing w:line="249" w:lineRule="auto"/>
        <w:ind w:left="1106" w:right="1120" w:hanging="1"/>
        <w:rPr>
          <w:rFonts w:ascii="Arial" w:hAnsi="Arial"/>
          <w:i/>
          <w:sz w:val="20"/>
        </w:rPr>
      </w:pPr>
      <w:bookmarkStart w:id="623" w:name="Disposición_adicional_trigésima_sexta._C"/>
      <w:bookmarkEnd w:id="623"/>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trigésima</w:t>
      </w:r>
      <w:r>
        <w:rPr>
          <w:rFonts w:ascii="Arial" w:hAnsi="Arial"/>
          <w:b/>
          <w:spacing w:val="40"/>
          <w:sz w:val="20"/>
        </w:rPr>
        <w:t xml:space="preserve"> </w:t>
      </w:r>
      <w:r>
        <w:rPr>
          <w:rFonts w:ascii="Arial" w:hAnsi="Arial"/>
          <w:b/>
          <w:sz w:val="20"/>
        </w:rPr>
        <w:t>sexta.</w:t>
      </w:r>
      <w:r>
        <w:rPr>
          <w:rFonts w:ascii="Arial" w:hAnsi="Arial"/>
          <w:b/>
          <w:sz w:val="20"/>
        </w:rPr>
        <w:tab/>
      </w:r>
      <w:r>
        <w:rPr>
          <w:rFonts w:ascii="Arial" w:hAnsi="Arial"/>
          <w:i/>
          <w:sz w:val="20"/>
        </w:rPr>
        <w:t>Convocatoria</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licitación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contratos</w:t>
      </w:r>
      <w:r>
        <w:rPr>
          <w:rFonts w:ascii="Arial" w:hAnsi="Arial"/>
          <w:i/>
          <w:spacing w:val="40"/>
          <w:sz w:val="20"/>
        </w:rPr>
        <w:t xml:space="preserve"> </w:t>
      </w:r>
      <w:r>
        <w:rPr>
          <w:rFonts w:ascii="Arial" w:hAnsi="Arial"/>
          <w:i/>
          <w:sz w:val="20"/>
        </w:rPr>
        <w:t>de concesión de servicios especiales del anexo IV.</w:t>
      </w:r>
    </w:p>
    <w:p w:rsidR="0092635B" w:rsidRDefault="00000000">
      <w:pPr>
        <w:pStyle w:val="Textoindependiente"/>
        <w:spacing w:before="115" w:line="249" w:lineRule="auto"/>
        <w:ind w:right="1104"/>
      </w:pPr>
      <w:r>
        <w:t>Los órganos de contratación que celebren contratos de concesiones de servicios especiales del anexo IV utilizarán como medio de convocatoria de licitación un anuncio de información previa que deberá tener el contenido establecido en el anexo III. B. Sección 3.</w:t>
      </w:r>
    </w:p>
    <w:p w:rsidR="0092635B" w:rsidRDefault="00000000">
      <w:pPr>
        <w:pStyle w:val="Textoindependiente"/>
        <w:spacing w:line="249" w:lineRule="auto"/>
        <w:ind w:right="1105"/>
      </w:pPr>
      <w:r>
        <w:t xml:space="preserve">Estos anuncios se publicarán en el «Diario Oficial de la Unión Europea» y en el perfil de </w:t>
      </w:r>
      <w:r>
        <w:rPr>
          <w:spacing w:val="-2"/>
        </w:rPr>
        <w:t>contratante.</w:t>
      </w:r>
    </w:p>
    <w:p w:rsidR="0092635B" w:rsidRDefault="00000000">
      <w:pPr>
        <w:spacing w:before="229"/>
        <w:ind w:left="1106"/>
        <w:rPr>
          <w:rFonts w:ascii="Arial" w:hAnsi="Arial"/>
          <w:i/>
          <w:sz w:val="20"/>
        </w:rPr>
      </w:pPr>
      <w:bookmarkStart w:id="624" w:name="Disposición_adicional_trigésima_séptima."/>
      <w:bookmarkEnd w:id="624"/>
      <w:r>
        <w:rPr>
          <w:rFonts w:ascii="Arial" w:hAnsi="Arial"/>
          <w:b/>
          <w:sz w:val="20"/>
        </w:rPr>
        <w:t>Disposición</w:t>
      </w:r>
      <w:r>
        <w:rPr>
          <w:rFonts w:ascii="Arial" w:hAnsi="Arial"/>
          <w:b/>
          <w:spacing w:val="-1"/>
          <w:sz w:val="20"/>
        </w:rPr>
        <w:t xml:space="preserve"> </w:t>
      </w:r>
      <w:r>
        <w:rPr>
          <w:rFonts w:ascii="Arial" w:hAnsi="Arial"/>
          <w:b/>
          <w:sz w:val="20"/>
        </w:rPr>
        <w:t>adicional</w:t>
      </w:r>
      <w:r>
        <w:rPr>
          <w:rFonts w:ascii="Arial" w:hAnsi="Arial"/>
          <w:b/>
          <w:spacing w:val="-1"/>
          <w:sz w:val="20"/>
        </w:rPr>
        <w:t xml:space="preserve"> </w:t>
      </w:r>
      <w:r>
        <w:rPr>
          <w:rFonts w:ascii="Arial" w:hAnsi="Arial"/>
          <w:b/>
          <w:sz w:val="20"/>
        </w:rPr>
        <w:t>trigésima</w:t>
      </w:r>
      <w:r>
        <w:rPr>
          <w:rFonts w:ascii="Arial" w:hAnsi="Arial"/>
          <w:b/>
          <w:spacing w:val="-1"/>
          <w:sz w:val="20"/>
        </w:rPr>
        <w:t xml:space="preserve"> </w:t>
      </w:r>
      <w:r>
        <w:rPr>
          <w:rFonts w:ascii="Arial" w:hAnsi="Arial"/>
          <w:b/>
          <w:sz w:val="20"/>
        </w:rPr>
        <w:t>séptima.</w:t>
      </w:r>
      <w:r>
        <w:rPr>
          <w:rFonts w:ascii="Arial" w:hAnsi="Arial"/>
          <w:b/>
          <w:spacing w:val="52"/>
          <w:sz w:val="20"/>
        </w:rPr>
        <w:t xml:space="preserve"> </w:t>
      </w:r>
      <w:r>
        <w:rPr>
          <w:rFonts w:ascii="Arial" w:hAnsi="Arial"/>
          <w:i/>
          <w:sz w:val="20"/>
        </w:rPr>
        <w:t>Contratos</w:t>
      </w:r>
      <w:r>
        <w:rPr>
          <w:rFonts w:ascii="Arial" w:hAnsi="Arial"/>
          <w:i/>
          <w:spacing w:val="-1"/>
          <w:sz w:val="20"/>
        </w:rPr>
        <w:t xml:space="preserve"> </w:t>
      </w:r>
      <w:r>
        <w:rPr>
          <w:rFonts w:ascii="Arial" w:hAnsi="Arial"/>
          <w:i/>
          <w:sz w:val="20"/>
        </w:rPr>
        <w:t>declarados</w:t>
      </w:r>
      <w:r>
        <w:rPr>
          <w:rFonts w:ascii="Arial" w:hAnsi="Arial"/>
          <w:i/>
          <w:spacing w:val="-1"/>
          <w:sz w:val="20"/>
        </w:rPr>
        <w:t xml:space="preserve"> </w:t>
      </w:r>
      <w:r>
        <w:rPr>
          <w:rFonts w:ascii="Arial" w:hAnsi="Arial"/>
          <w:i/>
          <w:sz w:val="20"/>
        </w:rPr>
        <w:t>secretos</w:t>
      </w:r>
      <w:r>
        <w:rPr>
          <w:rFonts w:ascii="Arial" w:hAnsi="Arial"/>
          <w:i/>
          <w:spacing w:val="-1"/>
          <w:sz w:val="20"/>
        </w:rPr>
        <w:t xml:space="preserve"> </w:t>
      </w:r>
      <w:r>
        <w:rPr>
          <w:rFonts w:ascii="Arial" w:hAnsi="Arial"/>
          <w:i/>
          <w:sz w:val="20"/>
        </w:rPr>
        <w:t xml:space="preserve">o </w:t>
      </w:r>
      <w:r>
        <w:rPr>
          <w:rFonts w:ascii="Arial" w:hAnsi="Arial"/>
          <w:i/>
          <w:spacing w:val="-2"/>
          <w:sz w:val="20"/>
        </w:rPr>
        <w:t>reservados.</w:t>
      </w:r>
    </w:p>
    <w:p w:rsidR="0092635B" w:rsidRDefault="00000000">
      <w:pPr>
        <w:pStyle w:val="Textoindependiente"/>
        <w:spacing w:before="123"/>
        <w:ind w:left="1446" w:firstLine="0"/>
        <w:jc w:val="left"/>
      </w:pPr>
      <w:r>
        <w:t>A</w:t>
      </w:r>
      <w:r>
        <w:rPr>
          <w:spacing w:val="9"/>
        </w:rPr>
        <w:t xml:space="preserve"> </w:t>
      </w:r>
      <w:r>
        <w:t>los</w:t>
      </w:r>
      <w:r>
        <w:rPr>
          <w:spacing w:val="10"/>
        </w:rPr>
        <w:t xml:space="preserve"> </w:t>
      </w:r>
      <w:r>
        <w:t>contratos</w:t>
      </w:r>
      <w:r>
        <w:rPr>
          <w:spacing w:val="10"/>
        </w:rPr>
        <w:t xml:space="preserve"> </w:t>
      </w:r>
      <w:r>
        <w:t>declarados</w:t>
      </w:r>
      <w:r>
        <w:rPr>
          <w:spacing w:val="10"/>
        </w:rPr>
        <w:t xml:space="preserve"> </w:t>
      </w:r>
      <w:r>
        <w:t>secretos</w:t>
      </w:r>
      <w:r>
        <w:rPr>
          <w:spacing w:val="10"/>
        </w:rPr>
        <w:t xml:space="preserve"> </w:t>
      </w:r>
      <w:r>
        <w:t>o</w:t>
      </w:r>
      <w:r>
        <w:rPr>
          <w:spacing w:val="10"/>
        </w:rPr>
        <w:t xml:space="preserve"> </w:t>
      </w:r>
      <w:r>
        <w:t>reservados</w:t>
      </w:r>
      <w:r>
        <w:rPr>
          <w:spacing w:val="10"/>
        </w:rPr>
        <w:t xml:space="preserve"> </w:t>
      </w:r>
      <w:r>
        <w:t>de</w:t>
      </w:r>
      <w:r>
        <w:rPr>
          <w:spacing w:val="10"/>
        </w:rPr>
        <w:t xml:space="preserve"> </w:t>
      </w:r>
      <w:r>
        <w:t>conformidad</w:t>
      </w:r>
      <w:r>
        <w:rPr>
          <w:spacing w:val="10"/>
        </w:rPr>
        <w:t xml:space="preserve"> </w:t>
      </w:r>
      <w:r>
        <w:t>con</w:t>
      </w:r>
      <w:r>
        <w:rPr>
          <w:spacing w:val="10"/>
        </w:rPr>
        <w:t xml:space="preserve"> </w:t>
      </w:r>
      <w:r>
        <w:t>la</w:t>
      </w:r>
      <w:r>
        <w:rPr>
          <w:spacing w:val="10"/>
        </w:rPr>
        <w:t xml:space="preserve"> </w:t>
      </w:r>
      <w:r>
        <w:t>Ley</w:t>
      </w:r>
      <w:r>
        <w:rPr>
          <w:spacing w:val="10"/>
        </w:rPr>
        <w:t xml:space="preserve"> </w:t>
      </w:r>
      <w:r>
        <w:t>9/1968,</w:t>
      </w:r>
      <w:r>
        <w:rPr>
          <w:spacing w:val="10"/>
        </w:rPr>
        <w:t xml:space="preserve"> </w:t>
      </w:r>
      <w:r>
        <w:rPr>
          <w:spacing w:val="-5"/>
        </w:rPr>
        <w:t>de</w:t>
      </w:r>
    </w:p>
    <w:p w:rsidR="0092635B" w:rsidRDefault="00000000">
      <w:pPr>
        <w:pStyle w:val="Textoindependiente"/>
        <w:spacing w:before="10" w:line="249" w:lineRule="auto"/>
        <w:ind w:right="1105" w:firstLine="0"/>
        <w:jc w:val="left"/>
      </w:pPr>
      <w:r>
        <w:t>5</w:t>
      </w:r>
      <w:r>
        <w:rPr>
          <w:spacing w:val="65"/>
        </w:rPr>
        <w:t xml:space="preserve"> </w:t>
      </w:r>
      <w:r>
        <w:t>de</w:t>
      </w:r>
      <w:r>
        <w:rPr>
          <w:spacing w:val="65"/>
        </w:rPr>
        <w:t xml:space="preserve"> </w:t>
      </w:r>
      <w:r>
        <w:t>abril,</w:t>
      </w:r>
      <w:r>
        <w:rPr>
          <w:spacing w:val="65"/>
        </w:rPr>
        <w:t xml:space="preserve"> </w:t>
      </w:r>
      <w:r>
        <w:t>sobre</w:t>
      </w:r>
      <w:r>
        <w:rPr>
          <w:spacing w:val="65"/>
        </w:rPr>
        <w:t xml:space="preserve"> </w:t>
      </w:r>
      <w:r>
        <w:t>secretos</w:t>
      </w:r>
      <w:r>
        <w:rPr>
          <w:spacing w:val="65"/>
        </w:rPr>
        <w:t xml:space="preserve"> </w:t>
      </w:r>
      <w:r>
        <w:t>oficiales,</w:t>
      </w:r>
      <w:r>
        <w:rPr>
          <w:spacing w:val="65"/>
        </w:rPr>
        <w:t xml:space="preserve"> </w:t>
      </w:r>
      <w:r>
        <w:t>se</w:t>
      </w:r>
      <w:r>
        <w:rPr>
          <w:spacing w:val="65"/>
        </w:rPr>
        <w:t xml:space="preserve"> </w:t>
      </w:r>
      <w:r>
        <w:t>les</w:t>
      </w:r>
      <w:r>
        <w:rPr>
          <w:spacing w:val="65"/>
        </w:rPr>
        <w:t xml:space="preserve"> </w:t>
      </w:r>
      <w:r>
        <w:t>aplicará</w:t>
      </w:r>
      <w:r>
        <w:rPr>
          <w:spacing w:val="65"/>
        </w:rPr>
        <w:t xml:space="preserve"> </w:t>
      </w:r>
      <w:r>
        <w:t>dicha</w:t>
      </w:r>
      <w:r>
        <w:rPr>
          <w:spacing w:val="65"/>
        </w:rPr>
        <w:t xml:space="preserve"> </w:t>
      </w:r>
      <w:r>
        <w:t>norma</w:t>
      </w:r>
      <w:r>
        <w:rPr>
          <w:spacing w:val="65"/>
        </w:rPr>
        <w:t xml:space="preserve"> </w:t>
      </w:r>
      <w:r>
        <w:t>y,</w:t>
      </w:r>
      <w:r>
        <w:rPr>
          <w:spacing w:val="65"/>
        </w:rPr>
        <w:t xml:space="preserve"> </w:t>
      </w:r>
      <w:r>
        <w:t>en</w:t>
      </w:r>
      <w:r>
        <w:rPr>
          <w:spacing w:val="65"/>
        </w:rPr>
        <w:t xml:space="preserve"> </w:t>
      </w:r>
      <w:r>
        <w:t>defecto</w:t>
      </w:r>
      <w:r>
        <w:rPr>
          <w:spacing w:val="65"/>
        </w:rPr>
        <w:t xml:space="preserve"> </w:t>
      </w:r>
      <w:r>
        <w:t>de</w:t>
      </w:r>
      <w:r>
        <w:rPr>
          <w:spacing w:val="65"/>
        </w:rPr>
        <w:t xml:space="preserve"> </w:t>
      </w:r>
      <w:r>
        <w:t>lo establecido en la misma, se regirán por lo dispuesto en la presente Ley.</w:t>
      </w:r>
    </w:p>
    <w:p w:rsidR="0092635B" w:rsidRDefault="00000000">
      <w:pPr>
        <w:spacing w:before="228"/>
        <w:ind w:left="1106"/>
        <w:rPr>
          <w:rFonts w:ascii="Arial" w:hAnsi="Arial"/>
          <w:i/>
          <w:sz w:val="20"/>
        </w:rPr>
      </w:pPr>
      <w:bookmarkStart w:id="625" w:name="Disposición_adicional_trigésima_octava._"/>
      <w:bookmarkEnd w:id="625"/>
      <w:r>
        <w:rPr>
          <w:rFonts w:ascii="Arial" w:hAnsi="Arial"/>
          <w:b/>
          <w:sz w:val="20"/>
        </w:rPr>
        <w:t>Disposición</w:t>
      </w:r>
      <w:r>
        <w:rPr>
          <w:rFonts w:ascii="Arial" w:hAnsi="Arial"/>
          <w:b/>
          <w:spacing w:val="-3"/>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trigésima</w:t>
      </w:r>
      <w:r>
        <w:rPr>
          <w:rFonts w:ascii="Arial" w:hAnsi="Arial"/>
          <w:b/>
          <w:spacing w:val="-3"/>
          <w:sz w:val="20"/>
        </w:rPr>
        <w:t xml:space="preserve"> </w:t>
      </w:r>
      <w:r>
        <w:rPr>
          <w:rFonts w:ascii="Arial" w:hAnsi="Arial"/>
          <w:b/>
          <w:sz w:val="20"/>
        </w:rPr>
        <w:t>octava.</w:t>
      </w:r>
      <w:r>
        <w:rPr>
          <w:rFonts w:ascii="Arial" w:hAnsi="Arial"/>
          <w:b/>
          <w:spacing w:val="50"/>
          <w:sz w:val="20"/>
        </w:rPr>
        <w:t xml:space="preserve"> </w:t>
      </w:r>
      <w:r>
        <w:rPr>
          <w:rFonts w:ascii="Arial" w:hAnsi="Arial"/>
          <w:i/>
          <w:sz w:val="20"/>
        </w:rPr>
        <w:t>No</w:t>
      </w:r>
      <w:r>
        <w:rPr>
          <w:rFonts w:ascii="Arial" w:hAnsi="Arial"/>
          <w:i/>
          <w:spacing w:val="-3"/>
          <w:sz w:val="20"/>
        </w:rPr>
        <w:t xml:space="preserve"> </w:t>
      </w:r>
      <w:r>
        <w:rPr>
          <w:rFonts w:ascii="Arial" w:hAnsi="Arial"/>
          <w:i/>
          <w:sz w:val="20"/>
        </w:rPr>
        <w:t>incremento</w:t>
      </w:r>
      <w:r>
        <w:rPr>
          <w:rFonts w:ascii="Arial" w:hAnsi="Arial"/>
          <w:i/>
          <w:spacing w:val="-2"/>
          <w:sz w:val="20"/>
        </w:rPr>
        <w:t xml:space="preserve"> </w:t>
      </w:r>
      <w:r>
        <w:rPr>
          <w:rFonts w:ascii="Arial" w:hAnsi="Arial"/>
          <w:i/>
          <w:sz w:val="20"/>
        </w:rPr>
        <w:t>de</w:t>
      </w:r>
      <w:r>
        <w:rPr>
          <w:rFonts w:ascii="Arial" w:hAnsi="Arial"/>
          <w:i/>
          <w:spacing w:val="-2"/>
          <w:sz w:val="20"/>
        </w:rPr>
        <w:t xml:space="preserve"> gastos.</w:t>
      </w:r>
    </w:p>
    <w:p w:rsidR="0092635B" w:rsidRDefault="00000000">
      <w:pPr>
        <w:pStyle w:val="Textoindependiente"/>
        <w:spacing w:before="124" w:line="249" w:lineRule="auto"/>
        <w:ind w:right="1103"/>
      </w:pPr>
      <w:r>
        <w:t>Las</w:t>
      </w:r>
      <w:r>
        <w:rPr>
          <w:spacing w:val="-2"/>
        </w:rPr>
        <w:t xml:space="preserve"> </w:t>
      </w:r>
      <w:r>
        <w:t>medidas</w:t>
      </w:r>
      <w:r>
        <w:rPr>
          <w:spacing w:val="-2"/>
        </w:rPr>
        <w:t xml:space="preserve"> </w:t>
      </w:r>
      <w:r>
        <w:t>incluidas</w:t>
      </w:r>
      <w:r>
        <w:rPr>
          <w:spacing w:val="-2"/>
        </w:rPr>
        <w:t xml:space="preserve"> </w:t>
      </w:r>
      <w:r>
        <w:t>en</w:t>
      </w:r>
      <w:r>
        <w:rPr>
          <w:spacing w:val="-2"/>
        </w:rPr>
        <w:t xml:space="preserve"> </w:t>
      </w:r>
      <w:r>
        <w:t>esta</w:t>
      </w:r>
      <w:r>
        <w:rPr>
          <w:spacing w:val="-2"/>
        </w:rPr>
        <w:t xml:space="preserve"> </w:t>
      </w:r>
      <w:r>
        <w:t>norma</w:t>
      </w:r>
      <w:r>
        <w:rPr>
          <w:spacing w:val="-2"/>
        </w:rPr>
        <w:t xml:space="preserve"> </w:t>
      </w:r>
      <w:r>
        <w:t>no</w:t>
      </w:r>
      <w:r>
        <w:rPr>
          <w:spacing w:val="-2"/>
        </w:rPr>
        <w:t xml:space="preserve"> </w:t>
      </w:r>
      <w:r>
        <w:t>podrán</w:t>
      </w:r>
      <w:r>
        <w:rPr>
          <w:spacing w:val="-2"/>
        </w:rPr>
        <w:t xml:space="preserve"> </w:t>
      </w:r>
      <w:r>
        <w:t>suponer</w:t>
      </w:r>
      <w:r>
        <w:rPr>
          <w:spacing w:val="-2"/>
        </w:rPr>
        <w:t xml:space="preserve"> </w:t>
      </w:r>
      <w:r>
        <w:t>incremento</w:t>
      </w:r>
      <w:r>
        <w:rPr>
          <w:spacing w:val="-2"/>
        </w:rPr>
        <w:t xml:space="preserve"> </w:t>
      </w:r>
      <w:r>
        <w:t>de</w:t>
      </w:r>
      <w:r>
        <w:rPr>
          <w:spacing w:val="-2"/>
        </w:rPr>
        <w:t xml:space="preserve"> </w:t>
      </w:r>
      <w:r>
        <w:t>dotaciones,</w:t>
      </w:r>
      <w:r>
        <w:rPr>
          <w:spacing w:val="-2"/>
        </w:rPr>
        <w:t xml:space="preserve"> </w:t>
      </w:r>
      <w:r>
        <w:t>ni</w:t>
      </w:r>
      <w:r>
        <w:rPr>
          <w:spacing w:val="-2"/>
        </w:rPr>
        <w:t xml:space="preserve"> </w:t>
      </w:r>
      <w:r>
        <w:t>de retribuciones, ni de otros gastos de personal salvo los gastos derivados de las funciones atribuidas</w:t>
      </w:r>
      <w:r>
        <w:rPr>
          <w:spacing w:val="-1"/>
        </w:rPr>
        <w:t xml:space="preserve"> </w:t>
      </w:r>
      <w:r>
        <w:t>en</w:t>
      </w:r>
      <w:r>
        <w:rPr>
          <w:spacing w:val="-1"/>
        </w:rPr>
        <w:t xml:space="preserve"> </w:t>
      </w:r>
      <w:r>
        <w:t>esta</w:t>
      </w:r>
      <w:r>
        <w:rPr>
          <w:spacing w:val="-1"/>
        </w:rPr>
        <w:t xml:space="preserve"> </w:t>
      </w:r>
      <w:r>
        <w:t>Ley</w:t>
      </w:r>
      <w:r>
        <w:rPr>
          <w:spacing w:val="-1"/>
        </w:rPr>
        <w:t xml:space="preserve"> </w:t>
      </w:r>
      <w:r>
        <w:t>a</w:t>
      </w:r>
      <w:r>
        <w:rPr>
          <w:spacing w:val="-1"/>
        </w:rPr>
        <w:t xml:space="preserve"> </w:t>
      </w:r>
      <w:r>
        <w:t>la</w:t>
      </w:r>
      <w:r>
        <w:rPr>
          <w:spacing w:val="-1"/>
        </w:rPr>
        <w:t xml:space="preserve"> </w:t>
      </w:r>
      <w:r>
        <w:t>Junta</w:t>
      </w:r>
      <w:r>
        <w:rPr>
          <w:spacing w:val="-1"/>
        </w:rPr>
        <w:t xml:space="preserve"> </w:t>
      </w:r>
      <w:r>
        <w:t>Consultiva</w:t>
      </w:r>
      <w:r>
        <w:rPr>
          <w:spacing w:val="-1"/>
        </w:rPr>
        <w:t xml:space="preserve"> </w:t>
      </w:r>
      <w:r>
        <w:t>de</w:t>
      </w:r>
      <w:r>
        <w:rPr>
          <w:spacing w:val="-1"/>
        </w:rPr>
        <w:t xml:space="preserve"> </w:t>
      </w:r>
      <w:r>
        <w:t>Contratación</w:t>
      </w:r>
      <w:r>
        <w:rPr>
          <w:spacing w:val="-1"/>
        </w:rPr>
        <w:t xml:space="preserve"> </w:t>
      </w:r>
      <w:r>
        <w:t>Pública</w:t>
      </w:r>
      <w:r>
        <w:rPr>
          <w:spacing w:val="-1"/>
        </w:rPr>
        <w:t xml:space="preserve"> </w:t>
      </w:r>
      <w:r>
        <w:t>del</w:t>
      </w:r>
      <w:r>
        <w:rPr>
          <w:spacing w:val="-1"/>
        </w:rPr>
        <w:t xml:space="preserve"> </w:t>
      </w:r>
      <w:r>
        <w:t>Estado</w:t>
      </w:r>
      <w:r>
        <w:rPr>
          <w:spacing w:val="-1"/>
        </w:rPr>
        <w:t xml:space="preserve"> </w:t>
      </w:r>
      <w:r>
        <w:t>y</w:t>
      </w:r>
      <w:r>
        <w:rPr>
          <w:spacing w:val="-1"/>
        </w:rPr>
        <w:t xml:space="preserve"> </w:t>
      </w:r>
      <w:r>
        <w:t>a</w:t>
      </w:r>
      <w:r>
        <w:rPr>
          <w:spacing w:val="-1"/>
        </w:rPr>
        <w:t xml:space="preserve"> </w:t>
      </w:r>
      <w:r>
        <w:t>la</w:t>
      </w:r>
      <w:r>
        <w:rPr>
          <w:spacing w:val="-1"/>
        </w:rPr>
        <w:t xml:space="preserve"> </w:t>
      </w:r>
      <w:r>
        <w:t>Oficina Independiente de Regulación y Supervisión de la Contratación.</w:t>
      </w:r>
    </w:p>
    <w:p w:rsidR="0092635B" w:rsidRDefault="00000000">
      <w:pPr>
        <w:pStyle w:val="Textoindependiente"/>
        <w:spacing w:before="17"/>
        <w:ind w:left="0" w:firstLine="0"/>
        <w:jc w:val="left"/>
      </w:pPr>
      <w:r>
        <w:rPr>
          <w:noProof/>
        </w:rPr>
        <mc:AlternateContent>
          <mc:Choice Requires="wps">
            <w:drawing>
              <wp:anchor distT="0" distB="0" distL="0" distR="0" simplePos="0" relativeHeight="487597056" behindDoc="1" locked="0" layoutInCell="1" allowOverlap="1">
                <wp:simplePos x="0" y="0"/>
                <wp:positionH relativeFrom="page">
                  <wp:posOffset>1156762</wp:posOffset>
                </wp:positionH>
                <wp:positionV relativeFrom="paragraph">
                  <wp:posOffset>177152</wp:posOffset>
                </wp:positionV>
                <wp:extent cx="5247005" cy="64960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70" w:right="268" w:firstLine="340"/>
                              <w:jc w:val="both"/>
                              <w:rPr>
                                <w:color w:val="000000"/>
                                <w:sz w:val="18"/>
                              </w:rPr>
                            </w:pPr>
                            <w:r>
                              <w:rPr>
                                <w:color w:val="000000"/>
                                <w:sz w:val="18"/>
                              </w:rPr>
                              <w:t>Téngase</w:t>
                            </w:r>
                            <w:r>
                              <w:rPr>
                                <w:color w:val="000000"/>
                                <w:spacing w:val="-1"/>
                                <w:sz w:val="18"/>
                              </w:rPr>
                              <w:t xml:space="preserve"> </w:t>
                            </w:r>
                            <w:r>
                              <w:rPr>
                                <w:color w:val="000000"/>
                                <w:sz w:val="18"/>
                              </w:rPr>
                              <w:t>en</w:t>
                            </w:r>
                            <w:r>
                              <w:rPr>
                                <w:color w:val="000000"/>
                                <w:spacing w:val="-1"/>
                                <w:sz w:val="18"/>
                              </w:rPr>
                              <w:t xml:space="preserve"> </w:t>
                            </w:r>
                            <w:r>
                              <w:rPr>
                                <w:color w:val="000000"/>
                                <w:sz w:val="18"/>
                              </w:rPr>
                              <w:t>cuenta</w:t>
                            </w:r>
                            <w:r>
                              <w:rPr>
                                <w:color w:val="000000"/>
                                <w:spacing w:val="-1"/>
                                <w:sz w:val="18"/>
                              </w:rPr>
                              <w:t xml:space="preserve"> </w:t>
                            </w:r>
                            <w:r>
                              <w:rPr>
                                <w:color w:val="000000"/>
                                <w:sz w:val="18"/>
                              </w:rPr>
                              <w:t>que</w:t>
                            </w:r>
                            <w:r>
                              <w:rPr>
                                <w:color w:val="000000"/>
                                <w:spacing w:val="-1"/>
                                <w:sz w:val="18"/>
                              </w:rPr>
                              <w:t xml:space="preserve"> </w:t>
                            </w:r>
                            <w:r>
                              <w:rPr>
                                <w:color w:val="000000"/>
                                <w:sz w:val="18"/>
                              </w:rPr>
                              <w:t>esta</w:t>
                            </w:r>
                            <w:r>
                              <w:rPr>
                                <w:color w:val="000000"/>
                                <w:spacing w:val="-1"/>
                                <w:sz w:val="18"/>
                              </w:rPr>
                              <w:t xml:space="preserve"> </w:t>
                            </w:r>
                            <w:r>
                              <w:rPr>
                                <w:color w:val="000000"/>
                                <w:sz w:val="18"/>
                              </w:rPr>
                              <w:t>disposición</w:t>
                            </w:r>
                            <w:r>
                              <w:rPr>
                                <w:color w:val="000000"/>
                                <w:spacing w:val="-1"/>
                                <w:sz w:val="18"/>
                              </w:rPr>
                              <w:t xml:space="preserve"> </w:t>
                            </w:r>
                            <w:r>
                              <w:rPr>
                                <w:color w:val="000000"/>
                                <w:sz w:val="18"/>
                              </w:rPr>
                              <w:t>se</w:t>
                            </w:r>
                            <w:r>
                              <w:rPr>
                                <w:color w:val="000000"/>
                                <w:spacing w:val="-1"/>
                                <w:sz w:val="18"/>
                              </w:rPr>
                              <w:t xml:space="preserve"> </w:t>
                            </w:r>
                            <w:r>
                              <w:rPr>
                                <w:color w:val="000000"/>
                                <w:sz w:val="18"/>
                              </w:rPr>
                              <w:t>declara</w:t>
                            </w:r>
                            <w:r>
                              <w:rPr>
                                <w:color w:val="000000"/>
                                <w:spacing w:val="-1"/>
                                <w:sz w:val="18"/>
                              </w:rPr>
                              <w:t xml:space="preserve"> </w:t>
                            </w:r>
                            <w:r>
                              <w:rPr>
                                <w:color w:val="000000"/>
                                <w:sz w:val="18"/>
                              </w:rPr>
                              <w:t>conforme</w:t>
                            </w:r>
                            <w:r>
                              <w:rPr>
                                <w:color w:val="000000"/>
                                <w:spacing w:val="-1"/>
                                <w:sz w:val="18"/>
                              </w:rPr>
                              <w:t xml:space="preserve"> </w:t>
                            </w:r>
                            <w:r>
                              <w:rPr>
                                <w:color w:val="000000"/>
                                <w:sz w:val="18"/>
                              </w:rPr>
                              <w:t>con</w:t>
                            </w:r>
                            <w:r>
                              <w:rPr>
                                <w:color w:val="000000"/>
                                <w:spacing w:val="-1"/>
                                <w:sz w:val="18"/>
                              </w:rPr>
                              <w:t xml:space="preserve"> </w:t>
                            </w:r>
                            <w:r>
                              <w:rPr>
                                <w:color w:val="000000"/>
                                <w:sz w:val="18"/>
                              </w:rPr>
                              <w:t>el</w:t>
                            </w:r>
                            <w:r>
                              <w:rPr>
                                <w:color w:val="000000"/>
                                <w:spacing w:val="-1"/>
                                <w:sz w:val="18"/>
                              </w:rPr>
                              <w:t xml:space="preserve"> </w:t>
                            </w:r>
                            <w:r>
                              <w:rPr>
                                <w:color w:val="000000"/>
                                <w:sz w:val="18"/>
                              </w:rPr>
                              <w:t>orden</w:t>
                            </w:r>
                            <w:r>
                              <w:rPr>
                                <w:color w:val="000000"/>
                                <w:spacing w:val="-1"/>
                                <w:sz w:val="18"/>
                              </w:rPr>
                              <w:t xml:space="preserve"> </w:t>
                            </w:r>
                            <w:r>
                              <w:rPr>
                                <w:color w:val="000000"/>
                                <w:sz w:val="18"/>
                              </w:rPr>
                              <w:t>constitucional</w:t>
                            </w:r>
                            <w:r>
                              <w:rPr>
                                <w:color w:val="000000"/>
                                <w:spacing w:val="-1"/>
                                <w:sz w:val="18"/>
                              </w:rPr>
                              <w:t xml:space="preserve"> </w:t>
                            </w:r>
                            <w:r>
                              <w:rPr>
                                <w:color w:val="000000"/>
                                <w:sz w:val="18"/>
                              </w:rPr>
                              <w:t xml:space="preserve">de competencias, siempre que se interprete en los términos establecidos en el fundamento jurídico 8 E), por la Sentencia del TC 68/2021, de 18 de marzo. </w:t>
                            </w:r>
                            <w:hyperlink r:id="rId53">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26" o:spid="_x0000_s1041" type="#_x0000_t202" style="position:absolute;margin-left:91.1pt;margin-top:13.95pt;width:413.15pt;height:51.1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" fillcolor="#f7f7ff" strokecolor="#9f9f9f">
                <v:path arrowok="t"/>
                <v:textbox inset="0,0,0,0">
                  <w:txbxContent>
                    <w:p w:rsidR="0092635B" w:rsidRDefault="00000000">
                      <w:pPr>
                        <w:spacing w:before="181" w:line="249" w:lineRule="auto"/>
                        <w:ind w:left="270" w:right="268" w:firstLine="340"/>
                        <w:jc w:val="both"/>
                        <w:rPr>
                          <w:color w:val="000000"/>
                          <w:sz w:val="18"/>
                        </w:rPr>
                      </w:pPr>
                      <w:r>
                        <w:rPr>
                          <w:color w:val="000000"/>
                          <w:sz w:val="18"/>
                        </w:rPr>
                        <w:t>Téngase</w:t>
                      </w:r>
                      <w:r>
                        <w:rPr>
                          <w:color w:val="000000"/>
                          <w:spacing w:val="-1"/>
                          <w:sz w:val="18"/>
                        </w:rPr>
                        <w:t xml:space="preserve"> </w:t>
                      </w:r>
                      <w:r>
                        <w:rPr>
                          <w:color w:val="000000"/>
                          <w:sz w:val="18"/>
                        </w:rPr>
                        <w:t>en</w:t>
                      </w:r>
                      <w:r>
                        <w:rPr>
                          <w:color w:val="000000"/>
                          <w:spacing w:val="-1"/>
                          <w:sz w:val="18"/>
                        </w:rPr>
                        <w:t xml:space="preserve"> </w:t>
                      </w:r>
                      <w:r>
                        <w:rPr>
                          <w:color w:val="000000"/>
                          <w:sz w:val="18"/>
                        </w:rPr>
                        <w:t>cuenta</w:t>
                      </w:r>
                      <w:r>
                        <w:rPr>
                          <w:color w:val="000000"/>
                          <w:spacing w:val="-1"/>
                          <w:sz w:val="18"/>
                        </w:rPr>
                        <w:t xml:space="preserve"> </w:t>
                      </w:r>
                      <w:r>
                        <w:rPr>
                          <w:color w:val="000000"/>
                          <w:sz w:val="18"/>
                        </w:rPr>
                        <w:t>que</w:t>
                      </w:r>
                      <w:r>
                        <w:rPr>
                          <w:color w:val="000000"/>
                          <w:spacing w:val="-1"/>
                          <w:sz w:val="18"/>
                        </w:rPr>
                        <w:t xml:space="preserve"> </w:t>
                      </w:r>
                      <w:r>
                        <w:rPr>
                          <w:color w:val="000000"/>
                          <w:sz w:val="18"/>
                        </w:rPr>
                        <w:t>esta</w:t>
                      </w:r>
                      <w:r>
                        <w:rPr>
                          <w:color w:val="000000"/>
                          <w:spacing w:val="-1"/>
                          <w:sz w:val="18"/>
                        </w:rPr>
                        <w:t xml:space="preserve"> </w:t>
                      </w:r>
                      <w:r>
                        <w:rPr>
                          <w:color w:val="000000"/>
                          <w:sz w:val="18"/>
                        </w:rPr>
                        <w:t>disposición</w:t>
                      </w:r>
                      <w:r>
                        <w:rPr>
                          <w:color w:val="000000"/>
                          <w:spacing w:val="-1"/>
                          <w:sz w:val="18"/>
                        </w:rPr>
                        <w:t xml:space="preserve"> </w:t>
                      </w:r>
                      <w:r>
                        <w:rPr>
                          <w:color w:val="000000"/>
                          <w:sz w:val="18"/>
                        </w:rPr>
                        <w:t>se</w:t>
                      </w:r>
                      <w:r>
                        <w:rPr>
                          <w:color w:val="000000"/>
                          <w:spacing w:val="-1"/>
                          <w:sz w:val="18"/>
                        </w:rPr>
                        <w:t xml:space="preserve"> </w:t>
                      </w:r>
                      <w:r>
                        <w:rPr>
                          <w:color w:val="000000"/>
                          <w:sz w:val="18"/>
                        </w:rPr>
                        <w:t>declara</w:t>
                      </w:r>
                      <w:r>
                        <w:rPr>
                          <w:color w:val="000000"/>
                          <w:spacing w:val="-1"/>
                          <w:sz w:val="18"/>
                        </w:rPr>
                        <w:t xml:space="preserve"> </w:t>
                      </w:r>
                      <w:r>
                        <w:rPr>
                          <w:color w:val="000000"/>
                          <w:sz w:val="18"/>
                        </w:rPr>
                        <w:t>conforme</w:t>
                      </w:r>
                      <w:r>
                        <w:rPr>
                          <w:color w:val="000000"/>
                          <w:spacing w:val="-1"/>
                          <w:sz w:val="18"/>
                        </w:rPr>
                        <w:t xml:space="preserve"> </w:t>
                      </w:r>
                      <w:r>
                        <w:rPr>
                          <w:color w:val="000000"/>
                          <w:sz w:val="18"/>
                        </w:rPr>
                        <w:t>con</w:t>
                      </w:r>
                      <w:r>
                        <w:rPr>
                          <w:color w:val="000000"/>
                          <w:spacing w:val="-1"/>
                          <w:sz w:val="18"/>
                        </w:rPr>
                        <w:t xml:space="preserve"> </w:t>
                      </w:r>
                      <w:r>
                        <w:rPr>
                          <w:color w:val="000000"/>
                          <w:sz w:val="18"/>
                        </w:rPr>
                        <w:t>el</w:t>
                      </w:r>
                      <w:r>
                        <w:rPr>
                          <w:color w:val="000000"/>
                          <w:spacing w:val="-1"/>
                          <w:sz w:val="18"/>
                        </w:rPr>
                        <w:t xml:space="preserve"> </w:t>
                      </w:r>
                      <w:r>
                        <w:rPr>
                          <w:color w:val="000000"/>
                          <w:sz w:val="18"/>
                        </w:rPr>
                        <w:t>orden</w:t>
                      </w:r>
                      <w:r>
                        <w:rPr>
                          <w:color w:val="000000"/>
                          <w:spacing w:val="-1"/>
                          <w:sz w:val="18"/>
                        </w:rPr>
                        <w:t xml:space="preserve"> </w:t>
                      </w:r>
                      <w:r>
                        <w:rPr>
                          <w:color w:val="000000"/>
                          <w:sz w:val="18"/>
                        </w:rPr>
                        <w:t>constitucional</w:t>
                      </w:r>
                      <w:r>
                        <w:rPr>
                          <w:color w:val="000000"/>
                          <w:spacing w:val="-1"/>
                          <w:sz w:val="18"/>
                        </w:rPr>
                        <w:t xml:space="preserve"> </w:t>
                      </w:r>
                      <w:r>
                        <w:rPr>
                          <w:color w:val="000000"/>
                          <w:sz w:val="18"/>
                        </w:rPr>
                        <w:t xml:space="preserve">de competencias, siempre que se interprete en los términos establecidos en el fundamento jurídico 8 E), por la Sentencia del TC 68/2021, de 18 de marzo. </w:t>
                      </w:r>
                      <w:hyperlink r:id="rId54">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jc w:val="left"/>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spacing w:before="1" w:line="249" w:lineRule="auto"/>
        <w:ind w:left="1106" w:right="1104"/>
        <w:jc w:val="both"/>
        <w:rPr>
          <w:rFonts w:ascii="Arial" w:hAnsi="Arial"/>
          <w:i/>
          <w:sz w:val="20"/>
        </w:rPr>
      </w:pPr>
      <w:bookmarkStart w:id="626" w:name="Disposición_adicional_trigésima_novena._"/>
      <w:bookmarkEnd w:id="626"/>
      <w:r>
        <w:rPr>
          <w:rFonts w:ascii="Arial" w:hAnsi="Arial"/>
          <w:b/>
          <w:sz w:val="20"/>
        </w:rPr>
        <w:t>Disposición adicional trigésima novena.</w:t>
      </w:r>
      <w:r>
        <w:rPr>
          <w:rFonts w:ascii="Arial" w:hAnsi="Arial"/>
          <w:b/>
          <w:spacing w:val="40"/>
          <w:sz w:val="20"/>
        </w:rPr>
        <w:t xml:space="preserve"> </w:t>
      </w:r>
      <w:r>
        <w:rPr>
          <w:rFonts w:ascii="Arial" w:hAnsi="Arial"/>
          <w:i/>
          <w:sz w:val="20"/>
        </w:rPr>
        <w:t>Régimen de contratación de Puertos del Estado</w:t>
      </w:r>
      <w:r>
        <w:rPr>
          <w:rFonts w:ascii="Arial" w:hAnsi="Arial"/>
          <w:i/>
          <w:spacing w:val="40"/>
          <w:sz w:val="20"/>
        </w:rPr>
        <w:t xml:space="preserve"> </w:t>
      </w:r>
      <w:r>
        <w:rPr>
          <w:rFonts w:ascii="Arial" w:hAnsi="Arial"/>
          <w:i/>
          <w:sz w:val="20"/>
        </w:rPr>
        <w:t>y de las Autoridades Portuarias.</w:t>
      </w:r>
    </w:p>
    <w:p w:rsidR="0092635B" w:rsidRDefault="00000000">
      <w:pPr>
        <w:pStyle w:val="Textoindependiente"/>
        <w:spacing w:before="115" w:line="249" w:lineRule="auto"/>
        <w:ind w:right="1105"/>
      </w:pPr>
      <w:r>
        <w:t>El régimen jurídico de los contratos que celebren Puertos del Estado y las Autoridades Portuarias será el establecido en esta Ley para las entidades del sector público que, siendo poderes adjudicadores, no tienen la consideración de Administración Pública.</w:t>
      </w:r>
    </w:p>
    <w:p w:rsidR="0092635B" w:rsidRDefault="00000000">
      <w:pPr>
        <w:spacing w:before="229" w:line="249" w:lineRule="auto"/>
        <w:ind w:left="1106" w:right="1104" w:hanging="1"/>
        <w:jc w:val="both"/>
        <w:rPr>
          <w:rFonts w:ascii="Arial" w:hAnsi="Arial"/>
          <w:i/>
          <w:sz w:val="20"/>
        </w:rPr>
      </w:pPr>
      <w:bookmarkStart w:id="627" w:name="Disposición_adicional_cuadragésima._Oper"/>
      <w:bookmarkEnd w:id="627"/>
      <w:r>
        <w:rPr>
          <w:rFonts w:ascii="Arial" w:hAnsi="Arial"/>
          <w:b/>
          <w:sz w:val="20"/>
        </w:rPr>
        <w:t>Disposición adicional cuadragésima.</w:t>
      </w:r>
      <w:r>
        <w:rPr>
          <w:rFonts w:ascii="Arial" w:hAnsi="Arial"/>
          <w:b/>
          <w:spacing w:val="40"/>
          <w:sz w:val="20"/>
        </w:rPr>
        <w:t xml:space="preserve"> </w:t>
      </w:r>
      <w:r>
        <w:rPr>
          <w:rFonts w:ascii="Arial" w:hAnsi="Arial"/>
          <w:i/>
          <w:sz w:val="20"/>
        </w:rPr>
        <w:t xml:space="preserve">Operadores públicos del sector de las </w:t>
      </w:r>
      <w:r>
        <w:rPr>
          <w:rFonts w:ascii="Arial" w:hAnsi="Arial"/>
          <w:i/>
          <w:spacing w:val="-2"/>
          <w:sz w:val="20"/>
        </w:rPr>
        <w:t>telecomunicaciones.</w:t>
      </w:r>
    </w:p>
    <w:p w:rsidR="0092635B" w:rsidRDefault="00000000">
      <w:pPr>
        <w:pStyle w:val="Textoindependiente"/>
        <w:spacing w:before="115" w:line="249" w:lineRule="auto"/>
        <w:ind w:right="1102"/>
        <w:jc w:val="right"/>
      </w:pPr>
      <w:r>
        <w:t>En los supuestos de ejecución directa por la Administración Pública de prestaciones en</w:t>
      </w:r>
      <w:r>
        <w:rPr>
          <w:spacing w:val="40"/>
        </w:rPr>
        <w:t xml:space="preserve"> </w:t>
      </w:r>
      <w:r>
        <w:t>el área de las telecomunicaciones a través de medios propios personificados, en orden a la valoración del cumplimiento del requisito contemplado en el artículo 32.2.b), se procederá a detraer</w:t>
      </w:r>
      <w:r>
        <w:rPr>
          <w:spacing w:val="38"/>
        </w:rPr>
        <w:t xml:space="preserve"> </w:t>
      </w:r>
      <w:r>
        <w:t>del</w:t>
      </w:r>
      <w:r>
        <w:rPr>
          <w:spacing w:val="38"/>
        </w:rPr>
        <w:t xml:space="preserve"> </w:t>
      </w:r>
      <w:r>
        <w:t>volumen</w:t>
      </w:r>
      <w:r>
        <w:rPr>
          <w:spacing w:val="38"/>
        </w:rPr>
        <w:t xml:space="preserve"> </w:t>
      </w:r>
      <w:r>
        <w:t>global</w:t>
      </w:r>
      <w:r>
        <w:rPr>
          <w:spacing w:val="38"/>
        </w:rPr>
        <w:t xml:space="preserve"> </w:t>
      </w:r>
      <w:r>
        <w:t>de</w:t>
      </w:r>
      <w:r>
        <w:rPr>
          <w:spacing w:val="38"/>
        </w:rPr>
        <w:t xml:space="preserve"> </w:t>
      </w:r>
      <w:r>
        <w:t>negocios</w:t>
      </w:r>
      <w:r>
        <w:rPr>
          <w:spacing w:val="38"/>
        </w:rPr>
        <w:t xml:space="preserve"> </w:t>
      </w:r>
      <w:r>
        <w:t>del</w:t>
      </w:r>
      <w:r>
        <w:rPr>
          <w:spacing w:val="38"/>
        </w:rPr>
        <w:t xml:space="preserve"> </w:t>
      </w:r>
      <w:r>
        <w:t>ente</w:t>
      </w:r>
      <w:r>
        <w:rPr>
          <w:spacing w:val="38"/>
        </w:rPr>
        <w:t xml:space="preserve"> </w:t>
      </w:r>
      <w:r>
        <w:t>destinatario</w:t>
      </w:r>
      <w:r>
        <w:rPr>
          <w:spacing w:val="38"/>
        </w:rPr>
        <w:t xml:space="preserve"> </w:t>
      </w:r>
      <w:r>
        <w:t>del</w:t>
      </w:r>
      <w:r>
        <w:rPr>
          <w:spacing w:val="38"/>
        </w:rPr>
        <w:t xml:space="preserve"> </w:t>
      </w:r>
      <w:r>
        <w:t>encargo</w:t>
      </w:r>
      <w:r>
        <w:rPr>
          <w:spacing w:val="38"/>
        </w:rPr>
        <w:t xml:space="preserve"> </w:t>
      </w:r>
      <w:r>
        <w:t>las</w:t>
      </w:r>
      <w:r>
        <w:rPr>
          <w:spacing w:val="38"/>
        </w:rPr>
        <w:t xml:space="preserve"> </w:t>
      </w:r>
      <w:r>
        <w:t>cantidades correspondientes</w:t>
      </w:r>
      <w:r>
        <w:rPr>
          <w:spacing w:val="40"/>
        </w:rPr>
        <w:t xml:space="preserve"> </w:t>
      </w:r>
      <w:r>
        <w:t>a</w:t>
      </w:r>
      <w:r>
        <w:rPr>
          <w:spacing w:val="40"/>
        </w:rPr>
        <w:t xml:space="preserve"> </w:t>
      </w:r>
      <w:r>
        <w:t>la</w:t>
      </w:r>
      <w:r>
        <w:rPr>
          <w:spacing w:val="40"/>
        </w:rPr>
        <w:t xml:space="preserve"> </w:t>
      </w:r>
      <w:r>
        <w:t>actividad</w:t>
      </w:r>
      <w:r>
        <w:rPr>
          <w:spacing w:val="40"/>
        </w:rPr>
        <w:t xml:space="preserve"> </w:t>
      </w:r>
      <w:r>
        <w:t>realizada</w:t>
      </w:r>
      <w:r>
        <w:rPr>
          <w:spacing w:val="40"/>
        </w:rPr>
        <w:t xml:space="preserve"> </w:t>
      </w:r>
      <w:r>
        <w:t>como</w:t>
      </w:r>
      <w:r>
        <w:rPr>
          <w:spacing w:val="40"/>
        </w:rPr>
        <w:t xml:space="preserve"> </w:t>
      </w:r>
      <w:r>
        <w:t>consecuencia</w:t>
      </w:r>
      <w:r>
        <w:rPr>
          <w:spacing w:val="40"/>
        </w:rPr>
        <w:t xml:space="preserve"> </w:t>
      </w:r>
      <w:r>
        <w:t>del</w:t>
      </w:r>
      <w:r>
        <w:rPr>
          <w:spacing w:val="40"/>
        </w:rPr>
        <w:t xml:space="preserve"> </w:t>
      </w:r>
      <w:r>
        <w:t>cumplimiento</w:t>
      </w:r>
      <w:r>
        <w:rPr>
          <w:spacing w:val="40"/>
        </w:rPr>
        <w:t xml:space="preserve"> </w:t>
      </w:r>
      <w:r>
        <w:t>de</w:t>
      </w:r>
      <w:r>
        <w:rPr>
          <w:spacing w:val="40"/>
        </w:rPr>
        <w:t xml:space="preserve"> </w:t>
      </w:r>
      <w:r>
        <w:t>las</w:t>
      </w:r>
      <w:r>
        <w:rPr>
          <w:spacing w:val="40"/>
        </w:rPr>
        <w:t xml:space="preserve"> </w:t>
      </w:r>
      <w:r>
        <w:t>obligaciones impuestas por razones de interés general en su condición de operador público por</w:t>
      </w:r>
      <w:r>
        <w:rPr>
          <w:spacing w:val="-2"/>
        </w:rPr>
        <w:t xml:space="preserve"> </w:t>
      </w:r>
      <w:r>
        <w:t>la</w:t>
      </w:r>
      <w:r>
        <w:rPr>
          <w:spacing w:val="-2"/>
        </w:rPr>
        <w:t xml:space="preserve"> </w:t>
      </w:r>
      <w:r>
        <w:t>Ley</w:t>
      </w:r>
      <w:r>
        <w:rPr>
          <w:spacing w:val="-2"/>
        </w:rPr>
        <w:t xml:space="preserve"> </w:t>
      </w:r>
      <w:r>
        <w:t>9/2014,</w:t>
      </w:r>
      <w:r>
        <w:rPr>
          <w:spacing w:val="-2"/>
        </w:rPr>
        <w:t xml:space="preserve"> </w:t>
      </w:r>
      <w:r>
        <w:t>de</w:t>
      </w:r>
      <w:r>
        <w:rPr>
          <w:spacing w:val="-2"/>
        </w:rPr>
        <w:t xml:space="preserve"> </w:t>
      </w:r>
      <w:r>
        <w:t>9</w:t>
      </w:r>
      <w:r>
        <w:rPr>
          <w:spacing w:val="-2"/>
        </w:rPr>
        <w:t xml:space="preserve"> </w:t>
      </w:r>
      <w:r>
        <w:t>de</w:t>
      </w:r>
      <w:r>
        <w:rPr>
          <w:spacing w:val="-2"/>
        </w:rPr>
        <w:t xml:space="preserve"> </w:t>
      </w:r>
      <w:r>
        <w:t>mayo,</w:t>
      </w:r>
      <w:r>
        <w:rPr>
          <w:spacing w:val="-2"/>
        </w:rPr>
        <w:t xml:space="preserve"> </w:t>
      </w:r>
      <w:r>
        <w:t>General</w:t>
      </w:r>
      <w:r>
        <w:rPr>
          <w:spacing w:val="-2"/>
        </w:rPr>
        <w:t xml:space="preserve"> </w:t>
      </w:r>
      <w:r>
        <w:t>de</w:t>
      </w:r>
      <w:r>
        <w:rPr>
          <w:spacing w:val="-2"/>
        </w:rPr>
        <w:t xml:space="preserve"> </w:t>
      </w:r>
      <w:r>
        <w:t>Telecomunicaciones,</w:t>
      </w:r>
      <w:r>
        <w:rPr>
          <w:spacing w:val="-2"/>
        </w:rPr>
        <w:t xml:space="preserve"> </w:t>
      </w:r>
      <w:r>
        <w:t>y</w:t>
      </w:r>
      <w:r>
        <w:rPr>
          <w:spacing w:val="-2"/>
        </w:rPr>
        <w:t xml:space="preserve"> </w:t>
      </w:r>
      <w:r>
        <w:t>normativa</w:t>
      </w:r>
      <w:r>
        <w:rPr>
          <w:spacing w:val="-2"/>
        </w:rPr>
        <w:t xml:space="preserve"> </w:t>
      </w:r>
      <w:r>
        <w:t>de</w:t>
      </w:r>
      <w:r>
        <w:rPr>
          <w:spacing w:val="-2"/>
        </w:rPr>
        <w:t xml:space="preserve"> </w:t>
      </w:r>
      <w:r>
        <w:t>desarrollo. En</w:t>
      </w:r>
      <w:r>
        <w:rPr>
          <w:spacing w:val="40"/>
        </w:rPr>
        <w:t xml:space="preserve"> </w:t>
      </w:r>
      <w:r>
        <w:t>todo</w:t>
      </w:r>
      <w:r>
        <w:rPr>
          <w:spacing w:val="40"/>
        </w:rPr>
        <w:t xml:space="preserve"> </w:t>
      </w:r>
      <w:r>
        <w:t>caso</w:t>
      </w:r>
      <w:r>
        <w:rPr>
          <w:spacing w:val="40"/>
        </w:rPr>
        <w:t xml:space="preserve"> </w:t>
      </w:r>
      <w:r>
        <w:t>el</w:t>
      </w:r>
      <w:r>
        <w:rPr>
          <w:spacing w:val="40"/>
        </w:rPr>
        <w:t xml:space="preserve"> </w:t>
      </w:r>
      <w:r>
        <w:t>medio</w:t>
      </w:r>
      <w:r>
        <w:rPr>
          <w:spacing w:val="40"/>
        </w:rPr>
        <w:t xml:space="preserve"> </w:t>
      </w:r>
      <w:r>
        <w:t>propio</w:t>
      </w:r>
      <w:r>
        <w:rPr>
          <w:spacing w:val="40"/>
        </w:rPr>
        <w:t xml:space="preserve"> </w:t>
      </w:r>
      <w:r>
        <w:t>del</w:t>
      </w:r>
      <w:r>
        <w:rPr>
          <w:spacing w:val="40"/>
        </w:rPr>
        <w:t xml:space="preserve"> </w:t>
      </w:r>
      <w:r>
        <w:t>que</w:t>
      </w:r>
      <w:r>
        <w:rPr>
          <w:spacing w:val="40"/>
        </w:rPr>
        <w:t xml:space="preserve"> </w:t>
      </w:r>
      <w:r>
        <w:t>pretenda</w:t>
      </w:r>
      <w:r>
        <w:rPr>
          <w:spacing w:val="40"/>
        </w:rPr>
        <w:t xml:space="preserve"> </w:t>
      </w:r>
      <w:r>
        <w:t>valerse</w:t>
      </w:r>
      <w:r>
        <w:rPr>
          <w:spacing w:val="40"/>
        </w:rPr>
        <w:t xml:space="preserve"> </w:t>
      </w:r>
      <w:r>
        <w:t>una</w:t>
      </w:r>
      <w:r>
        <w:rPr>
          <w:spacing w:val="40"/>
        </w:rPr>
        <w:t xml:space="preserve"> </w:t>
      </w:r>
      <w:r>
        <w:t>Administración</w:t>
      </w:r>
      <w:r>
        <w:rPr>
          <w:spacing w:val="40"/>
        </w:rPr>
        <w:t xml:space="preserve"> </w:t>
      </w:r>
      <w:r>
        <w:t>Pública, cuando esta última ostente un control análogo sobre el primero al que ejercería sobre sus</w:t>
      </w:r>
      <w:r>
        <w:rPr>
          <w:spacing w:val="80"/>
        </w:rPr>
        <w:t xml:space="preserve"> </w:t>
      </w:r>
      <w:r>
        <w:t>propios</w:t>
      </w:r>
      <w:r>
        <w:rPr>
          <w:spacing w:val="10"/>
        </w:rPr>
        <w:t xml:space="preserve"> </w:t>
      </w:r>
      <w:r>
        <w:t>servicios,</w:t>
      </w:r>
      <w:r>
        <w:rPr>
          <w:spacing w:val="12"/>
        </w:rPr>
        <w:t xml:space="preserve"> </w:t>
      </w:r>
      <w:r>
        <w:t>deberá</w:t>
      </w:r>
      <w:r>
        <w:rPr>
          <w:spacing w:val="12"/>
        </w:rPr>
        <w:t xml:space="preserve"> </w:t>
      </w:r>
      <w:r>
        <w:t>realizar</w:t>
      </w:r>
      <w:r>
        <w:rPr>
          <w:spacing w:val="13"/>
        </w:rPr>
        <w:t xml:space="preserve"> </w:t>
      </w:r>
      <w:r>
        <w:t>la</w:t>
      </w:r>
      <w:r>
        <w:rPr>
          <w:spacing w:val="12"/>
        </w:rPr>
        <w:t xml:space="preserve"> </w:t>
      </w:r>
      <w:r>
        <w:t>parte</w:t>
      </w:r>
      <w:r>
        <w:rPr>
          <w:spacing w:val="12"/>
        </w:rPr>
        <w:t xml:space="preserve"> </w:t>
      </w:r>
      <w:r>
        <w:t>esencial</w:t>
      </w:r>
      <w:r>
        <w:rPr>
          <w:spacing w:val="12"/>
        </w:rPr>
        <w:t xml:space="preserve"> </w:t>
      </w:r>
      <w:r>
        <w:t>de</w:t>
      </w:r>
      <w:r>
        <w:rPr>
          <w:spacing w:val="13"/>
        </w:rPr>
        <w:t xml:space="preserve"> </w:t>
      </w:r>
      <w:r>
        <w:t>su</w:t>
      </w:r>
      <w:r>
        <w:rPr>
          <w:spacing w:val="12"/>
        </w:rPr>
        <w:t xml:space="preserve"> </w:t>
      </w:r>
      <w:r>
        <w:t>actividad</w:t>
      </w:r>
      <w:r>
        <w:rPr>
          <w:spacing w:val="12"/>
        </w:rPr>
        <w:t xml:space="preserve"> </w:t>
      </w:r>
      <w:r>
        <w:t>para</w:t>
      </w:r>
      <w:r>
        <w:rPr>
          <w:spacing w:val="12"/>
        </w:rPr>
        <w:t xml:space="preserve"> </w:t>
      </w:r>
      <w:r>
        <w:t>esta</w:t>
      </w:r>
      <w:r>
        <w:rPr>
          <w:spacing w:val="13"/>
        </w:rPr>
        <w:t xml:space="preserve"> </w:t>
      </w:r>
      <w:r>
        <w:rPr>
          <w:spacing w:val="-2"/>
        </w:rPr>
        <w:t>Administración</w:t>
      </w:r>
    </w:p>
    <w:p w:rsidR="0092635B" w:rsidRDefault="00000000">
      <w:pPr>
        <w:pStyle w:val="Textoindependiente"/>
        <w:spacing w:before="8"/>
        <w:ind w:firstLine="0"/>
        <w:jc w:val="left"/>
      </w:pPr>
      <w:r>
        <w:rPr>
          <w:spacing w:val="-2"/>
        </w:rPr>
        <w:t>Pública.</w:t>
      </w:r>
    </w:p>
    <w:p w:rsidR="0092635B" w:rsidRDefault="0092635B">
      <w:pPr>
        <w:pStyle w:val="Textoindependiente"/>
        <w:spacing w:before="7"/>
        <w:ind w:left="0" w:firstLine="0"/>
        <w:jc w:val="left"/>
      </w:pPr>
    </w:p>
    <w:p w:rsidR="0092635B" w:rsidRDefault="00000000">
      <w:pPr>
        <w:spacing w:line="249" w:lineRule="auto"/>
        <w:ind w:left="1106" w:right="1104" w:hanging="1"/>
        <w:jc w:val="both"/>
        <w:rPr>
          <w:rFonts w:ascii="Arial" w:hAnsi="Arial"/>
          <w:i/>
          <w:sz w:val="20"/>
        </w:rPr>
      </w:pPr>
      <w:bookmarkStart w:id="628" w:name="Disposición_adicional_cuadragésima_prime"/>
      <w:bookmarkEnd w:id="628"/>
      <w:r>
        <w:rPr>
          <w:rFonts w:ascii="Arial" w:hAnsi="Arial"/>
          <w:b/>
          <w:sz w:val="20"/>
        </w:rPr>
        <w:t>Disposición adicional cuadragésima primera.</w:t>
      </w:r>
      <w:r>
        <w:rPr>
          <w:rFonts w:ascii="Arial" w:hAnsi="Arial"/>
          <w:b/>
          <w:spacing w:val="80"/>
          <w:sz w:val="20"/>
        </w:rPr>
        <w:t xml:space="preserve"> </w:t>
      </w:r>
      <w:r>
        <w:rPr>
          <w:rFonts w:ascii="Arial" w:hAnsi="Arial"/>
          <w:i/>
          <w:sz w:val="20"/>
        </w:rPr>
        <w:t>Normas específicas de contratación</w:t>
      </w:r>
      <w:r>
        <w:rPr>
          <w:rFonts w:ascii="Arial" w:hAnsi="Arial"/>
          <w:i/>
          <w:spacing w:val="40"/>
          <w:sz w:val="20"/>
        </w:rPr>
        <w:t xml:space="preserve"> </w:t>
      </w:r>
      <w:r>
        <w:rPr>
          <w:rFonts w:ascii="Arial" w:hAnsi="Arial"/>
          <w:i/>
          <w:sz w:val="20"/>
        </w:rPr>
        <w:t>pública de servicios de arquitectura, ingeniería, consultoría y urbanismo.</w:t>
      </w:r>
    </w:p>
    <w:p w:rsidR="0092635B" w:rsidRDefault="00000000">
      <w:pPr>
        <w:pStyle w:val="Textoindependiente"/>
        <w:spacing w:before="115" w:line="249" w:lineRule="auto"/>
        <w:ind w:right="1103"/>
      </w:pPr>
      <w:r>
        <w:t>Se reconoce la naturaleza de prestaciones de carácter intelectual a los servicios de arquitectura, ingeniería, consultoría y urbanismo, con los efectos que se derivan de las previsiones contenidas en esta Ley.</w:t>
      </w:r>
    </w:p>
    <w:p w:rsidR="0092635B" w:rsidRDefault="00000000">
      <w:pPr>
        <w:spacing w:before="229" w:line="249" w:lineRule="auto"/>
        <w:ind w:left="1106" w:right="1104" w:hanging="1"/>
        <w:jc w:val="both"/>
        <w:rPr>
          <w:rFonts w:ascii="Arial" w:hAnsi="Arial"/>
          <w:i/>
          <w:sz w:val="20"/>
        </w:rPr>
      </w:pPr>
      <w:bookmarkStart w:id="629" w:name="Disposición_adicional_cuadragésima_segun"/>
      <w:bookmarkEnd w:id="629"/>
      <w:r>
        <w:rPr>
          <w:rFonts w:ascii="Arial" w:hAnsi="Arial"/>
          <w:b/>
          <w:sz w:val="20"/>
        </w:rPr>
        <w:t>Disposición adicional cuadragésima segunda.</w:t>
      </w:r>
      <w:r>
        <w:rPr>
          <w:rFonts w:ascii="Arial" w:hAnsi="Arial"/>
          <w:b/>
          <w:spacing w:val="40"/>
          <w:sz w:val="20"/>
        </w:rPr>
        <w:t xml:space="preserve"> </w:t>
      </w:r>
      <w:r>
        <w:rPr>
          <w:rFonts w:ascii="Arial" w:hAnsi="Arial"/>
          <w:i/>
          <w:sz w:val="20"/>
        </w:rPr>
        <w:t>En relación con la actividad comercial del Museo Nacional del Prado y del Museo Nacional Centro de Arte Reina Sofía.</w:t>
      </w:r>
    </w:p>
    <w:p w:rsidR="0092635B" w:rsidRDefault="00000000">
      <w:pPr>
        <w:pStyle w:val="Textoindependiente"/>
        <w:spacing w:before="115"/>
        <w:ind w:left="1446" w:firstLine="0"/>
      </w:pPr>
      <w:r>
        <w:t>En</w:t>
      </w:r>
      <w:r>
        <w:rPr>
          <w:spacing w:val="4"/>
        </w:rPr>
        <w:t xml:space="preserve"> </w:t>
      </w:r>
      <w:r>
        <w:t>los</w:t>
      </w:r>
      <w:r>
        <w:rPr>
          <w:spacing w:val="6"/>
        </w:rPr>
        <w:t xml:space="preserve"> </w:t>
      </w:r>
      <w:r>
        <w:t>contratos</w:t>
      </w:r>
      <w:r>
        <w:rPr>
          <w:spacing w:val="7"/>
        </w:rPr>
        <w:t xml:space="preserve"> </w:t>
      </w:r>
      <w:r>
        <w:t>relacionados</w:t>
      </w:r>
      <w:r>
        <w:rPr>
          <w:spacing w:val="6"/>
        </w:rPr>
        <w:t xml:space="preserve"> </w:t>
      </w:r>
      <w:r>
        <w:t>con</w:t>
      </w:r>
      <w:r>
        <w:rPr>
          <w:spacing w:val="6"/>
        </w:rPr>
        <w:t xml:space="preserve"> </w:t>
      </w:r>
      <w:r>
        <w:t>la</w:t>
      </w:r>
      <w:r>
        <w:rPr>
          <w:spacing w:val="7"/>
        </w:rPr>
        <w:t xml:space="preserve"> </w:t>
      </w:r>
      <w:r>
        <w:t>actividad</w:t>
      </w:r>
      <w:r>
        <w:rPr>
          <w:spacing w:val="6"/>
        </w:rPr>
        <w:t xml:space="preserve"> </w:t>
      </w:r>
      <w:r>
        <w:t>comercial,</w:t>
      </w:r>
      <w:r>
        <w:rPr>
          <w:spacing w:val="6"/>
        </w:rPr>
        <w:t xml:space="preserve"> </w:t>
      </w:r>
      <w:r>
        <w:t>a</w:t>
      </w:r>
      <w:r>
        <w:rPr>
          <w:spacing w:val="7"/>
        </w:rPr>
        <w:t xml:space="preserve"> </w:t>
      </w:r>
      <w:r>
        <w:t>los</w:t>
      </w:r>
      <w:r>
        <w:rPr>
          <w:spacing w:val="6"/>
        </w:rPr>
        <w:t xml:space="preserve"> </w:t>
      </w:r>
      <w:r>
        <w:t>que</w:t>
      </w:r>
      <w:r>
        <w:rPr>
          <w:spacing w:val="6"/>
        </w:rPr>
        <w:t xml:space="preserve"> </w:t>
      </w:r>
      <w:r>
        <w:t>se</w:t>
      </w:r>
      <w:r>
        <w:rPr>
          <w:spacing w:val="7"/>
        </w:rPr>
        <w:t xml:space="preserve"> </w:t>
      </w:r>
      <w:r>
        <w:t>refieren</w:t>
      </w:r>
      <w:r>
        <w:rPr>
          <w:spacing w:val="6"/>
        </w:rPr>
        <w:t xml:space="preserve"> </w:t>
      </w:r>
      <w:r>
        <w:t>el</w:t>
      </w:r>
      <w:r>
        <w:rPr>
          <w:spacing w:val="7"/>
        </w:rPr>
        <w:t xml:space="preserve"> </w:t>
      </w:r>
      <w:r>
        <w:rPr>
          <w:spacing w:val="-2"/>
        </w:rPr>
        <w:t>artículo</w:t>
      </w:r>
    </w:p>
    <w:p w:rsidR="0092635B" w:rsidRDefault="00000000">
      <w:pPr>
        <w:pStyle w:val="Textoindependiente"/>
        <w:spacing w:before="10" w:line="249" w:lineRule="auto"/>
        <w:ind w:right="1103" w:hanging="1"/>
      </w:pPr>
      <w:r>
        <w:t>16.2 de la Ley 46/2003, de 25 de noviembre, reguladora del Museo Nacional del Prado, y el artículo 18.2 de la Ley 34/2011, de 4 de octubre, reguladora del Museo Nacional Centro de Arte</w:t>
      </w:r>
      <w:r>
        <w:rPr>
          <w:spacing w:val="-1"/>
        </w:rPr>
        <w:t xml:space="preserve"> </w:t>
      </w:r>
      <w:r>
        <w:t>Reina</w:t>
      </w:r>
      <w:r>
        <w:rPr>
          <w:spacing w:val="-1"/>
        </w:rPr>
        <w:t xml:space="preserve"> </w:t>
      </w:r>
      <w:r>
        <w:t>Sofía,</w:t>
      </w:r>
      <w:r>
        <w:rPr>
          <w:spacing w:val="-1"/>
        </w:rPr>
        <w:t xml:space="preserve"> </w:t>
      </w:r>
      <w:r>
        <w:t>estas</w:t>
      </w:r>
      <w:r>
        <w:rPr>
          <w:spacing w:val="-1"/>
        </w:rPr>
        <w:t xml:space="preserve"> </w:t>
      </w:r>
      <w:r>
        <w:t>entidades</w:t>
      </w:r>
      <w:r>
        <w:rPr>
          <w:spacing w:val="-1"/>
        </w:rPr>
        <w:t xml:space="preserve"> </w:t>
      </w:r>
      <w:r>
        <w:t>seguirán</w:t>
      </w:r>
      <w:r>
        <w:rPr>
          <w:spacing w:val="-1"/>
        </w:rPr>
        <w:t xml:space="preserve"> </w:t>
      </w:r>
      <w:r>
        <w:t>aplicando</w:t>
      </w:r>
      <w:r>
        <w:rPr>
          <w:spacing w:val="-1"/>
        </w:rPr>
        <w:t xml:space="preserve"> </w:t>
      </w:r>
      <w:r>
        <w:t>las</w:t>
      </w:r>
      <w:r>
        <w:rPr>
          <w:spacing w:val="-1"/>
        </w:rPr>
        <w:t xml:space="preserve"> </w:t>
      </w:r>
      <w:r>
        <w:t>normas</w:t>
      </w:r>
      <w:r>
        <w:rPr>
          <w:spacing w:val="-1"/>
        </w:rPr>
        <w:t xml:space="preserve"> </w:t>
      </w:r>
      <w:r>
        <w:t>previstas</w:t>
      </w:r>
      <w:r>
        <w:rPr>
          <w:spacing w:val="-1"/>
        </w:rPr>
        <w:t xml:space="preserve"> </w:t>
      </w:r>
      <w:r>
        <w:t>para</w:t>
      </w:r>
      <w:r>
        <w:rPr>
          <w:spacing w:val="-1"/>
        </w:rPr>
        <w:t xml:space="preserve"> </w:t>
      </w:r>
      <w:r>
        <w:t>los</w:t>
      </w:r>
      <w:r>
        <w:rPr>
          <w:spacing w:val="-1"/>
        </w:rPr>
        <w:t xml:space="preserve"> </w:t>
      </w:r>
      <w:r>
        <w:t>contratos de poderes adjudicadores que no tengan la naturaleza de Administraciones Públicas. Estos contratos no tendrán carácter de contratos administrativos.</w:t>
      </w:r>
    </w:p>
    <w:p w:rsidR="0092635B" w:rsidRDefault="0092635B">
      <w:pPr>
        <w:pStyle w:val="Textoindependiente"/>
        <w:spacing w:before="1"/>
        <w:ind w:left="0" w:firstLine="0"/>
        <w:jc w:val="left"/>
      </w:pPr>
    </w:p>
    <w:p w:rsidR="0092635B" w:rsidRDefault="00000000">
      <w:pPr>
        <w:spacing w:line="249" w:lineRule="auto"/>
        <w:ind w:left="1106" w:right="1104"/>
        <w:jc w:val="both"/>
        <w:rPr>
          <w:rFonts w:ascii="Arial" w:hAnsi="Arial"/>
          <w:i/>
          <w:sz w:val="20"/>
        </w:rPr>
      </w:pPr>
      <w:bookmarkStart w:id="630" w:name="Disposición_adicional_cuadragésima_terce"/>
      <w:bookmarkEnd w:id="630"/>
      <w:r>
        <w:rPr>
          <w:rFonts w:ascii="Arial" w:hAnsi="Arial"/>
          <w:b/>
          <w:sz w:val="20"/>
        </w:rPr>
        <w:t>Disposición adicional cuadragésima tercera.</w:t>
      </w:r>
      <w:r>
        <w:rPr>
          <w:rFonts w:ascii="Arial" w:hAnsi="Arial"/>
          <w:b/>
          <w:spacing w:val="40"/>
          <w:sz w:val="20"/>
        </w:rPr>
        <w:t xml:space="preserve"> </w:t>
      </w:r>
      <w:r>
        <w:rPr>
          <w:rFonts w:ascii="Arial" w:hAnsi="Arial"/>
          <w:i/>
          <w:sz w:val="20"/>
        </w:rPr>
        <w:t>Naturaleza jurídica de las contraprestaciones económicas por la explotación de obras públicas o la prestación de servicios públicos en régimen de Derecho privado.</w:t>
      </w:r>
    </w:p>
    <w:p w:rsidR="0092635B" w:rsidRDefault="00000000">
      <w:pPr>
        <w:pStyle w:val="Textoindependiente"/>
        <w:spacing w:before="116" w:line="249" w:lineRule="auto"/>
        <w:ind w:right="1104"/>
      </w:pPr>
      <w:r>
        <w:t xml:space="preserve">Las contraprestaciones económicas establecidas coactivamente que se perciban por la explotación de obras públicas o la prestación de servicios públicos, de forma directa mediante personificación privada o gestión indirecta, tendrán la condición de prestaciones patrimoniales de carácter público no tributario conforme a lo previsto en el artículo 31.3 de la </w:t>
      </w:r>
      <w:r>
        <w:rPr>
          <w:spacing w:val="-2"/>
        </w:rPr>
        <w:t>Constitución.</w:t>
      </w:r>
    </w:p>
    <w:p w:rsidR="0092635B" w:rsidRDefault="00000000">
      <w:pPr>
        <w:pStyle w:val="Textoindependiente"/>
        <w:spacing w:before="4" w:line="249" w:lineRule="auto"/>
        <w:ind w:right="1103"/>
      </w:pPr>
      <w:r>
        <w:t>En concreto, tendrán tal consideración aquellas exigidas por la explotación de obras o la prestación de servicios, en régimen de concesión, mediante sociedades de economía mixta, entidades públicas empresariales, sociedades de capital íntegramente público y demás fórmulas de derecho privado.</w:t>
      </w:r>
    </w:p>
    <w:p w:rsidR="0092635B" w:rsidRDefault="0092635B">
      <w:pPr>
        <w:pStyle w:val="Textoindependiente"/>
        <w:spacing w:before="0"/>
        <w:ind w:left="0" w:firstLine="0"/>
        <w:jc w:val="left"/>
      </w:pPr>
    </w:p>
    <w:p w:rsidR="0092635B" w:rsidRDefault="00000000">
      <w:pPr>
        <w:spacing w:line="249" w:lineRule="auto"/>
        <w:ind w:left="1106" w:right="1105" w:hanging="1"/>
        <w:jc w:val="both"/>
        <w:rPr>
          <w:rFonts w:ascii="Arial" w:hAnsi="Arial"/>
          <w:i/>
          <w:sz w:val="20"/>
        </w:rPr>
      </w:pPr>
      <w:bookmarkStart w:id="631" w:name="Disposición_adicional_cuadragésima_cuart"/>
      <w:bookmarkEnd w:id="631"/>
      <w:r>
        <w:rPr>
          <w:rFonts w:ascii="Arial" w:hAnsi="Arial"/>
          <w:b/>
          <w:sz w:val="20"/>
        </w:rPr>
        <w:t>Disposición adicional cuadragésima cuarta.</w:t>
      </w:r>
      <w:r>
        <w:rPr>
          <w:rFonts w:ascii="Arial" w:hAnsi="Arial"/>
          <w:b/>
          <w:spacing w:val="40"/>
          <w:sz w:val="20"/>
        </w:rPr>
        <w:t xml:space="preserve"> </w:t>
      </w:r>
      <w:r>
        <w:rPr>
          <w:rFonts w:ascii="Arial" w:hAnsi="Arial"/>
          <w:i/>
          <w:sz w:val="20"/>
        </w:rPr>
        <w:t>Régimen de contratación de los órganos constitucionales del Estado y de los órganos legislativos y de control autonómicos.</w:t>
      </w:r>
    </w:p>
    <w:p w:rsidR="0092635B" w:rsidRDefault="00000000">
      <w:pPr>
        <w:pStyle w:val="Textoindependiente"/>
        <w:spacing w:before="115" w:line="249" w:lineRule="auto"/>
        <w:ind w:right="1103"/>
      </w:pPr>
      <w:r>
        <w:t>Los órganos competentes del Congreso de los Diputados, del Senado, del Consejo General del Poder Judicial, del Tribunal Constitucional, del Tribunal de Cuentas, del</w:t>
      </w:r>
      <w:r>
        <w:rPr>
          <w:spacing w:val="40"/>
        </w:rPr>
        <w:t xml:space="preserve"> </w:t>
      </w:r>
      <w:r>
        <w:t>Defensor del Pueblo, de las Asambleas Legislativas de las Comunidades Autónomas y de</w:t>
      </w:r>
      <w:r>
        <w:rPr>
          <w:spacing w:val="40"/>
        </w:rPr>
        <w:t xml:space="preserve"> </w:t>
      </w:r>
      <w:r>
        <w:t>las instituciones análogas al Tribunal de Cuentas y al Defensor del Pueblo ajustarán su contratación a las normas establecidas en esta Ley para las Administraciones Públicas.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pPr>
      <w:r>
        <w:t>Asimismo, los órganos competentes de las Cortes Generales establecerán, en su caso,</w:t>
      </w:r>
      <w:r>
        <w:rPr>
          <w:spacing w:val="40"/>
        </w:rPr>
        <w:t xml:space="preserve"> </w:t>
      </w:r>
      <w:r>
        <w:t>el órgano que deba conocer en su ámbito de contratación, del recurso especial regulado en el Capítulo V del Título I del Libro I de esta Ley, respetando las condiciones de cualificación, independencia e inamovilidad previstas en el artículo 45 de la presente Ley.</w:t>
      </w:r>
    </w:p>
    <w:p w:rsidR="0092635B" w:rsidRDefault="0092635B">
      <w:pPr>
        <w:pStyle w:val="Textoindependiente"/>
        <w:spacing w:before="0"/>
        <w:ind w:left="0" w:firstLine="0"/>
        <w:jc w:val="left"/>
      </w:pPr>
    </w:p>
    <w:p w:rsidR="0092635B" w:rsidRDefault="00000000">
      <w:pPr>
        <w:spacing w:line="249" w:lineRule="auto"/>
        <w:ind w:left="1106" w:right="1104" w:hanging="1"/>
        <w:jc w:val="both"/>
        <w:rPr>
          <w:rFonts w:ascii="Arial" w:hAnsi="Arial"/>
          <w:i/>
          <w:sz w:val="20"/>
        </w:rPr>
      </w:pPr>
      <w:bookmarkStart w:id="632" w:name="Disposición_adicional_cuadragésima_quint"/>
      <w:bookmarkEnd w:id="632"/>
      <w:r>
        <w:rPr>
          <w:rFonts w:ascii="Arial" w:hAnsi="Arial"/>
          <w:b/>
          <w:sz w:val="20"/>
        </w:rPr>
        <w:t>Disposición adicional cuadragésima quinta.</w:t>
      </w:r>
      <w:r>
        <w:rPr>
          <w:rFonts w:ascii="Arial" w:hAnsi="Arial"/>
          <w:b/>
          <w:spacing w:val="40"/>
          <w:sz w:val="20"/>
        </w:rPr>
        <w:t xml:space="preserve"> </w:t>
      </w:r>
      <w:r>
        <w:rPr>
          <w:rFonts w:ascii="Arial" w:hAnsi="Arial"/>
          <w:i/>
          <w:sz w:val="20"/>
        </w:rPr>
        <w:t>Remisión de contratos de concesión de</w:t>
      </w:r>
      <w:r>
        <w:rPr>
          <w:rFonts w:ascii="Arial" w:hAnsi="Arial"/>
          <w:i/>
          <w:spacing w:val="40"/>
          <w:sz w:val="20"/>
        </w:rPr>
        <w:t xml:space="preserve"> </w:t>
      </w:r>
      <w:r>
        <w:rPr>
          <w:rFonts w:ascii="Arial" w:hAnsi="Arial"/>
          <w:i/>
          <w:sz w:val="20"/>
        </w:rPr>
        <w:t>obras y de concesión de servicios al Comité Técnico de Cuentas Nacionales.</w:t>
      </w:r>
    </w:p>
    <w:p w:rsidR="0092635B" w:rsidRDefault="00000000">
      <w:pPr>
        <w:pStyle w:val="Textoindependiente"/>
        <w:spacing w:before="115" w:line="249" w:lineRule="auto"/>
        <w:ind w:right="1103"/>
      </w:pPr>
      <w:r>
        <w:t>El Comité Técnico de Cuentas Nacionales creado por la Disposición adicional primera de la Ley Orgánica 6/2013, de 14 de noviembre, de creación de la Autoridad Independiente de Responsabilidad Fiscal, emitirá un informe sobre los efectos de la celebración del contrato</w:t>
      </w:r>
      <w:r>
        <w:rPr>
          <w:spacing w:val="80"/>
        </w:rPr>
        <w:t xml:space="preserve"> </w:t>
      </w:r>
      <w:r>
        <w:t>en</w:t>
      </w:r>
      <w:r>
        <w:rPr>
          <w:spacing w:val="-2"/>
        </w:rPr>
        <w:t xml:space="preserve"> </w:t>
      </w:r>
      <w:r>
        <w:t>las</w:t>
      </w:r>
      <w:r>
        <w:rPr>
          <w:spacing w:val="-2"/>
        </w:rPr>
        <w:t xml:space="preserve"> </w:t>
      </w:r>
      <w:r>
        <w:t>cuentas</w:t>
      </w:r>
      <w:r>
        <w:rPr>
          <w:spacing w:val="-2"/>
        </w:rPr>
        <w:t xml:space="preserve"> </w:t>
      </w:r>
      <w:r>
        <w:t>económicas</w:t>
      </w:r>
      <w:r>
        <w:rPr>
          <w:spacing w:val="-2"/>
        </w:rPr>
        <w:t xml:space="preserve"> </w:t>
      </w:r>
      <w:r>
        <w:t>de</w:t>
      </w:r>
      <w:r>
        <w:rPr>
          <w:spacing w:val="-2"/>
        </w:rPr>
        <w:t xml:space="preserve"> </w:t>
      </w:r>
      <w:r>
        <w:t>la</w:t>
      </w:r>
      <w:r>
        <w:rPr>
          <w:spacing w:val="-2"/>
        </w:rPr>
        <w:t xml:space="preserve"> </w:t>
      </w:r>
      <w:r>
        <w:t>Administración</w:t>
      </w:r>
      <w:r>
        <w:rPr>
          <w:spacing w:val="-2"/>
        </w:rPr>
        <w:t xml:space="preserve"> </w:t>
      </w:r>
      <w:r>
        <w:t>contratante,</w:t>
      </w:r>
      <w:r>
        <w:rPr>
          <w:spacing w:val="-2"/>
        </w:rPr>
        <w:t xml:space="preserve"> </w:t>
      </w:r>
      <w:r>
        <w:t>en</w:t>
      </w:r>
      <w:r>
        <w:rPr>
          <w:spacing w:val="-2"/>
        </w:rPr>
        <w:t xml:space="preserve"> </w:t>
      </w:r>
      <w:r>
        <w:t>relación</w:t>
      </w:r>
      <w:r>
        <w:rPr>
          <w:spacing w:val="-2"/>
        </w:rPr>
        <w:t xml:space="preserve"> </w:t>
      </w:r>
      <w:r>
        <w:t>con</w:t>
      </w:r>
      <w:r>
        <w:rPr>
          <w:spacing w:val="-2"/>
        </w:rPr>
        <w:t xml:space="preserve"> </w:t>
      </w:r>
      <w:r>
        <w:t>los</w:t>
      </w:r>
      <w:r>
        <w:rPr>
          <w:spacing w:val="-2"/>
        </w:rPr>
        <w:t xml:space="preserve"> </w:t>
      </w:r>
      <w:r>
        <w:t>contratos</w:t>
      </w:r>
      <w:r>
        <w:rPr>
          <w:spacing w:val="-2"/>
        </w:rPr>
        <w:t xml:space="preserve"> </w:t>
      </w:r>
      <w:r>
        <w:t>de concesión de obras o de concesión de servicios adjudicados en los ámbitos del sector público autonómico y local, cuyo valor estimado sea igual o superior a doce millones de euros, o en cuya financiación se prevea cualquier forma de ayuda o aportación estatal, o el otorgamiento de préstamos o anticipos. A tales efectos estos contratos deberán remitirse al citado Comité Técnico de Cuentas Nacionales.</w:t>
      </w:r>
    </w:p>
    <w:p w:rsidR="0092635B" w:rsidRDefault="0092635B">
      <w:pPr>
        <w:pStyle w:val="Textoindependiente"/>
        <w:spacing w:before="4"/>
        <w:ind w:left="0" w:firstLine="0"/>
        <w:jc w:val="left"/>
      </w:pPr>
    </w:p>
    <w:p w:rsidR="0092635B" w:rsidRDefault="00000000">
      <w:pPr>
        <w:spacing w:line="249" w:lineRule="auto"/>
        <w:ind w:left="1106" w:right="1104" w:hanging="1"/>
        <w:jc w:val="both"/>
        <w:rPr>
          <w:rFonts w:ascii="Arial" w:hAnsi="Arial"/>
          <w:i/>
          <w:sz w:val="20"/>
        </w:rPr>
      </w:pPr>
      <w:bookmarkStart w:id="633" w:name="Disposición_adicional_cuadragésima_sexta"/>
      <w:bookmarkEnd w:id="633"/>
      <w:r>
        <w:rPr>
          <w:rFonts w:ascii="Arial" w:hAnsi="Arial"/>
          <w:b/>
          <w:sz w:val="20"/>
        </w:rPr>
        <w:t>Disposición adicional cuadragésima sexta.</w:t>
      </w:r>
      <w:r>
        <w:rPr>
          <w:rFonts w:ascii="Arial" w:hAnsi="Arial"/>
          <w:b/>
          <w:spacing w:val="40"/>
          <w:sz w:val="20"/>
        </w:rPr>
        <w:t xml:space="preserve"> </w:t>
      </w:r>
      <w:r>
        <w:rPr>
          <w:rFonts w:ascii="Arial" w:hAnsi="Arial"/>
          <w:i/>
          <w:sz w:val="20"/>
        </w:rPr>
        <w:t xml:space="preserve">Remisión de información relativa a contratación del Sector Público Autonómico y Local al Comité Técnico de Cuentas </w:t>
      </w:r>
      <w:r>
        <w:rPr>
          <w:rFonts w:ascii="Arial" w:hAnsi="Arial"/>
          <w:i/>
          <w:spacing w:val="-2"/>
          <w:sz w:val="20"/>
        </w:rPr>
        <w:t>Nacionales.</w:t>
      </w:r>
    </w:p>
    <w:p w:rsidR="0092635B" w:rsidRDefault="00000000">
      <w:pPr>
        <w:pStyle w:val="Textoindependiente"/>
        <w:spacing w:before="116" w:line="249" w:lineRule="auto"/>
        <w:ind w:right="1102"/>
      </w:pPr>
      <w:r>
        <w:t>En el ámbito de los sectores públicos autonómico y local, deberán remitirse al Comité Técnico de Cuentas Nacionales citado en la Disposición adicional anterior, todos los contratos de concesión de obras o de concesión de servicios adjudicados en sus respectivos ámbitos, cuyo valor estimado sea igual o superior a doce millones de euros, o en cuya financiación se prevea cualquier forma de ayuda o aportación estatal, o el otorgamiento de préstamos o anticipos.</w:t>
      </w:r>
    </w:p>
    <w:p w:rsidR="0092635B" w:rsidRDefault="00000000">
      <w:pPr>
        <w:pStyle w:val="Textoindependiente"/>
        <w:spacing w:before="5" w:line="249" w:lineRule="auto"/>
        <w:ind w:right="1104"/>
      </w:pPr>
      <w:r>
        <w:t>El Comité Técnico de Cuentas Nacionales emitirá en relación con los mismos un informe sobre los efectos de la celebración del contrato en las cuentas económicas de la Administración contratante.</w:t>
      </w:r>
    </w:p>
    <w:p w:rsidR="0092635B" w:rsidRDefault="00000000">
      <w:pPr>
        <w:spacing w:before="229" w:line="249" w:lineRule="auto"/>
        <w:ind w:left="1106" w:right="1104" w:hanging="1"/>
        <w:jc w:val="both"/>
        <w:rPr>
          <w:rFonts w:ascii="Arial" w:hAnsi="Arial"/>
          <w:i/>
          <w:sz w:val="20"/>
        </w:rPr>
      </w:pPr>
      <w:bookmarkStart w:id="634" w:name="Disposición_adicional_cuadragésima_sépti"/>
      <w:bookmarkEnd w:id="634"/>
      <w:r>
        <w:rPr>
          <w:rFonts w:ascii="Arial" w:hAnsi="Arial"/>
          <w:b/>
          <w:sz w:val="20"/>
        </w:rPr>
        <w:t>Disposición adicional cuadragésima séptima.</w:t>
      </w:r>
      <w:r>
        <w:rPr>
          <w:rFonts w:ascii="Arial" w:hAnsi="Arial"/>
          <w:b/>
          <w:spacing w:val="40"/>
          <w:sz w:val="20"/>
        </w:rPr>
        <w:t xml:space="preserve"> </w:t>
      </w:r>
      <w:r>
        <w:rPr>
          <w:rFonts w:ascii="Arial" w:hAnsi="Arial"/>
          <w:i/>
          <w:sz w:val="20"/>
        </w:rPr>
        <w:t>Principios aplicables a los contratos de concesión de servicios del anexo IV y a los contratos de servicios de carácter social,</w:t>
      </w:r>
      <w:r>
        <w:rPr>
          <w:rFonts w:ascii="Arial" w:hAnsi="Arial"/>
          <w:i/>
          <w:spacing w:val="40"/>
          <w:sz w:val="20"/>
        </w:rPr>
        <w:t xml:space="preserve"> </w:t>
      </w:r>
      <w:r>
        <w:rPr>
          <w:rFonts w:ascii="Arial" w:hAnsi="Arial"/>
          <w:i/>
          <w:sz w:val="20"/>
        </w:rPr>
        <w:t>sanitario o educativo del anexo IV.</w:t>
      </w:r>
    </w:p>
    <w:p w:rsidR="0092635B" w:rsidRDefault="00000000">
      <w:pPr>
        <w:pStyle w:val="Textoindependiente"/>
        <w:spacing w:before="116" w:line="249" w:lineRule="auto"/>
        <w:ind w:right="1102"/>
      </w:pPr>
      <w:r>
        <w:t>Sin perjuicio de la aplicación de las disposiciones de esta Ley y, entre otras, de las relativas al establecimiento de las prescripciones técnicas, de las condiciones mínimas de solvencia, de los criterios de adjudicación y de las condiciones especiales de ejecución, en los procedimientos de licitación de contratos de concesión de los servicios que figuran en el anexo IV y de contratos de carácter social, sanitario o educativo también del anexo IV, los órganos de contratación velarán en todas sus fases por la necesidad de garantizar la</w:t>
      </w:r>
      <w:r>
        <w:rPr>
          <w:spacing w:val="80"/>
        </w:rPr>
        <w:t xml:space="preserve"> </w:t>
      </w:r>
      <w:r>
        <w:t>calidad, la continuidad, la accesibilidad, la asequibilidad, la disponibilidad y la exhaustividad de los servicios; las necesidades específicas de las distintas categorías de usuarios,</w:t>
      </w:r>
      <w:r>
        <w:rPr>
          <w:spacing w:val="40"/>
        </w:rPr>
        <w:t xml:space="preserve"> </w:t>
      </w:r>
      <w:r>
        <w:t>incluidos los grupos desfavorecidos y vulnerables; la implicación de los usuarios de los servicios; y la innovación en la prestación del servicio.</w:t>
      </w:r>
    </w:p>
    <w:p w:rsidR="0092635B" w:rsidRDefault="00000000">
      <w:pPr>
        <w:pStyle w:val="Textoindependiente"/>
        <w:spacing w:before="8" w:line="249" w:lineRule="auto"/>
        <w:ind w:right="1103"/>
      </w:pPr>
      <w:r>
        <w:t>Asimismo, al establecer los criterios de adjudicación de los contratos a que se refiere</w:t>
      </w:r>
      <w:r>
        <w:rPr>
          <w:spacing w:val="40"/>
        </w:rPr>
        <w:t xml:space="preserve"> </w:t>
      </w:r>
      <w:r>
        <w:t>esta disposición adicional, el órgano de contratación podrá referirlos a aspectos tales como: la experiencia del personal adscrito al contrato en la prestación de servicios dirigidos a sectores especialmente desfavorecidos o en la prestación de servicios de similar naturaleza en los términos establecidos en el artículo 145; la reinversión de los beneficios obtenidos en la mejora de los servicios que presta; el establecimiento de mecanismos de participación de los usuarios y de información y orientación de los mismos.</w:t>
      </w:r>
    </w:p>
    <w:p w:rsidR="0092635B" w:rsidRDefault="0092635B">
      <w:pPr>
        <w:pStyle w:val="Textoindependiente"/>
        <w:ind w:left="0" w:firstLine="0"/>
        <w:jc w:val="left"/>
      </w:pPr>
    </w:p>
    <w:p w:rsidR="0092635B" w:rsidRDefault="00000000">
      <w:pPr>
        <w:spacing w:line="249" w:lineRule="auto"/>
        <w:ind w:left="1106" w:right="1104"/>
        <w:jc w:val="both"/>
        <w:rPr>
          <w:rFonts w:ascii="Arial" w:hAnsi="Arial"/>
          <w:i/>
          <w:sz w:val="20"/>
        </w:rPr>
      </w:pPr>
      <w:bookmarkStart w:id="635" w:name="Disposición_adicional_cuadragésima_octav"/>
      <w:bookmarkEnd w:id="635"/>
      <w:r>
        <w:rPr>
          <w:rFonts w:ascii="Arial" w:hAnsi="Arial"/>
          <w:b/>
          <w:sz w:val="20"/>
        </w:rPr>
        <w:t>Disposición adicional cuadragésima octava.</w:t>
      </w:r>
      <w:r>
        <w:rPr>
          <w:rFonts w:ascii="Arial" w:hAnsi="Arial"/>
          <w:b/>
          <w:spacing w:val="40"/>
          <w:sz w:val="20"/>
        </w:rPr>
        <w:t xml:space="preserve"> </w:t>
      </w:r>
      <w:r>
        <w:rPr>
          <w:rFonts w:ascii="Arial" w:hAnsi="Arial"/>
          <w:i/>
          <w:sz w:val="20"/>
        </w:rPr>
        <w:t>Reserva de ciertos contratos de servicios sociales, culturales y de salud a determinadas organizaciones.</w:t>
      </w:r>
    </w:p>
    <w:p w:rsidR="0092635B" w:rsidRDefault="00000000">
      <w:pPr>
        <w:pStyle w:val="Prrafodelista"/>
        <w:numPr>
          <w:ilvl w:val="0"/>
          <w:numId w:val="1"/>
        </w:numPr>
        <w:tabs>
          <w:tab w:val="left" w:pos="1715"/>
        </w:tabs>
        <w:spacing w:before="116" w:line="249" w:lineRule="auto"/>
        <w:ind w:right="1104" w:firstLine="340"/>
        <w:jc w:val="both"/>
        <w:rPr>
          <w:sz w:val="20"/>
        </w:rPr>
      </w:pPr>
      <w:r>
        <w:rPr>
          <w:sz w:val="20"/>
        </w:rPr>
        <w:t>Sin perjuicio de lo establecido en la Disposición adicional cuarta, los órganos de contratación</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poderes</w:t>
      </w:r>
      <w:r>
        <w:rPr>
          <w:spacing w:val="-3"/>
          <w:sz w:val="20"/>
        </w:rPr>
        <w:t xml:space="preserve"> </w:t>
      </w:r>
      <w:r>
        <w:rPr>
          <w:sz w:val="20"/>
        </w:rPr>
        <w:t>adjudicadores</w:t>
      </w:r>
      <w:r>
        <w:rPr>
          <w:spacing w:val="-3"/>
          <w:sz w:val="20"/>
        </w:rPr>
        <w:t xml:space="preserve"> </w:t>
      </w:r>
      <w:r>
        <w:rPr>
          <w:sz w:val="20"/>
        </w:rPr>
        <w:t>podrán</w:t>
      </w:r>
      <w:r>
        <w:rPr>
          <w:spacing w:val="-3"/>
          <w:sz w:val="20"/>
        </w:rPr>
        <w:t xml:space="preserve"> </w:t>
      </w:r>
      <w:r>
        <w:rPr>
          <w:sz w:val="20"/>
        </w:rPr>
        <w:t>reservar</w:t>
      </w:r>
      <w:r>
        <w:rPr>
          <w:spacing w:val="-3"/>
          <w:sz w:val="20"/>
        </w:rPr>
        <w:t xml:space="preserve"> </w:t>
      </w:r>
      <w:r>
        <w:rPr>
          <w:sz w:val="20"/>
        </w:rPr>
        <w:t>a</w:t>
      </w:r>
      <w:r>
        <w:rPr>
          <w:spacing w:val="-3"/>
          <w:sz w:val="20"/>
        </w:rPr>
        <w:t xml:space="preserve"> </w:t>
      </w:r>
      <w:r>
        <w:rPr>
          <w:sz w:val="20"/>
        </w:rPr>
        <w:t>determinadas</w:t>
      </w:r>
      <w:r>
        <w:rPr>
          <w:spacing w:val="-3"/>
          <w:sz w:val="20"/>
        </w:rPr>
        <w:t xml:space="preserve"> </w:t>
      </w:r>
      <w:r>
        <w:rPr>
          <w:sz w:val="20"/>
        </w:rPr>
        <w:t>organizaciones</w:t>
      </w:r>
      <w:r>
        <w:rPr>
          <w:spacing w:val="-3"/>
          <w:sz w:val="20"/>
        </w:rPr>
        <w:t xml:space="preserve"> </w:t>
      </w:r>
      <w:r>
        <w:rPr>
          <w:sz w:val="20"/>
        </w:rPr>
        <w:t>el derecho</w:t>
      </w:r>
      <w:r>
        <w:rPr>
          <w:spacing w:val="39"/>
          <w:sz w:val="20"/>
        </w:rPr>
        <w:t xml:space="preserve"> </w:t>
      </w:r>
      <w:r>
        <w:rPr>
          <w:sz w:val="20"/>
        </w:rPr>
        <w:t>a</w:t>
      </w:r>
      <w:r>
        <w:rPr>
          <w:spacing w:val="40"/>
          <w:sz w:val="20"/>
        </w:rPr>
        <w:t xml:space="preserve"> </w:t>
      </w:r>
      <w:r>
        <w:rPr>
          <w:sz w:val="20"/>
        </w:rPr>
        <w:t>participar</w:t>
      </w:r>
      <w:r>
        <w:rPr>
          <w:spacing w:val="39"/>
          <w:sz w:val="20"/>
        </w:rPr>
        <w:t xml:space="preserve"> </w:t>
      </w:r>
      <w:r>
        <w:rPr>
          <w:sz w:val="20"/>
        </w:rPr>
        <w:t>en</w:t>
      </w:r>
      <w:r>
        <w:rPr>
          <w:spacing w:val="40"/>
          <w:sz w:val="20"/>
        </w:rPr>
        <w:t xml:space="preserve"> </w:t>
      </w:r>
      <w:r>
        <w:rPr>
          <w:sz w:val="20"/>
        </w:rPr>
        <w:t>los</w:t>
      </w:r>
      <w:r>
        <w:rPr>
          <w:spacing w:val="39"/>
          <w:sz w:val="20"/>
        </w:rPr>
        <w:t xml:space="preserve"> </w:t>
      </w:r>
      <w:r>
        <w:rPr>
          <w:sz w:val="20"/>
        </w:rPr>
        <w:t>procedimientos</w:t>
      </w:r>
      <w:r>
        <w:rPr>
          <w:spacing w:val="40"/>
          <w:sz w:val="20"/>
        </w:rPr>
        <w:t xml:space="preserve"> </w:t>
      </w:r>
      <w:r>
        <w:rPr>
          <w:sz w:val="20"/>
        </w:rPr>
        <w:t>de</w:t>
      </w:r>
      <w:r>
        <w:rPr>
          <w:spacing w:val="39"/>
          <w:sz w:val="20"/>
        </w:rPr>
        <w:t xml:space="preserve"> </w:t>
      </w:r>
      <w:r>
        <w:rPr>
          <w:sz w:val="20"/>
        </w:rPr>
        <w:t>licitación</w:t>
      </w:r>
      <w:r>
        <w:rPr>
          <w:spacing w:val="40"/>
          <w:sz w:val="20"/>
        </w:rPr>
        <w:t xml:space="preserve"> </w:t>
      </w:r>
      <w:r>
        <w:rPr>
          <w:sz w:val="20"/>
        </w:rPr>
        <w:t>de</w:t>
      </w:r>
      <w:r>
        <w:rPr>
          <w:spacing w:val="39"/>
          <w:sz w:val="20"/>
        </w:rPr>
        <w:t xml:space="preserve"> </w:t>
      </w:r>
      <w:r>
        <w:rPr>
          <w:sz w:val="20"/>
        </w:rPr>
        <w:t>los</w:t>
      </w:r>
      <w:r>
        <w:rPr>
          <w:spacing w:val="40"/>
          <w:sz w:val="20"/>
        </w:rPr>
        <w:t xml:space="preserve"> </w:t>
      </w:r>
      <w:r>
        <w:rPr>
          <w:sz w:val="20"/>
        </w:rPr>
        <w:t>contratos</w:t>
      </w:r>
      <w:r>
        <w:rPr>
          <w:spacing w:val="39"/>
          <w:sz w:val="20"/>
        </w:rPr>
        <w:t xml:space="preserve"> </w:t>
      </w:r>
      <w:r>
        <w:rPr>
          <w:sz w:val="20"/>
        </w:rPr>
        <w:t>de</w:t>
      </w:r>
      <w:r>
        <w:rPr>
          <w:spacing w:val="40"/>
          <w:sz w:val="20"/>
        </w:rPr>
        <w:t xml:space="preserve"> </w:t>
      </w:r>
      <w:r>
        <w:rPr>
          <w:sz w:val="20"/>
        </w:rPr>
        <w:t>servicios</w:t>
      </w:r>
      <w:r>
        <w:rPr>
          <w:spacing w:val="40"/>
          <w:sz w:val="20"/>
        </w:rPr>
        <w:t xml:space="preserve"> </w:t>
      </w:r>
      <w:r>
        <w:rPr>
          <w:spacing w:val="-5"/>
          <w:sz w:val="20"/>
        </w:rPr>
        <w:t>de</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1" w:hanging="1"/>
        <w:jc w:val="left"/>
      </w:pPr>
      <w:r>
        <w:t>carácter</w:t>
      </w:r>
      <w:r>
        <w:rPr>
          <w:spacing w:val="69"/>
        </w:rPr>
        <w:t xml:space="preserve"> </w:t>
      </w:r>
      <w:r>
        <w:t>social,</w:t>
      </w:r>
      <w:r>
        <w:rPr>
          <w:spacing w:val="69"/>
        </w:rPr>
        <w:t xml:space="preserve"> </w:t>
      </w:r>
      <w:r>
        <w:t>cultural</w:t>
      </w:r>
      <w:r>
        <w:rPr>
          <w:spacing w:val="69"/>
        </w:rPr>
        <w:t xml:space="preserve"> </w:t>
      </w:r>
      <w:r>
        <w:t>y</w:t>
      </w:r>
      <w:r>
        <w:rPr>
          <w:spacing w:val="69"/>
        </w:rPr>
        <w:t xml:space="preserve"> </w:t>
      </w:r>
      <w:r>
        <w:t>de</w:t>
      </w:r>
      <w:r>
        <w:rPr>
          <w:spacing w:val="69"/>
        </w:rPr>
        <w:t xml:space="preserve"> </w:t>
      </w:r>
      <w:r>
        <w:t>salud</w:t>
      </w:r>
      <w:r>
        <w:rPr>
          <w:spacing w:val="69"/>
        </w:rPr>
        <w:t xml:space="preserve"> </w:t>
      </w:r>
      <w:r>
        <w:t>que</w:t>
      </w:r>
      <w:r>
        <w:rPr>
          <w:spacing w:val="69"/>
        </w:rPr>
        <w:t xml:space="preserve"> </w:t>
      </w:r>
      <w:r>
        <w:t>enumera</w:t>
      </w:r>
      <w:r>
        <w:rPr>
          <w:spacing w:val="69"/>
        </w:rPr>
        <w:t xml:space="preserve"> </w:t>
      </w:r>
      <w:r>
        <w:t>el</w:t>
      </w:r>
      <w:r>
        <w:rPr>
          <w:spacing w:val="69"/>
        </w:rPr>
        <w:t xml:space="preserve"> </w:t>
      </w:r>
      <w:r>
        <w:t>Anexo</w:t>
      </w:r>
      <w:r>
        <w:rPr>
          <w:spacing w:val="69"/>
        </w:rPr>
        <w:t xml:space="preserve"> </w:t>
      </w:r>
      <w:r>
        <w:t>IV</w:t>
      </w:r>
      <w:r>
        <w:rPr>
          <w:spacing w:val="69"/>
        </w:rPr>
        <w:t xml:space="preserve"> </w:t>
      </w:r>
      <w:r>
        <w:t>bajo</w:t>
      </w:r>
      <w:r>
        <w:rPr>
          <w:spacing w:val="69"/>
        </w:rPr>
        <w:t xml:space="preserve"> </w:t>
      </w:r>
      <w:r>
        <w:t>los</w:t>
      </w:r>
      <w:r>
        <w:rPr>
          <w:spacing w:val="69"/>
        </w:rPr>
        <w:t xml:space="preserve"> </w:t>
      </w:r>
      <w:r>
        <w:t>códigos</w:t>
      </w:r>
      <w:r>
        <w:rPr>
          <w:spacing w:val="69"/>
        </w:rPr>
        <w:t xml:space="preserve"> </w:t>
      </w:r>
      <w:r>
        <w:t>CPV 75121000-0,</w:t>
      </w:r>
      <w:r>
        <w:rPr>
          <w:spacing w:val="13"/>
        </w:rPr>
        <w:t xml:space="preserve"> </w:t>
      </w:r>
      <w:r>
        <w:t>75122000-7,</w:t>
      </w:r>
      <w:r>
        <w:rPr>
          <w:spacing w:val="13"/>
        </w:rPr>
        <w:t xml:space="preserve"> </w:t>
      </w:r>
      <w:r>
        <w:t>75123000-4,</w:t>
      </w:r>
      <w:r>
        <w:rPr>
          <w:spacing w:val="13"/>
        </w:rPr>
        <w:t xml:space="preserve"> </w:t>
      </w:r>
      <w:r>
        <w:t>79622000-0,</w:t>
      </w:r>
      <w:r>
        <w:rPr>
          <w:spacing w:val="13"/>
        </w:rPr>
        <w:t xml:space="preserve"> </w:t>
      </w:r>
      <w:r>
        <w:t>79624000-4,</w:t>
      </w:r>
      <w:r>
        <w:rPr>
          <w:spacing w:val="13"/>
        </w:rPr>
        <w:t xml:space="preserve"> </w:t>
      </w:r>
      <w:r>
        <w:t>79625000-1,</w:t>
      </w:r>
      <w:r>
        <w:rPr>
          <w:spacing w:val="13"/>
        </w:rPr>
        <w:t xml:space="preserve"> </w:t>
      </w:r>
      <w:r>
        <w:t>80110000-</w:t>
      </w:r>
      <w:r>
        <w:rPr>
          <w:spacing w:val="-5"/>
        </w:rPr>
        <w:t>8,</w:t>
      </w:r>
    </w:p>
    <w:p w:rsidR="0092635B" w:rsidRDefault="00000000">
      <w:pPr>
        <w:pStyle w:val="Textoindependiente"/>
        <w:spacing w:before="1"/>
        <w:ind w:firstLine="0"/>
        <w:jc w:val="left"/>
      </w:pPr>
      <w:r>
        <w:t>80300000-7,</w:t>
      </w:r>
      <w:r>
        <w:rPr>
          <w:spacing w:val="26"/>
        </w:rPr>
        <w:t xml:space="preserve">  </w:t>
      </w:r>
      <w:r>
        <w:t>80420000-4,</w:t>
      </w:r>
      <w:r>
        <w:rPr>
          <w:spacing w:val="27"/>
        </w:rPr>
        <w:t xml:space="preserve">  </w:t>
      </w:r>
      <w:r>
        <w:t>80430000-7,</w:t>
      </w:r>
      <w:r>
        <w:rPr>
          <w:spacing w:val="27"/>
        </w:rPr>
        <w:t xml:space="preserve">  </w:t>
      </w:r>
      <w:r>
        <w:t>80511000-9,</w:t>
      </w:r>
      <w:r>
        <w:rPr>
          <w:spacing w:val="26"/>
        </w:rPr>
        <w:t xml:space="preserve">  </w:t>
      </w:r>
      <w:r>
        <w:t>80520000-5,</w:t>
      </w:r>
      <w:r>
        <w:rPr>
          <w:spacing w:val="27"/>
        </w:rPr>
        <w:t xml:space="preserve">  </w:t>
      </w:r>
      <w:r>
        <w:t>80590000-6,</w:t>
      </w:r>
      <w:r>
        <w:rPr>
          <w:spacing w:val="27"/>
        </w:rPr>
        <w:t xml:space="preserve">  </w:t>
      </w:r>
      <w:r>
        <w:rPr>
          <w:spacing w:val="-2"/>
        </w:rPr>
        <w:t>desde</w:t>
      </w:r>
    </w:p>
    <w:p w:rsidR="0092635B" w:rsidRDefault="00000000">
      <w:pPr>
        <w:pStyle w:val="Textoindependiente"/>
        <w:spacing w:before="10"/>
        <w:ind w:firstLine="0"/>
        <w:jc w:val="left"/>
      </w:pPr>
      <w:r>
        <w:t>85000000-9</w:t>
      </w:r>
      <w:r>
        <w:rPr>
          <w:spacing w:val="-6"/>
        </w:rPr>
        <w:t xml:space="preserve"> </w:t>
      </w:r>
      <w:r>
        <w:t>hasta</w:t>
      </w:r>
      <w:r>
        <w:rPr>
          <w:spacing w:val="-6"/>
        </w:rPr>
        <w:t xml:space="preserve"> </w:t>
      </w:r>
      <w:r>
        <w:t>85323000-9,</w:t>
      </w:r>
      <w:r>
        <w:rPr>
          <w:spacing w:val="-6"/>
        </w:rPr>
        <w:t xml:space="preserve"> </w:t>
      </w:r>
      <w:r>
        <w:t>92500000-6,</w:t>
      </w:r>
      <w:r>
        <w:rPr>
          <w:spacing w:val="-6"/>
        </w:rPr>
        <w:t xml:space="preserve"> </w:t>
      </w:r>
      <w:r>
        <w:t>92600000-7,</w:t>
      </w:r>
      <w:r>
        <w:rPr>
          <w:spacing w:val="-6"/>
        </w:rPr>
        <w:t xml:space="preserve"> </w:t>
      </w:r>
      <w:r>
        <w:t>98133000-4</w:t>
      </w:r>
      <w:r>
        <w:rPr>
          <w:spacing w:val="-6"/>
        </w:rPr>
        <w:t xml:space="preserve"> </w:t>
      </w:r>
      <w:r>
        <w:t>y</w:t>
      </w:r>
      <w:r>
        <w:rPr>
          <w:spacing w:val="-6"/>
        </w:rPr>
        <w:t xml:space="preserve"> </w:t>
      </w:r>
      <w:r>
        <w:t>98133110-</w:t>
      </w:r>
      <w:r>
        <w:rPr>
          <w:spacing w:val="-5"/>
        </w:rPr>
        <w:t>8.</w:t>
      </w:r>
    </w:p>
    <w:p w:rsidR="0092635B" w:rsidRDefault="00000000">
      <w:pPr>
        <w:pStyle w:val="Prrafodelista"/>
        <w:numPr>
          <w:ilvl w:val="0"/>
          <w:numId w:val="1"/>
        </w:numPr>
        <w:tabs>
          <w:tab w:val="left" w:pos="1685"/>
        </w:tabs>
        <w:spacing w:before="10" w:line="249" w:lineRule="auto"/>
        <w:ind w:right="1104" w:firstLine="340"/>
        <w:rPr>
          <w:sz w:val="20"/>
        </w:rPr>
      </w:pPr>
      <w:r>
        <w:rPr>
          <w:sz w:val="20"/>
        </w:rPr>
        <w:t>Las organizaciones a que se refiere el apartado 1 deberán cumplir todas y cada una</w:t>
      </w:r>
      <w:r>
        <w:rPr>
          <w:spacing w:val="40"/>
          <w:sz w:val="20"/>
        </w:rPr>
        <w:t xml:space="preserve"> </w:t>
      </w:r>
      <w:r>
        <w:rPr>
          <w:sz w:val="20"/>
        </w:rPr>
        <w:t>de las condiciones siguientes:</w:t>
      </w:r>
    </w:p>
    <w:p w:rsidR="0092635B" w:rsidRDefault="00000000">
      <w:pPr>
        <w:pStyle w:val="Prrafodelista"/>
        <w:numPr>
          <w:ilvl w:val="1"/>
          <w:numId w:val="1"/>
        </w:numPr>
        <w:tabs>
          <w:tab w:val="left" w:pos="1707"/>
        </w:tabs>
        <w:spacing w:before="122" w:line="249" w:lineRule="auto"/>
        <w:ind w:right="1106" w:firstLine="340"/>
        <w:jc w:val="both"/>
        <w:rPr>
          <w:sz w:val="20"/>
        </w:rPr>
      </w:pPr>
      <w:r>
        <w:rPr>
          <w:sz w:val="20"/>
        </w:rPr>
        <w:t>Que su objetivo sea la realización de una misión de servicio público vinculada a la prestación de los servicios contemplados en el apartado primero.</w:t>
      </w:r>
    </w:p>
    <w:p w:rsidR="0092635B" w:rsidRDefault="00000000">
      <w:pPr>
        <w:pStyle w:val="Prrafodelista"/>
        <w:numPr>
          <w:ilvl w:val="1"/>
          <w:numId w:val="1"/>
        </w:numPr>
        <w:tabs>
          <w:tab w:val="left" w:pos="1690"/>
        </w:tabs>
        <w:spacing w:line="249" w:lineRule="auto"/>
        <w:ind w:right="1104" w:firstLine="340"/>
        <w:jc w:val="both"/>
        <w:rPr>
          <w:sz w:val="20"/>
        </w:rPr>
      </w:pPr>
      <w:r>
        <w:rPr>
          <w:sz w:val="20"/>
        </w:rPr>
        <w:t>Que los beneficios se reinviertan con el fin de alcanzar el objetivo de la organización;</w:t>
      </w:r>
      <w:r>
        <w:rPr>
          <w:spacing w:val="40"/>
          <w:sz w:val="20"/>
        </w:rPr>
        <w:t xml:space="preserve"> </w:t>
      </w:r>
      <w:r>
        <w:rPr>
          <w:sz w:val="20"/>
        </w:rPr>
        <w:t>o en caso de que se distribuyan o redistribuyan beneficios, la distribución o redistribución deberá realizarse con arreglo a criterios de participación.</w:t>
      </w:r>
    </w:p>
    <w:p w:rsidR="0092635B" w:rsidRDefault="00000000">
      <w:pPr>
        <w:pStyle w:val="Prrafodelista"/>
        <w:numPr>
          <w:ilvl w:val="1"/>
          <w:numId w:val="1"/>
        </w:numPr>
        <w:tabs>
          <w:tab w:val="left" w:pos="1725"/>
        </w:tabs>
        <w:spacing w:line="249" w:lineRule="auto"/>
        <w:ind w:right="1105" w:firstLine="340"/>
        <w:jc w:val="both"/>
        <w:rPr>
          <w:sz w:val="20"/>
        </w:rPr>
      </w:pPr>
      <w:r>
        <w:rPr>
          <w:sz w:val="20"/>
        </w:rPr>
        <w:t>Que las estructuras de dirección o propiedad de la organización que ejecute el contrato se basen en la propiedad de los empleados, o en principios de participación, o</w:t>
      </w:r>
      <w:r>
        <w:rPr>
          <w:spacing w:val="40"/>
          <w:sz w:val="20"/>
        </w:rPr>
        <w:t xml:space="preserve"> </w:t>
      </w:r>
      <w:r>
        <w:rPr>
          <w:sz w:val="20"/>
        </w:rPr>
        <w:t>exijan la participación activa de los empleados, los usuarios o las partes interesadas.</w:t>
      </w:r>
    </w:p>
    <w:p w:rsidR="0092635B" w:rsidRDefault="00000000">
      <w:pPr>
        <w:pStyle w:val="Prrafodelista"/>
        <w:numPr>
          <w:ilvl w:val="1"/>
          <w:numId w:val="1"/>
        </w:numPr>
        <w:tabs>
          <w:tab w:val="left" w:pos="1707"/>
        </w:tabs>
        <w:spacing w:before="3" w:line="249" w:lineRule="auto"/>
        <w:ind w:right="1104" w:firstLine="340"/>
        <w:jc w:val="both"/>
        <w:rPr>
          <w:sz w:val="20"/>
        </w:rPr>
      </w:pPr>
      <w:r>
        <w:rPr>
          <w:sz w:val="20"/>
        </w:rPr>
        <w:t xml:space="preserve">Que el poder adjudicador de que se trate no haya adjudicado a la organización un contrato para los servicios en cuestión con arreglo al presente artículo en los tres años </w:t>
      </w:r>
      <w:r>
        <w:rPr>
          <w:spacing w:val="-2"/>
          <w:sz w:val="20"/>
        </w:rPr>
        <w:t>precedentes.</w:t>
      </w:r>
    </w:p>
    <w:p w:rsidR="0092635B" w:rsidRDefault="00000000">
      <w:pPr>
        <w:pStyle w:val="Prrafodelista"/>
        <w:numPr>
          <w:ilvl w:val="0"/>
          <w:numId w:val="1"/>
        </w:numPr>
        <w:tabs>
          <w:tab w:val="left" w:pos="1695"/>
        </w:tabs>
        <w:spacing w:before="122" w:line="249" w:lineRule="auto"/>
        <w:ind w:right="1106" w:firstLine="340"/>
        <w:jc w:val="both"/>
        <w:rPr>
          <w:sz w:val="20"/>
        </w:rPr>
      </w:pPr>
      <w:r>
        <w:rPr>
          <w:sz w:val="20"/>
        </w:rPr>
        <w:t>La duración máxima del contrato que se adjudique de acuerdo con lo dispuesto en esta disposición adicional no excederá de tres años.</w:t>
      </w:r>
    </w:p>
    <w:p w:rsidR="0092635B" w:rsidRDefault="00000000">
      <w:pPr>
        <w:pStyle w:val="Prrafodelista"/>
        <w:numPr>
          <w:ilvl w:val="0"/>
          <w:numId w:val="1"/>
        </w:numPr>
        <w:tabs>
          <w:tab w:val="left" w:pos="1677"/>
        </w:tabs>
        <w:spacing w:line="249" w:lineRule="auto"/>
        <w:ind w:right="1105" w:firstLine="340"/>
        <w:jc w:val="both"/>
        <w:rPr>
          <w:sz w:val="20"/>
        </w:rPr>
      </w:pPr>
      <w:r>
        <w:rPr>
          <w:sz w:val="20"/>
        </w:rPr>
        <w:t>En el anuncio que sirva de medio de convocatoria de la licitación se hará referencia a la presente Disposición adicional.</w:t>
      </w:r>
    </w:p>
    <w:p w:rsidR="0092635B" w:rsidRDefault="00000000">
      <w:pPr>
        <w:spacing w:before="228" w:line="249" w:lineRule="auto"/>
        <w:ind w:left="1106" w:right="1104"/>
        <w:jc w:val="both"/>
        <w:rPr>
          <w:rFonts w:ascii="Arial" w:hAnsi="Arial"/>
          <w:i/>
          <w:sz w:val="20"/>
        </w:rPr>
      </w:pPr>
      <w:bookmarkStart w:id="636" w:name="Disposición_adicional_cuadragésima_noven"/>
      <w:bookmarkEnd w:id="636"/>
      <w:r>
        <w:rPr>
          <w:rFonts w:ascii="Arial" w:hAnsi="Arial"/>
          <w:b/>
          <w:sz w:val="20"/>
        </w:rPr>
        <w:t>Disposición adicional cuadragésima novena.</w:t>
      </w:r>
      <w:r>
        <w:rPr>
          <w:rFonts w:ascii="Arial" w:hAnsi="Arial"/>
          <w:b/>
          <w:spacing w:val="40"/>
          <w:sz w:val="20"/>
        </w:rPr>
        <w:t xml:space="preserve"> </w:t>
      </w:r>
      <w:r>
        <w:rPr>
          <w:rFonts w:ascii="Arial" w:hAnsi="Arial"/>
          <w:i/>
          <w:sz w:val="20"/>
        </w:rPr>
        <w:t>Legislación de las Comunidades</w:t>
      </w:r>
      <w:r>
        <w:rPr>
          <w:rFonts w:ascii="Arial" w:hAnsi="Arial"/>
          <w:i/>
          <w:spacing w:val="40"/>
          <w:sz w:val="20"/>
        </w:rPr>
        <w:t xml:space="preserve"> </w:t>
      </w:r>
      <w:r>
        <w:rPr>
          <w:rFonts w:ascii="Arial" w:hAnsi="Arial"/>
          <w:i/>
          <w:sz w:val="20"/>
        </w:rPr>
        <w:t>Autónomas relativa a instrumentos no contractuales para la prestación de servicios públicos de carácter social.</w:t>
      </w:r>
    </w:p>
    <w:p w:rsidR="0092635B" w:rsidRDefault="00000000">
      <w:pPr>
        <w:pStyle w:val="Textoindependiente"/>
        <w:spacing w:before="116" w:line="249" w:lineRule="auto"/>
        <w:ind w:right="1104"/>
      </w:pPr>
      <w:r>
        <w:t>Lo establecido en esta Ley no obsta para que las Comunidades Autónomas, en el ejercicio de las competencias que tienen atribuidas, legislen articulando instrumentos no contractuales para la prestación de servicios públicos destinados a satisfacer necesidades</w:t>
      </w:r>
      <w:r>
        <w:rPr>
          <w:spacing w:val="40"/>
        </w:rPr>
        <w:t xml:space="preserve"> </w:t>
      </w:r>
      <w:r>
        <w:t>de carácter social.</w:t>
      </w:r>
    </w:p>
    <w:p w:rsidR="0092635B" w:rsidRDefault="0092635B">
      <w:pPr>
        <w:pStyle w:val="Textoindependiente"/>
        <w:spacing w:before="0"/>
        <w:ind w:left="0" w:firstLine="0"/>
        <w:jc w:val="left"/>
      </w:pPr>
    </w:p>
    <w:p w:rsidR="0092635B" w:rsidRDefault="00000000">
      <w:pPr>
        <w:ind w:left="1106"/>
        <w:jc w:val="both"/>
        <w:rPr>
          <w:rFonts w:ascii="Arial" w:hAnsi="Arial"/>
          <w:i/>
          <w:sz w:val="20"/>
        </w:rPr>
      </w:pPr>
      <w:bookmarkStart w:id="637" w:name="Disposición_adicional_quincuagésima._Par"/>
      <w:bookmarkEnd w:id="637"/>
      <w:r>
        <w:rPr>
          <w:rFonts w:ascii="Arial" w:hAnsi="Arial"/>
          <w:b/>
          <w:sz w:val="20"/>
        </w:rPr>
        <w:t>Disposición adicional quincuagésima.</w:t>
      </w:r>
      <w:r>
        <w:rPr>
          <w:rFonts w:ascii="Arial" w:hAnsi="Arial"/>
          <w:b/>
          <w:spacing w:val="53"/>
          <w:sz w:val="20"/>
        </w:rPr>
        <w:t xml:space="preserve"> </w:t>
      </w:r>
      <w:r>
        <w:rPr>
          <w:rFonts w:ascii="Arial" w:hAnsi="Arial"/>
          <w:i/>
          <w:sz w:val="20"/>
        </w:rPr>
        <w:t xml:space="preserve">Paraísos </w:t>
      </w:r>
      <w:r>
        <w:rPr>
          <w:rFonts w:ascii="Arial" w:hAnsi="Arial"/>
          <w:i/>
          <w:spacing w:val="-2"/>
          <w:sz w:val="20"/>
        </w:rPr>
        <w:t>Fiscales.</w:t>
      </w:r>
    </w:p>
    <w:p w:rsidR="0092635B" w:rsidRDefault="00000000">
      <w:pPr>
        <w:pStyle w:val="Prrafodelista"/>
        <w:numPr>
          <w:ilvl w:val="0"/>
          <w:numId w:val="43"/>
        </w:numPr>
        <w:tabs>
          <w:tab w:val="left" w:pos="1680"/>
        </w:tabs>
        <w:spacing w:before="123" w:line="249" w:lineRule="auto"/>
        <w:ind w:firstLine="340"/>
        <w:jc w:val="both"/>
        <w:rPr>
          <w:sz w:val="20"/>
        </w:rPr>
      </w:pPr>
      <w:r>
        <w:rPr>
          <w:sz w:val="20"/>
        </w:rPr>
        <w:t>El Gobierno deberá actualizar la lista de países y territorios que tengan la calificación de paraíso fiscal de conformidad con lo señalado en la disposición adicional primera de la Ley 36/2006, de 29 de noviembre, de medidas para la prevención del fraude fiscal. Dicha actualización se realizará una vez que se hayan publicado las listas de jurisdicciones no cooperativas</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están</w:t>
      </w:r>
      <w:r>
        <w:rPr>
          <w:spacing w:val="-2"/>
          <w:sz w:val="20"/>
        </w:rPr>
        <w:t xml:space="preserve"> </w:t>
      </w:r>
      <w:r>
        <w:rPr>
          <w:sz w:val="20"/>
        </w:rPr>
        <w:t>preparando</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OCDE</w:t>
      </w:r>
      <w:r>
        <w:rPr>
          <w:spacing w:val="-2"/>
          <w:sz w:val="20"/>
        </w:rPr>
        <w:t xml:space="preserve"> </w:t>
      </w:r>
      <w:r>
        <w:rPr>
          <w:sz w:val="20"/>
        </w:rPr>
        <w:t>y</w:t>
      </w:r>
      <w:r>
        <w:rPr>
          <w:spacing w:val="-2"/>
          <w:sz w:val="20"/>
        </w:rPr>
        <w:t xml:space="preserve"> </w:t>
      </w:r>
      <w:r>
        <w:rPr>
          <w:sz w:val="20"/>
        </w:rPr>
        <w:t>la</w:t>
      </w:r>
      <w:r>
        <w:rPr>
          <w:spacing w:val="-2"/>
          <w:sz w:val="20"/>
        </w:rPr>
        <w:t xml:space="preserve"> </w:t>
      </w:r>
      <w:r>
        <w:rPr>
          <w:sz w:val="20"/>
        </w:rPr>
        <w:t>Unión</w:t>
      </w:r>
      <w:r>
        <w:rPr>
          <w:spacing w:val="-2"/>
          <w:sz w:val="20"/>
        </w:rPr>
        <w:t xml:space="preserve"> </w:t>
      </w:r>
      <w:r>
        <w:rPr>
          <w:sz w:val="20"/>
        </w:rPr>
        <w:t>Europea</w:t>
      </w:r>
      <w:r>
        <w:rPr>
          <w:spacing w:val="-2"/>
          <w:sz w:val="20"/>
        </w:rPr>
        <w:t xml:space="preserve"> </w:t>
      </w:r>
      <w:r>
        <w:rPr>
          <w:sz w:val="20"/>
        </w:rPr>
        <w:t>para</w:t>
      </w:r>
      <w:r>
        <w:rPr>
          <w:spacing w:val="-2"/>
          <w:sz w:val="20"/>
        </w:rPr>
        <w:t xml:space="preserve"> </w:t>
      </w:r>
      <w:r>
        <w:rPr>
          <w:sz w:val="20"/>
        </w:rPr>
        <w:t>que</w:t>
      </w:r>
      <w:r>
        <w:rPr>
          <w:spacing w:val="-2"/>
          <w:sz w:val="20"/>
        </w:rPr>
        <w:t xml:space="preserve"> </w:t>
      </w:r>
      <w:r>
        <w:rPr>
          <w:sz w:val="20"/>
        </w:rPr>
        <w:t>puedan</w:t>
      </w:r>
      <w:r>
        <w:rPr>
          <w:spacing w:val="-2"/>
          <w:sz w:val="20"/>
        </w:rPr>
        <w:t xml:space="preserve"> </w:t>
      </w:r>
      <w:r>
        <w:rPr>
          <w:sz w:val="20"/>
        </w:rPr>
        <w:t>ser tenidos en cuenta los resultados obtenidos.</w:t>
      </w:r>
    </w:p>
    <w:p w:rsidR="0092635B" w:rsidRDefault="00000000">
      <w:pPr>
        <w:pStyle w:val="Prrafodelista"/>
        <w:numPr>
          <w:ilvl w:val="0"/>
          <w:numId w:val="43"/>
        </w:numPr>
        <w:tabs>
          <w:tab w:val="left" w:pos="1698"/>
        </w:tabs>
        <w:spacing w:before="5" w:line="249" w:lineRule="auto"/>
        <w:ind w:firstLine="340"/>
        <w:jc w:val="both"/>
        <w:rPr>
          <w:sz w:val="20"/>
        </w:rPr>
      </w:pPr>
      <w:r>
        <w:rPr>
          <w:sz w:val="20"/>
        </w:rPr>
        <w:t>El Gobierno deberá modificar antes del 31 de diciembre de 2017 el artículo 13 del Reglamento del Impuesto sobre Sociedades, aprobado por Real Decreto 634/2015, de 10 de julio en relación con la información país por país que deben suministrar determinadas entidades cuando el importe neto de la cifra de negocios del grupo sea al menos de 750 millones de euros. Esta modificación debe permitir ajustarse plenamente al marco establecido en el ámbito internacional así como utilizar de modo más eficiente los recursos públicos y reducir la carga administrativa que recae sobre los grupos de empresas multinacionales,</w:t>
      </w:r>
      <w:r>
        <w:rPr>
          <w:spacing w:val="-2"/>
          <w:sz w:val="20"/>
        </w:rPr>
        <w:t xml:space="preserve"> </w:t>
      </w:r>
      <w:r>
        <w:rPr>
          <w:sz w:val="20"/>
        </w:rPr>
        <w:t>al</w:t>
      </w:r>
      <w:r>
        <w:rPr>
          <w:spacing w:val="-2"/>
          <w:sz w:val="20"/>
        </w:rPr>
        <w:t xml:space="preserve"> </w:t>
      </w:r>
      <w:r>
        <w:rPr>
          <w:sz w:val="20"/>
        </w:rPr>
        <w:t>permitir</w:t>
      </w:r>
      <w:r>
        <w:rPr>
          <w:spacing w:val="-2"/>
          <w:sz w:val="20"/>
        </w:rPr>
        <w:t xml:space="preserve"> </w:t>
      </w:r>
      <w:r>
        <w:rPr>
          <w:sz w:val="20"/>
        </w:rPr>
        <w:t>a</w:t>
      </w:r>
      <w:r>
        <w:rPr>
          <w:spacing w:val="-2"/>
          <w:sz w:val="20"/>
        </w:rPr>
        <w:t xml:space="preserve"> </w:t>
      </w:r>
      <w:r>
        <w:rPr>
          <w:sz w:val="20"/>
        </w:rPr>
        <w:t>otras</w:t>
      </w:r>
      <w:r>
        <w:rPr>
          <w:spacing w:val="-2"/>
          <w:sz w:val="20"/>
        </w:rPr>
        <w:t xml:space="preserve"> </w:t>
      </w:r>
      <w:r>
        <w:rPr>
          <w:sz w:val="20"/>
        </w:rPr>
        <w:t>entidades</w:t>
      </w:r>
      <w:r>
        <w:rPr>
          <w:spacing w:val="-2"/>
          <w:sz w:val="20"/>
        </w:rPr>
        <w:t xml:space="preserve"> </w:t>
      </w:r>
      <w:r>
        <w:rPr>
          <w:sz w:val="20"/>
        </w:rPr>
        <w:t>distintas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matriz</w:t>
      </w:r>
      <w:r>
        <w:rPr>
          <w:spacing w:val="-2"/>
          <w:sz w:val="20"/>
        </w:rPr>
        <w:t xml:space="preserve"> </w:t>
      </w:r>
      <w:r>
        <w:rPr>
          <w:sz w:val="20"/>
        </w:rPr>
        <w:t>última</w:t>
      </w:r>
      <w:r>
        <w:rPr>
          <w:spacing w:val="-2"/>
          <w:sz w:val="20"/>
        </w:rPr>
        <w:t xml:space="preserve"> </w:t>
      </w:r>
      <w:r>
        <w:rPr>
          <w:sz w:val="20"/>
        </w:rPr>
        <w:t>presentar</w:t>
      </w:r>
      <w:r>
        <w:rPr>
          <w:spacing w:val="-2"/>
          <w:sz w:val="20"/>
        </w:rPr>
        <w:t xml:space="preserve"> </w:t>
      </w:r>
      <w:r>
        <w:rPr>
          <w:sz w:val="20"/>
        </w:rPr>
        <w:t>el</w:t>
      </w:r>
      <w:r>
        <w:rPr>
          <w:spacing w:val="-2"/>
          <w:sz w:val="20"/>
        </w:rPr>
        <w:t xml:space="preserve"> </w:t>
      </w:r>
      <w:r>
        <w:rPr>
          <w:sz w:val="20"/>
        </w:rPr>
        <w:t>informe país por país.</w:t>
      </w:r>
    </w:p>
    <w:p w:rsidR="0092635B" w:rsidRDefault="00000000">
      <w:pPr>
        <w:pStyle w:val="Textoindependiente"/>
        <w:spacing w:before="8" w:line="249" w:lineRule="auto"/>
        <w:ind w:right="1103"/>
      </w:pPr>
      <w:r>
        <w:t>No obstante, se mantendrán las obligaciones ya establecidas para estos grupos multinacionales de suministrar datos relativos a ingresos, resultados, impuestos, activos o plantilla desglosados por cada país o jurisdicción. Los grupos multinacionales del sector bancario y de las industrias extractivas deberán hacer públicos los datos relativos a esta información país por país que así se requiera en la normativa internacional.</w:t>
      </w:r>
    </w:p>
    <w:p w:rsidR="0092635B" w:rsidRDefault="0092635B">
      <w:pPr>
        <w:pStyle w:val="Textoindependiente"/>
        <w:spacing w:before="0"/>
        <w:ind w:left="0" w:firstLine="0"/>
        <w:jc w:val="left"/>
      </w:pPr>
    </w:p>
    <w:p w:rsidR="0092635B" w:rsidRDefault="00000000">
      <w:pPr>
        <w:spacing w:before="1"/>
        <w:ind w:left="1106"/>
        <w:jc w:val="both"/>
        <w:rPr>
          <w:rFonts w:ascii="Arial" w:hAnsi="Arial"/>
          <w:i/>
          <w:sz w:val="20"/>
        </w:rPr>
      </w:pPr>
      <w:bookmarkStart w:id="638" w:name="Disposición_adicional_quincuagésima_prim"/>
      <w:bookmarkEnd w:id="638"/>
      <w:r>
        <w:rPr>
          <w:rFonts w:ascii="Arial" w:hAnsi="Arial"/>
          <w:b/>
          <w:sz w:val="20"/>
        </w:rPr>
        <w:t>Disposición</w:t>
      </w:r>
      <w:r>
        <w:rPr>
          <w:rFonts w:ascii="Arial" w:hAnsi="Arial"/>
          <w:b/>
          <w:spacing w:val="-2"/>
          <w:sz w:val="20"/>
        </w:rPr>
        <w:t xml:space="preserve"> </w:t>
      </w:r>
      <w:r>
        <w:rPr>
          <w:rFonts w:ascii="Arial" w:hAnsi="Arial"/>
          <w:b/>
          <w:sz w:val="20"/>
        </w:rPr>
        <w:t>adicional</w:t>
      </w:r>
      <w:r>
        <w:rPr>
          <w:rFonts w:ascii="Arial" w:hAnsi="Arial"/>
          <w:b/>
          <w:spacing w:val="-1"/>
          <w:sz w:val="20"/>
        </w:rPr>
        <w:t xml:space="preserve"> </w:t>
      </w:r>
      <w:r>
        <w:rPr>
          <w:rFonts w:ascii="Arial" w:hAnsi="Arial"/>
          <w:b/>
          <w:sz w:val="20"/>
        </w:rPr>
        <w:t>quincuagésima</w:t>
      </w:r>
      <w:r>
        <w:rPr>
          <w:rFonts w:ascii="Arial" w:hAnsi="Arial"/>
          <w:b/>
          <w:spacing w:val="-2"/>
          <w:sz w:val="20"/>
        </w:rPr>
        <w:t xml:space="preserve"> </w:t>
      </w:r>
      <w:r>
        <w:rPr>
          <w:rFonts w:ascii="Arial" w:hAnsi="Arial"/>
          <w:b/>
          <w:sz w:val="20"/>
        </w:rPr>
        <w:t>primera.</w:t>
      </w:r>
      <w:r>
        <w:rPr>
          <w:rFonts w:ascii="Arial" w:hAnsi="Arial"/>
          <w:b/>
          <w:spacing w:val="52"/>
          <w:sz w:val="20"/>
        </w:rPr>
        <w:t xml:space="preserve"> </w:t>
      </w:r>
      <w:r>
        <w:rPr>
          <w:rFonts w:ascii="Arial" w:hAnsi="Arial"/>
          <w:i/>
          <w:sz w:val="20"/>
        </w:rPr>
        <w:t>Pagos</w:t>
      </w:r>
      <w:r>
        <w:rPr>
          <w:rFonts w:ascii="Arial" w:hAnsi="Arial"/>
          <w:i/>
          <w:spacing w:val="-1"/>
          <w:sz w:val="20"/>
        </w:rPr>
        <w:t xml:space="preserve"> </w:t>
      </w:r>
      <w:r>
        <w:rPr>
          <w:rFonts w:ascii="Arial" w:hAnsi="Arial"/>
          <w:i/>
          <w:sz w:val="20"/>
        </w:rPr>
        <w:t>directos</w:t>
      </w:r>
      <w:r>
        <w:rPr>
          <w:rFonts w:ascii="Arial" w:hAnsi="Arial"/>
          <w:i/>
          <w:spacing w:val="-2"/>
          <w:sz w:val="20"/>
        </w:rPr>
        <w:t xml:space="preserve"> </w:t>
      </w:r>
      <w:r>
        <w:rPr>
          <w:rFonts w:ascii="Arial" w:hAnsi="Arial"/>
          <w:i/>
          <w:sz w:val="20"/>
        </w:rPr>
        <w:t>a</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subcontratistas.</w:t>
      </w:r>
    </w:p>
    <w:p w:rsidR="0092635B" w:rsidRDefault="00000000">
      <w:pPr>
        <w:pStyle w:val="Prrafodelista"/>
        <w:numPr>
          <w:ilvl w:val="0"/>
          <w:numId w:val="42"/>
        </w:numPr>
        <w:tabs>
          <w:tab w:val="left" w:pos="1688"/>
        </w:tabs>
        <w:spacing w:before="123" w:line="249" w:lineRule="auto"/>
        <w:ind w:right="1104" w:firstLine="340"/>
        <w:jc w:val="both"/>
        <w:rPr>
          <w:sz w:val="20"/>
        </w:rPr>
      </w:pPr>
      <w:r>
        <w:rPr>
          <w:sz w:val="20"/>
        </w:rPr>
        <w:t>Sin perjuicio de lo previsto en los artículos 216 y 217 y siempre que se cumplan las condiciones establecidas en el artículo 215, el órgano de contratación podrá prever en los pliegos de cláusulas administrativas, se realicen pagos directos a los subcontratistas.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42"/>
        </w:numPr>
        <w:tabs>
          <w:tab w:val="left" w:pos="1697"/>
        </w:tabs>
        <w:spacing w:before="1" w:line="249" w:lineRule="auto"/>
        <w:ind w:right="1104" w:firstLine="340"/>
        <w:jc w:val="both"/>
        <w:rPr>
          <w:sz w:val="20"/>
        </w:rPr>
      </w:pPr>
      <w:r>
        <w:rPr>
          <w:sz w:val="20"/>
        </w:rPr>
        <w:t>El subcontratista que cuente con la conformidad para percibir pagos directos podrá ceder sus derechos de cobro conforme a lo previsto en el artículo 200.</w:t>
      </w:r>
    </w:p>
    <w:p w:rsidR="0092635B" w:rsidRDefault="00000000">
      <w:pPr>
        <w:pStyle w:val="Prrafodelista"/>
        <w:numPr>
          <w:ilvl w:val="0"/>
          <w:numId w:val="42"/>
        </w:numPr>
        <w:tabs>
          <w:tab w:val="left" w:pos="1681"/>
        </w:tabs>
        <w:spacing w:before="1" w:line="249" w:lineRule="auto"/>
        <w:ind w:right="1104" w:firstLine="340"/>
        <w:jc w:val="both"/>
        <w:rPr>
          <w:sz w:val="20"/>
        </w:rPr>
      </w:pPr>
      <w:r>
        <w:rPr>
          <w:sz w:val="20"/>
        </w:rPr>
        <w:t>Los pagos efectuados a favor del subcontratista se entenderán realizados por cuenta del contratista principal, manteniendo en relación con la Administración contratante la misma naturaleza de abonos a buena cuenta que la de las certificaciones de obra.</w:t>
      </w:r>
    </w:p>
    <w:p w:rsidR="0092635B" w:rsidRDefault="00000000">
      <w:pPr>
        <w:pStyle w:val="Prrafodelista"/>
        <w:numPr>
          <w:ilvl w:val="0"/>
          <w:numId w:val="42"/>
        </w:numPr>
        <w:tabs>
          <w:tab w:val="left" w:pos="1670"/>
        </w:tabs>
        <w:spacing w:before="3" w:line="249" w:lineRule="auto"/>
        <w:ind w:right="1105" w:firstLine="340"/>
        <w:jc w:val="both"/>
        <w:rPr>
          <w:sz w:val="20"/>
        </w:rPr>
      </w:pPr>
      <w:r>
        <w:rPr>
          <w:sz w:val="20"/>
        </w:rPr>
        <w:t>En</w:t>
      </w:r>
      <w:r>
        <w:rPr>
          <w:spacing w:val="-1"/>
          <w:sz w:val="20"/>
        </w:rPr>
        <w:t xml:space="preserve"> </w:t>
      </w:r>
      <w:r>
        <w:rPr>
          <w:sz w:val="20"/>
        </w:rPr>
        <w:t>ningún</w:t>
      </w:r>
      <w:r>
        <w:rPr>
          <w:spacing w:val="-1"/>
          <w:sz w:val="20"/>
        </w:rPr>
        <w:t xml:space="preserve"> </w:t>
      </w:r>
      <w:r>
        <w:rPr>
          <w:sz w:val="20"/>
        </w:rPr>
        <w:t>caso</w:t>
      </w:r>
      <w:r>
        <w:rPr>
          <w:spacing w:val="-1"/>
          <w:sz w:val="20"/>
        </w:rPr>
        <w:t xml:space="preserve"> </w:t>
      </w:r>
      <w:r>
        <w:rPr>
          <w:sz w:val="20"/>
        </w:rPr>
        <w:t>será</w:t>
      </w:r>
      <w:r>
        <w:rPr>
          <w:spacing w:val="-1"/>
          <w:sz w:val="20"/>
        </w:rPr>
        <w:t xml:space="preserve"> </w:t>
      </w:r>
      <w:r>
        <w:rPr>
          <w:sz w:val="20"/>
        </w:rPr>
        <w:t>imputable</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Administración</w:t>
      </w:r>
      <w:r>
        <w:rPr>
          <w:spacing w:val="-1"/>
          <w:sz w:val="20"/>
        </w:rPr>
        <w:t xml:space="preserve"> </w:t>
      </w:r>
      <w:r>
        <w:rPr>
          <w:sz w:val="20"/>
        </w:rPr>
        <w:t>el</w:t>
      </w:r>
      <w:r>
        <w:rPr>
          <w:spacing w:val="-1"/>
          <w:sz w:val="20"/>
        </w:rPr>
        <w:t xml:space="preserve"> </w:t>
      </w:r>
      <w:r>
        <w:rPr>
          <w:sz w:val="20"/>
        </w:rPr>
        <w:t>retraso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pago</w:t>
      </w:r>
      <w:r>
        <w:rPr>
          <w:spacing w:val="-1"/>
          <w:sz w:val="20"/>
        </w:rPr>
        <w:t xml:space="preserve"> </w:t>
      </w:r>
      <w:r>
        <w:rPr>
          <w:sz w:val="20"/>
        </w:rPr>
        <w:t>derivado</w:t>
      </w:r>
      <w:r>
        <w:rPr>
          <w:spacing w:val="-1"/>
          <w:sz w:val="20"/>
        </w:rPr>
        <w:t xml:space="preserve"> </w:t>
      </w:r>
      <w:r>
        <w:rPr>
          <w:sz w:val="20"/>
        </w:rPr>
        <w:t>de</w:t>
      </w:r>
      <w:r>
        <w:rPr>
          <w:spacing w:val="-1"/>
          <w:sz w:val="20"/>
        </w:rPr>
        <w:t xml:space="preserve"> </w:t>
      </w:r>
      <w:r>
        <w:rPr>
          <w:sz w:val="20"/>
        </w:rPr>
        <w:t>la falta de conformidad del contratista principal a la factura presentada por el subcontratista.</w:t>
      </w:r>
    </w:p>
    <w:p w:rsidR="0092635B" w:rsidRDefault="00000000">
      <w:pPr>
        <w:pStyle w:val="Prrafodelista"/>
        <w:numPr>
          <w:ilvl w:val="0"/>
          <w:numId w:val="42"/>
        </w:numPr>
        <w:tabs>
          <w:tab w:val="left" w:pos="1687"/>
        </w:tabs>
        <w:spacing w:before="1" w:line="249" w:lineRule="auto"/>
        <w:ind w:right="1102" w:firstLine="340"/>
        <w:jc w:val="both"/>
        <w:rPr>
          <w:sz w:val="20"/>
        </w:rPr>
      </w:pPr>
      <w:r>
        <w:rPr>
          <w:sz w:val="20"/>
        </w:rPr>
        <w:t>Se autoriza al Ministro de Hacienda y Función Pública para desarrollar, en el ámbito del sector público estatal, las previsiones contenidas en los apartados anteriores relativas a las características de la documentación que debe aportarse, el régimen de notificaciones, y</w:t>
      </w:r>
      <w:r>
        <w:rPr>
          <w:spacing w:val="40"/>
          <w:sz w:val="20"/>
        </w:rPr>
        <w:t xml:space="preserve"> </w:t>
      </w:r>
      <w:r>
        <w:rPr>
          <w:sz w:val="20"/>
        </w:rPr>
        <w:t>el de certificaciones, operativa contable y facturación.</w:t>
      </w:r>
    </w:p>
    <w:p w:rsidR="0092635B" w:rsidRDefault="0092635B">
      <w:pPr>
        <w:pStyle w:val="Textoindependiente"/>
        <w:spacing w:before="0"/>
        <w:ind w:left="0" w:firstLine="0"/>
        <w:jc w:val="left"/>
      </w:pPr>
    </w:p>
    <w:p w:rsidR="0092635B" w:rsidRDefault="00000000">
      <w:pPr>
        <w:spacing w:line="249" w:lineRule="auto"/>
        <w:ind w:left="1106" w:right="1104"/>
        <w:jc w:val="both"/>
        <w:rPr>
          <w:rFonts w:ascii="Arial" w:hAnsi="Arial"/>
          <w:i/>
          <w:sz w:val="20"/>
        </w:rPr>
      </w:pPr>
      <w:bookmarkStart w:id="639" w:name="Disposición_adicional_quincuagésima_segu"/>
      <w:bookmarkEnd w:id="639"/>
      <w:r>
        <w:rPr>
          <w:rFonts w:ascii="Arial" w:hAnsi="Arial"/>
          <w:b/>
          <w:sz w:val="20"/>
        </w:rPr>
        <w:t>Disposición adicional quincuagésima segunda.</w:t>
      </w:r>
      <w:r>
        <w:rPr>
          <w:rFonts w:ascii="Arial" w:hAnsi="Arial"/>
          <w:b/>
          <w:spacing w:val="40"/>
          <w:sz w:val="20"/>
        </w:rPr>
        <w:t xml:space="preserve"> </w:t>
      </w:r>
      <w:r>
        <w:rPr>
          <w:rFonts w:ascii="Arial" w:hAnsi="Arial"/>
          <w:i/>
          <w:sz w:val="20"/>
        </w:rPr>
        <w:t>Referencias en la Ley a las Ciudades Autónomas de Ceuta y Melilla.</w:t>
      </w:r>
    </w:p>
    <w:p w:rsidR="0092635B" w:rsidRDefault="00000000">
      <w:pPr>
        <w:pStyle w:val="Textoindependiente"/>
        <w:spacing w:before="115" w:line="249" w:lineRule="auto"/>
        <w:ind w:right="1104"/>
      </w:pPr>
      <w:r>
        <w:t>Cuando en esta Ley un artículo haga referencia a las Comunidades Autónomas también se entenderá referido a las Ciudades Autónomas de Ceuta y Melilla, cuando conforme a sus Estatutos de Autonomía estas Ciudades Autónomas tengan competencia en las materias</w:t>
      </w:r>
      <w:r>
        <w:rPr>
          <w:spacing w:val="40"/>
        </w:rPr>
        <w:t xml:space="preserve"> </w:t>
      </w:r>
      <w:r>
        <w:t>que regule el referido precepto.</w:t>
      </w:r>
    </w:p>
    <w:p w:rsidR="0092635B" w:rsidRDefault="0092635B">
      <w:pPr>
        <w:pStyle w:val="Textoindependiente"/>
        <w:spacing w:before="0"/>
        <w:ind w:left="0" w:firstLine="0"/>
        <w:jc w:val="left"/>
      </w:pPr>
    </w:p>
    <w:p w:rsidR="0092635B" w:rsidRDefault="00000000">
      <w:pPr>
        <w:spacing w:before="1" w:line="249" w:lineRule="auto"/>
        <w:ind w:left="1106" w:right="1104"/>
        <w:jc w:val="both"/>
        <w:rPr>
          <w:rFonts w:ascii="Arial" w:hAnsi="Arial"/>
          <w:i/>
          <w:sz w:val="20"/>
        </w:rPr>
      </w:pPr>
      <w:bookmarkStart w:id="640" w:name="Disposición_adicional_quincuagésima_terc"/>
      <w:bookmarkEnd w:id="640"/>
      <w:r>
        <w:rPr>
          <w:rFonts w:ascii="Arial" w:hAnsi="Arial"/>
          <w:b/>
          <w:sz w:val="20"/>
        </w:rPr>
        <w:t>Disposición adicional quincuagésima tercera.</w:t>
      </w:r>
      <w:r>
        <w:rPr>
          <w:rFonts w:ascii="Arial" w:hAnsi="Arial"/>
          <w:b/>
          <w:spacing w:val="40"/>
          <w:sz w:val="20"/>
        </w:rPr>
        <w:t xml:space="preserve"> </w:t>
      </w:r>
      <w:r>
        <w:rPr>
          <w:rFonts w:ascii="Arial" w:hAnsi="Arial"/>
          <w:i/>
          <w:sz w:val="20"/>
        </w:rPr>
        <w:t xml:space="preserve">Servicio público de noticias de titularidad </w:t>
      </w:r>
      <w:r>
        <w:rPr>
          <w:rFonts w:ascii="Arial" w:hAnsi="Arial"/>
          <w:i/>
          <w:spacing w:val="-2"/>
          <w:sz w:val="20"/>
        </w:rPr>
        <w:t>estatal.</w:t>
      </w:r>
    </w:p>
    <w:p w:rsidR="0092635B" w:rsidRDefault="00000000">
      <w:pPr>
        <w:pStyle w:val="Prrafodelista"/>
        <w:numPr>
          <w:ilvl w:val="0"/>
          <w:numId w:val="41"/>
        </w:numPr>
        <w:tabs>
          <w:tab w:val="left" w:pos="1721"/>
        </w:tabs>
        <w:spacing w:before="115" w:line="249" w:lineRule="auto"/>
        <w:ind w:firstLine="340"/>
        <w:jc w:val="both"/>
        <w:rPr>
          <w:sz w:val="20"/>
        </w:rPr>
      </w:pPr>
      <w:r>
        <w:rPr>
          <w:sz w:val="20"/>
        </w:rPr>
        <w:t>El servicio público de noticias de titularidad estatal, encomendado a la sociedad mercantil estatal Agencia EFE, S. A. U., es un servicio de interés económico general que tiene</w:t>
      </w:r>
      <w:r>
        <w:rPr>
          <w:spacing w:val="-3"/>
          <w:sz w:val="20"/>
        </w:rPr>
        <w:t xml:space="preserve"> </w:t>
      </w:r>
      <w:r>
        <w:rPr>
          <w:sz w:val="20"/>
        </w:rPr>
        <w:t>como</w:t>
      </w:r>
      <w:r>
        <w:rPr>
          <w:spacing w:val="-3"/>
          <w:sz w:val="20"/>
        </w:rPr>
        <w:t xml:space="preserve"> </w:t>
      </w:r>
      <w:r>
        <w:rPr>
          <w:sz w:val="20"/>
        </w:rPr>
        <w:t>misión</w:t>
      </w:r>
      <w:r>
        <w:rPr>
          <w:spacing w:val="-3"/>
          <w:sz w:val="20"/>
        </w:rPr>
        <w:t xml:space="preserve"> </w:t>
      </w:r>
      <w:r>
        <w:rPr>
          <w:sz w:val="20"/>
        </w:rPr>
        <w:t>la</w:t>
      </w:r>
      <w:r>
        <w:rPr>
          <w:spacing w:val="-3"/>
          <w:sz w:val="20"/>
        </w:rPr>
        <w:t xml:space="preserve"> </w:t>
      </w:r>
      <w:r>
        <w:rPr>
          <w:sz w:val="20"/>
        </w:rPr>
        <w:t>recogida,</w:t>
      </w:r>
      <w:r>
        <w:rPr>
          <w:spacing w:val="-3"/>
          <w:sz w:val="20"/>
        </w:rPr>
        <w:t xml:space="preserve"> </w:t>
      </w:r>
      <w:r>
        <w:rPr>
          <w:sz w:val="20"/>
        </w:rPr>
        <w:t>elaboración</w:t>
      </w:r>
      <w:r>
        <w:rPr>
          <w:spacing w:val="-3"/>
          <w:sz w:val="20"/>
        </w:rPr>
        <w:t xml:space="preserve"> </w:t>
      </w:r>
      <w:r>
        <w:rPr>
          <w:sz w:val="20"/>
        </w:rPr>
        <w:t>y</w:t>
      </w:r>
      <w:r>
        <w:rPr>
          <w:spacing w:val="-3"/>
          <w:sz w:val="20"/>
        </w:rPr>
        <w:t xml:space="preserve"> </w:t>
      </w:r>
      <w:r>
        <w:rPr>
          <w:sz w:val="20"/>
        </w:rPr>
        <w:t>distribución</w:t>
      </w:r>
      <w:r>
        <w:rPr>
          <w:spacing w:val="-3"/>
          <w:sz w:val="20"/>
        </w:rPr>
        <w:t xml:space="preserve"> </w:t>
      </w:r>
      <w:r>
        <w:rPr>
          <w:sz w:val="20"/>
        </w:rPr>
        <w:t>de</w:t>
      </w:r>
      <w:r>
        <w:rPr>
          <w:spacing w:val="-3"/>
          <w:sz w:val="20"/>
        </w:rPr>
        <w:t xml:space="preserve"> </w:t>
      </w:r>
      <w:r>
        <w:rPr>
          <w:sz w:val="20"/>
        </w:rPr>
        <w:t>noticias</w:t>
      </w:r>
      <w:r>
        <w:rPr>
          <w:spacing w:val="-3"/>
          <w:sz w:val="20"/>
        </w:rPr>
        <w:t xml:space="preserve"> </w:t>
      </w:r>
      <w:r>
        <w:rPr>
          <w:sz w:val="20"/>
        </w:rPr>
        <w:t>y</w:t>
      </w:r>
      <w:r>
        <w:rPr>
          <w:spacing w:val="-3"/>
          <w:sz w:val="20"/>
        </w:rPr>
        <w:t xml:space="preserve"> </w:t>
      </w:r>
      <w:r>
        <w:rPr>
          <w:sz w:val="20"/>
        </w:rPr>
        <w:t>de</w:t>
      </w:r>
      <w:r>
        <w:rPr>
          <w:spacing w:val="-3"/>
          <w:sz w:val="20"/>
        </w:rPr>
        <w:t xml:space="preserve"> </w:t>
      </w:r>
      <w:r>
        <w:rPr>
          <w:sz w:val="20"/>
        </w:rPr>
        <w:t>información</w:t>
      </w:r>
      <w:r>
        <w:rPr>
          <w:spacing w:val="-3"/>
          <w:sz w:val="20"/>
        </w:rPr>
        <w:t xml:space="preserve"> </w:t>
      </w:r>
      <w:r>
        <w:rPr>
          <w:sz w:val="20"/>
        </w:rPr>
        <w:t>general y especializada en todos los soportes de forma imparcial, independiente y objetiva, con el fin de garantizar las necesidades de información de la sociedad española y de fomentar la proyección exterior de España.</w:t>
      </w:r>
    </w:p>
    <w:p w:rsidR="0092635B" w:rsidRDefault="00000000">
      <w:pPr>
        <w:pStyle w:val="Prrafodelista"/>
        <w:numPr>
          <w:ilvl w:val="0"/>
          <w:numId w:val="41"/>
        </w:numPr>
        <w:tabs>
          <w:tab w:val="left" w:pos="1786"/>
        </w:tabs>
        <w:spacing w:before="5" w:line="249" w:lineRule="auto"/>
        <w:ind w:firstLine="340"/>
        <w:jc w:val="both"/>
        <w:rPr>
          <w:sz w:val="20"/>
        </w:rPr>
      </w:pPr>
      <w:r>
        <w:rPr>
          <w:sz w:val="20"/>
        </w:rPr>
        <w:t>La función de servicio público comprende la cobertura de los eventos y acontecimientos de especial interés para España, y en particular, de las actividades de la Familia Real, la Jefatura del Estado, los miembros del Gobierno y las altas instituciones del Estado; la cobertura informativa en todas las Comunidades y Ciudades Autónomas; la prestación de servicios informativos a la Administración del Estado; la difusión de la imagen de</w:t>
      </w:r>
      <w:r>
        <w:rPr>
          <w:spacing w:val="-1"/>
          <w:sz w:val="20"/>
        </w:rPr>
        <w:t xml:space="preserve"> </w:t>
      </w:r>
      <w:r>
        <w:rPr>
          <w:sz w:val="20"/>
        </w:rPr>
        <w:t>España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z w:val="20"/>
        </w:rPr>
        <w:t>diversidad</w:t>
      </w:r>
      <w:r>
        <w:rPr>
          <w:spacing w:val="-1"/>
          <w:sz w:val="20"/>
        </w:rPr>
        <w:t xml:space="preserve"> </w:t>
      </w:r>
      <w:r>
        <w:rPr>
          <w:sz w:val="20"/>
        </w:rPr>
        <w:t>cultural</w:t>
      </w:r>
      <w:r>
        <w:rPr>
          <w:spacing w:val="-1"/>
          <w:sz w:val="20"/>
        </w:rPr>
        <w:t xml:space="preserve"> </w:t>
      </w:r>
      <w:r>
        <w:rPr>
          <w:sz w:val="20"/>
        </w:rPr>
        <w:t>y</w:t>
      </w:r>
      <w:r>
        <w:rPr>
          <w:spacing w:val="-1"/>
          <w:sz w:val="20"/>
        </w:rPr>
        <w:t xml:space="preserve"> </w:t>
      </w:r>
      <w:r>
        <w:rPr>
          <w:sz w:val="20"/>
        </w:rPr>
        <w:t>el</w:t>
      </w:r>
      <w:r>
        <w:rPr>
          <w:spacing w:val="-1"/>
          <w:sz w:val="20"/>
        </w:rPr>
        <w:t xml:space="preserve"> </w:t>
      </w:r>
      <w:r>
        <w:rPr>
          <w:sz w:val="20"/>
        </w:rPr>
        <w:t>intercambio</w:t>
      </w:r>
      <w:r>
        <w:rPr>
          <w:spacing w:val="-1"/>
          <w:sz w:val="20"/>
        </w:rPr>
        <w:t xml:space="preserve"> </w:t>
      </w:r>
      <w:r>
        <w:rPr>
          <w:sz w:val="20"/>
        </w:rPr>
        <w:t>informativo</w:t>
      </w:r>
      <w:r>
        <w:rPr>
          <w:spacing w:val="-1"/>
          <w:sz w:val="20"/>
        </w:rPr>
        <w:t xml:space="preserve"> </w:t>
      </w:r>
      <w:r>
        <w:rPr>
          <w:sz w:val="20"/>
        </w:rPr>
        <w:t>entre</w:t>
      </w:r>
      <w:r>
        <w:rPr>
          <w:spacing w:val="-1"/>
          <w:sz w:val="20"/>
        </w:rPr>
        <w:t xml:space="preserve"> </w:t>
      </w:r>
      <w:r>
        <w:rPr>
          <w:sz w:val="20"/>
        </w:rPr>
        <w:t>España</w:t>
      </w:r>
      <w:r>
        <w:rPr>
          <w:spacing w:val="-1"/>
          <w:sz w:val="20"/>
        </w:rPr>
        <w:t xml:space="preserve"> </w:t>
      </w:r>
      <w:r>
        <w:rPr>
          <w:sz w:val="20"/>
        </w:rPr>
        <w:t>y</w:t>
      </w:r>
      <w:r>
        <w:rPr>
          <w:spacing w:val="-1"/>
          <w:sz w:val="20"/>
        </w:rPr>
        <w:t xml:space="preserve"> </w:t>
      </w:r>
      <w:r>
        <w:rPr>
          <w:sz w:val="20"/>
        </w:rPr>
        <w:t>el</w:t>
      </w:r>
      <w:r>
        <w:rPr>
          <w:spacing w:val="-1"/>
          <w:sz w:val="20"/>
        </w:rPr>
        <w:t xml:space="preserve"> </w:t>
      </w:r>
      <w:r>
        <w:rPr>
          <w:sz w:val="20"/>
        </w:rPr>
        <w:t>resto</w:t>
      </w:r>
      <w:r>
        <w:rPr>
          <w:spacing w:val="-1"/>
          <w:sz w:val="20"/>
        </w:rPr>
        <w:t xml:space="preserve"> </w:t>
      </w:r>
      <w:r>
        <w:rPr>
          <w:sz w:val="20"/>
        </w:rPr>
        <w:t>del mundo, con especial atención a los ámbitos prioritarios para la acción exterior española.</w:t>
      </w:r>
    </w:p>
    <w:p w:rsidR="0092635B" w:rsidRDefault="00000000">
      <w:pPr>
        <w:pStyle w:val="Prrafodelista"/>
        <w:numPr>
          <w:ilvl w:val="0"/>
          <w:numId w:val="41"/>
        </w:numPr>
        <w:tabs>
          <w:tab w:val="left" w:pos="1674"/>
        </w:tabs>
        <w:spacing w:before="5" w:line="249" w:lineRule="auto"/>
        <w:ind w:firstLine="340"/>
        <w:jc w:val="both"/>
        <w:rPr>
          <w:sz w:val="20"/>
        </w:rPr>
      </w:pPr>
      <w:r>
        <w:rPr>
          <w:sz w:val="20"/>
        </w:rPr>
        <w:t>La compensación anual por el cumplimiento de las obligaciones de servicio público se efectuará con arreglo al método del coste evitado neto y no podrá superar en el ejercicio presupuestario lo necesario para cubrir el coste neto de la ejecución de las obligaciones de servicio público. El importe del coste neto se actualizará anualmente, será revisado por la Comisión</w:t>
      </w:r>
      <w:r>
        <w:rPr>
          <w:spacing w:val="-3"/>
          <w:sz w:val="20"/>
        </w:rPr>
        <w:t xml:space="preserve"> </w:t>
      </w:r>
      <w:r>
        <w:rPr>
          <w:sz w:val="20"/>
        </w:rPr>
        <w:t>de</w:t>
      </w:r>
      <w:r>
        <w:rPr>
          <w:spacing w:val="-3"/>
          <w:sz w:val="20"/>
        </w:rPr>
        <w:t xml:space="preserve"> </w:t>
      </w:r>
      <w:r>
        <w:rPr>
          <w:sz w:val="20"/>
        </w:rPr>
        <w:t>Control</w:t>
      </w:r>
      <w:r>
        <w:rPr>
          <w:spacing w:val="-3"/>
          <w:sz w:val="20"/>
        </w:rPr>
        <w:t xml:space="preserve"> </w:t>
      </w:r>
      <w:r>
        <w:rPr>
          <w:sz w:val="20"/>
        </w:rPr>
        <w:t>del</w:t>
      </w:r>
      <w:r>
        <w:rPr>
          <w:spacing w:val="-3"/>
          <w:sz w:val="20"/>
        </w:rPr>
        <w:t xml:space="preserve"> </w:t>
      </w:r>
      <w:r>
        <w:rPr>
          <w:sz w:val="20"/>
        </w:rPr>
        <w:t>SIEG,</w:t>
      </w:r>
      <w:r>
        <w:rPr>
          <w:spacing w:val="-3"/>
          <w:sz w:val="20"/>
        </w:rPr>
        <w:t xml:space="preserve"> </w:t>
      </w:r>
      <w:r>
        <w:rPr>
          <w:sz w:val="20"/>
        </w:rPr>
        <w:t>que</w:t>
      </w:r>
      <w:r>
        <w:rPr>
          <w:spacing w:val="-3"/>
          <w:sz w:val="20"/>
        </w:rPr>
        <w:t xml:space="preserve"> </w:t>
      </w:r>
      <w:r>
        <w:rPr>
          <w:sz w:val="20"/>
        </w:rPr>
        <w:t>encargará</w:t>
      </w:r>
      <w:r>
        <w:rPr>
          <w:spacing w:val="-3"/>
          <w:sz w:val="20"/>
        </w:rPr>
        <w:t xml:space="preserve"> </w:t>
      </w:r>
      <w:r>
        <w:rPr>
          <w:sz w:val="20"/>
        </w:rPr>
        <w:t>a</w:t>
      </w:r>
      <w:r>
        <w:rPr>
          <w:spacing w:val="-3"/>
          <w:sz w:val="20"/>
        </w:rPr>
        <w:t xml:space="preserve"> </w:t>
      </w:r>
      <w:r>
        <w:rPr>
          <w:sz w:val="20"/>
        </w:rPr>
        <w:t>un</w:t>
      </w:r>
      <w:r>
        <w:rPr>
          <w:spacing w:val="-3"/>
          <w:sz w:val="20"/>
        </w:rPr>
        <w:t xml:space="preserve"> </w:t>
      </w:r>
      <w:r>
        <w:rPr>
          <w:sz w:val="20"/>
        </w:rPr>
        <w:t>auditor</w:t>
      </w:r>
      <w:r>
        <w:rPr>
          <w:spacing w:val="-3"/>
          <w:sz w:val="20"/>
        </w:rPr>
        <w:t xml:space="preserve"> </w:t>
      </w:r>
      <w:r>
        <w:rPr>
          <w:sz w:val="20"/>
        </w:rPr>
        <w:t>o</w:t>
      </w:r>
      <w:r>
        <w:rPr>
          <w:spacing w:val="-3"/>
          <w:sz w:val="20"/>
        </w:rPr>
        <w:t xml:space="preserve"> </w:t>
      </w:r>
      <w:r>
        <w:rPr>
          <w:sz w:val="20"/>
        </w:rPr>
        <w:t>empresa</w:t>
      </w:r>
      <w:r>
        <w:rPr>
          <w:spacing w:val="-3"/>
          <w:sz w:val="20"/>
        </w:rPr>
        <w:t xml:space="preserve"> </w:t>
      </w:r>
      <w:r>
        <w:rPr>
          <w:sz w:val="20"/>
        </w:rPr>
        <w:t>auditora</w:t>
      </w:r>
      <w:r>
        <w:rPr>
          <w:spacing w:val="-3"/>
          <w:sz w:val="20"/>
        </w:rPr>
        <w:t xml:space="preserve"> </w:t>
      </w:r>
      <w:r>
        <w:rPr>
          <w:sz w:val="20"/>
        </w:rPr>
        <w:t>independiente la tarea de fiscalización, revisión y control del SIEG.</w:t>
      </w:r>
    </w:p>
    <w:p w:rsidR="0092635B" w:rsidRDefault="00000000">
      <w:pPr>
        <w:pStyle w:val="Prrafodelista"/>
        <w:numPr>
          <w:ilvl w:val="0"/>
          <w:numId w:val="41"/>
        </w:numPr>
        <w:tabs>
          <w:tab w:val="left" w:pos="1680"/>
        </w:tabs>
        <w:spacing w:before="5" w:line="249" w:lineRule="auto"/>
        <w:ind w:firstLine="340"/>
        <w:jc w:val="both"/>
        <w:rPr>
          <w:sz w:val="20"/>
        </w:rPr>
      </w:pPr>
      <w:r>
        <w:rPr>
          <w:sz w:val="20"/>
        </w:rPr>
        <w:t>El Gobierno, a propuesta del Ministerio de la Presidencia y para las Administraciones Territoriales, informará a las Cortes Generales, y dictará las disposiciones necesarias para el desarrollo y ejecución de esta disposición y, en particular, para establecer las obligaciones asociadas a la función de servicio público y las modalidades para el cálculo de la correspondiente compensación.</w:t>
      </w:r>
    </w:p>
    <w:p w:rsidR="0092635B" w:rsidRDefault="0092635B">
      <w:pPr>
        <w:pStyle w:val="Textoindependiente"/>
        <w:spacing w:before="1"/>
        <w:ind w:left="0" w:firstLine="0"/>
        <w:jc w:val="left"/>
      </w:pPr>
    </w:p>
    <w:p w:rsidR="0092635B" w:rsidRDefault="00000000">
      <w:pPr>
        <w:spacing w:line="249" w:lineRule="auto"/>
        <w:ind w:left="1106" w:right="1104" w:hanging="1"/>
        <w:jc w:val="both"/>
        <w:rPr>
          <w:rFonts w:ascii="Arial" w:hAnsi="Arial"/>
          <w:i/>
          <w:sz w:val="20"/>
        </w:rPr>
      </w:pPr>
      <w:bookmarkStart w:id="641" w:name="Disposición_adicional_quincuagésima_cuar"/>
      <w:bookmarkEnd w:id="641"/>
      <w:r>
        <w:rPr>
          <w:rFonts w:ascii="Arial" w:hAnsi="Arial"/>
          <w:b/>
          <w:sz w:val="20"/>
        </w:rPr>
        <w:t>Disposición adicional quincuagésima cuarta.</w:t>
      </w:r>
      <w:r>
        <w:rPr>
          <w:rFonts w:ascii="Arial" w:hAnsi="Arial"/>
          <w:b/>
          <w:spacing w:val="40"/>
          <w:sz w:val="20"/>
        </w:rPr>
        <w:t xml:space="preserve"> </w:t>
      </w:r>
      <w:r>
        <w:rPr>
          <w:rFonts w:ascii="Arial" w:hAnsi="Arial"/>
          <w:i/>
          <w:sz w:val="20"/>
        </w:rPr>
        <w:t xml:space="preserve">Régimen aplicable a los contratos celebrados por los agentes públicos del Sistema Español de Ciencia, Tecnología e </w:t>
      </w:r>
      <w:r>
        <w:rPr>
          <w:rFonts w:ascii="Arial" w:hAnsi="Arial"/>
          <w:i/>
          <w:spacing w:val="-2"/>
          <w:sz w:val="20"/>
        </w:rPr>
        <w:t>Innovación.</w:t>
      </w:r>
    </w:p>
    <w:p w:rsidR="0092635B" w:rsidRDefault="00000000">
      <w:pPr>
        <w:pStyle w:val="Textoindependiente"/>
        <w:spacing w:before="116" w:line="249" w:lineRule="auto"/>
        <w:ind w:right="1103"/>
      </w:pPr>
      <w:r>
        <w:t>Atendiendo a la singular naturaleza de su actividad, como excepción al límite previsto en el artículo 118 de esta Ley, tendrán en todo caso la consideración de contratos menores los contratos de suministro o de servicios de valor estimado inferior o igual a 50.000 euros que se celebren por los agentes públicos del Sistema Español de Ciencia, Tecnología e Innovación, siempre que no vayan destinados a servicios generales y de infraestructura del órgano de contratación.</w:t>
      </w:r>
    </w:p>
    <w:p w:rsidR="0092635B" w:rsidRDefault="00000000">
      <w:pPr>
        <w:pStyle w:val="Textoindependiente"/>
        <w:spacing w:before="5" w:line="249" w:lineRule="auto"/>
        <w:ind w:right="1102"/>
      </w:pPr>
      <w:r>
        <w:t>A estos efectos, se entienden comprendidos entre los agentes públicos del Sistema Español</w:t>
      </w:r>
      <w:r>
        <w:rPr>
          <w:spacing w:val="58"/>
        </w:rPr>
        <w:t xml:space="preserve"> </w:t>
      </w:r>
      <w:r>
        <w:t>de</w:t>
      </w:r>
      <w:r>
        <w:rPr>
          <w:spacing w:val="61"/>
        </w:rPr>
        <w:t xml:space="preserve"> </w:t>
      </w:r>
      <w:r>
        <w:t>Ciencia,</w:t>
      </w:r>
      <w:r>
        <w:rPr>
          <w:spacing w:val="60"/>
        </w:rPr>
        <w:t xml:space="preserve"> </w:t>
      </w:r>
      <w:r>
        <w:t>Tecnología</w:t>
      </w:r>
      <w:r>
        <w:rPr>
          <w:spacing w:val="61"/>
        </w:rPr>
        <w:t xml:space="preserve"> </w:t>
      </w:r>
      <w:r>
        <w:t>e</w:t>
      </w:r>
      <w:r>
        <w:rPr>
          <w:spacing w:val="60"/>
        </w:rPr>
        <w:t xml:space="preserve"> </w:t>
      </w:r>
      <w:r>
        <w:t>Innovación,</w:t>
      </w:r>
      <w:r>
        <w:rPr>
          <w:spacing w:val="61"/>
        </w:rPr>
        <w:t xml:space="preserve"> </w:t>
      </w:r>
      <w:r>
        <w:t>en</w:t>
      </w:r>
      <w:r>
        <w:rPr>
          <w:spacing w:val="61"/>
        </w:rPr>
        <w:t xml:space="preserve"> </w:t>
      </w:r>
      <w:r>
        <w:t>los</w:t>
      </w:r>
      <w:r>
        <w:rPr>
          <w:spacing w:val="60"/>
        </w:rPr>
        <w:t xml:space="preserve"> </w:t>
      </w:r>
      <w:r>
        <w:t>términos</w:t>
      </w:r>
      <w:r>
        <w:rPr>
          <w:spacing w:val="61"/>
        </w:rPr>
        <w:t xml:space="preserve"> </w:t>
      </w:r>
      <w:r>
        <w:t>establecidos</w:t>
      </w:r>
      <w:r>
        <w:rPr>
          <w:spacing w:val="60"/>
        </w:rPr>
        <w:t xml:space="preserve"> </w:t>
      </w:r>
      <w:r>
        <w:t>en</w:t>
      </w:r>
      <w:r>
        <w:rPr>
          <w:spacing w:val="61"/>
        </w:rPr>
        <w:t xml:space="preserve"> </w:t>
      </w:r>
      <w:r>
        <w:t>la</w:t>
      </w:r>
      <w:r>
        <w:rPr>
          <w:spacing w:val="61"/>
        </w:rPr>
        <w:t xml:space="preserve"> </w:t>
      </w:r>
      <w:r>
        <w:rPr>
          <w:spacing w:val="-5"/>
        </w:rPr>
        <w:t>Ley</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2" w:firstLine="0"/>
      </w:pPr>
      <w:r>
        <w:t>14/2011, de 1 de junio, de la Ciencia, la Tecnología y la Innovación, las Universidades públicas, los organismos públicos de investigación, fundaciones, consorcios y demás</w:t>
      </w:r>
      <w:r>
        <w:rPr>
          <w:spacing w:val="40"/>
        </w:rPr>
        <w:t xml:space="preserve"> </w:t>
      </w:r>
      <w:r>
        <w:t>agentes de ejecución de la Administración General del Estado, los organismos y entidades de investigación similares a los anteriores dependientes de otras Administraciones Públicas, las Fundaciones de Investigación Biomédica, y los centros, instituciones y consorcios del Sistema Nacional de Salud.</w:t>
      </w:r>
    </w:p>
    <w:p w:rsidR="0092635B" w:rsidRDefault="00000000">
      <w:pPr>
        <w:pStyle w:val="Textoindependiente"/>
        <w:spacing w:before="5" w:line="249" w:lineRule="auto"/>
        <w:ind w:right="1105"/>
      </w:pPr>
      <w:r>
        <w:t>En los contratos menores que se celebren por los agentes públicos del Sistema Español de Ciencia, Tecnología e Innovación, la tramitación del expediente exigirá la emisión de un informe del órgano de contratación justificando de manera motivada la necesidad del</w:t>
      </w:r>
      <w:r>
        <w:rPr>
          <w:spacing w:val="40"/>
        </w:rPr>
        <w:t xml:space="preserve"> </w:t>
      </w:r>
      <w:r>
        <w:t>contrato y que no se está alterando su objeto con el fin de evitar la aplicación de los</w:t>
      </w:r>
      <w:r>
        <w:rPr>
          <w:spacing w:val="40"/>
        </w:rPr>
        <w:t xml:space="preserve"> </w:t>
      </w:r>
      <w:r>
        <w:t>umbrales aplicables a los mismos.</w:t>
      </w:r>
    </w:p>
    <w:p w:rsidR="0092635B" w:rsidRDefault="00000000">
      <w:pPr>
        <w:pStyle w:val="Textoindependiente"/>
        <w:spacing w:before="4" w:line="249" w:lineRule="auto"/>
        <w:ind w:right="1105"/>
      </w:pPr>
      <w:r>
        <w:t>Lo</w:t>
      </w:r>
      <w:r>
        <w:rPr>
          <w:spacing w:val="-2"/>
        </w:rPr>
        <w:t xml:space="preserve"> </w:t>
      </w:r>
      <w:r>
        <w:t>dispuesto</w:t>
      </w:r>
      <w:r>
        <w:rPr>
          <w:spacing w:val="-2"/>
        </w:rPr>
        <w:t xml:space="preserve"> </w:t>
      </w:r>
      <w:r>
        <w:t>en</w:t>
      </w:r>
      <w:r>
        <w:rPr>
          <w:spacing w:val="-2"/>
        </w:rPr>
        <w:t xml:space="preserve"> </w:t>
      </w:r>
      <w:r>
        <w:t>el</w:t>
      </w:r>
      <w:r>
        <w:rPr>
          <w:spacing w:val="-2"/>
        </w:rPr>
        <w:t xml:space="preserve"> </w:t>
      </w:r>
      <w:r>
        <w:t>párrafo</w:t>
      </w:r>
      <w:r>
        <w:rPr>
          <w:spacing w:val="-2"/>
        </w:rPr>
        <w:t xml:space="preserve"> </w:t>
      </w:r>
      <w:r>
        <w:t>anterior</w:t>
      </w:r>
      <w:r>
        <w:rPr>
          <w:spacing w:val="-2"/>
        </w:rPr>
        <w:t xml:space="preserve"> </w:t>
      </w:r>
      <w:r>
        <w:t>no</w:t>
      </w:r>
      <w:r>
        <w:rPr>
          <w:spacing w:val="-2"/>
        </w:rPr>
        <w:t xml:space="preserve"> </w:t>
      </w:r>
      <w:r>
        <w:t>será</w:t>
      </w:r>
      <w:r>
        <w:rPr>
          <w:spacing w:val="-2"/>
        </w:rPr>
        <w:t xml:space="preserve"> </w:t>
      </w:r>
      <w:r>
        <w:t>de</w:t>
      </w:r>
      <w:r>
        <w:rPr>
          <w:spacing w:val="-2"/>
        </w:rPr>
        <w:t xml:space="preserve"> </w:t>
      </w:r>
      <w:r>
        <w:t>aplicación</w:t>
      </w:r>
      <w:r>
        <w:rPr>
          <w:spacing w:val="-2"/>
        </w:rPr>
        <w:t xml:space="preserve"> </w:t>
      </w:r>
      <w:r>
        <w:t>en</w:t>
      </w:r>
      <w:r>
        <w:rPr>
          <w:spacing w:val="-2"/>
        </w:rPr>
        <w:t xml:space="preserve"> </w:t>
      </w:r>
      <w:r>
        <w:t>aquellos</w:t>
      </w:r>
      <w:r>
        <w:rPr>
          <w:spacing w:val="-2"/>
        </w:rPr>
        <w:t xml:space="preserve"> </w:t>
      </w:r>
      <w:r>
        <w:t>contratos</w:t>
      </w:r>
      <w:r>
        <w:rPr>
          <w:spacing w:val="-2"/>
        </w:rPr>
        <w:t xml:space="preserve"> </w:t>
      </w:r>
      <w:r>
        <w:t>cuyo</w:t>
      </w:r>
      <w:r>
        <w:rPr>
          <w:spacing w:val="-2"/>
        </w:rPr>
        <w:t xml:space="preserve"> </w:t>
      </w:r>
      <w:r>
        <w:t>pago se verifique a través del sistema de anticipos de caja fija u otro similar para realizar pagos menores, siempre y cuando el valor estimado del contrato no exceda de 5.000 euros.</w:t>
      </w:r>
    </w:p>
    <w:p w:rsidR="0092635B" w:rsidRDefault="00000000">
      <w:pPr>
        <w:spacing w:before="229" w:line="249" w:lineRule="auto"/>
        <w:ind w:left="1106" w:right="1104" w:hanging="1"/>
        <w:jc w:val="both"/>
        <w:rPr>
          <w:rFonts w:ascii="Arial" w:hAnsi="Arial"/>
          <w:i/>
          <w:sz w:val="20"/>
        </w:rPr>
      </w:pPr>
      <w:bookmarkStart w:id="642" w:name="Disposición_adicional_quincuagésima_quin"/>
      <w:bookmarkEnd w:id="642"/>
      <w:r>
        <w:rPr>
          <w:rFonts w:ascii="Arial" w:hAnsi="Arial"/>
          <w:b/>
          <w:sz w:val="20"/>
        </w:rPr>
        <w:t>Disposición adicional quincuagésima quinta.</w:t>
      </w:r>
      <w:r>
        <w:rPr>
          <w:rFonts w:ascii="Arial" w:hAnsi="Arial"/>
          <w:b/>
          <w:spacing w:val="40"/>
          <w:sz w:val="20"/>
        </w:rPr>
        <w:t xml:space="preserve"> </w:t>
      </w:r>
      <w:r>
        <w:rPr>
          <w:rFonts w:ascii="Arial" w:hAnsi="Arial"/>
          <w:i/>
          <w:sz w:val="20"/>
        </w:rPr>
        <w:t>Régimen jurídico de ‘‘Hulleras del Norte S.A., S.M.E.’’ (HUNOSA) y sus filiales, como medios propios y servicios técnicos.</w:t>
      </w:r>
    </w:p>
    <w:p w:rsidR="0092635B" w:rsidRDefault="00000000">
      <w:pPr>
        <w:pStyle w:val="Prrafodelista"/>
        <w:numPr>
          <w:ilvl w:val="0"/>
          <w:numId w:val="40"/>
        </w:numPr>
        <w:tabs>
          <w:tab w:val="left" w:pos="1676"/>
        </w:tabs>
        <w:spacing w:before="115" w:line="249" w:lineRule="auto"/>
        <w:ind w:right="1102" w:firstLine="340"/>
        <w:jc w:val="both"/>
        <w:rPr>
          <w:sz w:val="20"/>
        </w:rPr>
      </w:pPr>
      <w:r>
        <w:rPr>
          <w:sz w:val="20"/>
        </w:rPr>
        <w:t>La empresa pública estatal ‘‘Hulleras del Norte S. A., S.M.E.’’ (HUNOSA) y sus filiales podrán tener la consideración de medios propios personificados y servicios técnicos de la Administración General del Estado, de las entidades del sector público estatal que tengan la condición de poder adjudicador, del Principado de Asturias y de las demás Comunidades Autónomas siempre que se cumplan los requisitos establecidos en el punto 2.º de la letra d) del apartado 2 del artículo 32 de la Ley 9/2017, de 8 de noviembre, de Contratos del Sector Público, y en las letras a) y b) del apartado 4 del citado artículo, y estarán obligadas a realizar, con carácter exclusivo, los trabajos que estos les encomienden en las materias señaladas en el apartado 3 de la presente disposición adicional, sin perjuicio de la aplicación en su caso de lo dispuesto en el apartado 5 de dicho precepto. Asimismo, HUNOSA y sus filiales podrán tener la consideración de medios propios personificados y servicios técnicos de las entidades pertenecientes al sector público que no tengan la consideración de poder adjudicador y sean dependientes de algunas de las Administraciones citadas en el párrafo anterior,</w:t>
      </w:r>
      <w:r>
        <w:rPr>
          <w:spacing w:val="-2"/>
          <w:sz w:val="20"/>
        </w:rPr>
        <w:t xml:space="preserve"> </w:t>
      </w:r>
      <w:r>
        <w:rPr>
          <w:sz w:val="20"/>
        </w:rPr>
        <w:t>pudiendo</w:t>
      </w:r>
      <w:r>
        <w:rPr>
          <w:spacing w:val="-2"/>
          <w:sz w:val="20"/>
        </w:rPr>
        <w:t xml:space="preserve"> </w:t>
      </w:r>
      <w:r>
        <w:rPr>
          <w:sz w:val="20"/>
        </w:rPr>
        <w:t>recibir</w:t>
      </w:r>
      <w:r>
        <w:rPr>
          <w:spacing w:val="-2"/>
          <w:sz w:val="20"/>
        </w:rPr>
        <w:t xml:space="preserve"> </w:t>
      </w:r>
      <w:r>
        <w:rPr>
          <w:sz w:val="20"/>
        </w:rPr>
        <w:t>encargos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mismas</w:t>
      </w:r>
      <w:r>
        <w:rPr>
          <w:spacing w:val="-2"/>
          <w:sz w:val="20"/>
        </w:rPr>
        <w:t xml:space="preserve"> </w:t>
      </w:r>
      <w:r>
        <w:rPr>
          <w:sz w:val="20"/>
        </w:rPr>
        <w:t>siempre</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cumplan</w:t>
      </w:r>
      <w:r>
        <w:rPr>
          <w:spacing w:val="-2"/>
          <w:sz w:val="20"/>
        </w:rPr>
        <w:t xml:space="preserve"> </w:t>
      </w:r>
      <w:r>
        <w:rPr>
          <w:sz w:val="20"/>
        </w:rPr>
        <w:t>los</w:t>
      </w:r>
      <w:r>
        <w:rPr>
          <w:spacing w:val="-2"/>
          <w:sz w:val="20"/>
        </w:rPr>
        <w:t xml:space="preserve"> </w:t>
      </w:r>
      <w:r>
        <w:rPr>
          <w:sz w:val="20"/>
        </w:rPr>
        <w:t>requisitos</w:t>
      </w:r>
      <w:r>
        <w:rPr>
          <w:spacing w:val="-2"/>
          <w:sz w:val="20"/>
        </w:rPr>
        <w:t xml:space="preserve"> </w:t>
      </w:r>
      <w:r>
        <w:rPr>
          <w:sz w:val="20"/>
        </w:rPr>
        <w:t>que establece el artículo 33 de la Ley 9/2017, de 8 de noviembre.</w:t>
      </w:r>
    </w:p>
    <w:p w:rsidR="0092635B" w:rsidRDefault="00000000">
      <w:pPr>
        <w:pStyle w:val="Prrafodelista"/>
        <w:numPr>
          <w:ilvl w:val="0"/>
          <w:numId w:val="40"/>
        </w:numPr>
        <w:tabs>
          <w:tab w:val="left" w:pos="1676"/>
        </w:tabs>
        <w:spacing w:before="12" w:line="249" w:lineRule="auto"/>
        <w:ind w:firstLine="340"/>
        <w:jc w:val="both"/>
        <w:rPr>
          <w:sz w:val="20"/>
        </w:rPr>
      </w:pPr>
      <w:r>
        <w:rPr>
          <w:sz w:val="20"/>
        </w:rPr>
        <w:t>El capital social de HUNOSA y de sus filiales será íntegramente de titularidad pública. Las</w:t>
      </w:r>
      <w:r>
        <w:rPr>
          <w:spacing w:val="-3"/>
          <w:sz w:val="20"/>
        </w:rPr>
        <w:t xml:space="preserve"> </w:t>
      </w:r>
      <w:r>
        <w:rPr>
          <w:sz w:val="20"/>
        </w:rPr>
        <w:t>entidades</w:t>
      </w:r>
      <w:r>
        <w:rPr>
          <w:spacing w:val="-3"/>
          <w:sz w:val="20"/>
        </w:rPr>
        <w:t xml:space="preserve"> </w:t>
      </w:r>
      <w:r>
        <w:rPr>
          <w:sz w:val="20"/>
        </w:rPr>
        <w:t>del</w:t>
      </w:r>
      <w:r>
        <w:rPr>
          <w:spacing w:val="-3"/>
          <w:sz w:val="20"/>
        </w:rPr>
        <w:t xml:space="preserve"> </w:t>
      </w:r>
      <w:r>
        <w:rPr>
          <w:sz w:val="20"/>
        </w:rPr>
        <w:t>sector</w:t>
      </w:r>
      <w:r>
        <w:rPr>
          <w:spacing w:val="-3"/>
          <w:sz w:val="20"/>
        </w:rPr>
        <w:t xml:space="preserve"> </w:t>
      </w:r>
      <w:r>
        <w:rPr>
          <w:sz w:val="20"/>
        </w:rPr>
        <w:t>público</w:t>
      </w:r>
      <w:r>
        <w:rPr>
          <w:spacing w:val="-3"/>
          <w:sz w:val="20"/>
        </w:rPr>
        <w:t xml:space="preserve"> </w:t>
      </w:r>
      <w:r>
        <w:rPr>
          <w:sz w:val="20"/>
        </w:rPr>
        <w:t>estatal</w:t>
      </w:r>
      <w:r>
        <w:rPr>
          <w:spacing w:val="-3"/>
          <w:sz w:val="20"/>
        </w:rPr>
        <w:t xml:space="preserve"> </w:t>
      </w:r>
      <w:r>
        <w:rPr>
          <w:sz w:val="20"/>
        </w:rPr>
        <w:t>y</w:t>
      </w:r>
      <w:r>
        <w:rPr>
          <w:spacing w:val="-3"/>
          <w:sz w:val="20"/>
        </w:rPr>
        <w:t xml:space="preserve"> </w:t>
      </w:r>
      <w:r>
        <w:rPr>
          <w:sz w:val="20"/>
        </w:rPr>
        <w:t>las</w:t>
      </w:r>
      <w:r>
        <w:rPr>
          <w:spacing w:val="-3"/>
          <w:sz w:val="20"/>
        </w:rPr>
        <w:t xml:space="preserve"> </w:t>
      </w:r>
      <w:r>
        <w:rPr>
          <w:sz w:val="20"/>
        </w:rPr>
        <w:t>Comunidades</w:t>
      </w:r>
      <w:r>
        <w:rPr>
          <w:spacing w:val="-3"/>
          <w:sz w:val="20"/>
        </w:rPr>
        <w:t xml:space="preserve"> </w:t>
      </w:r>
      <w:r>
        <w:rPr>
          <w:sz w:val="20"/>
        </w:rPr>
        <w:t>Autónomas</w:t>
      </w:r>
      <w:r>
        <w:rPr>
          <w:spacing w:val="-3"/>
          <w:sz w:val="20"/>
        </w:rPr>
        <w:t xml:space="preserve"> </w:t>
      </w:r>
      <w:r>
        <w:rPr>
          <w:sz w:val="20"/>
        </w:rPr>
        <w:t>deberán</w:t>
      </w:r>
      <w:r>
        <w:rPr>
          <w:spacing w:val="-3"/>
          <w:sz w:val="20"/>
        </w:rPr>
        <w:t xml:space="preserve"> </w:t>
      </w:r>
      <w:r>
        <w:rPr>
          <w:sz w:val="20"/>
        </w:rPr>
        <w:t>participar</w:t>
      </w:r>
      <w:r>
        <w:rPr>
          <w:spacing w:val="-3"/>
          <w:sz w:val="20"/>
        </w:rPr>
        <w:t xml:space="preserve"> </w:t>
      </w:r>
      <w:r>
        <w:rPr>
          <w:sz w:val="20"/>
        </w:rPr>
        <w:t>en el capital de HUNOSA mediante la adquisición de acciones, y solo podrán enajenar las acciones que adquieran a favor de la Administración General del Estado o de organismos y entidades vinculadas o dependientes de aquella.</w:t>
      </w:r>
    </w:p>
    <w:p w:rsidR="0092635B" w:rsidRDefault="00000000">
      <w:pPr>
        <w:pStyle w:val="Prrafodelista"/>
        <w:numPr>
          <w:ilvl w:val="0"/>
          <w:numId w:val="40"/>
        </w:numPr>
        <w:tabs>
          <w:tab w:val="left" w:pos="1673"/>
        </w:tabs>
        <w:spacing w:before="4" w:line="249" w:lineRule="auto"/>
        <w:ind w:firstLine="340"/>
        <w:jc w:val="both"/>
        <w:rPr>
          <w:sz w:val="20"/>
        </w:rPr>
      </w:pPr>
      <w:r>
        <w:rPr>
          <w:sz w:val="20"/>
        </w:rPr>
        <w:t>HUNOSA y sus filiales podrán prestar, por encargo de las entidades del sector público de las que sean medio propio o servicio técnico, las siguientes actividades:</w:t>
      </w:r>
    </w:p>
    <w:p w:rsidR="0092635B" w:rsidRDefault="00000000">
      <w:pPr>
        <w:pStyle w:val="Prrafodelista"/>
        <w:numPr>
          <w:ilvl w:val="1"/>
          <w:numId w:val="40"/>
        </w:numPr>
        <w:tabs>
          <w:tab w:val="left" w:pos="1694"/>
        </w:tabs>
        <w:spacing w:before="122" w:line="249" w:lineRule="auto"/>
        <w:ind w:right="1104" w:firstLine="340"/>
        <w:jc w:val="both"/>
        <w:rPr>
          <w:sz w:val="20"/>
        </w:rPr>
      </w:pPr>
      <w:r>
        <w:rPr>
          <w:sz w:val="20"/>
        </w:rPr>
        <w:t>La realización de todo tipo de proyectos, obras, trabajos y prestación de servicios de desarrollo de actuaciones de restauración, incluyendo la restauración forestal o silvícola y el saneamiento atmosférico, de zonas degradadas y espacios afectados a causa de la</w:t>
      </w:r>
      <w:r>
        <w:rPr>
          <w:spacing w:val="80"/>
          <w:sz w:val="20"/>
        </w:rPr>
        <w:t xml:space="preserve"> </w:t>
      </w:r>
      <w:r>
        <w:rPr>
          <w:sz w:val="20"/>
        </w:rPr>
        <w:t>actividad minera o como consecuencia del cierre ordenado de minas subterráneas o de la restauración de explotaciones a cielo abierto.</w:t>
      </w:r>
    </w:p>
    <w:p w:rsidR="0092635B" w:rsidRDefault="00000000">
      <w:pPr>
        <w:pStyle w:val="Prrafodelista"/>
        <w:numPr>
          <w:ilvl w:val="1"/>
          <w:numId w:val="40"/>
        </w:numPr>
        <w:tabs>
          <w:tab w:val="left" w:pos="1685"/>
        </w:tabs>
        <w:spacing w:before="4" w:line="249" w:lineRule="auto"/>
        <w:ind w:firstLine="340"/>
        <w:jc w:val="both"/>
        <w:rPr>
          <w:sz w:val="20"/>
        </w:rPr>
      </w:pPr>
      <w:r>
        <w:rPr>
          <w:sz w:val="20"/>
        </w:rPr>
        <w:t>La realización de proyectos, obras o servicios orientados a la creación o rehabilitación de dotaciones o infraestructuras que permitan el desarrollo alternativo y medioambientalmente sostenible de las zonas recuperadas, así como los que resulten necesarios para el mejor uso y gestión de los recursos naturales afectados por las actividades mineras o para potenciar la reactivación económica y el desarrollo alternativo de las zonas afectadas por el ajuste de la minería del carbón.</w:t>
      </w:r>
    </w:p>
    <w:p w:rsidR="0092635B" w:rsidRDefault="00000000">
      <w:pPr>
        <w:pStyle w:val="Prrafodelista"/>
        <w:numPr>
          <w:ilvl w:val="1"/>
          <w:numId w:val="40"/>
        </w:numPr>
        <w:tabs>
          <w:tab w:val="left" w:pos="1775"/>
        </w:tabs>
        <w:spacing w:before="5" w:line="249" w:lineRule="auto"/>
        <w:ind w:right="1101" w:firstLine="340"/>
        <w:jc w:val="both"/>
        <w:rPr>
          <w:sz w:val="20"/>
        </w:rPr>
      </w:pPr>
      <w:r>
        <w:rPr>
          <w:sz w:val="20"/>
        </w:rPr>
        <w:t>La recogida, transporte, eliminación, almacenamiento, transformación, mejora, revalorización y gestión de escombreras, productos, subproductos y residuos provenientes del cierre de las minas o de las actividades de regeneración, incluyendo la mejora de las instalaciones de canalización, depuración y regeneración de aguas residuales.</w:t>
      </w:r>
    </w:p>
    <w:p w:rsidR="0092635B" w:rsidRDefault="00000000">
      <w:pPr>
        <w:pStyle w:val="Prrafodelista"/>
        <w:numPr>
          <w:ilvl w:val="1"/>
          <w:numId w:val="40"/>
        </w:numPr>
        <w:tabs>
          <w:tab w:val="left" w:pos="1694"/>
        </w:tabs>
        <w:spacing w:before="3" w:line="249" w:lineRule="auto"/>
        <w:ind w:firstLine="340"/>
        <w:jc w:val="both"/>
        <w:rPr>
          <w:sz w:val="20"/>
        </w:rPr>
      </w:pPr>
      <w:r>
        <w:rPr>
          <w:sz w:val="20"/>
        </w:rPr>
        <w:t>La promoción, investigación, desarrollo, innovación y adaptación de nuevas técnicas, equipos, sistemas o procesos destinados a la regeneración o recuperación de las zonas degradadas por la minería del carbón.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40"/>
        </w:numPr>
        <w:tabs>
          <w:tab w:val="left" w:pos="1675"/>
        </w:tabs>
        <w:spacing w:before="1" w:line="249" w:lineRule="auto"/>
        <w:ind w:right="1104" w:firstLine="340"/>
        <w:jc w:val="both"/>
        <w:rPr>
          <w:sz w:val="20"/>
        </w:rPr>
      </w:pPr>
      <w:r>
        <w:rPr>
          <w:sz w:val="20"/>
        </w:rPr>
        <w:t>En lo no previsto en los apartados anteriores se estará a los términos previstos en los artículos 32 y 33 de la Ley 9/2007, de 8 de noviembre.</w:t>
      </w:r>
    </w:p>
    <w:p w:rsidR="0092635B" w:rsidRDefault="00000000">
      <w:pPr>
        <w:spacing w:before="228" w:line="249" w:lineRule="auto"/>
        <w:ind w:left="1106" w:right="1104" w:hanging="1"/>
        <w:jc w:val="both"/>
        <w:rPr>
          <w:rFonts w:ascii="Arial" w:hAnsi="Arial"/>
          <w:i/>
          <w:sz w:val="20"/>
        </w:rPr>
      </w:pPr>
      <w:bookmarkStart w:id="643" w:name="Disposición_adicional_quincuagésima_sext"/>
      <w:bookmarkEnd w:id="643"/>
      <w:r>
        <w:rPr>
          <w:rFonts w:ascii="Arial" w:hAnsi="Arial"/>
          <w:b/>
          <w:sz w:val="20"/>
        </w:rPr>
        <w:t>Disposición adicional quincuagésima sexta.</w:t>
      </w:r>
      <w:r>
        <w:rPr>
          <w:rFonts w:ascii="Arial" w:hAnsi="Arial"/>
          <w:b/>
          <w:spacing w:val="40"/>
          <w:sz w:val="20"/>
        </w:rPr>
        <w:t xml:space="preserve"> </w:t>
      </w:r>
      <w:r>
        <w:rPr>
          <w:rFonts w:ascii="Arial" w:hAnsi="Arial"/>
          <w:i/>
          <w:sz w:val="20"/>
        </w:rPr>
        <w:t>Régimen jurídico de la Fábrica Nacional de Moneda y Timbre-Real Fábrica de la Moneda, como medio propio y servicio técnico.</w:t>
      </w:r>
    </w:p>
    <w:p w:rsidR="0092635B" w:rsidRDefault="00000000">
      <w:pPr>
        <w:pStyle w:val="Textoindependiente"/>
        <w:spacing w:before="115" w:line="249" w:lineRule="auto"/>
        <w:ind w:right="1103"/>
      </w:pPr>
      <w:r>
        <w:t>La</w:t>
      </w:r>
      <w:r>
        <w:rPr>
          <w:spacing w:val="-3"/>
        </w:rPr>
        <w:t xml:space="preserve"> </w:t>
      </w:r>
      <w:r>
        <w:t>FNMT-RCM</w:t>
      </w:r>
      <w:r>
        <w:rPr>
          <w:spacing w:val="-3"/>
        </w:rPr>
        <w:t xml:space="preserve"> </w:t>
      </w:r>
      <w:r>
        <w:t>será</w:t>
      </w:r>
      <w:r>
        <w:rPr>
          <w:spacing w:val="-3"/>
        </w:rPr>
        <w:t xml:space="preserve"> </w:t>
      </w:r>
      <w:r>
        <w:t>medio</w:t>
      </w:r>
      <w:r>
        <w:rPr>
          <w:spacing w:val="-3"/>
        </w:rPr>
        <w:t xml:space="preserve"> </w:t>
      </w:r>
      <w:r>
        <w:t>propio</w:t>
      </w:r>
      <w:r>
        <w:rPr>
          <w:spacing w:val="-3"/>
        </w:rPr>
        <w:t xml:space="preserve"> </w:t>
      </w:r>
      <w:r>
        <w:t>personificado</w:t>
      </w:r>
      <w:r>
        <w:rPr>
          <w:spacing w:val="-3"/>
        </w:rPr>
        <w:t xml:space="preserve"> </w:t>
      </w:r>
      <w:r>
        <w:t>de</w:t>
      </w:r>
      <w:r>
        <w:rPr>
          <w:spacing w:val="-3"/>
        </w:rPr>
        <w:t xml:space="preserve"> </w:t>
      </w:r>
      <w:r>
        <w:t>la</w:t>
      </w:r>
      <w:r>
        <w:rPr>
          <w:spacing w:val="-3"/>
        </w:rPr>
        <w:t xml:space="preserve"> </w:t>
      </w:r>
      <w:r>
        <w:t>Administración</w:t>
      </w:r>
      <w:r>
        <w:rPr>
          <w:spacing w:val="-3"/>
        </w:rPr>
        <w:t xml:space="preserve"> </w:t>
      </w:r>
      <w:r>
        <w:t>General</w:t>
      </w:r>
      <w:r>
        <w:rPr>
          <w:spacing w:val="-3"/>
        </w:rPr>
        <w:t xml:space="preserve"> </w:t>
      </w:r>
      <w:r>
        <w:t>del</w:t>
      </w:r>
      <w:r>
        <w:rPr>
          <w:spacing w:val="-3"/>
        </w:rPr>
        <w:t xml:space="preserve"> </w:t>
      </w:r>
      <w:r>
        <w:t>Estado, de las Comunidades y Ciudades Autónomas y de las entidades locales, así como de los organismos, entes y entidades del sector público estatal, autonómico y local, sean de naturaleza jurídica pública o privada, vinculados o dependientes de aquellas, respecto de los que cumpla los requisitos previstos en los artículos 32 y 33 de la Ley 9/2017, de 8 de noviembre, de Contratos del Sector Público. Así mismo, ejecutará los correspondientes encargos de conformidad con lo dispuesto en la referida Ley, en la medida que cuente con los medios suficientes e idóneos para la realización de las prestaciones.</w:t>
      </w:r>
    </w:p>
    <w:p w:rsidR="0092635B" w:rsidRDefault="00000000">
      <w:pPr>
        <w:pStyle w:val="Textoindependiente"/>
        <w:spacing w:before="7" w:line="249" w:lineRule="auto"/>
        <w:ind w:right="1103"/>
      </w:pPr>
      <w:r>
        <w:t>Al menos dos vocales del Consejo de la FNMT-RCM serán representantes respectivamente de los sectores autonómico y local a los efectos del cumplimiento de los requisitos del artículo 32 de la Ley 9/2017, de 8 de noviembre y serán designados, a propuesta de los organismos, entes o entidades correspondientes a los sectores públicos mencionados, por el procedimiento establecido para el nombramiento del resto de vocales. La representación ostentada respectivamente por ambos vocales se hará en relación a los sectores autonómico y local en su conjunto y no de una Comunidad Autónoma o Entidad Local particular.</w:t>
      </w:r>
    </w:p>
    <w:p w:rsidR="0092635B" w:rsidRDefault="00000000">
      <w:pPr>
        <w:pStyle w:val="Textoindependiente"/>
        <w:spacing w:before="6" w:line="249" w:lineRule="auto"/>
        <w:ind w:right="1103"/>
      </w:pPr>
      <w:r>
        <w:t>Adicionalmente, la persona titular del Ministerio de Hacienda y Función Pública, en los supuestos y con el alcance subjetivo que determine, podrá realizarle encargos de forma centralizada a favor de aquellos entes, organismos y entidades para los que la FNMT-RCM sea medio propio conforme a las previsiones de la citada Ley 9/2017, de 8 de noviembre. Estos encargos se financiarán conforme a lo previsto en la disposición adicional undécima</w:t>
      </w:r>
      <w:r>
        <w:rPr>
          <w:spacing w:val="80"/>
        </w:rPr>
        <w:t xml:space="preserve"> </w:t>
      </w:r>
      <w:r>
        <w:t xml:space="preserve">de la Ley 36/2014, de 26 de diciembre, de Presupuestos Generales del Estado para 2015 y en la disposición adicional vigésimo tercera de la Ley 47/2003, de 26 de noviembre, General </w:t>
      </w:r>
      <w:r>
        <w:rPr>
          <w:spacing w:val="-2"/>
        </w:rPr>
        <w:t>Presupuestaria.</w:t>
      </w:r>
    </w:p>
    <w:p w:rsidR="0092635B" w:rsidRDefault="0092635B">
      <w:pPr>
        <w:pStyle w:val="Textoindependiente"/>
        <w:spacing w:before="3"/>
        <w:ind w:left="0" w:firstLine="0"/>
        <w:jc w:val="left"/>
      </w:pPr>
    </w:p>
    <w:p w:rsidR="0092635B" w:rsidRDefault="00000000">
      <w:pPr>
        <w:spacing w:before="1" w:line="249" w:lineRule="auto"/>
        <w:ind w:left="1106" w:right="1104"/>
        <w:jc w:val="both"/>
        <w:rPr>
          <w:rFonts w:ascii="Arial" w:hAnsi="Arial"/>
          <w:i/>
          <w:sz w:val="20"/>
        </w:rPr>
      </w:pPr>
      <w:bookmarkStart w:id="644" w:name="Disposición_adicional_quincuagésima_sépt"/>
      <w:bookmarkEnd w:id="644"/>
      <w:r>
        <w:rPr>
          <w:rFonts w:ascii="Arial" w:hAnsi="Arial"/>
          <w:b/>
          <w:sz w:val="20"/>
        </w:rPr>
        <w:t>Disposición</w:t>
      </w:r>
      <w:r>
        <w:rPr>
          <w:rFonts w:ascii="Arial" w:hAnsi="Arial"/>
          <w:b/>
          <w:spacing w:val="-1"/>
          <w:sz w:val="20"/>
        </w:rPr>
        <w:t xml:space="preserve"> </w:t>
      </w:r>
      <w:r>
        <w:rPr>
          <w:rFonts w:ascii="Arial" w:hAnsi="Arial"/>
          <w:b/>
          <w:sz w:val="20"/>
        </w:rPr>
        <w:t>adicional</w:t>
      </w:r>
      <w:r>
        <w:rPr>
          <w:rFonts w:ascii="Arial" w:hAnsi="Arial"/>
          <w:b/>
          <w:spacing w:val="-1"/>
          <w:sz w:val="20"/>
        </w:rPr>
        <w:t xml:space="preserve"> </w:t>
      </w:r>
      <w:r>
        <w:rPr>
          <w:rFonts w:ascii="Arial" w:hAnsi="Arial"/>
          <w:b/>
          <w:sz w:val="20"/>
        </w:rPr>
        <w:t>quincuagésima</w:t>
      </w:r>
      <w:r>
        <w:rPr>
          <w:rFonts w:ascii="Arial" w:hAnsi="Arial"/>
          <w:b/>
          <w:spacing w:val="-1"/>
          <w:sz w:val="20"/>
        </w:rPr>
        <w:t xml:space="preserve"> </w:t>
      </w:r>
      <w:r>
        <w:rPr>
          <w:rFonts w:ascii="Arial" w:hAnsi="Arial"/>
          <w:b/>
          <w:sz w:val="20"/>
        </w:rPr>
        <w:t>séptima.</w:t>
      </w:r>
      <w:r>
        <w:rPr>
          <w:rFonts w:ascii="Arial" w:hAnsi="Arial"/>
          <w:b/>
          <w:spacing w:val="40"/>
          <w:sz w:val="20"/>
        </w:rPr>
        <w:t xml:space="preserve"> </w:t>
      </w:r>
      <w:r>
        <w:rPr>
          <w:rFonts w:ascii="Arial" w:hAnsi="Arial"/>
          <w:i/>
          <w:sz w:val="20"/>
        </w:rPr>
        <w:t>Régimen</w:t>
      </w:r>
      <w:r>
        <w:rPr>
          <w:rFonts w:ascii="Arial" w:hAnsi="Arial"/>
          <w:i/>
          <w:spacing w:val="-1"/>
          <w:sz w:val="20"/>
        </w:rPr>
        <w:t xml:space="preserve"> </w:t>
      </w:r>
      <w:r>
        <w:rPr>
          <w:rFonts w:ascii="Arial" w:hAnsi="Arial"/>
          <w:i/>
          <w:sz w:val="20"/>
        </w:rPr>
        <w:t>jurídico</w:t>
      </w:r>
      <w:r>
        <w:rPr>
          <w:rFonts w:ascii="Arial" w:hAnsi="Arial"/>
          <w:i/>
          <w:spacing w:val="-1"/>
          <w:sz w:val="20"/>
        </w:rPr>
        <w:t xml:space="preserve"> </w:t>
      </w:r>
      <w:r>
        <w:rPr>
          <w:rFonts w:ascii="Arial" w:hAnsi="Arial"/>
          <w:i/>
          <w:sz w:val="20"/>
        </w:rPr>
        <w:t>aplicable</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contratos de</w:t>
      </w:r>
      <w:r>
        <w:rPr>
          <w:rFonts w:ascii="Arial" w:hAnsi="Arial"/>
          <w:i/>
          <w:spacing w:val="-2"/>
          <w:sz w:val="20"/>
        </w:rPr>
        <w:t xml:space="preserve"> </w:t>
      </w:r>
      <w:r>
        <w:rPr>
          <w:rFonts w:ascii="Arial" w:hAnsi="Arial"/>
          <w:i/>
          <w:sz w:val="20"/>
        </w:rPr>
        <w:t>concesión</w:t>
      </w:r>
      <w:r>
        <w:rPr>
          <w:rFonts w:ascii="Arial" w:hAnsi="Arial"/>
          <w:i/>
          <w:spacing w:val="-2"/>
          <w:sz w:val="20"/>
        </w:rPr>
        <w:t xml:space="preserve"> </w:t>
      </w:r>
      <w:r>
        <w:rPr>
          <w:rFonts w:ascii="Arial" w:hAnsi="Arial"/>
          <w:i/>
          <w:sz w:val="20"/>
        </w:rPr>
        <w:t>para</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promoción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vivienda</w:t>
      </w:r>
      <w:r>
        <w:rPr>
          <w:rFonts w:ascii="Arial" w:hAnsi="Arial"/>
          <w:i/>
          <w:spacing w:val="-2"/>
          <w:sz w:val="20"/>
        </w:rPr>
        <w:t xml:space="preserve"> </w:t>
      </w:r>
      <w:r>
        <w:rPr>
          <w:rFonts w:ascii="Arial" w:hAnsi="Arial"/>
          <w:i/>
          <w:sz w:val="20"/>
        </w:rPr>
        <w:t>social</w:t>
      </w:r>
      <w:r>
        <w:rPr>
          <w:rFonts w:ascii="Arial" w:hAnsi="Arial"/>
          <w:i/>
          <w:spacing w:val="-2"/>
          <w:sz w:val="20"/>
        </w:rPr>
        <w:t xml:space="preserve"> </w:t>
      </w:r>
      <w:r>
        <w:rPr>
          <w:rFonts w:ascii="Arial" w:hAnsi="Arial"/>
          <w:i/>
          <w:sz w:val="20"/>
        </w:rPr>
        <w:t>o</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precio</w:t>
      </w:r>
      <w:r>
        <w:rPr>
          <w:rFonts w:ascii="Arial" w:hAnsi="Arial"/>
          <w:i/>
          <w:spacing w:val="-2"/>
          <w:sz w:val="20"/>
        </w:rPr>
        <w:t xml:space="preserve"> </w:t>
      </w:r>
      <w:r>
        <w:rPr>
          <w:rFonts w:ascii="Arial" w:hAnsi="Arial"/>
          <w:i/>
          <w:sz w:val="20"/>
        </w:rPr>
        <w:t>asequible</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suelo</w:t>
      </w:r>
      <w:r>
        <w:rPr>
          <w:rFonts w:ascii="Arial" w:hAnsi="Arial"/>
          <w:i/>
          <w:spacing w:val="-2"/>
          <w:sz w:val="20"/>
        </w:rPr>
        <w:t xml:space="preserve"> </w:t>
      </w:r>
      <w:r>
        <w:rPr>
          <w:rFonts w:ascii="Arial" w:hAnsi="Arial"/>
          <w:i/>
          <w:sz w:val="20"/>
        </w:rPr>
        <w:t>o</w:t>
      </w:r>
      <w:r>
        <w:rPr>
          <w:rFonts w:ascii="Arial" w:hAnsi="Arial"/>
          <w:i/>
          <w:spacing w:val="-2"/>
          <w:sz w:val="20"/>
        </w:rPr>
        <w:t xml:space="preserve"> </w:t>
      </w:r>
      <w:r>
        <w:rPr>
          <w:rFonts w:ascii="Arial" w:hAnsi="Arial"/>
          <w:i/>
          <w:sz w:val="20"/>
        </w:rPr>
        <w:t>inmuebles de titularidad pública.</w:t>
      </w:r>
    </w:p>
    <w:p w:rsidR="0092635B" w:rsidRDefault="00000000">
      <w:pPr>
        <w:pStyle w:val="Ttulo2"/>
        <w:spacing w:before="115"/>
        <w:ind w:left="1446"/>
        <w:jc w:val="both"/>
      </w:pPr>
      <w:r>
        <w:t xml:space="preserve">(Sin </w:t>
      </w:r>
      <w:r>
        <w:rPr>
          <w:spacing w:val="-2"/>
        </w:rPr>
        <w:t>efecto)</w:t>
      </w:r>
    </w:p>
    <w:p w:rsidR="0092635B" w:rsidRDefault="0092635B">
      <w:pPr>
        <w:pStyle w:val="Textoindependiente"/>
        <w:spacing w:before="7"/>
        <w:ind w:left="0" w:firstLine="0"/>
        <w:jc w:val="left"/>
        <w:rPr>
          <w:rFonts w:ascii="Arial"/>
          <w:b/>
        </w:rPr>
      </w:pPr>
    </w:p>
    <w:p w:rsidR="0092635B" w:rsidRDefault="00000000">
      <w:pPr>
        <w:spacing w:line="249" w:lineRule="auto"/>
        <w:ind w:left="1106" w:right="1104"/>
        <w:jc w:val="both"/>
        <w:rPr>
          <w:rFonts w:ascii="Arial" w:hAnsi="Arial"/>
          <w:i/>
          <w:sz w:val="20"/>
        </w:rPr>
      </w:pPr>
      <w:bookmarkStart w:id="645" w:name="[Disposiciones_transitorias]"/>
      <w:bookmarkStart w:id="646" w:name="Disposición_transitoria_primera._Expedie"/>
      <w:bookmarkStart w:id="647" w:name="_bookmark122"/>
      <w:bookmarkEnd w:id="645"/>
      <w:bookmarkEnd w:id="646"/>
      <w:bookmarkEnd w:id="647"/>
      <w:r>
        <w:rPr>
          <w:rFonts w:ascii="Arial" w:hAnsi="Arial"/>
          <w:b/>
          <w:sz w:val="20"/>
        </w:rPr>
        <w:t>Disposición transitoria primera.</w:t>
      </w:r>
      <w:r>
        <w:rPr>
          <w:rFonts w:ascii="Arial" w:hAnsi="Arial"/>
          <w:b/>
          <w:spacing w:val="40"/>
          <w:sz w:val="20"/>
        </w:rPr>
        <w:t xml:space="preserve"> </w:t>
      </w:r>
      <w:r>
        <w:rPr>
          <w:rFonts w:ascii="Arial" w:hAnsi="Arial"/>
          <w:i/>
          <w:sz w:val="20"/>
        </w:rPr>
        <w:t>Expedientes iniciados y contratos adjudicados con anterioridad a la entrada en vigor de esta Ley.</w:t>
      </w:r>
    </w:p>
    <w:p w:rsidR="0092635B" w:rsidRDefault="00000000">
      <w:pPr>
        <w:pStyle w:val="Prrafodelista"/>
        <w:numPr>
          <w:ilvl w:val="0"/>
          <w:numId w:val="39"/>
        </w:numPr>
        <w:tabs>
          <w:tab w:val="left" w:pos="1675"/>
        </w:tabs>
        <w:spacing w:before="115" w:line="249" w:lineRule="auto"/>
        <w:ind w:firstLine="340"/>
        <w:jc w:val="both"/>
        <w:rPr>
          <w:sz w:val="20"/>
        </w:rPr>
      </w:pPr>
      <w:r>
        <w:rPr>
          <w:sz w:val="20"/>
        </w:rPr>
        <w:t>Los expedientes de contratación iniciados antes de la entrada en vigor de esta Ley se regirán por la normativa anterior. A estos efectos se entenderá que los expedientes de contratación han sido iniciados si se hubiera publicado la correspondiente convocatoria del procedimiento de adjudicación del contrato. En el caso de procedimientos negociados sin publicidad, para determinar el momento de iniciación se tomará en cuenta la fecha de aprobación de los pliegos.</w:t>
      </w:r>
    </w:p>
    <w:p w:rsidR="0092635B" w:rsidRDefault="00000000">
      <w:pPr>
        <w:pStyle w:val="Prrafodelista"/>
        <w:numPr>
          <w:ilvl w:val="0"/>
          <w:numId w:val="39"/>
        </w:numPr>
        <w:tabs>
          <w:tab w:val="left" w:pos="1679"/>
        </w:tabs>
        <w:spacing w:before="5" w:line="249" w:lineRule="auto"/>
        <w:ind w:right="1104" w:firstLine="340"/>
        <w:jc w:val="both"/>
        <w:rPr>
          <w:sz w:val="20"/>
        </w:rPr>
      </w:pPr>
      <w:r>
        <w:rPr>
          <w:sz w:val="20"/>
        </w:rPr>
        <w:t>Los contratos administrativos adjudicados con anterioridad a la entrada en vigor de la presente Ley se regirán, en cuanto a sus efectos, cumplimiento y extinción, incluida su modificación, duración y régimen de prórrogas, por la normativa anterior.</w:t>
      </w:r>
    </w:p>
    <w:p w:rsidR="0092635B" w:rsidRDefault="00000000">
      <w:pPr>
        <w:pStyle w:val="Prrafodelista"/>
        <w:numPr>
          <w:ilvl w:val="0"/>
          <w:numId w:val="39"/>
        </w:numPr>
        <w:tabs>
          <w:tab w:val="left" w:pos="1673"/>
        </w:tabs>
        <w:spacing w:before="3" w:line="249" w:lineRule="auto"/>
        <w:ind w:right="1105" w:firstLine="340"/>
        <w:jc w:val="both"/>
        <w:rPr>
          <w:sz w:val="20"/>
        </w:rPr>
      </w:pPr>
      <w:r>
        <w:rPr>
          <w:sz w:val="20"/>
        </w:rPr>
        <w:t>La presente Ley será de aplicación a los acuerdos de rescate y a los encargos que se realicen con posterioridad a su entrada en vigor. Deberá entenderse que un encargo se ha realizado cuando haya sido objeto de la correspondiente formalización documental.</w:t>
      </w:r>
    </w:p>
    <w:p w:rsidR="0092635B" w:rsidRDefault="00000000">
      <w:pPr>
        <w:pStyle w:val="Prrafodelista"/>
        <w:numPr>
          <w:ilvl w:val="0"/>
          <w:numId w:val="39"/>
        </w:numPr>
        <w:tabs>
          <w:tab w:val="left" w:pos="1695"/>
        </w:tabs>
        <w:spacing w:line="249" w:lineRule="auto"/>
        <w:ind w:firstLine="340"/>
        <w:jc w:val="both"/>
        <w:rPr>
          <w:sz w:val="20"/>
        </w:rPr>
      </w:pPr>
      <w:r>
        <w:rPr>
          <w:sz w:val="20"/>
        </w:rPr>
        <w:t>Las revisiones de oficio y los procedimientos de recurso iniciados al amparo de los artículos 34 y 40, respectivamente, del texto refundido de la Ley de Contratos del Sector Público, aprobado mediante Real Decreto Legislativo 3/2011, de 14 de noviembre, seguirán tramitándose hasta su resolución con arreglo al mismo.</w:t>
      </w:r>
    </w:p>
    <w:p w:rsidR="0092635B" w:rsidRDefault="00000000">
      <w:pPr>
        <w:pStyle w:val="Textoindependiente"/>
        <w:spacing w:before="3" w:line="249" w:lineRule="auto"/>
        <w:ind w:right="1105"/>
      </w:pPr>
      <w:r>
        <w:t>En los expedientes de contratación iniciados antes de la entrada en vigor de esta Ley podrá interponerse el recurso previsto en el artículo 44 contra actos susceptibles de ser recurridos</w:t>
      </w:r>
      <w:r>
        <w:rPr>
          <w:spacing w:val="-3"/>
        </w:rPr>
        <w:t xml:space="preserve"> </w:t>
      </w:r>
      <w:r>
        <w:t>en</w:t>
      </w:r>
      <w:r>
        <w:rPr>
          <w:spacing w:val="-3"/>
        </w:rPr>
        <w:t xml:space="preserve"> </w:t>
      </w:r>
      <w:r>
        <w:t>esta</w:t>
      </w:r>
      <w:r>
        <w:rPr>
          <w:spacing w:val="-3"/>
        </w:rPr>
        <w:t xml:space="preserve"> </w:t>
      </w:r>
      <w:r>
        <w:t>vía,</w:t>
      </w:r>
      <w:r>
        <w:rPr>
          <w:spacing w:val="-3"/>
        </w:rPr>
        <w:t xml:space="preserve"> </w:t>
      </w:r>
      <w:r>
        <w:t>siempre</w:t>
      </w:r>
      <w:r>
        <w:rPr>
          <w:spacing w:val="-3"/>
        </w:rPr>
        <w:t xml:space="preserve"> </w:t>
      </w:r>
      <w:r>
        <w:t>que</w:t>
      </w:r>
      <w:r>
        <w:rPr>
          <w:spacing w:val="-3"/>
        </w:rPr>
        <w:t xml:space="preserve"> </w:t>
      </w:r>
      <w:r>
        <w:t>se</w:t>
      </w:r>
      <w:r>
        <w:rPr>
          <w:spacing w:val="-3"/>
        </w:rPr>
        <w:t xml:space="preserve"> </w:t>
      </w:r>
      <w:r>
        <w:t>hayan</w:t>
      </w:r>
      <w:r>
        <w:rPr>
          <w:spacing w:val="-3"/>
        </w:rPr>
        <w:t xml:space="preserve"> </w:t>
      </w:r>
      <w:r>
        <w:t>dictado</w:t>
      </w:r>
      <w:r>
        <w:rPr>
          <w:spacing w:val="-3"/>
        </w:rPr>
        <w:t xml:space="preserve"> </w:t>
      </w:r>
      <w:r>
        <w:t>con</w:t>
      </w:r>
      <w:r>
        <w:rPr>
          <w:spacing w:val="-3"/>
        </w:rPr>
        <w:t xml:space="preserve"> </w:t>
      </w:r>
      <w:r>
        <w:t>posterioridad</w:t>
      </w:r>
      <w:r>
        <w:rPr>
          <w:spacing w:val="-3"/>
        </w:rPr>
        <w:t xml:space="preserve"> </w:t>
      </w:r>
      <w:r>
        <w:t>a</w:t>
      </w:r>
      <w:r>
        <w:rPr>
          <w:spacing w:val="-3"/>
        </w:rPr>
        <w:t xml:space="preserve"> </w:t>
      </w:r>
      <w:r>
        <w:t>su</w:t>
      </w:r>
      <w:r>
        <w:rPr>
          <w:spacing w:val="-3"/>
        </w:rPr>
        <w:t xml:space="preserve"> </w:t>
      </w:r>
      <w:r>
        <w:t>entrada</w:t>
      </w:r>
      <w:r>
        <w:rPr>
          <w:spacing w:val="-3"/>
        </w:rPr>
        <w:t xml:space="preserve"> </w:t>
      </w:r>
      <w:r>
        <w:t>en</w:t>
      </w:r>
      <w:r>
        <w:rPr>
          <w:spacing w:val="-3"/>
        </w:rPr>
        <w:t xml:space="preserve"> </w:t>
      </w:r>
      <w:r>
        <w:t>vigor.</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39"/>
        </w:numPr>
        <w:tabs>
          <w:tab w:val="left" w:pos="1674"/>
        </w:tabs>
        <w:spacing w:before="1" w:line="249" w:lineRule="auto"/>
        <w:ind w:right="1104" w:firstLine="340"/>
        <w:jc w:val="both"/>
        <w:rPr>
          <w:sz w:val="20"/>
        </w:rPr>
      </w:pPr>
      <w:r>
        <w:rPr>
          <w:sz w:val="20"/>
        </w:rPr>
        <w:t>Los contratos basados en acuerdos marco o en sistemas dinámicos de adquisición se regirán por la normativa aplicable a estos.</w:t>
      </w:r>
    </w:p>
    <w:p w:rsidR="0092635B" w:rsidRDefault="00000000">
      <w:pPr>
        <w:pStyle w:val="Prrafodelista"/>
        <w:numPr>
          <w:ilvl w:val="0"/>
          <w:numId w:val="39"/>
        </w:numPr>
        <w:tabs>
          <w:tab w:val="left" w:pos="1699"/>
        </w:tabs>
        <w:spacing w:before="1" w:line="249" w:lineRule="auto"/>
        <w:ind w:firstLine="340"/>
        <w:jc w:val="both"/>
        <w:rPr>
          <w:sz w:val="20"/>
        </w:rPr>
      </w:pPr>
      <w:r>
        <w:rPr>
          <w:sz w:val="20"/>
        </w:rPr>
        <w:t>Los pliegos de cláusulas administrativas generales que a la entrada en vigor de la presente Ley ya se encontraran aprobados por las Comunidades Autónomas, dispondrán de un plazo de seis meses para su adaptación a lo previsto en el apartado 2 del artículo 121.</w:t>
      </w:r>
    </w:p>
    <w:p w:rsidR="0092635B" w:rsidRDefault="00000000">
      <w:pPr>
        <w:spacing w:before="230" w:line="249" w:lineRule="auto"/>
        <w:ind w:left="1106" w:right="1104" w:hanging="1"/>
        <w:jc w:val="both"/>
        <w:rPr>
          <w:rFonts w:ascii="Arial" w:hAnsi="Arial"/>
          <w:i/>
          <w:sz w:val="20"/>
        </w:rPr>
      </w:pPr>
      <w:bookmarkStart w:id="648" w:name="Disposición_transitoria_segunda._Determi"/>
      <w:bookmarkEnd w:id="648"/>
      <w:r>
        <w:rPr>
          <w:rFonts w:ascii="Arial" w:hAnsi="Arial"/>
          <w:b/>
          <w:sz w:val="20"/>
        </w:rPr>
        <w:t>Disposición transitoria segunda.</w:t>
      </w:r>
      <w:r>
        <w:rPr>
          <w:rFonts w:ascii="Arial" w:hAnsi="Arial"/>
          <w:b/>
          <w:spacing w:val="40"/>
          <w:sz w:val="20"/>
        </w:rPr>
        <w:t xml:space="preserve"> </w:t>
      </w:r>
      <w:r>
        <w:rPr>
          <w:rFonts w:ascii="Arial" w:hAnsi="Arial"/>
          <w:i/>
          <w:sz w:val="20"/>
        </w:rPr>
        <w:t>Determinación de cuantías por los departamentos ministeriales respecto de las entidades que tengan la consideración de poder adjudicador y que estén adscritos a los primeros.</w:t>
      </w:r>
    </w:p>
    <w:p w:rsidR="0092635B" w:rsidRDefault="00000000">
      <w:pPr>
        <w:pStyle w:val="Textoindependiente"/>
        <w:spacing w:before="115" w:line="249" w:lineRule="auto"/>
        <w:ind w:right="1103"/>
      </w:pPr>
      <w:r>
        <w:t>Hasta el momento en que los Secretarios de Estado, o en su defecto, los titulares de los departamentos ministeriales fijen la cuantía para la autorización establecida en el apartado 5 del artículo 324 será de aplicación la cantidad, calculada de conformidad con el artículo 101, de 900.000 euros.</w:t>
      </w:r>
    </w:p>
    <w:p w:rsidR="0092635B" w:rsidRDefault="0092635B">
      <w:pPr>
        <w:pStyle w:val="Textoindependiente"/>
        <w:spacing w:before="0"/>
        <w:ind w:left="0" w:firstLine="0"/>
        <w:jc w:val="left"/>
      </w:pPr>
    </w:p>
    <w:p w:rsidR="0092635B" w:rsidRDefault="00000000">
      <w:pPr>
        <w:spacing w:line="249" w:lineRule="auto"/>
        <w:ind w:left="1106" w:right="1104" w:hanging="1"/>
        <w:jc w:val="both"/>
        <w:rPr>
          <w:rFonts w:ascii="Arial" w:hAnsi="Arial"/>
          <w:i/>
          <w:sz w:val="20"/>
        </w:rPr>
      </w:pPr>
      <w:bookmarkStart w:id="649" w:name="Disposición_transitoria_tercera._Inscrip"/>
      <w:bookmarkEnd w:id="649"/>
      <w:r>
        <w:rPr>
          <w:rFonts w:ascii="Arial" w:hAnsi="Arial"/>
          <w:b/>
          <w:sz w:val="20"/>
        </w:rPr>
        <w:t>Disposición transitoria tercera.</w:t>
      </w:r>
      <w:r>
        <w:rPr>
          <w:rFonts w:ascii="Arial" w:hAnsi="Arial"/>
          <w:b/>
          <w:spacing w:val="40"/>
          <w:sz w:val="20"/>
        </w:rPr>
        <w:t xml:space="preserve"> </w:t>
      </w:r>
      <w:r>
        <w:rPr>
          <w:rFonts w:ascii="Arial" w:hAnsi="Arial"/>
          <w:i/>
          <w:sz w:val="20"/>
        </w:rPr>
        <w:t>Inscripción en el Registro de Licitadores en el procedimiento abierto simplificado del artículo 159.</w:t>
      </w:r>
    </w:p>
    <w:p w:rsidR="0092635B" w:rsidRDefault="00000000">
      <w:pPr>
        <w:pStyle w:val="Textoindependiente"/>
        <w:spacing w:before="115" w:line="249" w:lineRule="auto"/>
        <w:ind w:right="1104"/>
      </w:pPr>
      <w:r>
        <w:t>Hasta que transcurran seis meses de la entrada en vigor de la presente Ley y resulte exigible, por tanto, la obligación establecida para el procedimiento abierto simplificado en la letra</w:t>
      </w:r>
      <w:r>
        <w:rPr>
          <w:spacing w:val="-1"/>
        </w:rPr>
        <w:t xml:space="preserve"> </w:t>
      </w:r>
      <w:r>
        <w:t>a)</w:t>
      </w:r>
      <w:r>
        <w:rPr>
          <w:spacing w:val="-1"/>
        </w:rPr>
        <w:t xml:space="preserve"> </w:t>
      </w:r>
      <w:r>
        <w:t>del</w:t>
      </w:r>
      <w:r>
        <w:rPr>
          <w:spacing w:val="-1"/>
        </w:rPr>
        <w:t xml:space="preserve"> </w:t>
      </w:r>
      <w:r>
        <w:t>apartado</w:t>
      </w:r>
      <w:r>
        <w:rPr>
          <w:spacing w:val="-1"/>
        </w:rPr>
        <w:t xml:space="preserve"> </w:t>
      </w:r>
      <w:r>
        <w:t>4</w:t>
      </w:r>
      <w:r>
        <w:rPr>
          <w:spacing w:val="-1"/>
        </w:rPr>
        <w:t xml:space="preserve"> </w:t>
      </w:r>
      <w:r>
        <w:t>del</w:t>
      </w:r>
      <w:r>
        <w:rPr>
          <w:spacing w:val="-1"/>
        </w:rPr>
        <w:t xml:space="preserve"> </w:t>
      </w:r>
      <w:r>
        <w:t>artículo</w:t>
      </w:r>
      <w:r>
        <w:rPr>
          <w:spacing w:val="-1"/>
        </w:rPr>
        <w:t xml:space="preserve"> </w:t>
      </w:r>
      <w:r>
        <w:t>159,</w:t>
      </w:r>
      <w:r>
        <w:rPr>
          <w:spacing w:val="-1"/>
        </w:rPr>
        <w:t xml:space="preserve"> </w:t>
      </w:r>
      <w:r>
        <w:t>de</w:t>
      </w:r>
      <w:r>
        <w:rPr>
          <w:spacing w:val="-1"/>
        </w:rPr>
        <w:t xml:space="preserve"> </w:t>
      </w:r>
      <w:r>
        <w:t>estar</w:t>
      </w:r>
      <w:r>
        <w:rPr>
          <w:spacing w:val="-1"/>
        </w:rPr>
        <w:t xml:space="preserve"> </w:t>
      </w:r>
      <w:r>
        <w:t>inscrito</w:t>
      </w:r>
      <w:r>
        <w:rPr>
          <w:spacing w:val="-1"/>
        </w:rPr>
        <w:t xml:space="preserve"> </w:t>
      </w:r>
      <w:r>
        <w:t>en</w:t>
      </w:r>
      <w:r>
        <w:rPr>
          <w:spacing w:val="-1"/>
        </w:rPr>
        <w:t xml:space="preserve"> </w:t>
      </w:r>
      <w:r>
        <w:t>el</w:t>
      </w:r>
      <w:r>
        <w:rPr>
          <w:spacing w:val="-1"/>
        </w:rPr>
        <w:t xml:space="preserve"> </w:t>
      </w:r>
      <w:r>
        <w:t>Registro</w:t>
      </w:r>
      <w:r>
        <w:rPr>
          <w:spacing w:val="-1"/>
        </w:rPr>
        <w:t xml:space="preserve"> </w:t>
      </w:r>
      <w:r>
        <w:t>Oficial</w:t>
      </w:r>
      <w:r>
        <w:rPr>
          <w:spacing w:val="-1"/>
        </w:rPr>
        <w:t xml:space="preserve"> </w:t>
      </w:r>
      <w:r>
        <w:t>de</w:t>
      </w:r>
      <w:r>
        <w:rPr>
          <w:spacing w:val="-1"/>
        </w:rPr>
        <w:t xml:space="preserve"> </w:t>
      </w:r>
      <w:r>
        <w:t>Licitadores</w:t>
      </w:r>
      <w:r>
        <w:rPr>
          <w:spacing w:val="-1"/>
        </w:rPr>
        <w:t xml:space="preserve"> </w:t>
      </w:r>
      <w:r>
        <w:t xml:space="preserve">y Empresas Clasificadas o registro equivalente, la acreditación de la capacidad, solvencia y ausencia de prohibiciones de contratar se realizará en la forma establecida con carácter </w:t>
      </w:r>
      <w:r>
        <w:rPr>
          <w:spacing w:val="-2"/>
        </w:rPr>
        <w:t>general.</w:t>
      </w:r>
    </w:p>
    <w:p w:rsidR="0092635B" w:rsidRDefault="0092635B">
      <w:pPr>
        <w:pStyle w:val="Textoindependiente"/>
        <w:ind w:left="0" w:firstLine="0"/>
        <w:jc w:val="left"/>
      </w:pPr>
    </w:p>
    <w:p w:rsidR="0092635B" w:rsidRDefault="00000000">
      <w:pPr>
        <w:ind w:left="1106"/>
        <w:rPr>
          <w:rFonts w:ascii="Arial" w:hAnsi="Arial"/>
          <w:i/>
          <w:sz w:val="20"/>
        </w:rPr>
      </w:pPr>
      <w:bookmarkStart w:id="650" w:name="Disposición_transitoria_cuarta._Estatuto"/>
      <w:bookmarkEnd w:id="650"/>
      <w:r>
        <w:rPr>
          <w:rFonts w:ascii="Arial" w:hAnsi="Arial"/>
          <w:b/>
          <w:sz w:val="20"/>
        </w:rPr>
        <w:t>Disposición</w:t>
      </w:r>
      <w:r>
        <w:rPr>
          <w:rFonts w:ascii="Arial" w:hAnsi="Arial"/>
          <w:b/>
          <w:spacing w:val="-2"/>
          <w:sz w:val="20"/>
        </w:rPr>
        <w:t xml:space="preserve"> </w:t>
      </w:r>
      <w:r>
        <w:rPr>
          <w:rFonts w:ascii="Arial" w:hAnsi="Arial"/>
          <w:b/>
          <w:sz w:val="20"/>
        </w:rPr>
        <w:t>transitoria</w:t>
      </w:r>
      <w:r>
        <w:rPr>
          <w:rFonts w:ascii="Arial" w:hAnsi="Arial"/>
          <w:b/>
          <w:spacing w:val="-1"/>
          <w:sz w:val="20"/>
        </w:rPr>
        <w:t xml:space="preserve"> </w:t>
      </w:r>
      <w:r>
        <w:rPr>
          <w:rFonts w:ascii="Arial" w:hAnsi="Arial"/>
          <w:b/>
          <w:sz w:val="20"/>
        </w:rPr>
        <w:t>cuarta.</w:t>
      </w:r>
      <w:r>
        <w:rPr>
          <w:rFonts w:ascii="Arial" w:hAnsi="Arial"/>
          <w:b/>
          <w:spacing w:val="52"/>
          <w:sz w:val="20"/>
        </w:rPr>
        <w:t xml:space="preserve"> </w:t>
      </w:r>
      <w:r>
        <w:rPr>
          <w:rFonts w:ascii="Arial" w:hAnsi="Arial"/>
          <w:i/>
          <w:sz w:val="20"/>
        </w:rPr>
        <w:t>Estatutos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medios</w:t>
      </w:r>
      <w:r>
        <w:rPr>
          <w:rFonts w:ascii="Arial" w:hAnsi="Arial"/>
          <w:i/>
          <w:spacing w:val="-1"/>
          <w:sz w:val="20"/>
        </w:rPr>
        <w:t xml:space="preserve"> </w:t>
      </w:r>
      <w:r>
        <w:rPr>
          <w:rFonts w:ascii="Arial" w:hAnsi="Arial"/>
          <w:i/>
          <w:sz w:val="20"/>
        </w:rPr>
        <w:t>propios</w:t>
      </w:r>
      <w:r>
        <w:rPr>
          <w:rFonts w:ascii="Arial" w:hAnsi="Arial"/>
          <w:i/>
          <w:spacing w:val="-1"/>
          <w:sz w:val="20"/>
        </w:rPr>
        <w:t xml:space="preserve"> </w:t>
      </w:r>
      <w:r>
        <w:rPr>
          <w:rFonts w:ascii="Arial" w:hAnsi="Arial"/>
          <w:i/>
          <w:spacing w:val="-2"/>
          <w:sz w:val="20"/>
        </w:rPr>
        <w:t>personificados.</w:t>
      </w:r>
    </w:p>
    <w:p w:rsidR="0092635B" w:rsidRDefault="00000000">
      <w:pPr>
        <w:pStyle w:val="Textoindependiente"/>
        <w:spacing w:before="124" w:line="249" w:lineRule="auto"/>
        <w:ind w:right="1104"/>
      </w:pPr>
      <w:r>
        <w:t>Hasta que transcurran seis meses de la entrada en vigor de la presente Ley y resulte exigible, por tanto, las obligaciones establecidas en el artículo 32.2.d) respecto al contenido de los estatutos de las entidades que ostenten la condición de medio propio personificado, estas seguirán actuando con sus estatutos vigentes siempre y cuando cumplan con lo establecido en las letras a), b) y c) del apartado 2 del artículo 32.</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651" w:name="Disposición_transitoria_quinta._Instrucc"/>
      <w:bookmarkEnd w:id="651"/>
      <w:r>
        <w:rPr>
          <w:rFonts w:ascii="Arial" w:hAnsi="Arial"/>
          <w:b/>
          <w:sz w:val="20"/>
        </w:rPr>
        <w:t>Disposición</w:t>
      </w:r>
      <w:r>
        <w:rPr>
          <w:rFonts w:ascii="Arial" w:hAnsi="Arial"/>
          <w:b/>
          <w:spacing w:val="-4"/>
          <w:sz w:val="20"/>
        </w:rPr>
        <w:t xml:space="preserve"> </w:t>
      </w:r>
      <w:r>
        <w:rPr>
          <w:rFonts w:ascii="Arial" w:hAnsi="Arial"/>
          <w:b/>
          <w:sz w:val="20"/>
        </w:rPr>
        <w:t>transitoria</w:t>
      </w:r>
      <w:r>
        <w:rPr>
          <w:rFonts w:ascii="Arial" w:hAnsi="Arial"/>
          <w:b/>
          <w:spacing w:val="-2"/>
          <w:sz w:val="20"/>
        </w:rPr>
        <w:t xml:space="preserve"> </w:t>
      </w:r>
      <w:r>
        <w:rPr>
          <w:rFonts w:ascii="Arial" w:hAnsi="Arial"/>
          <w:b/>
          <w:sz w:val="20"/>
        </w:rPr>
        <w:t>quinta.</w:t>
      </w:r>
      <w:r>
        <w:rPr>
          <w:rFonts w:ascii="Arial" w:hAnsi="Arial"/>
          <w:b/>
          <w:spacing w:val="51"/>
          <w:sz w:val="20"/>
        </w:rPr>
        <w:t xml:space="preserve"> </w:t>
      </w:r>
      <w:r>
        <w:rPr>
          <w:rFonts w:ascii="Arial" w:hAnsi="Arial"/>
          <w:i/>
          <w:sz w:val="20"/>
        </w:rPr>
        <w:t>Instrucciones</w:t>
      </w:r>
      <w:r>
        <w:rPr>
          <w:rFonts w:ascii="Arial" w:hAnsi="Arial"/>
          <w:i/>
          <w:spacing w:val="-1"/>
          <w:sz w:val="20"/>
        </w:rPr>
        <w:t xml:space="preserve"> </w:t>
      </w:r>
      <w:r>
        <w:rPr>
          <w:rFonts w:ascii="Arial" w:hAnsi="Arial"/>
          <w:i/>
          <w:sz w:val="20"/>
        </w:rPr>
        <w:t>internas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contratación.</w:t>
      </w:r>
    </w:p>
    <w:p w:rsidR="0092635B" w:rsidRDefault="00000000">
      <w:pPr>
        <w:pStyle w:val="Textoindependiente"/>
        <w:spacing w:before="124" w:line="249" w:lineRule="auto"/>
        <w:ind w:right="1103"/>
      </w:pPr>
      <w:r>
        <w:t>Los entes a los que se refiere el Título Tercero deberán adaptar sus instrucciones internas de contratación a lo establecido en los artículos 318 y 321 en el plazo máximo de cuatro meses desde la entrada en vigor de la presente Ley. Hasta entonces, seguirán contratando de conformidad con sus instrucciones vigentes, siempre que no contradigan lo establecido en los citados artículos.</w:t>
      </w:r>
    </w:p>
    <w:p w:rsidR="0092635B" w:rsidRDefault="0092635B">
      <w:pPr>
        <w:pStyle w:val="Textoindependiente"/>
        <w:spacing w:before="1"/>
        <w:ind w:left="0" w:firstLine="0"/>
        <w:jc w:val="left"/>
      </w:pPr>
    </w:p>
    <w:p w:rsidR="0092635B" w:rsidRDefault="00000000">
      <w:pPr>
        <w:ind w:left="1106"/>
        <w:rPr>
          <w:rFonts w:ascii="Arial" w:hAnsi="Arial"/>
          <w:i/>
          <w:sz w:val="20"/>
        </w:rPr>
      </w:pPr>
      <w:bookmarkStart w:id="652" w:name="Disposición_transitoria_sexta._Clasifica"/>
      <w:bookmarkEnd w:id="652"/>
      <w:r>
        <w:rPr>
          <w:rFonts w:ascii="Arial" w:hAnsi="Arial"/>
          <w:b/>
          <w:sz w:val="20"/>
        </w:rPr>
        <w:t>Disposición</w:t>
      </w:r>
      <w:r>
        <w:rPr>
          <w:rFonts w:ascii="Arial" w:hAnsi="Arial"/>
          <w:b/>
          <w:spacing w:val="-4"/>
          <w:sz w:val="20"/>
        </w:rPr>
        <w:t xml:space="preserve"> </w:t>
      </w:r>
      <w:r>
        <w:rPr>
          <w:rFonts w:ascii="Arial" w:hAnsi="Arial"/>
          <w:b/>
          <w:sz w:val="20"/>
        </w:rPr>
        <w:t>transitoria</w:t>
      </w:r>
      <w:r>
        <w:rPr>
          <w:rFonts w:ascii="Arial" w:hAnsi="Arial"/>
          <w:b/>
          <w:spacing w:val="-4"/>
          <w:sz w:val="20"/>
        </w:rPr>
        <w:t xml:space="preserve"> </w:t>
      </w:r>
      <w:r>
        <w:rPr>
          <w:rFonts w:ascii="Arial" w:hAnsi="Arial"/>
          <w:b/>
          <w:sz w:val="20"/>
        </w:rPr>
        <w:t>sexta.</w:t>
      </w:r>
      <w:r>
        <w:rPr>
          <w:rFonts w:ascii="Arial" w:hAnsi="Arial"/>
          <w:b/>
          <w:spacing w:val="46"/>
          <w:sz w:val="20"/>
        </w:rPr>
        <w:t xml:space="preserve"> </w:t>
      </w:r>
      <w:r>
        <w:rPr>
          <w:rFonts w:ascii="Arial" w:hAnsi="Arial"/>
          <w:i/>
          <w:sz w:val="20"/>
        </w:rPr>
        <w:t>Clasificación</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contratistas.</w:t>
      </w:r>
    </w:p>
    <w:p w:rsidR="0092635B" w:rsidRDefault="00000000">
      <w:pPr>
        <w:pStyle w:val="Prrafodelista"/>
        <w:numPr>
          <w:ilvl w:val="0"/>
          <w:numId w:val="38"/>
        </w:numPr>
        <w:tabs>
          <w:tab w:val="left" w:pos="1673"/>
        </w:tabs>
        <w:spacing w:before="123" w:line="249" w:lineRule="auto"/>
        <w:ind w:firstLine="340"/>
        <w:jc w:val="both"/>
        <w:rPr>
          <w:sz w:val="20"/>
        </w:rPr>
      </w:pPr>
      <w:r>
        <w:rPr>
          <w:sz w:val="20"/>
        </w:rPr>
        <w:t>Las empresas que a la fecha de entrada en vigor de esta norma ostenten clasificación como Contratista de Obras o como Contratista de Servicios otorgada por las Comisiones Clasificadoras de la Junta Consultiva de Contratación Pública del Estado y por una o más Comunidades Autónomas, o por dos o más Comunidades Autónomas, deberán optar por</w:t>
      </w:r>
      <w:r>
        <w:rPr>
          <w:spacing w:val="40"/>
          <w:sz w:val="20"/>
        </w:rPr>
        <w:t xml:space="preserve"> </w:t>
      </w:r>
      <w:r>
        <w:rPr>
          <w:sz w:val="20"/>
        </w:rPr>
        <w:t>una</w:t>
      </w:r>
      <w:r>
        <w:rPr>
          <w:spacing w:val="-2"/>
          <w:sz w:val="20"/>
        </w:rPr>
        <w:t xml:space="preserve"> </w:t>
      </w:r>
      <w:r>
        <w:rPr>
          <w:sz w:val="20"/>
        </w:rPr>
        <w:t>de</w:t>
      </w:r>
      <w:r>
        <w:rPr>
          <w:spacing w:val="-2"/>
          <w:sz w:val="20"/>
        </w:rPr>
        <w:t xml:space="preserve"> </w:t>
      </w:r>
      <w:r>
        <w:rPr>
          <w:sz w:val="20"/>
        </w:rPr>
        <w:t>ellas</w:t>
      </w:r>
      <w:r>
        <w:rPr>
          <w:spacing w:val="-2"/>
          <w:sz w:val="20"/>
        </w:rPr>
        <w:t xml:space="preserve"> </w:t>
      </w:r>
      <w:r>
        <w:rPr>
          <w:sz w:val="20"/>
        </w:rPr>
        <w:t>expresamente</w:t>
      </w:r>
      <w:r>
        <w:rPr>
          <w:spacing w:val="-2"/>
          <w:sz w:val="20"/>
        </w:rPr>
        <w:t xml:space="preserve"> </w:t>
      </w:r>
      <w:r>
        <w:rPr>
          <w:sz w:val="20"/>
        </w:rPr>
        <w:t>ante</w:t>
      </w:r>
      <w:r>
        <w:rPr>
          <w:spacing w:val="-2"/>
          <w:sz w:val="20"/>
        </w:rPr>
        <w:t xml:space="preserve"> </w:t>
      </w:r>
      <w:r>
        <w:rPr>
          <w:sz w:val="20"/>
        </w:rPr>
        <w:t>la</w:t>
      </w:r>
      <w:r>
        <w:rPr>
          <w:spacing w:val="-2"/>
          <w:sz w:val="20"/>
        </w:rPr>
        <w:t xml:space="preserve"> </w:t>
      </w:r>
      <w:r>
        <w:rPr>
          <w:sz w:val="20"/>
        </w:rPr>
        <w:t>Junta</w:t>
      </w:r>
      <w:r>
        <w:rPr>
          <w:spacing w:val="-2"/>
          <w:sz w:val="20"/>
        </w:rPr>
        <w:t xml:space="preserve"> </w:t>
      </w:r>
      <w:r>
        <w:rPr>
          <w:sz w:val="20"/>
        </w:rPr>
        <w:t>Consultiva</w:t>
      </w:r>
      <w:r>
        <w:rPr>
          <w:spacing w:val="-2"/>
          <w:sz w:val="20"/>
        </w:rPr>
        <w:t xml:space="preserve"> </w:t>
      </w:r>
      <w:r>
        <w:rPr>
          <w:sz w:val="20"/>
        </w:rPr>
        <w:t>de</w:t>
      </w:r>
      <w:r>
        <w:rPr>
          <w:spacing w:val="-2"/>
          <w:sz w:val="20"/>
        </w:rPr>
        <w:t xml:space="preserve"> </w:t>
      </w:r>
      <w:r>
        <w:rPr>
          <w:sz w:val="20"/>
        </w:rPr>
        <w:t>Contratación</w:t>
      </w:r>
      <w:r>
        <w:rPr>
          <w:spacing w:val="-2"/>
          <w:sz w:val="20"/>
        </w:rPr>
        <w:t xml:space="preserve"> </w:t>
      </w:r>
      <w:r>
        <w:rPr>
          <w:sz w:val="20"/>
        </w:rPr>
        <w:t>Pública</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en</w:t>
      </w:r>
      <w:r>
        <w:rPr>
          <w:spacing w:val="-2"/>
          <w:sz w:val="20"/>
        </w:rPr>
        <w:t xml:space="preserve"> </w:t>
      </w:r>
      <w:r>
        <w:rPr>
          <w:sz w:val="20"/>
        </w:rPr>
        <w:t xml:space="preserve">el plazo de 3 meses desde la entrada en vigor de esta norma. La Junta Consultiva de Contratación Pública del Estado comunicará por medios electrónicos la elección a los órganos autonómicos que hayan dictado las resoluciones de clasificación a los efectos que </w:t>
      </w:r>
      <w:r>
        <w:rPr>
          <w:spacing w:val="-2"/>
          <w:sz w:val="20"/>
        </w:rPr>
        <w:t>correspondan.</w:t>
      </w:r>
    </w:p>
    <w:p w:rsidR="0092635B" w:rsidRDefault="00000000">
      <w:pPr>
        <w:pStyle w:val="Textoindependiente"/>
        <w:spacing w:before="8" w:line="249" w:lineRule="auto"/>
        <w:ind w:right="1105"/>
      </w:pPr>
      <w:r>
        <w:t>La opción antes mencionada implicará la renuncia a las clasificaciones como Contratista de Obras o como Contratista de Servicios que la empresa ostente otorgadas por órganos diferentes de aquellos por cuya clasificación se ha optado.</w:t>
      </w:r>
    </w:p>
    <w:p w:rsidR="0092635B" w:rsidRDefault="00000000">
      <w:pPr>
        <w:pStyle w:val="Textoindependiente"/>
        <w:spacing w:line="249" w:lineRule="auto"/>
        <w:ind w:right="1104"/>
      </w:pPr>
      <w:r>
        <w:t>En caso de que una empresa no opte por una clasificación en el plazo de tres meses desde la entrada en vigor de esta norma, se entenderá que ha optado por la última clasificación que se le haya concedido y que renuncia a las restantes.</w:t>
      </w:r>
    </w:p>
    <w:p w:rsidR="0092635B" w:rsidRDefault="00000000">
      <w:pPr>
        <w:pStyle w:val="Textoindependiente"/>
        <w:spacing w:line="249" w:lineRule="auto"/>
        <w:ind w:right="1104"/>
      </w:pPr>
      <w:r>
        <w:t>Los órganos competentes de la Junta Consultiva de Contratación Pública del Estado y</w:t>
      </w:r>
      <w:r>
        <w:rPr>
          <w:spacing w:val="80"/>
        </w:rPr>
        <w:t xml:space="preserve"> </w:t>
      </w:r>
      <w:r>
        <w:t>de las Comunidades Autónomas afectadas practicarán de oficio en el Registro Oficial de Licitadores</w:t>
      </w:r>
      <w:r>
        <w:rPr>
          <w:spacing w:val="31"/>
        </w:rPr>
        <w:t xml:space="preserve"> </w:t>
      </w:r>
      <w:r>
        <w:t>y</w:t>
      </w:r>
      <w:r>
        <w:rPr>
          <w:spacing w:val="31"/>
        </w:rPr>
        <w:t xml:space="preserve"> </w:t>
      </w:r>
      <w:r>
        <w:t>Empresas</w:t>
      </w:r>
      <w:r>
        <w:rPr>
          <w:spacing w:val="31"/>
        </w:rPr>
        <w:t xml:space="preserve"> </w:t>
      </w:r>
      <w:r>
        <w:t>Clasificadas</w:t>
      </w:r>
      <w:r>
        <w:rPr>
          <w:spacing w:val="32"/>
        </w:rPr>
        <w:t xml:space="preserve"> </w:t>
      </w:r>
      <w:r>
        <w:t>del</w:t>
      </w:r>
      <w:r>
        <w:rPr>
          <w:spacing w:val="31"/>
        </w:rPr>
        <w:t xml:space="preserve"> </w:t>
      </w:r>
      <w:r>
        <w:t>Sector</w:t>
      </w:r>
      <w:r>
        <w:rPr>
          <w:spacing w:val="31"/>
        </w:rPr>
        <w:t xml:space="preserve"> </w:t>
      </w:r>
      <w:r>
        <w:t>Público</w:t>
      </w:r>
      <w:r>
        <w:rPr>
          <w:spacing w:val="31"/>
        </w:rPr>
        <w:t xml:space="preserve"> </w:t>
      </w:r>
      <w:r>
        <w:t>y</w:t>
      </w:r>
      <w:r>
        <w:rPr>
          <w:spacing w:val="32"/>
        </w:rPr>
        <w:t xml:space="preserve"> </w:t>
      </w:r>
      <w:r>
        <w:t>en</w:t>
      </w:r>
      <w:r>
        <w:rPr>
          <w:spacing w:val="31"/>
        </w:rPr>
        <w:t xml:space="preserve"> </w:t>
      </w:r>
      <w:r>
        <w:t>sus</w:t>
      </w:r>
      <w:r>
        <w:rPr>
          <w:spacing w:val="31"/>
        </w:rPr>
        <w:t xml:space="preserve"> </w:t>
      </w:r>
      <w:r>
        <w:t>respectivos</w:t>
      </w:r>
      <w:r>
        <w:rPr>
          <w:spacing w:val="31"/>
        </w:rPr>
        <w:t xml:space="preserve"> </w:t>
      </w:r>
      <w:r>
        <w:t>registros</w:t>
      </w:r>
      <w:r>
        <w:rPr>
          <w:spacing w:val="32"/>
        </w:rPr>
        <w:t xml:space="preserve"> </w:t>
      </w:r>
      <w:r>
        <w:rPr>
          <w:spacing w:val="-5"/>
        </w:rPr>
        <w:t>las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left="851" w:right="1103" w:firstLine="0"/>
        <w:jc w:val="right"/>
      </w:pPr>
      <w:r>
        <w:t>correspondientes</w:t>
      </w:r>
      <w:r>
        <w:rPr>
          <w:spacing w:val="30"/>
        </w:rPr>
        <w:t xml:space="preserve"> </w:t>
      </w:r>
      <w:r>
        <w:t>modificaciones</w:t>
      </w:r>
      <w:r>
        <w:rPr>
          <w:spacing w:val="30"/>
        </w:rPr>
        <w:t xml:space="preserve"> </w:t>
      </w:r>
      <w:r>
        <w:t>en</w:t>
      </w:r>
      <w:r>
        <w:rPr>
          <w:spacing w:val="30"/>
        </w:rPr>
        <w:t xml:space="preserve"> </w:t>
      </w:r>
      <w:r>
        <w:t>las</w:t>
      </w:r>
      <w:r>
        <w:rPr>
          <w:spacing w:val="30"/>
        </w:rPr>
        <w:t xml:space="preserve"> </w:t>
      </w:r>
      <w:r>
        <w:t>inscripciones</w:t>
      </w:r>
      <w:r>
        <w:rPr>
          <w:spacing w:val="30"/>
        </w:rPr>
        <w:t xml:space="preserve"> </w:t>
      </w:r>
      <w:r>
        <w:t>registrales</w:t>
      </w:r>
      <w:r>
        <w:rPr>
          <w:spacing w:val="30"/>
        </w:rPr>
        <w:t xml:space="preserve"> </w:t>
      </w:r>
      <w:r>
        <w:t>que</w:t>
      </w:r>
      <w:r>
        <w:rPr>
          <w:spacing w:val="30"/>
        </w:rPr>
        <w:t xml:space="preserve"> </w:t>
      </w:r>
      <w:r>
        <w:t>resulten</w:t>
      </w:r>
      <w:r>
        <w:rPr>
          <w:spacing w:val="30"/>
        </w:rPr>
        <w:t xml:space="preserve"> </w:t>
      </w:r>
      <w:r>
        <w:t>procedentes como consecuencia de la aplicación de dichas reglas, en base a la información que por el</w:t>
      </w:r>
      <w:r>
        <w:rPr>
          <w:spacing w:val="80"/>
        </w:rPr>
        <w:t xml:space="preserve"> </w:t>
      </w:r>
      <w:r>
        <w:t>Registro Oficial de Licitadores y Empresas Clasificadas del Sector Público se les comunique. Las</w:t>
      </w:r>
      <w:r>
        <w:rPr>
          <w:spacing w:val="80"/>
        </w:rPr>
        <w:t xml:space="preserve"> </w:t>
      </w:r>
      <w:r>
        <w:t>clasificaciones</w:t>
      </w:r>
      <w:r>
        <w:rPr>
          <w:spacing w:val="80"/>
        </w:rPr>
        <w:t xml:space="preserve"> </w:t>
      </w:r>
      <w:r>
        <w:t>empresariales</w:t>
      </w:r>
      <w:r>
        <w:rPr>
          <w:spacing w:val="80"/>
        </w:rPr>
        <w:t xml:space="preserve"> </w:t>
      </w:r>
      <w:r>
        <w:t>otorgadas</w:t>
      </w:r>
      <w:r>
        <w:rPr>
          <w:spacing w:val="80"/>
        </w:rPr>
        <w:t xml:space="preserve"> </w:t>
      </w:r>
      <w:r>
        <w:t>por</w:t>
      </w:r>
      <w:r>
        <w:rPr>
          <w:spacing w:val="80"/>
        </w:rPr>
        <w:t xml:space="preserve"> </w:t>
      </w:r>
      <w:r>
        <w:t>los</w:t>
      </w:r>
      <w:r>
        <w:rPr>
          <w:spacing w:val="80"/>
        </w:rPr>
        <w:t xml:space="preserve"> </w:t>
      </w:r>
      <w:r>
        <w:t>órganos</w:t>
      </w:r>
      <w:r>
        <w:rPr>
          <w:spacing w:val="80"/>
        </w:rPr>
        <w:t xml:space="preserve"> </w:t>
      </w:r>
      <w:r>
        <w:t>competentes</w:t>
      </w:r>
      <w:r>
        <w:rPr>
          <w:spacing w:val="80"/>
        </w:rPr>
        <w:t xml:space="preserve"> </w:t>
      </w:r>
      <w:r>
        <w:t>de</w:t>
      </w:r>
      <w:r>
        <w:rPr>
          <w:spacing w:val="80"/>
        </w:rPr>
        <w:t xml:space="preserve"> </w:t>
      </w:r>
      <w:r>
        <w:t>las Comunidades</w:t>
      </w:r>
      <w:r>
        <w:rPr>
          <w:spacing w:val="74"/>
        </w:rPr>
        <w:t xml:space="preserve"> </w:t>
      </w:r>
      <w:r>
        <w:t>Autónomas</w:t>
      </w:r>
      <w:r>
        <w:rPr>
          <w:spacing w:val="74"/>
        </w:rPr>
        <w:t xml:space="preserve"> </w:t>
      </w:r>
      <w:r>
        <w:t>que</w:t>
      </w:r>
      <w:r>
        <w:rPr>
          <w:spacing w:val="74"/>
        </w:rPr>
        <w:t xml:space="preserve"> </w:t>
      </w:r>
      <w:r>
        <w:t>se</w:t>
      </w:r>
      <w:r>
        <w:rPr>
          <w:spacing w:val="74"/>
        </w:rPr>
        <w:t xml:space="preserve"> </w:t>
      </w:r>
      <w:r>
        <w:t>encuentren</w:t>
      </w:r>
      <w:r>
        <w:rPr>
          <w:spacing w:val="74"/>
        </w:rPr>
        <w:t xml:space="preserve"> </w:t>
      </w:r>
      <w:r>
        <w:t>vigentes</w:t>
      </w:r>
      <w:r>
        <w:rPr>
          <w:spacing w:val="74"/>
        </w:rPr>
        <w:t xml:space="preserve"> </w:t>
      </w:r>
      <w:r>
        <w:t>conforme</w:t>
      </w:r>
      <w:r>
        <w:rPr>
          <w:spacing w:val="74"/>
        </w:rPr>
        <w:t xml:space="preserve"> </w:t>
      </w:r>
      <w:r>
        <w:t>a</w:t>
      </w:r>
      <w:r>
        <w:rPr>
          <w:spacing w:val="74"/>
        </w:rPr>
        <w:t xml:space="preserve"> </w:t>
      </w:r>
      <w:r>
        <w:t>lo</w:t>
      </w:r>
      <w:r>
        <w:rPr>
          <w:spacing w:val="74"/>
        </w:rPr>
        <w:t xml:space="preserve"> </w:t>
      </w:r>
      <w:r>
        <w:t>previsto</w:t>
      </w:r>
      <w:r>
        <w:rPr>
          <w:spacing w:val="74"/>
        </w:rPr>
        <w:t xml:space="preserve"> </w:t>
      </w:r>
      <w:r>
        <w:t>en</w:t>
      </w:r>
      <w:r>
        <w:rPr>
          <w:spacing w:val="74"/>
        </w:rPr>
        <w:t xml:space="preserve"> </w:t>
      </w:r>
      <w:r>
        <w:t>los apartados anteriores tendrán eficacia general frente a todos los órganos de contratación del sector</w:t>
      </w:r>
      <w:r>
        <w:rPr>
          <w:spacing w:val="-2"/>
        </w:rPr>
        <w:t xml:space="preserve"> </w:t>
      </w:r>
      <w:r>
        <w:t>público</w:t>
      </w:r>
      <w:r>
        <w:rPr>
          <w:spacing w:val="-1"/>
        </w:rPr>
        <w:t xml:space="preserve"> </w:t>
      </w:r>
      <w:r>
        <w:t>con</w:t>
      </w:r>
      <w:r>
        <w:rPr>
          <w:spacing w:val="-2"/>
        </w:rPr>
        <w:t xml:space="preserve"> </w:t>
      </w:r>
      <w:r>
        <w:t>independencia</w:t>
      </w:r>
      <w:r>
        <w:rPr>
          <w:spacing w:val="-1"/>
        </w:rPr>
        <w:t xml:space="preserve"> </w:t>
      </w:r>
      <w:r>
        <w:t>de</w:t>
      </w:r>
      <w:r>
        <w:rPr>
          <w:spacing w:val="-1"/>
        </w:rPr>
        <w:t xml:space="preserve"> </w:t>
      </w:r>
      <w:r>
        <w:t>que</w:t>
      </w:r>
      <w:r>
        <w:rPr>
          <w:spacing w:val="-2"/>
        </w:rPr>
        <w:t xml:space="preserve"> </w:t>
      </w:r>
      <w:r>
        <w:t>hayan</w:t>
      </w:r>
      <w:r>
        <w:rPr>
          <w:spacing w:val="-1"/>
        </w:rPr>
        <w:t xml:space="preserve"> </w:t>
      </w:r>
      <w:r>
        <w:t>sido</w:t>
      </w:r>
      <w:r>
        <w:rPr>
          <w:spacing w:val="-2"/>
        </w:rPr>
        <w:t xml:space="preserve"> </w:t>
      </w:r>
      <w:r>
        <w:t>adoptadas</w:t>
      </w:r>
      <w:r>
        <w:rPr>
          <w:spacing w:val="-1"/>
        </w:rPr>
        <w:t xml:space="preserve"> </w:t>
      </w:r>
      <w:r>
        <w:t>con</w:t>
      </w:r>
      <w:r>
        <w:rPr>
          <w:spacing w:val="-1"/>
        </w:rPr>
        <w:t xml:space="preserve"> </w:t>
      </w:r>
      <w:r>
        <w:t>anterioridad</w:t>
      </w:r>
      <w:r>
        <w:rPr>
          <w:spacing w:val="-2"/>
        </w:rPr>
        <w:t xml:space="preserve"> </w:t>
      </w:r>
      <w:r>
        <w:t>a</w:t>
      </w:r>
      <w:r>
        <w:rPr>
          <w:spacing w:val="-1"/>
        </w:rPr>
        <w:t xml:space="preserve"> </w:t>
      </w:r>
      <w:r>
        <w:t>la</w:t>
      </w:r>
      <w:r>
        <w:rPr>
          <w:spacing w:val="-1"/>
        </w:rPr>
        <w:t xml:space="preserve"> </w:t>
      </w:r>
      <w:r>
        <w:rPr>
          <w:spacing w:val="-2"/>
        </w:rPr>
        <w:t>entrada</w:t>
      </w:r>
    </w:p>
    <w:p w:rsidR="0092635B" w:rsidRDefault="00000000">
      <w:pPr>
        <w:pStyle w:val="Textoindependiente"/>
        <w:spacing w:before="5"/>
        <w:ind w:firstLine="0"/>
      </w:pPr>
      <w:r>
        <w:t>en</w:t>
      </w:r>
      <w:r>
        <w:rPr>
          <w:spacing w:val="-3"/>
        </w:rPr>
        <w:t xml:space="preserve"> </w:t>
      </w:r>
      <w:r>
        <w:t>vigor</w:t>
      </w:r>
      <w:r>
        <w:rPr>
          <w:spacing w:val="-3"/>
        </w:rPr>
        <w:t xml:space="preserve"> </w:t>
      </w:r>
      <w:r>
        <w:t>de</w:t>
      </w:r>
      <w:r>
        <w:rPr>
          <w:spacing w:val="-3"/>
        </w:rPr>
        <w:t xml:space="preserve"> </w:t>
      </w:r>
      <w:r>
        <w:t>esta</w:t>
      </w:r>
      <w:r>
        <w:rPr>
          <w:spacing w:val="-3"/>
        </w:rPr>
        <w:t xml:space="preserve"> </w:t>
      </w:r>
      <w:r>
        <w:t>disposición</w:t>
      </w:r>
      <w:r>
        <w:rPr>
          <w:spacing w:val="-3"/>
        </w:rPr>
        <w:t xml:space="preserve"> </w:t>
      </w:r>
      <w:r>
        <w:rPr>
          <w:spacing w:val="-2"/>
        </w:rPr>
        <w:t>transitoria.</w:t>
      </w:r>
    </w:p>
    <w:p w:rsidR="0092635B" w:rsidRDefault="00000000">
      <w:pPr>
        <w:pStyle w:val="Prrafodelista"/>
        <w:numPr>
          <w:ilvl w:val="0"/>
          <w:numId w:val="38"/>
        </w:numPr>
        <w:tabs>
          <w:tab w:val="left" w:pos="1711"/>
        </w:tabs>
        <w:spacing w:before="10" w:line="249" w:lineRule="auto"/>
        <w:ind w:firstLine="340"/>
        <w:jc w:val="both"/>
        <w:rPr>
          <w:sz w:val="20"/>
        </w:rPr>
      </w:pPr>
      <w:r>
        <w:rPr>
          <w:sz w:val="20"/>
        </w:rPr>
        <w:t>Las empresas que a la fecha de entrada en vigor de esta disposición tengan en tramitación una solicitud de clasificación o de revisión de clasificación deberán aportar una declaración responsable con los siguientes contenidos, según sean sus circunstancias a dicha fecha:</w:t>
      </w:r>
    </w:p>
    <w:p w:rsidR="0092635B" w:rsidRDefault="00000000">
      <w:pPr>
        <w:pStyle w:val="Textoindependiente"/>
        <w:spacing w:before="124" w:line="249" w:lineRule="auto"/>
        <w:ind w:right="1106"/>
      </w:pPr>
      <w:r>
        <w:t>Que no dispone de clasificación en vigor ni tiene en tramitación ninguna solicitud de clasificación o de revisión de clasificación con ningún otro órgano competente.</w:t>
      </w:r>
    </w:p>
    <w:p w:rsidR="0092635B" w:rsidRDefault="00000000">
      <w:pPr>
        <w:pStyle w:val="Textoindependiente"/>
        <w:spacing w:before="1" w:line="249" w:lineRule="auto"/>
        <w:ind w:right="1103"/>
      </w:pPr>
      <w:r>
        <w:t>Que dispone de clasificación en vigor otorgada por otros órganos competentes, cuya relación incluye en la declaración, y que ha presentado ante ellos su renuncia en los</w:t>
      </w:r>
      <w:r>
        <w:rPr>
          <w:spacing w:val="40"/>
        </w:rPr>
        <w:t xml:space="preserve"> </w:t>
      </w:r>
      <w:r>
        <w:t>términos y con los efectos recogidos en esta norma.</w:t>
      </w:r>
    </w:p>
    <w:p w:rsidR="0092635B" w:rsidRDefault="00000000">
      <w:pPr>
        <w:pStyle w:val="Textoindependiente"/>
        <w:spacing w:before="3" w:line="249" w:lineRule="auto"/>
        <w:ind w:right="1102"/>
      </w:pPr>
      <w:r>
        <w:t>Que tiene en tramitación solicitudes de clasificación o de revisión de clasificación presentadas ante otros órganos competentes, cuya relación incluye en la declaración, y que ha</w:t>
      </w:r>
      <w:r>
        <w:rPr>
          <w:spacing w:val="-2"/>
        </w:rPr>
        <w:t xml:space="preserve"> </w:t>
      </w:r>
      <w:r>
        <w:t>presentado</w:t>
      </w:r>
      <w:r>
        <w:rPr>
          <w:spacing w:val="-2"/>
        </w:rPr>
        <w:t xml:space="preserve"> </w:t>
      </w:r>
      <w:r>
        <w:t>ante</w:t>
      </w:r>
      <w:r>
        <w:rPr>
          <w:spacing w:val="-2"/>
        </w:rPr>
        <w:t xml:space="preserve"> </w:t>
      </w:r>
      <w:r>
        <w:t>ellos</w:t>
      </w:r>
      <w:r>
        <w:rPr>
          <w:spacing w:val="-2"/>
        </w:rPr>
        <w:t xml:space="preserve"> </w:t>
      </w:r>
      <w:r>
        <w:t>su</w:t>
      </w:r>
      <w:r>
        <w:rPr>
          <w:spacing w:val="-2"/>
        </w:rPr>
        <w:t xml:space="preserve"> </w:t>
      </w:r>
      <w:r>
        <w:t>desistimiento</w:t>
      </w:r>
      <w:r>
        <w:rPr>
          <w:spacing w:val="-2"/>
        </w:rPr>
        <w:t xml:space="preserve"> </w:t>
      </w:r>
      <w:r>
        <w:t>en</w:t>
      </w:r>
      <w:r>
        <w:rPr>
          <w:spacing w:val="-2"/>
        </w:rPr>
        <w:t xml:space="preserve"> </w:t>
      </w:r>
      <w:r>
        <w:t>los</w:t>
      </w:r>
      <w:r>
        <w:rPr>
          <w:spacing w:val="-2"/>
        </w:rPr>
        <w:t xml:space="preserve"> </w:t>
      </w:r>
      <w:r>
        <w:t>términos</w:t>
      </w:r>
      <w:r>
        <w:rPr>
          <w:spacing w:val="-2"/>
        </w:rPr>
        <w:t xml:space="preserve"> </w:t>
      </w:r>
      <w:r>
        <w:t>y</w:t>
      </w:r>
      <w:r>
        <w:rPr>
          <w:spacing w:val="-2"/>
        </w:rPr>
        <w:t xml:space="preserve"> </w:t>
      </w:r>
      <w:r>
        <w:t>con</w:t>
      </w:r>
      <w:r>
        <w:rPr>
          <w:spacing w:val="-2"/>
        </w:rPr>
        <w:t xml:space="preserve"> </w:t>
      </w:r>
      <w:r>
        <w:t>los</w:t>
      </w:r>
      <w:r>
        <w:rPr>
          <w:spacing w:val="-2"/>
        </w:rPr>
        <w:t xml:space="preserve"> </w:t>
      </w:r>
      <w:r>
        <w:t>efectos</w:t>
      </w:r>
      <w:r>
        <w:rPr>
          <w:spacing w:val="-2"/>
        </w:rPr>
        <w:t xml:space="preserve"> </w:t>
      </w:r>
      <w:r>
        <w:t>recogidos</w:t>
      </w:r>
      <w:r>
        <w:rPr>
          <w:spacing w:val="-2"/>
        </w:rPr>
        <w:t xml:space="preserve"> </w:t>
      </w:r>
      <w:r>
        <w:t>en</w:t>
      </w:r>
      <w:r>
        <w:rPr>
          <w:spacing w:val="-2"/>
        </w:rPr>
        <w:t xml:space="preserve"> </w:t>
      </w:r>
      <w:r>
        <w:t xml:space="preserve">esta </w:t>
      </w:r>
      <w:r>
        <w:rPr>
          <w:spacing w:val="-2"/>
        </w:rPr>
        <w:t>norma.</w:t>
      </w:r>
    </w:p>
    <w:p w:rsidR="0092635B" w:rsidRDefault="00000000">
      <w:pPr>
        <w:pStyle w:val="Textoindependiente"/>
        <w:spacing w:before="3" w:line="249" w:lineRule="auto"/>
        <w:ind w:right="1103"/>
      </w:pPr>
      <w:r>
        <w:t>Los procedimientos de clasificación o de revisión de clasificación a solicitud de</w:t>
      </w:r>
      <w:r>
        <w:rPr>
          <w:spacing w:val="40"/>
        </w:rPr>
        <w:t xml:space="preserve"> </w:t>
      </w:r>
      <w:r>
        <w:t xml:space="preserve">interesado que estuvieren en tramitación a la fecha de entrada en vigor de esta norma quedarán suspendidos desde dicha fecha hasta que el interesado aporte las declaraciones previstas en el apartado anterior, con los efectos previstos en el artículo 95 de la Ley 39/2015, de 1 de octubre, del Procedimiento Administrativo Común de las Administraciones </w:t>
      </w:r>
      <w:r>
        <w:rPr>
          <w:spacing w:val="-2"/>
        </w:rPr>
        <w:t>Públicas.</w:t>
      </w:r>
    </w:p>
    <w:p w:rsidR="0092635B" w:rsidRDefault="0092635B">
      <w:pPr>
        <w:pStyle w:val="Textoindependiente"/>
        <w:ind w:left="0" w:firstLine="0"/>
        <w:jc w:val="left"/>
      </w:pPr>
    </w:p>
    <w:p w:rsidR="0092635B" w:rsidRDefault="00000000">
      <w:pPr>
        <w:ind w:left="1106"/>
        <w:jc w:val="both"/>
        <w:rPr>
          <w:rFonts w:ascii="Arial" w:hAnsi="Arial"/>
          <w:i/>
          <w:sz w:val="20"/>
        </w:rPr>
      </w:pPr>
      <w:bookmarkStart w:id="653" w:name="[Disposiciones_derogatorias]"/>
      <w:bookmarkStart w:id="654" w:name="Disposición_derogatoria._Derogación_norm"/>
      <w:bookmarkStart w:id="655" w:name="_bookmark123"/>
      <w:bookmarkEnd w:id="653"/>
      <w:bookmarkEnd w:id="654"/>
      <w:bookmarkEnd w:id="655"/>
      <w:r>
        <w:rPr>
          <w:rFonts w:ascii="Arial" w:hAnsi="Arial"/>
          <w:b/>
          <w:sz w:val="20"/>
        </w:rPr>
        <w:t>Disposición</w:t>
      </w:r>
      <w:r>
        <w:rPr>
          <w:rFonts w:ascii="Arial" w:hAnsi="Arial"/>
          <w:b/>
          <w:spacing w:val="-3"/>
          <w:sz w:val="20"/>
        </w:rPr>
        <w:t xml:space="preserve"> </w:t>
      </w:r>
      <w:r>
        <w:rPr>
          <w:rFonts w:ascii="Arial" w:hAnsi="Arial"/>
          <w:b/>
          <w:sz w:val="20"/>
        </w:rPr>
        <w:t>derogatoria.</w:t>
      </w:r>
      <w:r>
        <w:rPr>
          <w:rFonts w:ascii="Arial" w:hAnsi="Arial"/>
          <w:b/>
          <w:spacing w:val="50"/>
          <w:sz w:val="20"/>
        </w:rPr>
        <w:t xml:space="preserve"> </w:t>
      </w:r>
      <w:r>
        <w:rPr>
          <w:rFonts w:ascii="Arial" w:hAnsi="Arial"/>
          <w:i/>
          <w:sz w:val="20"/>
        </w:rPr>
        <w:t>Derogación</w:t>
      </w:r>
      <w:r>
        <w:rPr>
          <w:rFonts w:ascii="Arial" w:hAnsi="Arial"/>
          <w:i/>
          <w:spacing w:val="-2"/>
          <w:sz w:val="20"/>
        </w:rPr>
        <w:t xml:space="preserve"> normativa.</w:t>
      </w:r>
    </w:p>
    <w:p w:rsidR="0092635B" w:rsidRDefault="00000000">
      <w:pPr>
        <w:pStyle w:val="Textoindependiente"/>
        <w:spacing w:before="123" w:line="249" w:lineRule="auto"/>
        <w:ind w:right="1104"/>
      </w:pPr>
      <w:r>
        <w:t>Queda derogado el texto refundido de la Ley de Contratos del Sector Público aprobado por Real Decreto Legislativo 3/2011 de 14 de noviembre, así como cuantas disposiciones de igual o inferior rango se opongan a lo dispuesto en la presente Ley.</w:t>
      </w:r>
    </w:p>
    <w:p w:rsidR="0092635B" w:rsidRDefault="00000000">
      <w:pPr>
        <w:spacing w:before="229"/>
        <w:ind w:left="1106"/>
        <w:rPr>
          <w:rFonts w:ascii="Arial" w:hAnsi="Arial"/>
          <w:i/>
          <w:sz w:val="20"/>
        </w:rPr>
      </w:pPr>
      <w:bookmarkStart w:id="656" w:name="[Disposiciones_finales]"/>
      <w:bookmarkStart w:id="657" w:name="Disposición_final_primera._Títulos_compe"/>
      <w:bookmarkStart w:id="658" w:name="_bookmark124"/>
      <w:bookmarkEnd w:id="656"/>
      <w:bookmarkEnd w:id="657"/>
      <w:bookmarkEnd w:id="658"/>
      <w:r>
        <w:rPr>
          <w:rFonts w:ascii="Arial" w:hAnsi="Arial"/>
          <w:b/>
          <w:sz w:val="20"/>
        </w:rPr>
        <w:t>Disposición final primera.</w:t>
      </w:r>
      <w:r>
        <w:rPr>
          <w:rFonts w:ascii="Arial" w:hAnsi="Arial"/>
          <w:b/>
          <w:spacing w:val="54"/>
          <w:sz w:val="20"/>
        </w:rPr>
        <w:t xml:space="preserve"> </w:t>
      </w:r>
      <w:r>
        <w:rPr>
          <w:rFonts w:ascii="Arial" w:hAnsi="Arial"/>
          <w:i/>
          <w:sz w:val="20"/>
        </w:rPr>
        <w:t xml:space="preserve">Títulos </w:t>
      </w:r>
      <w:r>
        <w:rPr>
          <w:rFonts w:ascii="Arial" w:hAnsi="Arial"/>
          <w:i/>
          <w:spacing w:val="-2"/>
          <w:sz w:val="20"/>
        </w:rPr>
        <w:t>competenciales.</w:t>
      </w:r>
    </w:p>
    <w:p w:rsidR="0092635B" w:rsidRDefault="00000000">
      <w:pPr>
        <w:pStyle w:val="Prrafodelista"/>
        <w:numPr>
          <w:ilvl w:val="0"/>
          <w:numId w:val="37"/>
        </w:numPr>
        <w:tabs>
          <w:tab w:val="left" w:pos="1684"/>
        </w:tabs>
        <w:spacing w:before="124" w:line="249" w:lineRule="auto"/>
        <w:ind w:firstLine="340"/>
        <w:jc w:val="both"/>
        <w:rPr>
          <w:sz w:val="20"/>
        </w:rPr>
      </w:pPr>
      <w:r>
        <w:rPr>
          <w:sz w:val="20"/>
        </w:rPr>
        <w:t>El artículo 27 se dicta al amparo de la regla 6.ª del artículo 149.1 de la Constitución, que atribuye al Estado la competencia sobre «legislación procesal, sin perjuicio de las necesarias especialidades que en este orden se deriven de las particularidades del derecho sustantivo de las Comunidades Autónomas».</w:t>
      </w:r>
    </w:p>
    <w:p w:rsidR="0092635B" w:rsidRDefault="00000000">
      <w:pPr>
        <w:pStyle w:val="Prrafodelista"/>
        <w:numPr>
          <w:ilvl w:val="0"/>
          <w:numId w:val="37"/>
        </w:numPr>
        <w:tabs>
          <w:tab w:val="left" w:pos="1683"/>
        </w:tabs>
        <w:spacing w:before="3" w:line="249" w:lineRule="auto"/>
        <w:ind w:right="1104" w:firstLine="340"/>
        <w:jc w:val="both"/>
        <w:rPr>
          <w:sz w:val="20"/>
        </w:rPr>
      </w:pPr>
      <w:r>
        <w:rPr>
          <w:sz w:val="20"/>
        </w:rPr>
        <w:t>Los artículos que se indican a continuación se dictan al amparo de las competencias exclusivas que corresponden al Estado para dictar la legislación civil y mercantil en virtud de lo dispuesto en el artículo 149.1.6.ª y 8.ª de la Constitución, artículo 271.1, artículo 272.1 y 2, artículo 273.1, artículo 274, artículo 275 y artículo 276.</w:t>
      </w:r>
    </w:p>
    <w:p w:rsidR="0092635B" w:rsidRDefault="00000000">
      <w:pPr>
        <w:pStyle w:val="Prrafodelista"/>
        <w:numPr>
          <w:ilvl w:val="0"/>
          <w:numId w:val="37"/>
        </w:numPr>
        <w:tabs>
          <w:tab w:val="left" w:pos="1691"/>
        </w:tabs>
        <w:spacing w:before="3" w:line="249" w:lineRule="auto"/>
        <w:ind w:firstLine="340"/>
        <w:jc w:val="both"/>
        <w:rPr>
          <w:sz w:val="20"/>
        </w:rPr>
      </w:pPr>
      <w:r>
        <w:rPr>
          <w:sz w:val="20"/>
        </w:rPr>
        <w:t>El apartado 3 del artículo 347 constituye legislación básica y se dicta al amparo del artículo 149.1.18 de la Constitución en materia de «bases del régimen jurídico de las Administraciones Públicas». Por su parte, los restantes artículos de la presente Ley constituyen legislación básica dictada al amparo del artículo 149.1.18.ª de la Constitución en materia de legislación básica sobre contratos y concesiones administrativas y, en consecuencia,</w:t>
      </w:r>
      <w:r>
        <w:rPr>
          <w:spacing w:val="-2"/>
          <w:sz w:val="20"/>
        </w:rPr>
        <w:t xml:space="preserve"> </w:t>
      </w:r>
      <w:r>
        <w:rPr>
          <w:sz w:val="20"/>
        </w:rPr>
        <w:t>son</w:t>
      </w:r>
      <w:r>
        <w:rPr>
          <w:spacing w:val="-2"/>
          <w:sz w:val="20"/>
        </w:rPr>
        <w:t xml:space="preserve"> </w:t>
      </w:r>
      <w:r>
        <w:rPr>
          <w:sz w:val="20"/>
        </w:rPr>
        <w:t>de</w:t>
      </w:r>
      <w:r>
        <w:rPr>
          <w:spacing w:val="-2"/>
          <w:sz w:val="20"/>
        </w:rPr>
        <w:t xml:space="preserve"> </w:t>
      </w:r>
      <w:r>
        <w:rPr>
          <w:sz w:val="20"/>
        </w:rPr>
        <w:t>aplicación</w:t>
      </w:r>
      <w:r>
        <w:rPr>
          <w:spacing w:val="-2"/>
          <w:sz w:val="20"/>
        </w:rPr>
        <w:t xml:space="preserve"> </w:t>
      </w:r>
      <w:r>
        <w:rPr>
          <w:sz w:val="20"/>
        </w:rPr>
        <w:t>general</w:t>
      </w:r>
      <w:r>
        <w:rPr>
          <w:spacing w:val="-2"/>
          <w:sz w:val="20"/>
        </w:rPr>
        <w:t xml:space="preserve"> </w:t>
      </w:r>
      <w:r>
        <w:rPr>
          <w:sz w:val="20"/>
        </w:rPr>
        <w:t>a</w:t>
      </w:r>
      <w:r>
        <w:rPr>
          <w:spacing w:val="-2"/>
          <w:sz w:val="20"/>
        </w:rPr>
        <w:t xml:space="preserve"> </w:t>
      </w:r>
      <w:r>
        <w:rPr>
          <w:sz w:val="20"/>
        </w:rPr>
        <w:t>todas</w:t>
      </w:r>
      <w:r>
        <w:rPr>
          <w:spacing w:val="-2"/>
          <w:sz w:val="20"/>
        </w:rPr>
        <w:t xml:space="preserve"> </w:t>
      </w:r>
      <w:r>
        <w:rPr>
          <w:sz w:val="20"/>
        </w:rPr>
        <w:t>las</w:t>
      </w:r>
      <w:r>
        <w:rPr>
          <w:spacing w:val="-2"/>
          <w:sz w:val="20"/>
        </w:rPr>
        <w:t xml:space="preserve"> </w:t>
      </w:r>
      <w:r>
        <w:rPr>
          <w:sz w:val="20"/>
        </w:rPr>
        <w:t>Administraciones</w:t>
      </w:r>
      <w:r>
        <w:rPr>
          <w:spacing w:val="-2"/>
          <w:sz w:val="20"/>
        </w:rPr>
        <w:t xml:space="preserve"> </w:t>
      </w:r>
      <w:r>
        <w:rPr>
          <w:sz w:val="20"/>
        </w:rPr>
        <w:t>Públicas</w:t>
      </w:r>
      <w:r>
        <w:rPr>
          <w:spacing w:val="-2"/>
          <w:sz w:val="20"/>
        </w:rPr>
        <w:t xml:space="preserve"> </w:t>
      </w:r>
      <w:r>
        <w:rPr>
          <w:sz w:val="20"/>
        </w:rPr>
        <w:t>y</w:t>
      </w:r>
      <w:r>
        <w:rPr>
          <w:spacing w:val="-2"/>
          <w:sz w:val="20"/>
        </w:rPr>
        <w:t xml:space="preserve"> </w:t>
      </w:r>
      <w:r>
        <w:rPr>
          <w:sz w:val="20"/>
        </w:rPr>
        <w:t>organismos y entidades dependientes de ellas.</w:t>
      </w:r>
    </w:p>
    <w:p w:rsidR="0092635B" w:rsidRDefault="00000000">
      <w:pPr>
        <w:pStyle w:val="Textoindependiente"/>
        <w:spacing w:before="20"/>
        <w:ind w:left="0" w:firstLine="0"/>
        <w:jc w:val="left"/>
      </w:pPr>
      <w:r>
        <w:rPr>
          <w:noProof/>
        </w:rPr>
        <mc:AlternateContent>
          <mc:Choice Requires="wps">
            <w:drawing>
              <wp:anchor distT="0" distB="0" distL="0" distR="0" simplePos="0" relativeHeight="487597568" behindDoc="1" locked="0" layoutInCell="1" allowOverlap="1">
                <wp:simplePos x="0" y="0"/>
                <wp:positionH relativeFrom="page">
                  <wp:posOffset>1156762</wp:posOffset>
                </wp:positionH>
                <wp:positionV relativeFrom="paragraph">
                  <wp:posOffset>179057</wp:posOffset>
                </wp:positionV>
                <wp:extent cx="5247005" cy="78676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78676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69" w:right="267" w:firstLine="340"/>
                              <w:jc w:val="both"/>
                              <w:rPr>
                                <w:color w:val="000000"/>
                                <w:sz w:val="18"/>
                              </w:rPr>
                            </w:pPr>
                            <w:r>
                              <w:rPr>
                                <w:color w:val="000000"/>
                                <w:sz w:val="18"/>
                              </w:rPr>
                              <w:t>Téngase</w:t>
                            </w:r>
                            <w:r>
                              <w:rPr>
                                <w:color w:val="000000"/>
                                <w:spacing w:val="-3"/>
                                <w:sz w:val="18"/>
                              </w:rPr>
                              <w:t xml:space="preserve"> </w:t>
                            </w:r>
                            <w:r>
                              <w:rPr>
                                <w:color w:val="000000"/>
                                <w:sz w:val="18"/>
                              </w:rPr>
                              <w:t>en</w:t>
                            </w:r>
                            <w:r>
                              <w:rPr>
                                <w:color w:val="000000"/>
                                <w:spacing w:val="-3"/>
                                <w:sz w:val="18"/>
                              </w:rPr>
                              <w:t xml:space="preserve"> </w:t>
                            </w:r>
                            <w:r>
                              <w:rPr>
                                <w:color w:val="000000"/>
                                <w:sz w:val="18"/>
                              </w:rPr>
                              <w:t>cuenta</w:t>
                            </w:r>
                            <w:r>
                              <w:rPr>
                                <w:color w:val="000000"/>
                                <w:spacing w:val="-3"/>
                                <w:sz w:val="18"/>
                              </w:rPr>
                              <w:t xml:space="preserve"> </w:t>
                            </w:r>
                            <w:r>
                              <w:rPr>
                                <w:color w:val="000000"/>
                                <w:sz w:val="18"/>
                              </w:rPr>
                              <w:t>que</w:t>
                            </w:r>
                            <w:r>
                              <w:rPr>
                                <w:color w:val="000000"/>
                                <w:spacing w:val="-3"/>
                                <w:sz w:val="18"/>
                              </w:rPr>
                              <w:t xml:space="preserve"> </w:t>
                            </w:r>
                            <w:r>
                              <w:rPr>
                                <w:color w:val="000000"/>
                                <w:sz w:val="18"/>
                              </w:rPr>
                              <w:t>se</w:t>
                            </w:r>
                            <w:r>
                              <w:rPr>
                                <w:color w:val="000000"/>
                                <w:spacing w:val="-3"/>
                                <w:sz w:val="18"/>
                              </w:rPr>
                              <w:t xml:space="preserve"> </w:t>
                            </w:r>
                            <w:r>
                              <w:rPr>
                                <w:color w:val="000000"/>
                                <w:sz w:val="18"/>
                              </w:rPr>
                              <w:t>declara</w:t>
                            </w:r>
                            <w:r>
                              <w:rPr>
                                <w:color w:val="000000"/>
                                <w:spacing w:val="-3"/>
                                <w:sz w:val="18"/>
                              </w:rPr>
                              <w:t xml:space="preserve"> </w:t>
                            </w:r>
                            <w:r>
                              <w:rPr>
                                <w:color w:val="000000"/>
                                <w:sz w:val="18"/>
                              </w:rPr>
                              <w:t>que</w:t>
                            </w:r>
                            <w:r>
                              <w:rPr>
                                <w:color w:val="000000"/>
                                <w:spacing w:val="-3"/>
                                <w:sz w:val="18"/>
                              </w:rPr>
                              <w:t xml:space="preserve"> </w:t>
                            </w:r>
                            <w:r>
                              <w:rPr>
                                <w:color w:val="000000"/>
                                <w:sz w:val="18"/>
                              </w:rPr>
                              <w:t>el</w:t>
                            </w:r>
                            <w:r>
                              <w:rPr>
                                <w:color w:val="000000"/>
                                <w:spacing w:val="-3"/>
                                <w:sz w:val="18"/>
                              </w:rPr>
                              <w:t xml:space="preserve"> </w:t>
                            </w:r>
                            <w:r>
                              <w:rPr>
                                <w:color w:val="000000"/>
                                <w:sz w:val="18"/>
                              </w:rPr>
                              <w:t>párrafo</w:t>
                            </w:r>
                            <w:r>
                              <w:rPr>
                                <w:color w:val="000000"/>
                                <w:spacing w:val="-3"/>
                                <w:sz w:val="18"/>
                              </w:rPr>
                              <w:t xml:space="preserve"> </w:t>
                            </w:r>
                            <w:r>
                              <w:rPr>
                                <w:color w:val="000000"/>
                                <w:sz w:val="18"/>
                              </w:rPr>
                              <w:t>primero</w:t>
                            </w:r>
                            <w:r>
                              <w:rPr>
                                <w:color w:val="000000"/>
                                <w:spacing w:val="-3"/>
                                <w:sz w:val="18"/>
                              </w:rPr>
                              <w:t xml:space="preserve"> </w:t>
                            </w:r>
                            <w:r>
                              <w:rPr>
                                <w:color w:val="000000"/>
                                <w:sz w:val="18"/>
                              </w:rPr>
                              <w:t>del</w:t>
                            </w:r>
                            <w:r>
                              <w:rPr>
                                <w:color w:val="000000"/>
                                <w:spacing w:val="-3"/>
                                <w:sz w:val="18"/>
                              </w:rPr>
                              <w:t xml:space="preserve"> </w:t>
                            </w:r>
                            <w:r>
                              <w:rPr>
                                <w:color w:val="000000"/>
                                <w:sz w:val="18"/>
                              </w:rPr>
                              <w:t>apartado</w:t>
                            </w:r>
                            <w:r>
                              <w:rPr>
                                <w:color w:val="000000"/>
                                <w:spacing w:val="-3"/>
                                <w:sz w:val="18"/>
                              </w:rPr>
                              <w:t xml:space="preserve"> </w:t>
                            </w:r>
                            <w:r>
                              <w:rPr>
                                <w:color w:val="000000"/>
                                <w:sz w:val="18"/>
                              </w:rPr>
                              <w:t>3</w:t>
                            </w:r>
                            <w:r>
                              <w:rPr>
                                <w:color w:val="000000"/>
                                <w:spacing w:val="-3"/>
                                <w:sz w:val="18"/>
                              </w:rPr>
                              <w:t xml:space="preserve"> </w:t>
                            </w:r>
                            <w:r>
                              <w:rPr>
                                <w:color w:val="000000"/>
                                <w:sz w:val="18"/>
                              </w:rPr>
                              <w:t>es</w:t>
                            </w:r>
                            <w:r>
                              <w:rPr>
                                <w:color w:val="000000"/>
                                <w:spacing w:val="-3"/>
                                <w:sz w:val="18"/>
                              </w:rPr>
                              <w:t xml:space="preserve"> </w:t>
                            </w:r>
                            <w:r>
                              <w:rPr>
                                <w:color w:val="000000"/>
                                <w:sz w:val="18"/>
                              </w:rPr>
                              <w:t>conforme</w:t>
                            </w:r>
                            <w:r>
                              <w:rPr>
                                <w:color w:val="000000"/>
                                <w:spacing w:val="-3"/>
                                <w:sz w:val="18"/>
                              </w:rPr>
                              <w:t xml:space="preserve"> </w:t>
                            </w:r>
                            <w:r>
                              <w:rPr>
                                <w:color w:val="000000"/>
                                <w:sz w:val="18"/>
                              </w:rPr>
                              <w:t>con</w:t>
                            </w:r>
                            <w:r>
                              <w:rPr>
                                <w:color w:val="000000"/>
                                <w:spacing w:val="-3"/>
                                <w:sz w:val="18"/>
                              </w:rPr>
                              <w:t xml:space="preserve"> </w:t>
                            </w:r>
                            <w:r>
                              <w:rPr>
                                <w:color w:val="000000"/>
                                <w:sz w:val="18"/>
                              </w:rPr>
                              <w:t>el orden constitucional de competencias, siempre que se interprete en los términos establecidos</w:t>
                            </w:r>
                            <w:r>
                              <w:rPr>
                                <w:color w:val="000000"/>
                                <w:spacing w:val="40"/>
                                <w:sz w:val="18"/>
                              </w:rPr>
                              <w:t xml:space="preserve"> </w:t>
                            </w:r>
                            <w:r>
                              <w:rPr>
                                <w:color w:val="000000"/>
                                <w:sz w:val="18"/>
                              </w:rPr>
                              <w:t>en</w:t>
                            </w:r>
                            <w:r>
                              <w:rPr>
                                <w:color w:val="000000"/>
                                <w:spacing w:val="28"/>
                                <w:sz w:val="18"/>
                              </w:rPr>
                              <w:t xml:space="preserve"> </w:t>
                            </w:r>
                            <w:r>
                              <w:rPr>
                                <w:color w:val="000000"/>
                                <w:sz w:val="18"/>
                              </w:rPr>
                              <w:t>el</w:t>
                            </w:r>
                            <w:r>
                              <w:rPr>
                                <w:color w:val="000000"/>
                                <w:spacing w:val="28"/>
                                <w:sz w:val="18"/>
                              </w:rPr>
                              <w:t xml:space="preserve"> </w:t>
                            </w:r>
                            <w:r>
                              <w:rPr>
                                <w:color w:val="000000"/>
                                <w:sz w:val="18"/>
                              </w:rPr>
                              <w:t>fundamento</w:t>
                            </w:r>
                            <w:r>
                              <w:rPr>
                                <w:color w:val="000000"/>
                                <w:spacing w:val="28"/>
                                <w:sz w:val="18"/>
                              </w:rPr>
                              <w:t xml:space="preserve"> </w:t>
                            </w:r>
                            <w:r>
                              <w:rPr>
                                <w:color w:val="000000"/>
                                <w:sz w:val="18"/>
                              </w:rPr>
                              <w:t>jurídico</w:t>
                            </w:r>
                            <w:r>
                              <w:rPr>
                                <w:color w:val="000000"/>
                                <w:spacing w:val="28"/>
                                <w:sz w:val="18"/>
                              </w:rPr>
                              <w:t xml:space="preserve"> </w:t>
                            </w:r>
                            <w:r>
                              <w:rPr>
                                <w:color w:val="000000"/>
                                <w:sz w:val="18"/>
                              </w:rPr>
                              <w:t>10,</w:t>
                            </w:r>
                            <w:r>
                              <w:rPr>
                                <w:color w:val="000000"/>
                                <w:spacing w:val="28"/>
                                <w:sz w:val="18"/>
                              </w:rPr>
                              <w:t xml:space="preserve"> </w:t>
                            </w:r>
                            <w:r>
                              <w:rPr>
                                <w:color w:val="000000"/>
                                <w:sz w:val="18"/>
                              </w:rPr>
                              <w:t>por</w:t>
                            </w:r>
                            <w:r>
                              <w:rPr>
                                <w:color w:val="000000"/>
                                <w:spacing w:val="28"/>
                                <w:sz w:val="18"/>
                              </w:rPr>
                              <w:t xml:space="preserve"> </w:t>
                            </w:r>
                            <w:r>
                              <w:rPr>
                                <w:color w:val="000000"/>
                                <w:sz w:val="18"/>
                              </w:rPr>
                              <w:t>la</w:t>
                            </w:r>
                            <w:r>
                              <w:rPr>
                                <w:color w:val="000000"/>
                                <w:spacing w:val="28"/>
                                <w:sz w:val="18"/>
                              </w:rPr>
                              <w:t xml:space="preserve"> </w:t>
                            </w:r>
                            <w:r>
                              <w:rPr>
                                <w:color w:val="000000"/>
                                <w:sz w:val="18"/>
                              </w:rPr>
                              <w:t>Sentencia</w:t>
                            </w:r>
                            <w:r>
                              <w:rPr>
                                <w:color w:val="000000"/>
                                <w:spacing w:val="28"/>
                                <w:sz w:val="18"/>
                              </w:rPr>
                              <w:t xml:space="preserve"> </w:t>
                            </w:r>
                            <w:r>
                              <w:rPr>
                                <w:color w:val="000000"/>
                                <w:sz w:val="18"/>
                              </w:rPr>
                              <w:t>del</w:t>
                            </w:r>
                            <w:r>
                              <w:rPr>
                                <w:color w:val="000000"/>
                                <w:spacing w:val="28"/>
                                <w:sz w:val="18"/>
                              </w:rPr>
                              <w:t xml:space="preserve"> </w:t>
                            </w:r>
                            <w:r>
                              <w:rPr>
                                <w:color w:val="000000"/>
                                <w:sz w:val="18"/>
                              </w:rPr>
                              <w:t>TC</w:t>
                            </w:r>
                            <w:r>
                              <w:rPr>
                                <w:color w:val="000000"/>
                                <w:spacing w:val="28"/>
                                <w:sz w:val="18"/>
                              </w:rPr>
                              <w:t xml:space="preserve"> </w:t>
                            </w:r>
                            <w:r>
                              <w:rPr>
                                <w:color w:val="000000"/>
                                <w:sz w:val="18"/>
                              </w:rPr>
                              <w:t>68/2021,</w:t>
                            </w:r>
                            <w:r>
                              <w:rPr>
                                <w:color w:val="000000"/>
                                <w:spacing w:val="28"/>
                                <w:sz w:val="18"/>
                              </w:rPr>
                              <w:t xml:space="preserve"> </w:t>
                            </w:r>
                            <w:r>
                              <w:rPr>
                                <w:color w:val="000000"/>
                                <w:sz w:val="18"/>
                              </w:rPr>
                              <w:t>de</w:t>
                            </w:r>
                            <w:r>
                              <w:rPr>
                                <w:color w:val="000000"/>
                                <w:spacing w:val="28"/>
                                <w:sz w:val="18"/>
                              </w:rPr>
                              <w:t xml:space="preserve"> </w:t>
                            </w:r>
                            <w:r>
                              <w:rPr>
                                <w:color w:val="000000"/>
                                <w:sz w:val="18"/>
                              </w:rPr>
                              <w:t>18</w:t>
                            </w:r>
                            <w:r>
                              <w:rPr>
                                <w:color w:val="000000"/>
                                <w:spacing w:val="28"/>
                                <w:sz w:val="18"/>
                              </w:rPr>
                              <w:t xml:space="preserve"> </w:t>
                            </w:r>
                            <w:r>
                              <w:rPr>
                                <w:color w:val="000000"/>
                                <w:sz w:val="18"/>
                              </w:rPr>
                              <w:t>de</w:t>
                            </w:r>
                            <w:r>
                              <w:rPr>
                                <w:color w:val="000000"/>
                                <w:spacing w:val="28"/>
                                <w:sz w:val="18"/>
                              </w:rPr>
                              <w:t xml:space="preserve"> </w:t>
                            </w:r>
                            <w:r>
                              <w:rPr>
                                <w:color w:val="000000"/>
                                <w:sz w:val="18"/>
                              </w:rPr>
                              <w:t>marzo.</w:t>
                            </w:r>
                            <w:r>
                              <w:rPr>
                                <w:color w:val="000000"/>
                                <w:spacing w:val="27"/>
                                <w:sz w:val="18"/>
                              </w:rPr>
                              <w:t xml:space="preserve"> </w:t>
                            </w:r>
                            <w:hyperlink r:id="rId55">
                              <w:r>
                                <w:rPr>
                                  <w:color w:val="0000FF"/>
                                  <w:sz w:val="18"/>
                                  <w:u w:val="single" w:color="0000FF"/>
                                </w:rPr>
                                <w:t>Ref.</w:t>
                              </w:r>
                              <w:r>
                                <w:rPr>
                                  <w:color w:val="0000FF"/>
                                  <w:spacing w:val="28"/>
                                  <w:sz w:val="18"/>
                                  <w:u w:val="single" w:color="0000FF"/>
                                </w:rPr>
                                <w:t xml:space="preserve"> </w:t>
                              </w:r>
                              <w:r>
                                <w:rPr>
                                  <w:color w:val="0000FF"/>
                                  <w:sz w:val="18"/>
                                  <w:u w:val="single" w:color="0000FF"/>
                                </w:rPr>
                                <w:t>BOE-</w:t>
                              </w:r>
                            </w:hyperlink>
                            <w:r>
                              <w:rPr>
                                <w:color w:val="0000FF"/>
                                <w:sz w:val="18"/>
                              </w:rPr>
                              <w:t xml:space="preserve"> </w:t>
                            </w:r>
                            <w:hyperlink r:id="rId56">
                              <w:r>
                                <w:rPr>
                                  <w:color w:val="0000FF"/>
                                  <w:spacing w:val="-2"/>
                                  <w:sz w:val="18"/>
                                  <w:u w:val="single" w:color="0000FF"/>
                                </w:rPr>
                                <w:t>A-2021-6614</w:t>
                              </w:r>
                            </w:hyperlink>
                          </w:p>
                        </w:txbxContent>
                      </wps:txbx>
                      <wps:bodyPr wrap="square" lIns="0" tIns="0" rIns="0" bIns="0" rtlCol="0">
                        <a:noAutofit/>
                      </wps:bodyPr>
                    </wps:wsp>
                  </a:graphicData>
                </a:graphic>
              </wp:anchor>
            </w:drawing>
          </mc:Choice>
          <mc:Fallback>
            <w:pict>
              <v:shape id="Textbox 27" o:spid="_x0000_s1042" type="#_x0000_t202" style="position:absolute;margin-left:91.1pt;margin-top:14.1pt;width:413.15pt;height:61.9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" fillcolor="#f7f7ff" strokecolor="#9f9f9f">
                <v:path arrowok="t"/>
                <v:textbox inset="0,0,0,0">
                  <w:txbxContent>
                    <w:p w:rsidR="0092635B" w:rsidRDefault="00000000">
                      <w:pPr>
                        <w:spacing w:before="181" w:line="249" w:lineRule="auto"/>
                        <w:ind w:left="269" w:right="267" w:firstLine="340"/>
                        <w:jc w:val="both"/>
                        <w:rPr>
                          <w:color w:val="000000"/>
                          <w:sz w:val="18"/>
                        </w:rPr>
                      </w:pPr>
                      <w:r>
                        <w:rPr>
                          <w:color w:val="000000"/>
                          <w:sz w:val="18"/>
                        </w:rPr>
                        <w:t>Téngase</w:t>
                      </w:r>
                      <w:r>
                        <w:rPr>
                          <w:color w:val="000000"/>
                          <w:spacing w:val="-3"/>
                          <w:sz w:val="18"/>
                        </w:rPr>
                        <w:t xml:space="preserve"> </w:t>
                      </w:r>
                      <w:r>
                        <w:rPr>
                          <w:color w:val="000000"/>
                          <w:sz w:val="18"/>
                        </w:rPr>
                        <w:t>en</w:t>
                      </w:r>
                      <w:r>
                        <w:rPr>
                          <w:color w:val="000000"/>
                          <w:spacing w:val="-3"/>
                          <w:sz w:val="18"/>
                        </w:rPr>
                        <w:t xml:space="preserve"> </w:t>
                      </w:r>
                      <w:r>
                        <w:rPr>
                          <w:color w:val="000000"/>
                          <w:sz w:val="18"/>
                        </w:rPr>
                        <w:t>cuenta</w:t>
                      </w:r>
                      <w:r>
                        <w:rPr>
                          <w:color w:val="000000"/>
                          <w:spacing w:val="-3"/>
                          <w:sz w:val="18"/>
                        </w:rPr>
                        <w:t xml:space="preserve"> </w:t>
                      </w:r>
                      <w:r>
                        <w:rPr>
                          <w:color w:val="000000"/>
                          <w:sz w:val="18"/>
                        </w:rPr>
                        <w:t>que</w:t>
                      </w:r>
                      <w:r>
                        <w:rPr>
                          <w:color w:val="000000"/>
                          <w:spacing w:val="-3"/>
                          <w:sz w:val="18"/>
                        </w:rPr>
                        <w:t xml:space="preserve"> </w:t>
                      </w:r>
                      <w:r>
                        <w:rPr>
                          <w:color w:val="000000"/>
                          <w:sz w:val="18"/>
                        </w:rPr>
                        <w:t>se</w:t>
                      </w:r>
                      <w:r>
                        <w:rPr>
                          <w:color w:val="000000"/>
                          <w:spacing w:val="-3"/>
                          <w:sz w:val="18"/>
                        </w:rPr>
                        <w:t xml:space="preserve"> </w:t>
                      </w:r>
                      <w:r>
                        <w:rPr>
                          <w:color w:val="000000"/>
                          <w:sz w:val="18"/>
                        </w:rPr>
                        <w:t>declara</w:t>
                      </w:r>
                      <w:r>
                        <w:rPr>
                          <w:color w:val="000000"/>
                          <w:spacing w:val="-3"/>
                          <w:sz w:val="18"/>
                        </w:rPr>
                        <w:t xml:space="preserve"> </w:t>
                      </w:r>
                      <w:r>
                        <w:rPr>
                          <w:color w:val="000000"/>
                          <w:sz w:val="18"/>
                        </w:rPr>
                        <w:t>que</w:t>
                      </w:r>
                      <w:r>
                        <w:rPr>
                          <w:color w:val="000000"/>
                          <w:spacing w:val="-3"/>
                          <w:sz w:val="18"/>
                        </w:rPr>
                        <w:t xml:space="preserve"> </w:t>
                      </w:r>
                      <w:r>
                        <w:rPr>
                          <w:color w:val="000000"/>
                          <w:sz w:val="18"/>
                        </w:rPr>
                        <w:t>el</w:t>
                      </w:r>
                      <w:r>
                        <w:rPr>
                          <w:color w:val="000000"/>
                          <w:spacing w:val="-3"/>
                          <w:sz w:val="18"/>
                        </w:rPr>
                        <w:t xml:space="preserve"> </w:t>
                      </w:r>
                      <w:r>
                        <w:rPr>
                          <w:color w:val="000000"/>
                          <w:sz w:val="18"/>
                        </w:rPr>
                        <w:t>párrafo</w:t>
                      </w:r>
                      <w:r>
                        <w:rPr>
                          <w:color w:val="000000"/>
                          <w:spacing w:val="-3"/>
                          <w:sz w:val="18"/>
                        </w:rPr>
                        <w:t xml:space="preserve"> </w:t>
                      </w:r>
                      <w:r>
                        <w:rPr>
                          <w:color w:val="000000"/>
                          <w:sz w:val="18"/>
                        </w:rPr>
                        <w:t>primero</w:t>
                      </w:r>
                      <w:r>
                        <w:rPr>
                          <w:color w:val="000000"/>
                          <w:spacing w:val="-3"/>
                          <w:sz w:val="18"/>
                        </w:rPr>
                        <w:t xml:space="preserve"> </w:t>
                      </w:r>
                      <w:r>
                        <w:rPr>
                          <w:color w:val="000000"/>
                          <w:sz w:val="18"/>
                        </w:rPr>
                        <w:t>del</w:t>
                      </w:r>
                      <w:r>
                        <w:rPr>
                          <w:color w:val="000000"/>
                          <w:spacing w:val="-3"/>
                          <w:sz w:val="18"/>
                        </w:rPr>
                        <w:t xml:space="preserve"> </w:t>
                      </w:r>
                      <w:r>
                        <w:rPr>
                          <w:color w:val="000000"/>
                          <w:sz w:val="18"/>
                        </w:rPr>
                        <w:t>apartado</w:t>
                      </w:r>
                      <w:r>
                        <w:rPr>
                          <w:color w:val="000000"/>
                          <w:spacing w:val="-3"/>
                          <w:sz w:val="18"/>
                        </w:rPr>
                        <w:t xml:space="preserve"> </w:t>
                      </w:r>
                      <w:r>
                        <w:rPr>
                          <w:color w:val="000000"/>
                          <w:sz w:val="18"/>
                        </w:rPr>
                        <w:t>3</w:t>
                      </w:r>
                      <w:r>
                        <w:rPr>
                          <w:color w:val="000000"/>
                          <w:spacing w:val="-3"/>
                          <w:sz w:val="18"/>
                        </w:rPr>
                        <w:t xml:space="preserve"> </w:t>
                      </w:r>
                      <w:r>
                        <w:rPr>
                          <w:color w:val="000000"/>
                          <w:sz w:val="18"/>
                        </w:rPr>
                        <w:t>es</w:t>
                      </w:r>
                      <w:r>
                        <w:rPr>
                          <w:color w:val="000000"/>
                          <w:spacing w:val="-3"/>
                          <w:sz w:val="18"/>
                        </w:rPr>
                        <w:t xml:space="preserve"> </w:t>
                      </w:r>
                      <w:r>
                        <w:rPr>
                          <w:color w:val="000000"/>
                          <w:sz w:val="18"/>
                        </w:rPr>
                        <w:t>conforme</w:t>
                      </w:r>
                      <w:r>
                        <w:rPr>
                          <w:color w:val="000000"/>
                          <w:spacing w:val="-3"/>
                          <w:sz w:val="18"/>
                        </w:rPr>
                        <w:t xml:space="preserve"> </w:t>
                      </w:r>
                      <w:r>
                        <w:rPr>
                          <w:color w:val="000000"/>
                          <w:sz w:val="18"/>
                        </w:rPr>
                        <w:t>con</w:t>
                      </w:r>
                      <w:r>
                        <w:rPr>
                          <w:color w:val="000000"/>
                          <w:spacing w:val="-3"/>
                          <w:sz w:val="18"/>
                        </w:rPr>
                        <w:t xml:space="preserve"> </w:t>
                      </w:r>
                      <w:r>
                        <w:rPr>
                          <w:color w:val="000000"/>
                          <w:sz w:val="18"/>
                        </w:rPr>
                        <w:t>el orden constitucional de competencias, siempre que se interprete en los términos establecidos</w:t>
                      </w:r>
                      <w:r>
                        <w:rPr>
                          <w:color w:val="000000"/>
                          <w:spacing w:val="40"/>
                          <w:sz w:val="18"/>
                        </w:rPr>
                        <w:t xml:space="preserve"> </w:t>
                      </w:r>
                      <w:r>
                        <w:rPr>
                          <w:color w:val="000000"/>
                          <w:sz w:val="18"/>
                        </w:rPr>
                        <w:t>en</w:t>
                      </w:r>
                      <w:r>
                        <w:rPr>
                          <w:color w:val="000000"/>
                          <w:spacing w:val="28"/>
                          <w:sz w:val="18"/>
                        </w:rPr>
                        <w:t xml:space="preserve"> </w:t>
                      </w:r>
                      <w:r>
                        <w:rPr>
                          <w:color w:val="000000"/>
                          <w:sz w:val="18"/>
                        </w:rPr>
                        <w:t>el</w:t>
                      </w:r>
                      <w:r>
                        <w:rPr>
                          <w:color w:val="000000"/>
                          <w:spacing w:val="28"/>
                          <w:sz w:val="18"/>
                        </w:rPr>
                        <w:t xml:space="preserve"> </w:t>
                      </w:r>
                      <w:r>
                        <w:rPr>
                          <w:color w:val="000000"/>
                          <w:sz w:val="18"/>
                        </w:rPr>
                        <w:t>fundamento</w:t>
                      </w:r>
                      <w:r>
                        <w:rPr>
                          <w:color w:val="000000"/>
                          <w:spacing w:val="28"/>
                          <w:sz w:val="18"/>
                        </w:rPr>
                        <w:t xml:space="preserve"> </w:t>
                      </w:r>
                      <w:r>
                        <w:rPr>
                          <w:color w:val="000000"/>
                          <w:sz w:val="18"/>
                        </w:rPr>
                        <w:t>jurídico</w:t>
                      </w:r>
                      <w:r>
                        <w:rPr>
                          <w:color w:val="000000"/>
                          <w:spacing w:val="28"/>
                          <w:sz w:val="18"/>
                        </w:rPr>
                        <w:t xml:space="preserve"> </w:t>
                      </w:r>
                      <w:r>
                        <w:rPr>
                          <w:color w:val="000000"/>
                          <w:sz w:val="18"/>
                        </w:rPr>
                        <w:t>10,</w:t>
                      </w:r>
                      <w:r>
                        <w:rPr>
                          <w:color w:val="000000"/>
                          <w:spacing w:val="28"/>
                          <w:sz w:val="18"/>
                        </w:rPr>
                        <w:t xml:space="preserve"> </w:t>
                      </w:r>
                      <w:r>
                        <w:rPr>
                          <w:color w:val="000000"/>
                          <w:sz w:val="18"/>
                        </w:rPr>
                        <w:t>por</w:t>
                      </w:r>
                      <w:r>
                        <w:rPr>
                          <w:color w:val="000000"/>
                          <w:spacing w:val="28"/>
                          <w:sz w:val="18"/>
                        </w:rPr>
                        <w:t xml:space="preserve"> </w:t>
                      </w:r>
                      <w:r>
                        <w:rPr>
                          <w:color w:val="000000"/>
                          <w:sz w:val="18"/>
                        </w:rPr>
                        <w:t>la</w:t>
                      </w:r>
                      <w:r>
                        <w:rPr>
                          <w:color w:val="000000"/>
                          <w:spacing w:val="28"/>
                          <w:sz w:val="18"/>
                        </w:rPr>
                        <w:t xml:space="preserve"> </w:t>
                      </w:r>
                      <w:r>
                        <w:rPr>
                          <w:color w:val="000000"/>
                          <w:sz w:val="18"/>
                        </w:rPr>
                        <w:t>Sentencia</w:t>
                      </w:r>
                      <w:r>
                        <w:rPr>
                          <w:color w:val="000000"/>
                          <w:spacing w:val="28"/>
                          <w:sz w:val="18"/>
                        </w:rPr>
                        <w:t xml:space="preserve"> </w:t>
                      </w:r>
                      <w:r>
                        <w:rPr>
                          <w:color w:val="000000"/>
                          <w:sz w:val="18"/>
                        </w:rPr>
                        <w:t>del</w:t>
                      </w:r>
                      <w:r>
                        <w:rPr>
                          <w:color w:val="000000"/>
                          <w:spacing w:val="28"/>
                          <w:sz w:val="18"/>
                        </w:rPr>
                        <w:t xml:space="preserve"> </w:t>
                      </w:r>
                      <w:r>
                        <w:rPr>
                          <w:color w:val="000000"/>
                          <w:sz w:val="18"/>
                        </w:rPr>
                        <w:t>TC</w:t>
                      </w:r>
                      <w:r>
                        <w:rPr>
                          <w:color w:val="000000"/>
                          <w:spacing w:val="28"/>
                          <w:sz w:val="18"/>
                        </w:rPr>
                        <w:t xml:space="preserve"> </w:t>
                      </w:r>
                      <w:r>
                        <w:rPr>
                          <w:color w:val="000000"/>
                          <w:sz w:val="18"/>
                        </w:rPr>
                        <w:t>68/2021,</w:t>
                      </w:r>
                      <w:r>
                        <w:rPr>
                          <w:color w:val="000000"/>
                          <w:spacing w:val="28"/>
                          <w:sz w:val="18"/>
                        </w:rPr>
                        <w:t xml:space="preserve"> </w:t>
                      </w:r>
                      <w:r>
                        <w:rPr>
                          <w:color w:val="000000"/>
                          <w:sz w:val="18"/>
                        </w:rPr>
                        <w:t>de</w:t>
                      </w:r>
                      <w:r>
                        <w:rPr>
                          <w:color w:val="000000"/>
                          <w:spacing w:val="28"/>
                          <w:sz w:val="18"/>
                        </w:rPr>
                        <w:t xml:space="preserve"> </w:t>
                      </w:r>
                      <w:r>
                        <w:rPr>
                          <w:color w:val="000000"/>
                          <w:sz w:val="18"/>
                        </w:rPr>
                        <w:t>18</w:t>
                      </w:r>
                      <w:r>
                        <w:rPr>
                          <w:color w:val="000000"/>
                          <w:spacing w:val="28"/>
                          <w:sz w:val="18"/>
                        </w:rPr>
                        <w:t xml:space="preserve"> </w:t>
                      </w:r>
                      <w:r>
                        <w:rPr>
                          <w:color w:val="000000"/>
                          <w:sz w:val="18"/>
                        </w:rPr>
                        <w:t>de</w:t>
                      </w:r>
                      <w:r>
                        <w:rPr>
                          <w:color w:val="000000"/>
                          <w:spacing w:val="28"/>
                          <w:sz w:val="18"/>
                        </w:rPr>
                        <w:t xml:space="preserve"> </w:t>
                      </w:r>
                      <w:r>
                        <w:rPr>
                          <w:color w:val="000000"/>
                          <w:sz w:val="18"/>
                        </w:rPr>
                        <w:t>marzo.</w:t>
                      </w:r>
                      <w:r>
                        <w:rPr>
                          <w:color w:val="000000"/>
                          <w:spacing w:val="27"/>
                          <w:sz w:val="18"/>
                        </w:rPr>
                        <w:t xml:space="preserve"> </w:t>
                      </w:r>
                      <w:hyperlink r:id="rId57">
                        <w:r>
                          <w:rPr>
                            <w:color w:val="0000FF"/>
                            <w:sz w:val="18"/>
                            <w:u w:val="single" w:color="0000FF"/>
                          </w:rPr>
                          <w:t>Ref.</w:t>
                        </w:r>
                        <w:r>
                          <w:rPr>
                            <w:color w:val="0000FF"/>
                            <w:spacing w:val="28"/>
                            <w:sz w:val="18"/>
                            <w:u w:val="single" w:color="0000FF"/>
                          </w:rPr>
                          <w:t xml:space="preserve"> </w:t>
                        </w:r>
                        <w:r>
                          <w:rPr>
                            <w:color w:val="0000FF"/>
                            <w:sz w:val="18"/>
                            <w:u w:val="single" w:color="0000FF"/>
                          </w:rPr>
                          <w:t>BOE-</w:t>
                        </w:r>
                      </w:hyperlink>
                      <w:r>
                        <w:rPr>
                          <w:color w:val="0000FF"/>
                          <w:sz w:val="18"/>
                        </w:rPr>
                        <w:t xml:space="preserve"> </w:t>
                      </w:r>
                      <w:hyperlink r:id="rId58">
                        <w:r>
                          <w:rPr>
                            <w:color w:val="0000FF"/>
                            <w:spacing w:val="-2"/>
                            <w:sz w:val="18"/>
                            <w:u w:val="single" w:color="0000FF"/>
                          </w:rPr>
                          <w:t>A-2021-6614</w:t>
                        </w:r>
                      </w:hyperlink>
                    </w:p>
                  </w:txbxContent>
                </v:textbox>
                <w10:wrap type="topAndBottom" anchorx="page"/>
              </v:shape>
            </w:pict>
          </mc:Fallback>
        </mc:AlternateContent>
      </w:r>
    </w:p>
    <w:p w:rsidR="0092635B" w:rsidRDefault="0092635B">
      <w:pPr>
        <w:pStyle w:val="Textoindependiente"/>
        <w:jc w:val="left"/>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4"/>
      </w:pPr>
      <w:r>
        <w:t>No obstante, no tendrán carácter básico los siguientes artículos o partes de los mismos: Letra a) del apartado 1 del artículo 21; letra a) del apartado 1 del artículo 22; artículo 30; la letra</w:t>
      </w:r>
      <w:r>
        <w:rPr>
          <w:spacing w:val="-3"/>
        </w:rPr>
        <w:t xml:space="preserve"> </w:t>
      </w:r>
      <w:r>
        <w:t>c)</w:t>
      </w:r>
      <w:r>
        <w:rPr>
          <w:spacing w:val="-2"/>
        </w:rPr>
        <w:t xml:space="preserve"> </w:t>
      </w:r>
      <w:r>
        <w:t>del</w:t>
      </w:r>
      <w:r>
        <w:rPr>
          <w:spacing w:val="-3"/>
        </w:rPr>
        <w:t xml:space="preserve"> </w:t>
      </w:r>
      <w:r>
        <w:t>apartado</w:t>
      </w:r>
      <w:r>
        <w:rPr>
          <w:spacing w:val="-2"/>
        </w:rPr>
        <w:t xml:space="preserve"> </w:t>
      </w:r>
      <w:r>
        <w:t>6</w:t>
      </w:r>
      <w:r>
        <w:rPr>
          <w:spacing w:val="-2"/>
        </w:rPr>
        <w:t xml:space="preserve"> </w:t>
      </w:r>
      <w:r>
        <w:t>del</w:t>
      </w:r>
      <w:r>
        <w:rPr>
          <w:spacing w:val="-3"/>
        </w:rPr>
        <w:t xml:space="preserve"> </w:t>
      </w:r>
      <w:r>
        <w:t>artículo</w:t>
      </w:r>
      <w:r>
        <w:rPr>
          <w:spacing w:val="-2"/>
        </w:rPr>
        <w:t xml:space="preserve"> </w:t>
      </w:r>
      <w:r>
        <w:t>32;</w:t>
      </w:r>
      <w:r>
        <w:rPr>
          <w:spacing w:val="-2"/>
        </w:rPr>
        <w:t xml:space="preserve"> </w:t>
      </w:r>
      <w:r>
        <w:t>artículos</w:t>
      </w:r>
      <w:r>
        <w:rPr>
          <w:spacing w:val="-3"/>
        </w:rPr>
        <w:t xml:space="preserve"> </w:t>
      </w:r>
      <w:r>
        <w:t>45</w:t>
      </w:r>
      <w:r>
        <w:rPr>
          <w:spacing w:val="-2"/>
        </w:rPr>
        <w:t xml:space="preserve"> </w:t>
      </w:r>
      <w:r>
        <w:t>y</w:t>
      </w:r>
      <w:r>
        <w:rPr>
          <w:spacing w:val="-2"/>
        </w:rPr>
        <w:t xml:space="preserve"> </w:t>
      </w:r>
      <w:r>
        <w:t>46.1</w:t>
      </w:r>
      <w:r>
        <w:rPr>
          <w:spacing w:val="-3"/>
        </w:rPr>
        <w:t xml:space="preserve"> </w:t>
      </w:r>
      <w:r>
        <w:t>a</w:t>
      </w:r>
      <w:r>
        <w:rPr>
          <w:spacing w:val="-2"/>
        </w:rPr>
        <w:t xml:space="preserve"> </w:t>
      </w:r>
      <w:r>
        <w:t>46.3;</w:t>
      </w:r>
      <w:r>
        <w:rPr>
          <w:spacing w:val="-2"/>
        </w:rPr>
        <w:t xml:space="preserve"> </w:t>
      </w:r>
      <w:r>
        <w:t>artículo</w:t>
      </w:r>
      <w:r>
        <w:rPr>
          <w:spacing w:val="-3"/>
        </w:rPr>
        <w:t xml:space="preserve"> </w:t>
      </w:r>
      <w:r>
        <w:t>69.3;</w:t>
      </w:r>
      <w:r>
        <w:rPr>
          <w:spacing w:val="-2"/>
        </w:rPr>
        <w:t xml:space="preserve"> </w:t>
      </w:r>
      <w:r>
        <w:t>artículo</w:t>
      </w:r>
      <w:r>
        <w:rPr>
          <w:spacing w:val="-2"/>
        </w:rPr>
        <w:t xml:space="preserve"> 71.1.f);</w:t>
      </w:r>
    </w:p>
    <w:p w:rsidR="0092635B" w:rsidRDefault="00000000">
      <w:pPr>
        <w:pStyle w:val="Textoindependiente"/>
        <w:ind w:firstLine="0"/>
      </w:pPr>
      <w:r>
        <w:t>artículo</w:t>
      </w:r>
      <w:r>
        <w:rPr>
          <w:spacing w:val="-2"/>
        </w:rPr>
        <w:t xml:space="preserve"> </w:t>
      </w:r>
      <w:r>
        <w:t>76;</w:t>
      </w:r>
      <w:r>
        <w:rPr>
          <w:spacing w:val="-2"/>
        </w:rPr>
        <w:t xml:space="preserve"> </w:t>
      </w:r>
      <w:r>
        <w:t>artículo</w:t>
      </w:r>
      <w:r>
        <w:rPr>
          <w:spacing w:val="-2"/>
        </w:rPr>
        <w:t xml:space="preserve"> </w:t>
      </w:r>
      <w:r>
        <w:t>83;</w:t>
      </w:r>
      <w:r>
        <w:rPr>
          <w:spacing w:val="-2"/>
        </w:rPr>
        <w:t xml:space="preserve"> </w:t>
      </w:r>
      <w:r>
        <w:t>artículo</w:t>
      </w:r>
      <w:r>
        <w:rPr>
          <w:spacing w:val="-2"/>
        </w:rPr>
        <w:t xml:space="preserve"> </w:t>
      </w:r>
      <w:r>
        <w:t>95;</w:t>
      </w:r>
      <w:r>
        <w:rPr>
          <w:spacing w:val="-2"/>
        </w:rPr>
        <w:t xml:space="preserve"> </w:t>
      </w:r>
      <w:r>
        <w:t>artículo</w:t>
      </w:r>
      <w:r>
        <w:rPr>
          <w:spacing w:val="-2"/>
        </w:rPr>
        <w:t xml:space="preserve"> </w:t>
      </w:r>
      <w:r>
        <w:t>104;</w:t>
      </w:r>
      <w:r>
        <w:rPr>
          <w:spacing w:val="-2"/>
        </w:rPr>
        <w:t xml:space="preserve"> </w:t>
      </w:r>
      <w:r>
        <w:t>artículo</w:t>
      </w:r>
      <w:r>
        <w:rPr>
          <w:spacing w:val="-2"/>
        </w:rPr>
        <w:t xml:space="preserve"> </w:t>
      </w:r>
      <w:r>
        <w:t>105;</w:t>
      </w:r>
      <w:r>
        <w:rPr>
          <w:spacing w:val="-2"/>
        </w:rPr>
        <w:t xml:space="preserve"> </w:t>
      </w:r>
      <w:r>
        <w:t>párrafo</w:t>
      </w:r>
      <w:r>
        <w:rPr>
          <w:spacing w:val="-2"/>
        </w:rPr>
        <w:t xml:space="preserve"> </w:t>
      </w:r>
      <w:r>
        <w:t>segundo</w:t>
      </w:r>
      <w:r>
        <w:rPr>
          <w:spacing w:val="-2"/>
        </w:rPr>
        <w:t xml:space="preserve"> </w:t>
      </w:r>
      <w:r>
        <w:t>del</w:t>
      </w:r>
      <w:r>
        <w:rPr>
          <w:spacing w:val="-2"/>
        </w:rPr>
        <w:t xml:space="preserve"> </w:t>
      </w:r>
      <w:r>
        <w:t>apartado</w:t>
      </w:r>
      <w:r>
        <w:rPr>
          <w:spacing w:val="-2"/>
        </w:rPr>
        <w:t xml:space="preserve"> </w:t>
      </w:r>
      <w:r>
        <w:rPr>
          <w:spacing w:val="-10"/>
        </w:rPr>
        <w:t>1</w:t>
      </w:r>
    </w:p>
    <w:p w:rsidR="0092635B" w:rsidRDefault="00000000">
      <w:pPr>
        <w:pStyle w:val="Textoindependiente"/>
        <w:spacing w:before="10" w:line="249" w:lineRule="auto"/>
        <w:ind w:right="1103" w:hanging="1"/>
      </w:pPr>
      <w:r>
        <w:t>del artículo 107; segundo párrafo del apartado 3 y apartado 5 del artículo 116; artículo 118.4; letras</w:t>
      </w:r>
      <w:r>
        <w:rPr>
          <w:spacing w:val="-3"/>
        </w:rPr>
        <w:t xml:space="preserve"> </w:t>
      </w:r>
      <w:r>
        <w:t>a)</w:t>
      </w:r>
      <w:r>
        <w:rPr>
          <w:spacing w:val="-3"/>
        </w:rPr>
        <w:t xml:space="preserve"> </w:t>
      </w:r>
      <w:r>
        <w:t>y</w:t>
      </w:r>
      <w:r>
        <w:rPr>
          <w:spacing w:val="-3"/>
        </w:rPr>
        <w:t xml:space="preserve"> </w:t>
      </w:r>
      <w:r>
        <w:t>c)</w:t>
      </w:r>
      <w:r>
        <w:rPr>
          <w:spacing w:val="-3"/>
        </w:rPr>
        <w:t xml:space="preserve"> </w:t>
      </w:r>
      <w:r>
        <w:t>del</w:t>
      </w:r>
      <w:r>
        <w:rPr>
          <w:spacing w:val="-3"/>
        </w:rPr>
        <w:t xml:space="preserve"> </w:t>
      </w:r>
      <w:r>
        <w:t>apartado</w:t>
      </w:r>
      <w:r>
        <w:rPr>
          <w:spacing w:val="-3"/>
        </w:rPr>
        <w:t xml:space="preserve"> </w:t>
      </w:r>
      <w:r>
        <w:t>2</w:t>
      </w:r>
      <w:r>
        <w:rPr>
          <w:spacing w:val="-3"/>
        </w:rPr>
        <w:t xml:space="preserve"> </w:t>
      </w:r>
      <w:r>
        <w:t>del</w:t>
      </w:r>
      <w:r>
        <w:rPr>
          <w:spacing w:val="-3"/>
        </w:rPr>
        <w:t xml:space="preserve"> </w:t>
      </w:r>
      <w:r>
        <w:t>artículo</w:t>
      </w:r>
      <w:r>
        <w:rPr>
          <w:spacing w:val="-3"/>
        </w:rPr>
        <w:t xml:space="preserve"> </w:t>
      </w:r>
      <w:r>
        <w:t>119;</w:t>
      </w:r>
      <w:r>
        <w:rPr>
          <w:spacing w:val="-3"/>
        </w:rPr>
        <w:t xml:space="preserve"> </w:t>
      </w:r>
      <w:r>
        <w:t>letra</w:t>
      </w:r>
      <w:r>
        <w:rPr>
          <w:spacing w:val="-3"/>
        </w:rPr>
        <w:t xml:space="preserve"> </w:t>
      </w:r>
      <w:r>
        <w:t>b)</w:t>
      </w:r>
      <w:r>
        <w:rPr>
          <w:spacing w:val="-3"/>
        </w:rPr>
        <w:t xml:space="preserve"> </w:t>
      </w:r>
      <w:r>
        <w:t>del</w:t>
      </w:r>
      <w:r>
        <w:rPr>
          <w:spacing w:val="-3"/>
        </w:rPr>
        <w:t xml:space="preserve"> </w:t>
      </w:r>
      <w:r>
        <w:t>artículo</w:t>
      </w:r>
      <w:r>
        <w:rPr>
          <w:spacing w:val="-3"/>
        </w:rPr>
        <w:t xml:space="preserve"> </w:t>
      </w:r>
      <w:r>
        <w:t>120.1;</w:t>
      </w:r>
      <w:r>
        <w:rPr>
          <w:spacing w:val="-3"/>
        </w:rPr>
        <w:t xml:space="preserve"> </w:t>
      </w:r>
      <w:r>
        <w:t>apartado</w:t>
      </w:r>
      <w:r>
        <w:rPr>
          <w:spacing w:val="-3"/>
        </w:rPr>
        <w:t xml:space="preserve"> </w:t>
      </w:r>
      <w:r>
        <w:t>1</w:t>
      </w:r>
      <w:r>
        <w:rPr>
          <w:spacing w:val="-3"/>
        </w:rPr>
        <w:t xml:space="preserve"> </w:t>
      </w:r>
      <w:r>
        <w:t>del</w:t>
      </w:r>
      <w:r>
        <w:rPr>
          <w:spacing w:val="-3"/>
        </w:rPr>
        <w:t xml:space="preserve"> </w:t>
      </w:r>
      <w:r>
        <w:t>artículo 121;</w:t>
      </w:r>
      <w:r>
        <w:rPr>
          <w:spacing w:val="14"/>
        </w:rPr>
        <w:t xml:space="preserve"> </w:t>
      </w:r>
      <w:r>
        <w:t>apartados</w:t>
      </w:r>
      <w:r>
        <w:rPr>
          <w:spacing w:val="16"/>
        </w:rPr>
        <w:t xml:space="preserve"> </w:t>
      </w:r>
      <w:r>
        <w:t>5,</w:t>
      </w:r>
      <w:r>
        <w:rPr>
          <w:spacing w:val="16"/>
        </w:rPr>
        <w:t xml:space="preserve"> </w:t>
      </w:r>
      <w:r>
        <w:t>6</w:t>
      </w:r>
      <w:r>
        <w:rPr>
          <w:spacing w:val="16"/>
        </w:rPr>
        <w:t xml:space="preserve"> </w:t>
      </w:r>
      <w:r>
        <w:t>y</w:t>
      </w:r>
      <w:r>
        <w:rPr>
          <w:spacing w:val="16"/>
        </w:rPr>
        <w:t xml:space="preserve"> </w:t>
      </w:r>
      <w:r>
        <w:t>7</w:t>
      </w:r>
      <w:r>
        <w:rPr>
          <w:spacing w:val="17"/>
        </w:rPr>
        <w:t xml:space="preserve"> </w:t>
      </w:r>
      <w:r>
        <w:t>del</w:t>
      </w:r>
      <w:r>
        <w:rPr>
          <w:spacing w:val="16"/>
        </w:rPr>
        <w:t xml:space="preserve"> </w:t>
      </w:r>
      <w:r>
        <w:t>artículo</w:t>
      </w:r>
      <w:r>
        <w:rPr>
          <w:spacing w:val="16"/>
        </w:rPr>
        <w:t xml:space="preserve"> </w:t>
      </w:r>
      <w:r>
        <w:t>122;</w:t>
      </w:r>
      <w:r>
        <w:rPr>
          <w:spacing w:val="16"/>
        </w:rPr>
        <w:t xml:space="preserve"> </w:t>
      </w:r>
      <w:r>
        <w:t>artículos</w:t>
      </w:r>
      <w:r>
        <w:rPr>
          <w:spacing w:val="16"/>
        </w:rPr>
        <w:t xml:space="preserve"> </w:t>
      </w:r>
      <w:r>
        <w:t>123</w:t>
      </w:r>
      <w:r>
        <w:rPr>
          <w:spacing w:val="16"/>
        </w:rPr>
        <w:t xml:space="preserve"> </w:t>
      </w:r>
      <w:r>
        <w:t>y</w:t>
      </w:r>
      <w:r>
        <w:rPr>
          <w:spacing w:val="17"/>
        </w:rPr>
        <w:t xml:space="preserve"> </w:t>
      </w:r>
      <w:r>
        <w:t>124;</w:t>
      </w:r>
      <w:r>
        <w:rPr>
          <w:spacing w:val="16"/>
        </w:rPr>
        <w:t xml:space="preserve"> </w:t>
      </w:r>
      <w:r>
        <w:t>cuarto</w:t>
      </w:r>
      <w:r>
        <w:rPr>
          <w:spacing w:val="16"/>
        </w:rPr>
        <w:t xml:space="preserve"> </w:t>
      </w:r>
      <w:r>
        <w:t>párrafo</w:t>
      </w:r>
      <w:r>
        <w:rPr>
          <w:spacing w:val="16"/>
        </w:rPr>
        <w:t xml:space="preserve"> </w:t>
      </w:r>
      <w:r>
        <w:t>del</w:t>
      </w:r>
      <w:r>
        <w:rPr>
          <w:spacing w:val="16"/>
        </w:rPr>
        <w:t xml:space="preserve"> </w:t>
      </w:r>
      <w:r>
        <w:t>apartado</w:t>
      </w:r>
      <w:r>
        <w:rPr>
          <w:spacing w:val="17"/>
        </w:rPr>
        <w:t xml:space="preserve"> </w:t>
      </w:r>
      <w:r>
        <w:rPr>
          <w:spacing w:val="-10"/>
        </w:rPr>
        <w:t>4</w:t>
      </w:r>
    </w:p>
    <w:p w:rsidR="0092635B" w:rsidRDefault="00000000">
      <w:pPr>
        <w:pStyle w:val="Textoindependiente"/>
        <w:spacing w:before="3"/>
        <w:ind w:firstLine="0"/>
        <w:jc w:val="left"/>
      </w:pPr>
      <w:r>
        <w:t>del</w:t>
      </w:r>
      <w:r>
        <w:rPr>
          <w:spacing w:val="12"/>
        </w:rPr>
        <w:t xml:space="preserve"> </w:t>
      </w:r>
      <w:r>
        <w:t>artículo</w:t>
      </w:r>
      <w:r>
        <w:rPr>
          <w:spacing w:val="13"/>
        </w:rPr>
        <w:t xml:space="preserve"> </w:t>
      </w:r>
      <w:r>
        <w:t>149;</w:t>
      </w:r>
      <w:r>
        <w:rPr>
          <w:spacing w:val="13"/>
        </w:rPr>
        <w:t xml:space="preserve"> </w:t>
      </w:r>
      <w:r>
        <w:t>artículo</w:t>
      </w:r>
      <w:r>
        <w:rPr>
          <w:spacing w:val="12"/>
        </w:rPr>
        <w:t xml:space="preserve"> </w:t>
      </w:r>
      <w:r>
        <w:t>153;</w:t>
      </w:r>
      <w:r>
        <w:rPr>
          <w:spacing w:val="13"/>
        </w:rPr>
        <w:t xml:space="preserve"> </w:t>
      </w:r>
      <w:r>
        <w:t>apartado</w:t>
      </w:r>
      <w:r>
        <w:rPr>
          <w:spacing w:val="13"/>
        </w:rPr>
        <w:t xml:space="preserve"> </w:t>
      </w:r>
      <w:r>
        <w:t>2</w:t>
      </w:r>
      <w:r>
        <w:rPr>
          <w:spacing w:val="12"/>
        </w:rPr>
        <w:t xml:space="preserve"> </w:t>
      </w:r>
      <w:r>
        <w:t>del</w:t>
      </w:r>
      <w:r>
        <w:rPr>
          <w:spacing w:val="13"/>
        </w:rPr>
        <w:t xml:space="preserve"> </w:t>
      </w:r>
      <w:r>
        <w:t>artículo</w:t>
      </w:r>
      <w:r>
        <w:rPr>
          <w:spacing w:val="13"/>
        </w:rPr>
        <w:t xml:space="preserve"> </w:t>
      </w:r>
      <w:r>
        <w:t>154;</w:t>
      </w:r>
      <w:r>
        <w:rPr>
          <w:spacing w:val="12"/>
        </w:rPr>
        <w:t xml:space="preserve"> </w:t>
      </w:r>
      <w:r>
        <w:t>artículo</w:t>
      </w:r>
      <w:r>
        <w:rPr>
          <w:spacing w:val="13"/>
        </w:rPr>
        <w:t xml:space="preserve"> </w:t>
      </w:r>
      <w:r>
        <w:t>191.2;</w:t>
      </w:r>
      <w:r>
        <w:rPr>
          <w:spacing w:val="13"/>
        </w:rPr>
        <w:t xml:space="preserve"> </w:t>
      </w:r>
      <w:r>
        <w:t>artículo</w:t>
      </w:r>
      <w:r>
        <w:rPr>
          <w:spacing w:val="12"/>
        </w:rPr>
        <w:t xml:space="preserve"> </w:t>
      </w:r>
      <w:r>
        <w:t>192.2</w:t>
      </w:r>
      <w:r>
        <w:rPr>
          <w:spacing w:val="13"/>
        </w:rPr>
        <w:t xml:space="preserve"> </w:t>
      </w:r>
      <w:r>
        <w:t>y</w:t>
      </w:r>
      <w:r>
        <w:rPr>
          <w:spacing w:val="13"/>
        </w:rPr>
        <w:t xml:space="preserve"> </w:t>
      </w:r>
      <w:r>
        <w:rPr>
          <w:spacing w:val="-5"/>
        </w:rPr>
        <w:t>3;</w:t>
      </w:r>
    </w:p>
    <w:p w:rsidR="0092635B" w:rsidRDefault="00000000">
      <w:pPr>
        <w:pStyle w:val="Textoindependiente"/>
        <w:spacing w:before="10"/>
        <w:ind w:firstLine="0"/>
        <w:jc w:val="left"/>
      </w:pPr>
      <w:r>
        <w:t>artículo</w:t>
      </w:r>
      <w:r>
        <w:rPr>
          <w:spacing w:val="3"/>
        </w:rPr>
        <w:t xml:space="preserve"> </w:t>
      </w:r>
      <w:r>
        <w:t>193.2</w:t>
      </w:r>
      <w:r>
        <w:rPr>
          <w:spacing w:val="3"/>
        </w:rPr>
        <w:t xml:space="preserve"> </w:t>
      </w:r>
      <w:r>
        <w:t>a</w:t>
      </w:r>
      <w:r>
        <w:rPr>
          <w:spacing w:val="4"/>
        </w:rPr>
        <w:t xml:space="preserve"> </w:t>
      </w:r>
      <w:r>
        <w:t>5;</w:t>
      </w:r>
      <w:r>
        <w:rPr>
          <w:spacing w:val="3"/>
        </w:rPr>
        <w:t xml:space="preserve"> </w:t>
      </w:r>
      <w:r>
        <w:t>artículo</w:t>
      </w:r>
      <w:r>
        <w:rPr>
          <w:spacing w:val="4"/>
        </w:rPr>
        <w:t xml:space="preserve"> </w:t>
      </w:r>
      <w:r>
        <w:t>194;</w:t>
      </w:r>
      <w:r>
        <w:rPr>
          <w:spacing w:val="3"/>
        </w:rPr>
        <w:t xml:space="preserve"> </w:t>
      </w:r>
      <w:r>
        <w:t>apartados</w:t>
      </w:r>
      <w:r>
        <w:rPr>
          <w:spacing w:val="4"/>
        </w:rPr>
        <w:t xml:space="preserve"> </w:t>
      </w:r>
      <w:r>
        <w:t>2</w:t>
      </w:r>
      <w:r>
        <w:rPr>
          <w:spacing w:val="3"/>
        </w:rPr>
        <w:t xml:space="preserve"> </w:t>
      </w:r>
      <w:r>
        <w:t>y</w:t>
      </w:r>
      <w:r>
        <w:rPr>
          <w:spacing w:val="4"/>
        </w:rPr>
        <w:t xml:space="preserve"> </w:t>
      </w:r>
      <w:r>
        <w:t>5</w:t>
      </w:r>
      <w:r>
        <w:rPr>
          <w:spacing w:val="3"/>
        </w:rPr>
        <w:t xml:space="preserve"> </w:t>
      </w:r>
      <w:r>
        <w:t>del</w:t>
      </w:r>
      <w:r>
        <w:rPr>
          <w:spacing w:val="4"/>
        </w:rPr>
        <w:t xml:space="preserve"> </w:t>
      </w:r>
      <w:r>
        <w:t>artículo</w:t>
      </w:r>
      <w:r>
        <w:rPr>
          <w:spacing w:val="3"/>
        </w:rPr>
        <w:t xml:space="preserve"> </w:t>
      </w:r>
      <w:r>
        <w:t>212;</w:t>
      </w:r>
      <w:r>
        <w:rPr>
          <w:spacing w:val="4"/>
        </w:rPr>
        <w:t xml:space="preserve"> </w:t>
      </w:r>
      <w:r>
        <w:t>apartado</w:t>
      </w:r>
      <w:r>
        <w:rPr>
          <w:spacing w:val="3"/>
        </w:rPr>
        <w:t xml:space="preserve"> </w:t>
      </w:r>
      <w:r>
        <w:t>8</w:t>
      </w:r>
      <w:r>
        <w:rPr>
          <w:spacing w:val="4"/>
        </w:rPr>
        <w:t xml:space="preserve"> </w:t>
      </w:r>
      <w:r>
        <w:t>del</w:t>
      </w:r>
      <w:r>
        <w:rPr>
          <w:spacing w:val="3"/>
        </w:rPr>
        <w:t xml:space="preserve"> </w:t>
      </w:r>
      <w:r>
        <w:t>artículo</w:t>
      </w:r>
      <w:r>
        <w:rPr>
          <w:spacing w:val="4"/>
        </w:rPr>
        <w:t xml:space="preserve"> </w:t>
      </w:r>
      <w:r>
        <w:rPr>
          <w:spacing w:val="-4"/>
        </w:rPr>
        <w:t>215;</w:t>
      </w:r>
    </w:p>
    <w:p w:rsidR="0092635B" w:rsidRDefault="00000000">
      <w:pPr>
        <w:pStyle w:val="Textoindependiente"/>
        <w:spacing w:before="10"/>
        <w:ind w:firstLine="0"/>
        <w:jc w:val="left"/>
      </w:pPr>
      <w:r>
        <w:t>artículo</w:t>
      </w:r>
      <w:r>
        <w:rPr>
          <w:spacing w:val="29"/>
        </w:rPr>
        <w:t xml:space="preserve"> </w:t>
      </w:r>
      <w:r>
        <w:t>228;</w:t>
      </w:r>
      <w:r>
        <w:rPr>
          <w:spacing w:val="29"/>
        </w:rPr>
        <w:t xml:space="preserve"> </w:t>
      </w:r>
      <w:r>
        <w:t>apartados</w:t>
      </w:r>
      <w:r>
        <w:rPr>
          <w:spacing w:val="29"/>
        </w:rPr>
        <w:t xml:space="preserve"> </w:t>
      </w:r>
      <w:r>
        <w:t>1,</w:t>
      </w:r>
      <w:r>
        <w:rPr>
          <w:spacing w:val="30"/>
        </w:rPr>
        <w:t xml:space="preserve"> </w:t>
      </w:r>
      <w:r>
        <w:t>2,</w:t>
      </w:r>
      <w:r>
        <w:rPr>
          <w:spacing w:val="29"/>
        </w:rPr>
        <w:t xml:space="preserve"> </w:t>
      </w:r>
      <w:r>
        <w:t>5;</w:t>
      </w:r>
      <w:r>
        <w:rPr>
          <w:spacing w:val="29"/>
        </w:rPr>
        <w:t xml:space="preserve"> </w:t>
      </w:r>
      <w:r>
        <w:t>el</w:t>
      </w:r>
      <w:r>
        <w:rPr>
          <w:spacing w:val="30"/>
        </w:rPr>
        <w:t xml:space="preserve"> </w:t>
      </w:r>
      <w:r>
        <w:t>párrafo</w:t>
      </w:r>
      <w:r>
        <w:rPr>
          <w:spacing w:val="29"/>
        </w:rPr>
        <w:t xml:space="preserve"> </w:t>
      </w:r>
      <w:r>
        <w:t>segundo</w:t>
      </w:r>
      <w:r>
        <w:rPr>
          <w:spacing w:val="29"/>
        </w:rPr>
        <w:t xml:space="preserve"> </w:t>
      </w:r>
      <w:r>
        <w:t>del</w:t>
      </w:r>
      <w:r>
        <w:rPr>
          <w:spacing w:val="29"/>
        </w:rPr>
        <w:t xml:space="preserve"> </w:t>
      </w:r>
      <w:r>
        <w:t>apartado</w:t>
      </w:r>
      <w:r>
        <w:rPr>
          <w:spacing w:val="30"/>
        </w:rPr>
        <w:t xml:space="preserve"> </w:t>
      </w:r>
      <w:r>
        <w:t>6,</w:t>
      </w:r>
      <w:r>
        <w:rPr>
          <w:spacing w:val="29"/>
        </w:rPr>
        <w:t xml:space="preserve"> </w:t>
      </w:r>
      <w:r>
        <w:t>y</w:t>
      </w:r>
      <w:r>
        <w:rPr>
          <w:spacing w:val="29"/>
        </w:rPr>
        <w:t xml:space="preserve"> </w:t>
      </w:r>
      <w:r>
        <w:t>apartados</w:t>
      </w:r>
      <w:r>
        <w:rPr>
          <w:spacing w:val="30"/>
        </w:rPr>
        <w:t xml:space="preserve"> </w:t>
      </w:r>
      <w:r>
        <w:t>7</w:t>
      </w:r>
      <w:r>
        <w:rPr>
          <w:spacing w:val="29"/>
        </w:rPr>
        <w:t xml:space="preserve"> </w:t>
      </w:r>
      <w:r>
        <w:t>y</w:t>
      </w:r>
      <w:r>
        <w:rPr>
          <w:spacing w:val="29"/>
        </w:rPr>
        <w:t xml:space="preserve"> </w:t>
      </w:r>
      <w:r>
        <w:t>8</w:t>
      </w:r>
      <w:r>
        <w:rPr>
          <w:spacing w:val="30"/>
        </w:rPr>
        <w:t xml:space="preserve"> </w:t>
      </w:r>
      <w:r>
        <w:rPr>
          <w:spacing w:val="-5"/>
        </w:rPr>
        <w:t>del</w:t>
      </w:r>
    </w:p>
    <w:p w:rsidR="0092635B" w:rsidRDefault="00000000">
      <w:pPr>
        <w:pStyle w:val="Textoindependiente"/>
        <w:spacing w:before="10"/>
        <w:ind w:firstLine="0"/>
        <w:jc w:val="left"/>
      </w:pPr>
      <w:r>
        <w:t>artículo</w:t>
      </w:r>
      <w:r>
        <w:rPr>
          <w:spacing w:val="34"/>
        </w:rPr>
        <w:t xml:space="preserve"> </w:t>
      </w:r>
      <w:r>
        <w:t>229;</w:t>
      </w:r>
      <w:r>
        <w:rPr>
          <w:spacing w:val="36"/>
        </w:rPr>
        <w:t xml:space="preserve"> </w:t>
      </w:r>
      <w:r>
        <w:t>artículo</w:t>
      </w:r>
      <w:r>
        <w:rPr>
          <w:spacing w:val="37"/>
        </w:rPr>
        <w:t xml:space="preserve"> </w:t>
      </w:r>
      <w:r>
        <w:t>230;</w:t>
      </w:r>
      <w:r>
        <w:rPr>
          <w:spacing w:val="36"/>
        </w:rPr>
        <w:t xml:space="preserve"> </w:t>
      </w:r>
      <w:r>
        <w:t>apartados</w:t>
      </w:r>
      <w:r>
        <w:rPr>
          <w:spacing w:val="36"/>
        </w:rPr>
        <w:t xml:space="preserve"> </w:t>
      </w:r>
      <w:r>
        <w:t>1.e)</w:t>
      </w:r>
      <w:r>
        <w:rPr>
          <w:spacing w:val="37"/>
        </w:rPr>
        <w:t xml:space="preserve"> </w:t>
      </w:r>
      <w:r>
        <w:t>y</w:t>
      </w:r>
      <w:r>
        <w:rPr>
          <w:spacing w:val="36"/>
        </w:rPr>
        <w:t xml:space="preserve"> </w:t>
      </w:r>
      <w:r>
        <w:t>4</w:t>
      </w:r>
      <w:r>
        <w:rPr>
          <w:spacing w:val="36"/>
        </w:rPr>
        <w:t xml:space="preserve"> </w:t>
      </w:r>
      <w:r>
        <w:t>del</w:t>
      </w:r>
      <w:r>
        <w:rPr>
          <w:spacing w:val="37"/>
        </w:rPr>
        <w:t xml:space="preserve"> </w:t>
      </w:r>
      <w:r>
        <w:t>artículo</w:t>
      </w:r>
      <w:r>
        <w:rPr>
          <w:spacing w:val="36"/>
        </w:rPr>
        <w:t xml:space="preserve"> </w:t>
      </w:r>
      <w:r>
        <w:t>233;</w:t>
      </w:r>
      <w:r>
        <w:rPr>
          <w:spacing w:val="36"/>
        </w:rPr>
        <w:t xml:space="preserve"> </w:t>
      </w:r>
      <w:r>
        <w:t>artículo</w:t>
      </w:r>
      <w:r>
        <w:rPr>
          <w:spacing w:val="37"/>
        </w:rPr>
        <w:t xml:space="preserve"> </w:t>
      </w:r>
      <w:r>
        <w:t>234;</w:t>
      </w:r>
      <w:r>
        <w:rPr>
          <w:spacing w:val="36"/>
        </w:rPr>
        <w:t xml:space="preserve"> </w:t>
      </w:r>
      <w:r>
        <w:t>artículo</w:t>
      </w:r>
      <w:r>
        <w:rPr>
          <w:spacing w:val="37"/>
        </w:rPr>
        <w:t xml:space="preserve"> </w:t>
      </w:r>
      <w:r>
        <w:rPr>
          <w:spacing w:val="-4"/>
        </w:rPr>
        <w:t>235;</w:t>
      </w:r>
    </w:p>
    <w:p w:rsidR="0092635B" w:rsidRDefault="00000000">
      <w:pPr>
        <w:pStyle w:val="Textoindependiente"/>
        <w:spacing w:before="10" w:line="249" w:lineRule="auto"/>
        <w:ind w:right="1103" w:hanging="1"/>
      </w:pPr>
      <w:r>
        <w:t>artículo 236; artículo 237; artículo 238.2; artículo 240; apartado 1 del artículo 241; el</w:t>
      </w:r>
      <w:r>
        <w:rPr>
          <w:spacing w:val="80"/>
        </w:rPr>
        <w:t xml:space="preserve"> </w:t>
      </w:r>
      <w:r>
        <w:t>apartado 4, salvo la previsión de la letra b) del primer párrafo y el segundo párrafo, y 5 del artículo</w:t>
      </w:r>
      <w:r>
        <w:rPr>
          <w:spacing w:val="2"/>
        </w:rPr>
        <w:t xml:space="preserve"> </w:t>
      </w:r>
      <w:r>
        <w:t>242;</w:t>
      </w:r>
      <w:r>
        <w:rPr>
          <w:spacing w:val="3"/>
        </w:rPr>
        <w:t xml:space="preserve"> </w:t>
      </w:r>
      <w:r>
        <w:t>artículo</w:t>
      </w:r>
      <w:r>
        <w:rPr>
          <w:spacing w:val="2"/>
        </w:rPr>
        <w:t xml:space="preserve"> </w:t>
      </w:r>
      <w:r>
        <w:t>243;</w:t>
      </w:r>
      <w:r>
        <w:rPr>
          <w:spacing w:val="3"/>
        </w:rPr>
        <w:t xml:space="preserve"> </w:t>
      </w:r>
      <w:r>
        <w:t>artículo</w:t>
      </w:r>
      <w:r>
        <w:rPr>
          <w:spacing w:val="2"/>
        </w:rPr>
        <w:t xml:space="preserve"> </w:t>
      </w:r>
      <w:r>
        <w:t>253;</w:t>
      </w:r>
      <w:r>
        <w:rPr>
          <w:spacing w:val="3"/>
        </w:rPr>
        <w:t xml:space="preserve"> </w:t>
      </w:r>
      <w:r>
        <w:t>artículo</w:t>
      </w:r>
      <w:r>
        <w:rPr>
          <w:spacing w:val="2"/>
        </w:rPr>
        <w:t xml:space="preserve"> </w:t>
      </w:r>
      <w:r>
        <w:t>256;</w:t>
      </w:r>
      <w:r>
        <w:rPr>
          <w:spacing w:val="3"/>
        </w:rPr>
        <w:t xml:space="preserve"> </w:t>
      </w:r>
      <w:r>
        <w:t>artículo</w:t>
      </w:r>
      <w:r>
        <w:rPr>
          <w:spacing w:val="2"/>
        </w:rPr>
        <w:t xml:space="preserve"> </w:t>
      </w:r>
      <w:r>
        <w:t>260;</w:t>
      </w:r>
      <w:r>
        <w:rPr>
          <w:spacing w:val="3"/>
        </w:rPr>
        <w:t xml:space="preserve"> </w:t>
      </w:r>
      <w:r>
        <w:t>apartados</w:t>
      </w:r>
      <w:r>
        <w:rPr>
          <w:spacing w:val="2"/>
        </w:rPr>
        <w:t xml:space="preserve"> </w:t>
      </w:r>
      <w:r>
        <w:t>2</w:t>
      </w:r>
      <w:r>
        <w:rPr>
          <w:spacing w:val="3"/>
        </w:rPr>
        <w:t xml:space="preserve"> </w:t>
      </w:r>
      <w:r>
        <w:t>y</w:t>
      </w:r>
      <w:r>
        <w:rPr>
          <w:spacing w:val="2"/>
        </w:rPr>
        <w:t xml:space="preserve"> </w:t>
      </w:r>
      <w:r>
        <w:t>3</w:t>
      </w:r>
      <w:r>
        <w:rPr>
          <w:spacing w:val="3"/>
        </w:rPr>
        <w:t xml:space="preserve"> </w:t>
      </w:r>
      <w:r>
        <w:t>del</w:t>
      </w:r>
      <w:r>
        <w:rPr>
          <w:spacing w:val="3"/>
        </w:rPr>
        <w:t xml:space="preserve"> </w:t>
      </w:r>
      <w:r>
        <w:rPr>
          <w:spacing w:val="-2"/>
        </w:rPr>
        <w:t>artículo</w:t>
      </w:r>
    </w:p>
    <w:p w:rsidR="0092635B" w:rsidRDefault="00000000">
      <w:pPr>
        <w:pStyle w:val="Textoindependiente"/>
        <w:ind w:firstLine="0"/>
        <w:jc w:val="left"/>
      </w:pPr>
      <w:r>
        <w:t>263;</w:t>
      </w:r>
      <w:r>
        <w:rPr>
          <w:spacing w:val="27"/>
        </w:rPr>
        <w:t xml:space="preserve"> </w:t>
      </w:r>
      <w:r>
        <w:t>artículo</w:t>
      </w:r>
      <w:r>
        <w:rPr>
          <w:spacing w:val="30"/>
        </w:rPr>
        <w:t xml:space="preserve"> </w:t>
      </w:r>
      <w:r>
        <w:t>266;</w:t>
      </w:r>
      <w:r>
        <w:rPr>
          <w:spacing w:val="29"/>
        </w:rPr>
        <w:t xml:space="preserve"> </w:t>
      </w:r>
      <w:r>
        <w:t>apartado</w:t>
      </w:r>
      <w:r>
        <w:rPr>
          <w:spacing w:val="30"/>
        </w:rPr>
        <w:t xml:space="preserve"> </w:t>
      </w:r>
      <w:r>
        <w:t>5</w:t>
      </w:r>
      <w:r>
        <w:rPr>
          <w:spacing w:val="30"/>
        </w:rPr>
        <w:t xml:space="preserve"> </w:t>
      </w:r>
      <w:r>
        <w:t>del</w:t>
      </w:r>
      <w:r>
        <w:rPr>
          <w:spacing w:val="29"/>
        </w:rPr>
        <w:t xml:space="preserve"> </w:t>
      </w:r>
      <w:r>
        <w:t>artículo</w:t>
      </w:r>
      <w:r>
        <w:rPr>
          <w:spacing w:val="30"/>
        </w:rPr>
        <w:t xml:space="preserve"> </w:t>
      </w:r>
      <w:r>
        <w:t>267;</w:t>
      </w:r>
      <w:r>
        <w:rPr>
          <w:spacing w:val="29"/>
        </w:rPr>
        <w:t xml:space="preserve"> </w:t>
      </w:r>
      <w:r>
        <w:t>artículo</w:t>
      </w:r>
      <w:r>
        <w:rPr>
          <w:spacing w:val="30"/>
        </w:rPr>
        <w:t xml:space="preserve"> </w:t>
      </w:r>
      <w:r>
        <w:t>268;</w:t>
      </w:r>
      <w:r>
        <w:rPr>
          <w:spacing w:val="30"/>
        </w:rPr>
        <w:t xml:space="preserve"> </w:t>
      </w:r>
      <w:r>
        <w:t>artículo</w:t>
      </w:r>
      <w:r>
        <w:rPr>
          <w:spacing w:val="29"/>
        </w:rPr>
        <w:t xml:space="preserve"> </w:t>
      </w:r>
      <w:r>
        <w:t>272.6;</w:t>
      </w:r>
      <w:r>
        <w:rPr>
          <w:spacing w:val="30"/>
        </w:rPr>
        <w:t xml:space="preserve"> </w:t>
      </w:r>
      <w:r>
        <w:t>artículo</w:t>
      </w:r>
      <w:r>
        <w:rPr>
          <w:spacing w:val="30"/>
        </w:rPr>
        <w:t xml:space="preserve"> </w:t>
      </w:r>
      <w:r>
        <w:rPr>
          <w:spacing w:val="-2"/>
        </w:rPr>
        <w:t>273.2;</w:t>
      </w:r>
    </w:p>
    <w:p w:rsidR="0092635B" w:rsidRDefault="00000000">
      <w:pPr>
        <w:pStyle w:val="Textoindependiente"/>
        <w:spacing w:before="10"/>
        <w:ind w:firstLine="0"/>
        <w:jc w:val="left"/>
      </w:pPr>
      <w:r>
        <w:t>artículo</w:t>
      </w:r>
      <w:r>
        <w:rPr>
          <w:spacing w:val="34"/>
        </w:rPr>
        <w:t xml:space="preserve"> </w:t>
      </w:r>
      <w:r>
        <w:t>294.b);</w:t>
      </w:r>
      <w:r>
        <w:rPr>
          <w:spacing w:val="36"/>
        </w:rPr>
        <w:t xml:space="preserve"> </w:t>
      </w:r>
      <w:r>
        <w:t>artículo</w:t>
      </w:r>
      <w:r>
        <w:rPr>
          <w:spacing w:val="37"/>
        </w:rPr>
        <w:t xml:space="preserve"> </w:t>
      </w:r>
      <w:r>
        <w:t>298;</w:t>
      </w:r>
      <w:r>
        <w:rPr>
          <w:spacing w:val="36"/>
        </w:rPr>
        <w:t xml:space="preserve"> </w:t>
      </w:r>
      <w:r>
        <w:t>apartados</w:t>
      </w:r>
      <w:r>
        <w:rPr>
          <w:spacing w:val="36"/>
        </w:rPr>
        <w:t xml:space="preserve"> </w:t>
      </w:r>
      <w:r>
        <w:t>2</w:t>
      </w:r>
      <w:r>
        <w:rPr>
          <w:spacing w:val="37"/>
        </w:rPr>
        <w:t xml:space="preserve"> </w:t>
      </w:r>
      <w:r>
        <w:t>y</w:t>
      </w:r>
      <w:r>
        <w:rPr>
          <w:spacing w:val="36"/>
        </w:rPr>
        <w:t xml:space="preserve"> </w:t>
      </w:r>
      <w:r>
        <w:t>3</w:t>
      </w:r>
      <w:r>
        <w:rPr>
          <w:spacing w:val="36"/>
        </w:rPr>
        <w:t xml:space="preserve"> </w:t>
      </w:r>
      <w:r>
        <w:t>del</w:t>
      </w:r>
      <w:r>
        <w:rPr>
          <w:spacing w:val="37"/>
        </w:rPr>
        <w:t xml:space="preserve"> </w:t>
      </w:r>
      <w:r>
        <w:t>artículo</w:t>
      </w:r>
      <w:r>
        <w:rPr>
          <w:spacing w:val="36"/>
        </w:rPr>
        <w:t xml:space="preserve"> </w:t>
      </w:r>
      <w:r>
        <w:t>300;</w:t>
      </w:r>
      <w:r>
        <w:rPr>
          <w:spacing w:val="36"/>
        </w:rPr>
        <w:t xml:space="preserve"> </w:t>
      </w:r>
      <w:r>
        <w:t>artículo</w:t>
      </w:r>
      <w:r>
        <w:rPr>
          <w:spacing w:val="37"/>
        </w:rPr>
        <w:t xml:space="preserve"> </w:t>
      </w:r>
      <w:r>
        <w:t>302;</w:t>
      </w:r>
      <w:r>
        <w:rPr>
          <w:spacing w:val="36"/>
        </w:rPr>
        <w:t xml:space="preserve"> </w:t>
      </w:r>
      <w:r>
        <w:t>artículo</w:t>
      </w:r>
      <w:r>
        <w:rPr>
          <w:spacing w:val="37"/>
        </w:rPr>
        <w:t xml:space="preserve"> </w:t>
      </w:r>
      <w:r>
        <w:rPr>
          <w:spacing w:val="-4"/>
        </w:rPr>
        <w:t>303;</w:t>
      </w:r>
    </w:p>
    <w:p w:rsidR="0092635B" w:rsidRDefault="00000000">
      <w:pPr>
        <w:pStyle w:val="Textoindependiente"/>
        <w:spacing w:before="10"/>
        <w:ind w:firstLine="0"/>
        <w:jc w:val="left"/>
      </w:pPr>
      <w:r>
        <w:t>artículo</w:t>
      </w:r>
      <w:r>
        <w:rPr>
          <w:spacing w:val="9"/>
        </w:rPr>
        <w:t xml:space="preserve"> </w:t>
      </w:r>
      <w:r>
        <w:t>304;</w:t>
      </w:r>
      <w:r>
        <w:rPr>
          <w:spacing w:val="9"/>
        </w:rPr>
        <w:t xml:space="preserve"> </w:t>
      </w:r>
      <w:r>
        <w:t>artículo</w:t>
      </w:r>
      <w:r>
        <w:rPr>
          <w:spacing w:val="9"/>
        </w:rPr>
        <w:t xml:space="preserve"> </w:t>
      </w:r>
      <w:r>
        <w:t>305;</w:t>
      </w:r>
      <w:r>
        <w:rPr>
          <w:spacing w:val="9"/>
        </w:rPr>
        <w:t xml:space="preserve"> </w:t>
      </w:r>
      <w:r>
        <w:t>apartados</w:t>
      </w:r>
      <w:r>
        <w:rPr>
          <w:spacing w:val="9"/>
        </w:rPr>
        <w:t xml:space="preserve"> </w:t>
      </w:r>
      <w:r>
        <w:t>2</w:t>
      </w:r>
      <w:r>
        <w:rPr>
          <w:spacing w:val="9"/>
        </w:rPr>
        <w:t xml:space="preserve"> </w:t>
      </w:r>
      <w:r>
        <w:t>y</w:t>
      </w:r>
      <w:r>
        <w:rPr>
          <w:spacing w:val="9"/>
        </w:rPr>
        <w:t xml:space="preserve"> </w:t>
      </w:r>
      <w:r>
        <w:t>3</w:t>
      </w:r>
      <w:r>
        <w:rPr>
          <w:spacing w:val="9"/>
        </w:rPr>
        <w:t xml:space="preserve"> </w:t>
      </w:r>
      <w:r>
        <w:t>del</w:t>
      </w:r>
      <w:r>
        <w:rPr>
          <w:spacing w:val="10"/>
        </w:rPr>
        <w:t xml:space="preserve"> </w:t>
      </w:r>
      <w:r>
        <w:t>artículo</w:t>
      </w:r>
      <w:r>
        <w:rPr>
          <w:spacing w:val="9"/>
        </w:rPr>
        <w:t xml:space="preserve"> </w:t>
      </w:r>
      <w:r>
        <w:t>307;</w:t>
      </w:r>
      <w:r>
        <w:rPr>
          <w:spacing w:val="9"/>
        </w:rPr>
        <w:t xml:space="preserve"> </w:t>
      </w:r>
      <w:r>
        <w:t>apartados</w:t>
      </w:r>
      <w:r>
        <w:rPr>
          <w:spacing w:val="9"/>
        </w:rPr>
        <w:t xml:space="preserve"> </w:t>
      </w:r>
      <w:r>
        <w:t>2</w:t>
      </w:r>
      <w:r>
        <w:rPr>
          <w:spacing w:val="9"/>
        </w:rPr>
        <w:t xml:space="preserve"> </w:t>
      </w:r>
      <w:r>
        <w:t>y</w:t>
      </w:r>
      <w:r>
        <w:rPr>
          <w:spacing w:val="9"/>
        </w:rPr>
        <w:t xml:space="preserve"> </w:t>
      </w:r>
      <w:r>
        <w:t>3</w:t>
      </w:r>
      <w:r>
        <w:rPr>
          <w:spacing w:val="9"/>
        </w:rPr>
        <w:t xml:space="preserve"> </w:t>
      </w:r>
      <w:r>
        <w:t>del</w:t>
      </w:r>
      <w:r>
        <w:rPr>
          <w:spacing w:val="9"/>
        </w:rPr>
        <w:t xml:space="preserve"> </w:t>
      </w:r>
      <w:r>
        <w:t>artículo</w:t>
      </w:r>
      <w:r>
        <w:rPr>
          <w:spacing w:val="10"/>
        </w:rPr>
        <w:t xml:space="preserve"> </w:t>
      </w:r>
      <w:r>
        <w:rPr>
          <w:spacing w:val="-4"/>
        </w:rPr>
        <w:t>313;</w:t>
      </w:r>
    </w:p>
    <w:p w:rsidR="0092635B" w:rsidRDefault="00000000">
      <w:pPr>
        <w:pStyle w:val="Textoindependiente"/>
        <w:spacing w:before="10"/>
        <w:ind w:firstLine="0"/>
        <w:jc w:val="left"/>
      </w:pPr>
      <w:r>
        <w:t>apartados</w:t>
      </w:r>
      <w:r>
        <w:rPr>
          <w:spacing w:val="18"/>
        </w:rPr>
        <w:t xml:space="preserve"> </w:t>
      </w:r>
      <w:r>
        <w:t>3,</w:t>
      </w:r>
      <w:r>
        <w:rPr>
          <w:spacing w:val="19"/>
        </w:rPr>
        <w:t xml:space="preserve"> </w:t>
      </w:r>
      <w:r>
        <w:t>4,</w:t>
      </w:r>
      <w:r>
        <w:rPr>
          <w:spacing w:val="19"/>
        </w:rPr>
        <w:t xml:space="preserve"> </w:t>
      </w:r>
      <w:r>
        <w:t>5</w:t>
      </w:r>
      <w:r>
        <w:rPr>
          <w:spacing w:val="18"/>
        </w:rPr>
        <w:t xml:space="preserve"> </w:t>
      </w:r>
      <w:r>
        <w:t>y</w:t>
      </w:r>
      <w:r>
        <w:rPr>
          <w:spacing w:val="19"/>
        </w:rPr>
        <w:t xml:space="preserve"> </w:t>
      </w:r>
      <w:r>
        <w:t>6</w:t>
      </w:r>
      <w:r>
        <w:rPr>
          <w:spacing w:val="19"/>
        </w:rPr>
        <w:t xml:space="preserve"> </w:t>
      </w:r>
      <w:r>
        <w:t>del</w:t>
      </w:r>
      <w:r>
        <w:rPr>
          <w:spacing w:val="18"/>
        </w:rPr>
        <w:t xml:space="preserve"> </w:t>
      </w:r>
      <w:r>
        <w:t>artículo</w:t>
      </w:r>
      <w:r>
        <w:rPr>
          <w:spacing w:val="19"/>
        </w:rPr>
        <w:t xml:space="preserve"> </w:t>
      </w:r>
      <w:r>
        <w:t>314;</w:t>
      </w:r>
      <w:r>
        <w:rPr>
          <w:spacing w:val="19"/>
        </w:rPr>
        <w:t xml:space="preserve"> </w:t>
      </w:r>
      <w:r>
        <w:t>artículo</w:t>
      </w:r>
      <w:r>
        <w:rPr>
          <w:spacing w:val="18"/>
        </w:rPr>
        <w:t xml:space="preserve"> </w:t>
      </w:r>
      <w:r>
        <w:t>315;</w:t>
      </w:r>
      <w:r>
        <w:rPr>
          <w:spacing w:val="19"/>
        </w:rPr>
        <w:t xml:space="preserve"> </w:t>
      </w:r>
      <w:r>
        <w:t>artículo</w:t>
      </w:r>
      <w:r>
        <w:rPr>
          <w:spacing w:val="19"/>
        </w:rPr>
        <w:t xml:space="preserve"> </w:t>
      </w:r>
      <w:r>
        <w:t>323;</w:t>
      </w:r>
      <w:r>
        <w:rPr>
          <w:spacing w:val="18"/>
        </w:rPr>
        <w:t xml:space="preserve"> </w:t>
      </w:r>
      <w:r>
        <w:t>artículo</w:t>
      </w:r>
      <w:r>
        <w:rPr>
          <w:spacing w:val="19"/>
        </w:rPr>
        <w:t xml:space="preserve"> </w:t>
      </w:r>
      <w:r>
        <w:t>324;</w:t>
      </w:r>
      <w:r>
        <w:rPr>
          <w:spacing w:val="19"/>
        </w:rPr>
        <w:t xml:space="preserve"> </w:t>
      </w:r>
      <w:r>
        <w:t>artículo</w:t>
      </w:r>
      <w:r>
        <w:rPr>
          <w:spacing w:val="19"/>
        </w:rPr>
        <w:t xml:space="preserve"> </w:t>
      </w:r>
      <w:r>
        <w:rPr>
          <w:spacing w:val="-4"/>
        </w:rPr>
        <w:t>325;</w:t>
      </w:r>
    </w:p>
    <w:p w:rsidR="0092635B" w:rsidRDefault="00000000">
      <w:pPr>
        <w:pStyle w:val="Textoindependiente"/>
        <w:spacing w:before="10" w:line="249" w:lineRule="auto"/>
        <w:ind w:right="1104" w:firstLine="0"/>
      </w:pPr>
      <w:r>
        <w:t>artículos 326 y 327; artículo 328, salvo el apartado 4; artículo 335.4; apartados 1, 2 y 7 del artículo</w:t>
      </w:r>
      <w:r>
        <w:rPr>
          <w:spacing w:val="-2"/>
        </w:rPr>
        <w:t xml:space="preserve"> </w:t>
      </w:r>
      <w:r>
        <w:t>347;</w:t>
      </w:r>
      <w:r>
        <w:rPr>
          <w:spacing w:val="-2"/>
        </w:rPr>
        <w:t xml:space="preserve"> </w:t>
      </w:r>
      <w:r>
        <w:t>letra</w:t>
      </w:r>
      <w:r>
        <w:rPr>
          <w:spacing w:val="-2"/>
        </w:rPr>
        <w:t xml:space="preserve"> </w:t>
      </w:r>
      <w:r>
        <w:t>a)</w:t>
      </w:r>
      <w:r>
        <w:rPr>
          <w:spacing w:val="-2"/>
        </w:rPr>
        <w:t xml:space="preserve"> </w:t>
      </w:r>
      <w:r>
        <w:t>y</w:t>
      </w:r>
      <w:r>
        <w:rPr>
          <w:spacing w:val="-2"/>
        </w:rPr>
        <w:t xml:space="preserve"> </w:t>
      </w:r>
      <w:r>
        <w:t>segundo</w:t>
      </w:r>
      <w:r>
        <w:rPr>
          <w:spacing w:val="-2"/>
        </w:rPr>
        <w:t xml:space="preserve"> </w:t>
      </w:r>
      <w:r>
        <w:t>párrafo</w:t>
      </w:r>
      <w:r>
        <w:rPr>
          <w:spacing w:val="-2"/>
        </w:rPr>
        <w:t xml:space="preserve"> </w:t>
      </w:r>
      <w:r>
        <w:t>de</w:t>
      </w:r>
      <w:r>
        <w:rPr>
          <w:spacing w:val="-2"/>
        </w:rPr>
        <w:t xml:space="preserve"> </w:t>
      </w:r>
      <w:r>
        <w:t>la</w:t>
      </w:r>
      <w:r>
        <w:rPr>
          <w:spacing w:val="-2"/>
        </w:rPr>
        <w:t xml:space="preserve"> </w:t>
      </w:r>
      <w:r>
        <w:t>letra</w:t>
      </w:r>
      <w:r>
        <w:rPr>
          <w:spacing w:val="-2"/>
        </w:rPr>
        <w:t xml:space="preserve"> </w:t>
      </w:r>
      <w:r>
        <w:t>f)</w:t>
      </w:r>
      <w:r>
        <w:rPr>
          <w:spacing w:val="-2"/>
        </w:rPr>
        <w:t xml:space="preserve"> </w:t>
      </w:r>
      <w:r>
        <w:t>del</w:t>
      </w:r>
      <w:r>
        <w:rPr>
          <w:spacing w:val="-2"/>
        </w:rPr>
        <w:t xml:space="preserve"> </w:t>
      </w:r>
      <w:r>
        <w:t>apartado</w:t>
      </w:r>
      <w:r>
        <w:rPr>
          <w:spacing w:val="-2"/>
        </w:rPr>
        <w:t xml:space="preserve"> </w:t>
      </w:r>
      <w:r>
        <w:t>1</w:t>
      </w:r>
      <w:r>
        <w:rPr>
          <w:spacing w:val="-2"/>
        </w:rPr>
        <w:t xml:space="preserve"> </w:t>
      </w:r>
      <w:r>
        <w:t>de</w:t>
      </w:r>
      <w:r>
        <w:rPr>
          <w:spacing w:val="-2"/>
        </w:rPr>
        <w:t xml:space="preserve"> </w:t>
      </w:r>
      <w:r>
        <w:t>la</w:t>
      </w:r>
      <w:r>
        <w:rPr>
          <w:spacing w:val="-2"/>
        </w:rPr>
        <w:t xml:space="preserve"> </w:t>
      </w:r>
      <w:r>
        <w:t>disposición</w:t>
      </w:r>
      <w:r>
        <w:rPr>
          <w:spacing w:val="-2"/>
        </w:rPr>
        <w:t xml:space="preserve"> </w:t>
      </w:r>
      <w:r>
        <w:t>adicional primera; el párrafo tercero, apartado 1, de la disposición adicional cuarta; disposición adicional decimocuarta; disposición adicional decimonovena; disposición adicional vigésima; disposición adicional vigésima cuarta; disposición adicional vigésima novena; disposición adicional trigésima; disposición transitoria primera; disposición final séptima, y disposición final octava.</w:t>
      </w:r>
    </w:p>
    <w:p w:rsidR="0092635B" w:rsidRDefault="00000000">
      <w:pPr>
        <w:pStyle w:val="Textoindependiente"/>
        <w:spacing w:before="6" w:line="249" w:lineRule="auto"/>
        <w:ind w:right="1105"/>
      </w:pPr>
      <w:r>
        <w:t>A los mismos efectos previstos en el párrafo anterior tendrán la consideración de</w:t>
      </w:r>
      <w:r>
        <w:rPr>
          <w:spacing w:val="40"/>
        </w:rPr>
        <w:t xml:space="preserve"> </w:t>
      </w:r>
      <w:r>
        <w:t>mínimas las exigencias que para los contratos menores se establecen en el artículo 118.1 y tendrán la consideración de máximos los siguientes porcentajes, cuantías o plazos:</w:t>
      </w:r>
    </w:p>
    <w:p w:rsidR="0092635B" w:rsidRDefault="00000000">
      <w:pPr>
        <w:pStyle w:val="Textoindependiente"/>
        <w:spacing w:before="122"/>
        <w:ind w:left="1446" w:firstLine="0"/>
        <w:jc w:val="left"/>
      </w:pPr>
      <w:r>
        <w:t>El</w:t>
      </w:r>
      <w:r>
        <w:rPr>
          <w:spacing w:val="-3"/>
        </w:rPr>
        <w:t xml:space="preserve"> </w:t>
      </w:r>
      <w:r>
        <w:t>porcentaje</w:t>
      </w:r>
      <w:r>
        <w:rPr>
          <w:spacing w:val="-3"/>
        </w:rPr>
        <w:t xml:space="preserve"> </w:t>
      </w:r>
      <w:r>
        <w:t>del</w:t>
      </w:r>
      <w:r>
        <w:rPr>
          <w:spacing w:val="-3"/>
        </w:rPr>
        <w:t xml:space="preserve"> </w:t>
      </w:r>
      <w:r>
        <w:t>3</w:t>
      </w:r>
      <w:r>
        <w:rPr>
          <w:spacing w:val="-3"/>
        </w:rPr>
        <w:t xml:space="preserve"> </w:t>
      </w:r>
      <w:r>
        <w:t>por</w:t>
      </w:r>
      <w:r>
        <w:rPr>
          <w:spacing w:val="-3"/>
        </w:rPr>
        <w:t xml:space="preserve"> </w:t>
      </w:r>
      <w:r>
        <w:t>100</w:t>
      </w:r>
      <w:r>
        <w:rPr>
          <w:spacing w:val="-3"/>
        </w:rPr>
        <w:t xml:space="preserve"> </w:t>
      </w:r>
      <w:r>
        <w:t>del</w:t>
      </w:r>
      <w:r>
        <w:rPr>
          <w:spacing w:val="-3"/>
        </w:rPr>
        <w:t xml:space="preserve"> </w:t>
      </w:r>
      <w:r>
        <w:t>artículo</w:t>
      </w:r>
      <w:r>
        <w:rPr>
          <w:spacing w:val="-2"/>
        </w:rPr>
        <w:t xml:space="preserve"> 106.2.</w:t>
      </w:r>
    </w:p>
    <w:p w:rsidR="0092635B" w:rsidRDefault="00000000">
      <w:pPr>
        <w:pStyle w:val="Textoindependiente"/>
        <w:spacing w:before="10" w:line="249" w:lineRule="auto"/>
        <w:ind w:left="1446" w:right="4427" w:firstLine="0"/>
        <w:jc w:val="left"/>
      </w:pPr>
      <w:r>
        <w:t>El</w:t>
      </w:r>
      <w:r>
        <w:rPr>
          <w:spacing w:val="-4"/>
        </w:rPr>
        <w:t xml:space="preserve"> </w:t>
      </w:r>
      <w:r>
        <w:t>porcentaje</w:t>
      </w:r>
      <w:r>
        <w:rPr>
          <w:spacing w:val="-4"/>
        </w:rPr>
        <w:t xml:space="preserve"> </w:t>
      </w:r>
      <w:r>
        <w:t>del</w:t>
      </w:r>
      <w:r>
        <w:rPr>
          <w:spacing w:val="-4"/>
        </w:rPr>
        <w:t xml:space="preserve"> </w:t>
      </w:r>
      <w:r>
        <w:t>5</w:t>
      </w:r>
      <w:r>
        <w:rPr>
          <w:spacing w:val="-4"/>
        </w:rPr>
        <w:t xml:space="preserve"> </w:t>
      </w:r>
      <w:r>
        <w:t>por</w:t>
      </w:r>
      <w:r>
        <w:rPr>
          <w:spacing w:val="-4"/>
        </w:rPr>
        <w:t xml:space="preserve"> </w:t>
      </w:r>
      <w:r>
        <w:t>100</w:t>
      </w:r>
      <w:r>
        <w:rPr>
          <w:spacing w:val="-4"/>
        </w:rPr>
        <w:t xml:space="preserve"> </w:t>
      </w:r>
      <w:r>
        <w:t>del</w:t>
      </w:r>
      <w:r>
        <w:rPr>
          <w:spacing w:val="-4"/>
        </w:rPr>
        <w:t xml:space="preserve"> </w:t>
      </w:r>
      <w:r>
        <w:t>artículo</w:t>
      </w:r>
      <w:r>
        <w:rPr>
          <w:spacing w:val="-4"/>
        </w:rPr>
        <w:t xml:space="preserve"> </w:t>
      </w:r>
      <w:r>
        <w:t>107.1</w:t>
      </w:r>
      <w:r>
        <w:rPr>
          <w:spacing w:val="-4"/>
        </w:rPr>
        <w:t xml:space="preserve"> </w:t>
      </w:r>
      <w:r>
        <w:t>y</w:t>
      </w:r>
      <w:r>
        <w:rPr>
          <w:spacing w:val="-4"/>
        </w:rPr>
        <w:t xml:space="preserve"> </w:t>
      </w:r>
      <w:r>
        <w:t>2. Las cuantías del artículo 131.4.</w:t>
      </w:r>
    </w:p>
    <w:p w:rsidR="0092635B" w:rsidRDefault="00000000">
      <w:pPr>
        <w:pStyle w:val="Textoindependiente"/>
        <w:ind w:left="1446" w:firstLine="0"/>
        <w:jc w:val="left"/>
      </w:pPr>
      <w:r>
        <w:t>Los</w:t>
      </w:r>
      <w:r>
        <w:rPr>
          <w:spacing w:val="-1"/>
        </w:rPr>
        <w:t xml:space="preserve"> </w:t>
      </w:r>
      <w:r>
        <w:t>plazos</w:t>
      </w:r>
      <w:r>
        <w:rPr>
          <w:spacing w:val="-1"/>
        </w:rPr>
        <w:t xml:space="preserve"> </w:t>
      </w:r>
      <w:r>
        <w:t>de</w:t>
      </w:r>
      <w:r>
        <w:rPr>
          <w:spacing w:val="-1"/>
        </w:rPr>
        <w:t xml:space="preserve"> </w:t>
      </w:r>
      <w:r>
        <w:t>un</w:t>
      </w:r>
      <w:r>
        <w:rPr>
          <w:spacing w:val="-1"/>
        </w:rPr>
        <w:t xml:space="preserve"> </w:t>
      </w:r>
      <w:r>
        <w:t>mes</w:t>
      </w:r>
      <w:r>
        <w:rPr>
          <w:spacing w:val="-1"/>
        </w:rPr>
        <w:t xml:space="preserve"> </w:t>
      </w:r>
      <w:r>
        <w:t>establecidos</w:t>
      </w:r>
      <w:r>
        <w:rPr>
          <w:spacing w:val="-1"/>
        </w:rPr>
        <w:t xml:space="preserve"> </w:t>
      </w:r>
      <w:r>
        <w:t>en los</w:t>
      </w:r>
      <w:r>
        <w:rPr>
          <w:spacing w:val="-1"/>
        </w:rPr>
        <w:t xml:space="preserve"> </w:t>
      </w:r>
      <w:r>
        <w:t>apartados</w:t>
      </w:r>
      <w:r>
        <w:rPr>
          <w:spacing w:val="-1"/>
        </w:rPr>
        <w:t xml:space="preserve"> </w:t>
      </w:r>
      <w:r>
        <w:t>2</w:t>
      </w:r>
      <w:r>
        <w:rPr>
          <w:spacing w:val="-1"/>
        </w:rPr>
        <w:t xml:space="preserve"> </w:t>
      </w:r>
      <w:r>
        <w:t>y</w:t>
      </w:r>
      <w:r>
        <w:rPr>
          <w:spacing w:val="-1"/>
        </w:rPr>
        <w:t xml:space="preserve"> </w:t>
      </w:r>
      <w:r>
        <w:t>4</w:t>
      </w:r>
      <w:r>
        <w:rPr>
          <w:spacing w:val="-1"/>
        </w:rPr>
        <w:t xml:space="preserve"> </w:t>
      </w:r>
      <w:r>
        <w:t>del</w:t>
      </w:r>
      <w:r>
        <w:rPr>
          <w:spacing w:val="-1"/>
        </w:rPr>
        <w:t xml:space="preserve"> </w:t>
      </w:r>
      <w:r>
        <w:t xml:space="preserve">artículo </w:t>
      </w:r>
      <w:r>
        <w:rPr>
          <w:spacing w:val="-4"/>
        </w:rPr>
        <w:t>210.</w:t>
      </w:r>
    </w:p>
    <w:p w:rsidR="0092635B" w:rsidRDefault="00000000">
      <w:pPr>
        <w:pStyle w:val="Prrafodelista"/>
        <w:numPr>
          <w:ilvl w:val="0"/>
          <w:numId w:val="37"/>
        </w:numPr>
        <w:tabs>
          <w:tab w:val="left" w:pos="1694"/>
        </w:tabs>
        <w:spacing w:before="130" w:line="249" w:lineRule="auto"/>
        <w:ind w:firstLine="340"/>
        <w:jc w:val="both"/>
        <w:rPr>
          <w:sz w:val="20"/>
        </w:rPr>
      </w:pPr>
      <w:r>
        <w:rPr>
          <w:sz w:val="20"/>
        </w:rPr>
        <w:t>Las previsiones de esta Ley serán de aplicación a las Comunidades Autónomas de acuerdo con lo establecido en los apartados 1, 2 y 3 anteriores, sin perjuicio de las posiciones singulares que en materia de sistema institucional, y en lo que respecta a las competencias exclusivas y compartidas, en materia de función pública y de auto organización, en cada caso resulten de aplicación en virtud de lo dispuesto en la</w:t>
      </w:r>
      <w:r>
        <w:rPr>
          <w:spacing w:val="40"/>
          <w:sz w:val="20"/>
        </w:rPr>
        <w:t xml:space="preserve"> </w:t>
      </w:r>
      <w:r>
        <w:rPr>
          <w:sz w:val="20"/>
        </w:rPr>
        <w:t>Constitución Española y en los Estatutos de Autonomía.</w:t>
      </w:r>
    </w:p>
    <w:p w:rsidR="0092635B" w:rsidRDefault="0092635B">
      <w:pPr>
        <w:pStyle w:val="Textoindependiente"/>
        <w:ind w:left="0" w:firstLine="0"/>
        <w:jc w:val="left"/>
      </w:pPr>
    </w:p>
    <w:p w:rsidR="0092635B" w:rsidRDefault="00000000">
      <w:pPr>
        <w:ind w:left="1106"/>
        <w:rPr>
          <w:rFonts w:ascii="Arial" w:hAnsi="Arial"/>
          <w:i/>
          <w:sz w:val="20"/>
        </w:rPr>
      </w:pPr>
      <w:bookmarkStart w:id="659" w:name="Disposición_final_segunda._Comunidad_For"/>
      <w:bookmarkEnd w:id="659"/>
      <w:r>
        <w:rPr>
          <w:rFonts w:ascii="Arial" w:hAnsi="Arial"/>
          <w:b/>
          <w:sz w:val="20"/>
        </w:rPr>
        <w:t>Disposición</w:t>
      </w:r>
      <w:r>
        <w:rPr>
          <w:rFonts w:ascii="Arial" w:hAnsi="Arial"/>
          <w:b/>
          <w:spacing w:val="-2"/>
          <w:sz w:val="20"/>
        </w:rPr>
        <w:t xml:space="preserve"> </w:t>
      </w:r>
      <w:r>
        <w:rPr>
          <w:rFonts w:ascii="Arial" w:hAnsi="Arial"/>
          <w:b/>
          <w:sz w:val="20"/>
        </w:rPr>
        <w:t>final</w:t>
      </w:r>
      <w:r>
        <w:rPr>
          <w:rFonts w:ascii="Arial" w:hAnsi="Arial"/>
          <w:b/>
          <w:spacing w:val="-2"/>
          <w:sz w:val="20"/>
        </w:rPr>
        <w:t xml:space="preserve"> </w:t>
      </w:r>
      <w:r>
        <w:rPr>
          <w:rFonts w:ascii="Arial" w:hAnsi="Arial"/>
          <w:b/>
          <w:sz w:val="20"/>
        </w:rPr>
        <w:t>segunda.</w:t>
      </w:r>
      <w:r>
        <w:rPr>
          <w:rFonts w:ascii="Arial" w:hAnsi="Arial"/>
          <w:b/>
          <w:spacing w:val="50"/>
          <w:sz w:val="20"/>
        </w:rPr>
        <w:t xml:space="preserve"> </w:t>
      </w:r>
      <w:r>
        <w:rPr>
          <w:rFonts w:ascii="Arial" w:hAnsi="Arial"/>
          <w:i/>
          <w:sz w:val="20"/>
        </w:rPr>
        <w:t>Comunidad</w:t>
      </w:r>
      <w:r>
        <w:rPr>
          <w:rFonts w:ascii="Arial" w:hAnsi="Arial"/>
          <w:i/>
          <w:spacing w:val="-2"/>
          <w:sz w:val="20"/>
        </w:rPr>
        <w:t xml:space="preserve"> </w:t>
      </w:r>
      <w:r>
        <w:rPr>
          <w:rFonts w:ascii="Arial" w:hAnsi="Arial"/>
          <w:i/>
          <w:sz w:val="20"/>
        </w:rPr>
        <w:t>Foral</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Navarra.</w:t>
      </w:r>
    </w:p>
    <w:p w:rsidR="0092635B" w:rsidRDefault="00000000">
      <w:pPr>
        <w:pStyle w:val="Textoindependiente"/>
        <w:spacing w:before="123" w:line="249" w:lineRule="auto"/>
        <w:ind w:right="1105"/>
      </w:pPr>
      <w:r>
        <w:t>En virtud de su régimen foral, la aplicación a la Comunidad Foral de Navarra de lo dispuesto</w:t>
      </w:r>
      <w:r>
        <w:rPr>
          <w:spacing w:val="40"/>
        </w:rPr>
        <w:t xml:space="preserve"> </w:t>
      </w:r>
      <w:r>
        <w:t>en</w:t>
      </w:r>
      <w:r>
        <w:rPr>
          <w:spacing w:val="40"/>
        </w:rPr>
        <w:t xml:space="preserve"> </w:t>
      </w:r>
      <w:r>
        <w:t>esta</w:t>
      </w:r>
      <w:r>
        <w:rPr>
          <w:spacing w:val="40"/>
        </w:rPr>
        <w:t xml:space="preserve"> </w:t>
      </w:r>
      <w:r>
        <w:t>Ley</w:t>
      </w:r>
      <w:r>
        <w:rPr>
          <w:spacing w:val="40"/>
        </w:rPr>
        <w:t xml:space="preserve"> </w:t>
      </w:r>
      <w:r>
        <w:t>se</w:t>
      </w:r>
      <w:r>
        <w:rPr>
          <w:spacing w:val="40"/>
        </w:rPr>
        <w:t xml:space="preserve"> </w:t>
      </w:r>
      <w:r>
        <w:t>llevará</w:t>
      </w:r>
      <w:r>
        <w:rPr>
          <w:spacing w:val="40"/>
        </w:rPr>
        <w:t xml:space="preserve"> </w:t>
      </w:r>
      <w:r>
        <w:t>a</w:t>
      </w:r>
      <w:r>
        <w:rPr>
          <w:spacing w:val="40"/>
        </w:rPr>
        <w:t xml:space="preserve"> </w:t>
      </w:r>
      <w:r>
        <w:t>cabo</w:t>
      </w:r>
      <w:r>
        <w:rPr>
          <w:spacing w:val="40"/>
        </w:rPr>
        <w:t xml:space="preserve"> </w:t>
      </w:r>
      <w:r>
        <w:t>sin</w:t>
      </w:r>
      <w:r>
        <w:rPr>
          <w:spacing w:val="40"/>
        </w:rPr>
        <w:t xml:space="preserve"> </w:t>
      </w:r>
      <w:r>
        <w:t>perjuicio</w:t>
      </w:r>
      <w:r>
        <w:rPr>
          <w:spacing w:val="40"/>
        </w:rPr>
        <w:t xml:space="preserve"> </w:t>
      </w:r>
      <w:r>
        <w:t>de</w:t>
      </w:r>
      <w:r>
        <w:rPr>
          <w:spacing w:val="40"/>
        </w:rPr>
        <w:t xml:space="preserve"> </w:t>
      </w:r>
      <w:r>
        <w:t>lo</w:t>
      </w:r>
      <w:r>
        <w:rPr>
          <w:spacing w:val="40"/>
        </w:rPr>
        <w:t xml:space="preserve"> </w:t>
      </w:r>
      <w:r>
        <w:t>dispuesto</w:t>
      </w:r>
      <w:r>
        <w:rPr>
          <w:spacing w:val="40"/>
        </w:rPr>
        <w:t xml:space="preserve"> </w:t>
      </w:r>
      <w:r>
        <w:t>en</w:t>
      </w:r>
      <w:r>
        <w:rPr>
          <w:spacing w:val="40"/>
        </w:rPr>
        <w:t xml:space="preserve"> </w:t>
      </w:r>
      <w:r>
        <w:t>la</w:t>
      </w:r>
      <w:r>
        <w:rPr>
          <w:spacing w:val="40"/>
        </w:rPr>
        <w:t xml:space="preserve"> </w:t>
      </w:r>
      <w:r>
        <w:t>Ley Orgánica 13/1982, de 10 de agosto, de Reintegración y Amejoramiento del Régimen Foral</w:t>
      </w:r>
      <w:r>
        <w:rPr>
          <w:spacing w:val="80"/>
        </w:rPr>
        <w:t xml:space="preserve"> </w:t>
      </w:r>
      <w:r>
        <w:t>de Navarra.</w:t>
      </w:r>
    </w:p>
    <w:p w:rsidR="0092635B" w:rsidRDefault="0092635B">
      <w:pPr>
        <w:pStyle w:val="Textoindependiente"/>
        <w:spacing w:before="0"/>
        <w:ind w:left="0" w:firstLine="0"/>
        <w:jc w:val="left"/>
      </w:pPr>
    </w:p>
    <w:p w:rsidR="0092635B" w:rsidRDefault="00000000">
      <w:pPr>
        <w:ind w:left="1106"/>
        <w:rPr>
          <w:rFonts w:ascii="Arial" w:hAnsi="Arial"/>
          <w:i/>
          <w:sz w:val="20"/>
        </w:rPr>
      </w:pPr>
      <w:bookmarkStart w:id="660" w:name="Disposición_final_tercera._Comunidad_Aut"/>
      <w:bookmarkEnd w:id="660"/>
      <w:r>
        <w:rPr>
          <w:rFonts w:ascii="Arial" w:hAnsi="Arial"/>
          <w:b/>
          <w:sz w:val="20"/>
        </w:rPr>
        <w:t>Disposición</w:t>
      </w:r>
      <w:r>
        <w:rPr>
          <w:rFonts w:ascii="Arial" w:hAnsi="Arial"/>
          <w:b/>
          <w:spacing w:val="-3"/>
          <w:sz w:val="20"/>
        </w:rPr>
        <w:t xml:space="preserve"> </w:t>
      </w:r>
      <w:r>
        <w:rPr>
          <w:rFonts w:ascii="Arial" w:hAnsi="Arial"/>
          <w:b/>
          <w:sz w:val="20"/>
        </w:rPr>
        <w:t>final</w:t>
      </w:r>
      <w:r>
        <w:rPr>
          <w:rFonts w:ascii="Arial" w:hAnsi="Arial"/>
          <w:b/>
          <w:spacing w:val="-2"/>
          <w:sz w:val="20"/>
        </w:rPr>
        <w:t xml:space="preserve"> </w:t>
      </w:r>
      <w:r>
        <w:rPr>
          <w:rFonts w:ascii="Arial" w:hAnsi="Arial"/>
          <w:b/>
          <w:sz w:val="20"/>
        </w:rPr>
        <w:t>tercera.</w:t>
      </w:r>
      <w:r>
        <w:rPr>
          <w:rFonts w:ascii="Arial" w:hAnsi="Arial"/>
          <w:b/>
          <w:spacing w:val="50"/>
          <w:sz w:val="20"/>
        </w:rPr>
        <w:t xml:space="preserve"> </w:t>
      </w:r>
      <w:r>
        <w:rPr>
          <w:rFonts w:ascii="Arial" w:hAnsi="Arial"/>
          <w:i/>
          <w:sz w:val="20"/>
        </w:rPr>
        <w:t>Comunidad</w:t>
      </w:r>
      <w:r>
        <w:rPr>
          <w:rFonts w:ascii="Arial" w:hAnsi="Arial"/>
          <w:i/>
          <w:spacing w:val="-2"/>
          <w:sz w:val="20"/>
        </w:rPr>
        <w:t xml:space="preserve"> </w:t>
      </w:r>
      <w:r>
        <w:rPr>
          <w:rFonts w:ascii="Arial" w:hAnsi="Arial"/>
          <w:i/>
          <w:sz w:val="20"/>
        </w:rPr>
        <w:t>Autónoma</w:t>
      </w:r>
      <w:r>
        <w:rPr>
          <w:rFonts w:ascii="Arial" w:hAnsi="Arial"/>
          <w:i/>
          <w:spacing w:val="-2"/>
          <w:sz w:val="20"/>
        </w:rPr>
        <w:t xml:space="preserve"> </w:t>
      </w:r>
      <w:r>
        <w:rPr>
          <w:rFonts w:ascii="Arial" w:hAnsi="Arial"/>
          <w:i/>
          <w:sz w:val="20"/>
        </w:rPr>
        <w:t>del</w:t>
      </w:r>
      <w:r>
        <w:rPr>
          <w:rFonts w:ascii="Arial" w:hAnsi="Arial"/>
          <w:i/>
          <w:spacing w:val="-2"/>
          <w:sz w:val="20"/>
        </w:rPr>
        <w:t xml:space="preserve"> </w:t>
      </w:r>
      <w:r>
        <w:rPr>
          <w:rFonts w:ascii="Arial" w:hAnsi="Arial"/>
          <w:i/>
          <w:sz w:val="20"/>
        </w:rPr>
        <w:t>País</w:t>
      </w:r>
      <w:r>
        <w:rPr>
          <w:rFonts w:ascii="Arial" w:hAnsi="Arial"/>
          <w:i/>
          <w:spacing w:val="-2"/>
          <w:sz w:val="20"/>
        </w:rPr>
        <w:t xml:space="preserve"> Vasco.</w:t>
      </w:r>
    </w:p>
    <w:p w:rsidR="0092635B" w:rsidRDefault="00000000">
      <w:pPr>
        <w:pStyle w:val="Textoindependiente"/>
        <w:spacing w:before="124" w:line="249" w:lineRule="auto"/>
        <w:ind w:right="1104"/>
      </w:pPr>
      <w:r>
        <w:t>En virtud de su régimen foral, la aplicación a la Comunidad Autónoma del País Vasco de lo dispuesto en esta Ley se entenderá sin perjuicio de lo dispuesto en la Ley 12/2002, de 23 de mayo, por la que se aprueba el Concierto Económico Vasco de la Comunidad Autónoma del País Vasco.</w:t>
      </w:r>
    </w:p>
    <w:p w:rsidR="0092635B" w:rsidRDefault="0092635B">
      <w:pPr>
        <w:pStyle w:val="Textoindependiente"/>
        <w:spacing w:before="0"/>
        <w:ind w:left="0" w:firstLine="0"/>
        <w:jc w:val="left"/>
      </w:pPr>
    </w:p>
    <w:p w:rsidR="0092635B" w:rsidRDefault="00000000">
      <w:pPr>
        <w:spacing w:line="249" w:lineRule="auto"/>
        <w:ind w:left="1106" w:right="1150" w:hanging="1"/>
        <w:rPr>
          <w:rFonts w:ascii="Arial" w:hAnsi="Arial"/>
          <w:i/>
          <w:sz w:val="20"/>
        </w:rPr>
      </w:pPr>
      <w:bookmarkStart w:id="661" w:name="Disposición_final_cuarta._Normas_aplicab"/>
      <w:bookmarkEnd w:id="661"/>
      <w:r>
        <w:rPr>
          <w:rFonts w:ascii="Arial" w:hAnsi="Arial"/>
          <w:b/>
          <w:sz w:val="20"/>
        </w:rPr>
        <w:t>Disposición final cuarta.</w:t>
      </w:r>
      <w:r>
        <w:rPr>
          <w:rFonts w:ascii="Arial" w:hAnsi="Arial"/>
          <w:b/>
          <w:spacing w:val="71"/>
          <w:sz w:val="20"/>
        </w:rPr>
        <w:t xml:space="preserve"> </w:t>
      </w:r>
      <w:r>
        <w:rPr>
          <w:rFonts w:ascii="Arial" w:hAnsi="Arial"/>
          <w:i/>
          <w:sz w:val="20"/>
        </w:rPr>
        <w:t>Normas aplicables a los procedimientos regulados en esta Ley y</w:t>
      </w:r>
      <w:r>
        <w:rPr>
          <w:rFonts w:ascii="Arial" w:hAnsi="Arial"/>
          <w:i/>
          <w:spacing w:val="40"/>
          <w:sz w:val="20"/>
        </w:rPr>
        <w:t xml:space="preserve"> </w:t>
      </w:r>
      <w:r>
        <w:rPr>
          <w:rFonts w:ascii="Arial" w:hAnsi="Arial"/>
          <w:i/>
          <w:sz w:val="20"/>
        </w:rPr>
        <w:t>a los medios propios personificados.</w:t>
      </w:r>
    </w:p>
    <w:p w:rsidR="0092635B" w:rsidRDefault="00000000">
      <w:pPr>
        <w:pStyle w:val="Prrafodelista"/>
        <w:numPr>
          <w:ilvl w:val="0"/>
          <w:numId w:val="36"/>
        </w:numPr>
        <w:tabs>
          <w:tab w:val="left" w:pos="1715"/>
        </w:tabs>
        <w:spacing w:before="115" w:line="249" w:lineRule="auto"/>
        <w:ind w:right="1104" w:firstLine="340"/>
        <w:jc w:val="both"/>
        <w:rPr>
          <w:sz w:val="20"/>
        </w:rPr>
      </w:pPr>
      <w:r>
        <w:rPr>
          <w:sz w:val="20"/>
        </w:rPr>
        <w:t>Los procedimientos regulados en esta Ley se regirán, en primer término, por los preceptos</w:t>
      </w:r>
      <w:r>
        <w:rPr>
          <w:spacing w:val="34"/>
          <w:sz w:val="20"/>
        </w:rPr>
        <w:t xml:space="preserve"> </w:t>
      </w:r>
      <w:r>
        <w:rPr>
          <w:sz w:val="20"/>
        </w:rPr>
        <w:t>contenidos</w:t>
      </w:r>
      <w:r>
        <w:rPr>
          <w:spacing w:val="37"/>
          <w:sz w:val="20"/>
        </w:rPr>
        <w:t xml:space="preserve"> </w:t>
      </w:r>
      <w:r>
        <w:rPr>
          <w:sz w:val="20"/>
        </w:rPr>
        <w:t>en</w:t>
      </w:r>
      <w:r>
        <w:rPr>
          <w:spacing w:val="37"/>
          <w:sz w:val="20"/>
        </w:rPr>
        <w:t xml:space="preserve"> </w:t>
      </w:r>
      <w:r>
        <w:rPr>
          <w:sz w:val="20"/>
        </w:rPr>
        <w:t>ella</w:t>
      </w:r>
      <w:r>
        <w:rPr>
          <w:spacing w:val="36"/>
          <w:sz w:val="20"/>
        </w:rPr>
        <w:t xml:space="preserve"> </w:t>
      </w:r>
      <w:r>
        <w:rPr>
          <w:sz w:val="20"/>
        </w:rPr>
        <w:t>y</w:t>
      </w:r>
      <w:r>
        <w:rPr>
          <w:spacing w:val="37"/>
          <w:sz w:val="20"/>
        </w:rPr>
        <w:t xml:space="preserve"> </w:t>
      </w:r>
      <w:r>
        <w:rPr>
          <w:sz w:val="20"/>
        </w:rPr>
        <w:t>en</w:t>
      </w:r>
      <w:r>
        <w:rPr>
          <w:spacing w:val="37"/>
          <w:sz w:val="20"/>
        </w:rPr>
        <w:t xml:space="preserve"> </w:t>
      </w:r>
      <w:r>
        <w:rPr>
          <w:sz w:val="20"/>
        </w:rPr>
        <w:t>sus</w:t>
      </w:r>
      <w:r>
        <w:rPr>
          <w:spacing w:val="36"/>
          <w:sz w:val="20"/>
        </w:rPr>
        <w:t xml:space="preserve"> </w:t>
      </w:r>
      <w:r>
        <w:rPr>
          <w:sz w:val="20"/>
        </w:rPr>
        <w:t>normas</w:t>
      </w:r>
      <w:r>
        <w:rPr>
          <w:spacing w:val="37"/>
          <w:sz w:val="20"/>
        </w:rPr>
        <w:t xml:space="preserve"> </w:t>
      </w:r>
      <w:r>
        <w:rPr>
          <w:sz w:val="20"/>
        </w:rPr>
        <w:t>de</w:t>
      </w:r>
      <w:r>
        <w:rPr>
          <w:spacing w:val="37"/>
          <w:sz w:val="20"/>
        </w:rPr>
        <w:t xml:space="preserve"> </w:t>
      </w:r>
      <w:r>
        <w:rPr>
          <w:sz w:val="20"/>
        </w:rPr>
        <w:t>desarrollo</w:t>
      </w:r>
      <w:r>
        <w:rPr>
          <w:spacing w:val="36"/>
          <w:sz w:val="20"/>
        </w:rPr>
        <w:t xml:space="preserve"> </w:t>
      </w:r>
      <w:r>
        <w:rPr>
          <w:sz w:val="20"/>
        </w:rPr>
        <w:t>y,</w:t>
      </w:r>
      <w:r>
        <w:rPr>
          <w:spacing w:val="37"/>
          <w:sz w:val="20"/>
        </w:rPr>
        <w:t xml:space="preserve"> </w:t>
      </w:r>
      <w:r>
        <w:rPr>
          <w:sz w:val="20"/>
        </w:rPr>
        <w:t>subsidiariamente,</w:t>
      </w:r>
      <w:r>
        <w:rPr>
          <w:spacing w:val="37"/>
          <w:sz w:val="20"/>
        </w:rPr>
        <w:t xml:space="preserve"> </w:t>
      </w:r>
      <w:r>
        <w:rPr>
          <w:sz w:val="20"/>
        </w:rPr>
        <w:t>por</w:t>
      </w:r>
      <w:r>
        <w:rPr>
          <w:spacing w:val="37"/>
          <w:sz w:val="20"/>
        </w:rPr>
        <w:t xml:space="preserve"> </w:t>
      </w:r>
      <w:r>
        <w:rPr>
          <w:spacing w:val="-5"/>
          <w:sz w:val="20"/>
        </w:rPr>
        <w:t>los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right="1105" w:hanging="1"/>
      </w:pPr>
      <w:r>
        <w:t>establecidos</w:t>
      </w:r>
      <w:r>
        <w:rPr>
          <w:spacing w:val="-2"/>
        </w:rPr>
        <w:t xml:space="preserve"> </w:t>
      </w:r>
      <w:r>
        <w:t>en</w:t>
      </w:r>
      <w:r>
        <w:rPr>
          <w:spacing w:val="-2"/>
        </w:rPr>
        <w:t xml:space="preserve"> </w:t>
      </w:r>
      <w:r>
        <w:t>la</w:t>
      </w:r>
      <w:r>
        <w:rPr>
          <w:spacing w:val="-2"/>
        </w:rPr>
        <w:t xml:space="preserve"> </w:t>
      </w:r>
      <w:r>
        <w:t>Ley</w:t>
      </w:r>
      <w:r>
        <w:rPr>
          <w:spacing w:val="-2"/>
        </w:rPr>
        <w:t xml:space="preserve"> </w:t>
      </w:r>
      <w:r>
        <w:t>39/2015,</w:t>
      </w:r>
      <w:r>
        <w:rPr>
          <w:spacing w:val="-2"/>
        </w:rPr>
        <w:t xml:space="preserve"> </w:t>
      </w:r>
      <w:r>
        <w:t>de</w:t>
      </w:r>
      <w:r>
        <w:rPr>
          <w:spacing w:val="-2"/>
        </w:rPr>
        <w:t xml:space="preserve"> </w:t>
      </w:r>
      <w:r>
        <w:t>1</w:t>
      </w:r>
      <w:r>
        <w:rPr>
          <w:spacing w:val="-2"/>
        </w:rPr>
        <w:t xml:space="preserve"> </w:t>
      </w:r>
      <w:r>
        <w:t>de</w:t>
      </w:r>
      <w:r>
        <w:rPr>
          <w:spacing w:val="-2"/>
        </w:rPr>
        <w:t xml:space="preserve"> </w:t>
      </w:r>
      <w:r>
        <w:t>octubre,</w:t>
      </w:r>
      <w:r>
        <w:rPr>
          <w:spacing w:val="-2"/>
        </w:rPr>
        <w:t xml:space="preserve"> </w:t>
      </w:r>
      <w:r>
        <w:t>del</w:t>
      </w:r>
      <w:r>
        <w:rPr>
          <w:spacing w:val="-2"/>
        </w:rPr>
        <w:t xml:space="preserve"> </w:t>
      </w:r>
      <w:r>
        <w:t>Procedimiento</w:t>
      </w:r>
      <w:r>
        <w:rPr>
          <w:spacing w:val="-2"/>
        </w:rPr>
        <w:t xml:space="preserve"> </w:t>
      </w:r>
      <w:r>
        <w:t>Administrativo</w:t>
      </w:r>
      <w:r>
        <w:rPr>
          <w:spacing w:val="-2"/>
        </w:rPr>
        <w:t xml:space="preserve"> </w:t>
      </w:r>
      <w:r>
        <w:t>Común</w:t>
      </w:r>
      <w:r>
        <w:rPr>
          <w:spacing w:val="-2"/>
        </w:rPr>
        <w:t xml:space="preserve"> </w:t>
      </w:r>
      <w:r>
        <w:t>de las Administraciones Públicas, y en sus normas complementarias.</w:t>
      </w:r>
    </w:p>
    <w:p w:rsidR="0092635B" w:rsidRDefault="00000000">
      <w:pPr>
        <w:pStyle w:val="Prrafodelista"/>
        <w:numPr>
          <w:ilvl w:val="0"/>
          <w:numId w:val="36"/>
        </w:numPr>
        <w:tabs>
          <w:tab w:val="left" w:pos="1668"/>
        </w:tabs>
        <w:spacing w:before="1" w:line="249" w:lineRule="auto"/>
        <w:ind w:firstLine="340"/>
        <w:jc w:val="both"/>
        <w:rPr>
          <w:sz w:val="20"/>
        </w:rPr>
      </w:pPr>
      <w:r>
        <w:rPr>
          <w:sz w:val="20"/>
        </w:rPr>
        <w:t>En</w:t>
      </w:r>
      <w:r>
        <w:rPr>
          <w:spacing w:val="-2"/>
          <w:sz w:val="20"/>
        </w:rPr>
        <w:t xml:space="preserve"> </w:t>
      </w:r>
      <w:r>
        <w:rPr>
          <w:sz w:val="20"/>
        </w:rPr>
        <w:t>todo</w:t>
      </w:r>
      <w:r>
        <w:rPr>
          <w:spacing w:val="-2"/>
          <w:sz w:val="20"/>
        </w:rPr>
        <w:t xml:space="preserve"> </w:t>
      </w:r>
      <w:r>
        <w:rPr>
          <w:sz w:val="20"/>
        </w:rPr>
        <w:t>caso,</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procedimientos</w:t>
      </w:r>
      <w:r>
        <w:rPr>
          <w:spacing w:val="-2"/>
          <w:sz w:val="20"/>
        </w:rPr>
        <w:t xml:space="preserve"> </w:t>
      </w:r>
      <w:r>
        <w:rPr>
          <w:sz w:val="20"/>
        </w:rPr>
        <w:t>iniciados</w:t>
      </w:r>
      <w:r>
        <w:rPr>
          <w:spacing w:val="-2"/>
          <w:sz w:val="20"/>
        </w:rPr>
        <w:t xml:space="preserve"> </w:t>
      </w:r>
      <w:r>
        <w:rPr>
          <w:sz w:val="20"/>
        </w:rPr>
        <w:t>a</w:t>
      </w:r>
      <w:r>
        <w:rPr>
          <w:spacing w:val="-2"/>
          <w:sz w:val="20"/>
        </w:rPr>
        <w:t xml:space="preserve"> </w:t>
      </w:r>
      <w:r>
        <w:rPr>
          <w:sz w:val="20"/>
        </w:rPr>
        <w:t>solicitud</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interesado</w:t>
      </w:r>
      <w:r>
        <w:rPr>
          <w:spacing w:val="-2"/>
          <w:sz w:val="20"/>
        </w:rPr>
        <w:t xml:space="preserve"> </w:t>
      </w:r>
      <w:r>
        <w:rPr>
          <w:sz w:val="20"/>
        </w:rPr>
        <w:t>para</w:t>
      </w:r>
      <w:r>
        <w:rPr>
          <w:spacing w:val="-2"/>
          <w:sz w:val="20"/>
        </w:rPr>
        <w:t xml:space="preserve"> </w:t>
      </w:r>
      <w:r>
        <w:rPr>
          <w:sz w:val="20"/>
        </w:rPr>
        <w:t>los</w:t>
      </w:r>
      <w:r>
        <w:rPr>
          <w:spacing w:val="-2"/>
          <w:sz w:val="20"/>
        </w:rPr>
        <w:t xml:space="preserve"> </w:t>
      </w:r>
      <w:r>
        <w:rPr>
          <w:sz w:val="20"/>
        </w:rPr>
        <w:t>que no se establezca específicamente otra cosa y que tengan por objeto o se refieran a la reclamación de cantidades, al ejercicio de prerrogativas administrativas o a cualquier otra cuestión relativa a la ejecución, cumplimiento o extinción de un contrato administrativo, una vez transcurrido el plazo previsto para su resolución sin haberse notificado esta, el</w:t>
      </w:r>
      <w:r>
        <w:rPr>
          <w:spacing w:val="40"/>
          <w:sz w:val="20"/>
        </w:rPr>
        <w:t xml:space="preserve"> </w:t>
      </w:r>
      <w:r>
        <w:rPr>
          <w:sz w:val="20"/>
        </w:rPr>
        <w:t>interesado</w:t>
      </w:r>
      <w:r>
        <w:rPr>
          <w:spacing w:val="-1"/>
          <w:sz w:val="20"/>
        </w:rPr>
        <w:t xml:space="preserve"> </w:t>
      </w:r>
      <w:r>
        <w:rPr>
          <w:sz w:val="20"/>
        </w:rPr>
        <w:t>podrá</w:t>
      </w:r>
      <w:r>
        <w:rPr>
          <w:spacing w:val="-1"/>
          <w:sz w:val="20"/>
        </w:rPr>
        <w:t xml:space="preserve"> </w:t>
      </w:r>
      <w:r>
        <w:rPr>
          <w:sz w:val="20"/>
        </w:rPr>
        <w:t>considerar</w:t>
      </w:r>
      <w:r>
        <w:rPr>
          <w:spacing w:val="-1"/>
          <w:sz w:val="20"/>
        </w:rPr>
        <w:t xml:space="preserve"> </w:t>
      </w:r>
      <w:r>
        <w:rPr>
          <w:sz w:val="20"/>
        </w:rPr>
        <w:t>desestimada</w:t>
      </w:r>
      <w:r>
        <w:rPr>
          <w:spacing w:val="-1"/>
          <w:sz w:val="20"/>
        </w:rPr>
        <w:t xml:space="preserve"> </w:t>
      </w:r>
      <w:r>
        <w:rPr>
          <w:sz w:val="20"/>
        </w:rPr>
        <w:t>su</w:t>
      </w:r>
      <w:r>
        <w:rPr>
          <w:spacing w:val="-1"/>
          <w:sz w:val="20"/>
        </w:rPr>
        <w:t xml:space="preserve"> </w:t>
      </w:r>
      <w:r>
        <w:rPr>
          <w:sz w:val="20"/>
        </w:rPr>
        <w:t>solicitud</w:t>
      </w:r>
      <w:r>
        <w:rPr>
          <w:spacing w:val="-1"/>
          <w:sz w:val="20"/>
        </w:rPr>
        <w:t xml:space="preserve"> </w:t>
      </w:r>
      <w:r>
        <w:rPr>
          <w:sz w:val="20"/>
        </w:rPr>
        <w:t>por</w:t>
      </w:r>
      <w:r>
        <w:rPr>
          <w:spacing w:val="-1"/>
          <w:sz w:val="20"/>
        </w:rPr>
        <w:t xml:space="preserve"> </w:t>
      </w:r>
      <w:r>
        <w:rPr>
          <w:sz w:val="20"/>
        </w:rPr>
        <w:t>silencio</w:t>
      </w:r>
      <w:r>
        <w:rPr>
          <w:spacing w:val="-1"/>
          <w:sz w:val="20"/>
        </w:rPr>
        <w:t xml:space="preserve"> </w:t>
      </w:r>
      <w:r>
        <w:rPr>
          <w:sz w:val="20"/>
        </w:rPr>
        <w:t>administrativo,</w:t>
      </w:r>
      <w:r>
        <w:rPr>
          <w:spacing w:val="-1"/>
          <w:sz w:val="20"/>
        </w:rPr>
        <w:t xml:space="preserve"> </w:t>
      </w:r>
      <w:r>
        <w:rPr>
          <w:sz w:val="20"/>
        </w:rPr>
        <w:t>sin</w:t>
      </w:r>
      <w:r>
        <w:rPr>
          <w:spacing w:val="-1"/>
          <w:sz w:val="20"/>
        </w:rPr>
        <w:t xml:space="preserve"> </w:t>
      </w:r>
      <w:r>
        <w:rPr>
          <w:sz w:val="20"/>
        </w:rPr>
        <w:t>perjuicio de la subsistencia de la obligación de resolver.</w:t>
      </w:r>
    </w:p>
    <w:p w:rsidR="0092635B" w:rsidRDefault="00000000">
      <w:pPr>
        <w:pStyle w:val="Prrafodelista"/>
        <w:numPr>
          <w:ilvl w:val="0"/>
          <w:numId w:val="36"/>
        </w:numPr>
        <w:tabs>
          <w:tab w:val="left" w:pos="1701"/>
        </w:tabs>
        <w:spacing w:before="6" w:line="249" w:lineRule="auto"/>
        <w:ind w:firstLine="340"/>
        <w:jc w:val="both"/>
        <w:rPr>
          <w:sz w:val="20"/>
        </w:rPr>
      </w:pPr>
      <w:r>
        <w:rPr>
          <w:sz w:val="20"/>
        </w:rPr>
        <w:t>En relación con el régimen jurídico de los medios propios personificados, en lo no previsto en la presente Ley, resultará de aplicación lo establecido en la Ley 40/2015, de 1 de octubre, de Régimen Jurídico del Sector Público.</w:t>
      </w:r>
    </w:p>
    <w:p w:rsidR="0092635B" w:rsidRDefault="00000000">
      <w:pPr>
        <w:spacing w:before="229"/>
        <w:ind w:left="1106"/>
        <w:jc w:val="both"/>
        <w:rPr>
          <w:rFonts w:ascii="Arial" w:hAnsi="Arial"/>
          <w:i/>
          <w:sz w:val="20"/>
        </w:rPr>
      </w:pPr>
      <w:bookmarkStart w:id="662" w:name="Disposición_final_quinta._Incorporación_"/>
      <w:bookmarkEnd w:id="662"/>
      <w:r>
        <w:rPr>
          <w:rFonts w:ascii="Arial" w:hAnsi="Arial"/>
          <w:b/>
          <w:sz w:val="20"/>
        </w:rPr>
        <w:t>Disposición</w:t>
      </w:r>
      <w:r>
        <w:rPr>
          <w:rFonts w:ascii="Arial" w:hAnsi="Arial"/>
          <w:b/>
          <w:spacing w:val="-3"/>
          <w:sz w:val="20"/>
        </w:rPr>
        <w:t xml:space="preserve"> </w:t>
      </w:r>
      <w:r>
        <w:rPr>
          <w:rFonts w:ascii="Arial" w:hAnsi="Arial"/>
          <w:b/>
          <w:sz w:val="20"/>
        </w:rPr>
        <w:t>final</w:t>
      </w:r>
      <w:r>
        <w:rPr>
          <w:rFonts w:ascii="Arial" w:hAnsi="Arial"/>
          <w:b/>
          <w:spacing w:val="-3"/>
          <w:sz w:val="20"/>
        </w:rPr>
        <w:t xml:space="preserve"> </w:t>
      </w:r>
      <w:r>
        <w:rPr>
          <w:rFonts w:ascii="Arial" w:hAnsi="Arial"/>
          <w:b/>
          <w:sz w:val="20"/>
        </w:rPr>
        <w:t>quinta.</w:t>
      </w:r>
      <w:r>
        <w:rPr>
          <w:rFonts w:ascii="Arial" w:hAnsi="Arial"/>
          <w:b/>
          <w:spacing w:val="49"/>
          <w:sz w:val="20"/>
        </w:rPr>
        <w:t xml:space="preserve"> </w:t>
      </w:r>
      <w:r>
        <w:rPr>
          <w:rFonts w:ascii="Arial" w:hAnsi="Arial"/>
          <w:i/>
          <w:sz w:val="20"/>
        </w:rPr>
        <w:t>Incorporación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derecho</w:t>
      </w:r>
      <w:r>
        <w:rPr>
          <w:rFonts w:ascii="Arial" w:hAnsi="Arial"/>
          <w:i/>
          <w:spacing w:val="-2"/>
          <w:sz w:val="20"/>
        </w:rPr>
        <w:t xml:space="preserve"> comunitario.</w:t>
      </w:r>
    </w:p>
    <w:p w:rsidR="0092635B" w:rsidRDefault="00000000">
      <w:pPr>
        <w:pStyle w:val="Textoindependiente"/>
        <w:spacing w:before="124" w:line="249" w:lineRule="auto"/>
        <w:ind w:right="1104"/>
      </w:pPr>
      <w:r>
        <w:t>Mediante la presente Ley se incorpora al ordenamiento jurídico la Directiva 2014/24/UE, del Parlamento Europeo y del Consejo, de 26 de febrero de 2014, sobre contratación pública y por la que se deroga la Directiva 2004/18/CE; así como la Directiva 2014/23/UE, del Parlamento Europeo y del Consejo, de 26 de febrero de 2014, relativa a la adjudicación de contratos de concesión, sin perjuicio de lo incorporado respecto a esta última Directiva a través de la Ley sobre procedimientos de contratación en los sectores del agua, la energía, los transportes y los servicios postales.</w:t>
      </w:r>
    </w:p>
    <w:p w:rsidR="0092635B" w:rsidRDefault="0092635B">
      <w:pPr>
        <w:pStyle w:val="Textoindependiente"/>
        <w:ind w:left="0" w:firstLine="0"/>
        <w:jc w:val="left"/>
      </w:pPr>
    </w:p>
    <w:p w:rsidR="0092635B" w:rsidRDefault="00000000">
      <w:pPr>
        <w:spacing w:line="249" w:lineRule="auto"/>
        <w:ind w:left="1106" w:right="1104"/>
        <w:jc w:val="both"/>
        <w:rPr>
          <w:rFonts w:ascii="Arial" w:hAnsi="Arial"/>
          <w:i/>
          <w:sz w:val="20"/>
        </w:rPr>
      </w:pPr>
      <w:bookmarkStart w:id="663" w:name="Disposición_final_sexta._Habilitación_no"/>
      <w:bookmarkEnd w:id="663"/>
      <w:r>
        <w:rPr>
          <w:rFonts w:ascii="Arial" w:hAnsi="Arial"/>
          <w:b/>
          <w:sz w:val="20"/>
        </w:rPr>
        <w:t>Disposición final sexta.</w:t>
      </w:r>
      <w:r>
        <w:rPr>
          <w:rFonts w:ascii="Arial" w:hAnsi="Arial"/>
          <w:b/>
          <w:spacing w:val="40"/>
          <w:sz w:val="20"/>
        </w:rPr>
        <w:t xml:space="preserve"> </w:t>
      </w:r>
      <w:r>
        <w:rPr>
          <w:rFonts w:ascii="Arial" w:hAnsi="Arial"/>
          <w:i/>
          <w:sz w:val="20"/>
        </w:rPr>
        <w:t>Habilitación normativa en materia de uso de medios electrónicos, informáticos o telemáticos, y uso de factura electrónica.</w:t>
      </w:r>
    </w:p>
    <w:p w:rsidR="0092635B" w:rsidRDefault="00000000">
      <w:pPr>
        <w:pStyle w:val="Prrafodelista"/>
        <w:numPr>
          <w:ilvl w:val="0"/>
          <w:numId w:val="35"/>
        </w:numPr>
        <w:tabs>
          <w:tab w:val="left" w:pos="1684"/>
        </w:tabs>
        <w:spacing w:before="115" w:line="249" w:lineRule="auto"/>
        <w:ind w:firstLine="340"/>
        <w:jc w:val="both"/>
        <w:rPr>
          <w:sz w:val="20"/>
        </w:rPr>
      </w:pPr>
      <w:r>
        <w:rPr>
          <w:sz w:val="20"/>
        </w:rPr>
        <w:t>Se autoriza al Ministro de Hacienda y Función Pública para aprobar, previo dictamen del</w:t>
      </w:r>
      <w:r>
        <w:rPr>
          <w:spacing w:val="-2"/>
          <w:sz w:val="20"/>
        </w:rPr>
        <w:t xml:space="preserve"> </w:t>
      </w:r>
      <w:r>
        <w:rPr>
          <w:sz w:val="20"/>
        </w:rPr>
        <w:t>Consejo</w:t>
      </w:r>
      <w:r>
        <w:rPr>
          <w:spacing w:val="-2"/>
          <w:sz w:val="20"/>
        </w:rPr>
        <w:t xml:space="preserve"> </w:t>
      </w:r>
      <w:r>
        <w:rPr>
          <w:sz w:val="20"/>
        </w:rPr>
        <w:t>de</w:t>
      </w:r>
      <w:r>
        <w:rPr>
          <w:spacing w:val="-2"/>
          <w:sz w:val="20"/>
        </w:rPr>
        <w:t xml:space="preserve"> </w:t>
      </w:r>
      <w:r>
        <w:rPr>
          <w:sz w:val="20"/>
        </w:rPr>
        <w:t>Estado,</w:t>
      </w:r>
      <w:r>
        <w:rPr>
          <w:spacing w:val="-2"/>
          <w:sz w:val="20"/>
        </w:rPr>
        <w:t xml:space="preserve"> </w:t>
      </w:r>
      <w:r>
        <w:rPr>
          <w:sz w:val="20"/>
        </w:rPr>
        <w:t>las</w:t>
      </w:r>
      <w:r>
        <w:rPr>
          <w:spacing w:val="-2"/>
          <w:sz w:val="20"/>
        </w:rPr>
        <w:t xml:space="preserve"> </w:t>
      </w:r>
      <w:r>
        <w:rPr>
          <w:sz w:val="20"/>
        </w:rPr>
        <w:t>normas</w:t>
      </w:r>
      <w:r>
        <w:rPr>
          <w:spacing w:val="-2"/>
          <w:sz w:val="20"/>
        </w:rPr>
        <w:t xml:space="preserve"> </w:t>
      </w:r>
      <w:r>
        <w:rPr>
          <w:sz w:val="20"/>
        </w:rPr>
        <w:t>de</w:t>
      </w:r>
      <w:r>
        <w:rPr>
          <w:spacing w:val="-2"/>
          <w:sz w:val="20"/>
        </w:rPr>
        <w:t xml:space="preserve"> </w:t>
      </w:r>
      <w:r>
        <w:rPr>
          <w:sz w:val="20"/>
        </w:rPr>
        <w:t>desarrollo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disposición</w:t>
      </w:r>
      <w:r>
        <w:rPr>
          <w:spacing w:val="-2"/>
          <w:sz w:val="20"/>
        </w:rPr>
        <w:t xml:space="preserve"> </w:t>
      </w:r>
      <w:r>
        <w:rPr>
          <w:sz w:val="20"/>
        </w:rPr>
        <w:t>adicional</w:t>
      </w:r>
      <w:r>
        <w:rPr>
          <w:spacing w:val="-2"/>
          <w:sz w:val="20"/>
        </w:rPr>
        <w:t xml:space="preserve"> </w:t>
      </w:r>
      <w:r>
        <w:rPr>
          <w:sz w:val="20"/>
        </w:rPr>
        <w:t>decimosexta</w:t>
      </w:r>
      <w:r>
        <w:rPr>
          <w:spacing w:val="-2"/>
          <w:sz w:val="20"/>
        </w:rPr>
        <w:t xml:space="preserve"> </w:t>
      </w:r>
      <w:r>
        <w:rPr>
          <w:sz w:val="20"/>
        </w:rPr>
        <w:t>que puedan ser necesarias para hacer plenamente efectivo el uso de medios electrónicos, informáticos o telemáticos en los procedimientos regulados en esta Ley.</w:t>
      </w:r>
    </w:p>
    <w:p w:rsidR="0092635B" w:rsidRDefault="00000000">
      <w:pPr>
        <w:pStyle w:val="Prrafodelista"/>
        <w:numPr>
          <w:ilvl w:val="0"/>
          <w:numId w:val="35"/>
        </w:numPr>
        <w:tabs>
          <w:tab w:val="left" w:pos="1690"/>
        </w:tabs>
        <w:spacing w:before="4" w:line="249" w:lineRule="auto"/>
        <w:ind w:firstLine="340"/>
        <w:jc w:val="both"/>
        <w:rPr>
          <w:sz w:val="20"/>
        </w:rPr>
      </w:pPr>
      <w:r>
        <w:rPr>
          <w:sz w:val="20"/>
        </w:rPr>
        <w:t>Igualmente, el Ministro de Hacienda y Función Pública, mediante Orden, definirá las especificaciones técnicas de las comunicaciones de datos que deban efectuarse en cumplimiento de la presente Ley y establecerá los modelos que deban utilizarse.</w:t>
      </w:r>
    </w:p>
    <w:p w:rsidR="0092635B" w:rsidRDefault="00000000">
      <w:pPr>
        <w:pStyle w:val="Textoindependiente"/>
        <w:spacing w:before="16"/>
        <w:ind w:left="0" w:firstLine="0"/>
        <w:jc w:val="left"/>
      </w:pPr>
      <w:r>
        <w:rPr>
          <w:noProof/>
        </w:rPr>
        <mc:AlternateContent>
          <mc:Choice Requires="wps">
            <w:drawing>
              <wp:anchor distT="0" distB="0" distL="0" distR="0" simplePos="0" relativeHeight="487598080" behindDoc="1" locked="0" layoutInCell="1" allowOverlap="1">
                <wp:simplePos x="0" y="0"/>
                <wp:positionH relativeFrom="page">
                  <wp:posOffset>1156762</wp:posOffset>
                </wp:positionH>
                <wp:positionV relativeFrom="paragraph">
                  <wp:posOffset>176547</wp:posOffset>
                </wp:positionV>
                <wp:extent cx="5247005" cy="64960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649605"/>
                        </a:xfrm>
                        <a:prstGeom prst="rect">
                          <a:avLst/>
                        </a:prstGeom>
                        <a:solidFill>
                          <a:srgbClr val="F7F7FF"/>
                        </a:solidFill>
                        <a:ln w="9525">
                          <a:solidFill>
                            <a:srgbClr val="9F9F9F"/>
                          </a:solidFill>
                          <a:prstDash val="solid"/>
                        </a:ln>
                      </wps:spPr>
                      <wps:txbx>
                        <w:txbxContent>
                          <w:p w:rsidR="0092635B" w:rsidRDefault="00000000">
                            <w:pPr>
                              <w:spacing w:before="181" w:line="249" w:lineRule="auto"/>
                              <w:ind w:left="270" w:right="269" w:firstLine="340"/>
                              <w:jc w:val="both"/>
                              <w:rPr>
                                <w:color w:val="000000"/>
                                <w:sz w:val="18"/>
                              </w:rPr>
                            </w:pPr>
                            <w:r>
                              <w:rPr>
                                <w:color w:val="000000"/>
                                <w:sz w:val="18"/>
                              </w:rPr>
                              <w:t xml:space="preserve">Téngase en cuenta que se declara que el apartado 2 no es conforme con el orden constitucional de competencias, en los términos del fundamento jurídico 8 F), por la Sentencia del TC 68/2021, de 18 de marzo. </w:t>
                            </w:r>
                            <w:hyperlink r:id="rId59">
                              <w:r>
                                <w:rPr>
                                  <w:color w:val="0000FF"/>
                                  <w:sz w:val="18"/>
                                  <w:u w:val="single" w:color="0000FF"/>
                                </w:rPr>
                                <w:t>Ref. BOE-A-2021-6614</w:t>
                              </w:r>
                            </w:hyperlink>
                          </w:p>
                        </w:txbxContent>
                      </wps:txbx>
                      <wps:bodyPr wrap="square" lIns="0" tIns="0" rIns="0" bIns="0" rtlCol="0">
                        <a:noAutofit/>
                      </wps:bodyPr>
                    </wps:wsp>
                  </a:graphicData>
                </a:graphic>
              </wp:anchor>
            </w:drawing>
          </mc:Choice>
          <mc:Fallback>
            <w:pict>
              <v:shape id="Textbox 28" o:spid="_x0000_s1043" type="#_x0000_t202" style="position:absolute;margin-left:91.1pt;margin-top:13.9pt;width:413.15pt;height:51.1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" fillcolor="#f7f7ff" strokecolor="#9f9f9f">
                <v:path arrowok="t"/>
                <v:textbox inset="0,0,0,0">
                  <w:txbxContent>
                    <w:p w:rsidR="0092635B" w:rsidRDefault="00000000">
                      <w:pPr>
                        <w:spacing w:before="181" w:line="249" w:lineRule="auto"/>
                        <w:ind w:left="270" w:right="269" w:firstLine="340"/>
                        <w:jc w:val="both"/>
                        <w:rPr>
                          <w:color w:val="000000"/>
                          <w:sz w:val="18"/>
                        </w:rPr>
                      </w:pPr>
                      <w:r>
                        <w:rPr>
                          <w:color w:val="000000"/>
                          <w:sz w:val="18"/>
                        </w:rPr>
                        <w:t xml:space="preserve">Téngase en cuenta que se declara que el apartado 2 no es conforme con el orden constitucional de competencias, en los términos del fundamento jurídico 8 F), por la Sentencia del TC 68/2021, de 18 de marzo. </w:t>
                      </w:r>
                      <w:hyperlink r:id="rId60">
                        <w:r>
                          <w:rPr>
                            <w:color w:val="0000FF"/>
                            <w:sz w:val="18"/>
                            <w:u w:val="single" w:color="0000FF"/>
                          </w:rPr>
                          <w:t>Ref. BOE-A-2021-6614</w:t>
                        </w:r>
                      </w:hyperlink>
                    </w:p>
                  </w:txbxContent>
                </v:textbox>
                <w10:wrap type="topAndBottom" anchorx="page"/>
              </v:shape>
            </w:pict>
          </mc:Fallback>
        </mc:AlternateContent>
      </w:r>
    </w:p>
    <w:p w:rsidR="0092635B" w:rsidRDefault="0092635B">
      <w:pPr>
        <w:pStyle w:val="Textoindependiente"/>
        <w:spacing w:before="139"/>
        <w:ind w:left="0" w:firstLine="0"/>
        <w:jc w:val="left"/>
      </w:pPr>
    </w:p>
    <w:p w:rsidR="0092635B" w:rsidRDefault="00000000">
      <w:pPr>
        <w:pStyle w:val="Prrafodelista"/>
        <w:numPr>
          <w:ilvl w:val="0"/>
          <w:numId w:val="35"/>
        </w:numPr>
        <w:tabs>
          <w:tab w:val="left" w:pos="1670"/>
        </w:tabs>
        <w:spacing w:before="0" w:line="249" w:lineRule="auto"/>
        <w:ind w:firstLine="340"/>
        <w:jc w:val="both"/>
        <w:rPr>
          <w:sz w:val="20"/>
        </w:rPr>
      </w:pPr>
      <w:r>
        <w:rPr>
          <w:sz w:val="20"/>
        </w:rPr>
        <w:t>El</w:t>
      </w:r>
      <w:r>
        <w:rPr>
          <w:spacing w:val="-1"/>
          <w:sz w:val="20"/>
        </w:rPr>
        <w:t xml:space="preserve"> </w:t>
      </w:r>
      <w:r>
        <w:rPr>
          <w:sz w:val="20"/>
        </w:rPr>
        <w:t>Consejo</w:t>
      </w:r>
      <w:r>
        <w:rPr>
          <w:spacing w:val="-1"/>
          <w:sz w:val="20"/>
        </w:rPr>
        <w:t xml:space="preserve"> </w:t>
      </w:r>
      <w:r>
        <w:rPr>
          <w:sz w:val="20"/>
        </w:rPr>
        <w:t>de</w:t>
      </w:r>
      <w:r>
        <w:rPr>
          <w:spacing w:val="-1"/>
          <w:sz w:val="20"/>
        </w:rPr>
        <w:t xml:space="preserve"> </w:t>
      </w:r>
      <w:r>
        <w:rPr>
          <w:sz w:val="20"/>
        </w:rPr>
        <w:t>Ministros,</w:t>
      </w:r>
      <w:r>
        <w:rPr>
          <w:spacing w:val="-1"/>
          <w:sz w:val="20"/>
        </w:rPr>
        <w:t xml:space="preserve"> </w:t>
      </w:r>
      <w:r>
        <w:rPr>
          <w:sz w:val="20"/>
        </w:rPr>
        <w:t>a</w:t>
      </w:r>
      <w:r>
        <w:rPr>
          <w:spacing w:val="-1"/>
          <w:sz w:val="20"/>
        </w:rPr>
        <w:t xml:space="preserve"> </w:t>
      </w:r>
      <w:r>
        <w:rPr>
          <w:sz w:val="20"/>
        </w:rPr>
        <w:t>propuesta</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Ministros</w:t>
      </w:r>
      <w:r>
        <w:rPr>
          <w:spacing w:val="-1"/>
          <w:sz w:val="20"/>
        </w:rPr>
        <w:t xml:space="preserve"> </w:t>
      </w:r>
      <w:r>
        <w:rPr>
          <w:sz w:val="20"/>
        </w:rPr>
        <w:t>de</w:t>
      </w:r>
      <w:r>
        <w:rPr>
          <w:spacing w:val="-1"/>
          <w:sz w:val="20"/>
        </w:rPr>
        <w:t xml:space="preserve"> </w:t>
      </w:r>
      <w:r>
        <w:rPr>
          <w:sz w:val="20"/>
        </w:rPr>
        <w:t>Hacienda</w:t>
      </w:r>
      <w:r>
        <w:rPr>
          <w:spacing w:val="-1"/>
          <w:sz w:val="20"/>
        </w:rPr>
        <w:t xml:space="preserve"> </w:t>
      </w:r>
      <w:r>
        <w:rPr>
          <w:sz w:val="20"/>
        </w:rPr>
        <w:t>y</w:t>
      </w:r>
      <w:r>
        <w:rPr>
          <w:spacing w:val="-1"/>
          <w:sz w:val="20"/>
        </w:rPr>
        <w:t xml:space="preserve"> </w:t>
      </w:r>
      <w:r>
        <w:rPr>
          <w:sz w:val="20"/>
        </w:rPr>
        <w:t>Función</w:t>
      </w:r>
      <w:r>
        <w:rPr>
          <w:spacing w:val="-1"/>
          <w:sz w:val="20"/>
        </w:rPr>
        <w:t xml:space="preserve"> </w:t>
      </w:r>
      <w:r>
        <w:rPr>
          <w:sz w:val="20"/>
        </w:rPr>
        <w:t>Pública</w:t>
      </w:r>
      <w:r>
        <w:rPr>
          <w:spacing w:val="-1"/>
          <w:sz w:val="20"/>
        </w:rPr>
        <w:t xml:space="preserve"> </w:t>
      </w:r>
      <w:r>
        <w:rPr>
          <w:sz w:val="20"/>
        </w:rPr>
        <w:t xml:space="preserve">y de Energía, Turismo y Agenda Digital, adoptará las medidas necesarias para facilitar la emisión de facturas electrónicas por las personas y entidades que contraten con el sector público estatal, garantizando la gratuidad de los servicios de apoyo que se establezcan para las empresas cuya cifra de negocios en el año inmediatamente anterior y para el conjunto de sus actividades sea inferior al umbral que se fije en la Orden a que se refiere el párrafo </w:t>
      </w:r>
      <w:r>
        <w:rPr>
          <w:spacing w:val="-2"/>
          <w:sz w:val="20"/>
        </w:rPr>
        <w:t>anterior.</w:t>
      </w:r>
    </w:p>
    <w:p w:rsidR="0092635B" w:rsidRDefault="0092635B">
      <w:pPr>
        <w:pStyle w:val="Textoindependiente"/>
        <w:ind w:left="0" w:firstLine="0"/>
        <w:jc w:val="left"/>
      </w:pPr>
    </w:p>
    <w:p w:rsidR="0092635B" w:rsidRDefault="00000000">
      <w:pPr>
        <w:spacing w:line="249" w:lineRule="auto"/>
        <w:ind w:left="1106" w:right="1120"/>
        <w:rPr>
          <w:rFonts w:ascii="Arial" w:hAnsi="Arial"/>
          <w:i/>
          <w:sz w:val="20"/>
        </w:rPr>
      </w:pPr>
      <w:bookmarkStart w:id="664" w:name="Disposición_final_séptima._Fomento_de_la"/>
      <w:bookmarkEnd w:id="664"/>
      <w:r>
        <w:rPr>
          <w:rFonts w:ascii="Arial" w:hAnsi="Arial"/>
          <w:b/>
          <w:sz w:val="20"/>
        </w:rPr>
        <w:t>Disposición final séptima.</w:t>
      </w:r>
      <w:r>
        <w:rPr>
          <w:rFonts w:ascii="Arial" w:hAnsi="Arial"/>
          <w:b/>
          <w:spacing w:val="40"/>
          <w:sz w:val="20"/>
        </w:rPr>
        <w:t xml:space="preserve"> </w:t>
      </w:r>
      <w:r>
        <w:rPr>
          <w:rFonts w:ascii="Arial" w:hAnsi="Arial"/>
          <w:i/>
          <w:sz w:val="20"/>
        </w:rPr>
        <w:t>Fomento de la celebración de negocios y contratos en materia de Investigación, Desarrollo e Innovación.</w:t>
      </w:r>
    </w:p>
    <w:p w:rsidR="0092635B" w:rsidRDefault="00000000">
      <w:pPr>
        <w:pStyle w:val="Textoindependiente"/>
        <w:spacing w:before="116" w:line="249" w:lineRule="auto"/>
        <w:ind w:right="1104"/>
      </w:pPr>
      <w:r>
        <w:t>Mediante Acuerdo de Ministros podrán reservarse fondos destinados a la financiación de negocios y contratos relacionados con el ámbito de la Investigación, el Desarrollo y la Innovación a los que se refiere el artículo 8.</w:t>
      </w:r>
    </w:p>
    <w:p w:rsidR="0092635B" w:rsidRDefault="00000000">
      <w:pPr>
        <w:spacing w:before="229"/>
        <w:ind w:left="1106"/>
        <w:rPr>
          <w:rFonts w:ascii="Arial" w:hAnsi="Arial"/>
          <w:i/>
          <w:sz w:val="20"/>
        </w:rPr>
      </w:pPr>
      <w:bookmarkStart w:id="665" w:name="Disposición_final_octava._Desarrollo_reg"/>
      <w:bookmarkEnd w:id="665"/>
      <w:r>
        <w:rPr>
          <w:rFonts w:ascii="Arial" w:hAnsi="Arial"/>
          <w:b/>
          <w:sz w:val="20"/>
        </w:rPr>
        <w:t>Disposición</w:t>
      </w:r>
      <w:r>
        <w:rPr>
          <w:rFonts w:ascii="Arial" w:hAnsi="Arial"/>
          <w:b/>
          <w:spacing w:val="-2"/>
          <w:sz w:val="20"/>
        </w:rPr>
        <w:t xml:space="preserve"> </w:t>
      </w:r>
      <w:r>
        <w:rPr>
          <w:rFonts w:ascii="Arial" w:hAnsi="Arial"/>
          <w:b/>
          <w:sz w:val="20"/>
        </w:rPr>
        <w:t>final</w:t>
      </w:r>
      <w:r>
        <w:rPr>
          <w:rFonts w:ascii="Arial" w:hAnsi="Arial"/>
          <w:b/>
          <w:spacing w:val="-2"/>
          <w:sz w:val="20"/>
        </w:rPr>
        <w:t xml:space="preserve"> </w:t>
      </w:r>
      <w:r>
        <w:rPr>
          <w:rFonts w:ascii="Arial" w:hAnsi="Arial"/>
          <w:b/>
          <w:sz w:val="20"/>
        </w:rPr>
        <w:t>octava.</w:t>
      </w:r>
      <w:r>
        <w:rPr>
          <w:rFonts w:ascii="Arial" w:hAnsi="Arial"/>
          <w:b/>
          <w:spacing w:val="50"/>
          <w:sz w:val="20"/>
        </w:rPr>
        <w:t xml:space="preserve"> </w:t>
      </w:r>
      <w:r>
        <w:rPr>
          <w:rFonts w:ascii="Arial" w:hAnsi="Arial"/>
          <w:i/>
          <w:sz w:val="20"/>
        </w:rPr>
        <w:t>Desarrollo</w:t>
      </w:r>
      <w:r>
        <w:rPr>
          <w:rFonts w:ascii="Arial" w:hAnsi="Arial"/>
          <w:i/>
          <w:spacing w:val="-1"/>
          <w:sz w:val="20"/>
        </w:rPr>
        <w:t xml:space="preserve"> </w:t>
      </w:r>
      <w:r>
        <w:rPr>
          <w:rFonts w:ascii="Arial" w:hAnsi="Arial"/>
          <w:i/>
          <w:spacing w:val="-2"/>
          <w:sz w:val="20"/>
        </w:rPr>
        <w:t>reglamentario.</w:t>
      </w:r>
    </w:p>
    <w:p w:rsidR="0092635B" w:rsidRDefault="00000000">
      <w:pPr>
        <w:pStyle w:val="Textoindependiente"/>
        <w:spacing w:before="123" w:line="249" w:lineRule="auto"/>
        <w:ind w:right="1103"/>
      </w:pPr>
      <w:r>
        <w:t>El Gobierno, en el ámbito de sus competencias, podrá dictar cuantas disposiciones sean necesarias para el desarrollo y aplicación de lo establecido en esta Ley.</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tabs>
          <w:tab w:val="left" w:pos="3808"/>
        </w:tabs>
        <w:spacing w:before="1" w:line="249" w:lineRule="auto"/>
        <w:ind w:left="1106" w:right="1120"/>
        <w:rPr>
          <w:rFonts w:ascii="Arial" w:hAnsi="Arial"/>
          <w:i/>
          <w:sz w:val="20"/>
        </w:rPr>
      </w:pPr>
      <w:bookmarkStart w:id="666" w:name="Disposición_final_novena._Modificación_d"/>
      <w:bookmarkEnd w:id="666"/>
      <w:r>
        <w:rPr>
          <w:rFonts w:ascii="Arial" w:hAnsi="Arial"/>
          <w:b/>
          <w:sz w:val="20"/>
        </w:rPr>
        <w:t>Disposición</w:t>
      </w:r>
      <w:r>
        <w:rPr>
          <w:rFonts w:ascii="Arial" w:hAnsi="Arial"/>
          <w:b/>
          <w:spacing w:val="40"/>
          <w:sz w:val="20"/>
        </w:rPr>
        <w:t xml:space="preserve"> </w:t>
      </w:r>
      <w:r>
        <w:rPr>
          <w:rFonts w:ascii="Arial" w:hAnsi="Arial"/>
          <w:b/>
          <w:sz w:val="20"/>
        </w:rPr>
        <w:t>final</w:t>
      </w:r>
      <w:r>
        <w:rPr>
          <w:rFonts w:ascii="Arial" w:hAnsi="Arial"/>
          <w:b/>
          <w:spacing w:val="40"/>
          <w:sz w:val="20"/>
        </w:rPr>
        <w:t xml:space="preserve"> </w:t>
      </w:r>
      <w:r>
        <w:rPr>
          <w:rFonts w:ascii="Arial" w:hAnsi="Arial"/>
          <w:b/>
          <w:sz w:val="20"/>
        </w:rPr>
        <w:t>novena.</w:t>
      </w:r>
      <w:r>
        <w:rPr>
          <w:rFonts w:ascii="Arial" w:hAnsi="Arial"/>
          <w:b/>
          <w:sz w:val="20"/>
        </w:rPr>
        <w:tab/>
      </w:r>
      <w:r>
        <w:rPr>
          <w:rFonts w:ascii="Arial" w:hAnsi="Arial"/>
          <w:i/>
          <w:sz w:val="20"/>
        </w:rPr>
        <w:t>Modificación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Ley</w:t>
      </w:r>
      <w:r>
        <w:rPr>
          <w:rFonts w:ascii="Arial" w:hAnsi="Arial"/>
          <w:i/>
          <w:spacing w:val="40"/>
          <w:sz w:val="20"/>
        </w:rPr>
        <w:t xml:space="preserve"> </w:t>
      </w:r>
      <w:r>
        <w:rPr>
          <w:rFonts w:ascii="Arial" w:hAnsi="Arial"/>
          <w:i/>
          <w:sz w:val="20"/>
        </w:rPr>
        <w:t>8/1989,</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13</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abril,</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régimen jurídico de las tasas y los precios públicos.</w:t>
      </w:r>
    </w:p>
    <w:p w:rsidR="0092635B" w:rsidRDefault="00000000">
      <w:pPr>
        <w:pStyle w:val="Textoindependiente"/>
        <w:spacing w:before="115" w:line="249" w:lineRule="auto"/>
        <w:ind w:right="1120"/>
        <w:jc w:val="left"/>
      </w:pPr>
      <w:r>
        <w:t>Se añade una nueva letra c) al artículo 2 de la Ley 8/1989, de 13 de abril, del régimen</w:t>
      </w:r>
      <w:r>
        <w:rPr>
          <w:spacing w:val="80"/>
        </w:rPr>
        <w:t xml:space="preserve"> </w:t>
      </w:r>
      <w:r>
        <w:t>jurídico de las tasas y los precios públicos, con la siguiente redacción:</w:t>
      </w:r>
    </w:p>
    <w:p w:rsidR="0092635B" w:rsidRDefault="00000000">
      <w:pPr>
        <w:pStyle w:val="Textoindependiente"/>
        <w:spacing w:before="171" w:line="249" w:lineRule="auto"/>
        <w:ind w:left="1786" w:right="1103"/>
      </w:pPr>
      <w:r>
        <w:t>«c) Las tarifas que abonen los usuarios por la utilización de la obra o por la prestación del servicio a los concesionarios de obras y de servicios conforme a la legislación de contratos del sector público, que son prestaciones patrimoniales de carácter público no tributarias.»</w:t>
      </w:r>
    </w:p>
    <w:p w:rsidR="0092635B" w:rsidRDefault="0092635B">
      <w:pPr>
        <w:pStyle w:val="Textoindependiente"/>
        <w:spacing w:before="0"/>
        <w:ind w:left="0" w:firstLine="0"/>
        <w:jc w:val="left"/>
      </w:pPr>
    </w:p>
    <w:p w:rsidR="0092635B" w:rsidRDefault="00000000">
      <w:pPr>
        <w:tabs>
          <w:tab w:val="left" w:pos="3869"/>
        </w:tabs>
        <w:spacing w:line="249" w:lineRule="auto"/>
        <w:ind w:left="1106" w:right="1120" w:hanging="1"/>
        <w:rPr>
          <w:rFonts w:ascii="Arial" w:hAnsi="Arial"/>
          <w:i/>
          <w:sz w:val="20"/>
        </w:rPr>
      </w:pPr>
      <w:bookmarkStart w:id="667" w:name="Disposición_final_décima._Modificación_d"/>
      <w:bookmarkEnd w:id="667"/>
      <w:r>
        <w:rPr>
          <w:rFonts w:ascii="Arial" w:hAnsi="Arial"/>
          <w:b/>
          <w:sz w:val="20"/>
        </w:rPr>
        <w:t>Disposición</w:t>
      </w:r>
      <w:r>
        <w:rPr>
          <w:rFonts w:ascii="Arial" w:hAnsi="Arial"/>
          <w:b/>
          <w:spacing w:val="40"/>
          <w:sz w:val="20"/>
        </w:rPr>
        <w:t xml:space="preserve"> </w:t>
      </w:r>
      <w:r>
        <w:rPr>
          <w:rFonts w:ascii="Arial" w:hAnsi="Arial"/>
          <w:b/>
          <w:sz w:val="20"/>
        </w:rPr>
        <w:t>final</w:t>
      </w:r>
      <w:r>
        <w:rPr>
          <w:rFonts w:ascii="Arial" w:hAnsi="Arial"/>
          <w:b/>
          <w:spacing w:val="40"/>
          <w:sz w:val="20"/>
        </w:rPr>
        <w:t xml:space="preserve"> </w:t>
      </w:r>
      <w:r>
        <w:rPr>
          <w:rFonts w:ascii="Arial" w:hAnsi="Arial"/>
          <w:b/>
          <w:sz w:val="20"/>
        </w:rPr>
        <w:t>décima.</w:t>
      </w:r>
      <w:r>
        <w:rPr>
          <w:rFonts w:ascii="Arial" w:hAnsi="Arial"/>
          <w:b/>
          <w:sz w:val="20"/>
        </w:rPr>
        <w:tab/>
      </w:r>
      <w:r>
        <w:rPr>
          <w:rFonts w:ascii="Arial" w:hAnsi="Arial"/>
          <w:i/>
          <w:sz w:val="20"/>
        </w:rPr>
        <w:t>Modificación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Ley</w:t>
      </w:r>
      <w:r>
        <w:rPr>
          <w:rFonts w:ascii="Arial" w:hAnsi="Arial"/>
          <w:i/>
          <w:spacing w:val="40"/>
          <w:sz w:val="20"/>
        </w:rPr>
        <w:t xml:space="preserve"> </w:t>
      </w:r>
      <w:r>
        <w:rPr>
          <w:rFonts w:ascii="Arial" w:hAnsi="Arial"/>
          <w:i/>
          <w:sz w:val="20"/>
        </w:rPr>
        <w:t>37/1992,</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28</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diciembre,</w:t>
      </w:r>
      <w:r>
        <w:rPr>
          <w:rFonts w:ascii="Arial" w:hAnsi="Arial"/>
          <w:i/>
          <w:spacing w:val="40"/>
          <w:sz w:val="20"/>
        </w:rPr>
        <w:t xml:space="preserve"> </w:t>
      </w:r>
      <w:r>
        <w:rPr>
          <w:rFonts w:ascii="Arial" w:hAnsi="Arial"/>
          <w:i/>
          <w:sz w:val="20"/>
        </w:rPr>
        <w:t>del Impuesto sobre el Valor Añadido.</w:t>
      </w:r>
    </w:p>
    <w:p w:rsidR="0092635B" w:rsidRDefault="00000000">
      <w:pPr>
        <w:pStyle w:val="Textoindependiente"/>
        <w:spacing w:before="115" w:line="249" w:lineRule="auto"/>
        <w:ind w:right="1120"/>
        <w:jc w:val="left"/>
      </w:pPr>
      <w:r>
        <w:t>Se introducen las siguientes modificaciones en la Ley 37/1992, de 28 de diciembre, del Impuesto sobre el Valor Añadido:</w:t>
      </w:r>
    </w:p>
    <w:p w:rsidR="0092635B" w:rsidRDefault="00000000">
      <w:pPr>
        <w:pStyle w:val="Textoindependiente"/>
        <w:spacing w:before="122"/>
        <w:ind w:left="1446" w:right="1111" w:firstLine="0"/>
        <w:jc w:val="center"/>
      </w:pPr>
      <w:r>
        <w:t>Uno.</w:t>
      </w:r>
      <w:r>
        <w:rPr>
          <w:spacing w:val="-6"/>
        </w:rPr>
        <w:t xml:space="preserve"> </w:t>
      </w:r>
      <w:r>
        <w:t>Se</w:t>
      </w:r>
      <w:r>
        <w:rPr>
          <w:spacing w:val="-3"/>
        </w:rPr>
        <w:t xml:space="preserve"> </w:t>
      </w:r>
      <w:r>
        <w:t>modifica</w:t>
      </w:r>
      <w:r>
        <w:rPr>
          <w:spacing w:val="-3"/>
        </w:rPr>
        <w:t xml:space="preserve"> </w:t>
      </w:r>
      <w:r>
        <w:t>el</w:t>
      </w:r>
      <w:r>
        <w:rPr>
          <w:spacing w:val="-4"/>
        </w:rPr>
        <w:t xml:space="preserve"> </w:t>
      </w:r>
      <w:r>
        <w:t>número</w:t>
      </w:r>
      <w:r>
        <w:rPr>
          <w:spacing w:val="-3"/>
        </w:rPr>
        <w:t xml:space="preserve"> </w:t>
      </w:r>
      <w:r>
        <w:t>8.º</w:t>
      </w:r>
      <w:r>
        <w:rPr>
          <w:spacing w:val="-4"/>
        </w:rPr>
        <w:t xml:space="preserve"> </w:t>
      </w:r>
      <w:r>
        <w:t>del</w:t>
      </w:r>
      <w:r>
        <w:rPr>
          <w:spacing w:val="-3"/>
        </w:rPr>
        <w:t xml:space="preserve"> </w:t>
      </w:r>
      <w:r>
        <w:t>artículo</w:t>
      </w:r>
      <w:r>
        <w:rPr>
          <w:spacing w:val="-4"/>
        </w:rPr>
        <w:t xml:space="preserve"> </w:t>
      </w:r>
      <w:r>
        <w:t>7,</w:t>
      </w:r>
      <w:r>
        <w:rPr>
          <w:spacing w:val="-3"/>
        </w:rPr>
        <w:t xml:space="preserve"> </w:t>
      </w:r>
      <w:r>
        <w:t>que</w:t>
      </w:r>
      <w:r>
        <w:rPr>
          <w:spacing w:val="-3"/>
        </w:rPr>
        <w:t xml:space="preserve"> </w:t>
      </w:r>
      <w:r>
        <w:t>queda</w:t>
      </w:r>
      <w:r>
        <w:rPr>
          <w:spacing w:val="-3"/>
        </w:rPr>
        <w:t xml:space="preserve"> </w:t>
      </w:r>
      <w:r>
        <w:t>redactado</w:t>
      </w:r>
      <w:r>
        <w:rPr>
          <w:spacing w:val="-4"/>
        </w:rPr>
        <w:t xml:space="preserve"> </w:t>
      </w:r>
      <w:r>
        <w:t>de</w:t>
      </w:r>
      <w:r>
        <w:rPr>
          <w:spacing w:val="-3"/>
        </w:rPr>
        <w:t xml:space="preserve"> </w:t>
      </w:r>
      <w:r>
        <w:t>la</w:t>
      </w:r>
      <w:r>
        <w:rPr>
          <w:spacing w:val="-3"/>
        </w:rPr>
        <w:t xml:space="preserve"> </w:t>
      </w:r>
      <w:r>
        <w:t>siguiente</w:t>
      </w:r>
      <w:r>
        <w:rPr>
          <w:spacing w:val="-3"/>
        </w:rPr>
        <w:t xml:space="preserve"> </w:t>
      </w:r>
      <w:r>
        <w:rPr>
          <w:spacing w:val="-2"/>
        </w:rPr>
        <w:t>forma:</w:t>
      </w:r>
    </w:p>
    <w:p w:rsidR="0092635B" w:rsidRDefault="00000000">
      <w:pPr>
        <w:pStyle w:val="Textoindependiente"/>
        <w:spacing w:before="180" w:line="249" w:lineRule="auto"/>
        <w:ind w:left="1786" w:right="1103"/>
      </w:pPr>
      <w:r>
        <w:t>«8.º A) Las entregas de bienes y prestaciones de servicios realizadas directamente por las Administraciones Públicas, así como las entidades a las que se refieren los apartados C) y D) de este número, sin contraprestación o mediante contraprestación de naturaleza tributaria.</w:t>
      </w:r>
    </w:p>
    <w:p w:rsidR="0092635B" w:rsidRDefault="00000000">
      <w:pPr>
        <w:pStyle w:val="Prrafodelista"/>
        <w:numPr>
          <w:ilvl w:val="1"/>
          <w:numId w:val="35"/>
        </w:numPr>
        <w:tabs>
          <w:tab w:val="left" w:pos="2381"/>
        </w:tabs>
        <w:spacing w:before="4"/>
        <w:ind w:left="2381" w:right="0" w:hanging="255"/>
        <w:jc w:val="both"/>
        <w:rPr>
          <w:sz w:val="20"/>
        </w:rPr>
      </w:pPr>
      <w:r>
        <w:rPr>
          <w:sz w:val="20"/>
        </w:rPr>
        <w:t>A</w:t>
      </w:r>
      <w:r>
        <w:rPr>
          <w:spacing w:val="-2"/>
          <w:sz w:val="20"/>
        </w:rPr>
        <w:t xml:space="preserve"> </w:t>
      </w:r>
      <w:r>
        <w:rPr>
          <w:sz w:val="20"/>
        </w:rPr>
        <w:t>estos</w:t>
      </w:r>
      <w:r>
        <w:rPr>
          <w:spacing w:val="-2"/>
          <w:sz w:val="20"/>
        </w:rPr>
        <w:t xml:space="preserve"> </w:t>
      </w:r>
      <w:r>
        <w:rPr>
          <w:sz w:val="20"/>
        </w:rPr>
        <w:t>efectos</w:t>
      </w:r>
      <w:r>
        <w:rPr>
          <w:spacing w:val="-2"/>
          <w:sz w:val="20"/>
        </w:rPr>
        <w:t xml:space="preserve"> </w:t>
      </w:r>
      <w:r>
        <w:rPr>
          <w:sz w:val="20"/>
        </w:rPr>
        <w:t>se</w:t>
      </w:r>
      <w:r>
        <w:rPr>
          <w:spacing w:val="-2"/>
          <w:sz w:val="20"/>
        </w:rPr>
        <w:t xml:space="preserve"> </w:t>
      </w:r>
      <w:r>
        <w:rPr>
          <w:sz w:val="20"/>
        </w:rPr>
        <w:t>considerarán</w:t>
      </w:r>
      <w:r>
        <w:rPr>
          <w:spacing w:val="-2"/>
          <w:sz w:val="20"/>
        </w:rPr>
        <w:t xml:space="preserve"> </w:t>
      </w:r>
      <w:r>
        <w:rPr>
          <w:sz w:val="20"/>
        </w:rPr>
        <w:t>Administraciones</w:t>
      </w:r>
      <w:r>
        <w:rPr>
          <w:spacing w:val="-2"/>
          <w:sz w:val="20"/>
        </w:rPr>
        <w:t xml:space="preserve"> Públicas:</w:t>
      </w:r>
    </w:p>
    <w:p w:rsidR="0092635B" w:rsidRDefault="00000000">
      <w:pPr>
        <w:pStyle w:val="Prrafodelista"/>
        <w:numPr>
          <w:ilvl w:val="2"/>
          <w:numId w:val="35"/>
        </w:numPr>
        <w:tabs>
          <w:tab w:val="left" w:pos="2484"/>
        </w:tabs>
        <w:spacing w:before="180" w:line="249" w:lineRule="auto"/>
        <w:ind w:firstLine="340"/>
        <w:jc w:val="both"/>
        <w:rPr>
          <w:sz w:val="20"/>
        </w:rPr>
      </w:pPr>
      <w:r>
        <w:rPr>
          <w:sz w:val="20"/>
        </w:rPr>
        <w:t>La Administración General del Estado, las Administraciones de las Comunidades Autónomas y las Entidades que integran la Administración Local.</w:t>
      </w:r>
    </w:p>
    <w:p w:rsidR="0092635B" w:rsidRDefault="00000000">
      <w:pPr>
        <w:pStyle w:val="Prrafodelista"/>
        <w:numPr>
          <w:ilvl w:val="2"/>
          <w:numId w:val="35"/>
        </w:numPr>
        <w:tabs>
          <w:tab w:val="left" w:pos="2359"/>
        </w:tabs>
        <w:spacing w:before="1"/>
        <w:ind w:left="2359" w:right="0" w:hanging="233"/>
        <w:jc w:val="both"/>
        <w:rPr>
          <w:sz w:val="20"/>
        </w:rPr>
      </w:pPr>
      <w:r>
        <w:rPr>
          <w:sz w:val="20"/>
        </w:rPr>
        <w:t>Las</w:t>
      </w:r>
      <w:r>
        <w:rPr>
          <w:spacing w:val="-1"/>
          <w:sz w:val="20"/>
        </w:rPr>
        <w:t xml:space="preserve"> </w:t>
      </w:r>
      <w:r>
        <w:rPr>
          <w:sz w:val="20"/>
        </w:rPr>
        <w:t>Entidades</w:t>
      </w:r>
      <w:r>
        <w:rPr>
          <w:spacing w:val="-1"/>
          <w:sz w:val="20"/>
        </w:rPr>
        <w:t xml:space="preserve"> </w:t>
      </w:r>
      <w:r>
        <w:rPr>
          <w:sz w:val="20"/>
        </w:rPr>
        <w:t>Gestoras</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Servicios</w:t>
      </w:r>
      <w:r>
        <w:rPr>
          <w:spacing w:val="-1"/>
          <w:sz w:val="20"/>
        </w:rPr>
        <w:t xml:space="preserve"> </w:t>
      </w:r>
      <w:r>
        <w:rPr>
          <w:sz w:val="20"/>
        </w:rPr>
        <w:t>Comunes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Seguridad</w:t>
      </w:r>
      <w:r>
        <w:rPr>
          <w:spacing w:val="-1"/>
          <w:sz w:val="20"/>
        </w:rPr>
        <w:t xml:space="preserve"> </w:t>
      </w:r>
      <w:r>
        <w:rPr>
          <w:spacing w:val="-2"/>
          <w:sz w:val="20"/>
        </w:rPr>
        <w:t>Social.</w:t>
      </w:r>
    </w:p>
    <w:p w:rsidR="0092635B" w:rsidRDefault="00000000">
      <w:pPr>
        <w:pStyle w:val="Prrafodelista"/>
        <w:numPr>
          <w:ilvl w:val="2"/>
          <w:numId w:val="35"/>
        </w:numPr>
        <w:tabs>
          <w:tab w:val="left" w:pos="2421"/>
        </w:tabs>
        <w:spacing w:before="10" w:line="249" w:lineRule="auto"/>
        <w:ind w:right="1104" w:firstLine="340"/>
        <w:jc w:val="both"/>
        <w:rPr>
          <w:sz w:val="20"/>
        </w:rPr>
      </w:pPr>
      <w:r>
        <w:rPr>
          <w:sz w:val="20"/>
        </w:rPr>
        <w:t xml:space="preserve">Los Organismos Autónomos, las Universidades Públicas y las Agencias </w:t>
      </w:r>
      <w:r>
        <w:rPr>
          <w:spacing w:val="-2"/>
          <w:sz w:val="20"/>
        </w:rPr>
        <w:t>Estatales.</w:t>
      </w:r>
    </w:p>
    <w:p w:rsidR="0092635B" w:rsidRDefault="00000000">
      <w:pPr>
        <w:pStyle w:val="Prrafodelista"/>
        <w:numPr>
          <w:ilvl w:val="2"/>
          <w:numId w:val="35"/>
        </w:numPr>
        <w:tabs>
          <w:tab w:val="left" w:pos="2407"/>
        </w:tabs>
        <w:spacing w:line="249" w:lineRule="auto"/>
        <w:ind w:right="1104" w:firstLine="340"/>
        <w:jc w:val="both"/>
        <w:rPr>
          <w:sz w:val="20"/>
        </w:rPr>
      </w:pPr>
      <w:r>
        <w:rPr>
          <w:sz w:val="20"/>
        </w:rPr>
        <w:t>Cualesquiera entidad de derecho público con personalidad jurídica propia, dependiente de las anteriores que, con independencia funcional o con una especial autonomía reconocida por la Ley tengan atribuidas funciones de regulación o control de carácter externo sobre un determinado sector o actividad.</w:t>
      </w:r>
    </w:p>
    <w:p w:rsidR="0092635B" w:rsidRDefault="00000000">
      <w:pPr>
        <w:pStyle w:val="Textoindependiente"/>
        <w:spacing w:before="173" w:line="249" w:lineRule="auto"/>
        <w:ind w:left="1786" w:right="1103"/>
      </w:pPr>
      <w:r>
        <w:t>No tendrán la consideración de Administraciones Públicas las entidades públicas empresariales estatales y los organismos asimilados dependientes de las Comunidades Autónomas y Entidades locales.</w:t>
      </w:r>
    </w:p>
    <w:p w:rsidR="0092635B" w:rsidRDefault="00000000">
      <w:pPr>
        <w:pStyle w:val="Prrafodelista"/>
        <w:numPr>
          <w:ilvl w:val="1"/>
          <w:numId w:val="35"/>
        </w:numPr>
        <w:tabs>
          <w:tab w:val="left" w:pos="2454"/>
        </w:tabs>
        <w:spacing w:before="3" w:line="249" w:lineRule="auto"/>
        <w:ind w:left="1786" w:right="1104" w:firstLine="340"/>
        <w:jc w:val="both"/>
        <w:rPr>
          <w:sz w:val="20"/>
        </w:rPr>
      </w:pPr>
      <w:r>
        <w:rPr>
          <w:sz w:val="20"/>
        </w:rPr>
        <w:t>No estarán sujetos al Impuesto los servicios prestados en virtud de los encargos ejecutados por los entes, organismos y entidades del sector público que ostenten, de conformidad con lo establecido en el artículo 32 de la Ley de Contratos del Sector Público, la condición de medio propio personificado del poder adjudicador que</w:t>
      </w:r>
      <w:r>
        <w:rPr>
          <w:spacing w:val="40"/>
          <w:sz w:val="20"/>
        </w:rPr>
        <w:t xml:space="preserve"> </w:t>
      </w:r>
      <w:r>
        <w:rPr>
          <w:sz w:val="20"/>
        </w:rPr>
        <w:t>haya</w:t>
      </w:r>
      <w:r>
        <w:rPr>
          <w:spacing w:val="40"/>
          <w:sz w:val="20"/>
        </w:rPr>
        <w:t xml:space="preserve"> </w:t>
      </w:r>
      <w:r>
        <w:rPr>
          <w:sz w:val="20"/>
        </w:rPr>
        <w:t>ordenado</w:t>
      </w:r>
      <w:r>
        <w:rPr>
          <w:spacing w:val="40"/>
          <w:sz w:val="20"/>
        </w:rPr>
        <w:t xml:space="preserve"> </w:t>
      </w:r>
      <w:r>
        <w:rPr>
          <w:sz w:val="20"/>
        </w:rPr>
        <w:t>el</w:t>
      </w:r>
      <w:r>
        <w:rPr>
          <w:spacing w:val="40"/>
          <w:sz w:val="20"/>
        </w:rPr>
        <w:t xml:space="preserve"> </w:t>
      </w:r>
      <w:r>
        <w:rPr>
          <w:sz w:val="20"/>
        </w:rPr>
        <w:t>encargo,</w:t>
      </w:r>
      <w:r>
        <w:rPr>
          <w:spacing w:val="40"/>
          <w:sz w:val="20"/>
        </w:rPr>
        <w:t xml:space="preserve"> </w:t>
      </w:r>
      <w:r>
        <w:rPr>
          <w:sz w:val="20"/>
        </w:rPr>
        <w:t>en</w:t>
      </w:r>
      <w:r>
        <w:rPr>
          <w:spacing w:val="40"/>
          <w:sz w:val="20"/>
        </w:rPr>
        <w:t xml:space="preserve"> </w:t>
      </w:r>
      <w:r>
        <w:rPr>
          <w:sz w:val="20"/>
        </w:rPr>
        <w:t>los</w:t>
      </w:r>
      <w:r>
        <w:rPr>
          <w:spacing w:val="40"/>
          <w:sz w:val="20"/>
        </w:rPr>
        <w:t xml:space="preserve"> </w:t>
      </w:r>
      <w:r>
        <w:rPr>
          <w:sz w:val="20"/>
        </w:rPr>
        <w:t>términos</w:t>
      </w:r>
      <w:r>
        <w:rPr>
          <w:spacing w:val="40"/>
          <w:sz w:val="20"/>
        </w:rPr>
        <w:t xml:space="preserve"> </w:t>
      </w:r>
      <w:r>
        <w:rPr>
          <w:sz w:val="20"/>
        </w:rPr>
        <w:t>establecidos</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referido artículo 32.</w:t>
      </w:r>
    </w:p>
    <w:p w:rsidR="0092635B" w:rsidRDefault="00000000">
      <w:pPr>
        <w:pStyle w:val="Prrafodelista"/>
        <w:numPr>
          <w:ilvl w:val="1"/>
          <w:numId w:val="35"/>
        </w:numPr>
        <w:tabs>
          <w:tab w:val="left" w:pos="2478"/>
        </w:tabs>
        <w:spacing w:before="5" w:line="249" w:lineRule="auto"/>
        <w:ind w:left="1786" w:firstLine="340"/>
        <w:jc w:val="both"/>
        <w:rPr>
          <w:sz w:val="20"/>
        </w:rPr>
      </w:pPr>
      <w:r>
        <w:rPr>
          <w:sz w:val="20"/>
        </w:rPr>
        <w:t>Asimismo, no estarán sujetos al Impuesto los servicios prestados por cualesquiera entes, organismos o entidades del sector público, en los términos a que se refiere el artículo 3.1 de la Ley de Contratos del Sector Público, a favor de las Administraciones Públicas de la que dependan o de otra íntegramente dependiente de estas, cuando dichas Administraciones Públicas ostenten la titularidad íntegra de los mismos.</w:t>
      </w:r>
    </w:p>
    <w:p w:rsidR="0092635B" w:rsidRDefault="00000000">
      <w:pPr>
        <w:pStyle w:val="Prrafodelista"/>
        <w:numPr>
          <w:ilvl w:val="1"/>
          <w:numId w:val="35"/>
        </w:numPr>
        <w:tabs>
          <w:tab w:val="left" w:pos="2383"/>
        </w:tabs>
        <w:spacing w:before="5" w:line="249" w:lineRule="auto"/>
        <w:ind w:left="1786" w:firstLine="340"/>
        <w:jc w:val="both"/>
        <w:rPr>
          <w:sz w:val="20"/>
        </w:rPr>
      </w:pPr>
      <w:r>
        <w:rPr>
          <w:sz w:val="20"/>
        </w:rPr>
        <w:t>La</w:t>
      </w:r>
      <w:r>
        <w:rPr>
          <w:spacing w:val="-1"/>
          <w:sz w:val="20"/>
        </w:rPr>
        <w:t xml:space="preserve"> </w:t>
      </w:r>
      <w:r>
        <w:rPr>
          <w:sz w:val="20"/>
        </w:rPr>
        <w:t>no</w:t>
      </w:r>
      <w:r>
        <w:rPr>
          <w:spacing w:val="-1"/>
          <w:sz w:val="20"/>
        </w:rPr>
        <w:t xml:space="preserve"> </w:t>
      </w:r>
      <w:r>
        <w:rPr>
          <w:sz w:val="20"/>
        </w:rPr>
        <w:t>consideración</w:t>
      </w:r>
      <w:r>
        <w:rPr>
          <w:spacing w:val="-1"/>
          <w:sz w:val="20"/>
        </w:rPr>
        <w:t xml:space="preserve"> </w:t>
      </w:r>
      <w:r>
        <w:rPr>
          <w:sz w:val="20"/>
        </w:rPr>
        <w:t>como</w:t>
      </w:r>
      <w:r>
        <w:rPr>
          <w:spacing w:val="-1"/>
          <w:sz w:val="20"/>
        </w:rPr>
        <w:t xml:space="preserve"> </w:t>
      </w:r>
      <w:r>
        <w:rPr>
          <w:sz w:val="20"/>
        </w:rPr>
        <w:t>operaciones</w:t>
      </w:r>
      <w:r>
        <w:rPr>
          <w:spacing w:val="-1"/>
          <w:sz w:val="20"/>
        </w:rPr>
        <w:t xml:space="preserve"> </w:t>
      </w:r>
      <w:r>
        <w:rPr>
          <w:sz w:val="20"/>
        </w:rPr>
        <w:t>sujetas</w:t>
      </w:r>
      <w:r>
        <w:rPr>
          <w:spacing w:val="-1"/>
          <w:sz w:val="20"/>
        </w:rPr>
        <w:t xml:space="preserve"> </w:t>
      </w:r>
      <w:r>
        <w:rPr>
          <w:sz w:val="20"/>
        </w:rPr>
        <w:t>al</w:t>
      </w:r>
      <w:r>
        <w:rPr>
          <w:spacing w:val="-1"/>
          <w:sz w:val="20"/>
        </w:rPr>
        <w:t xml:space="preserve"> </w:t>
      </w:r>
      <w:r>
        <w:rPr>
          <w:sz w:val="20"/>
        </w:rPr>
        <w:t>impuesto</w:t>
      </w:r>
      <w:r>
        <w:rPr>
          <w:spacing w:val="-1"/>
          <w:sz w:val="20"/>
        </w:rPr>
        <w:t xml:space="preserve"> </w:t>
      </w:r>
      <w:r>
        <w:rPr>
          <w:sz w:val="20"/>
        </w:rPr>
        <w:t>que</w:t>
      </w:r>
      <w:r>
        <w:rPr>
          <w:spacing w:val="-1"/>
          <w:sz w:val="20"/>
        </w:rPr>
        <w:t xml:space="preserve"> </w:t>
      </w:r>
      <w:r>
        <w:rPr>
          <w:sz w:val="20"/>
        </w:rPr>
        <w:t>establecen</w:t>
      </w:r>
      <w:r>
        <w:rPr>
          <w:spacing w:val="-1"/>
          <w:sz w:val="20"/>
        </w:rPr>
        <w:t xml:space="preserve"> </w:t>
      </w:r>
      <w:r>
        <w:rPr>
          <w:sz w:val="20"/>
        </w:rPr>
        <w:t>los dos apartados C) y D) anteriores será igualmente aplicable a los servicios prestados entre las entidades a las que se refieren los mismos, íntegramente dependientes de la misma Administración Pública.</w:t>
      </w:r>
    </w:p>
    <w:p w:rsidR="0092635B" w:rsidRDefault="00000000">
      <w:pPr>
        <w:pStyle w:val="Prrafodelista"/>
        <w:numPr>
          <w:ilvl w:val="1"/>
          <w:numId w:val="35"/>
        </w:numPr>
        <w:tabs>
          <w:tab w:val="left" w:pos="2458"/>
        </w:tabs>
        <w:spacing w:before="3" w:line="249" w:lineRule="auto"/>
        <w:ind w:left="1786" w:firstLine="340"/>
        <w:jc w:val="both"/>
        <w:rPr>
          <w:sz w:val="20"/>
        </w:rPr>
      </w:pPr>
      <w:r>
        <w:rPr>
          <w:sz w:val="20"/>
        </w:rPr>
        <w:t xml:space="preserve">En todo caso, estarán sujetas al Impuesto las entregas de bienes y prestaciones de servicios que las Administraciones, entes, organismos y entidades del sector público realicen en el ejercicio de las actividades que a continuación se </w:t>
      </w:r>
      <w:r>
        <w:rPr>
          <w:spacing w:val="-2"/>
          <w:sz w:val="20"/>
        </w:rPr>
        <w:t>relacionan:</w:t>
      </w:r>
    </w:p>
    <w:p w:rsidR="0092635B" w:rsidRDefault="00000000">
      <w:pPr>
        <w:pStyle w:val="Textoindependiente"/>
        <w:spacing w:before="173"/>
        <w:ind w:left="2126" w:firstLine="0"/>
        <w:jc w:val="left"/>
      </w:pPr>
      <w:r>
        <w:t xml:space="preserve">a´) </w:t>
      </w:r>
      <w:r>
        <w:rPr>
          <w:spacing w:val="-2"/>
        </w:rPr>
        <w:t>Telecomunicaciones.</w:t>
      </w:r>
    </w:p>
    <w:p w:rsidR="0092635B" w:rsidRDefault="0092635B">
      <w:pPr>
        <w:pStyle w:val="Textoindependiente"/>
        <w:jc w:val="left"/>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left="1786" w:right="1103"/>
      </w:pPr>
      <w:r>
        <w:t>b´) Distribución de agua, gas, calor, frío, energía eléctrica y demás modalidades de energía.</w:t>
      </w:r>
    </w:p>
    <w:p w:rsidR="0092635B" w:rsidRDefault="00000000">
      <w:pPr>
        <w:pStyle w:val="Textoindependiente"/>
        <w:spacing w:before="1"/>
        <w:ind w:left="2126" w:firstLine="0"/>
      </w:pPr>
      <w:r>
        <w:t>c´)</w:t>
      </w:r>
      <w:r>
        <w:rPr>
          <w:spacing w:val="-2"/>
        </w:rPr>
        <w:t xml:space="preserve"> </w:t>
      </w:r>
      <w:r>
        <w:t>Transportes</w:t>
      </w:r>
      <w:r>
        <w:rPr>
          <w:spacing w:val="-2"/>
        </w:rPr>
        <w:t xml:space="preserve"> </w:t>
      </w:r>
      <w:r>
        <w:t>de</w:t>
      </w:r>
      <w:r>
        <w:rPr>
          <w:spacing w:val="-2"/>
        </w:rPr>
        <w:t xml:space="preserve"> </w:t>
      </w:r>
      <w:r>
        <w:t>personas</w:t>
      </w:r>
      <w:r>
        <w:rPr>
          <w:spacing w:val="-2"/>
        </w:rPr>
        <w:t xml:space="preserve"> </w:t>
      </w:r>
      <w:r>
        <w:t>y</w:t>
      </w:r>
      <w:r>
        <w:rPr>
          <w:spacing w:val="-1"/>
        </w:rPr>
        <w:t xml:space="preserve"> </w:t>
      </w:r>
      <w:r>
        <w:rPr>
          <w:spacing w:val="-2"/>
        </w:rPr>
        <w:t>bienes.</w:t>
      </w:r>
    </w:p>
    <w:p w:rsidR="0092635B" w:rsidRDefault="00000000">
      <w:pPr>
        <w:pStyle w:val="Textoindependiente"/>
        <w:spacing w:before="10" w:line="249" w:lineRule="auto"/>
        <w:ind w:left="1786" w:right="1103"/>
      </w:pPr>
      <w:r>
        <w:t>d´) Servicios portuarios y aeroportuarios y explotación de infraestructuras ferroviarias incluyendo, a estos efectos, las concesiones y autorizaciones exceptuadas de la no sujeción del Impuesto por el número 9.º siguiente.</w:t>
      </w:r>
    </w:p>
    <w:p w:rsidR="0092635B" w:rsidRDefault="00000000">
      <w:pPr>
        <w:pStyle w:val="Textoindependiente"/>
        <w:spacing w:before="3" w:line="249" w:lineRule="auto"/>
        <w:ind w:left="1786" w:right="1105"/>
      </w:pPr>
      <w:r>
        <w:t xml:space="preserve">e´) Obtención, fabricación o transformación de productos para su transmisión </w:t>
      </w:r>
      <w:r>
        <w:rPr>
          <w:spacing w:val="-2"/>
        </w:rPr>
        <w:t>posterior.</w:t>
      </w:r>
    </w:p>
    <w:p w:rsidR="0092635B" w:rsidRDefault="00000000">
      <w:pPr>
        <w:pStyle w:val="Textoindependiente"/>
        <w:spacing w:before="1" w:line="249" w:lineRule="auto"/>
        <w:ind w:left="1786" w:right="1105"/>
      </w:pPr>
      <w:r>
        <w:t>f´) Intervención sobre productos agropecuarios dirigida a la regulación del mercado de estos productos.</w:t>
      </w:r>
    </w:p>
    <w:p w:rsidR="0092635B" w:rsidRDefault="00000000">
      <w:pPr>
        <w:pStyle w:val="Textoindependiente"/>
        <w:spacing w:line="249" w:lineRule="auto"/>
        <w:ind w:left="2126" w:right="2535" w:firstLine="0"/>
      </w:pPr>
      <w:r>
        <w:t>g´)</w:t>
      </w:r>
      <w:r>
        <w:rPr>
          <w:spacing w:val="-4"/>
        </w:rPr>
        <w:t xml:space="preserve"> </w:t>
      </w:r>
      <w:r>
        <w:t>Explotación</w:t>
      </w:r>
      <w:r>
        <w:rPr>
          <w:spacing w:val="-4"/>
        </w:rPr>
        <w:t xml:space="preserve"> </w:t>
      </w:r>
      <w:r>
        <w:t>de</w:t>
      </w:r>
      <w:r>
        <w:rPr>
          <w:spacing w:val="-4"/>
        </w:rPr>
        <w:t xml:space="preserve"> </w:t>
      </w:r>
      <w:r>
        <w:t>ferias</w:t>
      </w:r>
      <w:r>
        <w:rPr>
          <w:spacing w:val="-4"/>
        </w:rPr>
        <w:t xml:space="preserve"> </w:t>
      </w:r>
      <w:r>
        <w:t>y</w:t>
      </w:r>
      <w:r>
        <w:rPr>
          <w:spacing w:val="-4"/>
        </w:rPr>
        <w:t xml:space="preserve"> </w:t>
      </w:r>
      <w:r>
        <w:t>de</w:t>
      </w:r>
      <w:r>
        <w:rPr>
          <w:spacing w:val="-4"/>
        </w:rPr>
        <w:t xml:space="preserve"> </w:t>
      </w:r>
      <w:r>
        <w:t>exposiciones</w:t>
      </w:r>
      <w:r>
        <w:rPr>
          <w:spacing w:val="-4"/>
        </w:rPr>
        <w:t xml:space="preserve"> </w:t>
      </w:r>
      <w:r>
        <w:t>de</w:t>
      </w:r>
      <w:r>
        <w:rPr>
          <w:spacing w:val="-4"/>
        </w:rPr>
        <w:t xml:space="preserve"> </w:t>
      </w:r>
      <w:r>
        <w:t>carácter</w:t>
      </w:r>
      <w:r>
        <w:rPr>
          <w:spacing w:val="-4"/>
        </w:rPr>
        <w:t xml:space="preserve"> </w:t>
      </w:r>
      <w:r>
        <w:t>comercial. h´) Almacenaje y depósito.</w:t>
      </w:r>
    </w:p>
    <w:p w:rsidR="0092635B" w:rsidRDefault="00000000">
      <w:pPr>
        <w:pStyle w:val="Textoindependiente"/>
        <w:ind w:left="2126" w:firstLine="0"/>
      </w:pPr>
      <w:r>
        <w:t>i´)</w:t>
      </w:r>
      <w:r>
        <w:rPr>
          <w:spacing w:val="-3"/>
        </w:rPr>
        <w:t xml:space="preserve"> </w:t>
      </w:r>
      <w:r>
        <w:t>Las de oficinas</w:t>
      </w:r>
      <w:r>
        <w:rPr>
          <w:spacing w:val="-1"/>
        </w:rPr>
        <w:t xml:space="preserve"> </w:t>
      </w:r>
      <w:r>
        <w:t xml:space="preserve">comerciales de </w:t>
      </w:r>
      <w:r>
        <w:rPr>
          <w:spacing w:val="-2"/>
        </w:rPr>
        <w:t>publicidad.</w:t>
      </w:r>
    </w:p>
    <w:p w:rsidR="0092635B" w:rsidRDefault="00000000">
      <w:pPr>
        <w:pStyle w:val="Textoindependiente"/>
        <w:spacing w:before="10" w:line="249" w:lineRule="auto"/>
        <w:ind w:left="1786" w:right="1120"/>
        <w:jc w:val="left"/>
      </w:pPr>
      <w:r>
        <w:t>j´) Explotación de cantinas y comedores de empresas, economatos, cooperativas y establecimientos similares.</w:t>
      </w:r>
    </w:p>
    <w:p w:rsidR="0092635B" w:rsidRDefault="00000000">
      <w:pPr>
        <w:pStyle w:val="Textoindependiente"/>
        <w:spacing w:before="1"/>
        <w:ind w:left="2126" w:firstLine="0"/>
        <w:jc w:val="left"/>
      </w:pPr>
      <w:r>
        <w:t>k´)</w:t>
      </w:r>
      <w:r>
        <w:rPr>
          <w:spacing w:val="-1"/>
        </w:rPr>
        <w:t xml:space="preserve"> </w:t>
      </w:r>
      <w:r>
        <w:t>Las de</w:t>
      </w:r>
      <w:r>
        <w:rPr>
          <w:spacing w:val="-1"/>
        </w:rPr>
        <w:t xml:space="preserve"> </w:t>
      </w:r>
      <w:r>
        <w:t xml:space="preserve">agencias de </w:t>
      </w:r>
      <w:r>
        <w:rPr>
          <w:spacing w:val="-2"/>
        </w:rPr>
        <w:t>viajes.</w:t>
      </w:r>
    </w:p>
    <w:p w:rsidR="0092635B" w:rsidRDefault="00000000">
      <w:pPr>
        <w:pStyle w:val="Textoindependiente"/>
        <w:spacing w:before="10" w:line="249" w:lineRule="auto"/>
        <w:ind w:left="1786" w:right="1105"/>
        <w:jc w:val="left"/>
      </w:pPr>
      <w:r>
        <w:t>l´)</w:t>
      </w:r>
      <w:r>
        <w:rPr>
          <w:spacing w:val="39"/>
        </w:rPr>
        <w:t xml:space="preserve"> </w:t>
      </w:r>
      <w:r>
        <w:t>Las</w:t>
      </w:r>
      <w:r>
        <w:rPr>
          <w:spacing w:val="39"/>
        </w:rPr>
        <w:t xml:space="preserve"> </w:t>
      </w:r>
      <w:r>
        <w:t>comerciales</w:t>
      </w:r>
      <w:r>
        <w:rPr>
          <w:spacing w:val="39"/>
        </w:rPr>
        <w:t xml:space="preserve"> </w:t>
      </w:r>
      <w:r>
        <w:t>o</w:t>
      </w:r>
      <w:r>
        <w:rPr>
          <w:spacing w:val="39"/>
        </w:rPr>
        <w:t xml:space="preserve"> </w:t>
      </w:r>
      <w:r>
        <w:t>mercantiles</w:t>
      </w:r>
      <w:r>
        <w:rPr>
          <w:spacing w:val="39"/>
        </w:rPr>
        <w:t xml:space="preserve"> </w:t>
      </w:r>
      <w:r>
        <w:t>de</w:t>
      </w:r>
      <w:r>
        <w:rPr>
          <w:spacing w:val="39"/>
        </w:rPr>
        <w:t xml:space="preserve"> </w:t>
      </w:r>
      <w:r>
        <w:t>los</w:t>
      </w:r>
      <w:r>
        <w:rPr>
          <w:spacing w:val="39"/>
        </w:rPr>
        <w:t xml:space="preserve"> </w:t>
      </w:r>
      <w:r>
        <w:t>Entes</w:t>
      </w:r>
      <w:r>
        <w:rPr>
          <w:spacing w:val="39"/>
        </w:rPr>
        <w:t xml:space="preserve"> </w:t>
      </w:r>
      <w:r>
        <w:t>públicos</w:t>
      </w:r>
      <w:r>
        <w:rPr>
          <w:spacing w:val="39"/>
        </w:rPr>
        <w:t xml:space="preserve"> </w:t>
      </w:r>
      <w:r>
        <w:t>de</w:t>
      </w:r>
      <w:r>
        <w:rPr>
          <w:spacing w:val="39"/>
        </w:rPr>
        <w:t xml:space="preserve"> </w:t>
      </w:r>
      <w:r>
        <w:t>radio</w:t>
      </w:r>
      <w:r>
        <w:rPr>
          <w:spacing w:val="39"/>
        </w:rPr>
        <w:t xml:space="preserve"> </w:t>
      </w:r>
      <w:r>
        <w:t>y</w:t>
      </w:r>
      <w:r>
        <w:rPr>
          <w:spacing w:val="39"/>
        </w:rPr>
        <w:t xml:space="preserve"> </w:t>
      </w:r>
      <w:r>
        <w:t>televisión, incluidas las relativas a la cesión del uso de sus instalaciones.</w:t>
      </w:r>
    </w:p>
    <w:p w:rsidR="0092635B" w:rsidRDefault="00000000">
      <w:pPr>
        <w:pStyle w:val="Textoindependiente"/>
        <w:ind w:left="2126" w:firstLine="0"/>
        <w:jc w:val="left"/>
      </w:pPr>
      <w:r>
        <w:t>m´)</w:t>
      </w:r>
      <w:r>
        <w:rPr>
          <w:spacing w:val="-1"/>
        </w:rPr>
        <w:t xml:space="preserve"> </w:t>
      </w:r>
      <w:r>
        <w:t xml:space="preserve">Las de </w:t>
      </w:r>
      <w:r>
        <w:rPr>
          <w:spacing w:val="-2"/>
        </w:rPr>
        <w:t>matadero.»</w:t>
      </w:r>
    </w:p>
    <w:p w:rsidR="0092635B" w:rsidRDefault="00000000">
      <w:pPr>
        <w:pStyle w:val="Textoindependiente"/>
        <w:spacing w:before="130" w:line="249" w:lineRule="auto"/>
        <w:ind w:right="1105"/>
        <w:jc w:val="left"/>
      </w:pPr>
      <w:r>
        <w:t>Dos.</w:t>
      </w:r>
      <w:r>
        <w:rPr>
          <w:spacing w:val="-2"/>
        </w:rPr>
        <w:t xml:space="preserve"> </w:t>
      </w:r>
      <w:r>
        <w:t>Se</w:t>
      </w:r>
      <w:r>
        <w:rPr>
          <w:spacing w:val="-2"/>
        </w:rPr>
        <w:t xml:space="preserve"> </w:t>
      </w:r>
      <w:r>
        <w:t>modifica</w:t>
      </w:r>
      <w:r>
        <w:rPr>
          <w:spacing w:val="-2"/>
        </w:rPr>
        <w:t xml:space="preserve"> </w:t>
      </w:r>
      <w:r>
        <w:t>el</w:t>
      </w:r>
      <w:r>
        <w:rPr>
          <w:spacing w:val="-2"/>
        </w:rPr>
        <w:t xml:space="preserve"> </w:t>
      </w:r>
      <w:r>
        <w:t>número</w:t>
      </w:r>
      <w:r>
        <w:rPr>
          <w:spacing w:val="-2"/>
        </w:rPr>
        <w:t xml:space="preserve"> </w:t>
      </w:r>
      <w:r>
        <w:t>3.º</w:t>
      </w:r>
      <w:r>
        <w:rPr>
          <w:spacing w:val="-3"/>
        </w:rPr>
        <w:t xml:space="preserve"> </w:t>
      </w:r>
      <w:r>
        <w:t>del</w:t>
      </w:r>
      <w:r>
        <w:rPr>
          <w:spacing w:val="-2"/>
        </w:rPr>
        <w:t xml:space="preserve"> </w:t>
      </w:r>
      <w:r>
        <w:t>apartado</w:t>
      </w:r>
      <w:r>
        <w:rPr>
          <w:spacing w:val="-2"/>
        </w:rPr>
        <w:t xml:space="preserve"> </w:t>
      </w:r>
      <w:r>
        <w:t>Dos</w:t>
      </w:r>
      <w:r>
        <w:rPr>
          <w:spacing w:val="-2"/>
        </w:rPr>
        <w:t xml:space="preserve"> </w:t>
      </w:r>
      <w:r>
        <w:t>del</w:t>
      </w:r>
      <w:r>
        <w:rPr>
          <w:spacing w:val="-2"/>
        </w:rPr>
        <w:t xml:space="preserve"> </w:t>
      </w:r>
      <w:r>
        <w:t>artículo</w:t>
      </w:r>
      <w:r>
        <w:rPr>
          <w:spacing w:val="-2"/>
        </w:rPr>
        <w:t xml:space="preserve"> </w:t>
      </w:r>
      <w:r>
        <w:t>78,</w:t>
      </w:r>
      <w:r>
        <w:rPr>
          <w:spacing w:val="-2"/>
        </w:rPr>
        <w:t xml:space="preserve"> </w:t>
      </w:r>
      <w:r>
        <w:t>que</w:t>
      </w:r>
      <w:r>
        <w:rPr>
          <w:spacing w:val="-2"/>
        </w:rPr>
        <w:t xml:space="preserve"> </w:t>
      </w:r>
      <w:r>
        <w:t>queda</w:t>
      </w:r>
      <w:r>
        <w:rPr>
          <w:spacing w:val="-2"/>
        </w:rPr>
        <w:t xml:space="preserve"> </w:t>
      </w:r>
      <w:r>
        <w:t>redactado</w:t>
      </w:r>
      <w:r>
        <w:rPr>
          <w:spacing w:val="-2"/>
        </w:rPr>
        <w:t xml:space="preserve"> </w:t>
      </w:r>
      <w:r>
        <w:t>de la siguiente forma:</w:t>
      </w:r>
    </w:p>
    <w:p w:rsidR="0092635B" w:rsidRDefault="00000000">
      <w:pPr>
        <w:pStyle w:val="Textoindependiente"/>
        <w:spacing w:before="172" w:line="249" w:lineRule="auto"/>
        <w:ind w:left="1786" w:right="1104"/>
      </w:pPr>
      <w:r>
        <w:t>«78. Dos.3.º Las subvenciones vinculadas directamente al precio de las operaciones sujetas al Impuesto.</w:t>
      </w:r>
    </w:p>
    <w:p w:rsidR="0092635B" w:rsidRDefault="00000000">
      <w:pPr>
        <w:pStyle w:val="Textoindependiente"/>
        <w:spacing w:before="1" w:line="249" w:lineRule="auto"/>
        <w:ind w:left="1786" w:right="1104"/>
      </w:pPr>
      <w:r>
        <w:t>Se considerarán vinculadas directamente al precio de las operaciones sujetas al Impuesto las subvenciones establecidas en función del número de unidades entregadas o del volumen de los servicios prestados cuando se determinen con anterioridad a la realización de la operación.</w:t>
      </w:r>
    </w:p>
    <w:p w:rsidR="0092635B" w:rsidRDefault="00000000">
      <w:pPr>
        <w:pStyle w:val="Textoindependiente"/>
        <w:spacing w:before="4" w:line="249" w:lineRule="auto"/>
        <w:ind w:left="1786" w:right="1102"/>
      </w:pPr>
      <w:r>
        <w:t>No</w:t>
      </w:r>
      <w:r>
        <w:rPr>
          <w:spacing w:val="-3"/>
        </w:rPr>
        <w:t xml:space="preserve"> </w:t>
      </w:r>
      <w:r>
        <w:t>obstante,</w:t>
      </w:r>
      <w:r>
        <w:rPr>
          <w:spacing w:val="-3"/>
        </w:rPr>
        <w:t xml:space="preserve"> </w:t>
      </w:r>
      <w:r>
        <w:t>no</w:t>
      </w:r>
      <w:r>
        <w:rPr>
          <w:spacing w:val="-3"/>
        </w:rPr>
        <w:t xml:space="preserve"> </w:t>
      </w:r>
      <w:r>
        <w:t>se</w:t>
      </w:r>
      <w:r>
        <w:rPr>
          <w:spacing w:val="-3"/>
        </w:rPr>
        <w:t xml:space="preserve"> </w:t>
      </w:r>
      <w:r>
        <w:t>considerarán</w:t>
      </w:r>
      <w:r>
        <w:rPr>
          <w:spacing w:val="-3"/>
        </w:rPr>
        <w:t xml:space="preserve"> </w:t>
      </w:r>
      <w:r>
        <w:t>subvenciones</w:t>
      </w:r>
      <w:r>
        <w:rPr>
          <w:spacing w:val="-3"/>
        </w:rPr>
        <w:t xml:space="preserve"> </w:t>
      </w:r>
      <w:r>
        <w:t>vinculadas</w:t>
      </w:r>
      <w:r>
        <w:rPr>
          <w:spacing w:val="-3"/>
        </w:rPr>
        <w:t xml:space="preserve"> </w:t>
      </w:r>
      <w:r>
        <w:t>al</w:t>
      </w:r>
      <w:r>
        <w:rPr>
          <w:spacing w:val="-3"/>
        </w:rPr>
        <w:t xml:space="preserve"> </w:t>
      </w:r>
      <w:r>
        <w:t>precio</w:t>
      </w:r>
      <w:r>
        <w:rPr>
          <w:spacing w:val="-3"/>
        </w:rPr>
        <w:t xml:space="preserve"> </w:t>
      </w:r>
      <w:r>
        <w:t>ni</w:t>
      </w:r>
      <w:r>
        <w:rPr>
          <w:spacing w:val="-3"/>
        </w:rPr>
        <w:t xml:space="preserve"> </w:t>
      </w:r>
      <w:r>
        <w:t>integran</w:t>
      </w:r>
      <w:r>
        <w:rPr>
          <w:spacing w:val="-3"/>
        </w:rPr>
        <w:t xml:space="preserve"> </w:t>
      </w:r>
      <w:r>
        <w:t>en ningún caso el importe de la contraprestación a que se refiere el apartado Uno del presente artículo, las aportaciones dinerarias, sea cual sea su denominación, que las Administraciones Públicas realicen para financiar:</w:t>
      </w:r>
    </w:p>
    <w:p w:rsidR="0092635B" w:rsidRDefault="00000000">
      <w:pPr>
        <w:pStyle w:val="Prrafodelista"/>
        <w:numPr>
          <w:ilvl w:val="0"/>
          <w:numId w:val="34"/>
        </w:numPr>
        <w:tabs>
          <w:tab w:val="left" w:pos="2396"/>
        </w:tabs>
        <w:spacing w:before="173" w:line="249" w:lineRule="auto"/>
        <w:ind w:firstLine="340"/>
        <w:jc w:val="both"/>
        <w:rPr>
          <w:sz w:val="20"/>
        </w:rPr>
      </w:pPr>
      <w:r>
        <w:rPr>
          <w:sz w:val="20"/>
        </w:rPr>
        <w:t>La gestión de servicios públicos o de fomento de la cultura en los que no</w:t>
      </w:r>
      <w:r>
        <w:rPr>
          <w:spacing w:val="40"/>
          <w:sz w:val="20"/>
        </w:rPr>
        <w:t xml:space="preserve"> </w:t>
      </w:r>
      <w:r>
        <w:rPr>
          <w:sz w:val="20"/>
        </w:rPr>
        <w:t xml:space="preserve">exista una distorsión significativa de la competencia, sea cual sea su forma de </w:t>
      </w:r>
      <w:r>
        <w:rPr>
          <w:spacing w:val="-2"/>
          <w:sz w:val="20"/>
        </w:rPr>
        <w:t>gestión.</w:t>
      </w:r>
    </w:p>
    <w:p w:rsidR="0092635B" w:rsidRDefault="00000000">
      <w:pPr>
        <w:pStyle w:val="Prrafodelista"/>
        <w:numPr>
          <w:ilvl w:val="0"/>
          <w:numId w:val="34"/>
        </w:numPr>
        <w:tabs>
          <w:tab w:val="left" w:pos="2368"/>
        </w:tabs>
        <w:spacing w:line="249" w:lineRule="auto"/>
        <w:ind w:right="1105" w:firstLine="340"/>
        <w:jc w:val="both"/>
        <w:rPr>
          <w:sz w:val="20"/>
        </w:rPr>
      </w:pPr>
      <w:r>
        <w:rPr>
          <w:sz w:val="20"/>
        </w:rPr>
        <w:t>Actividades de interés general cuando sus destinatarios no sean identificables y no satisfagan contraprestación alguna.»</w:t>
      </w:r>
    </w:p>
    <w:p w:rsidR="0092635B" w:rsidRDefault="00000000">
      <w:pPr>
        <w:pStyle w:val="Textoindependiente"/>
        <w:spacing w:before="122" w:line="249" w:lineRule="auto"/>
        <w:ind w:right="1120"/>
        <w:jc w:val="left"/>
      </w:pPr>
      <w:r>
        <w:t xml:space="preserve">Tres. Se modifica el apartado Cinco del artículo 93 que queda redactado de la siguiente </w:t>
      </w:r>
      <w:r>
        <w:rPr>
          <w:spacing w:val="-2"/>
        </w:rPr>
        <w:t>forma:</w:t>
      </w:r>
    </w:p>
    <w:p w:rsidR="0092635B" w:rsidRDefault="00000000">
      <w:pPr>
        <w:pStyle w:val="Textoindependiente"/>
        <w:spacing w:before="172" w:line="249" w:lineRule="auto"/>
        <w:ind w:left="1786" w:right="1103"/>
        <w:jc w:val="right"/>
      </w:pPr>
      <w:r>
        <w:t>«93. Cinco. Los sujetos pasivos que realicen conjuntamente operaciones sujetas al</w:t>
      </w:r>
      <w:r>
        <w:rPr>
          <w:spacing w:val="14"/>
        </w:rPr>
        <w:t xml:space="preserve"> </w:t>
      </w:r>
      <w:r>
        <w:t>Impuesto</w:t>
      </w:r>
      <w:r>
        <w:rPr>
          <w:spacing w:val="17"/>
        </w:rPr>
        <w:t xml:space="preserve"> </w:t>
      </w:r>
      <w:r>
        <w:t>y</w:t>
      </w:r>
      <w:r>
        <w:rPr>
          <w:spacing w:val="16"/>
        </w:rPr>
        <w:t xml:space="preserve"> </w:t>
      </w:r>
      <w:r>
        <w:t>operaciones</w:t>
      </w:r>
      <w:r>
        <w:rPr>
          <w:spacing w:val="17"/>
        </w:rPr>
        <w:t xml:space="preserve"> </w:t>
      </w:r>
      <w:r>
        <w:t>no</w:t>
      </w:r>
      <w:r>
        <w:rPr>
          <w:spacing w:val="16"/>
        </w:rPr>
        <w:t xml:space="preserve"> </w:t>
      </w:r>
      <w:r>
        <w:t>sujetas</w:t>
      </w:r>
      <w:r>
        <w:rPr>
          <w:spacing w:val="17"/>
        </w:rPr>
        <w:t xml:space="preserve"> </w:t>
      </w:r>
      <w:r>
        <w:t>por</w:t>
      </w:r>
      <w:r>
        <w:rPr>
          <w:spacing w:val="16"/>
        </w:rPr>
        <w:t xml:space="preserve"> </w:t>
      </w:r>
      <w:r>
        <w:t>aplicación</w:t>
      </w:r>
      <w:r>
        <w:rPr>
          <w:spacing w:val="17"/>
        </w:rPr>
        <w:t xml:space="preserve"> </w:t>
      </w:r>
      <w:r>
        <w:t>de</w:t>
      </w:r>
      <w:r>
        <w:rPr>
          <w:spacing w:val="16"/>
        </w:rPr>
        <w:t xml:space="preserve"> </w:t>
      </w:r>
      <w:r>
        <w:t>lo</w:t>
      </w:r>
      <w:r>
        <w:rPr>
          <w:spacing w:val="17"/>
        </w:rPr>
        <w:t xml:space="preserve"> </w:t>
      </w:r>
      <w:r>
        <w:t>establecido</w:t>
      </w:r>
      <w:r>
        <w:rPr>
          <w:spacing w:val="16"/>
        </w:rPr>
        <w:t xml:space="preserve"> </w:t>
      </w:r>
      <w:r>
        <w:t>en</w:t>
      </w:r>
      <w:r>
        <w:rPr>
          <w:spacing w:val="17"/>
        </w:rPr>
        <w:t xml:space="preserve"> </w:t>
      </w:r>
      <w:r>
        <w:t>el</w:t>
      </w:r>
      <w:r>
        <w:rPr>
          <w:spacing w:val="17"/>
        </w:rPr>
        <w:t xml:space="preserve"> </w:t>
      </w:r>
      <w:r>
        <w:rPr>
          <w:spacing w:val="-2"/>
        </w:rPr>
        <w:t>artículo</w:t>
      </w:r>
    </w:p>
    <w:p w:rsidR="0092635B" w:rsidRDefault="00000000">
      <w:pPr>
        <w:pStyle w:val="Textoindependiente"/>
        <w:spacing w:before="1" w:line="249" w:lineRule="auto"/>
        <w:ind w:left="1786" w:right="1103" w:firstLine="0"/>
        <w:jc w:val="right"/>
      </w:pPr>
      <w:r>
        <w:t>7.8.º</w:t>
      </w:r>
      <w:r>
        <w:rPr>
          <w:spacing w:val="-1"/>
        </w:rPr>
        <w:t xml:space="preserve"> </w:t>
      </w:r>
      <w:r>
        <w:t>de</w:t>
      </w:r>
      <w:r>
        <w:rPr>
          <w:spacing w:val="-1"/>
        </w:rPr>
        <w:t xml:space="preserve"> </w:t>
      </w:r>
      <w:r>
        <w:t>esta</w:t>
      </w:r>
      <w:r>
        <w:rPr>
          <w:spacing w:val="-1"/>
        </w:rPr>
        <w:t xml:space="preserve"> </w:t>
      </w:r>
      <w:r>
        <w:t>Ley</w:t>
      </w:r>
      <w:r>
        <w:rPr>
          <w:spacing w:val="-1"/>
        </w:rPr>
        <w:t xml:space="preserve"> </w:t>
      </w:r>
      <w:r>
        <w:t>podrán</w:t>
      </w:r>
      <w:r>
        <w:rPr>
          <w:spacing w:val="-1"/>
        </w:rPr>
        <w:t xml:space="preserve"> </w:t>
      </w:r>
      <w:r>
        <w:t>deducir</w:t>
      </w:r>
      <w:r>
        <w:rPr>
          <w:spacing w:val="-1"/>
        </w:rPr>
        <w:t xml:space="preserve"> </w:t>
      </w:r>
      <w:r>
        <w:t>las</w:t>
      </w:r>
      <w:r>
        <w:rPr>
          <w:spacing w:val="-1"/>
        </w:rPr>
        <w:t xml:space="preserve"> </w:t>
      </w:r>
      <w:r>
        <w:t>cuotas</w:t>
      </w:r>
      <w:r>
        <w:rPr>
          <w:spacing w:val="-1"/>
        </w:rPr>
        <w:t xml:space="preserve"> </w:t>
      </w:r>
      <w:r>
        <w:t>soportadas</w:t>
      </w:r>
      <w:r>
        <w:rPr>
          <w:spacing w:val="-1"/>
        </w:rPr>
        <w:t xml:space="preserve"> </w:t>
      </w:r>
      <w:r>
        <w:t>por</w:t>
      </w:r>
      <w:r>
        <w:rPr>
          <w:spacing w:val="-1"/>
        </w:rPr>
        <w:t xml:space="preserve"> </w:t>
      </w:r>
      <w:r>
        <w:t>la</w:t>
      </w:r>
      <w:r>
        <w:rPr>
          <w:spacing w:val="-1"/>
        </w:rPr>
        <w:t xml:space="preserve"> </w:t>
      </w:r>
      <w:r>
        <w:t>adquisición</w:t>
      </w:r>
      <w:r>
        <w:rPr>
          <w:spacing w:val="-1"/>
        </w:rPr>
        <w:t xml:space="preserve"> </w:t>
      </w:r>
      <w:r>
        <w:t>de</w:t>
      </w:r>
      <w:r>
        <w:rPr>
          <w:spacing w:val="-1"/>
        </w:rPr>
        <w:t xml:space="preserve"> </w:t>
      </w:r>
      <w:r>
        <w:t>bienes</w:t>
      </w:r>
      <w:r>
        <w:rPr>
          <w:spacing w:val="-1"/>
        </w:rPr>
        <w:t xml:space="preserve"> </w:t>
      </w:r>
      <w:r>
        <w:t>y servicios</w:t>
      </w:r>
      <w:r>
        <w:rPr>
          <w:spacing w:val="80"/>
        </w:rPr>
        <w:t xml:space="preserve"> </w:t>
      </w:r>
      <w:r>
        <w:t>destinados</w:t>
      </w:r>
      <w:r>
        <w:rPr>
          <w:spacing w:val="80"/>
        </w:rPr>
        <w:t xml:space="preserve"> </w:t>
      </w:r>
      <w:r>
        <w:t>de</w:t>
      </w:r>
      <w:r>
        <w:rPr>
          <w:spacing w:val="80"/>
        </w:rPr>
        <w:t xml:space="preserve"> </w:t>
      </w:r>
      <w:r>
        <w:t>forma</w:t>
      </w:r>
      <w:r>
        <w:rPr>
          <w:spacing w:val="80"/>
        </w:rPr>
        <w:t xml:space="preserve"> </w:t>
      </w:r>
      <w:r>
        <w:t>simultánea</w:t>
      </w:r>
      <w:r>
        <w:rPr>
          <w:spacing w:val="80"/>
        </w:rPr>
        <w:t xml:space="preserve"> </w:t>
      </w:r>
      <w:r>
        <w:t>a</w:t>
      </w:r>
      <w:r>
        <w:rPr>
          <w:spacing w:val="80"/>
        </w:rPr>
        <w:t xml:space="preserve"> </w:t>
      </w:r>
      <w:r>
        <w:t>la</w:t>
      </w:r>
      <w:r>
        <w:rPr>
          <w:spacing w:val="80"/>
        </w:rPr>
        <w:t xml:space="preserve"> </w:t>
      </w:r>
      <w:r>
        <w:t>realización</w:t>
      </w:r>
      <w:r>
        <w:rPr>
          <w:spacing w:val="80"/>
        </w:rPr>
        <w:t xml:space="preserve"> </w:t>
      </w:r>
      <w:r>
        <w:t>de</w:t>
      </w:r>
      <w:r>
        <w:rPr>
          <w:spacing w:val="80"/>
        </w:rPr>
        <w:t xml:space="preserve"> </w:t>
      </w:r>
      <w:r>
        <w:t>unas</w:t>
      </w:r>
      <w:r>
        <w:rPr>
          <w:spacing w:val="80"/>
        </w:rPr>
        <w:t xml:space="preserve"> </w:t>
      </w:r>
      <w:r>
        <w:t>y</w:t>
      </w:r>
      <w:r>
        <w:rPr>
          <w:spacing w:val="80"/>
        </w:rPr>
        <w:t xml:space="preserve"> </w:t>
      </w:r>
      <w:r>
        <w:t>otras operaciones en función de un criterio razonable y homogéneo de imputación de las cuotas correspondientes a los bienes y servicios utilizados para el desarrollo de las operaciones</w:t>
      </w:r>
      <w:r>
        <w:rPr>
          <w:spacing w:val="28"/>
        </w:rPr>
        <w:t xml:space="preserve"> </w:t>
      </w:r>
      <w:r>
        <w:t>sujetas</w:t>
      </w:r>
      <w:r>
        <w:rPr>
          <w:spacing w:val="28"/>
        </w:rPr>
        <w:t xml:space="preserve"> </w:t>
      </w:r>
      <w:r>
        <w:t>al</w:t>
      </w:r>
      <w:r>
        <w:rPr>
          <w:spacing w:val="28"/>
        </w:rPr>
        <w:t xml:space="preserve"> </w:t>
      </w:r>
      <w:r>
        <w:t>Impuesto,</w:t>
      </w:r>
      <w:r>
        <w:rPr>
          <w:spacing w:val="28"/>
        </w:rPr>
        <w:t xml:space="preserve"> </w:t>
      </w:r>
      <w:r>
        <w:t>incluyéndose,</w:t>
      </w:r>
      <w:r>
        <w:rPr>
          <w:spacing w:val="28"/>
        </w:rPr>
        <w:t xml:space="preserve"> </w:t>
      </w:r>
      <w:r>
        <w:t>a</w:t>
      </w:r>
      <w:r>
        <w:rPr>
          <w:spacing w:val="28"/>
        </w:rPr>
        <w:t xml:space="preserve"> </w:t>
      </w:r>
      <w:r>
        <w:t>estos</w:t>
      </w:r>
      <w:r>
        <w:rPr>
          <w:spacing w:val="28"/>
        </w:rPr>
        <w:t xml:space="preserve"> </w:t>
      </w:r>
      <w:r>
        <w:t>efectos,</w:t>
      </w:r>
      <w:r>
        <w:rPr>
          <w:spacing w:val="28"/>
        </w:rPr>
        <w:t xml:space="preserve"> </w:t>
      </w:r>
      <w:r>
        <w:t>las</w:t>
      </w:r>
      <w:r>
        <w:rPr>
          <w:spacing w:val="28"/>
        </w:rPr>
        <w:t xml:space="preserve"> </w:t>
      </w:r>
      <w:r>
        <w:t>operaciones</w:t>
      </w:r>
      <w:r>
        <w:rPr>
          <w:spacing w:val="28"/>
        </w:rPr>
        <w:t xml:space="preserve"> </w:t>
      </w:r>
      <w:r>
        <w:t>a que se refiere el artículo 94.Uno.2.º de esta Ley. Este criterio deberá ser mantenido en el tiempo salvo que por causas razonables haya de procederse a su modificación. A estos efectos, podrá atenderse a la proporción que represente el importe total, excluido el Impuesto sobre el Valor Añadido, determinado para cada año natural, de las</w:t>
      </w:r>
      <w:r>
        <w:rPr>
          <w:spacing w:val="38"/>
        </w:rPr>
        <w:t xml:space="preserve"> </w:t>
      </w:r>
      <w:r>
        <w:t>entregas</w:t>
      </w:r>
      <w:r>
        <w:rPr>
          <w:spacing w:val="38"/>
        </w:rPr>
        <w:t xml:space="preserve"> </w:t>
      </w:r>
      <w:r>
        <w:t>de</w:t>
      </w:r>
      <w:r>
        <w:rPr>
          <w:spacing w:val="38"/>
        </w:rPr>
        <w:t xml:space="preserve"> </w:t>
      </w:r>
      <w:r>
        <w:t>bienes</w:t>
      </w:r>
      <w:r>
        <w:rPr>
          <w:spacing w:val="38"/>
        </w:rPr>
        <w:t xml:space="preserve"> </w:t>
      </w:r>
      <w:r>
        <w:t>y</w:t>
      </w:r>
      <w:r>
        <w:rPr>
          <w:spacing w:val="38"/>
        </w:rPr>
        <w:t xml:space="preserve"> </w:t>
      </w:r>
      <w:r>
        <w:t>prestaciones</w:t>
      </w:r>
      <w:r>
        <w:rPr>
          <w:spacing w:val="38"/>
        </w:rPr>
        <w:t xml:space="preserve"> </w:t>
      </w:r>
      <w:r>
        <w:t>de</w:t>
      </w:r>
      <w:r>
        <w:rPr>
          <w:spacing w:val="38"/>
        </w:rPr>
        <w:t xml:space="preserve"> </w:t>
      </w:r>
      <w:r>
        <w:t>servicios</w:t>
      </w:r>
      <w:r>
        <w:rPr>
          <w:spacing w:val="38"/>
        </w:rPr>
        <w:t xml:space="preserve"> </w:t>
      </w:r>
      <w:r>
        <w:t>de</w:t>
      </w:r>
      <w:r>
        <w:rPr>
          <w:spacing w:val="38"/>
        </w:rPr>
        <w:t xml:space="preserve"> </w:t>
      </w:r>
      <w:r>
        <w:t>las</w:t>
      </w:r>
      <w:r>
        <w:rPr>
          <w:spacing w:val="38"/>
        </w:rPr>
        <w:t xml:space="preserve"> </w:t>
      </w:r>
      <w:r>
        <w:t>operaciones</w:t>
      </w:r>
      <w:r>
        <w:rPr>
          <w:spacing w:val="38"/>
        </w:rPr>
        <w:t xml:space="preserve"> </w:t>
      </w:r>
      <w:r>
        <w:t>sujetas</w:t>
      </w:r>
      <w:r>
        <w:rPr>
          <w:spacing w:val="38"/>
        </w:rPr>
        <w:t xml:space="preserve"> </w:t>
      </w:r>
      <w:r>
        <w:t>al Impuesto,</w:t>
      </w:r>
      <w:r>
        <w:rPr>
          <w:spacing w:val="19"/>
        </w:rPr>
        <w:t xml:space="preserve"> </w:t>
      </w:r>
      <w:r>
        <w:t>respecto</w:t>
      </w:r>
      <w:r>
        <w:rPr>
          <w:spacing w:val="19"/>
        </w:rPr>
        <w:t xml:space="preserve"> </w:t>
      </w:r>
      <w:r>
        <w:t>del</w:t>
      </w:r>
      <w:r>
        <w:rPr>
          <w:spacing w:val="19"/>
        </w:rPr>
        <w:t xml:space="preserve"> </w:t>
      </w:r>
      <w:r>
        <w:t>total</w:t>
      </w:r>
      <w:r>
        <w:rPr>
          <w:spacing w:val="19"/>
        </w:rPr>
        <w:t xml:space="preserve"> </w:t>
      </w:r>
      <w:r>
        <w:t>de</w:t>
      </w:r>
      <w:r>
        <w:rPr>
          <w:spacing w:val="19"/>
        </w:rPr>
        <w:t xml:space="preserve"> </w:t>
      </w:r>
      <w:r>
        <w:t>ingresos</w:t>
      </w:r>
      <w:r>
        <w:rPr>
          <w:spacing w:val="19"/>
        </w:rPr>
        <w:t xml:space="preserve"> </w:t>
      </w:r>
      <w:r>
        <w:t>que</w:t>
      </w:r>
      <w:r>
        <w:rPr>
          <w:spacing w:val="20"/>
        </w:rPr>
        <w:t xml:space="preserve"> </w:t>
      </w:r>
      <w:r>
        <w:t>obtenga</w:t>
      </w:r>
      <w:r>
        <w:rPr>
          <w:spacing w:val="19"/>
        </w:rPr>
        <w:t xml:space="preserve"> </w:t>
      </w:r>
      <w:r>
        <w:t>el</w:t>
      </w:r>
      <w:r>
        <w:rPr>
          <w:spacing w:val="19"/>
        </w:rPr>
        <w:t xml:space="preserve"> </w:t>
      </w:r>
      <w:r>
        <w:t>sujeto</w:t>
      </w:r>
      <w:r>
        <w:rPr>
          <w:spacing w:val="19"/>
        </w:rPr>
        <w:t xml:space="preserve"> </w:t>
      </w:r>
      <w:r>
        <w:t>pasivo</w:t>
      </w:r>
      <w:r>
        <w:rPr>
          <w:spacing w:val="19"/>
        </w:rPr>
        <w:t xml:space="preserve"> </w:t>
      </w:r>
      <w:r>
        <w:t>en</w:t>
      </w:r>
      <w:r>
        <w:rPr>
          <w:spacing w:val="19"/>
        </w:rPr>
        <w:t xml:space="preserve"> </w:t>
      </w:r>
      <w:r>
        <w:t>cada</w:t>
      </w:r>
      <w:r>
        <w:rPr>
          <w:spacing w:val="20"/>
        </w:rPr>
        <w:t xml:space="preserve"> </w:t>
      </w:r>
      <w:r>
        <w:rPr>
          <w:spacing w:val="-5"/>
        </w:rPr>
        <w:t>año</w:t>
      </w:r>
    </w:p>
    <w:p w:rsidR="0092635B" w:rsidRDefault="00000000">
      <w:pPr>
        <w:pStyle w:val="Textoindependiente"/>
        <w:spacing w:before="10"/>
        <w:ind w:left="1786" w:firstLine="0"/>
      </w:pPr>
      <w:r>
        <w:t>natural</w:t>
      </w:r>
      <w:r>
        <w:rPr>
          <w:spacing w:val="-3"/>
        </w:rPr>
        <w:t xml:space="preserve"> </w:t>
      </w:r>
      <w:r>
        <w:t>por</w:t>
      </w:r>
      <w:r>
        <w:rPr>
          <w:spacing w:val="-3"/>
        </w:rPr>
        <w:t xml:space="preserve"> </w:t>
      </w:r>
      <w:r>
        <w:t>el</w:t>
      </w:r>
      <w:r>
        <w:rPr>
          <w:spacing w:val="-2"/>
        </w:rPr>
        <w:t xml:space="preserve"> </w:t>
      </w:r>
      <w:r>
        <w:t>conjunto</w:t>
      </w:r>
      <w:r>
        <w:rPr>
          <w:spacing w:val="-3"/>
        </w:rPr>
        <w:t xml:space="preserve"> </w:t>
      </w:r>
      <w:r>
        <w:t>de</w:t>
      </w:r>
      <w:r>
        <w:rPr>
          <w:spacing w:val="-3"/>
        </w:rPr>
        <w:t xml:space="preserve"> </w:t>
      </w:r>
      <w:r>
        <w:t>su</w:t>
      </w:r>
      <w:r>
        <w:rPr>
          <w:spacing w:val="-2"/>
        </w:rPr>
        <w:t xml:space="preserve"> actividad.</w:t>
      </w:r>
    </w:p>
    <w:p w:rsidR="0092635B" w:rsidRDefault="00000000">
      <w:pPr>
        <w:pStyle w:val="Textoindependiente"/>
        <w:spacing w:before="10" w:line="249" w:lineRule="auto"/>
        <w:ind w:left="1786" w:right="1104"/>
      </w:pPr>
      <w:r>
        <w:t>El cálculo resultante de la aplicación de dicho criterio se podrá determinar provisionalmente atendiendo a los datos del año natural precedente, sin perjuicio de la regularización que proceda a final de cada año.</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left="1786" w:right="1103"/>
      </w:pPr>
      <w:r>
        <w:t>No obstante lo anterior, no serán deducibles en proporción alguna las cuotas soportadas o satisfechas por las adquisiciones o importaciones de bienes o servicios destinados, exclusivamente, a la realización de las operaciones no sujetas a que se refiere el artículo 7.8.º de esta Ley.</w:t>
      </w:r>
    </w:p>
    <w:p w:rsidR="0092635B" w:rsidRDefault="00000000">
      <w:pPr>
        <w:pStyle w:val="Textoindependiente"/>
        <w:spacing w:before="3" w:line="249" w:lineRule="auto"/>
        <w:ind w:left="1786" w:right="1103"/>
      </w:pPr>
      <w:r>
        <w:t>Las deducciones establecidas en este apartado se ajustarán también a las condiciones y requisitos previstos en el Capítulo I del Título VIII de esta Ley y, en particular, los que se refieren a la regla de prorrata.</w:t>
      </w:r>
    </w:p>
    <w:p w:rsidR="0092635B" w:rsidRDefault="00000000">
      <w:pPr>
        <w:pStyle w:val="Textoindependiente"/>
        <w:spacing w:line="249" w:lineRule="auto"/>
        <w:ind w:left="1786" w:right="1105"/>
      </w:pPr>
      <w:r>
        <w:t>Lo previsto en este apartado no será de aplicación a las actividades de gestión</w:t>
      </w:r>
      <w:r>
        <w:rPr>
          <w:spacing w:val="40"/>
        </w:rPr>
        <w:t xml:space="preserve"> </w:t>
      </w:r>
      <w:r>
        <w:t>de</w:t>
      </w:r>
      <w:r>
        <w:rPr>
          <w:spacing w:val="71"/>
        </w:rPr>
        <w:t xml:space="preserve"> </w:t>
      </w:r>
      <w:r>
        <w:t>servicios</w:t>
      </w:r>
      <w:r>
        <w:rPr>
          <w:spacing w:val="71"/>
        </w:rPr>
        <w:t xml:space="preserve"> </w:t>
      </w:r>
      <w:r>
        <w:t>públicos</w:t>
      </w:r>
      <w:r>
        <w:rPr>
          <w:spacing w:val="71"/>
        </w:rPr>
        <w:t xml:space="preserve"> </w:t>
      </w:r>
      <w:r>
        <w:t>en</w:t>
      </w:r>
      <w:r>
        <w:rPr>
          <w:spacing w:val="71"/>
        </w:rPr>
        <w:t xml:space="preserve"> </w:t>
      </w:r>
      <w:r>
        <w:t>las</w:t>
      </w:r>
      <w:r>
        <w:rPr>
          <w:spacing w:val="71"/>
        </w:rPr>
        <w:t xml:space="preserve"> </w:t>
      </w:r>
      <w:r>
        <w:t>condiciones</w:t>
      </w:r>
      <w:r>
        <w:rPr>
          <w:spacing w:val="72"/>
        </w:rPr>
        <w:t xml:space="preserve"> </w:t>
      </w:r>
      <w:r>
        <w:t>señaladas</w:t>
      </w:r>
      <w:r>
        <w:rPr>
          <w:spacing w:val="71"/>
        </w:rPr>
        <w:t xml:space="preserve"> </w:t>
      </w:r>
      <w:r>
        <w:t>en</w:t>
      </w:r>
      <w:r>
        <w:rPr>
          <w:spacing w:val="71"/>
        </w:rPr>
        <w:t xml:space="preserve"> </w:t>
      </w:r>
      <w:r>
        <w:t>la</w:t>
      </w:r>
      <w:r>
        <w:rPr>
          <w:spacing w:val="71"/>
        </w:rPr>
        <w:t xml:space="preserve"> </w:t>
      </w:r>
      <w:r>
        <w:t>letra</w:t>
      </w:r>
      <w:r>
        <w:rPr>
          <w:spacing w:val="71"/>
        </w:rPr>
        <w:t xml:space="preserve"> </w:t>
      </w:r>
      <w:r>
        <w:t>a)</w:t>
      </w:r>
      <w:r>
        <w:rPr>
          <w:spacing w:val="71"/>
        </w:rPr>
        <w:t xml:space="preserve"> </w:t>
      </w:r>
      <w:r>
        <w:t>del</w:t>
      </w:r>
      <w:r>
        <w:rPr>
          <w:spacing w:val="72"/>
        </w:rPr>
        <w:t xml:space="preserve"> </w:t>
      </w:r>
      <w:r>
        <w:rPr>
          <w:spacing w:val="-2"/>
        </w:rPr>
        <w:t>artículo</w:t>
      </w:r>
    </w:p>
    <w:p w:rsidR="0092635B" w:rsidRDefault="00000000">
      <w:pPr>
        <w:pStyle w:val="Textoindependiente"/>
        <w:ind w:left="1786" w:firstLine="0"/>
      </w:pPr>
      <w:r>
        <w:t>78.Dos.3.º</w:t>
      </w:r>
      <w:r>
        <w:rPr>
          <w:spacing w:val="-6"/>
        </w:rPr>
        <w:t xml:space="preserve"> </w:t>
      </w:r>
      <w:r>
        <w:t>de</w:t>
      </w:r>
      <w:r>
        <w:rPr>
          <w:spacing w:val="-4"/>
        </w:rPr>
        <w:t xml:space="preserve"> </w:t>
      </w:r>
      <w:r>
        <w:t>esta</w:t>
      </w:r>
      <w:r>
        <w:rPr>
          <w:spacing w:val="-4"/>
        </w:rPr>
        <w:t xml:space="preserve"> </w:t>
      </w:r>
      <w:r>
        <w:rPr>
          <w:spacing w:val="-2"/>
        </w:rPr>
        <w:t>Ley.»</w:t>
      </w:r>
    </w:p>
    <w:p w:rsidR="0092635B" w:rsidRDefault="00000000">
      <w:pPr>
        <w:pStyle w:val="Textoindependiente"/>
        <w:spacing w:before="130"/>
        <w:ind w:left="1446" w:firstLine="0"/>
        <w:jc w:val="left"/>
      </w:pPr>
      <w:r>
        <w:t>Cuatro.</w:t>
      </w:r>
      <w:r>
        <w:rPr>
          <w:spacing w:val="-6"/>
        </w:rPr>
        <w:t xml:space="preserve"> </w:t>
      </w:r>
      <w:r>
        <w:t>Se</w:t>
      </w:r>
      <w:r>
        <w:rPr>
          <w:spacing w:val="-4"/>
        </w:rPr>
        <w:t xml:space="preserve"> </w:t>
      </w:r>
      <w:r>
        <w:t>suprime</w:t>
      </w:r>
      <w:r>
        <w:rPr>
          <w:spacing w:val="-4"/>
        </w:rPr>
        <w:t xml:space="preserve"> </w:t>
      </w:r>
      <w:r>
        <w:t>el</w:t>
      </w:r>
      <w:r>
        <w:rPr>
          <w:spacing w:val="-3"/>
        </w:rPr>
        <w:t xml:space="preserve"> </w:t>
      </w:r>
      <w:r>
        <w:t>número</w:t>
      </w:r>
      <w:r>
        <w:rPr>
          <w:spacing w:val="-4"/>
        </w:rPr>
        <w:t xml:space="preserve"> </w:t>
      </w:r>
      <w:r>
        <w:t>4.º</w:t>
      </w:r>
      <w:r>
        <w:rPr>
          <w:spacing w:val="-5"/>
        </w:rPr>
        <w:t xml:space="preserve"> </w:t>
      </w:r>
      <w:r>
        <w:t>del</w:t>
      </w:r>
      <w:r>
        <w:rPr>
          <w:spacing w:val="-4"/>
        </w:rPr>
        <w:t xml:space="preserve"> </w:t>
      </w:r>
      <w:r>
        <w:t>apartado</w:t>
      </w:r>
      <w:r>
        <w:rPr>
          <w:spacing w:val="-3"/>
        </w:rPr>
        <w:t xml:space="preserve"> </w:t>
      </w:r>
      <w:r>
        <w:t>Tres</w:t>
      </w:r>
      <w:r>
        <w:rPr>
          <w:spacing w:val="-4"/>
        </w:rPr>
        <w:t xml:space="preserve"> </w:t>
      </w:r>
      <w:r>
        <w:t>del</w:t>
      </w:r>
      <w:r>
        <w:rPr>
          <w:spacing w:val="-4"/>
        </w:rPr>
        <w:t xml:space="preserve"> </w:t>
      </w:r>
      <w:r>
        <w:t>artículo</w:t>
      </w:r>
      <w:r>
        <w:rPr>
          <w:spacing w:val="-3"/>
        </w:rPr>
        <w:t xml:space="preserve"> </w:t>
      </w:r>
      <w:r>
        <w:rPr>
          <w:spacing w:val="-5"/>
        </w:rPr>
        <w:t>78.</w:t>
      </w:r>
    </w:p>
    <w:p w:rsidR="0092635B" w:rsidRDefault="0092635B">
      <w:pPr>
        <w:pStyle w:val="Textoindependiente"/>
        <w:spacing w:before="7"/>
        <w:ind w:left="0" w:firstLine="0"/>
        <w:jc w:val="left"/>
      </w:pPr>
    </w:p>
    <w:p w:rsidR="0092635B" w:rsidRDefault="00000000">
      <w:pPr>
        <w:tabs>
          <w:tab w:val="left" w:pos="4143"/>
        </w:tabs>
        <w:spacing w:line="249" w:lineRule="auto"/>
        <w:ind w:left="1106" w:right="1120" w:hanging="1"/>
        <w:rPr>
          <w:rFonts w:ascii="Arial" w:hAnsi="Arial"/>
          <w:i/>
          <w:sz w:val="20"/>
        </w:rPr>
      </w:pPr>
      <w:bookmarkStart w:id="668" w:name="Disposición_final_undécima._Modificación"/>
      <w:bookmarkEnd w:id="668"/>
      <w:r>
        <w:rPr>
          <w:rFonts w:ascii="Arial" w:hAnsi="Arial"/>
          <w:b/>
          <w:sz w:val="20"/>
        </w:rPr>
        <w:t>Disposición</w:t>
      </w:r>
      <w:r>
        <w:rPr>
          <w:rFonts w:ascii="Arial" w:hAnsi="Arial"/>
          <w:b/>
          <w:spacing w:val="40"/>
          <w:sz w:val="20"/>
        </w:rPr>
        <w:t xml:space="preserve"> </w:t>
      </w:r>
      <w:r>
        <w:rPr>
          <w:rFonts w:ascii="Arial" w:hAnsi="Arial"/>
          <w:b/>
          <w:sz w:val="20"/>
        </w:rPr>
        <w:t>final</w:t>
      </w:r>
      <w:r>
        <w:rPr>
          <w:rFonts w:ascii="Arial" w:hAnsi="Arial"/>
          <w:b/>
          <w:spacing w:val="40"/>
          <w:sz w:val="20"/>
        </w:rPr>
        <w:t xml:space="preserve"> </w:t>
      </w:r>
      <w:r>
        <w:rPr>
          <w:rFonts w:ascii="Arial" w:hAnsi="Arial"/>
          <w:b/>
          <w:sz w:val="20"/>
        </w:rPr>
        <w:t>undécima.</w:t>
      </w:r>
      <w:r>
        <w:rPr>
          <w:rFonts w:ascii="Arial" w:hAnsi="Arial"/>
          <w:b/>
          <w:sz w:val="20"/>
        </w:rPr>
        <w:tab/>
      </w:r>
      <w:r>
        <w:rPr>
          <w:rFonts w:ascii="Arial" w:hAnsi="Arial"/>
          <w:i/>
          <w:sz w:val="20"/>
        </w:rPr>
        <w:t>Modificación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Disposición</w:t>
      </w:r>
      <w:r>
        <w:rPr>
          <w:rFonts w:ascii="Arial" w:hAnsi="Arial"/>
          <w:i/>
          <w:spacing w:val="40"/>
          <w:sz w:val="20"/>
        </w:rPr>
        <w:t xml:space="preserve"> </w:t>
      </w:r>
      <w:r>
        <w:rPr>
          <w:rFonts w:ascii="Arial" w:hAnsi="Arial"/>
          <w:i/>
          <w:sz w:val="20"/>
        </w:rPr>
        <w:t>adicional</w:t>
      </w:r>
      <w:r>
        <w:rPr>
          <w:rFonts w:ascii="Arial" w:hAnsi="Arial"/>
          <w:i/>
          <w:spacing w:val="40"/>
          <w:sz w:val="20"/>
        </w:rPr>
        <w:t xml:space="preserve"> </w:t>
      </w:r>
      <w:r>
        <w:rPr>
          <w:rFonts w:ascii="Arial" w:hAnsi="Arial"/>
          <w:i/>
          <w:sz w:val="20"/>
        </w:rPr>
        <w:t>primera</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 Ley 58/2003, de 17 de diciembre, General Tributaria.</w:t>
      </w:r>
    </w:p>
    <w:p w:rsidR="0092635B" w:rsidRDefault="00000000">
      <w:pPr>
        <w:pStyle w:val="Textoindependiente"/>
        <w:spacing w:before="115" w:line="249" w:lineRule="auto"/>
        <w:ind w:right="1104"/>
      </w:pPr>
      <w:r>
        <w:t>La Disposición adicional primera de la Ley 58/2003, de 17 de diciembre, General Tributaria, queda redactada en los siguientes términos:</w:t>
      </w:r>
    </w:p>
    <w:p w:rsidR="0092635B" w:rsidRDefault="00000000">
      <w:pPr>
        <w:spacing w:before="228"/>
        <w:ind w:left="1786"/>
        <w:jc w:val="both"/>
        <w:rPr>
          <w:rFonts w:ascii="Arial" w:hAnsi="Arial"/>
          <w:i/>
          <w:sz w:val="20"/>
        </w:rPr>
      </w:pPr>
      <w:r>
        <w:rPr>
          <w:rFonts w:ascii="Arial" w:hAnsi="Arial"/>
          <w:b/>
          <w:sz w:val="20"/>
        </w:rPr>
        <w:t>«Disposición</w:t>
      </w:r>
      <w:r>
        <w:rPr>
          <w:rFonts w:ascii="Arial" w:hAnsi="Arial"/>
          <w:b/>
          <w:spacing w:val="-1"/>
          <w:sz w:val="20"/>
        </w:rPr>
        <w:t xml:space="preserve"> </w:t>
      </w:r>
      <w:r>
        <w:rPr>
          <w:rFonts w:ascii="Arial" w:hAnsi="Arial"/>
          <w:b/>
          <w:sz w:val="20"/>
        </w:rPr>
        <w:t>adicional primera.</w:t>
      </w:r>
      <w:r>
        <w:rPr>
          <w:rFonts w:ascii="Arial" w:hAnsi="Arial"/>
          <w:b/>
          <w:spacing w:val="54"/>
          <w:sz w:val="20"/>
        </w:rPr>
        <w:t xml:space="preserve"> </w:t>
      </w:r>
      <w:r>
        <w:rPr>
          <w:rFonts w:ascii="Arial" w:hAnsi="Arial"/>
          <w:i/>
          <w:sz w:val="20"/>
        </w:rPr>
        <w:t xml:space="preserve">Prestaciones patrimoniales de carácter </w:t>
      </w:r>
      <w:r>
        <w:rPr>
          <w:rFonts w:ascii="Arial" w:hAnsi="Arial"/>
          <w:i/>
          <w:spacing w:val="-2"/>
          <w:sz w:val="20"/>
        </w:rPr>
        <w:t>público.</w:t>
      </w:r>
    </w:p>
    <w:p w:rsidR="0092635B" w:rsidRDefault="00000000">
      <w:pPr>
        <w:pStyle w:val="Prrafodelista"/>
        <w:numPr>
          <w:ilvl w:val="0"/>
          <w:numId w:val="33"/>
        </w:numPr>
        <w:tabs>
          <w:tab w:val="left" w:pos="2398"/>
        </w:tabs>
        <w:spacing w:before="124" w:line="249" w:lineRule="auto"/>
        <w:ind w:right="1104" w:firstLine="340"/>
        <w:jc w:val="both"/>
        <w:rPr>
          <w:sz w:val="20"/>
        </w:rPr>
      </w:pPr>
      <w:r>
        <w:rPr>
          <w:sz w:val="20"/>
        </w:rPr>
        <w:t>Son prestaciones patrimoniales de carácter público aquellas a las que se refiere el artículo 31.3 de la Constitución que se exigen con carácter coactivo.</w:t>
      </w:r>
    </w:p>
    <w:p w:rsidR="0092635B" w:rsidRDefault="00000000">
      <w:pPr>
        <w:pStyle w:val="Prrafodelista"/>
        <w:numPr>
          <w:ilvl w:val="0"/>
          <w:numId w:val="33"/>
        </w:numPr>
        <w:tabs>
          <w:tab w:val="left" w:pos="2398"/>
        </w:tabs>
        <w:spacing w:before="1" w:line="249" w:lineRule="auto"/>
        <w:ind w:right="1104" w:firstLine="340"/>
        <w:jc w:val="both"/>
        <w:rPr>
          <w:sz w:val="20"/>
        </w:rPr>
      </w:pPr>
      <w:r>
        <w:rPr>
          <w:sz w:val="20"/>
        </w:rPr>
        <w:t>Las prestaciones patrimoniales de carácter público citadas en el apartado anterior podrán tener carácter tributario o no tributario.</w:t>
      </w:r>
    </w:p>
    <w:p w:rsidR="0092635B" w:rsidRDefault="00000000">
      <w:pPr>
        <w:pStyle w:val="Textoindependiente"/>
        <w:spacing w:line="249" w:lineRule="auto"/>
        <w:ind w:left="1786" w:right="1104"/>
      </w:pPr>
      <w:r>
        <w:t>Tendrán la consideración de tributarias las prestaciones mencionadas en el apartado 1 que tengan la consideración de tasas, contribuciones especiales e impuestos a las que se refiere el artículo 2 de esta Ley.</w:t>
      </w:r>
    </w:p>
    <w:p w:rsidR="0092635B" w:rsidRDefault="00000000">
      <w:pPr>
        <w:pStyle w:val="Textoindependiente"/>
        <w:spacing w:line="249" w:lineRule="auto"/>
        <w:ind w:left="1786" w:right="1104"/>
      </w:pPr>
      <w:r>
        <w:t>Serán prestaciones patrimoniales de carácter público no tributario las demás prestaciones que exigidas coactivamente respondan a fines de interés general.</w:t>
      </w:r>
    </w:p>
    <w:p w:rsidR="0092635B" w:rsidRDefault="00000000">
      <w:pPr>
        <w:pStyle w:val="Textoindependiente"/>
        <w:spacing w:line="249" w:lineRule="auto"/>
        <w:ind w:left="1786" w:right="1104"/>
      </w:pPr>
      <w:r>
        <w:t>En particular, se considerarán prestaciones patrimoniales de carácter público no tributarias aquellas que teniendo tal consideración se exijan por prestación de un servicio gestionado de forma directa mediante personificación privada o mediante gestión indirecta.</w:t>
      </w:r>
    </w:p>
    <w:p w:rsidR="0092635B" w:rsidRDefault="00000000">
      <w:pPr>
        <w:pStyle w:val="Textoindependiente"/>
        <w:spacing w:before="3" w:line="249" w:lineRule="auto"/>
        <w:ind w:left="1786" w:right="1103"/>
      </w:pPr>
      <w:r>
        <w:t>En concreto, tendrán tal consideración aquellas exigidas por la explotación de obras o la prestación de servicios, en régimen de concesión o sociedades de economía mixta, entidades públicas empresariales, sociedades de capital íntegramente público y demás fórmulas de Derecho privado.»</w:t>
      </w:r>
    </w:p>
    <w:p w:rsidR="0092635B" w:rsidRDefault="0092635B">
      <w:pPr>
        <w:pStyle w:val="Textoindependiente"/>
        <w:spacing w:before="0"/>
        <w:ind w:left="0" w:firstLine="0"/>
        <w:jc w:val="left"/>
      </w:pPr>
    </w:p>
    <w:p w:rsidR="0092635B" w:rsidRDefault="00000000">
      <w:pPr>
        <w:spacing w:line="249" w:lineRule="auto"/>
        <w:ind w:left="1106" w:right="1120" w:hanging="1"/>
        <w:rPr>
          <w:rFonts w:ascii="Arial" w:hAnsi="Arial"/>
          <w:i/>
          <w:sz w:val="20"/>
        </w:rPr>
      </w:pPr>
      <w:bookmarkStart w:id="669" w:name="Disposición_final_duodécima._Modificació"/>
      <w:bookmarkEnd w:id="669"/>
      <w:r>
        <w:rPr>
          <w:rFonts w:ascii="Arial" w:hAnsi="Arial"/>
          <w:b/>
          <w:sz w:val="20"/>
        </w:rPr>
        <w:t>Disposición final duodécima.</w:t>
      </w:r>
      <w:r>
        <w:rPr>
          <w:rFonts w:ascii="Arial" w:hAnsi="Arial"/>
          <w:b/>
          <w:spacing w:val="40"/>
          <w:sz w:val="20"/>
        </w:rPr>
        <w:t xml:space="preserve"> </w:t>
      </w:r>
      <w:r>
        <w:rPr>
          <w:rFonts w:ascii="Arial" w:hAnsi="Arial"/>
          <w:i/>
          <w:sz w:val="20"/>
        </w:rPr>
        <w:t>Modificación del texto refundido de la Ley Reguladora de las Haciendas Locales, aprobado mediante Real Decreto Legislativo 2/2004, de 5 de marzo.</w:t>
      </w:r>
    </w:p>
    <w:p w:rsidR="0092635B" w:rsidRDefault="00000000">
      <w:pPr>
        <w:pStyle w:val="Textoindependiente"/>
        <w:spacing w:before="115" w:line="249" w:lineRule="auto"/>
        <w:ind w:right="1104"/>
      </w:pPr>
      <w:r>
        <w:t>Se modifica el texto refundido de la Ley Reguladora de las Haciendas Locales, aprobado mediante</w:t>
      </w:r>
      <w:r>
        <w:rPr>
          <w:spacing w:val="-1"/>
        </w:rPr>
        <w:t xml:space="preserve"> </w:t>
      </w:r>
      <w:r>
        <w:t>Real</w:t>
      </w:r>
      <w:r>
        <w:rPr>
          <w:spacing w:val="-1"/>
        </w:rPr>
        <w:t xml:space="preserve"> </w:t>
      </w:r>
      <w:r>
        <w:t>Decreto</w:t>
      </w:r>
      <w:r>
        <w:rPr>
          <w:spacing w:val="-1"/>
        </w:rPr>
        <w:t xml:space="preserve"> </w:t>
      </w:r>
      <w:r>
        <w:t>Legislativo</w:t>
      </w:r>
      <w:r>
        <w:rPr>
          <w:spacing w:val="-1"/>
        </w:rPr>
        <w:t xml:space="preserve"> </w:t>
      </w:r>
      <w:r>
        <w:t>2/2004,</w:t>
      </w:r>
      <w:r>
        <w:rPr>
          <w:spacing w:val="-1"/>
        </w:rPr>
        <w:t xml:space="preserve"> </w:t>
      </w:r>
      <w:r>
        <w:t>de</w:t>
      </w:r>
      <w:r>
        <w:rPr>
          <w:spacing w:val="-1"/>
        </w:rPr>
        <w:t xml:space="preserve"> </w:t>
      </w:r>
      <w:r>
        <w:t>5</w:t>
      </w:r>
      <w:r>
        <w:rPr>
          <w:spacing w:val="-1"/>
        </w:rPr>
        <w:t xml:space="preserve"> </w:t>
      </w:r>
      <w:r>
        <w:t>de</w:t>
      </w:r>
      <w:r>
        <w:rPr>
          <w:spacing w:val="-1"/>
        </w:rPr>
        <w:t xml:space="preserve"> </w:t>
      </w:r>
      <w:r>
        <w:t>marzo,</w:t>
      </w:r>
      <w:r>
        <w:rPr>
          <w:spacing w:val="-1"/>
        </w:rPr>
        <w:t xml:space="preserve"> </w:t>
      </w:r>
      <w:r>
        <w:t>añadiéndose</w:t>
      </w:r>
      <w:r>
        <w:rPr>
          <w:spacing w:val="-1"/>
        </w:rPr>
        <w:t xml:space="preserve"> </w:t>
      </w:r>
      <w:r>
        <w:t>un</w:t>
      </w:r>
      <w:r>
        <w:rPr>
          <w:spacing w:val="-1"/>
        </w:rPr>
        <w:t xml:space="preserve"> </w:t>
      </w:r>
      <w:r>
        <w:t>nuevo</w:t>
      </w:r>
      <w:r>
        <w:rPr>
          <w:spacing w:val="-1"/>
        </w:rPr>
        <w:t xml:space="preserve"> </w:t>
      </w:r>
      <w:r>
        <w:t>apartado</w:t>
      </w:r>
      <w:r>
        <w:rPr>
          <w:spacing w:val="-1"/>
        </w:rPr>
        <w:t xml:space="preserve"> </w:t>
      </w:r>
      <w:r>
        <w:t>6 al artículo 20, en los siguientes términos:</w:t>
      </w:r>
    </w:p>
    <w:p w:rsidR="0092635B" w:rsidRDefault="00000000">
      <w:pPr>
        <w:pStyle w:val="Textoindependiente"/>
        <w:spacing w:before="173" w:line="249" w:lineRule="auto"/>
        <w:ind w:left="1786" w:right="1104"/>
      </w:pPr>
      <w:r>
        <w:t>«6. Las contraprestaciones económicas establecidas coactivamente que se perciban por la prestación de los servicios públicos a que se refiere el apartado 4 de este artículo, realizada de forma directa mediante personificación privada o mediante gestión indirecta, tendrán la condición de prestaciones patrimoniales de carácter público no tributario conforme a lo previsto en el artículo 31.3 de la Constitución.</w:t>
      </w:r>
    </w:p>
    <w:p w:rsidR="0092635B" w:rsidRDefault="00000000">
      <w:pPr>
        <w:pStyle w:val="Textoindependiente"/>
        <w:spacing w:before="4" w:line="249" w:lineRule="auto"/>
        <w:ind w:left="1786" w:right="1103"/>
      </w:pPr>
      <w:r>
        <w:t>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w:t>
      </w:r>
    </w:p>
    <w:p w:rsidR="0092635B" w:rsidRDefault="00000000">
      <w:pPr>
        <w:pStyle w:val="Textoindependiente"/>
        <w:spacing w:before="3" w:line="249" w:lineRule="auto"/>
        <w:ind w:left="1786" w:right="1104"/>
      </w:pPr>
      <w:r>
        <w:t>Sin perjuicio de lo establecido en el artículo 103 de la Ley de Contratos del</w:t>
      </w:r>
      <w:r>
        <w:rPr>
          <w:spacing w:val="80"/>
        </w:rPr>
        <w:t xml:space="preserve"> </w:t>
      </w:r>
      <w:r>
        <w:t>Sector Público, las contraprestaciones económicas a que se refiere este apartado se regularán mediante ordenanza. Durante el procedimiento de aprobación de dicha ordenanza</w:t>
      </w:r>
      <w:r>
        <w:rPr>
          <w:spacing w:val="80"/>
          <w:w w:val="150"/>
        </w:rPr>
        <w:t xml:space="preserve"> </w:t>
      </w:r>
      <w:r>
        <w:t>las</w:t>
      </w:r>
      <w:r>
        <w:rPr>
          <w:spacing w:val="80"/>
          <w:w w:val="150"/>
        </w:rPr>
        <w:t xml:space="preserve"> </w:t>
      </w:r>
      <w:r>
        <w:t>entidades</w:t>
      </w:r>
      <w:r>
        <w:rPr>
          <w:spacing w:val="80"/>
          <w:w w:val="150"/>
        </w:rPr>
        <w:t xml:space="preserve"> </w:t>
      </w:r>
      <w:r>
        <w:t>locales</w:t>
      </w:r>
      <w:r>
        <w:rPr>
          <w:spacing w:val="80"/>
          <w:w w:val="150"/>
        </w:rPr>
        <w:t xml:space="preserve"> </w:t>
      </w:r>
      <w:r>
        <w:t>solicitarán</w:t>
      </w:r>
      <w:r>
        <w:rPr>
          <w:spacing w:val="80"/>
          <w:w w:val="150"/>
        </w:rPr>
        <w:t xml:space="preserve"> </w:t>
      </w:r>
      <w:r>
        <w:t>informe</w:t>
      </w:r>
      <w:r>
        <w:rPr>
          <w:spacing w:val="80"/>
          <w:w w:val="150"/>
        </w:rPr>
        <w:t xml:space="preserve"> </w:t>
      </w:r>
      <w:r>
        <w:t>preceptivo</w:t>
      </w:r>
      <w:r>
        <w:rPr>
          <w:spacing w:val="80"/>
          <w:w w:val="150"/>
        </w:rPr>
        <w:t xml:space="preserve"> </w:t>
      </w:r>
      <w:r>
        <w:t>de</w:t>
      </w:r>
      <w:r>
        <w:rPr>
          <w:spacing w:val="80"/>
          <w:w w:val="150"/>
        </w:rPr>
        <w:t xml:space="preserve"> </w:t>
      </w:r>
      <w:r>
        <w:t>aquellas</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left="1786" w:right="1120" w:hanging="1"/>
        <w:jc w:val="left"/>
      </w:pPr>
      <w:r>
        <w:t>Administraciones Públicas a las que el ordenamiento jurídico les atribuyera alguna</w:t>
      </w:r>
      <w:r>
        <w:rPr>
          <w:spacing w:val="40"/>
        </w:rPr>
        <w:t xml:space="preserve"> </w:t>
      </w:r>
      <w:r>
        <w:t>facultad de intervención sobre las mismas.»</w:t>
      </w:r>
    </w:p>
    <w:p w:rsidR="0092635B" w:rsidRDefault="00000000">
      <w:pPr>
        <w:spacing w:before="228" w:line="249" w:lineRule="auto"/>
        <w:ind w:left="1106" w:right="1120" w:hanging="1"/>
        <w:rPr>
          <w:rFonts w:ascii="Arial" w:hAnsi="Arial"/>
          <w:i/>
          <w:sz w:val="20"/>
        </w:rPr>
      </w:pPr>
      <w:bookmarkStart w:id="670" w:name="Disposición_final_decimotercera._Modific"/>
      <w:bookmarkEnd w:id="670"/>
      <w:r>
        <w:rPr>
          <w:rFonts w:ascii="Arial" w:hAnsi="Arial"/>
          <w:b/>
          <w:sz w:val="20"/>
        </w:rPr>
        <w:t>Disposición</w:t>
      </w:r>
      <w:r>
        <w:rPr>
          <w:rFonts w:ascii="Arial" w:hAnsi="Arial"/>
          <w:b/>
          <w:spacing w:val="30"/>
          <w:sz w:val="20"/>
        </w:rPr>
        <w:t xml:space="preserve"> </w:t>
      </w:r>
      <w:r>
        <w:rPr>
          <w:rFonts w:ascii="Arial" w:hAnsi="Arial"/>
          <w:b/>
          <w:sz w:val="20"/>
        </w:rPr>
        <w:t>final</w:t>
      </w:r>
      <w:r>
        <w:rPr>
          <w:rFonts w:ascii="Arial" w:hAnsi="Arial"/>
          <w:b/>
          <w:spacing w:val="30"/>
          <w:sz w:val="20"/>
        </w:rPr>
        <w:t xml:space="preserve"> </w:t>
      </w:r>
      <w:r>
        <w:rPr>
          <w:rFonts w:ascii="Arial" w:hAnsi="Arial"/>
          <w:b/>
          <w:sz w:val="20"/>
        </w:rPr>
        <w:t>decimotercera.</w:t>
      </w:r>
      <w:r>
        <w:rPr>
          <w:rFonts w:ascii="Arial" w:hAnsi="Arial"/>
          <w:b/>
          <w:spacing w:val="80"/>
          <w:sz w:val="20"/>
        </w:rPr>
        <w:t xml:space="preserve"> </w:t>
      </w:r>
      <w:r>
        <w:rPr>
          <w:rFonts w:ascii="Arial" w:hAnsi="Arial"/>
          <w:i/>
          <w:sz w:val="20"/>
        </w:rPr>
        <w:t>Modificación</w:t>
      </w:r>
      <w:r>
        <w:rPr>
          <w:rFonts w:ascii="Arial" w:hAnsi="Arial"/>
          <w:i/>
          <w:spacing w:val="30"/>
          <w:sz w:val="20"/>
        </w:rPr>
        <w:t xml:space="preserve"> </w:t>
      </w:r>
      <w:r>
        <w:rPr>
          <w:rFonts w:ascii="Arial" w:hAnsi="Arial"/>
          <w:i/>
          <w:sz w:val="20"/>
        </w:rPr>
        <w:t>de</w:t>
      </w:r>
      <w:r>
        <w:rPr>
          <w:rFonts w:ascii="Arial" w:hAnsi="Arial"/>
          <w:i/>
          <w:spacing w:val="30"/>
          <w:sz w:val="20"/>
        </w:rPr>
        <w:t xml:space="preserve"> </w:t>
      </w:r>
      <w:r>
        <w:rPr>
          <w:rFonts w:ascii="Arial" w:hAnsi="Arial"/>
          <w:i/>
          <w:sz w:val="20"/>
        </w:rPr>
        <w:t>la</w:t>
      </w:r>
      <w:r>
        <w:rPr>
          <w:rFonts w:ascii="Arial" w:hAnsi="Arial"/>
          <w:i/>
          <w:spacing w:val="30"/>
          <w:sz w:val="20"/>
        </w:rPr>
        <w:t xml:space="preserve"> </w:t>
      </w:r>
      <w:r>
        <w:rPr>
          <w:rFonts w:ascii="Arial" w:hAnsi="Arial"/>
          <w:i/>
          <w:sz w:val="20"/>
        </w:rPr>
        <w:t>Ley</w:t>
      </w:r>
      <w:r>
        <w:rPr>
          <w:rFonts w:ascii="Arial" w:hAnsi="Arial"/>
          <w:i/>
          <w:spacing w:val="30"/>
          <w:sz w:val="20"/>
        </w:rPr>
        <w:t xml:space="preserve"> </w:t>
      </w:r>
      <w:r>
        <w:rPr>
          <w:rFonts w:ascii="Arial" w:hAnsi="Arial"/>
          <w:i/>
          <w:sz w:val="20"/>
        </w:rPr>
        <w:t>37/2007,</w:t>
      </w:r>
      <w:r>
        <w:rPr>
          <w:rFonts w:ascii="Arial" w:hAnsi="Arial"/>
          <w:i/>
          <w:spacing w:val="30"/>
          <w:sz w:val="20"/>
        </w:rPr>
        <w:t xml:space="preserve"> </w:t>
      </w:r>
      <w:r>
        <w:rPr>
          <w:rFonts w:ascii="Arial" w:hAnsi="Arial"/>
          <w:i/>
          <w:sz w:val="20"/>
        </w:rPr>
        <w:t>de</w:t>
      </w:r>
      <w:r>
        <w:rPr>
          <w:rFonts w:ascii="Arial" w:hAnsi="Arial"/>
          <w:i/>
          <w:spacing w:val="30"/>
          <w:sz w:val="20"/>
        </w:rPr>
        <w:t xml:space="preserve"> </w:t>
      </w:r>
      <w:r>
        <w:rPr>
          <w:rFonts w:ascii="Arial" w:hAnsi="Arial"/>
          <w:i/>
          <w:sz w:val="20"/>
        </w:rPr>
        <w:t>16</w:t>
      </w:r>
      <w:r>
        <w:rPr>
          <w:rFonts w:ascii="Arial" w:hAnsi="Arial"/>
          <w:i/>
          <w:spacing w:val="30"/>
          <w:sz w:val="20"/>
        </w:rPr>
        <w:t xml:space="preserve"> </w:t>
      </w:r>
      <w:r>
        <w:rPr>
          <w:rFonts w:ascii="Arial" w:hAnsi="Arial"/>
          <w:i/>
          <w:sz w:val="20"/>
        </w:rPr>
        <w:t>de</w:t>
      </w:r>
      <w:r>
        <w:rPr>
          <w:rFonts w:ascii="Arial" w:hAnsi="Arial"/>
          <w:i/>
          <w:spacing w:val="30"/>
          <w:sz w:val="20"/>
        </w:rPr>
        <w:t xml:space="preserve"> </w:t>
      </w:r>
      <w:r>
        <w:rPr>
          <w:rFonts w:ascii="Arial" w:hAnsi="Arial"/>
          <w:i/>
          <w:sz w:val="20"/>
        </w:rPr>
        <w:t>noviembre, sobre reutilización de la información del sector público.</w:t>
      </w:r>
    </w:p>
    <w:p w:rsidR="0092635B" w:rsidRDefault="00000000">
      <w:pPr>
        <w:pStyle w:val="Textoindependiente"/>
        <w:spacing w:before="115" w:line="249" w:lineRule="auto"/>
        <w:ind w:right="1105"/>
        <w:jc w:val="left"/>
      </w:pPr>
      <w:r>
        <w:t>Se</w:t>
      </w:r>
      <w:r>
        <w:rPr>
          <w:spacing w:val="-1"/>
        </w:rPr>
        <w:t xml:space="preserve"> </w:t>
      </w:r>
      <w:r>
        <w:t>modifica</w:t>
      </w:r>
      <w:r>
        <w:rPr>
          <w:spacing w:val="-1"/>
        </w:rPr>
        <w:t xml:space="preserve"> </w:t>
      </w:r>
      <w:r>
        <w:t>la</w:t>
      </w:r>
      <w:r>
        <w:rPr>
          <w:spacing w:val="-1"/>
        </w:rPr>
        <w:t xml:space="preserve"> </w:t>
      </w:r>
      <w:r>
        <w:t>Ley</w:t>
      </w:r>
      <w:r>
        <w:rPr>
          <w:spacing w:val="-1"/>
        </w:rPr>
        <w:t xml:space="preserve"> </w:t>
      </w:r>
      <w:r>
        <w:t>37/2007,</w:t>
      </w:r>
      <w:r>
        <w:rPr>
          <w:spacing w:val="-1"/>
        </w:rPr>
        <w:t xml:space="preserve"> </w:t>
      </w:r>
      <w:r>
        <w:t>de</w:t>
      </w:r>
      <w:r>
        <w:rPr>
          <w:spacing w:val="-1"/>
        </w:rPr>
        <w:t xml:space="preserve"> </w:t>
      </w:r>
      <w:r>
        <w:t>16</w:t>
      </w:r>
      <w:r>
        <w:rPr>
          <w:spacing w:val="-1"/>
        </w:rPr>
        <w:t xml:space="preserve"> </w:t>
      </w:r>
      <w:r>
        <w:t>de</w:t>
      </w:r>
      <w:r>
        <w:rPr>
          <w:spacing w:val="-1"/>
        </w:rPr>
        <w:t xml:space="preserve"> </w:t>
      </w:r>
      <w:r>
        <w:t>noviembre,</w:t>
      </w:r>
      <w:r>
        <w:rPr>
          <w:spacing w:val="-1"/>
        </w:rPr>
        <w:t xml:space="preserve"> </w:t>
      </w:r>
      <w:r>
        <w:t>sobre</w:t>
      </w:r>
      <w:r>
        <w:rPr>
          <w:spacing w:val="-1"/>
        </w:rPr>
        <w:t xml:space="preserve"> </w:t>
      </w:r>
      <w:r>
        <w:t>reutilización</w:t>
      </w:r>
      <w:r>
        <w:rPr>
          <w:spacing w:val="-1"/>
        </w:rPr>
        <w:t xml:space="preserve"> </w:t>
      </w:r>
      <w:r>
        <w:t>de</w:t>
      </w:r>
      <w:r>
        <w:rPr>
          <w:spacing w:val="-1"/>
        </w:rPr>
        <w:t xml:space="preserve"> </w:t>
      </w:r>
      <w:r>
        <w:t>la</w:t>
      </w:r>
      <w:r>
        <w:rPr>
          <w:spacing w:val="-1"/>
        </w:rPr>
        <w:t xml:space="preserve"> </w:t>
      </w:r>
      <w:r>
        <w:t>información</w:t>
      </w:r>
      <w:r>
        <w:rPr>
          <w:spacing w:val="-1"/>
        </w:rPr>
        <w:t xml:space="preserve"> </w:t>
      </w:r>
      <w:r>
        <w:t>del sector público en los siguientes términos:</w:t>
      </w:r>
    </w:p>
    <w:p w:rsidR="0092635B" w:rsidRDefault="00000000">
      <w:pPr>
        <w:pStyle w:val="Textoindependiente"/>
        <w:spacing w:before="122"/>
        <w:ind w:left="1446" w:firstLine="0"/>
        <w:jc w:val="left"/>
      </w:pPr>
      <w:r>
        <w:t>Uno.</w:t>
      </w:r>
      <w:r>
        <w:rPr>
          <w:spacing w:val="-4"/>
        </w:rPr>
        <w:t xml:space="preserve"> </w:t>
      </w:r>
      <w:r>
        <w:t>El</w:t>
      </w:r>
      <w:r>
        <w:rPr>
          <w:spacing w:val="-3"/>
        </w:rPr>
        <w:t xml:space="preserve"> </w:t>
      </w:r>
      <w:r>
        <w:t>artículo</w:t>
      </w:r>
      <w:r>
        <w:rPr>
          <w:spacing w:val="-3"/>
        </w:rPr>
        <w:t xml:space="preserve"> </w:t>
      </w:r>
      <w:r>
        <w:t>2</w:t>
      </w:r>
      <w:r>
        <w:rPr>
          <w:spacing w:val="-4"/>
        </w:rPr>
        <w:t xml:space="preserve"> </w:t>
      </w:r>
      <w:r>
        <w:t>queda</w:t>
      </w:r>
      <w:r>
        <w:rPr>
          <w:spacing w:val="-3"/>
        </w:rPr>
        <w:t xml:space="preserve"> </w:t>
      </w:r>
      <w:r>
        <w:t>redactado</w:t>
      </w:r>
      <w:r>
        <w:rPr>
          <w:spacing w:val="-3"/>
        </w:rPr>
        <w:t xml:space="preserve"> </w:t>
      </w:r>
      <w:r>
        <w:t>como</w:t>
      </w:r>
      <w:r>
        <w:rPr>
          <w:spacing w:val="-3"/>
        </w:rPr>
        <w:t xml:space="preserve"> </w:t>
      </w:r>
      <w:r>
        <w:rPr>
          <w:spacing w:val="-2"/>
        </w:rPr>
        <w:t>sigue:</w:t>
      </w:r>
    </w:p>
    <w:p w:rsidR="0092635B" w:rsidRDefault="0092635B">
      <w:pPr>
        <w:pStyle w:val="Textoindependiente"/>
        <w:spacing w:before="6"/>
        <w:ind w:left="0" w:firstLine="0"/>
        <w:jc w:val="left"/>
      </w:pPr>
    </w:p>
    <w:p w:rsidR="0092635B" w:rsidRDefault="00000000">
      <w:pPr>
        <w:spacing w:before="1"/>
        <w:ind w:left="1786"/>
        <w:rPr>
          <w:rFonts w:ascii="Arial" w:hAnsi="Arial"/>
          <w:i/>
          <w:sz w:val="20"/>
        </w:rPr>
      </w:pPr>
      <w:r>
        <w:rPr>
          <w:rFonts w:ascii="Arial" w:hAnsi="Arial"/>
          <w:b/>
          <w:sz w:val="20"/>
        </w:rPr>
        <w:t>«Artículo</w:t>
      </w:r>
      <w:r>
        <w:rPr>
          <w:rFonts w:ascii="Arial" w:hAnsi="Arial"/>
          <w:b/>
          <w:spacing w:val="-3"/>
          <w:sz w:val="20"/>
        </w:rPr>
        <w:t xml:space="preserve"> </w:t>
      </w:r>
      <w:r>
        <w:rPr>
          <w:rFonts w:ascii="Arial" w:hAnsi="Arial"/>
          <w:b/>
          <w:sz w:val="20"/>
        </w:rPr>
        <w:t>2.</w:t>
      </w:r>
      <w:r>
        <w:rPr>
          <w:rFonts w:ascii="Arial" w:hAnsi="Arial"/>
          <w:b/>
          <w:spacing w:val="50"/>
          <w:sz w:val="20"/>
        </w:rPr>
        <w:t xml:space="preserve"> </w:t>
      </w:r>
      <w:r>
        <w:rPr>
          <w:rFonts w:ascii="Arial" w:hAnsi="Arial"/>
          <w:i/>
          <w:sz w:val="20"/>
        </w:rPr>
        <w:t>Ãmbito</w:t>
      </w:r>
      <w:r>
        <w:rPr>
          <w:rFonts w:ascii="Arial" w:hAnsi="Arial"/>
          <w:i/>
          <w:spacing w:val="-3"/>
          <w:sz w:val="20"/>
        </w:rPr>
        <w:t xml:space="preserve"> </w:t>
      </w:r>
      <w:r>
        <w:rPr>
          <w:rFonts w:ascii="Arial" w:hAnsi="Arial"/>
          <w:i/>
          <w:sz w:val="20"/>
        </w:rPr>
        <w:t>subjetivo</w:t>
      </w:r>
      <w:r>
        <w:rPr>
          <w:rFonts w:ascii="Arial" w:hAnsi="Arial"/>
          <w:i/>
          <w:spacing w:val="-2"/>
          <w:sz w:val="20"/>
        </w:rPr>
        <w:t xml:space="preserve"> </w:t>
      </w:r>
      <w:r>
        <w:rPr>
          <w:rFonts w:ascii="Arial" w:hAnsi="Arial"/>
          <w:i/>
          <w:sz w:val="20"/>
        </w:rPr>
        <w:t>de</w:t>
      </w:r>
      <w:r>
        <w:rPr>
          <w:rFonts w:ascii="Arial" w:hAnsi="Arial"/>
          <w:i/>
          <w:spacing w:val="-2"/>
          <w:sz w:val="20"/>
        </w:rPr>
        <w:t xml:space="preserve"> aplicación.</w:t>
      </w:r>
    </w:p>
    <w:p w:rsidR="0092635B" w:rsidRDefault="00000000">
      <w:pPr>
        <w:pStyle w:val="Prrafodelista"/>
        <w:numPr>
          <w:ilvl w:val="0"/>
          <w:numId w:val="32"/>
        </w:numPr>
        <w:tabs>
          <w:tab w:val="left" w:pos="2348"/>
        </w:tabs>
        <w:spacing w:before="123"/>
        <w:ind w:left="2348" w:right="0" w:hanging="222"/>
        <w:rPr>
          <w:sz w:val="20"/>
        </w:rPr>
      </w:pPr>
      <w:r>
        <w:rPr>
          <w:sz w:val="20"/>
        </w:rPr>
        <w:t>La</w:t>
      </w:r>
      <w:r>
        <w:rPr>
          <w:spacing w:val="-3"/>
          <w:sz w:val="20"/>
        </w:rPr>
        <w:t xml:space="preserve"> </w:t>
      </w:r>
      <w:r>
        <w:rPr>
          <w:sz w:val="20"/>
        </w:rPr>
        <w:t>presente</w:t>
      </w:r>
      <w:r>
        <w:rPr>
          <w:spacing w:val="-3"/>
          <w:sz w:val="20"/>
        </w:rPr>
        <w:t xml:space="preserve"> </w:t>
      </w:r>
      <w:r>
        <w:rPr>
          <w:sz w:val="20"/>
        </w:rPr>
        <w:t>Ley</w:t>
      </w:r>
      <w:r>
        <w:rPr>
          <w:spacing w:val="-2"/>
          <w:sz w:val="20"/>
        </w:rPr>
        <w:t xml:space="preserve"> </w:t>
      </w:r>
      <w:r>
        <w:rPr>
          <w:sz w:val="20"/>
        </w:rPr>
        <w:t>se</w:t>
      </w:r>
      <w:r>
        <w:rPr>
          <w:spacing w:val="-3"/>
          <w:sz w:val="20"/>
        </w:rPr>
        <w:t xml:space="preserve"> </w:t>
      </w:r>
      <w:r>
        <w:rPr>
          <w:sz w:val="20"/>
        </w:rPr>
        <w:t>aplica</w:t>
      </w:r>
      <w:r>
        <w:rPr>
          <w:spacing w:val="-2"/>
          <w:sz w:val="20"/>
        </w:rPr>
        <w:t xml:space="preserve"> </w:t>
      </w:r>
      <w:r>
        <w:rPr>
          <w:sz w:val="20"/>
        </w:rPr>
        <w:t>al</w:t>
      </w:r>
      <w:r>
        <w:rPr>
          <w:spacing w:val="-3"/>
          <w:sz w:val="20"/>
        </w:rPr>
        <w:t xml:space="preserve"> </w:t>
      </w:r>
      <w:r>
        <w:rPr>
          <w:sz w:val="20"/>
        </w:rPr>
        <w:t>sector</w:t>
      </w:r>
      <w:r>
        <w:rPr>
          <w:spacing w:val="-2"/>
          <w:sz w:val="20"/>
        </w:rPr>
        <w:t xml:space="preserve"> </w:t>
      </w:r>
      <w:r>
        <w:rPr>
          <w:sz w:val="20"/>
        </w:rPr>
        <w:t>público</w:t>
      </w:r>
      <w:r>
        <w:rPr>
          <w:spacing w:val="-3"/>
          <w:sz w:val="20"/>
        </w:rPr>
        <w:t xml:space="preserve"> </w:t>
      </w:r>
      <w:r>
        <w:rPr>
          <w:sz w:val="20"/>
        </w:rPr>
        <w:t>que</w:t>
      </w:r>
      <w:r>
        <w:rPr>
          <w:spacing w:val="-2"/>
          <w:sz w:val="20"/>
        </w:rPr>
        <w:t xml:space="preserve"> comprende:</w:t>
      </w:r>
    </w:p>
    <w:p w:rsidR="0092635B" w:rsidRDefault="00000000">
      <w:pPr>
        <w:pStyle w:val="Prrafodelista"/>
        <w:numPr>
          <w:ilvl w:val="1"/>
          <w:numId w:val="32"/>
        </w:numPr>
        <w:tabs>
          <w:tab w:val="left" w:pos="2359"/>
        </w:tabs>
        <w:spacing w:before="180"/>
        <w:ind w:left="2359" w:right="0" w:hanging="233"/>
        <w:rPr>
          <w:sz w:val="20"/>
        </w:rPr>
      </w:pPr>
      <w:r>
        <w:rPr>
          <w:sz w:val="20"/>
        </w:rPr>
        <w:t>La</w:t>
      </w:r>
      <w:r>
        <w:rPr>
          <w:spacing w:val="-6"/>
          <w:sz w:val="20"/>
        </w:rPr>
        <w:t xml:space="preserve"> </w:t>
      </w:r>
      <w:r>
        <w:rPr>
          <w:sz w:val="20"/>
        </w:rPr>
        <w:t>Administración</w:t>
      </w:r>
      <w:r>
        <w:rPr>
          <w:spacing w:val="-5"/>
          <w:sz w:val="20"/>
        </w:rPr>
        <w:t xml:space="preserve"> </w:t>
      </w:r>
      <w:r>
        <w:rPr>
          <w:sz w:val="20"/>
        </w:rPr>
        <w:t>General</w:t>
      </w:r>
      <w:r>
        <w:rPr>
          <w:spacing w:val="-6"/>
          <w:sz w:val="20"/>
        </w:rPr>
        <w:t xml:space="preserve"> </w:t>
      </w:r>
      <w:r>
        <w:rPr>
          <w:sz w:val="20"/>
        </w:rPr>
        <w:t>del</w:t>
      </w:r>
      <w:r>
        <w:rPr>
          <w:spacing w:val="-5"/>
          <w:sz w:val="20"/>
        </w:rPr>
        <w:t xml:space="preserve"> </w:t>
      </w:r>
      <w:r>
        <w:rPr>
          <w:spacing w:val="-2"/>
          <w:sz w:val="20"/>
        </w:rPr>
        <w:t>Estado.</w:t>
      </w:r>
    </w:p>
    <w:p w:rsidR="0092635B" w:rsidRDefault="00000000">
      <w:pPr>
        <w:pStyle w:val="Prrafodelista"/>
        <w:numPr>
          <w:ilvl w:val="1"/>
          <w:numId w:val="32"/>
        </w:numPr>
        <w:tabs>
          <w:tab w:val="left" w:pos="2359"/>
        </w:tabs>
        <w:spacing w:before="10"/>
        <w:ind w:left="2359" w:right="0" w:hanging="233"/>
        <w:rPr>
          <w:sz w:val="20"/>
        </w:rPr>
      </w:pPr>
      <w:r>
        <w:rPr>
          <w:sz w:val="20"/>
        </w:rPr>
        <w:t>Las</w:t>
      </w:r>
      <w:r>
        <w:rPr>
          <w:spacing w:val="-1"/>
          <w:sz w:val="20"/>
        </w:rPr>
        <w:t xml:space="preserve"> </w:t>
      </w:r>
      <w:r>
        <w:rPr>
          <w:sz w:val="20"/>
        </w:rPr>
        <w:t xml:space="preserve">Administraciones de las Comunidades </w:t>
      </w:r>
      <w:r>
        <w:rPr>
          <w:spacing w:val="-2"/>
          <w:sz w:val="20"/>
        </w:rPr>
        <w:t>Autónomas.</w:t>
      </w:r>
    </w:p>
    <w:p w:rsidR="0092635B" w:rsidRDefault="00000000">
      <w:pPr>
        <w:pStyle w:val="Prrafodelista"/>
        <w:numPr>
          <w:ilvl w:val="1"/>
          <w:numId w:val="32"/>
        </w:numPr>
        <w:tabs>
          <w:tab w:val="left" w:pos="2348"/>
        </w:tabs>
        <w:spacing w:before="10"/>
        <w:ind w:left="2348" w:right="0" w:hanging="222"/>
        <w:rPr>
          <w:sz w:val="20"/>
        </w:rPr>
      </w:pPr>
      <w:r>
        <w:rPr>
          <w:sz w:val="20"/>
        </w:rPr>
        <w:t>Las</w:t>
      </w:r>
      <w:r>
        <w:rPr>
          <w:spacing w:val="-4"/>
          <w:sz w:val="20"/>
        </w:rPr>
        <w:t xml:space="preserve"> </w:t>
      </w:r>
      <w:r>
        <w:rPr>
          <w:sz w:val="20"/>
        </w:rPr>
        <w:t>Entidades</w:t>
      </w:r>
      <w:r>
        <w:rPr>
          <w:spacing w:val="-4"/>
          <w:sz w:val="20"/>
        </w:rPr>
        <w:t xml:space="preserve"> </w:t>
      </w:r>
      <w:r>
        <w:rPr>
          <w:sz w:val="20"/>
        </w:rPr>
        <w:t>que</w:t>
      </w:r>
      <w:r>
        <w:rPr>
          <w:spacing w:val="-4"/>
          <w:sz w:val="20"/>
        </w:rPr>
        <w:t xml:space="preserve"> </w:t>
      </w:r>
      <w:r>
        <w:rPr>
          <w:sz w:val="20"/>
        </w:rPr>
        <w:t>integran</w:t>
      </w:r>
      <w:r>
        <w:rPr>
          <w:spacing w:val="-4"/>
          <w:sz w:val="20"/>
        </w:rPr>
        <w:t xml:space="preserve"> </w:t>
      </w:r>
      <w:r>
        <w:rPr>
          <w:sz w:val="20"/>
        </w:rPr>
        <w:t>la</w:t>
      </w:r>
      <w:r>
        <w:rPr>
          <w:spacing w:val="-4"/>
          <w:sz w:val="20"/>
        </w:rPr>
        <w:t xml:space="preserve"> </w:t>
      </w:r>
      <w:r>
        <w:rPr>
          <w:sz w:val="20"/>
        </w:rPr>
        <w:t>Administración</w:t>
      </w:r>
      <w:r>
        <w:rPr>
          <w:spacing w:val="-3"/>
          <w:sz w:val="20"/>
        </w:rPr>
        <w:t xml:space="preserve"> </w:t>
      </w:r>
      <w:r>
        <w:rPr>
          <w:spacing w:val="-2"/>
          <w:sz w:val="20"/>
        </w:rPr>
        <w:t>Local.</w:t>
      </w:r>
    </w:p>
    <w:p w:rsidR="0092635B" w:rsidRDefault="00000000">
      <w:pPr>
        <w:pStyle w:val="Prrafodelista"/>
        <w:numPr>
          <w:ilvl w:val="1"/>
          <w:numId w:val="32"/>
        </w:numPr>
        <w:tabs>
          <w:tab w:val="left" w:pos="2359"/>
        </w:tabs>
        <w:spacing w:before="10"/>
        <w:ind w:left="2359" w:right="0" w:hanging="233"/>
        <w:rPr>
          <w:sz w:val="20"/>
        </w:rPr>
      </w:pPr>
      <w:r>
        <w:rPr>
          <w:sz w:val="20"/>
        </w:rPr>
        <w:t>El</w:t>
      </w:r>
      <w:r>
        <w:rPr>
          <w:spacing w:val="-3"/>
          <w:sz w:val="20"/>
        </w:rPr>
        <w:t xml:space="preserve"> </w:t>
      </w:r>
      <w:r>
        <w:rPr>
          <w:sz w:val="20"/>
        </w:rPr>
        <w:t>sector</w:t>
      </w:r>
      <w:r>
        <w:rPr>
          <w:spacing w:val="-2"/>
          <w:sz w:val="20"/>
        </w:rPr>
        <w:t xml:space="preserve"> </w:t>
      </w:r>
      <w:r>
        <w:rPr>
          <w:sz w:val="20"/>
        </w:rPr>
        <w:t>público</w:t>
      </w:r>
      <w:r>
        <w:rPr>
          <w:spacing w:val="-2"/>
          <w:sz w:val="20"/>
        </w:rPr>
        <w:t xml:space="preserve"> institucional.</w:t>
      </w:r>
    </w:p>
    <w:p w:rsidR="0092635B" w:rsidRDefault="00000000">
      <w:pPr>
        <w:pStyle w:val="Prrafodelista"/>
        <w:numPr>
          <w:ilvl w:val="0"/>
          <w:numId w:val="32"/>
        </w:numPr>
        <w:tabs>
          <w:tab w:val="left" w:pos="2348"/>
        </w:tabs>
        <w:spacing w:before="180"/>
        <w:ind w:left="2348" w:right="0" w:hanging="222"/>
        <w:rPr>
          <w:sz w:val="20"/>
        </w:rPr>
      </w:pPr>
      <w:r>
        <w:rPr>
          <w:sz w:val="20"/>
        </w:rPr>
        <w:t>El</w:t>
      </w:r>
      <w:r>
        <w:rPr>
          <w:spacing w:val="-7"/>
          <w:sz w:val="20"/>
        </w:rPr>
        <w:t xml:space="preserve"> </w:t>
      </w:r>
      <w:r>
        <w:rPr>
          <w:sz w:val="20"/>
        </w:rPr>
        <w:t>sector</w:t>
      </w:r>
      <w:r>
        <w:rPr>
          <w:spacing w:val="-4"/>
          <w:sz w:val="20"/>
        </w:rPr>
        <w:t xml:space="preserve"> </w:t>
      </w:r>
      <w:r>
        <w:rPr>
          <w:sz w:val="20"/>
        </w:rPr>
        <w:t>público</w:t>
      </w:r>
      <w:r>
        <w:rPr>
          <w:spacing w:val="-4"/>
          <w:sz w:val="20"/>
        </w:rPr>
        <w:t xml:space="preserve"> </w:t>
      </w:r>
      <w:r>
        <w:rPr>
          <w:sz w:val="20"/>
        </w:rPr>
        <w:t>institucional</w:t>
      </w:r>
      <w:r>
        <w:rPr>
          <w:spacing w:val="-5"/>
          <w:sz w:val="20"/>
        </w:rPr>
        <w:t xml:space="preserve"> </w:t>
      </w:r>
      <w:r>
        <w:rPr>
          <w:sz w:val="20"/>
        </w:rPr>
        <w:t>se</w:t>
      </w:r>
      <w:r>
        <w:rPr>
          <w:spacing w:val="-4"/>
          <w:sz w:val="20"/>
        </w:rPr>
        <w:t xml:space="preserve"> </w:t>
      </w:r>
      <w:r>
        <w:rPr>
          <w:sz w:val="20"/>
        </w:rPr>
        <w:t>integra</w:t>
      </w:r>
      <w:r>
        <w:rPr>
          <w:spacing w:val="-4"/>
          <w:sz w:val="20"/>
        </w:rPr>
        <w:t xml:space="preserve"> por:</w:t>
      </w:r>
    </w:p>
    <w:p w:rsidR="0092635B" w:rsidRDefault="00000000">
      <w:pPr>
        <w:pStyle w:val="Prrafodelista"/>
        <w:numPr>
          <w:ilvl w:val="1"/>
          <w:numId w:val="32"/>
        </w:numPr>
        <w:tabs>
          <w:tab w:val="left" w:pos="2374"/>
        </w:tabs>
        <w:spacing w:before="180" w:line="249" w:lineRule="auto"/>
        <w:ind w:left="1786" w:right="1105" w:firstLine="340"/>
        <w:jc w:val="both"/>
        <w:rPr>
          <w:sz w:val="20"/>
        </w:rPr>
      </w:pPr>
      <w:r>
        <w:rPr>
          <w:sz w:val="20"/>
        </w:rPr>
        <w:t>Cualesquiera organismos públicos y entidades de derecho público vinculados</w:t>
      </w:r>
      <w:r>
        <w:rPr>
          <w:spacing w:val="40"/>
          <w:sz w:val="20"/>
        </w:rPr>
        <w:t xml:space="preserve"> </w:t>
      </w:r>
      <w:r>
        <w:rPr>
          <w:sz w:val="20"/>
        </w:rPr>
        <w:t>o dependientes de las Administraciones Públicas.</w:t>
      </w:r>
    </w:p>
    <w:p w:rsidR="0092635B" w:rsidRDefault="00000000">
      <w:pPr>
        <w:pStyle w:val="Prrafodelista"/>
        <w:numPr>
          <w:ilvl w:val="1"/>
          <w:numId w:val="32"/>
        </w:numPr>
        <w:tabs>
          <w:tab w:val="left" w:pos="2458"/>
        </w:tabs>
        <w:spacing w:line="249" w:lineRule="auto"/>
        <w:ind w:left="1786" w:firstLine="340"/>
        <w:jc w:val="both"/>
        <w:rPr>
          <w:sz w:val="20"/>
        </w:rPr>
      </w:pPr>
      <w:r>
        <w:rPr>
          <w:sz w:val="20"/>
        </w:rPr>
        <w:t>Las entidades de derecho privado vinculadas o dependientes de las Administraciones Públicas que quedarán sujetas a lo dispuesto en las normas de</w:t>
      </w:r>
      <w:r>
        <w:rPr>
          <w:spacing w:val="40"/>
          <w:sz w:val="20"/>
        </w:rPr>
        <w:t xml:space="preserve"> </w:t>
      </w:r>
      <w:r>
        <w:rPr>
          <w:sz w:val="20"/>
        </w:rPr>
        <w:t>esta Ley que específicamente se refieran a las mismas, y en todo caso, cuando ejerzan potestades administrativas.</w:t>
      </w:r>
    </w:p>
    <w:p w:rsidR="0092635B" w:rsidRDefault="00000000">
      <w:pPr>
        <w:pStyle w:val="Prrafodelista"/>
        <w:numPr>
          <w:ilvl w:val="1"/>
          <w:numId w:val="32"/>
        </w:numPr>
        <w:tabs>
          <w:tab w:val="left" w:pos="2402"/>
        </w:tabs>
        <w:spacing w:before="3" w:line="249" w:lineRule="auto"/>
        <w:ind w:left="1786" w:right="1104" w:firstLine="340"/>
        <w:jc w:val="both"/>
        <w:rPr>
          <w:sz w:val="20"/>
        </w:rPr>
      </w:pPr>
      <w:r>
        <w:rPr>
          <w:sz w:val="20"/>
        </w:rPr>
        <w:t>Las Universidades públicas que se regirán por su normativa específica y supletoriamente por las previsiones de la presente Ley.</w:t>
      </w:r>
    </w:p>
    <w:p w:rsidR="0092635B" w:rsidRDefault="00000000">
      <w:pPr>
        <w:pStyle w:val="Prrafodelista"/>
        <w:numPr>
          <w:ilvl w:val="0"/>
          <w:numId w:val="32"/>
        </w:numPr>
        <w:tabs>
          <w:tab w:val="left" w:pos="2433"/>
        </w:tabs>
        <w:spacing w:before="172" w:line="249" w:lineRule="auto"/>
        <w:ind w:left="1786" w:firstLine="340"/>
        <w:jc w:val="both"/>
        <w:rPr>
          <w:sz w:val="20"/>
        </w:rPr>
      </w:pPr>
      <w:r>
        <w:rPr>
          <w:sz w:val="20"/>
        </w:rPr>
        <w:t>Tienen la consideración de Administraciones Públicas la Administración General del Estado, las Administraciones de las Comunidades Autónomas, las Entidades que integran la Administración Local, así como los organismos públicos y entidades de derecho público previstos en la letra a) del apartado 2.»</w:t>
      </w:r>
    </w:p>
    <w:p w:rsidR="0092635B" w:rsidRDefault="00000000">
      <w:pPr>
        <w:pStyle w:val="Textoindependiente"/>
        <w:spacing w:before="123"/>
        <w:ind w:left="1446" w:firstLine="0"/>
        <w:jc w:val="left"/>
      </w:pPr>
      <w:r>
        <w:t>Dos.</w:t>
      </w:r>
      <w:r>
        <w:rPr>
          <w:spacing w:val="-4"/>
        </w:rPr>
        <w:t xml:space="preserve"> </w:t>
      </w:r>
      <w:r>
        <w:t>Se</w:t>
      </w:r>
      <w:r>
        <w:rPr>
          <w:spacing w:val="-3"/>
        </w:rPr>
        <w:t xml:space="preserve"> </w:t>
      </w:r>
      <w:r>
        <w:t>modifica</w:t>
      </w:r>
      <w:r>
        <w:rPr>
          <w:spacing w:val="-4"/>
        </w:rPr>
        <w:t xml:space="preserve"> </w:t>
      </w:r>
      <w:r>
        <w:t>el</w:t>
      </w:r>
      <w:r>
        <w:rPr>
          <w:spacing w:val="-3"/>
        </w:rPr>
        <w:t xml:space="preserve"> </w:t>
      </w:r>
      <w:r>
        <w:t>artículo</w:t>
      </w:r>
      <w:r>
        <w:rPr>
          <w:spacing w:val="-4"/>
        </w:rPr>
        <w:t xml:space="preserve"> </w:t>
      </w:r>
      <w:r>
        <w:t>3.2</w:t>
      </w:r>
      <w:r>
        <w:rPr>
          <w:spacing w:val="-3"/>
        </w:rPr>
        <w:t xml:space="preserve"> </w:t>
      </w:r>
      <w:r>
        <w:t>que</w:t>
      </w:r>
      <w:r>
        <w:rPr>
          <w:spacing w:val="-4"/>
        </w:rPr>
        <w:t xml:space="preserve"> </w:t>
      </w:r>
      <w:r>
        <w:t>queda</w:t>
      </w:r>
      <w:r>
        <w:rPr>
          <w:spacing w:val="-3"/>
        </w:rPr>
        <w:t xml:space="preserve"> </w:t>
      </w:r>
      <w:r>
        <w:t>redactado</w:t>
      </w:r>
      <w:r>
        <w:rPr>
          <w:spacing w:val="-4"/>
        </w:rPr>
        <w:t xml:space="preserve"> </w:t>
      </w:r>
      <w:r>
        <w:t>como</w:t>
      </w:r>
      <w:r>
        <w:rPr>
          <w:spacing w:val="-3"/>
        </w:rPr>
        <w:t xml:space="preserve"> </w:t>
      </w:r>
      <w:r>
        <w:rPr>
          <w:spacing w:val="-2"/>
        </w:rPr>
        <w:t>sigue:</w:t>
      </w:r>
    </w:p>
    <w:p w:rsidR="0092635B" w:rsidRDefault="00000000">
      <w:pPr>
        <w:pStyle w:val="Textoindependiente"/>
        <w:spacing w:before="180" w:line="249" w:lineRule="auto"/>
        <w:ind w:left="1786" w:right="1104"/>
      </w:pPr>
      <w:r>
        <w:t>«La presente Ley se aplicará a los documentos elaborados o custodiados por las Administraciones y organismos del sector público.»</w:t>
      </w:r>
    </w:p>
    <w:p w:rsidR="0092635B" w:rsidRDefault="00000000">
      <w:pPr>
        <w:pStyle w:val="Textoindependiente"/>
        <w:spacing w:before="122"/>
        <w:ind w:left="1446" w:firstLine="0"/>
        <w:jc w:val="left"/>
      </w:pPr>
      <w:r>
        <w:t>Tres.</w:t>
      </w:r>
      <w:r>
        <w:rPr>
          <w:spacing w:val="-3"/>
        </w:rPr>
        <w:t xml:space="preserve"> </w:t>
      </w:r>
      <w:r>
        <w:t>Se</w:t>
      </w:r>
      <w:r>
        <w:rPr>
          <w:spacing w:val="-3"/>
        </w:rPr>
        <w:t xml:space="preserve"> </w:t>
      </w:r>
      <w:r>
        <w:t>modifica</w:t>
      </w:r>
      <w:r>
        <w:rPr>
          <w:spacing w:val="-3"/>
        </w:rPr>
        <w:t xml:space="preserve"> </w:t>
      </w:r>
      <w:r>
        <w:t>el</w:t>
      </w:r>
      <w:r>
        <w:rPr>
          <w:spacing w:val="-3"/>
        </w:rPr>
        <w:t xml:space="preserve"> </w:t>
      </w:r>
      <w:r>
        <w:t>artículo</w:t>
      </w:r>
      <w:r>
        <w:rPr>
          <w:spacing w:val="-3"/>
        </w:rPr>
        <w:t xml:space="preserve"> </w:t>
      </w:r>
      <w:r>
        <w:t>7.1</w:t>
      </w:r>
      <w:r>
        <w:rPr>
          <w:spacing w:val="-3"/>
        </w:rPr>
        <w:t xml:space="preserve"> </w:t>
      </w:r>
      <w:r>
        <w:t>en</w:t>
      </w:r>
      <w:r>
        <w:rPr>
          <w:spacing w:val="-3"/>
        </w:rPr>
        <w:t xml:space="preserve"> </w:t>
      </w:r>
      <w:r>
        <w:t>los</w:t>
      </w:r>
      <w:r>
        <w:rPr>
          <w:spacing w:val="-3"/>
        </w:rPr>
        <w:t xml:space="preserve"> </w:t>
      </w:r>
      <w:r>
        <w:t>siguientes</w:t>
      </w:r>
      <w:r>
        <w:rPr>
          <w:spacing w:val="-3"/>
        </w:rPr>
        <w:t xml:space="preserve"> </w:t>
      </w:r>
      <w:r>
        <w:rPr>
          <w:spacing w:val="-2"/>
        </w:rPr>
        <w:t>términos:</w:t>
      </w:r>
    </w:p>
    <w:p w:rsidR="0092635B" w:rsidRDefault="00000000">
      <w:pPr>
        <w:pStyle w:val="Textoindependiente"/>
        <w:spacing w:before="180" w:line="249" w:lineRule="auto"/>
        <w:ind w:left="1786" w:right="1103"/>
      </w:pPr>
      <w:r>
        <w:t>«Podrá aplicarse una tarifa por el suministro de documentos para su reutilización en las condiciones previstas en la normativa estatal vigente o, en su caso, en la normativa que resulte de aplicación en el ámbito autonómico o local, limitándose la misma a los costes marginales en que se incurra para su reproducción, puesta a disposición y difusión.</w:t>
      </w:r>
    </w:p>
    <w:p w:rsidR="0092635B" w:rsidRDefault="00000000">
      <w:pPr>
        <w:pStyle w:val="Textoindependiente"/>
        <w:spacing w:before="4" w:line="249" w:lineRule="auto"/>
        <w:ind w:left="1786" w:right="1103"/>
      </w:pPr>
      <w:r>
        <w:t>En caso de que una Administración u organismo del sector público reutilice los documentos como base para actividades comerciales ajenas a las funciones propias que tenga atribuidas, deberán aplicarse a la entrega de documentos para dichas actividades las mismas tasas o precios públicos y condiciones que se apliquen a los demás usuarios.»</w:t>
      </w:r>
    </w:p>
    <w:p w:rsidR="0092635B" w:rsidRDefault="00000000">
      <w:pPr>
        <w:pStyle w:val="Textoindependiente"/>
        <w:spacing w:before="124"/>
        <w:ind w:left="1446" w:firstLine="0"/>
        <w:jc w:val="left"/>
      </w:pPr>
      <w:r>
        <w:t>Cuatro.</w:t>
      </w:r>
      <w:r>
        <w:rPr>
          <w:spacing w:val="-4"/>
        </w:rPr>
        <w:t xml:space="preserve"> </w:t>
      </w:r>
      <w:r>
        <w:t>Se</w:t>
      </w:r>
      <w:r>
        <w:rPr>
          <w:spacing w:val="-3"/>
        </w:rPr>
        <w:t xml:space="preserve"> </w:t>
      </w:r>
      <w:r>
        <w:t>modifica</w:t>
      </w:r>
      <w:r>
        <w:rPr>
          <w:spacing w:val="-3"/>
        </w:rPr>
        <w:t xml:space="preserve"> </w:t>
      </w:r>
      <w:r>
        <w:t>el</w:t>
      </w:r>
      <w:r>
        <w:rPr>
          <w:spacing w:val="-4"/>
        </w:rPr>
        <w:t xml:space="preserve"> </w:t>
      </w:r>
      <w:r>
        <w:t>artículo</w:t>
      </w:r>
      <w:r>
        <w:rPr>
          <w:spacing w:val="-3"/>
        </w:rPr>
        <w:t xml:space="preserve"> </w:t>
      </w:r>
      <w:r>
        <w:t>7.6,</w:t>
      </w:r>
      <w:r>
        <w:rPr>
          <w:spacing w:val="-3"/>
        </w:rPr>
        <w:t xml:space="preserve"> </w:t>
      </w:r>
      <w:r>
        <w:t>que</w:t>
      </w:r>
      <w:r>
        <w:rPr>
          <w:spacing w:val="-4"/>
        </w:rPr>
        <w:t xml:space="preserve"> </w:t>
      </w:r>
      <w:r>
        <w:t>queda</w:t>
      </w:r>
      <w:r>
        <w:rPr>
          <w:spacing w:val="-3"/>
        </w:rPr>
        <w:t xml:space="preserve"> </w:t>
      </w:r>
      <w:r>
        <w:t>redactado</w:t>
      </w:r>
      <w:r>
        <w:rPr>
          <w:spacing w:val="-3"/>
        </w:rPr>
        <w:t xml:space="preserve"> </w:t>
      </w:r>
      <w:r>
        <w:t>como</w:t>
      </w:r>
      <w:r>
        <w:rPr>
          <w:spacing w:val="-3"/>
        </w:rPr>
        <w:t xml:space="preserve"> </w:t>
      </w:r>
      <w:r>
        <w:rPr>
          <w:spacing w:val="-2"/>
        </w:rPr>
        <w:t>sigue:</w:t>
      </w:r>
    </w:p>
    <w:p w:rsidR="0092635B" w:rsidRDefault="00000000">
      <w:pPr>
        <w:pStyle w:val="Textoindependiente"/>
        <w:spacing w:before="180" w:line="249" w:lineRule="auto"/>
        <w:ind w:left="1786" w:right="1103"/>
      </w:pPr>
      <w:r>
        <w:t>«Las Administraciones y organismos del sector público publicarán por medios electrónicos, siempre que sea posible y apropiado, las tarifas fijadas para la reutilización de documentos que estén en poder de organismos del sector público,</w:t>
      </w:r>
      <w:r>
        <w:rPr>
          <w:spacing w:val="40"/>
        </w:rPr>
        <w:t xml:space="preserve"> </w:t>
      </w:r>
      <w:r>
        <w:t>así como las condiciones aplicables y el importe real de los mismos, incluida la base de cálculo utilizada.</w:t>
      </w:r>
    </w:p>
    <w:p w:rsidR="0092635B" w:rsidRDefault="00000000">
      <w:pPr>
        <w:pStyle w:val="Textoindependiente"/>
        <w:spacing w:before="4" w:line="249" w:lineRule="auto"/>
        <w:ind w:left="1786" w:right="1106"/>
      </w:pPr>
      <w:r>
        <w:t>En el resto de los casos en que se aplique una tarifa, el organismo del sector público</w:t>
      </w:r>
      <w:r>
        <w:rPr>
          <w:spacing w:val="23"/>
        </w:rPr>
        <w:t xml:space="preserve"> </w:t>
      </w:r>
      <w:r>
        <w:t>de</w:t>
      </w:r>
      <w:r>
        <w:rPr>
          <w:spacing w:val="23"/>
        </w:rPr>
        <w:t xml:space="preserve"> </w:t>
      </w:r>
      <w:r>
        <w:t>que</w:t>
      </w:r>
      <w:r>
        <w:rPr>
          <w:spacing w:val="23"/>
        </w:rPr>
        <w:t xml:space="preserve"> </w:t>
      </w:r>
      <w:r>
        <w:t>se</w:t>
      </w:r>
      <w:r>
        <w:rPr>
          <w:spacing w:val="23"/>
        </w:rPr>
        <w:t xml:space="preserve"> </w:t>
      </w:r>
      <w:r>
        <w:t>trate</w:t>
      </w:r>
      <w:r>
        <w:rPr>
          <w:spacing w:val="23"/>
        </w:rPr>
        <w:t xml:space="preserve"> </w:t>
      </w:r>
      <w:r>
        <w:t>indicará</w:t>
      </w:r>
      <w:r>
        <w:rPr>
          <w:spacing w:val="23"/>
        </w:rPr>
        <w:t xml:space="preserve"> </w:t>
      </w:r>
      <w:r>
        <w:t>por</w:t>
      </w:r>
      <w:r>
        <w:rPr>
          <w:spacing w:val="23"/>
        </w:rPr>
        <w:t xml:space="preserve"> </w:t>
      </w:r>
      <w:r>
        <w:t>adelantado</w:t>
      </w:r>
      <w:r>
        <w:rPr>
          <w:spacing w:val="23"/>
        </w:rPr>
        <w:t xml:space="preserve"> </w:t>
      </w:r>
      <w:r>
        <w:t>qué</w:t>
      </w:r>
      <w:r>
        <w:rPr>
          <w:spacing w:val="23"/>
        </w:rPr>
        <w:t xml:space="preserve"> </w:t>
      </w:r>
      <w:r>
        <w:t>factores</w:t>
      </w:r>
      <w:r>
        <w:rPr>
          <w:spacing w:val="23"/>
        </w:rPr>
        <w:t xml:space="preserve"> </w:t>
      </w:r>
      <w:r>
        <w:t>se</w:t>
      </w:r>
      <w:r>
        <w:rPr>
          <w:spacing w:val="23"/>
        </w:rPr>
        <w:t xml:space="preserve"> </w:t>
      </w:r>
      <w:r>
        <w:t>tendrán</w:t>
      </w:r>
      <w:r>
        <w:rPr>
          <w:spacing w:val="23"/>
        </w:rPr>
        <w:t xml:space="preserve"> </w:t>
      </w:r>
      <w:r>
        <w:t>en</w:t>
      </w:r>
      <w:r>
        <w:rPr>
          <w:spacing w:val="23"/>
        </w:rPr>
        <w:t xml:space="preserve"> </w:t>
      </w:r>
      <w:r>
        <w:t>cuenta</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extoindependiente"/>
        <w:spacing w:before="1" w:line="249" w:lineRule="auto"/>
        <w:ind w:left="1786" w:right="1120" w:hanging="1"/>
        <w:jc w:val="left"/>
      </w:pPr>
      <w:r>
        <w:t>para el cálculo de la misma. Cuando se solicite, dicho organismo también indicará</w:t>
      </w:r>
      <w:r>
        <w:rPr>
          <w:spacing w:val="80"/>
        </w:rPr>
        <w:t xml:space="preserve"> </w:t>
      </w:r>
      <w:r>
        <w:t>cómo</w:t>
      </w:r>
      <w:r>
        <w:rPr>
          <w:spacing w:val="-6"/>
        </w:rPr>
        <w:t xml:space="preserve"> </w:t>
      </w:r>
      <w:r>
        <w:t>se</w:t>
      </w:r>
      <w:r>
        <w:rPr>
          <w:spacing w:val="-4"/>
        </w:rPr>
        <w:t xml:space="preserve"> </w:t>
      </w:r>
      <w:r>
        <w:t>ha</w:t>
      </w:r>
      <w:r>
        <w:rPr>
          <w:spacing w:val="-4"/>
        </w:rPr>
        <w:t xml:space="preserve"> </w:t>
      </w:r>
      <w:r>
        <w:t>calculado</w:t>
      </w:r>
      <w:r>
        <w:rPr>
          <w:spacing w:val="-4"/>
        </w:rPr>
        <w:t xml:space="preserve"> </w:t>
      </w:r>
      <w:r>
        <w:t>esa</w:t>
      </w:r>
      <w:r>
        <w:rPr>
          <w:spacing w:val="-4"/>
        </w:rPr>
        <w:t xml:space="preserve"> </w:t>
      </w:r>
      <w:r>
        <w:t>tarifa</w:t>
      </w:r>
      <w:r>
        <w:rPr>
          <w:spacing w:val="-4"/>
        </w:rPr>
        <w:t xml:space="preserve"> </w:t>
      </w:r>
      <w:r>
        <w:t>en</w:t>
      </w:r>
      <w:r>
        <w:rPr>
          <w:spacing w:val="-4"/>
        </w:rPr>
        <w:t xml:space="preserve"> </w:t>
      </w:r>
      <w:r>
        <w:t>relación</w:t>
      </w:r>
      <w:r>
        <w:rPr>
          <w:spacing w:val="-4"/>
        </w:rPr>
        <w:t xml:space="preserve"> </w:t>
      </w:r>
      <w:r>
        <w:t>con</w:t>
      </w:r>
      <w:r>
        <w:rPr>
          <w:spacing w:val="-4"/>
        </w:rPr>
        <w:t xml:space="preserve"> </w:t>
      </w:r>
      <w:r>
        <w:t>la</w:t>
      </w:r>
      <w:r>
        <w:rPr>
          <w:spacing w:val="-4"/>
        </w:rPr>
        <w:t xml:space="preserve"> </w:t>
      </w:r>
      <w:r>
        <w:t>solicitud</w:t>
      </w:r>
      <w:r>
        <w:rPr>
          <w:spacing w:val="-4"/>
        </w:rPr>
        <w:t xml:space="preserve"> </w:t>
      </w:r>
      <w:r>
        <w:t>de</w:t>
      </w:r>
      <w:r>
        <w:rPr>
          <w:spacing w:val="-4"/>
        </w:rPr>
        <w:t xml:space="preserve"> </w:t>
      </w:r>
      <w:r>
        <w:t>reutilización</w:t>
      </w:r>
      <w:r>
        <w:rPr>
          <w:spacing w:val="-4"/>
        </w:rPr>
        <w:t xml:space="preserve"> </w:t>
      </w:r>
      <w:r>
        <w:rPr>
          <w:spacing w:val="-2"/>
        </w:rPr>
        <w:t>concreta.»</w:t>
      </w:r>
    </w:p>
    <w:p w:rsidR="0092635B" w:rsidRDefault="00000000">
      <w:pPr>
        <w:spacing w:before="228" w:line="249" w:lineRule="auto"/>
        <w:ind w:left="1106" w:right="1103"/>
        <w:jc w:val="both"/>
        <w:rPr>
          <w:rFonts w:ascii="Arial" w:hAnsi="Arial"/>
          <w:i/>
          <w:sz w:val="20"/>
        </w:rPr>
      </w:pPr>
      <w:bookmarkStart w:id="671" w:name="Disposición_final_decimocuarta._Modifica"/>
      <w:bookmarkEnd w:id="671"/>
      <w:r>
        <w:rPr>
          <w:rFonts w:ascii="Arial" w:hAnsi="Arial"/>
          <w:b/>
          <w:sz w:val="20"/>
        </w:rPr>
        <w:t>Disposición final decimocuarta.</w:t>
      </w:r>
      <w:r>
        <w:rPr>
          <w:rFonts w:ascii="Arial" w:hAnsi="Arial"/>
          <w:b/>
          <w:spacing w:val="40"/>
          <w:sz w:val="20"/>
        </w:rPr>
        <w:t xml:space="preserve"> </w:t>
      </w:r>
      <w:r>
        <w:rPr>
          <w:rFonts w:ascii="Arial" w:hAnsi="Arial"/>
          <w:i/>
          <w:sz w:val="20"/>
        </w:rPr>
        <w:t>Modificación del texto refundido de la Ley General de derechos de las personas con discapacidad y de su inclusión social, aprobado mediante</w:t>
      </w:r>
      <w:r>
        <w:rPr>
          <w:rFonts w:ascii="Arial" w:hAnsi="Arial"/>
          <w:i/>
          <w:spacing w:val="40"/>
          <w:sz w:val="20"/>
        </w:rPr>
        <w:t xml:space="preserve"> </w:t>
      </w:r>
      <w:r>
        <w:rPr>
          <w:rFonts w:ascii="Arial" w:hAnsi="Arial"/>
          <w:i/>
          <w:sz w:val="20"/>
        </w:rPr>
        <w:t>Real Decreto Legislativo 1/2013, de 29 de noviembre.</w:t>
      </w:r>
    </w:p>
    <w:p w:rsidR="0092635B" w:rsidRDefault="00000000">
      <w:pPr>
        <w:pStyle w:val="Textoindependiente"/>
        <w:spacing w:before="116" w:line="249" w:lineRule="auto"/>
        <w:ind w:right="1104"/>
      </w:pPr>
      <w:r>
        <w:t>Se añade un apartado 4 al artículo 43 del texto refundido de la Ley General de derechos de las personas con discapacidad y de su inclusión social, aprobado por Real Decreto Legislativo 1/2013, de 29 de noviembre:</w:t>
      </w:r>
    </w:p>
    <w:p w:rsidR="0092635B" w:rsidRDefault="00000000">
      <w:pPr>
        <w:pStyle w:val="Textoindependiente"/>
        <w:spacing w:before="172" w:line="249" w:lineRule="auto"/>
        <w:ind w:left="1786" w:right="1102"/>
      </w:pPr>
      <w:r>
        <w:t>«4. Tendrán la consideración de Centros Especiales de Empleo de iniciativa social aquellos que cumpliendo los requisitos que se establecen en los apartados 1.º y 2.º de este artículo son promovidos y participados en más de un 50 por ciento, directa o indirectamente, por una o varias entidades, ya sean públicas o privadas,</w:t>
      </w:r>
      <w:r>
        <w:rPr>
          <w:spacing w:val="40"/>
        </w:rPr>
        <w:t xml:space="preserve"> </w:t>
      </w:r>
      <w:r>
        <w:t>que no tengan ánimo de lucro o que tengan reconocido su carácter social en sus Estatutos, ya sean asociaciones, fundaciones, corporaciones de derecho público, cooperativas de iniciativa social u otras entidades de la economía social, así como también</w:t>
      </w:r>
      <w:r>
        <w:rPr>
          <w:spacing w:val="-2"/>
        </w:rPr>
        <w:t xml:space="preserve"> </w:t>
      </w:r>
      <w:r>
        <w:t>aquellos</w:t>
      </w:r>
      <w:r>
        <w:rPr>
          <w:spacing w:val="-2"/>
        </w:rPr>
        <w:t xml:space="preserve"> </w:t>
      </w:r>
      <w:r>
        <w:t>cuya</w:t>
      </w:r>
      <w:r>
        <w:rPr>
          <w:spacing w:val="-2"/>
        </w:rPr>
        <w:t xml:space="preserve"> </w:t>
      </w:r>
      <w:r>
        <w:t>titularidad</w:t>
      </w:r>
      <w:r>
        <w:rPr>
          <w:spacing w:val="-2"/>
        </w:rPr>
        <w:t xml:space="preserve"> </w:t>
      </w:r>
      <w:r>
        <w:t>corresponde</w:t>
      </w:r>
      <w:r>
        <w:rPr>
          <w:spacing w:val="-2"/>
        </w:rPr>
        <w:t xml:space="preserve"> </w:t>
      </w:r>
      <w:r>
        <w:t>a</w:t>
      </w:r>
      <w:r>
        <w:rPr>
          <w:spacing w:val="-2"/>
        </w:rPr>
        <w:t xml:space="preserve"> </w:t>
      </w:r>
      <w:r>
        <w:t>sociedades</w:t>
      </w:r>
      <w:r>
        <w:rPr>
          <w:spacing w:val="-2"/>
        </w:rPr>
        <w:t xml:space="preserve"> </w:t>
      </w:r>
      <w:r>
        <w:t>mercantiles</w:t>
      </w:r>
      <w:r>
        <w:rPr>
          <w:spacing w:val="-2"/>
        </w:rPr>
        <w:t xml:space="preserve"> </w:t>
      </w:r>
      <w:r>
        <w:t>en</w:t>
      </w:r>
      <w:r>
        <w:rPr>
          <w:spacing w:val="-2"/>
        </w:rPr>
        <w:t xml:space="preserve"> </w:t>
      </w:r>
      <w:r>
        <w:t>las</w:t>
      </w:r>
      <w:r>
        <w:rPr>
          <w:spacing w:val="-2"/>
        </w:rPr>
        <w:t xml:space="preserve"> </w:t>
      </w:r>
      <w:r>
        <w:t>que</w:t>
      </w:r>
      <w:r>
        <w:rPr>
          <w:spacing w:val="-2"/>
        </w:rPr>
        <w:t xml:space="preserve"> </w:t>
      </w:r>
      <w:r>
        <w:t>la mayoría de su capital social sea propiedad de alguna de las entidades señaladas anteriormente, ya sea de forma directa o bien indirecta a través del concepto de sociedad dominante regulado en el artículo 42 del Código de Comercio, y siempre que en todos los casos en sus Estatutos o en acuerdo social se obliguen a la reinversión</w:t>
      </w:r>
      <w:r>
        <w:rPr>
          <w:spacing w:val="-1"/>
        </w:rPr>
        <w:t xml:space="preserve"> </w:t>
      </w:r>
      <w:r>
        <w:t>íntegra</w:t>
      </w:r>
      <w:r>
        <w:rPr>
          <w:spacing w:val="-1"/>
        </w:rPr>
        <w:t xml:space="preserve"> </w:t>
      </w:r>
      <w:r>
        <w:t>de</w:t>
      </w:r>
      <w:r>
        <w:rPr>
          <w:spacing w:val="-1"/>
        </w:rPr>
        <w:t xml:space="preserve"> </w:t>
      </w:r>
      <w:r>
        <w:t>sus</w:t>
      </w:r>
      <w:r>
        <w:rPr>
          <w:spacing w:val="-1"/>
        </w:rPr>
        <w:t xml:space="preserve"> </w:t>
      </w:r>
      <w:r>
        <w:t>beneficios</w:t>
      </w:r>
      <w:r>
        <w:rPr>
          <w:spacing w:val="-1"/>
        </w:rPr>
        <w:t xml:space="preserve"> </w:t>
      </w:r>
      <w:r>
        <w:t>para</w:t>
      </w:r>
      <w:r>
        <w:rPr>
          <w:spacing w:val="-1"/>
        </w:rPr>
        <w:t xml:space="preserve"> </w:t>
      </w:r>
      <w:r>
        <w:t>creación</w:t>
      </w:r>
      <w:r>
        <w:rPr>
          <w:spacing w:val="-1"/>
        </w:rPr>
        <w:t xml:space="preserve"> </w:t>
      </w:r>
      <w:r>
        <w:t>de</w:t>
      </w:r>
      <w:r>
        <w:rPr>
          <w:spacing w:val="-1"/>
        </w:rPr>
        <w:t xml:space="preserve"> </w:t>
      </w:r>
      <w:r>
        <w:t>oportunidades</w:t>
      </w:r>
      <w:r>
        <w:rPr>
          <w:spacing w:val="-1"/>
        </w:rPr>
        <w:t xml:space="preserve"> </w:t>
      </w:r>
      <w:r>
        <w:t>de</w:t>
      </w:r>
      <w:r>
        <w:rPr>
          <w:spacing w:val="-1"/>
        </w:rPr>
        <w:t xml:space="preserve"> </w:t>
      </w:r>
      <w:r>
        <w:t>empleo</w:t>
      </w:r>
      <w:r>
        <w:rPr>
          <w:spacing w:val="-1"/>
        </w:rPr>
        <w:t xml:space="preserve"> </w:t>
      </w:r>
      <w:r>
        <w:t>para personas con discapacidad y la mejora continua de su competitividad y de su actividad de economía social, teniendo en todo caso la facultad de optar por reinvertirlos en el propio centro especial de empleo o en otros centros especiales de empleo de iniciativa social.»</w:t>
      </w:r>
    </w:p>
    <w:p w:rsidR="0092635B" w:rsidRDefault="0092635B">
      <w:pPr>
        <w:pStyle w:val="Textoindependiente"/>
        <w:spacing w:before="11"/>
        <w:ind w:left="0" w:firstLine="0"/>
        <w:jc w:val="left"/>
      </w:pPr>
    </w:p>
    <w:p w:rsidR="0092635B" w:rsidRDefault="00000000">
      <w:pPr>
        <w:spacing w:line="249" w:lineRule="auto"/>
        <w:ind w:left="1106" w:right="1104"/>
        <w:jc w:val="both"/>
        <w:rPr>
          <w:rFonts w:ascii="Arial" w:hAnsi="Arial"/>
          <w:i/>
          <w:sz w:val="20"/>
        </w:rPr>
      </w:pPr>
      <w:bookmarkStart w:id="672" w:name="Disposición_final_decimoquinta._Modifica"/>
      <w:bookmarkEnd w:id="672"/>
      <w:r>
        <w:rPr>
          <w:rFonts w:ascii="Arial" w:hAnsi="Arial"/>
          <w:b/>
          <w:sz w:val="20"/>
        </w:rPr>
        <w:t>Disposición final decimoquinta.</w:t>
      </w:r>
      <w:r>
        <w:rPr>
          <w:rFonts w:ascii="Arial" w:hAnsi="Arial"/>
          <w:b/>
          <w:spacing w:val="40"/>
          <w:sz w:val="20"/>
        </w:rPr>
        <w:t xml:space="preserve"> </w:t>
      </w:r>
      <w:r>
        <w:rPr>
          <w:rFonts w:ascii="Arial" w:hAnsi="Arial"/>
          <w:i/>
          <w:sz w:val="20"/>
        </w:rPr>
        <w:t>Modificación de la Ley 40/2015, de 1 de octubre, de Régimen Jurídico del Sector Público.</w:t>
      </w:r>
    </w:p>
    <w:p w:rsidR="0092635B" w:rsidRDefault="00000000">
      <w:pPr>
        <w:pStyle w:val="Textoindependiente"/>
        <w:spacing w:before="115" w:line="249" w:lineRule="auto"/>
        <w:ind w:right="1103"/>
      </w:pPr>
      <w:r>
        <w:t>Se modifica la Ley 40/2015, de 1 de octubre, de Régimen Jurídico del Sector Público,</w:t>
      </w:r>
      <w:r>
        <w:rPr>
          <w:spacing w:val="40"/>
        </w:rPr>
        <w:t xml:space="preserve"> </w:t>
      </w:r>
      <w:r>
        <w:t>que queda redactada como sigue:</w:t>
      </w:r>
    </w:p>
    <w:p w:rsidR="0092635B" w:rsidRDefault="00000000">
      <w:pPr>
        <w:pStyle w:val="Textoindependiente"/>
        <w:spacing w:before="122" w:line="249" w:lineRule="auto"/>
        <w:ind w:right="1104"/>
      </w:pPr>
      <w:r>
        <w:t>Uno. El segundo párrafo del apartado 1 del artículo 82, que queda redactado en los siguientes términos:</w:t>
      </w:r>
    </w:p>
    <w:p w:rsidR="0092635B" w:rsidRDefault="00000000">
      <w:pPr>
        <w:pStyle w:val="Textoindependiente"/>
        <w:spacing w:before="172" w:line="249" w:lineRule="auto"/>
        <w:ind w:left="1786" w:right="1105"/>
      </w:pPr>
      <w:r>
        <w:t>«La integración y gestión de dicho Inventario y su publicación dependerá de la Intervención General de la Administración del Estado.»</w:t>
      </w:r>
    </w:p>
    <w:p w:rsidR="0092635B" w:rsidRDefault="00000000">
      <w:pPr>
        <w:pStyle w:val="Textoindependiente"/>
        <w:spacing w:before="121" w:line="249" w:lineRule="auto"/>
        <w:ind w:right="1106"/>
      </w:pPr>
      <w:r>
        <w:t>Dos. El último párrafo del apartado 2 del artículo 84, que queda redactado en los siguientes términos:</w:t>
      </w:r>
    </w:p>
    <w:p w:rsidR="0092635B" w:rsidRDefault="00000000">
      <w:pPr>
        <w:pStyle w:val="Textoindependiente"/>
        <w:spacing w:before="172" w:line="249" w:lineRule="auto"/>
        <w:ind w:left="1786" w:right="1102"/>
      </w:pPr>
      <w:r>
        <w:t>«Lo dispuesto en este apartado no será de aplicación a la participación del</w:t>
      </w:r>
      <w:r>
        <w:rPr>
          <w:spacing w:val="40"/>
        </w:rPr>
        <w:t xml:space="preserve"> </w:t>
      </w:r>
      <w:r>
        <w:t>Estado en organismos internacionales o entidades de ámbito supranacional, ni a la participación en los organismos de normalización y acreditación nacionales o en sociedades creadas al amparo de la Ley 27/1984, de 26 de julio, sobre reconversión</w:t>
      </w:r>
      <w:r>
        <w:rPr>
          <w:spacing w:val="40"/>
        </w:rPr>
        <w:t xml:space="preserve"> </w:t>
      </w:r>
      <w:r>
        <w:t>y reindustrialización.»</w:t>
      </w:r>
    </w:p>
    <w:p w:rsidR="0092635B" w:rsidRDefault="0092635B">
      <w:pPr>
        <w:pStyle w:val="Textoindependiente"/>
        <w:spacing w:before="1"/>
        <w:ind w:left="0" w:firstLine="0"/>
        <w:jc w:val="left"/>
      </w:pPr>
    </w:p>
    <w:p w:rsidR="0092635B" w:rsidRDefault="00000000">
      <w:pPr>
        <w:ind w:left="1106"/>
        <w:jc w:val="both"/>
        <w:rPr>
          <w:rFonts w:ascii="Arial" w:hAnsi="Arial"/>
          <w:i/>
          <w:sz w:val="20"/>
        </w:rPr>
      </w:pPr>
      <w:bookmarkStart w:id="673" w:name="Disposición_final_decimosexta._Entrada_e"/>
      <w:bookmarkEnd w:id="673"/>
      <w:r>
        <w:rPr>
          <w:rFonts w:ascii="Arial" w:hAnsi="Arial"/>
          <w:b/>
          <w:sz w:val="20"/>
        </w:rPr>
        <w:t>Disposición</w:t>
      </w:r>
      <w:r>
        <w:rPr>
          <w:rFonts w:ascii="Arial" w:hAnsi="Arial"/>
          <w:b/>
          <w:spacing w:val="-4"/>
          <w:sz w:val="20"/>
        </w:rPr>
        <w:t xml:space="preserve"> </w:t>
      </w:r>
      <w:r>
        <w:rPr>
          <w:rFonts w:ascii="Arial" w:hAnsi="Arial"/>
          <w:b/>
          <w:sz w:val="20"/>
        </w:rPr>
        <w:t>final</w:t>
      </w:r>
      <w:r>
        <w:rPr>
          <w:rFonts w:ascii="Arial" w:hAnsi="Arial"/>
          <w:b/>
          <w:spacing w:val="-1"/>
          <w:sz w:val="20"/>
        </w:rPr>
        <w:t xml:space="preserve"> </w:t>
      </w:r>
      <w:r>
        <w:rPr>
          <w:rFonts w:ascii="Arial" w:hAnsi="Arial"/>
          <w:b/>
          <w:sz w:val="20"/>
        </w:rPr>
        <w:t>decimosexta.</w:t>
      </w:r>
      <w:r>
        <w:rPr>
          <w:rFonts w:ascii="Arial" w:hAnsi="Arial"/>
          <w:b/>
          <w:spacing w:val="52"/>
          <w:sz w:val="20"/>
        </w:rPr>
        <w:t xml:space="preserve"> </w:t>
      </w:r>
      <w:r>
        <w:rPr>
          <w:rFonts w:ascii="Arial" w:hAnsi="Arial"/>
          <w:i/>
          <w:sz w:val="20"/>
        </w:rPr>
        <w:t>Entrada</w:t>
      </w:r>
      <w:r>
        <w:rPr>
          <w:rFonts w:ascii="Arial" w:hAnsi="Arial"/>
          <w:i/>
          <w:spacing w:val="-1"/>
          <w:sz w:val="20"/>
        </w:rPr>
        <w:t xml:space="preserve"> </w:t>
      </w:r>
      <w:r>
        <w:rPr>
          <w:rFonts w:ascii="Arial" w:hAnsi="Arial"/>
          <w:i/>
          <w:sz w:val="20"/>
        </w:rPr>
        <w:t>en</w:t>
      </w:r>
      <w:r>
        <w:rPr>
          <w:rFonts w:ascii="Arial" w:hAnsi="Arial"/>
          <w:i/>
          <w:spacing w:val="-1"/>
          <w:sz w:val="20"/>
        </w:rPr>
        <w:t xml:space="preserve"> </w:t>
      </w:r>
      <w:r>
        <w:rPr>
          <w:rFonts w:ascii="Arial" w:hAnsi="Arial"/>
          <w:i/>
          <w:spacing w:val="-2"/>
          <w:sz w:val="20"/>
        </w:rPr>
        <w:t>vigor.</w:t>
      </w:r>
    </w:p>
    <w:p w:rsidR="0092635B" w:rsidRDefault="00000000">
      <w:pPr>
        <w:pStyle w:val="Textoindependiente"/>
        <w:spacing w:before="123" w:line="249" w:lineRule="auto"/>
        <w:ind w:right="1104"/>
      </w:pPr>
      <w:r>
        <w:t>La presente ley entrará en vigor a los cuatro meses de su publicación en el "Boletín Oficial del Estado".</w:t>
      </w:r>
    </w:p>
    <w:p w:rsidR="0092635B" w:rsidRDefault="00000000">
      <w:pPr>
        <w:pStyle w:val="Textoindependiente"/>
        <w:spacing w:line="249" w:lineRule="auto"/>
        <w:ind w:right="1103"/>
      </w:pPr>
      <w:r>
        <w:t>No obstante, la letra a) del apartado 4 del artículo 159 y la letra d) del apartado 2 del artículo 32, lo harán a los diez meses de la citada publicación; y los artículos 328 a 334, así como la disposición final décima, que lo harán al día siguiente de la referida publicación.</w:t>
      </w:r>
    </w:p>
    <w:p w:rsidR="0092635B" w:rsidRDefault="00000000">
      <w:pPr>
        <w:pStyle w:val="Textoindependiente"/>
        <w:spacing w:before="122"/>
        <w:ind w:left="1446" w:firstLine="0"/>
        <w:jc w:val="left"/>
      </w:pPr>
      <w:bookmarkStart w:id="674" w:name="[Firma]"/>
      <w:bookmarkEnd w:id="674"/>
      <w:r>
        <w:t xml:space="preserve">Por </w:t>
      </w:r>
      <w:r>
        <w:rPr>
          <w:spacing w:val="-2"/>
        </w:rPr>
        <w:t>tanto,</w:t>
      </w:r>
    </w:p>
    <w:p w:rsidR="0092635B" w:rsidRDefault="00000000">
      <w:pPr>
        <w:pStyle w:val="Textoindependiente"/>
        <w:spacing w:before="10" w:line="249" w:lineRule="auto"/>
        <w:ind w:right="1103"/>
      </w:pPr>
      <w:r>
        <w:t>Mando a todos los españoles, particulares y autoridades, que guarden y hagan guardar esta ley.</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53"/>
        <w:ind w:left="0" w:firstLine="0"/>
        <w:jc w:val="left"/>
      </w:pPr>
    </w:p>
    <w:p w:rsidR="0092635B" w:rsidRDefault="0092635B">
      <w:pPr>
        <w:pStyle w:val="Textoindependiente"/>
        <w:jc w:val="left"/>
        <w:sectPr w:rsidR="0092635B">
          <w:pgSz w:w="11910" w:h="16840"/>
          <w:pgMar w:top="1200" w:right="708" w:bottom="760" w:left="708" w:header="589" w:footer="570" w:gutter="0"/>
          <w:cols w:space="720"/>
        </w:sectPr>
      </w:pPr>
    </w:p>
    <w:p w:rsidR="0092635B" w:rsidRDefault="00000000">
      <w:pPr>
        <w:pStyle w:val="Textoindependiente"/>
        <w:spacing w:before="94"/>
        <w:ind w:left="1446" w:firstLine="0"/>
        <w:jc w:val="left"/>
      </w:pPr>
      <w:r>
        <w:t>Madrid,</w:t>
      </w:r>
      <w:r>
        <w:rPr>
          <w:spacing w:val="-2"/>
        </w:rPr>
        <w:t xml:space="preserve"> </w:t>
      </w:r>
      <w:r>
        <w:t>8</w:t>
      </w:r>
      <w:r>
        <w:rPr>
          <w:spacing w:val="-2"/>
        </w:rPr>
        <w:t xml:space="preserve"> </w:t>
      </w:r>
      <w:r>
        <w:t>de</w:t>
      </w:r>
      <w:r>
        <w:rPr>
          <w:spacing w:val="-2"/>
        </w:rPr>
        <w:t xml:space="preserve"> </w:t>
      </w:r>
      <w:r>
        <w:t>noviembre</w:t>
      </w:r>
      <w:r>
        <w:rPr>
          <w:spacing w:val="-2"/>
        </w:rPr>
        <w:t xml:space="preserve"> </w:t>
      </w:r>
      <w:r>
        <w:t>de</w:t>
      </w:r>
      <w:r>
        <w:rPr>
          <w:spacing w:val="-2"/>
        </w:rPr>
        <w:t xml:space="preserve"> 2017.</w:t>
      </w:r>
    </w:p>
    <w:p w:rsidR="0092635B" w:rsidRDefault="0092635B">
      <w:pPr>
        <w:pStyle w:val="Textoindependiente"/>
        <w:spacing w:before="0"/>
        <w:ind w:left="0" w:firstLine="0"/>
        <w:jc w:val="left"/>
      </w:pPr>
    </w:p>
    <w:p w:rsidR="0092635B" w:rsidRDefault="0092635B">
      <w:pPr>
        <w:pStyle w:val="Textoindependiente"/>
        <w:spacing w:before="77"/>
        <w:ind w:left="0" w:firstLine="0"/>
        <w:jc w:val="left"/>
      </w:pPr>
    </w:p>
    <w:p w:rsidR="0092635B" w:rsidRDefault="00000000">
      <w:pPr>
        <w:spacing w:line="261" w:lineRule="auto"/>
        <w:ind w:left="4342" w:hanging="76"/>
        <w:rPr>
          <w:sz w:val="16"/>
        </w:rPr>
      </w:pPr>
      <w:r>
        <w:rPr>
          <w:sz w:val="16"/>
        </w:rPr>
        <w:t>El</w:t>
      </w:r>
      <w:r>
        <w:rPr>
          <w:spacing w:val="-12"/>
          <w:sz w:val="16"/>
        </w:rPr>
        <w:t xml:space="preserve"> </w:t>
      </w:r>
      <w:r>
        <w:rPr>
          <w:sz w:val="16"/>
        </w:rPr>
        <w:t>Presidente</w:t>
      </w:r>
      <w:r>
        <w:rPr>
          <w:spacing w:val="-11"/>
          <w:sz w:val="16"/>
        </w:rPr>
        <w:t xml:space="preserve"> </w:t>
      </w:r>
      <w:r>
        <w:rPr>
          <w:sz w:val="16"/>
        </w:rPr>
        <w:t>del</w:t>
      </w:r>
      <w:r>
        <w:rPr>
          <w:spacing w:val="-11"/>
          <w:sz w:val="16"/>
        </w:rPr>
        <w:t xml:space="preserve"> </w:t>
      </w:r>
      <w:r>
        <w:rPr>
          <w:sz w:val="16"/>
        </w:rPr>
        <w:t>Gobierno, MARIANO RAJOY BREY</w:t>
      </w:r>
    </w:p>
    <w:p w:rsidR="0092635B" w:rsidRDefault="00000000">
      <w:pPr>
        <w:rPr>
          <w:sz w:val="20"/>
        </w:rPr>
      </w:pPr>
      <w:r>
        <w:br w:type="column"/>
      </w:r>
    </w:p>
    <w:p w:rsidR="0092635B" w:rsidRDefault="0092635B">
      <w:pPr>
        <w:pStyle w:val="Textoindependiente"/>
        <w:spacing w:before="44"/>
        <w:ind w:left="0" w:firstLine="0"/>
        <w:jc w:val="left"/>
      </w:pPr>
    </w:p>
    <w:p w:rsidR="0092635B" w:rsidRDefault="00000000">
      <w:pPr>
        <w:pStyle w:val="Textoindependiente"/>
        <w:spacing w:before="0"/>
        <w:ind w:left="1446" w:firstLine="0"/>
        <w:jc w:val="left"/>
      </w:pPr>
      <w:r>
        <w:t xml:space="preserve">FELIPE </w:t>
      </w:r>
      <w:r>
        <w:rPr>
          <w:spacing w:val="-5"/>
        </w:rPr>
        <w:t>R.</w:t>
      </w:r>
    </w:p>
    <w:p w:rsidR="0092635B" w:rsidRDefault="0092635B">
      <w:pPr>
        <w:pStyle w:val="Textoindependiente"/>
        <w:jc w:val="left"/>
        <w:sectPr w:rsidR="0092635B">
          <w:type w:val="continuous"/>
          <w:pgSz w:w="11910" w:h="16840"/>
          <w:pgMar w:top="560" w:right="708" w:bottom="760" w:left="708" w:header="589" w:footer="570" w:gutter="0"/>
          <w:cols w:num="2" w:space="720" w:equalWidth="0">
            <w:col w:w="6264" w:space="729"/>
            <w:col w:w="3501"/>
          </w:cols>
        </w:sectPr>
      </w:pPr>
    </w:p>
    <w:p w:rsidR="0092635B" w:rsidRDefault="0092635B">
      <w:pPr>
        <w:pStyle w:val="Textoindependiente"/>
        <w:spacing w:before="218"/>
        <w:ind w:left="0" w:firstLine="0"/>
        <w:jc w:val="left"/>
      </w:pPr>
    </w:p>
    <w:p w:rsidR="0092635B" w:rsidRDefault="00000000">
      <w:pPr>
        <w:pStyle w:val="Ttulo1"/>
        <w:spacing w:before="1"/>
      </w:pPr>
      <w:bookmarkStart w:id="675" w:name="ANEXO_I._Trabajos_contemplados_en_el_art"/>
      <w:bookmarkStart w:id="676" w:name="_bookmark125"/>
      <w:bookmarkEnd w:id="675"/>
      <w:bookmarkEnd w:id="676"/>
      <w:r>
        <w:t xml:space="preserve">ANEXO </w:t>
      </w:r>
      <w:r>
        <w:rPr>
          <w:spacing w:val="-10"/>
        </w:rPr>
        <w:t>I</w:t>
      </w:r>
    </w:p>
    <w:p w:rsidR="0092635B" w:rsidRDefault="00000000">
      <w:pPr>
        <w:pStyle w:val="Ttulo2"/>
      </w:pPr>
      <w:r>
        <w:t>Trabajos</w:t>
      </w:r>
      <w:r>
        <w:rPr>
          <w:spacing w:val="-6"/>
        </w:rPr>
        <w:t xml:space="preserve"> </w:t>
      </w:r>
      <w:r>
        <w:t>contemplados</w:t>
      </w:r>
      <w:r>
        <w:rPr>
          <w:spacing w:val="-6"/>
        </w:rPr>
        <w:t xml:space="preserve"> </w:t>
      </w:r>
      <w:r>
        <w:t>en</w:t>
      </w:r>
      <w:r>
        <w:rPr>
          <w:spacing w:val="-5"/>
        </w:rPr>
        <w:t xml:space="preserve"> </w:t>
      </w:r>
      <w:r>
        <w:t>el</w:t>
      </w:r>
      <w:r>
        <w:rPr>
          <w:spacing w:val="-6"/>
        </w:rPr>
        <w:t xml:space="preserve"> </w:t>
      </w:r>
      <w:r>
        <w:t>artículo</w:t>
      </w:r>
      <w:r>
        <w:rPr>
          <w:spacing w:val="-5"/>
        </w:rPr>
        <w:t xml:space="preserve"> 13</w:t>
      </w:r>
    </w:p>
    <w:p w:rsidR="0092635B" w:rsidRDefault="00000000">
      <w:pPr>
        <w:pStyle w:val="Textoindependiente"/>
        <w:spacing w:before="130" w:line="249" w:lineRule="auto"/>
        <w:ind w:right="1120"/>
        <w:jc w:val="left"/>
      </w:pPr>
      <w:r>
        <w:t xml:space="preserve">En caso de diferentes interpretaciones entre CPV y NACE, se aplicará la nomenclatura </w:t>
      </w:r>
      <w:r>
        <w:rPr>
          <w:spacing w:val="-4"/>
        </w:rPr>
        <w:t>CPV.</w:t>
      </w:r>
    </w:p>
    <w:p w:rsidR="0092635B" w:rsidRDefault="0092635B">
      <w:pPr>
        <w:pStyle w:val="Textoindependiente"/>
        <w:spacing w:before="107"/>
        <w:ind w:left="0" w:firstLine="0"/>
        <w:jc w:val="left"/>
      </w:pPr>
    </w:p>
    <w:tbl>
      <w:tblPr>
        <w:tblStyle w:val="TableNormal"/>
        <w:tblW w:w="0" w:type="auto"/>
        <w:tblInd w:w="149"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562"/>
        <w:gridCol w:w="453"/>
        <w:gridCol w:w="412"/>
        <w:gridCol w:w="1596"/>
        <w:gridCol w:w="6267"/>
        <w:gridCol w:w="913"/>
      </w:tblGrid>
      <w:tr w:rsidR="0092635B">
        <w:trPr>
          <w:trHeight w:val="165"/>
        </w:trPr>
        <w:tc>
          <w:tcPr>
            <w:tcW w:w="9290" w:type="dxa"/>
            <w:gridSpan w:val="5"/>
            <w:shd w:val="clear" w:color="auto" w:fill="EDEDED"/>
          </w:tcPr>
          <w:p w:rsidR="0092635B" w:rsidRDefault="00000000">
            <w:pPr>
              <w:pStyle w:val="TableParagraph"/>
              <w:spacing w:line="146" w:lineRule="exact"/>
              <w:ind w:left="7"/>
              <w:jc w:val="center"/>
              <w:rPr>
                <w:rFonts w:ascii="Arial"/>
                <w:b/>
                <w:sz w:val="14"/>
              </w:rPr>
            </w:pPr>
            <w:r>
              <w:rPr>
                <w:rFonts w:ascii="Arial"/>
                <w:b/>
                <w:w w:val="85"/>
                <w:sz w:val="14"/>
              </w:rPr>
              <w:t>NACE</w:t>
            </w:r>
            <w:r>
              <w:rPr>
                <w:rFonts w:ascii="Arial"/>
                <w:b/>
                <w:spacing w:val="-4"/>
                <w:sz w:val="14"/>
              </w:rPr>
              <w:t xml:space="preserve"> </w:t>
            </w:r>
            <w:r>
              <w:rPr>
                <w:rFonts w:ascii="Arial"/>
                <w:b/>
                <w:w w:val="85"/>
                <w:sz w:val="14"/>
              </w:rPr>
              <w:t>Rev.2</w:t>
            </w:r>
            <w:r>
              <w:rPr>
                <w:rFonts w:ascii="Arial"/>
                <w:b/>
                <w:spacing w:val="-4"/>
                <w:sz w:val="14"/>
              </w:rPr>
              <w:t xml:space="preserve"> </w:t>
            </w:r>
            <w:r>
              <w:rPr>
                <w:rFonts w:ascii="Arial"/>
                <w:b/>
                <w:spacing w:val="-5"/>
                <w:w w:val="85"/>
                <w:sz w:val="14"/>
              </w:rPr>
              <w:t>(</w:t>
            </w:r>
            <w:r>
              <w:rPr>
                <w:rFonts w:ascii="Arial"/>
                <w:b/>
                <w:spacing w:val="-5"/>
                <w:w w:val="85"/>
                <w:position w:val="5"/>
                <w:sz w:val="8"/>
              </w:rPr>
              <w:t>1</w:t>
            </w:r>
            <w:r>
              <w:rPr>
                <w:rFonts w:ascii="Arial"/>
                <w:b/>
                <w:spacing w:val="-5"/>
                <w:w w:val="85"/>
                <w:sz w:val="14"/>
              </w:rPr>
              <w:t>)</w:t>
            </w:r>
          </w:p>
        </w:tc>
        <w:tc>
          <w:tcPr>
            <w:tcW w:w="913" w:type="dxa"/>
            <w:vMerge w:val="restart"/>
            <w:shd w:val="clear" w:color="auto" w:fill="EDEDED"/>
          </w:tcPr>
          <w:p w:rsidR="0092635B" w:rsidRDefault="0092635B">
            <w:pPr>
              <w:pStyle w:val="TableParagraph"/>
              <w:spacing w:before="14"/>
              <w:rPr>
                <w:sz w:val="14"/>
              </w:rPr>
            </w:pPr>
          </w:p>
          <w:p w:rsidR="0092635B" w:rsidRDefault="00000000">
            <w:pPr>
              <w:pStyle w:val="TableParagraph"/>
              <w:spacing w:before="1"/>
              <w:ind w:left="102"/>
              <w:rPr>
                <w:rFonts w:ascii="Arial" w:hAnsi="Arial"/>
                <w:b/>
                <w:sz w:val="14"/>
              </w:rPr>
            </w:pPr>
            <w:r>
              <w:rPr>
                <w:rFonts w:ascii="Arial" w:hAnsi="Arial"/>
                <w:b/>
                <w:w w:val="85"/>
                <w:sz w:val="14"/>
              </w:rPr>
              <w:t>Código</w:t>
            </w:r>
            <w:r>
              <w:rPr>
                <w:rFonts w:ascii="Arial" w:hAnsi="Arial"/>
                <w:b/>
                <w:spacing w:val="4"/>
                <w:sz w:val="14"/>
              </w:rPr>
              <w:t xml:space="preserve"> </w:t>
            </w:r>
            <w:r>
              <w:rPr>
                <w:rFonts w:ascii="Arial" w:hAnsi="Arial"/>
                <w:b/>
                <w:spacing w:val="-5"/>
                <w:w w:val="95"/>
                <w:sz w:val="14"/>
              </w:rPr>
              <w:t>CPV</w:t>
            </w:r>
          </w:p>
        </w:tc>
      </w:tr>
      <w:tr w:rsidR="0092635B">
        <w:trPr>
          <w:trHeight w:val="165"/>
        </w:trPr>
        <w:tc>
          <w:tcPr>
            <w:tcW w:w="1427" w:type="dxa"/>
            <w:gridSpan w:val="3"/>
            <w:shd w:val="clear" w:color="auto" w:fill="EDEDED"/>
          </w:tcPr>
          <w:p w:rsidR="0092635B" w:rsidRDefault="00000000">
            <w:pPr>
              <w:pStyle w:val="TableParagraph"/>
              <w:spacing w:line="146" w:lineRule="exact"/>
              <w:ind w:left="422"/>
              <w:rPr>
                <w:rFonts w:ascii="Arial" w:hAnsi="Arial"/>
                <w:b/>
                <w:sz w:val="14"/>
              </w:rPr>
            </w:pPr>
            <w:r>
              <w:rPr>
                <w:rFonts w:ascii="Arial" w:hAnsi="Arial"/>
                <w:b/>
                <w:w w:val="85"/>
                <w:sz w:val="14"/>
              </w:rPr>
              <w:t>Sección</w:t>
            </w:r>
            <w:r>
              <w:rPr>
                <w:rFonts w:ascii="Arial" w:hAnsi="Arial"/>
                <w:b/>
                <w:spacing w:val="5"/>
                <w:sz w:val="14"/>
              </w:rPr>
              <w:t xml:space="preserve"> </w:t>
            </w:r>
            <w:r>
              <w:rPr>
                <w:rFonts w:ascii="Arial" w:hAnsi="Arial"/>
                <w:b/>
                <w:spacing w:val="-10"/>
                <w:w w:val="95"/>
                <w:sz w:val="14"/>
              </w:rPr>
              <w:t>F</w:t>
            </w:r>
          </w:p>
        </w:tc>
        <w:tc>
          <w:tcPr>
            <w:tcW w:w="7863" w:type="dxa"/>
            <w:gridSpan w:val="2"/>
            <w:shd w:val="clear" w:color="auto" w:fill="EDEDED"/>
          </w:tcPr>
          <w:p w:rsidR="0092635B" w:rsidRDefault="00000000">
            <w:pPr>
              <w:pStyle w:val="TableParagraph"/>
              <w:spacing w:line="146" w:lineRule="exact"/>
              <w:ind w:left="8"/>
              <w:jc w:val="center"/>
              <w:rPr>
                <w:rFonts w:ascii="Arial" w:hAnsi="Arial"/>
                <w:b/>
                <w:sz w:val="14"/>
              </w:rPr>
            </w:pPr>
            <w:r>
              <w:rPr>
                <w:rFonts w:ascii="Arial" w:hAnsi="Arial"/>
                <w:b/>
                <w:spacing w:val="-2"/>
                <w:w w:val="95"/>
                <w:sz w:val="14"/>
              </w:rPr>
              <w:t>Construcción</w:t>
            </w:r>
          </w:p>
        </w:tc>
        <w:tc>
          <w:tcPr>
            <w:tcW w:w="913" w:type="dxa"/>
            <w:vMerge/>
            <w:tcBorders>
              <w:top w:val="nil"/>
            </w:tcBorders>
            <w:shd w:val="clear" w:color="auto" w:fill="EDEDED"/>
          </w:tcPr>
          <w:p w:rsidR="0092635B" w:rsidRDefault="0092635B">
            <w:pPr>
              <w:rPr>
                <w:sz w:val="2"/>
                <w:szCs w:val="2"/>
              </w:rPr>
            </w:pPr>
          </w:p>
        </w:tc>
      </w:tr>
      <w:tr w:rsidR="0092635B">
        <w:trPr>
          <w:trHeight w:val="164"/>
        </w:trPr>
        <w:tc>
          <w:tcPr>
            <w:tcW w:w="562" w:type="dxa"/>
            <w:shd w:val="clear" w:color="auto" w:fill="EDEDED"/>
          </w:tcPr>
          <w:p w:rsidR="0092635B" w:rsidRDefault="00000000">
            <w:pPr>
              <w:pStyle w:val="TableParagraph"/>
              <w:spacing w:line="145" w:lineRule="exact"/>
              <w:ind w:left="5"/>
              <w:jc w:val="center"/>
              <w:rPr>
                <w:rFonts w:ascii="Arial" w:hAnsi="Arial"/>
                <w:b/>
                <w:sz w:val="14"/>
              </w:rPr>
            </w:pPr>
            <w:r>
              <w:rPr>
                <w:rFonts w:ascii="Arial" w:hAnsi="Arial"/>
                <w:b/>
                <w:spacing w:val="-2"/>
                <w:w w:val="95"/>
                <w:sz w:val="14"/>
              </w:rPr>
              <w:t>División</w:t>
            </w:r>
          </w:p>
        </w:tc>
        <w:tc>
          <w:tcPr>
            <w:tcW w:w="453" w:type="dxa"/>
            <w:shd w:val="clear" w:color="auto" w:fill="EDEDED"/>
          </w:tcPr>
          <w:p w:rsidR="0092635B" w:rsidRDefault="00000000">
            <w:pPr>
              <w:pStyle w:val="TableParagraph"/>
              <w:spacing w:line="145" w:lineRule="exact"/>
              <w:ind w:left="6"/>
              <w:jc w:val="center"/>
              <w:rPr>
                <w:rFonts w:ascii="Arial"/>
                <w:b/>
                <w:sz w:val="14"/>
              </w:rPr>
            </w:pPr>
            <w:r>
              <w:rPr>
                <w:rFonts w:ascii="Arial"/>
                <w:b/>
                <w:spacing w:val="-2"/>
                <w:w w:val="95"/>
                <w:sz w:val="14"/>
              </w:rPr>
              <w:t>Grupo</w:t>
            </w:r>
          </w:p>
        </w:tc>
        <w:tc>
          <w:tcPr>
            <w:tcW w:w="412" w:type="dxa"/>
            <w:shd w:val="clear" w:color="auto" w:fill="EDEDED"/>
          </w:tcPr>
          <w:p w:rsidR="0092635B" w:rsidRDefault="00000000">
            <w:pPr>
              <w:pStyle w:val="TableParagraph"/>
              <w:spacing w:line="145" w:lineRule="exact"/>
              <w:ind w:left="6"/>
              <w:jc w:val="center"/>
              <w:rPr>
                <w:rFonts w:ascii="Arial"/>
                <w:b/>
                <w:sz w:val="14"/>
              </w:rPr>
            </w:pPr>
            <w:r>
              <w:rPr>
                <w:rFonts w:ascii="Arial"/>
                <w:b/>
                <w:spacing w:val="-2"/>
                <w:w w:val="95"/>
                <w:sz w:val="14"/>
              </w:rPr>
              <w:t>Clase</w:t>
            </w:r>
          </w:p>
        </w:tc>
        <w:tc>
          <w:tcPr>
            <w:tcW w:w="1596" w:type="dxa"/>
            <w:shd w:val="clear" w:color="auto" w:fill="EDEDED"/>
          </w:tcPr>
          <w:p w:rsidR="0092635B" w:rsidRDefault="00000000">
            <w:pPr>
              <w:pStyle w:val="TableParagraph"/>
              <w:spacing w:line="145" w:lineRule="exact"/>
              <w:ind w:left="446"/>
              <w:rPr>
                <w:rFonts w:ascii="Arial" w:hAnsi="Arial"/>
                <w:b/>
                <w:sz w:val="14"/>
              </w:rPr>
            </w:pPr>
            <w:r>
              <w:rPr>
                <w:rFonts w:ascii="Arial" w:hAnsi="Arial"/>
                <w:b/>
                <w:spacing w:val="-2"/>
                <w:w w:val="95"/>
                <w:sz w:val="14"/>
              </w:rPr>
              <w:t>Descripción</w:t>
            </w:r>
          </w:p>
        </w:tc>
        <w:tc>
          <w:tcPr>
            <w:tcW w:w="6267" w:type="dxa"/>
            <w:shd w:val="clear" w:color="auto" w:fill="EDEDED"/>
          </w:tcPr>
          <w:p w:rsidR="0092635B" w:rsidRDefault="00000000">
            <w:pPr>
              <w:pStyle w:val="TableParagraph"/>
              <w:spacing w:line="145" w:lineRule="exact"/>
              <w:ind w:left="7"/>
              <w:jc w:val="center"/>
              <w:rPr>
                <w:rFonts w:ascii="Arial"/>
                <w:b/>
                <w:sz w:val="14"/>
              </w:rPr>
            </w:pPr>
            <w:r>
              <w:rPr>
                <w:rFonts w:ascii="Arial"/>
                <w:b/>
                <w:spacing w:val="-2"/>
                <w:w w:val="95"/>
                <w:sz w:val="14"/>
              </w:rPr>
              <w:t>Observaciones</w:t>
            </w:r>
          </w:p>
        </w:tc>
        <w:tc>
          <w:tcPr>
            <w:tcW w:w="913" w:type="dxa"/>
            <w:vMerge/>
            <w:tcBorders>
              <w:top w:val="nil"/>
            </w:tcBorders>
            <w:shd w:val="clear" w:color="auto" w:fill="EDEDED"/>
          </w:tcPr>
          <w:p w:rsidR="0092635B" w:rsidRDefault="0092635B">
            <w:pPr>
              <w:rPr>
                <w:sz w:val="2"/>
                <w:szCs w:val="2"/>
              </w:rPr>
            </w:pPr>
          </w:p>
        </w:tc>
      </w:tr>
      <w:tr w:rsidR="0092635B">
        <w:trPr>
          <w:trHeight w:val="332"/>
        </w:trPr>
        <w:tc>
          <w:tcPr>
            <w:tcW w:w="562" w:type="dxa"/>
            <w:tcBorders>
              <w:left w:val="single" w:sz="4" w:space="0" w:color="CCCCCC"/>
              <w:bottom w:val="single" w:sz="4" w:space="0" w:color="CCCCCC"/>
              <w:right w:val="single" w:sz="4" w:space="0" w:color="CCCCCC"/>
            </w:tcBorders>
          </w:tcPr>
          <w:p w:rsidR="0092635B" w:rsidRDefault="00000000">
            <w:pPr>
              <w:pStyle w:val="TableParagraph"/>
              <w:spacing w:before="83"/>
              <w:ind w:left="5"/>
              <w:jc w:val="center"/>
              <w:rPr>
                <w:sz w:val="14"/>
              </w:rPr>
            </w:pPr>
            <w:r>
              <w:rPr>
                <w:spacing w:val="-5"/>
                <w:w w:val="95"/>
                <w:sz w:val="14"/>
              </w:rPr>
              <w:t>45</w:t>
            </w:r>
          </w:p>
        </w:tc>
        <w:tc>
          <w:tcPr>
            <w:tcW w:w="453" w:type="dxa"/>
            <w:tcBorders>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1596" w:type="dxa"/>
            <w:tcBorders>
              <w:left w:val="single" w:sz="4" w:space="0" w:color="CCCCCC"/>
              <w:bottom w:val="single" w:sz="4" w:space="0" w:color="CCCCCC"/>
              <w:right w:val="single" w:sz="4" w:space="0" w:color="CCCCCC"/>
            </w:tcBorders>
          </w:tcPr>
          <w:p w:rsidR="0092635B" w:rsidRDefault="00000000">
            <w:pPr>
              <w:pStyle w:val="TableParagraph"/>
              <w:spacing w:before="83"/>
              <w:ind w:left="41"/>
              <w:rPr>
                <w:sz w:val="14"/>
              </w:rPr>
            </w:pPr>
            <w:r>
              <w:rPr>
                <w:spacing w:val="-2"/>
                <w:w w:val="95"/>
                <w:sz w:val="14"/>
              </w:rPr>
              <w:t>Construcción.</w:t>
            </w:r>
          </w:p>
        </w:tc>
        <w:tc>
          <w:tcPr>
            <w:tcW w:w="6267" w:type="dxa"/>
            <w:tcBorders>
              <w:left w:val="single" w:sz="4" w:space="0" w:color="CCCCCC"/>
              <w:bottom w:val="single" w:sz="4" w:space="0" w:color="CCCCCC"/>
              <w:right w:val="single" w:sz="4" w:space="0" w:color="CCCCCC"/>
            </w:tcBorders>
          </w:tcPr>
          <w:p w:rsidR="0092635B" w:rsidRDefault="00000000">
            <w:pPr>
              <w:pStyle w:val="TableParagraph"/>
              <w:spacing w:line="161" w:lineRule="exact"/>
              <w:ind w:left="41"/>
              <w:rPr>
                <w:sz w:val="14"/>
              </w:rPr>
            </w:pPr>
            <w:r>
              <w:rPr>
                <w:w w:val="85"/>
                <w:sz w:val="14"/>
              </w:rPr>
              <w:t>Esta</w:t>
            </w:r>
            <w:r>
              <w:rPr>
                <w:spacing w:val="-3"/>
                <w:sz w:val="14"/>
              </w:rPr>
              <w:t xml:space="preserve"> </w:t>
            </w:r>
            <w:r>
              <w:rPr>
                <w:w w:val="85"/>
                <w:sz w:val="14"/>
              </w:rPr>
              <w:t>división</w:t>
            </w:r>
            <w:r>
              <w:rPr>
                <w:spacing w:val="-3"/>
                <w:sz w:val="14"/>
              </w:rPr>
              <w:t xml:space="preserve"> </w:t>
            </w:r>
            <w:r>
              <w:rPr>
                <w:spacing w:val="-2"/>
                <w:w w:val="85"/>
                <w:sz w:val="14"/>
              </w:rPr>
              <w:t>comprende:</w:t>
            </w:r>
          </w:p>
          <w:p w:rsidR="0092635B" w:rsidRDefault="00000000">
            <w:pPr>
              <w:pStyle w:val="TableParagraph"/>
              <w:spacing w:before="7" w:line="145" w:lineRule="exact"/>
              <w:ind w:left="41"/>
              <w:rPr>
                <w:sz w:val="14"/>
              </w:rPr>
            </w:pPr>
            <w:r>
              <w:rPr>
                <w:w w:val="85"/>
                <w:sz w:val="14"/>
              </w:rPr>
              <w:t>–</w:t>
            </w:r>
            <w:r>
              <w:rPr>
                <w:spacing w:val="2"/>
                <w:sz w:val="14"/>
              </w:rPr>
              <w:t xml:space="preserve"> </w:t>
            </w:r>
            <w:r>
              <w:rPr>
                <w:w w:val="85"/>
                <w:sz w:val="14"/>
              </w:rPr>
              <w:t>las</w:t>
            </w:r>
            <w:r>
              <w:rPr>
                <w:spacing w:val="2"/>
                <w:sz w:val="14"/>
              </w:rPr>
              <w:t xml:space="preserve"> </w:t>
            </w:r>
            <w:r>
              <w:rPr>
                <w:w w:val="85"/>
                <w:sz w:val="14"/>
              </w:rPr>
              <w:t>construcciones</w:t>
            </w:r>
            <w:r>
              <w:rPr>
                <w:spacing w:val="2"/>
                <w:sz w:val="14"/>
              </w:rPr>
              <w:t xml:space="preserve"> </w:t>
            </w:r>
            <w:r>
              <w:rPr>
                <w:w w:val="85"/>
                <w:sz w:val="14"/>
              </w:rPr>
              <w:t>nuevas,</w:t>
            </w:r>
            <w:r>
              <w:rPr>
                <w:spacing w:val="2"/>
                <w:sz w:val="14"/>
              </w:rPr>
              <w:t xml:space="preserve"> </w:t>
            </w:r>
            <w:r>
              <w:rPr>
                <w:w w:val="85"/>
                <w:sz w:val="14"/>
              </w:rPr>
              <w:t>obras</w:t>
            </w:r>
            <w:r>
              <w:rPr>
                <w:spacing w:val="2"/>
                <w:sz w:val="14"/>
              </w:rPr>
              <w:t xml:space="preserve"> </w:t>
            </w:r>
            <w:r>
              <w:rPr>
                <w:w w:val="85"/>
                <w:sz w:val="14"/>
              </w:rPr>
              <w:t>de</w:t>
            </w:r>
            <w:r>
              <w:rPr>
                <w:spacing w:val="3"/>
                <w:sz w:val="14"/>
              </w:rPr>
              <w:t xml:space="preserve"> </w:t>
            </w:r>
            <w:r>
              <w:rPr>
                <w:w w:val="85"/>
                <w:sz w:val="14"/>
              </w:rPr>
              <w:t>restauración</w:t>
            </w:r>
            <w:r>
              <w:rPr>
                <w:spacing w:val="2"/>
                <w:sz w:val="14"/>
              </w:rPr>
              <w:t xml:space="preserve"> </w:t>
            </w:r>
            <w:r>
              <w:rPr>
                <w:w w:val="85"/>
                <w:sz w:val="14"/>
              </w:rPr>
              <w:t>y</w:t>
            </w:r>
            <w:r>
              <w:rPr>
                <w:spacing w:val="2"/>
                <w:sz w:val="14"/>
              </w:rPr>
              <w:t xml:space="preserve"> </w:t>
            </w:r>
            <w:r>
              <w:rPr>
                <w:w w:val="85"/>
                <w:sz w:val="14"/>
              </w:rPr>
              <w:t>reparaciones</w:t>
            </w:r>
            <w:r>
              <w:rPr>
                <w:spacing w:val="2"/>
                <w:sz w:val="14"/>
              </w:rPr>
              <w:t xml:space="preserve"> </w:t>
            </w:r>
            <w:r>
              <w:rPr>
                <w:spacing w:val="-2"/>
                <w:w w:val="85"/>
                <w:sz w:val="14"/>
              </w:rPr>
              <w:t>corrientes.</w:t>
            </w:r>
          </w:p>
        </w:tc>
        <w:tc>
          <w:tcPr>
            <w:tcW w:w="913" w:type="dxa"/>
            <w:tcBorders>
              <w:left w:val="single" w:sz="4" w:space="0" w:color="CCCCCC"/>
              <w:bottom w:val="single" w:sz="4" w:space="0" w:color="CCCCCC"/>
              <w:right w:val="single" w:sz="4" w:space="0" w:color="CCCCCC"/>
            </w:tcBorders>
          </w:tcPr>
          <w:p w:rsidR="0092635B" w:rsidRDefault="00000000">
            <w:pPr>
              <w:pStyle w:val="TableParagraph"/>
              <w:spacing w:before="83"/>
              <w:ind w:left="30" w:right="22"/>
              <w:jc w:val="center"/>
              <w:rPr>
                <w:sz w:val="14"/>
              </w:rPr>
            </w:pPr>
            <w:r>
              <w:rPr>
                <w:spacing w:val="-2"/>
                <w:w w:val="95"/>
                <w:sz w:val="14"/>
              </w:rPr>
              <w:t>45000000</w:t>
            </w:r>
          </w:p>
        </w:tc>
      </w:tr>
      <w:tr w:rsidR="0092635B">
        <w:trPr>
          <w:trHeight w:val="165"/>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0"/>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6"/>
              <w:jc w:val="center"/>
              <w:rPr>
                <w:sz w:val="14"/>
              </w:rPr>
            </w:pPr>
            <w:r>
              <w:rPr>
                <w:spacing w:val="-4"/>
                <w:w w:val="95"/>
                <w:sz w:val="14"/>
              </w:rPr>
              <w:t>45,1</w:t>
            </w: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0"/>
              </w:rPr>
            </w:pP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1"/>
              <w:rPr>
                <w:sz w:val="14"/>
              </w:rPr>
            </w:pPr>
            <w:r>
              <w:rPr>
                <w:w w:val="85"/>
                <w:sz w:val="14"/>
              </w:rPr>
              <w:t>Preparación</w:t>
            </w:r>
            <w:r>
              <w:rPr>
                <w:spacing w:val="-2"/>
                <w:sz w:val="14"/>
              </w:rPr>
              <w:t xml:space="preserve"> </w:t>
            </w:r>
            <w:r>
              <w:rPr>
                <w:w w:val="85"/>
                <w:sz w:val="14"/>
              </w:rPr>
              <w:t>de</w:t>
            </w:r>
            <w:r>
              <w:rPr>
                <w:spacing w:val="-1"/>
                <w:sz w:val="14"/>
              </w:rPr>
              <w:t xml:space="preserve"> </w:t>
            </w:r>
            <w:r>
              <w:rPr>
                <w:spacing w:val="-2"/>
                <w:w w:val="85"/>
                <w:sz w:val="14"/>
              </w:rPr>
              <w:t>obras.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0"/>
              </w:rPr>
            </w:pPr>
          </w:p>
        </w:tc>
        <w:tc>
          <w:tcPr>
            <w:tcW w:w="91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30" w:right="22"/>
              <w:jc w:val="center"/>
              <w:rPr>
                <w:sz w:val="14"/>
              </w:rPr>
            </w:pPr>
            <w:r>
              <w:rPr>
                <w:spacing w:val="-2"/>
                <w:w w:val="95"/>
                <w:sz w:val="14"/>
              </w:rPr>
              <w:t>45100000</w:t>
            </w:r>
          </w:p>
        </w:tc>
      </w:tr>
      <w:tr w:rsidR="0092635B">
        <w:trPr>
          <w:trHeight w:val="1675"/>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1"/>
              <w:rPr>
                <w:sz w:val="14"/>
              </w:rPr>
            </w:pPr>
          </w:p>
          <w:p w:rsidR="0092635B" w:rsidRDefault="00000000">
            <w:pPr>
              <w:pStyle w:val="TableParagraph"/>
              <w:ind w:left="6"/>
              <w:jc w:val="center"/>
              <w:rPr>
                <w:sz w:val="14"/>
              </w:rPr>
            </w:pPr>
            <w:r>
              <w:rPr>
                <w:spacing w:val="-2"/>
                <w:w w:val="95"/>
                <w:sz w:val="14"/>
              </w:rPr>
              <w:t>45,11</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7"/>
              <w:rPr>
                <w:sz w:val="14"/>
              </w:rPr>
            </w:pPr>
          </w:p>
          <w:p w:rsidR="0092635B" w:rsidRDefault="00000000">
            <w:pPr>
              <w:pStyle w:val="TableParagraph"/>
              <w:spacing w:line="249" w:lineRule="auto"/>
              <w:ind w:left="41"/>
              <w:rPr>
                <w:sz w:val="14"/>
              </w:rPr>
            </w:pPr>
            <w:r>
              <w:rPr>
                <w:w w:val="85"/>
                <w:sz w:val="14"/>
              </w:rPr>
              <w:t>Demolición de inmuebles;</w:t>
            </w:r>
            <w:r>
              <w:rPr>
                <w:spacing w:val="40"/>
                <w:sz w:val="14"/>
              </w:rPr>
              <w:t xml:space="preserve"> </w:t>
            </w:r>
            <w:r>
              <w:rPr>
                <w:w w:val="95"/>
                <w:sz w:val="14"/>
              </w:rPr>
              <w:t>movimientos</w:t>
            </w:r>
            <w:r>
              <w:rPr>
                <w:spacing w:val="-5"/>
                <w:w w:val="95"/>
                <w:sz w:val="14"/>
              </w:rPr>
              <w:t xml:space="preserve"> </w:t>
            </w:r>
            <w:r>
              <w:rPr>
                <w:w w:val="95"/>
                <w:sz w:val="14"/>
              </w:rPr>
              <w:t>de</w:t>
            </w:r>
            <w:r>
              <w:rPr>
                <w:spacing w:val="-5"/>
                <w:w w:val="95"/>
                <w:sz w:val="14"/>
              </w:rPr>
              <w:t xml:space="preserve"> </w:t>
            </w:r>
            <w:r>
              <w:rPr>
                <w:w w:val="95"/>
                <w:sz w:val="14"/>
              </w:rPr>
              <w:t>tierras.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31"/>
              </w:numPr>
              <w:tabs>
                <w:tab w:val="left" w:pos="143"/>
              </w:tabs>
              <w:spacing w:before="7"/>
              <w:ind w:left="143" w:hanging="102"/>
              <w:rPr>
                <w:sz w:val="14"/>
              </w:rPr>
            </w:pPr>
            <w:r>
              <w:rPr>
                <w:w w:val="85"/>
                <w:sz w:val="14"/>
              </w:rPr>
              <w:t>la</w:t>
            </w:r>
            <w:r>
              <w:rPr>
                <w:spacing w:val="-2"/>
                <w:sz w:val="14"/>
              </w:rPr>
              <w:t xml:space="preserve"> </w:t>
            </w:r>
            <w:r>
              <w:rPr>
                <w:w w:val="85"/>
                <w:sz w:val="14"/>
              </w:rPr>
              <w:t>demolición</w:t>
            </w:r>
            <w:r>
              <w:rPr>
                <w:spacing w:val="-2"/>
                <w:sz w:val="14"/>
              </w:rPr>
              <w:t xml:space="preserve"> </w:t>
            </w:r>
            <w:r>
              <w:rPr>
                <w:w w:val="85"/>
                <w:sz w:val="14"/>
              </w:rPr>
              <w:t>y</w:t>
            </w:r>
            <w:r>
              <w:rPr>
                <w:spacing w:val="-1"/>
                <w:sz w:val="14"/>
              </w:rPr>
              <w:t xml:space="preserve"> </w:t>
            </w:r>
            <w:r>
              <w:rPr>
                <w:w w:val="85"/>
                <w:sz w:val="14"/>
              </w:rPr>
              <w:t>el</w:t>
            </w:r>
            <w:r>
              <w:rPr>
                <w:spacing w:val="-2"/>
                <w:sz w:val="14"/>
              </w:rPr>
              <w:t xml:space="preserve"> </w:t>
            </w:r>
            <w:r>
              <w:rPr>
                <w:w w:val="85"/>
                <w:sz w:val="14"/>
              </w:rPr>
              <w:t>derribo</w:t>
            </w:r>
            <w:r>
              <w:rPr>
                <w:spacing w:val="-1"/>
                <w:sz w:val="14"/>
              </w:rPr>
              <w:t xml:space="preserve"> </w:t>
            </w:r>
            <w:r>
              <w:rPr>
                <w:w w:val="85"/>
                <w:sz w:val="14"/>
              </w:rPr>
              <w:t>de</w:t>
            </w:r>
            <w:r>
              <w:rPr>
                <w:spacing w:val="-2"/>
                <w:sz w:val="14"/>
              </w:rPr>
              <w:t xml:space="preserve"> </w:t>
            </w:r>
            <w:r>
              <w:rPr>
                <w:w w:val="85"/>
                <w:sz w:val="14"/>
              </w:rPr>
              <w:t>edificios</w:t>
            </w:r>
            <w:r>
              <w:rPr>
                <w:spacing w:val="-2"/>
                <w:sz w:val="14"/>
              </w:rPr>
              <w:t xml:space="preserve"> </w:t>
            </w:r>
            <w:r>
              <w:rPr>
                <w:w w:val="85"/>
                <w:sz w:val="14"/>
              </w:rPr>
              <w:t>y</w:t>
            </w:r>
            <w:r>
              <w:rPr>
                <w:spacing w:val="-1"/>
                <w:sz w:val="14"/>
              </w:rPr>
              <w:t xml:space="preserve"> </w:t>
            </w:r>
            <w:r>
              <w:rPr>
                <w:w w:val="85"/>
                <w:sz w:val="14"/>
              </w:rPr>
              <w:t>otras</w:t>
            </w:r>
            <w:r>
              <w:rPr>
                <w:spacing w:val="-2"/>
                <w:sz w:val="14"/>
              </w:rPr>
              <w:t xml:space="preserve"> </w:t>
            </w:r>
            <w:r>
              <w:rPr>
                <w:spacing w:val="-2"/>
                <w:w w:val="85"/>
                <w:sz w:val="14"/>
              </w:rPr>
              <w:t>estructuras,</w:t>
            </w:r>
          </w:p>
          <w:p w:rsidR="0092635B" w:rsidRDefault="00000000">
            <w:pPr>
              <w:pStyle w:val="TableParagraph"/>
              <w:numPr>
                <w:ilvl w:val="0"/>
                <w:numId w:val="31"/>
              </w:numPr>
              <w:tabs>
                <w:tab w:val="left" w:pos="143"/>
              </w:tabs>
              <w:spacing w:before="7"/>
              <w:ind w:left="143" w:hanging="102"/>
              <w:rPr>
                <w:sz w:val="14"/>
              </w:rPr>
            </w:pPr>
            <w:r>
              <w:rPr>
                <w:w w:val="85"/>
                <w:sz w:val="14"/>
              </w:rPr>
              <w:t>la</w:t>
            </w:r>
            <w:r>
              <w:rPr>
                <w:spacing w:val="-3"/>
                <w:sz w:val="14"/>
              </w:rPr>
              <w:t xml:space="preserve"> </w:t>
            </w:r>
            <w:r>
              <w:rPr>
                <w:w w:val="85"/>
                <w:sz w:val="14"/>
              </w:rPr>
              <w:t>limpieza</w:t>
            </w:r>
            <w:r>
              <w:rPr>
                <w:spacing w:val="-3"/>
                <w:sz w:val="14"/>
              </w:rPr>
              <w:t xml:space="preserve"> </w:t>
            </w:r>
            <w:r>
              <w:rPr>
                <w:w w:val="85"/>
                <w:sz w:val="14"/>
              </w:rPr>
              <w:t>de</w:t>
            </w:r>
            <w:r>
              <w:rPr>
                <w:spacing w:val="-3"/>
                <w:sz w:val="14"/>
              </w:rPr>
              <w:t xml:space="preserve"> </w:t>
            </w:r>
            <w:r>
              <w:rPr>
                <w:spacing w:val="-2"/>
                <w:w w:val="85"/>
                <w:sz w:val="14"/>
              </w:rPr>
              <w:t>escombros,</w:t>
            </w:r>
          </w:p>
          <w:p w:rsidR="0092635B" w:rsidRDefault="00000000">
            <w:pPr>
              <w:pStyle w:val="TableParagraph"/>
              <w:numPr>
                <w:ilvl w:val="0"/>
                <w:numId w:val="31"/>
              </w:numPr>
              <w:tabs>
                <w:tab w:val="left" w:pos="143"/>
              </w:tabs>
              <w:spacing w:before="7" w:line="249" w:lineRule="auto"/>
              <w:ind w:right="541" w:firstLine="0"/>
              <w:rPr>
                <w:sz w:val="14"/>
              </w:rPr>
            </w:pPr>
            <w:r>
              <w:rPr>
                <w:w w:val="85"/>
                <w:sz w:val="14"/>
              </w:rPr>
              <w:t>los trabajos de movimiento de tierras: excavación, rellenado y nivelación de emplazamientos de obras,</w:t>
            </w:r>
            <w:r>
              <w:rPr>
                <w:spacing w:val="40"/>
                <w:sz w:val="14"/>
              </w:rPr>
              <w:t xml:space="preserve"> </w:t>
            </w:r>
            <w:r>
              <w:rPr>
                <w:w w:val="90"/>
                <w:sz w:val="14"/>
              </w:rPr>
              <w:t>excavación de zanjas, despeje de rocas, voladuras, etc.,</w:t>
            </w:r>
          </w:p>
          <w:p w:rsidR="0092635B" w:rsidRDefault="00000000">
            <w:pPr>
              <w:pStyle w:val="TableParagraph"/>
              <w:numPr>
                <w:ilvl w:val="0"/>
                <w:numId w:val="31"/>
              </w:numPr>
              <w:tabs>
                <w:tab w:val="left" w:pos="143"/>
              </w:tabs>
              <w:spacing w:before="1"/>
              <w:ind w:left="143" w:hanging="102"/>
              <w:rPr>
                <w:sz w:val="14"/>
              </w:rPr>
            </w:pPr>
            <w:r>
              <w:rPr>
                <w:w w:val="85"/>
                <w:sz w:val="14"/>
              </w:rPr>
              <w:t>la</w:t>
            </w:r>
            <w:r>
              <w:rPr>
                <w:spacing w:val="1"/>
                <w:sz w:val="14"/>
              </w:rPr>
              <w:t xml:space="preserve"> </w:t>
            </w:r>
            <w:r>
              <w:rPr>
                <w:w w:val="85"/>
                <w:sz w:val="14"/>
              </w:rPr>
              <w:t>preparación</w:t>
            </w:r>
            <w:r>
              <w:rPr>
                <w:spacing w:val="1"/>
                <w:sz w:val="14"/>
              </w:rPr>
              <w:t xml:space="preserve"> </w:t>
            </w:r>
            <w:r>
              <w:rPr>
                <w:w w:val="85"/>
                <w:sz w:val="14"/>
              </w:rPr>
              <w:t>de</w:t>
            </w:r>
            <w:r>
              <w:rPr>
                <w:spacing w:val="1"/>
                <w:sz w:val="14"/>
              </w:rPr>
              <w:t xml:space="preserve"> </w:t>
            </w:r>
            <w:r>
              <w:rPr>
                <w:w w:val="85"/>
                <w:sz w:val="14"/>
              </w:rPr>
              <w:t>explotaciones</w:t>
            </w:r>
            <w:r>
              <w:rPr>
                <w:spacing w:val="2"/>
                <w:sz w:val="14"/>
              </w:rPr>
              <w:t xml:space="preserve"> </w:t>
            </w:r>
            <w:r>
              <w:rPr>
                <w:spacing w:val="-2"/>
                <w:w w:val="85"/>
                <w:sz w:val="14"/>
              </w:rPr>
              <w:t>mineras:</w:t>
            </w:r>
          </w:p>
          <w:p w:rsidR="0092635B" w:rsidRDefault="00000000">
            <w:pPr>
              <w:pStyle w:val="TableParagraph"/>
              <w:numPr>
                <w:ilvl w:val="0"/>
                <w:numId w:val="31"/>
              </w:numPr>
              <w:tabs>
                <w:tab w:val="left" w:pos="143"/>
              </w:tabs>
              <w:spacing w:before="7" w:line="249" w:lineRule="auto"/>
              <w:ind w:right="1439" w:firstLine="0"/>
              <w:rPr>
                <w:sz w:val="14"/>
              </w:rPr>
            </w:pPr>
            <w:r>
              <w:rPr>
                <w:w w:val="85"/>
                <w:sz w:val="14"/>
              </w:rPr>
              <w:t>obras subterráneas, despeje de montera y otras actividades de preparación de minas.</w:t>
            </w:r>
            <w:r>
              <w:rPr>
                <w:spacing w:val="40"/>
                <w:sz w:val="14"/>
              </w:rPr>
              <w:t xml:space="preserve"> </w:t>
            </w:r>
            <w:r>
              <w:rPr>
                <w:w w:val="95"/>
                <w:sz w:val="14"/>
              </w:rPr>
              <w:t>Esta</w:t>
            </w:r>
            <w:r>
              <w:rPr>
                <w:spacing w:val="-8"/>
                <w:w w:val="95"/>
                <w:sz w:val="14"/>
              </w:rPr>
              <w:t xml:space="preserve"> </w:t>
            </w:r>
            <w:r>
              <w:rPr>
                <w:w w:val="95"/>
                <w:sz w:val="14"/>
              </w:rPr>
              <w:t>clase</w:t>
            </w:r>
            <w:r>
              <w:rPr>
                <w:spacing w:val="-8"/>
                <w:w w:val="95"/>
                <w:sz w:val="14"/>
              </w:rPr>
              <w:t xml:space="preserve"> </w:t>
            </w:r>
            <w:r>
              <w:rPr>
                <w:w w:val="95"/>
                <w:sz w:val="14"/>
              </w:rPr>
              <w:t>comprende</w:t>
            </w:r>
            <w:r>
              <w:rPr>
                <w:spacing w:val="-8"/>
                <w:w w:val="95"/>
                <w:sz w:val="14"/>
              </w:rPr>
              <w:t xml:space="preserve"> </w:t>
            </w:r>
            <w:r>
              <w:rPr>
                <w:w w:val="95"/>
                <w:sz w:val="14"/>
              </w:rPr>
              <w:t>también:</w:t>
            </w:r>
          </w:p>
          <w:p w:rsidR="0092635B" w:rsidRDefault="00000000">
            <w:pPr>
              <w:pStyle w:val="TableParagraph"/>
              <w:numPr>
                <w:ilvl w:val="0"/>
                <w:numId w:val="31"/>
              </w:numPr>
              <w:tabs>
                <w:tab w:val="left" w:pos="143"/>
              </w:tabs>
              <w:spacing w:before="1"/>
              <w:ind w:left="143" w:hanging="102"/>
              <w:rPr>
                <w:sz w:val="14"/>
              </w:rPr>
            </w:pPr>
            <w:r>
              <w:rPr>
                <w:w w:val="85"/>
                <w:sz w:val="14"/>
              </w:rPr>
              <w:t>el</w:t>
            </w:r>
            <w:r>
              <w:rPr>
                <w:sz w:val="14"/>
              </w:rPr>
              <w:t xml:space="preserve"> </w:t>
            </w:r>
            <w:r>
              <w:rPr>
                <w:w w:val="85"/>
                <w:sz w:val="14"/>
              </w:rPr>
              <w:t>drenaje</w:t>
            </w:r>
            <w:r>
              <w:rPr>
                <w:spacing w:val="1"/>
                <w:sz w:val="14"/>
              </w:rPr>
              <w:t xml:space="preserve"> </w:t>
            </w:r>
            <w:r>
              <w:rPr>
                <w:w w:val="85"/>
                <w:sz w:val="14"/>
              </w:rPr>
              <w:t>de</w:t>
            </w:r>
            <w:r>
              <w:rPr>
                <w:spacing w:val="1"/>
                <w:sz w:val="14"/>
              </w:rPr>
              <w:t xml:space="preserve"> </w:t>
            </w:r>
            <w:r>
              <w:rPr>
                <w:w w:val="85"/>
                <w:sz w:val="14"/>
              </w:rPr>
              <w:t>emplazamientos</w:t>
            </w:r>
            <w:r>
              <w:rPr>
                <w:spacing w:val="1"/>
                <w:sz w:val="14"/>
              </w:rPr>
              <w:t xml:space="preserve"> </w:t>
            </w:r>
            <w:r>
              <w:rPr>
                <w:w w:val="85"/>
                <w:sz w:val="14"/>
              </w:rPr>
              <w:t>de</w:t>
            </w:r>
            <w:r>
              <w:rPr>
                <w:spacing w:val="1"/>
                <w:sz w:val="14"/>
              </w:rPr>
              <w:t xml:space="preserve"> </w:t>
            </w:r>
            <w:r>
              <w:rPr>
                <w:spacing w:val="-2"/>
                <w:w w:val="85"/>
                <w:sz w:val="14"/>
              </w:rPr>
              <w:t>obras,</w:t>
            </w:r>
          </w:p>
          <w:p w:rsidR="0092635B" w:rsidRDefault="00000000">
            <w:pPr>
              <w:pStyle w:val="TableParagraph"/>
              <w:numPr>
                <w:ilvl w:val="0"/>
                <w:numId w:val="31"/>
              </w:numPr>
              <w:tabs>
                <w:tab w:val="left" w:pos="143"/>
              </w:tabs>
              <w:spacing w:before="7" w:line="145" w:lineRule="exact"/>
              <w:ind w:left="143" w:hanging="102"/>
              <w:rPr>
                <w:sz w:val="14"/>
              </w:rPr>
            </w:pPr>
            <w:r>
              <w:rPr>
                <w:w w:val="85"/>
                <w:sz w:val="14"/>
              </w:rPr>
              <w:t>el</w:t>
            </w:r>
            <w:r>
              <w:rPr>
                <w:spacing w:val="-1"/>
                <w:sz w:val="14"/>
              </w:rPr>
              <w:t xml:space="preserve"> </w:t>
            </w:r>
            <w:r>
              <w:rPr>
                <w:w w:val="85"/>
                <w:sz w:val="14"/>
              </w:rPr>
              <w:t>drenaje</w:t>
            </w:r>
            <w:r>
              <w:rPr>
                <w:sz w:val="14"/>
              </w:rPr>
              <w:t xml:space="preserve"> </w:t>
            </w:r>
            <w:r>
              <w:rPr>
                <w:w w:val="85"/>
                <w:sz w:val="14"/>
              </w:rPr>
              <w:t>de</w:t>
            </w:r>
            <w:r>
              <w:rPr>
                <w:sz w:val="14"/>
              </w:rPr>
              <w:t xml:space="preserve"> </w:t>
            </w:r>
            <w:r>
              <w:rPr>
                <w:w w:val="85"/>
                <w:sz w:val="14"/>
              </w:rPr>
              <w:t>terrenos</w:t>
            </w:r>
            <w:r>
              <w:rPr>
                <w:sz w:val="14"/>
              </w:rPr>
              <w:t xml:space="preserve"> </w:t>
            </w:r>
            <w:r>
              <w:rPr>
                <w:w w:val="85"/>
                <w:sz w:val="14"/>
              </w:rPr>
              <w:t>agrícolas</w:t>
            </w:r>
            <w:r>
              <w:rPr>
                <w:sz w:val="14"/>
              </w:rPr>
              <w:t xml:space="preserve"> </w:t>
            </w:r>
            <w:r>
              <w:rPr>
                <w:w w:val="85"/>
                <w:sz w:val="14"/>
              </w:rPr>
              <w:t>y</w:t>
            </w:r>
            <w:r>
              <w:rPr>
                <w:sz w:val="14"/>
              </w:rPr>
              <w:t xml:space="preserve"> </w:t>
            </w:r>
            <w:r>
              <w:rPr>
                <w:spacing w:val="-2"/>
                <w:w w:val="85"/>
                <w:sz w:val="14"/>
              </w:rPr>
              <w:t>forestales.</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1"/>
              <w:rPr>
                <w:sz w:val="14"/>
              </w:rPr>
            </w:pPr>
          </w:p>
          <w:p w:rsidR="0092635B" w:rsidRDefault="00000000">
            <w:pPr>
              <w:pStyle w:val="TableParagraph"/>
              <w:ind w:left="30" w:right="22"/>
              <w:jc w:val="center"/>
              <w:rPr>
                <w:sz w:val="14"/>
              </w:rPr>
            </w:pPr>
            <w:r>
              <w:rPr>
                <w:spacing w:val="-2"/>
                <w:w w:val="95"/>
                <w:sz w:val="14"/>
              </w:rPr>
              <w:t>45110000</w:t>
            </w:r>
          </w:p>
        </w:tc>
      </w:tr>
      <w:tr w:rsidR="0092635B">
        <w:trPr>
          <w:trHeight w:val="133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04"/>
              <w:rPr>
                <w:sz w:val="14"/>
              </w:rPr>
            </w:pPr>
          </w:p>
          <w:p w:rsidR="0092635B" w:rsidRDefault="00000000">
            <w:pPr>
              <w:pStyle w:val="TableParagraph"/>
              <w:ind w:left="6"/>
              <w:jc w:val="center"/>
              <w:rPr>
                <w:sz w:val="14"/>
              </w:rPr>
            </w:pPr>
            <w:r>
              <w:rPr>
                <w:spacing w:val="-2"/>
                <w:w w:val="95"/>
                <w:sz w:val="14"/>
              </w:rPr>
              <w:t>45,12</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04"/>
              <w:rPr>
                <w:sz w:val="14"/>
              </w:rPr>
            </w:pPr>
          </w:p>
          <w:p w:rsidR="0092635B" w:rsidRDefault="00000000">
            <w:pPr>
              <w:pStyle w:val="TableParagraph"/>
              <w:ind w:left="41"/>
              <w:rPr>
                <w:sz w:val="14"/>
              </w:rPr>
            </w:pPr>
            <w:r>
              <w:rPr>
                <w:w w:val="85"/>
                <w:sz w:val="14"/>
              </w:rPr>
              <w:t>Perforaciones</w:t>
            </w:r>
            <w:r>
              <w:rPr>
                <w:spacing w:val="4"/>
                <w:sz w:val="14"/>
              </w:rPr>
              <w:t xml:space="preserve"> </w:t>
            </w:r>
            <w:r>
              <w:rPr>
                <w:w w:val="85"/>
                <w:sz w:val="14"/>
              </w:rPr>
              <w:t>y</w:t>
            </w:r>
            <w:r>
              <w:rPr>
                <w:spacing w:val="4"/>
                <w:sz w:val="14"/>
              </w:rPr>
              <w:t xml:space="preserve"> </w:t>
            </w:r>
            <w:r>
              <w:rPr>
                <w:spacing w:val="-2"/>
                <w:w w:val="85"/>
                <w:sz w:val="14"/>
              </w:rPr>
              <w:t>sondeos.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30"/>
              </w:numPr>
              <w:tabs>
                <w:tab w:val="left" w:pos="143"/>
              </w:tabs>
              <w:spacing w:before="7" w:line="249" w:lineRule="auto"/>
              <w:ind w:right="812" w:firstLine="0"/>
              <w:rPr>
                <w:sz w:val="14"/>
              </w:rPr>
            </w:pPr>
            <w:r>
              <w:rPr>
                <w:w w:val="85"/>
                <w:sz w:val="14"/>
              </w:rPr>
              <w:t>las perforaciones, sondeos y muestreos con fines de construcción, geofísicos, geológicos u otros.</w:t>
            </w:r>
            <w:r>
              <w:rPr>
                <w:spacing w:val="40"/>
                <w:sz w:val="14"/>
              </w:rPr>
              <w:t xml:space="preserve"> </w:t>
            </w:r>
            <w:r>
              <w:rPr>
                <w:w w:val="95"/>
                <w:sz w:val="14"/>
              </w:rPr>
              <w:t>Esta</w:t>
            </w:r>
            <w:r>
              <w:rPr>
                <w:spacing w:val="-3"/>
                <w:w w:val="95"/>
                <w:sz w:val="14"/>
              </w:rPr>
              <w:t xml:space="preserve"> </w:t>
            </w:r>
            <w:r>
              <w:rPr>
                <w:w w:val="95"/>
                <w:sz w:val="14"/>
              </w:rPr>
              <w:t>clase</w:t>
            </w:r>
            <w:r>
              <w:rPr>
                <w:spacing w:val="-4"/>
                <w:w w:val="95"/>
                <w:sz w:val="14"/>
              </w:rPr>
              <w:t xml:space="preserve"> </w:t>
            </w:r>
            <w:r>
              <w:rPr>
                <w:w w:val="95"/>
                <w:sz w:val="14"/>
              </w:rPr>
              <w:t>no</w:t>
            </w:r>
            <w:r>
              <w:rPr>
                <w:spacing w:val="-3"/>
                <w:w w:val="95"/>
                <w:sz w:val="14"/>
              </w:rPr>
              <w:t xml:space="preserve"> </w:t>
            </w:r>
            <w:r>
              <w:rPr>
                <w:w w:val="95"/>
                <w:sz w:val="14"/>
              </w:rPr>
              <w:t>comprende:</w:t>
            </w:r>
          </w:p>
          <w:p w:rsidR="0092635B" w:rsidRDefault="00000000">
            <w:pPr>
              <w:pStyle w:val="TableParagraph"/>
              <w:numPr>
                <w:ilvl w:val="0"/>
                <w:numId w:val="30"/>
              </w:numPr>
              <w:tabs>
                <w:tab w:val="left" w:pos="143"/>
              </w:tabs>
              <w:spacing w:before="1"/>
              <w:ind w:left="143" w:hanging="102"/>
              <w:rPr>
                <w:sz w:val="14"/>
              </w:rPr>
            </w:pPr>
            <w:r>
              <w:rPr>
                <w:w w:val="85"/>
                <w:sz w:val="14"/>
              </w:rPr>
              <w:t>la</w:t>
            </w:r>
            <w:r>
              <w:rPr>
                <w:spacing w:val="-2"/>
                <w:sz w:val="14"/>
              </w:rPr>
              <w:t xml:space="preserve"> </w:t>
            </w:r>
            <w:r>
              <w:rPr>
                <w:w w:val="85"/>
                <w:sz w:val="14"/>
              </w:rPr>
              <w:t>perforación</w:t>
            </w:r>
            <w:r>
              <w:rPr>
                <w:spacing w:val="-2"/>
                <w:sz w:val="14"/>
              </w:rPr>
              <w:t xml:space="preserve"> </w:t>
            </w:r>
            <w:r>
              <w:rPr>
                <w:w w:val="85"/>
                <w:sz w:val="14"/>
              </w:rPr>
              <w:t>de</w:t>
            </w:r>
            <w:r>
              <w:rPr>
                <w:spacing w:val="-2"/>
                <w:sz w:val="14"/>
              </w:rPr>
              <w:t xml:space="preserve"> </w:t>
            </w:r>
            <w:r>
              <w:rPr>
                <w:w w:val="85"/>
                <w:sz w:val="14"/>
              </w:rPr>
              <w:t>pozos</w:t>
            </w:r>
            <w:r>
              <w:rPr>
                <w:spacing w:val="-2"/>
                <w:sz w:val="14"/>
              </w:rPr>
              <w:t xml:space="preserve"> </w:t>
            </w:r>
            <w:r>
              <w:rPr>
                <w:w w:val="85"/>
                <w:sz w:val="14"/>
              </w:rPr>
              <w:t>de</w:t>
            </w:r>
            <w:r>
              <w:rPr>
                <w:spacing w:val="-1"/>
                <w:sz w:val="14"/>
              </w:rPr>
              <w:t xml:space="preserve"> </w:t>
            </w:r>
            <w:r>
              <w:rPr>
                <w:w w:val="85"/>
                <w:sz w:val="14"/>
              </w:rPr>
              <w:t>producción</w:t>
            </w:r>
            <w:r>
              <w:rPr>
                <w:spacing w:val="-2"/>
                <w:sz w:val="14"/>
              </w:rPr>
              <w:t xml:space="preserve"> </w:t>
            </w:r>
            <w:r>
              <w:rPr>
                <w:w w:val="85"/>
                <w:sz w:val="14"/>
              </w:rPr>
              <w:t>de</w:t>
            </w:r>
            <w:r>
              <w:rPr>
                <w:spacing w:val="-2"/>
                <w:sz w:val="14"/>
              </w:rPr>
              <w:t xml:space="preserve"> </w:t>
            </w:r>
            <w:r>
              <w:rPr>
                <w:w w:val="85"/>
                <w:sz w:val="14"/>
              </w:rPr>
              <w:t>petróleo</w:t>
            </w:r>
            <w:r>
              <w:rPr>
                <w:spacing w:val="-2"/>
                <w:sz w:val="14"/>
              </w:rPr>
              <w:t xml:space="preserve"> </w:t>
            </w:r>
            <w:r>
              <w:rPr>
                <w:w w:val="85"/>
                <w:sz w:val="14"/>
              </w:rPr>
              <w:t>y</w:t>
            </w:r>
            <w:r>
              <w:rPr>
                <w:spacing w:val="-1"/>
                <w:sz w:val="14"/>
              </w:rPr>
              <w:t xml:space="preserve"> </w:t>
            </w:r>
            <w:r>
              <w:rPr>
                <w:w w:val="85"/>
                <w:sz w:val="14"/>
              </w:rPr>
              <w:t>gas</w:t>
            </w:r>
            <w:r>
              <w:rPr>
                <w:spacing w:val="-2"/>
                <w:sz w:val="14"/>
              </w:rPr>
              <w:t xml:space="preserve"> </w:t>
            </w:r>
            <w:r>
              <w:rPr>
                <w:w w:val="85"/>
                <w:sz w:val="14"/>
              </w:rPr>
              <w:t>natural</w:t>
            </w:r>
            <w:r>
              <w:rPr>
                <w:spacing w:val="-2"/>
                <w:sz w:val="14"/>
              </w:rPr>
              <w:t xml:space="preserve"> </w:t>
            </w:r>
            <w:r>
              <w:rPr>
                <w:w w:val="85"/>
                <w:sz w:val="14"/>
              </w:rPr>
              <w:t>(véase</w:t>
            </w:r>
            <w:r>
              <w:rPr>
                <w:spacing w:val="-2"/>
                <w:sz w:val="14"/>
              </w:rPr>
              <w:t xml:space="preserve"> </w:t>
            </w:r>
            <w:r>
              <w:rPr>
                <w:spacing w:val="-2"/>
                <w:w w:val="85"/>
                <w:sz w:val="14"/>
              </w:rPr>
              <w:t>11.20),</w:t>
            </w:r>
          </w:p>
          <w:p w:rsidR="0092635B" w:rsidRDefault="00000000">
            <w:pPr>
              <w:pStyle w:val="TableParagraph"/>
              <w:numPr>
                <w:ilvl w:val="0"/>
                <w:numId w:val="30"/>
              </w:numPr>
              <w:tabs>
                <w:tab w:val="left" w:pos="143"/>
              </w:tabs>
              <w:spacing w:before="7"/>
              <w:ind w:left="143" w:hanging="102"/>
              <w:rPr>
                <w:sz w:val="14"/>
              </w:rPr>
            </w:pPr>
            <w:r>
              <w:rPr>
                <w:w w:val="85"/>
                <w:sz w:val="14"/>
              </w:rPr>
              <w:t>la</w:t>
            </w:r>
            <w:r>
              <w:rPr>
                <w:sz w:val="14"/>
              </w:rPr>
              <w:t xml:space="preserve"> </w:t>
            </w:r>
            <w:r>
              <w:rPr>
                <w:w w:val="85"/>
                <w:sz w:val="14"/>
              </w:rPr>
              <w:t>perforación</w:t>
            </w:r>
            <w:r>
              <w:rPr>
                <w:sz w:val="14"/>
              </w:rPr>
              <w:t xml:space="preserve"> </w:t>
            </w:r>
            <w:r>
              <w:rPr>
                <w:w w:val="85"/>
                <w:sz w:val="14"/>
              </w:rPr>
              <w:t>de</w:t>
            </w:r>
            <w:r>
              <w:rPr>
                <w:sz w:val="14"/>
              </w:rPr>
              <w:t xml:space="preserve"> </w:t>
            </w:r>
            <w:r>
              <w:rPr>
                <w:w w:val="85"/>
                <w:sz w:val="14"/>
              </w:rPr>
              <w:t>pozos</w:t>
            </w:r>
            <w:r>
              <w:rPr>
                <w:spacing w:val="1"/>
                <w:sz w:val="14"/>
              </w:rPr>
              <w:t xml:space="preserve"> </w:t>
            </w:r>
            <w:r>
              <w:rPr>
                <w:w w:val="85"/>
                <w:sz w:val="14"/>
              </w:rPr>
              <w:t>hidráulicos</w:t>
            </w:r>
            <w:r>
              <w:rPr>
                <w:sz w:val="14"/>
              </w:rPr>
              <w:t xml:space="preserve"> </w:t>
            </w:r>
            <w:r>
              <w:rPr>
                <w:w w:val="85"/>
                <w:sz w:val="14"/>
              </w:rPr>
              <w:t>(véase</w:t>
            </w:r>
            <w:r>
              <w:rPr>
                <w:sz w:val="14"/>
              </w:rPr>
              <w:t xml:space="preserve"> </w:t>
            </w:r>
            <w:r>
              <w:rPr>
                <w:spacing w:val="-2"/>
                <w:w w:val="85"/>
                <w:sz w:val="14"/>
              </w:rPr>
              <w:t>45.25),</w:t>
            </w:r>
          </w:p>
          <w:p w:rsidR="0092635B" w:rsidRDefault="00000000">
            <w:pPr>
              <w:pStyle w:val="TableParagraph"/>
              <w:numPr>
                <w:ilvl w:val="0"/>
                <w:numId w:val="30"/>
              </w:numPr>
              <w:tabs>
                <w:tab w:val="left" w:pos="143"/>
              </w:tabs>
              <w:spacing w:before="7"/>
              <w:ind w:left="143" w:hanging="102"/>
              <w:rPr>
                <w:sz w:val="14"/>
              </w:rPr>
            </w:pPr>
            <w:r>
              <w:rPr>
                <w:w w:val="85"/>
                <w:sz w:val="14"/>
              </w:rPr>
              <w:t>la</w:t>
            </w:r>
            <w:r>
              <w:rPr>
                <w:spacing w:val="-1"/>
                <w:sz w:val="14"/>
              </w:rPr>
              <w:t xml:space="preserve"> </w:t>
            </w:r>
            <w:r>
              <w:rPr>
                <w:w w:val="85"/>
                <w:sz w:val="14"/>
              </w:rPr>
              <w:t>excavación</w:t>
            </w:r>
            <w:r>
              <w:rPr>
                <w:spacing w:val="-1"/>
                <w:sz w:val="14"/>
              </w:rPr>
              <w:t xml:space="preserve"> </w:t>
            </w:r>
            <w:r>
              <w:rPr>
                <w:w w:val="85"/>
                <w:sz w:val="14"/>
              </w:rPr>
              <w:t>de</w:t>
            </w:r>
            <w:r>
              <w:rPr>
                <w:spacing w:val="-1"/>
                <w:sz w:val="14"/>
              </w:rPr>
              <w:t xml:space="preserve"> </w:t>
            </w:r>
            <w:r>
              <w:rPr>
                <w:w w:val="85"/>
                <w:sz w:val="14"/>
              </w:rPr>
              <w:t>pozos</w:t>
            </w:r>
            <w:r>
              <w:rPr>
                <w:spacing w:val="-1"/>
                <w:sz w:val="14"/>
              </w:rPr>
              <w:t xml:space="preserve"> </w:t>
            </w:r>
            <w:r>
              <w:rPr>
                <w:w w:val="85"/>
                <w:sz w:val="14"/>
              </w:rPr>
              <w:t>de</w:t>
            </w:r>
            <w:r>
              <w:rPr>
                <w:spacing w:val="-1"/>
                <w:sz w:val="14"/>
              </w:rPr>
              <w:t xml:space="preserve"> </w:t>
            </w:r>
            <w:r>
              <w:rPr>
                <w:w w:val="85"/>
                <w:sz w:val="14"/>
              </w:rPr>
              <w:t>minas</w:t>
            </w:r>
            <w:r>
              <w:rPr>
                <w:spacing w:val="-1"/>
                <w:sz w:val="14"/>
              </w:rPr>
              <w:t xml:space="preserve"> </w:t>
            </w:r>
            <w:r>
              <w:rPr>
                <w:w w:val="85"/>
                <w:sz w:val="14"/>
              </w:rPr>
              <w:t>(véase</w:t>
            </w:r>
            <w:r>
              <w:rPr>
                <w:spacing w:val="-1"/>
                <w:sz w:val="14"/>
              </w:rPr>
              <w:t xml:space="preserve"> </w:t>
            </w:r>
            <w:r>
              <w:rPr>
                <w:spacing w:val="-2"/>
                <w:w w:val="85"/>
                <w:sz w:val="14"/>
              </w:rPr>
              <w:t>45.25),</w:t>
            </w:r>
          </w:p>
          <w:p w:rsidR="0092635B" w:rsidRDefault="00000000">
            <w:pPr>
              <w:pStyle w:val="TableParagraph"/>
              <w:numPr>
                <w:ilvl w:val="0"/>
                <w:numId w:val="30"/>
              </w:numPr>
              <w:tabs>
                <w:tab w:val="left" w:pos="143"/>
              </w:tabs>
              <w:spacing w:line="170" w:lineRule="atLeast"/>
              <w:ind w:right="58" w:firstLine="0"/>
              <w:rPr>
                <w:sz w:val="14"/>
              </w:rPr>
            </w:pPr>
            <w:r>
              <w:rPr>
                <w:w w:val="85"/>
                <w:sz w:val="14"/>
              </w:rPr>
              <w:t>la prospección de yacimientos de petróleo y gas natural y los estudios geofísicos, geológicos o sísmicos (véase</w:t>
            </w:r>
            <w:r>
              <w:rPr>
                <w:spacing w:val="40"/>
                <w:sz w:val="14"/>
              </w:rPr>
              <w:t xml:space="preserve"> </w:t>
            </w:r>
            <w:r>
              <w:rPr>
                <w:spacing w:val="-2"/>
                <w:w w:val="95"/>
                <w:sz w:val="14"/>
              </w:rPr>
              <w:t>74.20).</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04"/>
              <w:rPr>
                <w:sz w:val="14"/>
              </w:rPr>
            </w:pPr>
          </w:p>
          <w:p w:rsidR="0092635B" w:rsidRDefault="00000000">
            <w:pPr>
              <w:pStyle w:val="TableParagraph"/>
              <w:ind w:left="30" w:right="22"/>
              <w:jc w:val="center"/>
              <w:rPr>
                <w:sz w:val="14"/>
              </w:rPr>
            </w:pPr>
            <w:r>
              <w:rPr>
                <w:spacing w:val="-2"/>
                <w:w w:val="95"/>
                <w:sz w:val="14"/>
              </w:rPr>
              <w:t>45120000</w:t>
            </w:r>
          </w:p>
        </w:tc>
      </w:tr>
      <w:tr w:rsidR="0092635B">
        <w:trPr>
          <w:trHeight w:val="49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5"/>
              <w:rPr>
                <w:sz w:val="14"/>
              </w:rPr>
            </w:pPr>
          </w:p>
          <w:p w:rsidR="0092635B" w:rsidRDefault="00000000">
            <w:pPr>
              <w:pStyle w:val="TableParagraph"/>
              <w:spacing w:before="1"/>
              <w:ind w:left="6"/>
              <w:jc w:val="center"/>
              <w:rPr>
                <w:sz w:val="14"/>
              </w:rPr>
            </w:pPr>
            <w:r>
              <w:rPr>
                <w:spacing w:val="-4"/>
                <w:w w:val="95"/>
                <w:sz w:val="14"/>
              </w:rPr>
              <w:t>45,2</w:t>
            </w: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Construcción</w:t>
            </w:r>
            <w:r>
              <w:rPr>
                <w:spacing w:val="-1"/>
                <w:sz w:val="14"/>
              </w:rPr>
              <w:t xml:space="preserve"> </w:t>
            </w:r>
            <w:r>
              <w:rPr>
                <w:w w:val="85"/>
                <w:sz w:val="14"/>
              </w:rPr>
              <w:t>general</w:t>
            </w:r>
            <w:r>
              <w:rPr>
                <w:spacing w:val="-1"/>
                <w:sz w:val="14"/>
              </w:rPr>
              <w:t xml:space="preserve"> </w:t>
            </w:r>
            <w:r>
              <w:rPr>
                <w:spacing w:val="-5"/>
                <w:w w:val="85"/>
                <w:sz w:val="14"/>
              </w:rPr>
              <w:t>de</w:t>
            </w:r>
          </w:p>
          <w:p w:rsidR="0092635B" w:rsidRDefault="00000000">
            <w:pPr>
              <w:pStyle w:val="TableParagraph"/>
              <w:spacing w:line="160" w:lineRule="atLeast"/>
              <w:ind w:left="41" w:right="373"/>
              <w:rPr>
                <w:sz w:val="14"/>
              </w:rPr>
            </w:pPr>
            <w:r>
              <w:rPr>
                <w:spacing w:val="-2"/>
                <w:w w:val="90"/>
                <w:sz w:val="14"/>
              </w:rPr>
              <w:t>inmuebles</w:t>
            </w:r>
            <w:r>
              <w:rPr>
                <w:spacing w:val="-4"/>
                <w:w w:val="90"/>
                <w:sz w:val="14"/>
              </w:rPr>
              <w:t xml:space="preserve"> </w:t>
            </w:r>
            <w:r>
              <w:rPr>
                <w:spacing w:val="-2"/>
                <w:w w:val="90"/>
                <w:sz w:val="14"/>
              </w:rPr>
              <w:t>y</w:t>
            </w:r>
            <w:r>
              <w:rPr>
                <w:spacing w:val="-4"/>
                <w:w w:val="90"/>
                <w:sz w:val="14"/>
              </w:rPr>
              <w:t xml:space="preserve"> </w:t>
            </w:r>
            <w:r>
              <w:rPr>
                <w:spacing w:val="-2"/>
                <w:w w:val="90"/>
                <w:sz w:val="14"/>
              </w:rPr>
              <w:t>obras</w:t>
            </w:r>
            <w:r>
              <w:rPr>
                <w:spacing w:val="-4"/>
                <w:w w:val="90"/>
                <w:sz w:val="14"/>
              </w:rPr>
              <w:t xml:space="preserve"> </w:t>
            </w:r>
            <w:r>
              <w:rPr>
                <w:spacing w:val="-2"/>
                <w:w w:val="90"/>
                <w:sz w:val="14"/>
              </w:rPr>
              <w:t>de</w:t>
            </w:r>
            <w:r>
              <w:rPr>
                <w:spacing w:val="40"/>
                <w:sz w:val="14"/>
              </w:rPr>
              <w:t xml:space="preserve"> </w:t>
            </w:r>
            <w:r>
              <w:rPr>
                <w:w w:val="95"/>
                <w:sz w:val="14"/>
              </w:rPr>
              <w:t>ingeniería</w:t>
            </w:r>
            <w:r>
              <w:rPr>
                <w:spacing w:val="-8"/>
                <w:w w:val="95"/>
                <w:sz w:val="14"/>
              </w:rPr>
              <w:t xml:space="preserve"> </w:t>
            </w:r>
            <w:r>
              <w:rPr>
                <w:w w:val="95"/>
                <w:sz w:val="14"/>
              </w:rPr>
              <w:t>civil.</w:t>
            </w:r>
          </w:p>
        </w:tc>
        <w:tc>
          <w:tcPr>
            <w:tcW w:w="6267"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5"/>
              <w:rPr>
                <w:sz w:val="14"/>
              </w:rPr>
            </w:pPr>
          </w:p>
          <w:p w:rsidR="0092635B" w:rsidRDefault="00000000">
            <w:pPr>
              <w:pStyle w:val="TableParagraph"/>
              <w:spacing w:before="1"/>
              <w:ind w:left="30" w:right="22"/>
              <w:jc w:val="center"/>
              <w:rPr>
                <w:sz w:val="14"/>
              </w:rPr>
            </w:pPr>
            <w:r>
              <w:rPr>
                <w:spacing w:val="-2"/>
                <w:w w:val="95"/>
                <w:sz w:val="14"/>
              </w:rPr>
              <w:t>45200000</w:t>
            </w:r>
          </w:p>
        </w:tc>
      </w:tr>
      <w:tr w:rsidR="0092635B">
        <w:trPr>
          <w:trHeight w:val="2851"/>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55"/>
              <w:rPr>
                <w:sz w:val="14"/>
              </w:rPr>
            </w:pPr>
          </w:p>
          <w:p w:rsidR="0092635B" w:rsidRDefault="00000000">
            <w:pPr>
              <w:pStyle w:val="TableParagraph"/>
              <w:ind w:left="6"/>
              <w:jc w:val="center"/>
              <w:rPr>
                <w:sz w:val="14"/>
              </w:rPr>
            </w:pPr>
            <w:r>
              <w:rPr>
                <w:spacing w:val="-2"/>
                <w:w w:val="95"/>
                <w:sz w:val="14"/>
              </w:rPr>
              <w:t>45,21</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25"/>
              <w:rPr>
                <w:sz w:val="14"/>
              </w:rPr>
            </w:pPr>
          </w:p>
          <w:p w:rsidR="0092635B" w:rsidRDefault="00000000">
            <w:pPr>
              <w:pStyle w:val="TableParagraph"/>
              <w:spacing w:line="249" w:lineRule="auto"/>
              <w:ind w:left="41" w:right="3"/>
              <w:rPr>
                <w:sz w:val="14"/>
              </w:rPr>
            </w:pPr>
            <w:r>
              <w:rPr>
                <w:w w:val="95"/>
                <w:sz w:val="14"/>
              </w:rPr>
              <w:t>Construcción</w:t>
            </w:r>
            <w:r>
              <w:rPr>
                <w:spacing w:val="-7"/>
                <w:w w:val="95"/>
                <w:sz w:val="14"/>
              </w:rPr>
              <w:t xml:space="preserve"> </w:t>
            </w:r>
            <w:r>
              <w:rPr>
                <w:w w:val="95"/>
                <w:sz w:val="14"/>
              </w:rPr>
              <w:t>general</w:t>
            </w:r>
            <w:r>
              <w:rPr>
                <w:spacing w:val="-7"/>
                <w:w w:val="95"/>
                <w:sz w:val="14"/>
              </w:rPr>
              <w:t xml:space="preserve"> </w:t>
            </w:r>
            <w:r>
              <w:rPr>
                <w:w w:val="95"/>
                <w:sz w:val="14"/>
              </w:rPr>
              <w:t>de</w:t>
            </w:r>
            <w:r>
              <w:rPr>
                <w:spacing w:val="40"/>
                <w:sz w:val="14"/>
              </w:rPr>
              <w:t xml:space="preserve"> </w:t>
            </w:r>
            <w:r>
              <w:rPr>
                <w:w w:val="85"/>
                <w:sz w:val="14"/>
              </w:rPr>
              <w:t>edificios y obras singulares</w:t>
            </w:r>
            <w:r>
              <w:rPr>
                <w:spacing w:val="40"/>
                <w:sz w:val="14"/>
              </w:rPr>
              <w:t xml:space="preserve"> </w:t>
            </w:r>
            <w:r>
              <w:rPr>
                <w:w w:val="85"/>
                <w:sz w:val="14"/>
              </w:rPr>
              <w:t>de ingeniería civil (puentes,</w:t>
            </w:r>
            <w:r>
              <w:rPr>
                <w:spacing w:val="40"/>
                <w:sz w:val="14"/>
              </w:rPr>
              <w:t xml:space="preserve"> </w:t>
            </w:r>
            <w:r>
              <w:rPr>
                <w:w w:val="95"/>
                <w:sz w:val="14"/>
              </w:rPr>
              <w:t>túneles,</w:t>
            </w:r>
            <w:r>
              <w:rPr>
                <w:spacing w:val="-8"/>
                <w:w w:val="95"/>
                <w:sz w:val="14"/>
              </w:rPr>
              <w:t xml:space="preserve"> </w:t>
            </w:r>
            <w:r>
              <w:rPr>
                <w:w w:val="95"/>
                <w:sz w:val="14"/>
              </w:rPr>
              <w:t>etc.).</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9"/>
              </w:numPr>
              <w:tabs>
                <w:tab w:val="left" w:pos="143"/>
              </w:tabs>
              <w:spacing w:before="7"/>
              <w:ind w:left="143" w:hanging="102"/>
              <w:rPr>
                <w:sz w:val="14"/>
              </w:rPr>
            </w:pPr>
            <w:r>
              <w:rPr>
                <w:w w:val="85"/>
                <w:sz w:val="14"/>
              </w:rPr>
              <w:t>la</w:t>
            </w:r>
            <w:r>
              <w:rPr>
                <w:spacing w:val="-2"/>
                <w:sz w:val="14"/>
              </w:rPr>
              <w:t xml:space="preserve"> </w:t>
            </w:r>
            <w:r>
              <w:rPr>
                <w:w w:val="85"/>
                <w:sz w:val="14"/>
              </w:rPr>
              <w:t>construcción</w:t>
            </w:r>
            <w:r>
              <w:rPr>
                <w:spacing w:val="-2"/>
                <w:sz w:val="14"/>
              </w:rPr>
              <w:t xml:space="preserve"> </w:t>
            </w:r>
            <w:r>
              <w:rPr>
                <w:w w:val="85"/>
                <w:sz w:val="14"/>
              </w:rPr>
              <w:t>de</w:t>
            </w:r>
            <w:r>
              <w:rPr>
                <w:spacing w:val="-1"/>
                <w:sz w:val="14"/>
              </w:rPr>
              <w:t xml:space="preserve"> </w:t>
            </w:r>
            <w:r>
              <w:rPr>
                <w:w w:val="85"/>
                <w:sz w:val="14"/>
              </w:rPr>
              <w:t>todo</w:t>
            </w:r>
            <w:r>
              <w:rPr>
                <w:spacing w:val="-2"/>
                <w:sz w:val="14"/>
              </w:rPr>
              <w:t xml:space="preserve"> </w:t>
            </w:r>
            <w:r>
              <w:rPr>
                <w:w w:val="85"/>
                <w:sz w:val="14"/>
              </w:rPr>
              <w:t>tipo</w:t>
            </w:r>
            <w:r>
              <w:rPr>
                <w:spacing w:val="-1"/>
                <w:sz w:val="14"/>
              </w:rPr>
              <w:t xml:space="preserve"> </w:t>
            </w:r>
            <w:r>
              <w:rPr>
                <w:w w:val="85"/>
                <w:sz w:val="14"/>
              </w:rPr>
              <w:t>de</w:t>
            </w:r>
            <w:r>
              <w:rPr>
                <w:spacing w:val="-2"/>
                <w:sz w:val="14"/>
              </w:rPr>
              <w:t xml:space="preserve"> </w:t>
            </w:r>
            <w:r>
              <w:rPr>
                <w:w w:val="85"/>
                <w:sz w:val="14"/>
              </w:rPr>
              <w:t>edificios,</w:t>
            </w:r>
            <w:r>
              <w:rPr>
                <w:spacing w:val="-1"/>
                <w:sz w:val="14"/>
              </w:rPr>
              <w:t xml:space="preserve"> </w:t>
            </w:r>
            <w:r>
              <w:rPr>
                <w:w w:val="85"/>
                <w:sz w:val="14"/>
              </w:rPr>
              <w:t>la</w:t>
            </w:r>
            <w:r>
              <w:rPr>
                <w:spacing w:val="-2"/>
                <w:sz w:val="14"/>
              </w:rPr>
              <w:t xml:space="preserve"> </w:t>
            </w:r>
            <w:r>
              <w:rPr>
                <w:w w:val="85"/>
                <w:sz w:val="14"/>
              </w:rPr>
              <w:t>construcción</w:t>
            </w:r>
            <w:r>
              <w:rPr>
                <w:spacing w:val="-1"/>
                <w:sz w:val="14"/>
              </w:rPr>
              <w:t xml:space="preserve"> </w:t>
            </w:r>
            <w:r>
              <w:rPr>
                <w:w w:val="85"/>
                <w:sz w:val="14"/>
              </w:rPr>
              <w:t>de</w:t>
            </w:r>
            <w:r>
              <w:rPr>
                <w:spacing w:val="-2"/>
                <w:sz w:val="14"/>
              </w:rPr>
              <w:t xml:space="preserve"> </w:t>
            </w:r>
            <w:r>
              <w:rPr>
                <w:w w:val="85"/>
                <w:sz w:val="14"/>
              </w:rPr>
              <w:t>obras</w:t>
            </w:r>
            <w:r>
              <w:rPr>
                <w:spacing w:val="-1"/>
                <w:sz w:val="14"/>
              </w:rPr>
              <w:t xml:space="preserve"> </w:t>
            </w:r>
            <w:r>
              <w:rPr>
                <w:w w:val="85"/>
                <w:sz w:val="14"/>
              </w:rPr>
              <w:t>de</w:t>
            </w:r>
            <w:r>
              <w:rPr>
                <w:spacing w:val="-2"/>
                <w:sz w:val="14"/>
              </w:rPr>
              <w:t xml:space="preserve"> </w:t>
            </w:r>
            <w:r>
              <w:rPr>
                <w:w w:val="85"/>
                <w:sz w:val="14"/>
              </w:rPr>
              <w:t>ingeniería</w:t>
            </w:r>
            <w:r>
              <w:rPr>
                <w:spacing w:val="-1"/>
                <w:sz w:val="14"/>
              </w:rPr>
              <w:t xml:space="preserve"> </w:t>
            </w:r>
            <w:r>
              <w:rPr>
                <w:spacing w:val="-2"/>
                <w:w w:val="85"/>
                <w:sz w:val="14"/>
              </w:rPr>
              <w:t>civil:</w:t>
            </w:r>
          </w:p>
          <w:p w:rsidR="0092635B" w:rsidRDefault="00000000">
            <w:pPr>
              <w:pStyle w:val="TableParagraph"/>
              <w:numPr>
                <w:ilvl w:val="0"/>
                <w:numId w:val="29"/>
              </w:numPr>
              <w:tabs>
                <w:tab w:val="left" w:pos="143"/>
              </w:tabs>
              <w:spacing w:before="7"/>
              <w:ind w:left="143" w:hanging="102"/>
              <w:rPr>
                <w:sz w:val="14"/>
              </w:rPr>
            </w:pPr>
            <w:r>
              <w:rPr>
                <w:w w:val="85"/>
                <w:sz w:val="14"/>
              </w:rPr>
              <w:t>puentes</w:t>
            </w:r>
            <w:r>
              <w:rPr>
                <w:spacing w:val="3"/>
                <w:sz w:val="14"/>
              </w:rPr>
              <w:t xml:space="preserve"> </w:t>
            </w:r>
            <w:r>
              <w:rPr>
                <w:w w:val="85"/>
                <w:sz w:val="14"/>
              </w:rPr>
              <w:t>(incluidos</w:t>
            </w:r>
            <w:r>
              <w:rPr>
                <w:spacing w:val="3"/>
                <w:sz w:val="14"/>
              </w:rPr>
              <w:t xml:space="preserve"> </w:t>
            </w:r>
            <w:r>
              <w:rPr>
                <w:w w:val="85"/>
                <w:sz w:val="14"/>
              </w:rPr>
              <w:t>los</w:t>
            </w:r>
            <w:r>
              <w:rPr>
                <w:spacing w:val="4"/>
                <w:sz w:val="14"/>
              </w:rPr>
              <w:t xml:space="preserve"> </w:t>
            </w:r>
            <w:r>
              <w:rPr>
                <w:w w:val="85"/>
                <w:sz w:val="14"/>
              </w:rPr>
              <w:t>de</w:t>
            </w:r>
            <w:r>
              <w:rPr>
                <w:spacing w:val="3"/>
                <w:sz w:val="14"/>
              </w:rPr>
              <w:t xml:space="preserve"> </w:t>
            </w:r>
            <w:r>
              <w:rPr>
                <w:w w:val="85"/>
                <w:sz w:val="14"/>
              </w:rPr>
              <w:t>carreteras</w:t>
            </w:r>
            <w:r>
              <w:rPr>
                <w:spacing w:val="3"/>
                <w:sz w:val="14"/>
              </w:rPr>
              <w:t xml:space="preserve"> </w:t>
            </w:r>
            <w:r>
              <w:rPr>
                <w:w w:val="85"/>
                <w:sz w:val="14"/>
              </w:rPr>
              <w:t>elevadas),</w:t>
            </w:r>
            <w:r>
              <w:rPr>
                <w:spacing w:val="4"/>
                <w:sz w:val="14"/>
              </w:rPr>
              <w:t xml:space="preserve"> </w:t>
            </w:r>
            <w:r>
              <w:rPr>
                <w:w w:val="85"/>
                <w:sz w:val="14"/>
              </w:rPr>
              <w:t>viaductos,</w:t>
            </w:r>
            <w:r>
              <w:rPr>
                <w:spacing w:val="3"/>
                <w:sz w:val="14"/>
              </w:rPr>
              <w:t xml:space="preserve"> </w:t>
            </w:r>
            <w:r>
              <w:rPr>
                <w:w w:val="85"/>
                <w:sz w:val="14"/>
              </w:rPr>
              <w:t>túneles</w:t>
            </w:r>
            <w:r>
              <w:rPr>
                <w:spacing w:val="3"/>
                <w:sz w:val="14"/>
              </w:rPr>
              <w:t xml:space="preserve"> </w:t>
            </w:r>
            <w:r>
              <w:rPr>
                <w:w w:val="85"/>
                <w:sz w:val="14"/>
              </w:rPr>
              <w:t>y</w:t>
            </w:r>
            <w:r>
              <w:rPr>
                <w:spacing w:val="4"/>
                <w:sz w:val="14"/>
              </w:rPr>
              <w:t xml:space="preserve"> </w:t>
            </w:r>
            <w:r>
              <w:rPr>
                <w:w w:val="85"/>
                <w:sz w:val="14"/>
              </w:rPr>
              <w:t>pasos</w:t>
            </w:r>
            <w:r>
              <w:rPr>
                <w:spacing w:val="3"/>
                <w:sz w:val="14"/>
              </w:rPr>
              <w:t xml:space="preserve"> </w:t>
            </w:r>
            <w:r>
              <w:rPr>
                <w:spacing w:val="-2"/>
                <w:w w:val="85"/>
                <w:sz w:val="14"/>
              </w:rPr>
              <w:t>subterráneos,</w:t>
            </w:r>
          </w:p>
          <w:p w:rsidR="0092635B" w:rsidRDefault="00000000">
            <w:pPr>
              <w:pStyle w:val="TableParagraph"/>
              <w:numPr>
                <w:ilvl w:val="0"/>
                <w:numId w:val="29"/>
              </w:numPr>
              <w:tabs>
                <w:tab w:val="left" w:pos="143"/>
              </w:tabs>
              <w:spacing w:before="7"/>
              <w:ind w:left="143" w:hanging="102"/>
              <w:rPr>
                <w:sz w:val="14"/>
              </w:rPr>
            </w:pPr>
            <w:r>
              <w:rPr>
                <w:w w:val="85"/>
                <w:sz w:val="14"/>
              </w:rPr>
              <w:t>redes</w:t>
            </w:r>
            <w:r>
              <w:rPr>
                <w:spacing w:val="-1"/>
                <w:sz w:val="14"/>
              </w:rPr>
              <w:t xml:space="preserve"> </w:t>
            </w:r>
            <w:r>
              <w:rPr>
                <w:w w:val="85"/>
                <w:sz w:val="14"/>
              </w:rPr>
              <w:t>de</w:t>
            </w:r>
            <w:r>
              <w:rPr>
                <w:sz w:val="14"/>
              </w:rPr>
              <w:t xml:space="preserve"> </w:t>
            </w:r>
            <w:r>
              <w:rPr>
                <w:w w:val="85"/>
                <w:sz w:val="14"/>
              </w:rPr>
              <w:t>energía,</w:t>
            </w:r>
            <w:r>
              <w:rPr>
                <w:spacing w:val="-1"/>
                <w:sz w:val="14"/>
              </w:rPr>
              <w:t xml:space="preserve"> </w:t>
            </w:r>
            <w:r>
              <w:rPr>
                <w:w w:val="85"/>
                <w:sz w:val="14"/>
              </w:rPr>
              <w:t>comunicación</w:t>
            </w:r>
            <w:r>
              <w:rPr>
                <w:sz w:val="14"/>
              </w:rPr>
              <w:t xml:space="preserve"> </w:t>
            </w:r>
            <w:r>
              <w:rPr>
                <w:w w:val="85"/>
                <w:sz w:val="14"/>
              </w:rPr>
              <w:t>y</w:t>
            </w:r>
            <w:r>
              <w:rPr>
                <w:spacing w:val="-1"/>
                <w:sz w:val="14"/>
              </w:rPr>
              <w:t xml:space="preserve"> </w:t>
            </w:r>
            <w:r>
              <w:rPr>
                <w:w w:val="85"/>
                <w:sz w:val="14"/>
              </w:rPr>
              <w:t>conducción</w:t>
            </w:r>
            <w:r>
              <w:rPr>
                <w:sz w:val="14"/>
              </w:rPr>
              <w:t xml:space="preserve"> </w:t>
            </w:r>
            <w:r>
              <w:rPr>
                <w:w w:val="85"/>
                <w:sz w:val="14"/>
              </w:rPr>
              <w:t>de</w:t>
            </w:r>
            <w:r>
              <w:rPr>
                <w:spacing w:val="-1"/>
                <w:sz w:val="14"/>
              </w:rPr>
              <w:t xml:space="preserve"> </w:t>
            </w:r>
            <w:r>
              <w:rPr>
                <w:w w:val="85"/>
                <w:sz w:val="14"/>
              </w:rPr>
              <w:t>larga</w:t>
            </w:r>
            <w:r>
              <w:rPr>
                <w:sz w:val="14"/>
              </w:rPr>
              <w:t xml:space="preserve"> </w:t>
            </w:r>
            <w:r>
              <w:rPr>
                <w:spacing w:val="-2"/>
                <w:w w:val="85"/>
                <w:sz w:val="14"/>
              </w:rPr>
              <w:t>distancia,</w:t>
            </w:r>
          </w:p>
          <w:p w:rsidR="0092635B" w:rsidRDefault="00000000">
            <w:pPr>
              <w:pStyle w:val="TableParagraph"/>
              <w:numPr>
                <w:ilvl w:val="0"/>
                <w:numId w:val="29"/>
              </w:numPr>
              <w:tabs>
                <w:tab w:val="left" w:pos="143"/>
              </w:tabs>
              <w:spacing w:before="7"/>
              <w:ind w:left="143" w:hanging="102"/>
              <w:rPr>
                <w:sz w:val="14"/>
              </w:rPr>
            </w:pPr>
            <w:r>
              <w:rPr>
                <w:w w:val="85"/>
                <w:sz w:val="14"/>
              </w:rPr>
              <w:t>instalaciones</w:t>
            </w:r>
            <w:r>
              <w:rPr>
                <w:spacing w:val="1"/>
                <w:sz w:val="14"/>
              </w:rPr>
              <w:t xml:space="preserve"> </w:t>
            </w:r>
            <w:r>
              <w:rPr>
                <w:w w:val="85"/>
                <w:sz w:val="14"/>
              </w:rPr>
              <w:t>urbanas</w:t>
            </w:r>
            <w:r>
              <w:rPr>
                <w:spacing w:val="1"/>
                <w:sz w:val="14"/>
              </w:rPr>
              <w:t xml:space="preserve"> </w:t>
            </w:r>
            <w:r>
              <w:rPr>
                <w:w w:val="85"/>
                <w:sz w:val="14"/>
              </w:rPr>
              <w:t>de</w:t>
            </w:r>
            <w:r>
              <w:rPr>
                <w:spacing w:val="1"/>
                <w:sz w:val="14"/>
              </w:rPr>
              <w:t xml:space="preserve"> </w:t>
            </w:r>
            <w:r>
              <w:rPr>
                <w:w w:val="85"/>
                <w:sz w:val="14"/>
              </w:rPr>
              <w:t>tuberías,</w:t>
            </w:r>
            <w:r>
              <w:rPr>
                <w:spacing w:val="1"/>
                <w:sz w:val="14"/>
              </w:rPr>
              <w:t xml:space="preserve"> </w:t>
            </w:r>
            <w:r>
              <w:rPr>
                <w:w w:val="85"/>
                <w:sz w:val="14"/>
              </w:rPr>
              <w:t>redes</w:t>
            </w:r>
            <w:r>
              <w:rPr>
                <w:spacing w:val="1"/>
                <w:sz w:val="14"/>
              </w:rPr>
              <w:t xml:space="preserve"> </w:t>
            </w:r>
            <w:r>
              <w:rPr>
                <w:w w:val="85"/>
                <w:sz w:val="14"/>
              </w:rPr>
              <w:t>de</w:t>
            </w:r>
            <w:r>
              <w:rPr>
                <w:spacing w:val="1"/>
                <w:sz w:val="14"/>
              </w:rPr>
              <w:t xml:space="preserve"> </w:t>
            </w:r>
            <w:r>
              <w:rPr>
                <w:w w:val="85"/>
                <w:sz w:val="14"/>
              </w:rPr>
              <w:t>energía</w:t>
            </w:r>
            <w:r>
              <w:rPr>
                <w:spacing w:val="2"/>
                <w:sz w:val="14"/>
              </w:rPr>
              <w:t xml:space="preserve"> </w:t>
            </w:r>
            <w:r>
              <w:rPr>
                <w:w w:val="85"/>
                <w:sz w:val="14"/>
              </w:rPr>
              <w:t>y</w:t>
            </w:r>
            <w:r>
              <w:rPr>
                <w:spacing w:val="1"/>
                <w:sz w:val="14"/>
              </w:rPr>
              <w:t xml:space="preserve"> </w:t>
            </w:r>
            <w:r>
              <w:rPr>
                <w:w w:val="85"/>
                <w:sz w:val="14"/>
              </w:rPr>
              <w:t>de</w:t>
            </w:r>
            <w:r>
              <w:rPr>
                <w:spacing w:val="1"/>
                <w:sz w:val="14"/>
              </w:rPr>
              <w:t xml:space="preserve"> </w:t>
            </w:r>
            <w:r>
              <w:rPr>
                <w:spacing w:val="-2"/>
                <w:w w:val="85"/>
                <w:sz w:val="14"/>
              </w:rPr>
              <w:t>comunicaciones,</w:t>
            </w:r>
          </w:p>
          <w:p w:rsidR="0092635B" w:rsidRDefault="00000000">
            <w:pPr>
              <w:pStyle w:val="TableParagraph"/>
              <w:numPr>
                <w:ilvl w:val="0"/>
                <w:numId w:val="29"/>
              </w:numPr>
              <w:tabs>
                <w:tab w:val="left" w:pos="143"/>
              </w:tabs>
              <w:spacing w:before="7"/>
              <w:ind w:left="143" w:hanging="102"/>
              <w:rPr>
                <w:sz w:val="14"/>
              </w:rPr>
            </w:pPr>
            <w:r>
              <w:rPr>
                <w:w w:val="85"/>
                <w:sz w:val="14"/>
              </w:rPr>
              <w:t>obras</w:t>
            </w:r>
            <w:r>
              <w:rPr>
                <w:spacing w:val="3"/>
                <w:sz w:val="14"/>
              </w:rPr>
              <w:t xml:space="preserve"> </w:t>
            </w:r>
            <w:r>
              <w:rPr>
                <w:w w:val="85"/>
                <w:sz w:val="14"/>
              </w:rPr>
              <w:t>urbanas</w:t>
            </w:r>
            <w:r>
              <w:rPr>
                <w:spacing w:val="4"/>
                <w:sz w:val="14"/>
              </w:rPr>
              <w:t xml:space="preserve"> </w:t>
            </w:r>
            <w:r>
              <w:rPr>
                <w:spacing w:val="-2"/>
                <w:w w:val="85"/>
                <w:sz w:val="14"/>
              </w:rPr>
              <w:t>anejas,</w:t>
            </w:r>
          </w:p>
          <w:p w:rsidR="0092635B" w:rsidRDefault="00000000">
            <w:pPr>
              <w:pStyle w:val="TableParagraph"/>
              <w:numPr>
                <w:ilvl w:val="0"/>
                <w:numId w:val="29"/>
              </w:numPr>
              <w:tabs>
                <w:tab w:val="left" w:pos="143"/>
              </w:tabs>
              <w:spacing w:before="7" w:line="249" w:lineRule="auto"/>
              <w:ind w:right="3360" w:firstLine="0"/>
              <w:rPr>
                <w:sz w:val="14"/>
              </w:rPr>
            </w:pPr>
            <w:r>
              <w:rPr>
                <w:w w:val="85"/>
                <w:sz w:val="14"/>
              </w:rPr>
              <w:t xml:space="preserve">el montaje </w:t>
            </w:r>
            <w:r>
              <w:rPr>
                <w:rFonts w:ascii="Arial" w:hAnsi="Arial"/>
                <w:i/>
                <w:w w:val="85"/>
                <w:sz w:val="14"/>
              </w:rPr>
              <w:t xml:space="preserve">in situ </w:t>
            </w:r>
            <w:r>
              <w:rPr>
                <w:w w:val="85"/>
                <w:sz w:val="14"/>
              </w:rPr>
              <w:t>de construcciones prefabricadas.</w:t>
            </w:r>
            <w:r>
              <w:rPr>
                <w:spacing w:val="40"/>
                <w:sz w:val="14"/>
              </w:rPr>
              <w:t xml:space="preserve"> </w:t>
            </w:r>
            <w:r>
              <w:rPr>
                <w:w w:val="95"/>
                <w:sz w:val="14"/>
              </w:rPr>
              <w:t>Esta clase no comprende:</w:t>
            </w:r>
          </w:p>
          <w:p w:rsidR="0092635B" w:rsidRDefault="00000000">
            <w:pPr>
              <w:pStyle w:val="TableParagraph"/>
              <w:numPr>
                <w:ilvl w:val="0"/>
                <w:numId w:val="29"/>
              </w:numPr>
              <w:tabs>
                <w:tab w:val="left" w:pos="143"/>
              </w:tabs>
              <w:spacing w:before="1"/>
              <w:ind w:left="143" w:hanging="102"/>
              <w:rPr>
                <w:sz w:val="14"/>
              </w:rPr>
            </w:pPr>
            <w:r>
              <w:rPr>
                <w:w w:val="85"/>
                <w:sz w:val="14"/>
              </w:rPr>
              <w:t>los</w:t>
            </w:r>
            <w:r>
              <w:rPr>
                <w:spacing w:val="-1"/>
                <w:sz w:val="14"/>
              </w:rPr>
              <w:t xml:space="preserve"> </w:t>
            </w:r>
            <w:r>
              <w:rPr>
                <w:w w:val="85"/>
                <w:sz w:val="14"/>
              </w:rPr>
              <w:t>servicios</w:t>
            </w:r>
            <w:r>
              <w:rPr>
                <w:sz w:val="14"/>
              </w:rPr>
              <w:t xml:space="preserve"> </w:t>
            </w:r>
            <w:r>
              <w:rPr>
                <w:w w:val="85"/>
                <w:sz w:val="14"/>
              </w:rPr>
              <w:t>relacionados</w:t>
            </w:r>
            <w:r>
              <w:rPr>
                <w:spacing w:val="-1"/>
                <w:sz w:val="14"/>
              </w:rPr>
              <w:t xml:space="preserve"> </w:t>
            </w:r>
            <w:r>
              <w:rPr>
                <w:w w:val="85"/>
                <w:sz w:val="14"/>
              </w:rPr>
              <w:t>con</w:t>
            </w:r>
            <w:r>
              <w:rPr>
                <w:sz w:val="14"/>
              </w:rPr>
              <w:t xml:space="preserve"> </w:t>
            </w:r>
            <w:r>
              <w:rPr>
                <w:w w:val="85"/>
                <w:sz w:val="14"/>
              </w:rPr>
              <w:t>la</w:t>
            </w:r>
            <w:r>
              <w:rPr>
                <w:spacing w:val="-1"/>
                <w:sz w:val="14"/>
              </w:rPr>
              <w:t xml:space="preserve"> </w:t>
            </w:r>
            <w:r>
              <w:rPr>
                <w:w w:val="85"/>
                <w:sz w:val="14"/>
              </w:rPr>
              <w:t>extracción</w:t>
            </w:r>
            <w:r>
              <w:rPr>
                <w:sz w:val="14"/>
              </w:rPr>
              <w:t xml:space="preserve"> </w:t>
            </w:r>
            <w:r>
              <w:rPr>
                <w:w w:val="85"/>
                <w:sz w:val="14"/>
              </w:rPr>
              <w:t>de</w:t>
            </w:r>
            <w:r>
              <w:rPr>
                <w:spacing w:val="-1"/>
                <w:sz w:val="14"/>
              </w:rPr>
              <w:t xml:space="preserve"> </w:t>
            </w:r>
            <w:r>
              <w:rPr>
                <w:w w:val="85"/>
                <w:sz w:val="14"/>
              </w:rPr>
              <w:t>gas</w:t>
            </w:r>
            <w:r>
              <w:rPr>
                <w:sz w:val="14"/>
              </w:rPr>
              <w:t xml:space="preserve"> </w:t>
            </w:r>
            <w:r>
              <w:rPr>
                <w:w w:val="85"/>
                <w:sz w:val="14"/>
              </w:rPr>
              <w:t>y</w:t>
            </w:r>
            <w:r>
              <w:rPr>
                <w:spacing w:val="-1"/>
                <w:sz w:val="14"/>
              </w:rPr>
              <w:t xml:space="preserve"> </w:t>
            </w:r>
            <w:r>
              <w:rPr>
                <w:w w:val="85"/>
                <w:sz w:val="14"/>
              </w:rPr>
              <w:t>de</w:t>
            </w:r>
            <w:r>
              <w:rPr>
                <w:sz w:val="14"/>
              </w:rPr>
              <w:t xml:space="preserve"> </w:t>
            </w:r>
            <w:r>
              <w:rPr>
                <w:w w:val="85"/>
                <w:sz w:val="14"/>
              </w:rPr>
              <w:t>petróleo</w:t>
            </w:r>
            <w:r>
              <w:rPr>
                <w:spacing w:val="-1"/>
                <w:sz w:val="14"/>
              </w:rPr>
              <w:t xml:space="preserve"> </w:t>
            </w:r>
            <w:r>
              <w:rPr>
                <w:w w:val="85"/>
                <w:sz w:val="14"/>
              </w:rPr>
              <w:t>(véase</w:t>
            </w:r>
            <w:r>
              <w:rPr>
                <w:sz w:val="14"/>
              </w:rPr>
              <w:t xml:space="preserve"> </w:t>
            </w:r>
            <w:r>
              <w:rPr>
                <w:spacing w:val="-2"/>
                <w:w w:val="85"/>
                <w:sz w:val="14"/>
              </w:rPr>
              <w:t>11.20),</w:t>
            </w:r>
          </w:p>
          <w:p w:rsidR="0092635B" w:rsidRDefault="00000000">
            <w:pPr>
              <w:pStyle w:val="TableParagraph"/>
              <w:numPr>
                <w:ilvl w:val="0"/>
                <w:numId w:val="29"/>
              </w:numPr>
              <w:tabs>
                <w:tab w:val="left" w:pos="143"/>
              </w:tabs>
              <w:spacing w:before="7" w:line="249" w:lineRule="auto"/>
              <w:ind w:right="125" w:firstLine="0"/>
              <w:rPr>
                <w:sz w:val="14"/>
              </w:rPr>
            </w:pPr>
            <w:r>
              <w:rPr>
                <w:w w:val="85"/>
                <w:sz w:val="14"/>
              </w:rPr>
              <w:t>el montaje de construcciones prefabricadas completas a partir de piezas de producción propia que no sean de</w:t>
            </w:r>
            <w:r>
              <w:rPr>
                <w:spacing w:val="40"/>
                <w:sz w:val="14"/>
              </w:rPr>
              <w:t xml:space="preserve"> </w:t>
            </w:r>
            <w:r>
              <w:rPr>
                <w:spacing w:val="-2"/>
                <w:w w:val="95"/>
                <w:sz w:val="14"/>
              </w:rPr>
              <w:t>hormigón</w:t>
            </w:r>
            <w:r>
              <w:rPr>
                <w:spacing w:val="-5"/>
                <w:w w:val="95"/>
                <w:sz w:val="14"/>
              </w:rPr>
              <w:t xml:space="preserve"> </w:t>
            </w:r>
            <w:r>
              <w:rPr>
                <w:spacing w:val="-2"/>
                <w:w w:val="95"/>
                <w:sz w:val="14"/>
              </w:rPr>
              <w:t>(véanse</w:t>
            </w:r>
            <w:r>
              <w:rPr>
                <w:spacing w:val="-5"/>
                <w:w w:val="95"/>
                <w:sz w:val="14"/>
              </w:rPr>
              <w:t xml:space="preserve"> </w:t>
            </w:r>
            <w:r>
              <w:rPr>
                <w:spacing w:val="-2"/>
                <w:w w:val="95"/>
                <w:sz w:val="14"/>
              </w:rPr>
              <w:t>las</w:t>
            </w:r>
            <w:r>
              <w:rPr>
                <w:spacing w:val="-5"/>
                <w:w w:val="95"/>
                <w:sz w:val="14"/>
              </w:rPr>
              <w:t xml:space="preserve"> </w:t>
            </w:r>
            <w:r>
              <w:rPr>
                <w:spacing w:val="-2"/>
                <w:w w:val="95"/>
                <w:sz w:val="14"/>
              </w:rPr>
              <w:t>divisiones</w:t>
            </w:r>
            <w:r>
              <w:rPr>
                <w:spacing w:val="-5"/>
                <w:w w:val="95"/>
                <w:sz w:val="14"/>
              </w:rPr>
              <w:t xml:space="preserve"> </w:t>
            </w:r>
            <w:r>
              <w:rPr>
                <w:spacing w:val="-2"/>
                <w:w w:val="95"/>
                <w:sz w:val="14"/>
              </w:rPr>
              <w:t>20,</w:t>
            </w:r>
            <w:r>
              <w:rPr>
                <w:spacing w:val="-5"/>
                <w:w w:val="95"/>
                <w:sz w:val="14"/>
              </w:rPr>
              <w:t xml:space="preserve"> </w:t>
            </w:r>
            <w:r>
              <w:rPr>
                <w:spacing w:val="-2"/>
                <w:w w:val="95"/>
                <w:sz w:val="14"/>
              </w:rPr>
              <w:t>26</w:t>
            </w:r>
            <w:r>
              <w:rPr>
                <w:spacing w:val="-5"/>
                <w:w w:val="95"/>
                <w:sz w:val="14"/>
              </w:rPr>
              <w:t xml:space="preserve"> </w:t>
            </w:r>
            <w:r>
              <w:rPr>
                <w:spacing w:val="-2"/>
                <w:w w:val="95"/>
                <w:sz w:val="14"/>
              </w:rPr>
              <w:t>y</w:t>
            </w:r>
            <w:r>
              <w:rPr>
                <w:spacing w:val="-5"/>
                <w:w w:val="95"/>
                <w:sz w:val="14"/>
              </w:rPr>
              <w:t xml:space="preserve"> </w:t>
            </w:r>
            <w:r>
              <w:rPr>
                <w:spacing w:val="-2"/>
                <w:w w:val="95"/>
                <w:sz w:val="14"/>
              </w:rPr>
              <w:t>28),</w:t>
            </w:r>
          </w:p>
          <w:p w:rsidR="0092635B" w:rsidRDefault="00000000">
            <w:pPr>
              <w:pStyle w:val="TableParagraph"/>
              <w:numPr>
                <w:ilvl w:val="0"/>
                <w:numId w:val="29"/>
              </w:numPr>
              <w:tabs>
                <w:tab w:val="left" w:pos="143"/>
              </w:tabs>
              <w:spacing w:before="1" w:line="249" w:lineRule="auto"/>
              <w:ind w:right="349" w:firstLine="0"/>
              <w:rPr>
                <w:sz w:val="14"/>
              </w:rPr>
            </w:pPr>
            <w:r>
              <w:rPr>
                <w:w w:val="85"/>
                <w:sz w:val="14"/>
              </w:rPr>
              <w:t>la construcción de equipamientos de estadios, piscinas, gimnasios, pistas de tenis, campos de golf y otras</w:t>
            </w:r>
            <w:r>
              <w:rPr>
                <w:spacing w:val="40"/>
                <w:sz w:val="14"/>
              </w:rPr>
              <w:t xml:space="preserve"> </w:t>
            </w:r>
            <w:r>
              <w:rPr>
                <w:w w:val="90"/>
                <w:sz w:val="14"/>
              </w:rPr>
              <w:t>instalaciones deportivas, excluidos sus edificios (véase 45.23),</w:t>
            </w:r>
          </w:p>
          <w:p w:rsidR="0092635B" w:rsidRDefault="00000000">
            <w:pPr>
              <w:pStyle w:val="TableParagraph"/>
              <w:numPr>
                <w:ilvl w:val="0"/>
                <w:numId w:val="29"/>
              </w:numPr>
              <w:tabs>
                <w:tab w:val="left" w:pos="143"/>
              </w:tabs>
              <w:spacing w:before="1"/>
              <w:ind w:left="143" w:hanging="102"/>
              <w:rPr>
                <w:sz w:val="14"/>
              </w:rPr>
            </w:pPr>
            <w:r>
              <w:rPr>
                <w:w w:val="85"/>
                <w:sz w:val="14"/>
              </w:rPr>
              <w:t>las</w:t>
            </w:r>
            <w:r>
              <w:rPr>
                <w:spacing w:val="1"/>
                <w:sz w:val="14"/>
              </w:rPr>
              <w:t xml:space="preserve"> </w:t>
            </w:r>
            <w:r>
              <w:rPr>
                <w:w w:val="85"/>
                <w:sz w:val="14"/>
              </w:rPr>
              <w:t>instalaciones</w:t>
            </w:r>
            <w:r>
              <w:rPr>
                <w:spacing w:val="1"/>
                <w:sz w:val="14"/>
              </w:rPr>
              <w:t xml:space="preserve"> </w:t>
            </w:r>
            <w:r>
              <w:rPr>
                <w:w w:val="85"/>
                <w:sz w:val="14"/>
              </w:rPr>
              <w:t>de</w:t>
            </w:r>
            <w:r>
              <w:rPr>
                <w:spacing w:val="1"/>
                <w:sz w:val="14"/>
              </w:rPr>
              <w:t xml:space="preserve"> </w:t>
            </w:r>
            <w:r>
              <w:rPr>
                <w:w w:val="85"/>
                <w:sz w:val="14"/>
              </w:rPr>
              <w:t>edificios</w:t>
            </w:r>
            <w:r>
              <w:rPr>
                <w:spacing w:val="2"/>
                <w:sz w:val="14"/>
              </w:rPr>
              <w:t xml:space="preserve"> </w:t>
            </w:r>
            <w:r>
              <w:rPr>
                <w:w w:val="85"/>
                <w:sz w:val="14"/>
              </w:rPr>
              <w:t>y</w:t>
            </w:r>
            <w:r>
              <w:rPr>
                <w:spacing w:val="1"/>
                <w:sz w:val="14"/>
              </w:rPr>
              <w:t xml:space="preserve"> </w:t>
            </w:r>
            <w:r>
              <w:rPr>
                <w:w w:val="85"/>
                <w:sz w:val="14"/>
              </w:rPr>
              <w:t>obras</w:t>
            </w:r>
            <w:r>
              <w:rPr>
                <w:spacing w:val="1"/>
                <w:sz w:val="14"/>
              </w:rPr>
              <w:t xml:space="preserve"> </w:t>
            </w:r>
            <w:r>
              <w:rPr>
                <w:w w:val="85"/>
                <w:sz w:val="14"/>
              </w:rPr>
              <w:t>(véase</w:t>
            </w:r>
            <w:r>
              <w:rPr>
                <w:spacing w:val="1"/>
                <w:sz w:val="14"/>
              </w:rPr>
              <w:t xml:space="preserve"> </w:t>
            </w:r>
            <w:r>
              <w:rPr>
                <w:spacing w:val="-2"/>
                <w:w w:val="85"/>
                <w:sz w:val="14"/>
              </w:rPr>
              <w:t>45.3),</w:t>
            </w:r>
          </w:p>
          <w:p w:rsidR="0092635B" w:rsidRDefault="00000000">
            <w:pPr>
              <w:pStyle w:val="TableParagraph"/>
              <w:numPr>
                <w:ilvl w:val="0"/>
                <w:numId w:val="29"/>
              </w:numPr>
              <w:tabs>
                <w:tab w:val="left" w:pos="143"/>
              </w:tabs>
              <w:spacing w:before="7"/>
              <w:ind w:left="143" w:hanging="102"/>
              <w:rPr>
                <w:sz w:val="14"/>
              </w:rPr>
            </w:pPr>
            <w:r>
              <w:rPr>
                <w:w w:val="85"/>
                <w:sz w:val="14"/>
              </w:rPr>
              <w:t>el</w:t>
            </w:r>
            <w:r>
              <w:rPr>
                <w:spacing w:val="-1"/>
                <w:sz w:val="14"/>
              </w:rPr>
              <w:t xml:space="preserve"> </w:t>
            </w:r>
            <w:r>
              <w:rPr>
                <w:w w:val="85"/>
                <w:sz w:val="14"/>
              </w:rPr>
              <w:t>acabado</w:t>
            </w:r>
            <w:r>
              <w:rPr>
                <w:spacing w:val="-1"/>
                <w:sz w:val="14"/>
              </w:rPr>
              <w:t xml:space="preserve"> </w:t>
            </w:r>
            <w:r>
              <w:rPr>
                <w:w w:val="85"/>
                <w:sz w:val="14"/>
              </w:rPr>
              <w:t>de</w:t>
            </w:r>
            <w:r>
              <w:rPr>
                <w:spacing w:val="-1"/>
                <w:sz w:val="14"/>
              </w:rPr>
              <w:t xml:space="preserve"> </w:t>
            </w:r>
            <w:r>
              <w:rPr>
                <w:w w:val="85"/>
                <w:sz w:val="14"/>
              </w:rPr>
              <w:t>edificios</w:t>
            </w:r>
            <w:r>
              <w:rPr>
                <w:sz w:val="14"/>
              </w:rPr>
              <w:t xml:space="preserve"> </w:t>
            </w:r>
            <w:r>
              <w:rPr>
                <w:w w:val="85"/>
                <w:sz w:val="14"/>
              </w:rPr>
              <w:t>y</w:t>
            </w:r>
            <w:r>
              <w:rPr>
                <w:spacing w:val="-1"/>
                <w:sz w:val="14"/>
              </w:rPr>
              <w:t xml:space="preserve"> </w:t>
            </w:r>
            <w:r>
              <w:rPr>
                <w:w w:val="85"/>
                <w:sz w:val="14"/>
              </w:rPr>
              <w:t>obras</w:t>
            </w:r>
            <w:r>
              <w:rPr>
                <w:spacing w:val="-1"/>
                <w:sz w:val="14"/>
              </w:rPr>
              <w:t xml:space="preserve"> </w:t>
            </w:r>
            <w:r>
              <w:rPr>
                <w:w w:val="85"/>
                <w:sz w:val="14"/>
              </w:rPr>
              <w:t>(véase</w:t>
            </w:r>
            <w:r>
              <w:rPr>
                <w:spacing w:val="-1"/>
                <w:sz w:val="14"/>
              </w:rPr>
              <w:t xml:space="preserve"> </w:t>
            </w:r>
            <w:r>
              <w:rPr>
                <w:spacing w:val="-2"/>
                <w:w w:val="85"/>
                <w:sz w:val="14"/>
              </w:rPr>
              <w:t>45.4),</w:t>
            </w:r>
          </w:p>
          <w:p w:rsidR="0092635B" w:rsidRDefault="00000000">
            <w:pPr>
              <w:pStyle w:val="TableParagraph"/>
              <w:numPr>
                <w:ilvl w:val="0"/>
                <w:numId w:val="29"/>
              </w:numPr>
              <w:tabs>
                <w:tab w:val="left" w:pos="143"/>
              </w:tabs>
              <w:spacing w:before="7"/>
              <w:ind w:left="143" w:hanging="102"/>
              <w:rPr>
                <w:sz w:val="14"/>
              </w:rPr>
            </w:pPr>
            <w:r>
              <w:rPr>
                <w:w w:val="85"/>
                <w:sz w:val="14"/>
              </w:rPr>
              <w:t>las</w:t>
            </w:r>
            <w:r>
              <w:rPr>
                <w:spacing w:val="-1"/>
                <w:sz w:val="14"/>
              </w:rPr>
              <w:t xml:space="preserve"> </w:t>
            </w:r>
            <w:r>
              <w:rPr>
                <w:w w:val="85"/>
                <w:sz w:val="14"/>
              </w:rPr>
              <w:t>actividades</w:t>
            </w:r>
            <w:r>
              <w:rPr>
                <w:sz w:val="14"/>
              </w:rPr>
              <w:t xml:space="preserve"> </w:t>
            </w:r>
            <w:r>
              <w:rPr>
                <w:w w:val="85"/>
                <w:sz w:val="14"/>
              </w:rPr>
              <w:t>de</w:t>
            </w:r>
            <w:r>
              <w:rPr>
                <w:spacing w:val="-1"/>
                <w:sz w:val="14"/>
              </w:rPr>
              <w:t xml:space="preserve"> </w:t>
            </w:r>
            <w:r>
              <w:rPr>
                <w:w w:val="85"/>
                <w:sz w:val="14"/>
              </w:rPr>
              <w:t>arquitectura</w:t>
            </w:r>
            <w:r>
              <w:rPr>
                <w:sz w:val="14"/>
              </w:rPr>
              <w:t xml:space="preserve"> </w:t>
            </w:r>
            <w:r>
              <w:rPr>
                <w:w w:val="85"/>
                <w:sz w:val="14"/>
              </w:rPr>
              <w:t>e</w:t>
            </w:r>
            <w:r>
              <w:rPr>
                <w:spacing w:val="-1"/>
                <w:sz w:val="14"/>
              </w:rPr>
              <w:t xml:space="preserve"> </w:t>
            </w:r>
            <w:r>
              <w:rPr>
                <w:w w:val="85"/>
                <w:sz w:val="14"/>
              </w:rPr>
              <w:t>ingeniería</w:t>
            </w:r>
            <w:r>
              <w:rPr>
                <w:sz w:val="14"/>
              </w:rPr>
              <w:t xml:space="preserve"> </w:t>
            </w:r>
            <w:r>
              <w:rPr>
                <w:w w:val="85"/>
                <w:sz w:val="14"/>
              </w:rPr>
              <w:t>(véase</w:t>
            </w:r>
            <w:r>
              <w:rPr>
                <w:spacing w:val="-1"/>
                <w:sz w:val="14"/>
              </w:rPr>
              <w:t xml:space="preserve"> </w:t>
            </w:r>
            <w:r>
              <w:rPr>
                <w:spacing w:val="-2"/>
                <w:w w:val="85"/>
                <w:sz w:val="14"/>
              </w:rPr>
              <w:t>74.20),</w:t>
            </w:r>
          </w:p>
          <w:p w:rsidR="0092635B" w:rsidRDefault="00000000">
            <w:pPr>
              <w:pStyle w:val="TableParagraph"/>
              <w:numPr>
                <w:ilvl w:val="0"/>
                <w:numId w:val="29"/>
              </w:numPr>
              <w:tabs>
                <w:tab w:val="left" w:pos="143"/>
              </w:tabs>
              <w:spacing w:before="7" w:line="145" w:lineRule="exact"/>
              <w:ind w:left="143" w:hanging="102"/>
              <w:rPr>
                <w:sz w:val="14"/>
              </w:rPr>
            </w:pPr>
            <w:r>
              <w:rPr>
                <w:w w:val="85"/>
                <w:sz w:val="14"/>
              </w:rPr>
              <w:t>la</w:t>
            </w:r>
            <w:r>
              <w:rPr>
                <w:spacing w:val="-2"/>
                <w:sz w:val="14"/>
              </w:rPr>
              <w:t xml:space="preserve"> </w:t>
            </w:r>
            <w:r>
              <w:rPr>
                <w:w w:val="85"/>
                <w:sz w:val="14"/>
              </w:rPr>
              <w:t>dirección</w:t>
            </w:r>
            <w:r>
              <w:rPr>
                <w:spacing w:val="-2"/>
                <w:sz w:val="14"/>
              </w:rPr>
              <w:t xml:space="preserve"> </w:t>
            </w:r>
            <w:r>
              <w:rPr>
                <w:w w:val="85"/>
                <w:sz w:val="14"/>
              </w:rPr>
              <w:t>de</w:t>
            </w:r>
            <w:r>
              <w:rPr>
                <w:spacing w:val="-1"/>
                <w:sz w:val="14"/>
              </w:rPr>
              <w:t xml:space="preserve"> </w:t>
            </w:r>
            <w:r>
              <w:rPr>
                <w:w w:val="85"/>
                <w:sz w:val="14"/>
              </w:rPr>
              <w:t>obras</w:t>
            </w:r>
            <w:r>
              <w:rPr>
                <w:spacing w:val="-2"/>
                <w:sz w:val="14"/>
              </w:rPr>
              <w:t xml:space="preserve"> </w:t>
            </w:r>
            <w:r>
              <w:rPr>
                <w:w w:val="85"/>
                <w:sz w:val="14"/>
              </w:rPr>
              <w:t>de</w:t>
            </w:r>
            <w:r>
              <w:rPr>
                <w:spacing w:val="-2"/>
                <w:sz w:val="14"/>
              </w:rPr>
              <w:t xml:space="preserve"> </w:t>
            </w:r>
            <w:r>
              <w:rPr>
                <w:w w:val="85"/>
                <w:sz w:val="14"/>
              </w:rPr>
              <w:t>construcción</w:t>
            </w:r>
            <w:r>
              <w:rPr>
                <w:spacing w:val="-1"/>
                <w:sz w:val="14"/>
              </w:rPr>
              <w:t xml:space="preserve"> </w:t>
            </w:r>
            <w:r>
              <w:rPr>
                <w:w w:val="85"/>
                <w:sz w:val="14"/>
              </w:rPr>
              <w:t>(véase</w:t>
            </w:r>
            <w:r>
              <w:rPr>
                <w:spacing w:val="-2"/>
                <w:sz w:val="14"/>
              </w:rPr>
              <w:t xml:space="preserve"> </w:t>
            </w:r>
            <w:r>
              <w:rPr>
                <w:spacing w:val="-2"/>
                <w:w w:val="85"/>
                <w:sz w:val="14"/>
              </w:rPr>
              <w:t>74.20).</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8"/>
              <w:rPr>
                <w:sz w:val="14"/>
              </w:rPr>
            </w:pPr>
          </w:p>
          <w:p w:rsidR="0092635B" w:rsidRDefault="00000000">
            <w:pPr>
              <w:pStyle w:val="TableParagraph"/>
              <w:ind w:left="183"/>
              <w:rPr>
                <w:sz w:val="14"/>
              </w:rPr>
            </w:pPr>
            <w:r>
              <w:rPr>
                <w:spacing w:val="-2"/>
                <w:w w:val="95"/>
                <w:sz w:val="14"/>
              </w:rPr>
              <w:t>45210000</w:t>
            </w:r>
          </w:p>
          <w:p w:rsidR="0092635B" w:rsidRDefault="00000000">
            <w:pPr>
              <w:pStyle w:val="TableParagraph"/>
              <w:spacing w:before="7"/>
              <w:ind w:left="42"/>
              <w:rPr>
                <w:sz w:val="14"/>
              </w:rPr>
            </w:pPr>
            <w:r>
              <w:rPr>
                <w:spacing w:val="-2"/>
                <w:w w:val="95"/>
                <w:sz w:val="14"/>
              </w:rPr>
              <w:t>Excepto:</w:t>
            </w:r>
          </w:p>
          <w:p w:rsidR="0092635B" w:rsidRDefault="00000000">
            <w:pPr>
              <w:pStyle w:val="TableParagraph"/>
              <w:spacing w:before="7"/>
              <w:ind w:left="132"/>
              <w:rPr>
                <w:sz w:val="14"/>
              </w:rPr>
            </w:pPr>
            <w:r>
              <w:rPr>
                <w:w w:val="90"/>
                <w:sz w:val="14"/>
              </w:rPr>
              <w:t>–</w:t>
            </w:r>
            <w:r>
              <w:rPr>
                <w:spacing w:val="-4"/>
                <w:w w:val="90"/>
                <w:sz w:val="14"/>
              </w:rPr>
              <w:t xml:space="preserve"> </w:t>
            </w:r>
            <w:r>
              <w:rPr>
                <w:spacing w:val="-2"/>
                <w:w w:val="95"/>
                <w:sz w:val="14"/>
              </w:rPr>
              <w:t>45213316</w:t>
            </w:r>
          </w:p>
          <w:p w:rsidR="0092635B" w:rsidRDefault="00000000">
            <w:pPr>
              <w:pStyle w:val="TableParagraph"/>
              <w:spacing w:before="7"/>
              <w:ind w:left="183"/>
              <w:rPr>
                <w:sz w:val="14"/>
              </w:rPr>
            </w:pPr>
            <w:r>
              <w:rPr>
                <w:spacing w:val="-2"/>
                <w:w w:val="95"/>
                <w:sz w:val="14"/>
              </w:rPr>
              <w:t>45220000</w:t>
            </w:r>
          </w:p>
          <w:p w:rsidR="0092635B" w:rsidRDefault="00000000">
            <w:pPr>
              <w:pStyle w:val="TableParagraph"/>
              <w:spacing w:before="7"/>
              <w:ind w:left="183"/>
              <w:rPr>
                <w:sz w:val="14"/>
              </w:rPr>
            </w:pPr>
            <w:r>
              <w:rPr>
                <w:spacing w:val="-2"/>
                <w:w w:val="95"/>
                <w:sz w:val="14"/>
              </w:rPr>
              <w:t>45231000</w:t>
            </w:r>
          </w:p>
          <w:p w:rsidR="0092635B" w:rsidRDefault="00000000">
            <w:pPr>
              <w:pStyle w:val="TableParagraph"/>
              <w:spacing w:before="7"/>
              <w:ind w:left="183"/>
              <w:rPr>
                <w:sz w:val="14"/>
              </w:rPr>
            </w:pPr>
            <w:r>
              <w:rPr>
                <w:spacing w:val="-2"/>
                <w:w w:val="95"/>
                <w:sz w:val="14"/>
              </w:rPr>
              <w:t>45232000</w:t>
            </w:r>
          </w:p>
        </w:tc>
      </w:tr>
      <w:tr w:rsidR="0092635B">
        <w:trPr>
          <w:trHeight w:val="667"/>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ind w:left="6"/>
              <w:jc w:val="center"/>
              <w:rPr>
                <w:sz w:val="14"/>
              </w:rPr>
            </w:pPr>
            <w:r>
              <w:rPr>
                <w:spacing w:val="-2"/>
                <w:w w:val="95"/>
                <w:sz w:val="14"/>
              </w:rPr>
              <w:t>45,22</w:t>
            </w: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line="249" w:lineRule="auto"/>
              <w:ind w:left="41" w:right="122"/>
              <w:rPr>
                <w:sz w:val="14"/>
              </w:rPr>
            </w:pPr>
            <w:r>
              <w:rPr>
                <w:w w:val="85"/>
                <w:sz w:val="14"/>
              </w:rPr>
              <w:t>Construcción de cubiertas</w:t>
            </w:r>
            <w:r>
              <w:rPr>
                <w:spacing w:val="40"/>
                <w:sz w:val="14"/>
              </w:rPr>
              <w:t xml:space="preserve"> </w:t>
            </w:r>
            <w:r>
              <w:rPr>
                <w:w w:val="95"/>
                <w:sz w:val="14"/>
              </w:rPr>
              <w:t>y estructuras de</w:t>
            </w:r>
            <w:r>
              <w:rPr>
                <w:spacing w:val="40"/>
                <w:sz w:val="14"/>
              </w:rPr>
              <w:t xml:space="preserve"> </w:t>
            </w:r>
            <w:r>
              <w:rPr>
                <w:spacing w:val="-2"/>
                <w:w w:val="95"/>
                <w:sz w:val="14"/>
              </w:rPr>
              <w:t>cerramiento.</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8"/>
              </w:numPr>
              <w:tabs>
                <w:tab w:val="left" w:pos="143"/>
              </w:tabs>
              <w:spacing w:before="7"/>
              <w:ind w:hanging="102"/>
              <w:rPr>
                <w:sz w:val="14"/>
              </w:rPr>
            </w:pPr>
            <w:r>
              <w:rPr>
                <w:w w:val="85"/>
                <w:sz w:val="14"/>
              </w:rPr>
              <w:t>la</w:t>
            </w:r>
            <w:r>
              <w:rPr>
                <w:spacing w:val="-3"/>
                <w:sz w:val="14"/>
              </w:rPr>
              <w:t xml:space="preserve"> </w:t>
            </w:r>
            <w:r>
              <w:rPr>
                <w:w w:val="85"/>
                <w:sz w:val="14"/>
              </w:rPr>
              <w:t>construcción</w:t>
            </w:r>
            <w:r>
              <w:rPr>
                <w:spacing w:val="-2"/>
                <w:sz w:val="14"/>
              </w:rPr>
              <w:t xml:space="preserve"> </w:t>
            </w:r>
            <w:r>
              <w:rPr>
                <w:w w:val="85"/>
                <w:sz w:val="14"/>
              </w:rPr>
              <w:t>de</w:t>
            </w:r>
            <w:r>
              <w:rPr>
                <w:spacing w:val="-2"/>
                <w:sz w:val="14"/>
              </w:rPr>
              <w:t xml:space="preserve"> </w:t>
            </w:r>
            <w:r>
              <w:rPr>
                <w:spacing w:val="-2"/>
                <w:w w:val="85"/>
                <w:sz w:val="14"/>
              </w:rPr>
              <w:t>tejados,</w:t>
            </w:r>
          </w:p>
          <w:p w:rsidR="0092635B" w:rsidRDefault="00000000">
            <w:pPr>
              <w:pStyle w:val="TableParagraph"/>
              <w:numPr>
                <w:ilvl w:val="0"/>
                <w:numId w:val="28"/>
              </w:numPr>
              <w:tabs>
                <w:tab w:val="left" w:pos="143"/>
              </w:tabs>
              <w:spacing w:before="7"/>
              <w:ind w:hanging="102"/>
              <w:rPr>
                <w:sz w:val="14"/>
              </w:rPr>
            </w:pPr>
            <w:r>
              <w:rPr>
                <w:w w:val="85"/>
                <w:sz w:val="14"/>
              </w:rPr>
              <w:t>la</w:t>
            </w:r>
            <w:r>
              <w:rPr>
                <w:spacing w:val="-3"/>
                <w:sz w:val="14"/>
              </w:rPr>
              <w:t xml:space="preserve"> </w:t>
            </w:r>
            <w:r>
              <w:rPr>
                <w:w w:val="85"/>
                <w:sz w:val="14"/>
              </w:rPr>
              <w:t>cubierta</w:t>
            </w:r>
            <w:r>
              <w:rPr>
                <w:spacing w:val="-3"/>
                <w:sz w:val="14"/>
              </w:rPr>
              <w:t xml:space="preserve"> </w:t>
            </w:r>
            <w:r>
              <w:rPr>
                <w:w w:val="85"/>
                <w:sz w:val="14"/>
              </w:rPr>
              <w:t>de</w:t>
            </w:r>
            <w:r>
              <w:rPr>
                <w:spacing w:val="-3"/>
                <w:sz w:val="14"/>
              </w:rPr>
              <w:t xml:space="preserve"> </w:t>
            </w:r>
            <w:r>
              <w:rPr>
                <w:spacing w:val="-2"/>
                <w:w w:val="85"/>
                <w:sz w:val="14"/>
              </w:rPr>
              <w:t>tejados,</w:t>
            </w:r>
          </w:p>
          <w:p w:rsidR="0092635B" w:rsidRDefault="00000000">
            <w:pPr>
              <w:pStyle w:val="TableParagraph"/>
              <w:numPr>
                <w:ilvl w:val="0"/>
                <w:numId w:val="28"/>
              </w:numPr>
              <w:tabs>
                <w:tab w:val="left" w:pos="143"/>
              </w:tabs>
              <w:spacing w:before="7" w:line="145" w:lineRule="exact"/>
              <w:ind w:hanging="102"/>
              <w:rPr>
                <w:sz w:val="14"/>
              </w:rPr>
            </w:pPr>
            <w:r>
              <w:rPr>
                <w:w w:val="85"/>
                <w:sz w:val="14"/>
              </w:rPr>
              <w:t>la</w:t>
            </w:r>
            <w:r>
              <w:rPr>
                <w:spacing w:val="-1"/>
                <w:sz w:val="14"/>
              </w:rPr>
              <w:t xml:space="preserve"> </w:t>
            </w:r>
            <w:r>
              <w:rPr>
                <w:w w:val="85"/>
                <w:sz w:val="14"/>
              </w:rPr>
              <w:t>impermeabilización</w:t>
            </w:r>
            <w:r>
              <w:rPr>
                <w:spacing w:val="-1"/>
                <w:sz w:val="14"/>
              </w:rPr>
              <w:t xml:space="preserve"> </w:t>
            </w:r>
            <w:r>
              <w:rPr>
                <w:w w:val="85"/>
                <w:sz w:val="14"/>
              </w:rPr>
              <w:t>de</w:t>
            </w:r>
            <w:r>
              <w:rPr>
                <w:sz w:val="14"/>
              </w:rPr>
              <w:t xml:space="preserve"> </w:t>
            </w:r>
            <w:r>
              <w:rPr>
                <w:w w:val="85"/>
                <w:sz w:val="14"/>
              </w:rPr>
              <w:t>edificios</w:t>
            </w:r>
            <w:r>
              <w:rPr>
                <w:spacing w:val="-1"/>
                <w:sz w:val="14"/>
              </w:rPr>
              <w:t xml:space="preserve"> </w:t>
            </w:r>
            <w:r>
              <w:rPr>
                <w:w w:val="85"/>
                <w:sz w:val="14"/>
              </w:rPr>
              <w:t>y</w:t>
            </w:r>
            <w:r>
              <w:rPr>
                <w:spacing w:val="-1"/>
                <w:sz w:val="14"/>
              </w:rPr>
              <w:t xml:space="preserve"> </w:t>
            </w:r>
            <w:r>
              <w:rPr>
                <w:spacing w:val="-2"/>
                <w:w w:val="85"/>
                <w:sz w:val="14"/>
              </w:rPr>
              <w:t>balcones.</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ind w:left="30" w:right="22"/>
              <w:jc w:val="center"/>
              <w:rPr>
                <w:sz w:val="14"/>
              </w:rPr>
            </w:pPr>
            <w:r>
              <w:rPr>
                <w:spacing w:val="-2"/>
                <w:w w:val="95"/>
                <w:sz w:val="14"/>
              </w:rPr>
              <w:t>45261000</w:t>
            </w:r>
          </w:p>
        </w:tc>
      </w:tr>
      <w:tr w:rsidR="0092635B">
        <w:trPr>
          <w:trHeight w:val="133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04"/>
              <w:rPr>
                <w:sz w:val="14"/>
              </w:rPr>
            </w:pPr>
          </w:p>
          <w:p w:rsidR="0092635B" w:rsidRDefault="00000000">
            <w:pPr>
              <w:pStyle w:val="TableParagraph"/>
              <w:ind w:left="6"/>
              <w:jc w:val="center"/>
              <w:rPr>
                <w:sz w:val="14"/>
              </w:rPr>
            </w:pPr>
            <w:r>
              <w:rPr>
                <w:spacing w:val="-2"/>
                <w:w w:val="95"/>
                <w:sz w:val="14"/>
              </w:rPr>
              <w:t>45,23</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spacing w:line="249" w:lineRule="auto"/>
              <w:ind w:left="41"/>
              <w:rPr>
                <w:sz w:val="14"/>
              </w:rPr>
            </w:pPr>
            <w:r>
              <w:rPr>
                <w:w w:val="95"/>
                <w:sz w:val="14"/>
              </w:rPr>
              <w:t>Construcción</w:t>
            </w:r>
            <w:r>
              <w:rPr>
                <w:spacing w:val="-8"/>
                <w:w w:val="95"/>
                <w:sz w:val="14"/>
              </w:rPr>
              <w:t xml:space="preserve"> </w:t>
            </w:r>
            <w:r>
              <w:rPr>
                <w:w w:val="95"/>
                <w:sz w:val="14"/>
              </w:rPr>
              <w:t>de</w:t>
            </w:r>
            <w:r>
              <w:rPr>
                <w:spacing w:val="40"/>
                <w:sz w:val="14"/>
              </w:rPr>
              <w:t xml:space="preserve"> </w:t>
            </w:r>
            <w:r>
              <w:rPr>
                <w:w w:val="95"/>
                <w:sz w:val="14"/>
              </w:rPr>
              <w:t>autopistas,</w:t>
            </w:r>
            <w:r>
              <w:rPr>
                <w:spacing w:val="-8"/>
                <w:w w:val="95"/>
                <w:sz w:val="14"/>
              </w:rPr>
              <w:t xml:space="preserve"> </w:t>
            </w:r>
            <w:r>
              <w:rPr>
                <w:w w:val="95"/>
                <w:sz w:val="14"/>
              </w:rPr>
              <w:t>carreteras,</w:t>
            </w:r>
            <w:r>
              <w:rPr>
                <w:spacing w:val="40"/>
                <w:sz w:val="14"/>
              </w:rPr>
              <w:t xml:space="preserve"> </w:t>
            </w:r>
            <w:r>
              <w:rPr>
                <w:w w:val="85"/>
                <w:sz w:val="14"/>
              </w:rPr>
              <w:t>campos de aterrizaje, vías</w:t>
            </w:r>
            <w:r>
              <w:rPr>
                <w:spacing w:val="40"/>
                <w:sz w:val="14"/>
              </w:rPr>
              <w:t xml:space="preserve"> </w:t>
            </w:r>
            <w:r>
              <w:rPr>
                <w:w w:val="95"/>
                <w:sz w:val="14"/>
              </w:rPr>
              <w:t>férreas y centros</w:t>
            </w:r>
            <w:r>
              <w:rPr>
                <w:spacing w:val="40"/>
                <w:sz w:val="14"/>
              </w:rPr>
              <w:t xml:space="preserve"> </w:t>
            </w:r>
            <w:r>
              <w:rPr>
                <w:spacing w:val="-2"/>
                <w:w w:val="95"/>
                <w:sz w:val="14"/>
              </w:rPr>
              <w:t>deportivos.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7"/>
              </w:numPr>
              <w:tabs>
                <w:tab w:val="left" w:pos="143"/>
              </w:tabs>
              <w:spacing w:before="7"/>
              <w:ind w:left="143" w:hanging="102"/>
              <w:rPr>
                <w:sz w:val="14"/>
              </w:rPr>
            </w:pPr>
            <w:r>
              <w:rPr>
                <w:w w:val="85"/>
                <w:sz w:val="14"/>
              </w:rPr>
              <w:t>la</w:t>
            </w:r>
            <w:r>
              <w:rPr>
                <w:sz w:val="14"/>
              </w:rPr>
              <w:t xml:space="preserve"> </w:t>
            </w:r>
            <w:r>
              <w:rPr>
                <w:w w:val="85"/>
                <w:sz w:val="14"/>
              </w:rPr>
              <w:t>construcción</w:t>
            </w:r>
            <w:r>
              <w:rPr>
                <w:sz w:val="14"/>
              </w:rPr>
              <w:t xml:space="preserve"> </w:t>
            </w:r>
            <w:r>
              <w:rPr>
                <w:w w:val="85"/>
                <w:sz w:val="14"/>
              </w:rPr>
              <w:t>de</w:t>
            </w:r>
            <w:r>
              <w:rPr>
                <w:spacing w:val="1"/>
                <w:sz w:val="14"/>
              </w:rPr>
              <w:t xml:space="preserve"> </w:t>
            </w:r>
            <w:r>
              <w:rPr>
                <w:w w:val="85"/>
                <w:sz w:val="14"/>
              </w:rPr>
              <w:t>autopistas,</w:t>
            </w:r>
            <w:r>
              <w:rPr>
                <w:sz w:val="14"/>
              </w:rPr>
              <w:t xml:space="preserve"> </w:t>
            </w:r>
            <w:r>
              <w:rPr>
                <w:w w:val="85"/>
                <w:sz w:val="14"/>
              </w:rPr>
              <w:t>calles,</w:t>
            </w:r>
            <w:r>
              <w:rPr>
                <w:sz w:val="14"/>
              </w:rPr>
              <w:t xml:space="preserve"> </w:t>
            </w:r>
            <w:r>
              <w:rPr>
                <w:w w:val="85"/>
                <w:sz w:val="14"/>
              </w:rPr>
              <w:t>carreteras</w:t>
            </w:r>
            <w:r>
              <w:rPr>
                <w:spacing w:val="1"/>
                <w:sz w:val="14"/>
              </w:rPr>
              <w:t xml:space="preserve"> </w:t>
            </w:r>
            <w:r>
              <w:rPr>
                <w:w w:val="85"/>
                <w:sz w:val="14"/>
              </w:rPr>
              <w:t>y</w:t>
            </w:r>
            <w:r>
              <w:rPr>
                <w:sz w:val="14"/>
              </w:rPr>
              <w:t xml:space="preserve"> </w:t>
            </w:r>
            <w:r>
              <w:rPr>
                <w:w w:val="85"/>
                <w:sz w:val="14"/>
              </w:rPr>
              <w:t>otras</w:t>
            </w:r>
            <w:r>
              <w:rPr>
                <w:spacing w:val="1"/>
                <w:sz w:val="14"/>
              </w:rPr>
              <w:t xml:space="preserve"> </w:t>
            </w:r>
            <w:r>
              <w:rPr>
                <w:w w:val="85"/>
                <w:sz w:val="14"/>
              </w:rPr>
              <w:t>vías</w:t>
            </w:r>
            <w:r>
              <w:rPr>
                <w:sz w:val="14"/>
              </w:rPr>
              <w:t xml:space="preserve"> </w:t>
            </w:r>
            <w:r>
              <w:rPr>
                <w:w w:val="85"/>
                <w:sz w:val="14"/>
              </w:rPr>
              <w:t>de</w:t>
            </w:r>
            <w:r>
              <w:rPr>
                <w:sz w:val="14"/>
              </w:rPr>
              <w:t xml:space="preserve"> </w:t>
            </w:r>
            <w:r>
              <w:rPr>
                <w:w w:val="85"/>
                <w:sz w:val="14"/>
              </w:rPr>
              <w:t>circulación</w:t>
            </w:r>
            <w:r>
              <w:rPr>
                <w:spacing w:val="1"/>
                <w:sz w:val="14"/>
              </w:rPr>
              <w:t xml:space="preserve"> </w:t>
            </w:r>
            <w:r>
              <w:rPr>
                <w:w w:val="85"/>
                <w:sz w:val="14"/>
              </w:rPr>
              <w:t>de</w:t>
            </w:r>
            <w:r>
              <w:rPr>
                <w:sz w:val="14"/>
              </w:rPr>
              <w:t xml:space="preserve"> </w:t>
            </w:r>
            <w:r>
              <w:rPr>
                <w:w w:val="85"/>
                <w:sz w:val="14"/>
              </w:rPr>
              <w:t>vehículos</w:t>
            </w:r>
            <w:r>
              <w:rPr>
                <w:spacing w:val="1"/>
                <w:sz w:val="14"/>
              </w:rPr>
              <w:t xml:space="preserve"> </w:t>
            </w:r>
            <w:r>
              <w:rPr>
                <w:w w:val="85"/>
                <w:sz w:val="14"/>
              </w:rPr>
              <w:t>y</w:t>
            </w:r>
            <w:r>
              <w:rPr>
                <w:sz w:val="14"/>
              </w:rPr>
              <w:t xml:space="preserve"> </w:t>
            </w:r>
            <w:r>
              <w:rPr>
                <w:spacing w:val="-2"/>
                <w:w w:val="85"/>
                <w:sz w:val="14"/>
              </w:rPr>
              <w:t>peatones,</w:t>
            </w:r>
          </w:p>
          <w:p w:rsidR="0092635B" w:rsidRDefault="00000000">
            <w:pPr>
              <w:pStyle w:val="TableParagraph"/>
              <w:numPr>
                <w:ilvl w:val="0"/>
                <w:numId w:val="27"/>
              </w:numPr>
              <w:tabs>
                <w:tab w:val="left" w:pos="143"/>
              </w:tabs>
              <w:spacing w:before="7"/>
              <w:ind w:left="143" w:hanging="102"/>
              <w:rPr>
                <w:sz w:val="14"/>
              </w:rPr>
            </w:pPr>
            <w:r>
              <w:rPr>
                <w:w w:val="85"/>
                <w:sz w:val="14"/>
              </w:rPr>
              <w:t>la</w:t>
            </w:r>
            <w:r>
              <w:rPr>
                <w:spacing w:val="-2"/>
                <w:sz w:val="14"/>
              </w:rPr>
              <w:t xml:space="preserve"> </w:t>
            </w:r>
            <w:r>
              <w:rPr>
                <w:w w:val="85"/>
                <w:sz w:val="14"/>
              </w:rPr>
              <w:t>construcción</w:t>
            </w:r>
            <w:r>
              <w:rPr>
                <w:spacing w:val="-2"/>
                <w:sz w:val="14"/>
              </w:rPr>
              <w:t xml:space="preserve"> </w:t>
            </w:r>
            <w:r>
              <w:rPr>
                <w:w w:val="85"/>
                <w:sz w:val="14"/>
              </w:rPr>
              <w:t>de</w:t>
            </w:r>
            <w:r>
              <w:rPr>
                <w:spacing w:val="-2"/>
                <w:sz w:val="14"/>
              </w:rPr>
              <w:t xml:space="preserve"> </w:t>
            </w:r>
            <w:r>
              <w:rPr>
                <w:w w:val="85"/>
                <w:sz w:val="14"/>
              </w:rPr>
              <w:t>vías</w:t>
            </w:r>
            <w:r>
              <w:rPr>
                <w:spacing w:val="-1"/>
                <w:sz w:val="14"/>
              </w:rPr>
              <w:t xml:space="preserve"> </w:t>
            </w:r>
            <w:r>
              <w:rPr>
                <w:spacing w:val="-2"/>
                <w:w w:val="85"/>
                <w:sz w:val="14"/>
              </w:rPr>
              <w:t>férreas,</w:t>
            </w:r>
          </w:p>
          <w:p w:rsidR="0092635B" w:rsidRDefault="00000000">
            <w:pPr>
              <w:pStyle w:val="TableParagraph"/>
              <w:numPr>
                <w:ilvl w:val="0"/>
                <w:numId w:val="27"/>
              </w:numPr>
              <w:tabs>
                <w:tab w:val="left" w:pos="143"/>
              </w:tabs>
              <w:spacing w:before="7"/>
              <w:ind w:left="143" w:hanging="102"/>
              <w:rPr>
                <w:sz w:val="14"/>
              </w:rPr>
            </w:pPr>
            <w:r>
              <w:rPr>
                <w:w w:val="85"/>
                <w:sz w:val="14"/>
              </w:rPr>
              <w:t>la</w:t>
            </w:r>
            <w:r>
              <w:rPr>
                <w:spacing w:val="-2"/>
                <w:sz w:val="14"/>
              </w:rPr>
              <w:t xml:space="preserve"> </w:t>
            </w:r>
            <w:r>
              <w:rPr>
                <w:w w:val="85"/>
                <w:sz w:val="14"/>
              </w:rPr>
              <w:t>construcción</w:t>
            </w:r>
            <w:r>
              <w:rPr>
                <w:spacing w:val="-2"/>
                <w:sz w:val="14"/>
              </w:rPr>
              <w:t xml:space="preserve"> </w:t>
            </w:r>
            <w:r>
              <w:rPr>
                <w:w w:val="85"/>
                <w:sz w:val="14"/>
              </w:rPr>
              <w:t>de</w:t>
            </w:r>
            <w:r>
              <w:rPr>
                <w:spacing w:val="-1"/>
                <w:sz w:val="14"/>
              </w:rPr>
              <w:t xml:space="preserve"> </w:t>
            </w:r>
            <w:r>
              <w:rPr>
                <w:w w:val="85"/>
                <w:sz w:val="14"/>
              </w:rPr>
              <w:t>pistas</w:t>
            </w:r>
            <w:r>
              <w:rPr>
                <w:spacing w:val="-2"/>
                <w:sz w:val="14"/>
              </w:rPr>
              <w:t xml:space="preserve"> </w:t>
            </w:r>
            <w:r>
              <w:rPr>
                <w:w w:val="85"/>
                <w:sz w:val="14"/>
              </w:rPr>
              <w:t>de</w:t>
            </w:r>
            <w:r>
              <w:rPr>
                <w:spacing w:val="-1"/>
                <w:sz w:val="14"/>
              </w:rPr>
              <w:t xml:space="preserve"> </w:t>
            </w:r>
            <w:r>
              <w:rPr>
                <w:spacing w:val="-2"/>
                <w:w w:val="85"/>
                <w:sz w:val="14"/>
              </w:rPr>
              <w:t>aterrizaje,</w:t>
            </w:r>
          </w:p>
          <w:p w:rsidR="0092635B" w:rsidRDefault="00000000">
            <w:pPr>
              <w:pStyle w:val="TableParagraph"/>
              <w:numPr>
                <w:ilvl w:val="0"/>
                <w:numId w:val="27"/>
              </w:numPr>
              <w:tabs>
                <w:tab w:val="left" w:pos="143"/>
              </w:tabs>
              <w:spacing w:before="7" w:line="249" w:lineRule="auto"/>
              <w:ind w:right="349" w:firstLine="0"/>
              <w:rPr>
                <w:sz w:val="14"/>
              </w:rPr>
            </w:pPr>
            <w:r>
              <w:rPr>
                <w:w w:val="85"/>
                <w:sz w:val="14"/>
              </w:rPr>
              <w:t>la construcción de equipamientos de estadios, piscinas, gimnasios, pistas de tenis, campos de golf y otras</w:t>
            </w:r>
            <w:r>
              <w:rPr>
                <w:spacing w:val="40"/>
                <w:sz w:val="14"/>
              </w:rPr>
              <w:t xml:space="preserve"> </w:t>
            </w:r>
            <w:r>
              <w:rPr>
                <w:w w:val="90"/>
                <w:sz w:val="14"/>
              </w:rPr>
              <w:t>instalaciones deportivas, excluidos sus edificios,</w:t>
            </w:r>
          </w:p>
          <w:p w:rsidR="0092635B" w:rsidRDefault="00000000">
            <w:pPr>
              <w:pStyle w:val="TableParagraph"/>
              <w:numPr>
                <w:ilvl w:val="0"/>
                <w:numId w:val="27"/>
              </w:numPr>
              <w:tabs>
                <w:tab w:val="left" w:pos="143"/>
              </w:tabs>
              <w:spacing w:before="1"/>
              <w:ind w:left="143" w:hanging="102"/>
              <w:rPr>
                <w:sz w:val="14"/>
              </w:rPr>
            </w:pPr>
            <w:r>
              <w:rPr>
                <w:w w:val="85"/>
                <w:sz w:val="14"/>
              </w:rPr>
              <w:t>la</w:t>
            </w:r>
            <w:r>
              <w:rPr>
                <w:sz w:val="14"/>
              </w:rPr>
              <w:t xml:space="preserve"> </w:t>
            </w:r>
            <w:r>
              <w:rPr>
                <w:w w:val="85"/>
                <w:sz w:val="14"/>
              </w:rPr>
              <w:t>pintura</w:t>
            </w:r>
            <w:r>
              <w:rPr>
                <w:sz w:val="14"/>
              </w:rPr>
              <w:t xml:space="preserve"> </w:t>
            </w:r>
            <w:r>
              <w:rPr>
                <w:w w:val="85"/>
                <w:sz w:val="14"/>
              </w:rPr>
              <w:t>de</w:t>
            </w:r>
            <w:r>
              <w:rPr>
                <w:sz w:val="14"/>
              </w:rPr>
              <w:t xml:space="preserve"> </w:t>
            </w:r>
            <w:r>
              <w:rPr>
                <w:w w:val="85"/>
                <w:sz w:val="14"/>
              </w:rPr>
              <w:t>señales</w:t>
            </w:r>
            <w:r>
              <w:rPr>
                <w:spacing w:val="1"/>
                <w:sz w:val="14"/>
              </w:rPr>
              <w:t xml:space="preserve"> </w:t>
            </w:r>
            <w:r>
              <w:rPr>
                <w:w w:val="85"/>
                <w:sz w:val="14"/>
              </w:rPr>
              <w:t>en</w:t>
            </w:r>
            <w:r>
              <w:rPr>
                <w:sz w:val="14"/>
              </w:rPr>
              <w:t xml:space="preserve"> </w:t>
            </w:r>
            <w:r>
              <w:rPr>
                <w:w w:val="85"/>
                <w:sz w:val="14"/>
              </w:rPr>
              <w:t>carreteras</w:t>
            </w:r>
            <w:r>
              <w:rPr>
                <w:sz w:val="14"/>
              </w:rPr>
              <w:t xml:space="preserve"> </w:t>
            </w:r>
            <w:r>
              <w:rPr>
                <w:w w:val="85"/>
                <w:sz w:val="14"/>
              </w:rPr>
              <w:t>y</w:t>
            </w:r>
            <w:r>
              <w:rPr>
                <w:sz w:val="14"/>
              </w:rPr>
              <w:t xml:space="preserve"> </w:t>
            </w:r>
            <w:r>
              <w:rPr>
                <w:w w:val="85"/>
                <w:sz w:val="14"/>
              </w:rPr>
              <w:t>aparcamientos.</w:t>
            </w:r>
            <w:r>
              <w:rPr>
                <w:spacing w:val="1"/>
                <w:sz w:val="14"/>
              </w:rPr>
              <w:t xml:space="preserve"> </w:t>
            </w:r>
            <w:r>
              <w:rPr>
                <w:w w:val="85"/>
                <w:sz w:val="14"/>
              </w:rPr>
              <w:t>Esta</w:t>
            </w:r>
            <w:r>
              <w:rPr>
                <w:sz w:val="14"/>
              </w:rPr>
              <w:t xml:space="preserve"> </w:t>
            </w:r>
            <w:r>
              <w:rPr>
                <w:w w:val="85"/>
                <w:sz w:val="14"/>
              </w:rPr>
              <w:t>clase</w:t>
            </w:r>
            <w:r>
              <w:rPr>
                <w:sz w:val="14"/>
              </w:rPr>
              <w:t xml:space="preserve"> </w:t>
            </w:r>
            <w:r>
              <w:rPr>
                <w:w w:val="85"/>
                <w:sz w:val="14"/>
              </w:rPr>
              <w:t>no</w:t>
            </w:r>
            <w:r>
              <w:rPr>
                <w:spacing w:val="1"/>
                <w:sz w:val="14"/>
              </w:rPr>
              <w:t xml:space="preserve"> </w:t>
            </w:r>
            <w:r>
              <w:rPr>
                <w:spacing w:val="-2"/>
                <w:w w:val="85"/>
                <w:sz w:val="14"/>
              </w:rPr>
              <w:t>comprende:</w:t>
            </w:r>
          </w:p>
          <w:p w:rsidR="0092635B" w:rsidRDefault="00000000">
            <w:pPr>
              <w:pStyle w:val="TableParagraph"/>
              <w:numPr>
                <w:ilvl w:val="0"/>
                <w:numId w:val="27"/>
              </w:numPr>
              <w:tabs>
                <w:tab w:val="left" w:pos="143"/>
              </w:tabs>
              <w:spacing w:before="7" w:line="145" w:lineRule="exact"/>
              <w:ind w:left="143" w:hanging="102"/>
              <w:rPr>
                <w:sz w:val="14"/>
              </w:rPr>
            </w:pPr>
            <w:r>
              <w:rPr>
                <w:w w:val="85"/>
                <w:sz w:val="14"/>
              </w:rPr>
              <w:t>el</w:t>
            </w:r>
            <w:r>
              <w:rPr>
                <w:spacing w:val="-2"/>
                <w:sz w:val="14"/>
              </w:rPr>
              <w:t xml:space="preserve"> </w:t>
            </w:r>
            <w:r>
              <w:rPr>
                <w:w w:val="85"/>
                <w:sz w:val="14"/>
              </w:rPr>
              <w:t>movimiento</w:t>
            </w:r>
            <w:r>
              <w:rPr>
                <w:spacing w:val="-1"/>
                <w:sz w:val="14"/>
              </w:rPr>
              <w:t xml:space="preserve"> </w:t>
            </w:r>
            <w:r>
              <w:rPr>
                <w:w w:val="85"/>
                <w:sz w:val="14"/>
              </w:rPr>
              <w:t>de</w:t>
            </w:r>
            <w:r>
              <w:rPr>
                <w:spacing w:val="-1"/>
                <w:sz w:val="14"/>
              </w:rPr>
              <w:t xml:space="preserve"> </w:t>
            </w:r>
            <w:r>
              <w:rPr>
                <w:w w:val="85"/>
                <w:sz w:val="14"/>
              </w:rPr>
              <w:t>tierras</w:t>
            </w:r>
            <w:r>
              <w:rPr>
                <w:spacing w:val="-2"/>
                <w:sz w:val="14"/>
              </w:rPr>
              <w:t xml:space="preserve"> </w:t>
            </w:r>
            <w:r>
              <w:rPr>
                <w:w w:val="85"/>
                <w:sz w:val="14"/>
              </w:rPr>
              <w:t>previo</w:t>
            </w:r>
            <w:r>
              <w:rPr>
                <w:spacing w:val="-1"/>
                <w:sz w:val="14"/>
              </w:rPr>
              <w:t xml:space="preserve"> </w:t>
            </w:r>
            <w:r>
              <w:rPr>
                <w:w w:val="85"/>
                <w:sz w:val="14"/>
              </w:rPr>
              <w:t>(véase</w:t>
            </w:r>
            <w:r>
              <w:rPr>
                <w:spacing w:val="-1"/>
                <w:sz w:val="14"/>
              </w:rPr>
              <w:t xml:space="preserve"> </w:t>
            </w:r>
            <w:r>
              <w:rPr>
                <w:spacing w:val="-2"/>
                <w:w w:val="85"/>
                <w:sz w:val="14"/>
              </w:rPr>
              <w:t>45.11).</w:t>
            </w:r>
          </w:p>
        </w:tc>
        <w:tc>
          <w:tcPr>
            <w:tcW w:w="91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line="249" w:lineRule="auto"/>
              <w:ind w:left="30" w:right="20"/>
              <w:jc w:val="center"/>
              <w:rPr>
                <w:sz w:val="14"/>
              </w:rPr>
            </w:pPr>
            <w:r>
              <w:rPr>
                <w:spacing w:val="-4"/>
                <w:w w:val="90"/>
                <w:sz w:val="14"/>
              </w:rPr>
              <w:t>45212212</w:t>
            </w:r>
            <w:r>
              <w:rPr>
                <w:spacing w:val="-6"/>
                <w:sz w:val="14"/>
              </w:rPr>
              <w:t xml:space="preserve"> </w:t>
            </w:r>
            <w:r>
              <w:rPr>
                <w:spacing w:val="-4"/>
                <w:w w:val="90"/>
                <w:sz w:val="14"/>
              </w:rPr>
              <w:t>y</w:t>
            </w:r>
            <w:r>
              <w:rPr>
                <w:spacing w:val="40"/>
                <w:sz w:val="14"/>
              </w:rPr>
              <w:t xml:space="preserve"> </w:t>
            </w:r>
            <w:r>
              <w:rPr>
                <w:spacing w:val="-4"/>
                <w:w w:val="95"/>
                <w:sz w:val="14"/>
              </w:rPr>
              <w:t>DA03</w:t>
            </w:r>
            <w:r>
              <w:rPr>
                <w:spacing w:val="40"/>
                <w:sz w:val="14"/>
              </w:rPr>
              <w:t xml:space="preserve"> </w:t>
            </w:r>
            <w:r>
              <w:rPr>
                <w:spacing w:val="-2"/>
                <w:w w:val="95"/>
                <w:sz w:val="14"/>
              </w:rPr>
              <w:t>45230000</w:t>
            </w:r>
          </w:p>
          <w:p w:rsidR="0092635B" w:rsidRDefault="00000000">
            <w:pPr>
              <w:pStyle w:val="TableParagraph"/>
              <w:spacing w:before="1"/>
              <w:ind w:left="42"/>
              <w:rPr>
                <w:sz w:val="14"/>
              </w:rPr>
            </w:pPr>
            <w:r>
              <w:rPr>
                <w:spacing w:val="-2"/>
                <w:w w:val="95"/>
                <w:sz w:val="14"/>
              </w:rPr>
              <w:t>Excepto:</w:t>
            </w:r>
          </w:p>
          <w:p w:rsidR="0092635B" w:rsidRDefault="00000000">
            <w:pPr>
              <w:pStyle w:val="TableParagraph"/>
              <w:spacing w:before="7"/>
              <w:ind w:left="132"/>
              <w:rPr>
                <w:sz w:val="14"/>
              </w:rPr>
            </w:pPr>
            <w:r>
              <w:rPr>
                <w:w w:val="90"/>
                <w:sz w:val="14"/>
              </w:rPr>
              <w:t>–</w:t>
            </w:r>
            <w:r>
              <w:rPr>
                <w:spacing w:val="-4"/>
                <w:w w:val="90"/>
                <w:sz w:val="14"/>
              </w:rPr>
              <w:t xml:space="preserve"> </w:t>
            </w:r>
            <w:r>
              <w:rPr>
                <w:spacing w:val="-2"/>
                <w:w w:val="95"/>
                <w:sz w:val="14"/>
              </w:rPr>
              <w:t>45231000</w:t>
            </w:r>
          </w:p>
          <w:p w:rsidR="0092635B" w:rsidRDefault="00000000">
            <w:pPr>
              <w:pStyle w:val="TableParagraph"/>
              <w:spacing w:before="8"/>
              <w:ind w:left="132"/>
              <w:rPr>
                <w:sz w:val="14"/>
              </w:rPr>
            </w:pPr>
            <w:r>
              <w:rPr>
                <w:w w:val="90"/>
                <w:sz w:val="14"/>
              </w:rPr>
              <w:t>–</w:t>
            </w:r>
            <w:r>
              <w:rPr>
                <w:spacing w:val="-4"/>
                <w:w w:val="90"/>
                <w:sz w:val="14"/>
              </w:rPr>
              <w:t xml:space="preserve"> </w:t>
            </w:r>
            <w:r>
              <w:rPr>
                <w:spacing w:val="-2"/>
                <w:w w:val="95"/>
                <w:sz w:val="14"/>
              </w:rPr>
              <w:t>45232000</w:t>
            </w:r>
          </w:p>
          <w:p w:rsidR="0092635B" w:rsidRDefault="00000000">
            <w:pPr>
              <w:pStyle w:val="TableParagraph"/>
              <w:spacing w:before="7"/>
              <w:ind w:left="136"/>
              <w:rPr>
                <w:sz w:val="14"/>
              </w:rPr>
            </w:pPr>
            <w:r>
              <w:rPr>
                <w:w w:val="90"/>
                <w:sz w:val="14"/>
              </w:rPr>
              <w:t>–</w:t>
            </w:r>
            <w:r>
              <w:rPr>
                <w:spacing w:val="-4"/>
                <w:w w:val="90"/>
                <w:sz w:val="14"/>
              </w:rPr>
              <w:t xml:space="preserve"> </w:t>
            </w:r>
            <w:r>
              <w:rPr>
                <w:spacing w:val="-2"/>
                <w:w w:val="95"/>
                <w:sz w:val="14"/>
              </w:rPr>
              <w:t>45234115</w:t>
            </w:r>
          </w:p>
        </w:tc>
      </w:tr>
      <w:tr w:rsidR="0092635B">
        <w:trPr>
          <w:trHeight w:val="1003"/>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6"/>
              <w:jc w:val="center"/>
              <w:rPr>
                <w:sz w:val="14"/>
              </w:rPr>
            </w:pPr>
            <w:r>
              <w:rPr>
                <w:spacing w:val="-2"/>
                <w:w w:val="95"/>
                <w:sz w:val="14"/>
              </w:rPr>
              <w:t>45,24</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41"/>
              <w:rPr>
                <w:sz w:val="14"/>
              </w:rPr>
            </w:pPr>
            <w:r>
              <w:rPr>
                <w:w w:val="85"/>
                <w:sz w:val="14"/>
              </w:rPr>
              <w:t>Obras</w:t>
            </w:r>
            <w:r>
              <w:rPr>
                <w:spacing w:val="2"/>
                <w:sz w:val="14"/>
              </w:rPr>
              <w:t xml:space="preserve"> </w:t>
            </w:r>
            <w:r>
              <w:rPr>
                <w:spacing w:val="-2"/>
                <w:w w:val="95"/>
                <w:sz w:val="14"/>
              </w:rPr>
              <w:t>hidráulicas.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6"/>
              </w:numPr>
              <w:tabs>
                <w:tab w:val="left" w:pos="143"/>
              </w:tabs>
              <w:spacing w:before="7"/>
              <w:ind w:hanging="102"/>
              <w:rPr>
                <w:sz w:val="14"/>
              </w:rPr>
            </w:pPr>
            <w:r>
              <w:rPr>
                <w:w w:val="85"/>
                <w:sz w:val="14"/>
              </w:rPr>
              <w:t>la</w:t>
            </w:r>
            <w:r>
              <w:rPr>
                <w:spacing w:val="-3"/>
                <w:sz w:val="14"/>
              </w:rPr>
              <w:t xml:space="preserve"> </w:t>
            </w:r>
            <w:r>
              <w:rPr>
                <w:w w:val="85"/>
                <w:sz w:val="14"/>
              </w:rPr>
              <w:t>construcción</w:t>
            </w:r>
            <w:r>
              <w:rPr>
                <w:spacing w:val="-2"/>
                <w:sz w:val="14"/>
              </w:rPr>
              <w:t xml:space="preserve"> </w:t>
            </w:r>
            <w:r>
              <w:rPr>
                <w:spacing w:val="-5"/>
                <w:w w:val="85"/>
                <w:sz w:val="14"/>
              </w:rPr>
              <w:t>de:</w:t>
            </w:r>
          </w:p>
          <w:p w:rsidR="0092635B" w:rsidRDefault="00000000">
            <w:pPr>
              <w:pStyle w:val="TableParagraph"/>
              <w:numPr>
                <w:ilvl w:val="0"/>
                <w:numId w:val="26"/>
              </w:numPr>
              <w:tabs>
                <w:tab w:val="left" w:pos="143"/>
              </w:tabs>
              <w:spacing w:before="7"/>
              <w:ind w:hanging="102"/>
              <w:rPr>
                <w:sz w:val="14"/>
              </w:rPr>
            </w:pPr>
            <w:r>
              <w:rPr>
                <w:w w:val="85"/>
                <w:sz w:val="14"/>
              </w:rPr>
              <w:t>vías</w:t>
            </w:r>
            <w:r>
              <w:rPr>
                <w:spacing w:val="5"/>
                <w:sz w:val="14"/>
              </w:rPr>
              <w:t xml:space="preserve"> </w:t>
            </w:r>
            <w:r>
              <w:rPr>
                <w:w w:val="85"/>
                <w:sz w:val="14"/>
              </w:rPr>
              <w:t>navegables,</w:t>
            </w:r>
            <w:r>
              <w:rPr>
                <w:spacing w:val="6"/>
                <w:sz w:val="14"/>
              </w:rPr>
              <w:t xml:space="preserve"> </w:t>
            </w:r>
            <w:r>
              <w:rPr>
                <w:w w:val="85"/>
                <w:sz w:val="14"/>
              </w:rPr>
              <w:t>instalaciones</w:t>
            </w:r>
            <w:r>
              <w:rPr>
                <w:spacing w:val="5"/>
                <w:sz w:val="14"/>
              </w:rPr>
              <w:t xml:space="preserve"> </w:t>
            </w:r>
            <w:r>
              <w:rPr>
                <w:w w:val="85"/>
                <w:sz w:val="14"/>
              </w:rPr>
              <w:t>portuarias</w:t>
            </w:r>
            <w:r>
              <w:rPr>
                <w:spacing w:val="6"/>
                <w:sz w:val="14"/>
              </w:rPr>
              <w:t xml:space="preserve"> </w:t>
            </w:r>
            <w:r>
              <w:rPr>
                <w:w w:val="85"/>
                <w:sz w:val="14"/>
              </w:rPr>
              <w:t>y</w:t>
            </w:r>
            <w:r>
              <w:rPr>
                <w:spacing w:val="6"/>
                <w:sz w:val="14"/>
              </w:rPr>
              <w:t xml:space="preserve"> </w:t>
            </w:r>
            <w:r>
              <w:rPr>
                <w:w w:val="85"/>
                <w:sz w:val="14"/>
              </w:rPr>
              <w:t>fluviales,</w:t>
            </w:r>
            <w:r>
              <w:rPr>
                <w:spacing w:val="5"/>
                <w:sz w:val="14"/>
              </w:rPr>
              <w:t xml:space="preserve"> </w:t>
            </w:r>
            <w:r>
              <w:rPr>
                <w:w w:val="85"/>
                <w:sz w:val="14"/>
              </w:rPr>
              <w:t>puertos</w:t>
            </w:r>
            <w:r>
              <w:rPr>
                <w:spacing w:val="6"/>
                <w:sz w:val="14"/>
              </w:rPr>
              <w:t xml:space="preserve"> </w:t>
            </w:r>
            <w:r>
              <w:rPr>
                <w:w w:val="85"/>
                <w:sz w:val="14"/>
              </w:rPr>
              <w:t>deportivos,</w:t>
            </w:r>
            <w:r>
              <w:rPr>
                <w:spacing w:val="6"/>
                <w:sz w:val="14"/>
              </w:rPr>
              <w:t xml:space="preserve"> </w:t>
            </w:r>
            <w:r>
              <w:rPr>
                <w:w w:val="85"/>
                <w:sz w:val="14"/>
              </w:rPr>
              <w:t>esclusas,</w:t>
            </w:r>
            <w:r>
              <w:rPr>
                <w:spacing w:val="5"/>
                <w:sz w:val="14"/>
              </w:rPr>
              <w:t xml:space="preserve"> </w:t>
            </w:r>
            <w:r>
              <w:rPr>
                <w:spacing w:val="-2"/>
                <w:w w:val="85"/>
                <w:sz w:val="14"/>
              </w:rPr>
              <w:t>etc.,</w:t>
            </w:r>
          </w:p>
          <w:p w:rsidR="0092635B" w:rsidRDefault="00000000">
            <w:pPr>
              <w:pStyle w:val="TableParagraph"/>
              <w:numPr>
                <w:ilvl w:val="0"/>
                <w:numId w:val="26"/>
              </w:numPr>
              <w:tabs>
                <w:tab w:val="left" w:pos="143"/>
              </w:tabs>
              <w:spacing w:before="7"/>
              <w:ind w:hanging="102"/>
              <w:rPr>
                <w:sz w:val="14"/>
              </w:rPr>
            </w:pPr>
            <w:r>
              <w:rPr>
                <w:w w:val="85"/>
                <w:sz w:val="14"/>
              </w:rPr>
              <w:t>presas</w:t>
            </w:r>
            <w:r>
              <w:rPr>
                <w:spacing w:val="-1"/>
                <w:sz w:val="14"/>
              </w:rPr>
              <w:t xml:space="preserve"> </w:t>
            </w:r>
            <w:r>
              <w:rPr>
                <w:w w:val="85"/>
                <w:sz w:val="14"/>
              </w:rPr>
              <w:t>y</w:t>
            </w:r>
            <w:r>
              <w:rPr>
                <w:sz w:val="14"/>
              </w:rPr>
              <w:t xml:space="preserve"> </w:t>
            </w:r>
            <w:r>
              <w:rPr>
                <w:spacing w:val="-2"/>
                <w:w w:val="85"/>
                <w:sz w:val="14"/>
              </w:rPr>
              <w:t>diques,</w:t>
            </w:r>
          </w:p>
          <w:p w:rsidR="0092635B" w:rsidRDefault="00000000">
            <w:pPr>
              <w:pStyle w:val="TableParagraph"/>
              <w:numPr>
                <w:ilvl w:val="0"/>
                <w:numId w:val="26"/>
              </w:numPr>
              <w:tabs>
                <w:tab w:val="left" w:pos="143"/>
              </w:tabs>
              <w:spacing w:before="7"/>
              <w:ind w:hanging="102"/>
              <w:rPr>
                <w:sz w:val="14"/>
              </w:rPr>
            </w:pPr>
            <w:r>
              <w:rPr>
                <w:spacing w:val="-2"/>
                <w:w w:val="95"/>
                <w:sz w:val="14"/>
              </w:rPr>
              <w:t>dragados,</w:t>
            </w:r>
          </w:p>
          <w:p w:rsidR="0092635B" w:rsidRDefault="00000000">
            <w:pPr>
              <w:pStyle w:val="TableParagraph"/>
              <w:numPr>
                <w:ilvl w:val="0"/>
                <w:numId w:val="26"/>
              </w:numPr>
              <w:tabs>
                <w:tab w:val="left" w:pos="143"/>
              </w:tabs>
              <w:spacing w:before="7" w:line="145" w:lineRule="exact"/>
              <w:ind w:hanging="102"/>
              <w:rPr>
                <w:sz w:val="14"/>
              </w:rPr>
            </w:pPr>
            <w:r>
              <w:rPr>
                <w:w w:val="85"/>
                <w:sz w:val="14"/>
              </w:rPr>
              <w:t>obras</w:t>
            </w:r>
            <w:r>
              <w:rPr>
                <w:spacing w:val="2"/>
                <w:sz w:val="14"/>
              </w:rPr>
              <w:t xml:space="preserve"> </w:t>
            </w:r>
            <w:r>
              <w:rPr>
                <w:spacing w:val="-2"/>
                <w:w w:val="95"/>
                <w:sz w:val="14"/>
              </w:rPr>
              <w:t>subterráneas.</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30" w:right="22"/>
              <w:jc w:val="center"/>
              <w:rPr>
                <w:sz w:val="14"/>
              </w:rPr>
            </w:pPr>
            <w:r>
              <w:rPr>
                <w:spacing w:val="-2"/>
                <w:w w:val="95"/>
                <w:sz w:val="14"/>
              </w:rPr>
              <w:t>45240000</w:t>
            </w:r>
          </w:p>
        </w:tc>
      </w:tr>
    </w:tbl>
    <w:p w:rsidR="0092635B" w:rsidRDefault="0092635B">
      <w:pPr>
        <w:pStyle w:val="TableParagraph"/>
        <w:jc w:val="center"/>
        <w:rPr>
          <w:sz w:val="14"/>
        </w:rPr>
        <w:sectPr w:rsidR="0092635B">
          <w:type w:val="continuous"/>
          <w:pgSz w:w="11910" w:h="16840"/>
          <w:pgMar w:top="56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2"/>
        <w:ind w:left="0" w:firstLine="0"/>
        <w:jc w:val="left"/>
      </w:pPr>
    </w:p>
    <w:tbl>
      <w:tblPr>
        <w:tblStyle w:val="TableNormal"/>
        <w:tblW w:w="0" w:type="auto"/>
        <w:tblInd w:w="149"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562"/>
        <w:gridCol w:w="453"/>
        <w:gridCol w:w="412"/>
        <w:gridCol w:w="1596"/>
        <w:gridCol w:w="6267"/>
        <w:gridCol w:w="913"/>
      </w:tblGrid>
      <w:tr w:rsidR="0092635B">
        <w:trPr>
          <w:trHeight w:val="165"/>
        </w:trPr>
        <w:tc>
          <w:tcPr>
            <w:tcW w:w="9290" w:type="dxa"/>
            <w:gridSpan w:val="5"/>
            <w:shd w:val="clear" w:color="auto" w:fill="EDEDED"/>
          </w:tcPr>
          <w:p w:rsidR="0092635B" w:rsidRDefault="00000000">
            <w:pPr>
              <w:pStyle w:val="TableParagraph"/>
              <w:spacing w:line="146" w:lineRule="exact"/>
              <w:ind w:left="7"/>
              <w:jc w:val="center"/>
              <w:rPr>
                <w:rFonts w:ascii="Arial"/>
                <w:b/>
                <w:sz w:val="14"/>
              </w:rPr>
            </w:pPr>
            <w:r>
              <w:rPr>
                <w:rFonts w:ascii="Arial"/>
                <w:b/>
                <w:w w:val="85"/>
                <w:sz w:val="14"/>
              </w:rPr>
              <w:t>NACE</w:t>
            </w:r>
            <w:r>
              <w:rPr>
                <w:rFonts w:ascii="Arial"/>
                <w:b/>
                <w:spacing w:val="-4"/>
                <w:sz w:val="14"/>
              </w:rPr>
              <w:t xml:space="preserve"> </w:t>
            </w:r>
            <w:r>
              <w:rPr>
                <w:rFonts w:ascii="Arial"/>
                <w:b/>
                <w:w w:val="85"/>
                <w:sz w:val="14"/>
              </w:rPr>
              <w:t>Rev.2</w:t>
            </w:r>
            <w:r>
              <w:rPr>
                <w:rFonts w:ascii="Arial"/>
                <w:b/>
                <w:spacing w:val="-4"/>
                <w:sz w:val="14"/>
              </w:rPr>
              <w:t xml:space="preserve"> </w:t>
            </w:r>
            <w:r>
              <w:rPr>
                <w:rFonts w:ascii="Arial"/>
                <w:b/>
                <w:spacing w:val="-5"/>
                <w:w w:val="85"/>
                <w:sz w:val="14"/>
              </w:rPr>
              <w:t>(</w:t>
            </w:r>
            <w:r>
              <w:rPr>
                <w:rFonts w:ascii="Arial"/>
                <w:b/>
                <w:spacing w:val="-5"/>
                <w:w w:val="85"/>
                <w:position w:val="5"/>
                <w:sz w:val="8"/>
              </w:rPr>
              <w:t>1</w:t>
            </w:r>
            <w:r>
              <w:rPr>
                <w:rFonts w:ascii="Arial"/>
                <w:b/>
                <w:spacing w:val="-5"/>
                <w:w w:val="85"/>
                <w:sz w:val="14"/>
              </w:rPr>
              <w:t>)</w:t>
            </w:r>
          </w:p>
        </w:tc>
        <w:tc>
          <w:tcPr>
            <w:tcW w:w="913" w:type="dxa"/>
            <w:vMerge w:val="restart"/>
            <w:shd w:val="clear" w:color="auto" w:fill="EDEDED"/>
          </w:tcPr>
          <w:p w:rsidR="0092635B" w:rsidRDefault="0092635B">
            <w:pPr>
              <w:pStyle w:val="TableParagraph"/>
              <w:spacing w:before="14"/>
              <w:rPr>
                <w:sz w:val="14"/>
              </w:rPr>
            </w:pPr>
          </w:p>
          <w:p w:rsidR="0092635B" w:rsidRDefault="00000000">
            <w:pPr>
              <w:pStyle w:val="TableParagraph"/>
              <w:spacing w:before="1"/>
              <w:ind w:left="102"/>
              <w:rPr>
                <w:rFonts w:ascii="Arial" w:hAnsi="Arial"/>
                <w:b/>
                <w:sz w:val="14"/>
              </w:rPr>
            </w:pPr>
            <w:r>
              <w:rPr>
                <w:rFonts w:ascii="Arial" w:hAnsi="Arial"/>
                <w:b/>
                <w:w w:val="85"/>
                <w:sz w:val="14"/>
              </w:rPr>
              <w:t>Código</w:t>
            </w:r>
            <w:r>
              <w:rPr>
                <w:rFonts w:ascii="Arial" w:hAnsi="Arial"/>
                <w:b/>
                <w:spacing w:val="4"/>
                <w:sz w:val="14"/>
              </w:rPr>
              <w:t xml:space="preserve"> </w:t>
            </w:r>
            <w:r>
              <w:rPr>
                <w:rFonts w:ascii="Arial" w:hAnsi="Arial"/>
                <w:b/>
                <w:spacing w:val="-5"/>
                <w:w w:val="95"/>
                <w:sz w:val="14"/>
              </w:rPr>
              <w:t>CPV</w:t>
            </w:r>
          </w:p>
        </w:tc>
      </w:tr>
      <w:tr w:rsidR="0092635B">
        <w:trPr>
          <w:trHeight w:val="165"/>
        </w:trPr>
        <w:tc>
          <w:tcPr>
            <w:tcW w:w="1427" w:type="dxa"/>
            <w:gridSpan w:val="3"/>
            <w:shd w:val="clear" w:color="auto" w:fill="EDEDED"/>
          </w:tcPr>
          <w:p w:rsidR="0092635B" w:rsidRDefault="00000000">
            <w:pPr>
              <w:pStyle w:val="TableParagraph"/>
              <w:spacing w:line="146" w:lineRule="exact"/>
              <w:ind w:left="422"/>
              <w:rPr>
                <w:rFonts w:ascii="Arial" w:hAnsi="Arial"/>
                <w:b/>
                <w:sz w:val="14"/>
              </w:rPr>
            </w:pPr>
            <w:r>
              <w:rPr>
                <w:rFonts w:ascii="Arial" w:hAnsi="Arial"/>
                <w:b/>
                <w:w w:val="85"/>
                <w:sz w:val="14"/>
              </w:rPr>
              <w:t>Sección</w:t>
            </w:r>
            <w:r>
              <w:rPr>
                <w:rFonts w:ascii="Arial" w:hAnsi="Arial"/>
                <w:b/>
                <w:spacing w:val="5"/>
                <w:sz w:val="14"/>
              </w:rPr>
              <w:t xml:space="preserve"> </w:t>
            </w:r>
            <w:r>
              <w:rPr>
                <w:rFonts w:ascii="Arial" w:hAnsi="Arial"/>
                <w:b/>
                <w:spacing w:val="-10"/>
                <w:w w:val="95"/>
                <w:sz w:val="14"/>
              </w:rPr>
              <w:t>F</w:t>
            </w:r>
          </w:p>
        </w:tc>
        <w:tc>
          <w:tcPr>
            <w:tcW w:w="7863" w:type="dxa"/>
            <w:gridSpan w:val="2"/>
            <w:shd w:val="clear" w:color="auto" w:fill="EDEDED"/>
          </w:tcPr>
          <w:p w:rsidR="0092635B" w:rsidRDefault="00000000">
            <w:pPr>
              <w:pStyle w:val="TableParagraph"/>
              <w:spacing w:line="146" w:lineRule="exact"/>
              <w:ind w:left="8"/>
              <w:jc w:val="center"/>
              <w:rPr>
                <w:rFonts w:ascii="Arial" w:hAnsi="Arial"/>
                <w:b/>
                <w:sz w:val="14"/>
              </w:rPr>
            </w:pPr>
            <w:r>
              <w:rPr>
                <w:rFonts w:ascii="Arial" w:hAnsi="Arial"/>
                <w:b/>
                <w:spacing w:val="-2"/>
                <w:w w:val="95"/>
                <w:sz w:val="14"/>
              </w:rPr>
              <w:t>Construcción</w:t>
            </w:r>
          </w:p>
        </w:tc>
        <w:tc>
          <w:tcPr>
            <w:tcW w:w="913" w:type="dxa"/>
            <w:vMerge/>
            <w:tcBorders>
              <w:top w:val="nil"/>
            </w:tcBorders>
            <w:shd w:val="clear" w:color="auto" w:fill="EDEDED"/>
          </w:tcPr>
          <w:p w:rsidR="0092635B" w:rsidRDefault="0092635B">
            <w:pPr>
              <w:rPr>
                <w:sz w:val="2"/>
                <w:szCs w:val="2"/>
              </w:rPr>
            </w:pPr>
          </w:p>
        </w:tc>
      </w:tr>
      <w:tr w:rsidR="0092635B">
        <w:trPr>
          <w:trHeight w:val="164"/>
        </w:trPr>
        <w:tc>
          <w:tcPr>
            <w:tcW w:w="562" w:type="dxa"/>
            <w:shd w:val="clear" w:color="auto" w:fill="EDEDED"/>
          </w:tcPr>
          <w:p w:rsidR="0092635B" w:rsidRDefault="00000000">
            <w:pPr>
              <w:pStyle w:val="TableParagraph"/>
              <w:spacing w:line="145" w:lineRule="exact"/>
              <w:ind w:left="40"/>
              <w:rPr>
                <w:rFonts w:ascii="Arial" w:hAnsi="Arial"/>
                <w:b/>
                <w:sz w:val="14"/>
              </w:rPr>
            </w:pPr>
            <w:r>
              <w:rPr>
                <w:rFonts w:ascii="Arial" w:hAnsi="Arial"/>
                <w:b/>
                <w:spacing w:val="-2"/>
                <w:w w:val="90"/>
                <w:sz w:val="14"/>
              </w:rPr>
              <w:t>División</w:t>
            </w:r>
          </w:p>
        </w:tc>
        <w:tc>
          <w:tcPr>
            <w:tcW w:w="453" w:type="dxa"/>
            <w:shd w:val="clear" w:color="auto" w:fill="EDEDED"/>
          </w:tcPr>
          <w:p w:rsidR="0092635B" w:rsidRDefault="00000000">
            <w:pPr>
              <w:pStyle w:val="TableParagraph"/>
              <w:spacing w:line="145" w:lineRule="exact"/>
              <w:ind w:left="6"/>
              <w:jc w:val="center"/>
              <w:rPr>
                <w:rFonts w:ascii="Arial"/>
                <w:b/>
                <w:sz w:val="14"/>
              </w:rPr>
            </w:pPr>
            <w:r>
              <w:rPr>
                <w:rFonts w:ascii="Arial"/>
                <w:b/>
                <w:spacing w:val="-2"/>
                <w:w w:val="95"/>
                <w:sz w:val="14"/>
              </w:rPr>
              <w:t>Grupo</w:t>
            </w:r>
          </w:p>
        </w:tc>
        <w:tc>
          <w:tcPr>
            <w:tcW w:w="412" w:type="dxa"/>
            <w:shd w:val="clear" w:color="auto" w:fill="EDEDED"/>
          </w:tcPr>
          <w:p w:rsidR="0092635B" w:rsidRDefault="00000000">
            <w:pPr>
              <w:pStyle w:val="TableParagraph"/>
              <w:spacing w:line="145" w:lineRule="exact"/>
              <w:ind w:left="6"/>
              <w:jc w:val="center"/>
              <w:rPr>
                <w:rFonts w:ascii="Arial"/>
                <w:b/>
                <w:sz w:val="14"/>
              </w:rPr>
            </w:pPr>
            <w:r>
              <w:rPr>
                <w:rFonts w:ascii="Arial"/>
                <w:b/>
                <w:spacing w:val="-2"/>
                <w:w w:val="95"/>
                <w:sz w:val="14"/>
              </w:rPr>
              <w:t>Clase</w:t>
            </w:r>
          </w:p>
        </w:tc>
        <w:tc>
          <w:tcPr>
            <w:tcW w:w="1596" w:type="dxa"/>
            <w:shd w:val="clear" w:color="auto" w:fill="EDEDED"/>
          </w:tcPr>
          <w:p w:rsidR="0092635B" w:rsidRDefault="00000000">
            <w:pPr>
              <w:pStyle w:val="TableParagraph"/>
              <w:spacing w:line="145" w:lineRule="exact"/>
              <w:ind w:left="446"/>
              <w:rPr>
                <w:rFonts w:ascii="Arial" w:hAnsi="Arial"/>
                <w:b/>
                <w:sz w:val="14"/>
              </w:rPr>
            </w:pPr>
            <w:r>
              <w:rPr>
                <w:rFonts w:ascii="Arial" w:hAnsi="Arial"/>
                <w:b/>
                <w:spacing w:val="-2"/>
                <w:w w:val="95"/>
                <w:sz w:val="14"/>
              </w:rPr>
              <w:t>Descripción</w:t>
            </w:r>
          </w:p>
        </w:tc>
        <w:tc>
          <w:tcPr>
            <w:tcW w:w="6267" w:type="dxa"/>
            <w:shd w:val="clear" w:color="auto" w:fill="EDEDED"/>
          </w:tcPr>
          <w:p w:rsidR="0092635B" w:rsidRDefault="00000000">
            <w:pPr>
              <w:pStyle w:val="TableParagraph"/>
              <w:spacing w:line="145" w:lineRule="exact"/>
              <w:ind w:left="7"/>
              <w:jc w:val="center"/>
              <w:rPr>
                <w:rFonts w:ascii="Arial"/>
                <w:b/>
                <w:sz w:val="14"/>
              </w:rPr>
            </w:pPr>
            <w:r>
              <w:rPr>
                <w:rFonts w:ascii="Arial"/>
                <w:b/>
                <w:spacing w:val="-2"/>
                <w:w w:val="95"/>
                <w:sz w:val="14"/>
              </w:rPr>
              <w:t>Observaciones</w:t>
            </w:r>
          </w:p>
        </w:tc>
        <w:tc>
          <w:tcPr>
            <w:tcW w:w="913" w:type="dxa"/>
            <w:vMerge/>
            <w:tcBorders>
              <w:top w:val="nil"/>
            </w:tcBorders>
            <w:shd w:val="clear" w:color="auto" w:fill="EDEDED"/>
          </w:tcPr>
          <w:p w:rsidR="0092635B" w:rsidRDefault="0092635B">
            <w:pPr>
              <w:rPr>
                <w:sz w:val="2"/>
                <w:szCs w:val="2"/>
              </w:rPr>
            </w:pPr>
          </w:p>
        </w:tc>
      </w:tr>
      <w:tr w:rsidR="0092635B">
        <w:trPr>
          <w:trHeight w:val="2012"/>
        </w:trPr>
        <w:tc>
          <w:tcPr>
            <w:tcW w:w="562" w:type="dxa"/>
            <w:tcBorders>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8"/>
              <w:rPr>
                <w:sz w:val="14"/>
              </w:rPr>
            </w:pPr>
          </w:p>
          <w:p w:rsidR="0092635B" w:rsidRDefault="00000000">
            <w:pPr>
              <w:pStyle w:val="TableParagraph"/>
              <w:spacing w:before="1"/>
              <w:ind w:left="6"/>
              <w:jc w:val="center"/>
              <w:rPr>
                <w:sz w:val="14"/>
              </w:rPr>
            </w:pPr>
            <w:r>
              <w:rPr>
                <w:spacing w:val="-2"/>
                <w:w w:val="95"/>
                <w:sz w:val="14"/>
              </w:rPr>
              <w:t>45,25</w:t>
            </w:r>
          </w:p>
        </w:tc>
        <w:tc>
          <w:tcPr>
            <w:tcW w:w="1596" w:type="dxa"/>
            <w:tcBorders>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1"/>
              <w:rPr>
                <w:sz w:val="14"/>
              </w:rPr>
            </w:pPr>
          </w:p>
          <w:p w:rsidR="0092635B" w:rsidRDefault="00000000">
            <w:pPr>
              <w:pStyle w:val="TableParagraph"/>
              <w:spacing w:before="1" w:line="249" w:lineRule="auto"/>
              <w:ind w:left="41" w:right="596"/>
              <w:rPr>
                <w:sz w:val="14"/>
              </w:rPr>
            </w:pPr>
            <w:r>
              <w:rPr>
                <w:spacing w:val="-2"/>
                <w:w w:val="90"/>
                <w:sz w:val="14"/>
              </w:rPr>
              <w:t>Otros</w:t>
            </w:r>
            <w:r>
              <w:rPr>
                <w:spacing w:val="-4"/>
                <w:w w:val="90"/>
                <w:sz w:val="14"/>
              </w:rPr>
              <w:t xml:space="preserve"> </w:t>
            </w:r>
            <w:r>
              <w:rPr>
                <w:spacing w:val="-2"/>
                <w:w w:val="90"/>
                <w:sz w:val="14"/>
              </w:rPr>
              <w:t>trabajos</w:t>
            </w:r>
            <w:r>
              <w:rPr>
                <w:spacing w:val="-4"/>
                <w:w w:val="90"/>
                <w:sz w:val="14"/>
              </w:rPr>
              <w:t xml:space="preserve"> </w:t>
            </w:r>
            <w:r>
              <w:rPr>
                <w:spacing w:val="-2"/>
                <w:w w:val="90"/>
                <w:sz w:val="14"/>
              </w:rPr>
              <w:t>de</w:t>
            </w:r>
            <w:r>
              <w:rPr>
                <w:spacing w:val="40"/>
                <w:sz w:val="14"/>
              </w:rPr>
              <w:t xml:space="preserve"> </w:t>
            </w:r>
            <w:r>
              <w:rPr>
                <w:spacing w:val="-2"/>
                <w:w w:val="95"/>
                <w:sz w:val="14"/>
              </w:rPr>
              <w:t>construcción</w:t>
            </w:r>
            <w:r>
              <w:rPr>
                <w:spacing w:val="40"/>
                <w:sz w:val="14"/>
              </w:rPr>
              <w:t xml:space="preserve"> </w:t>
            </w:r>
            <w:r>
              <w:rPr>
                <w:spacing w:val="-2"/>
                <w:w w:val="95"/>
                <w:sz w:val="14"/>
              </w:rPr>
              <w:t>especializados.</w:t>
            </w:r>
          </w:p>
        </w:tc>
        <w:tc>
          <w:tcPr>
            <w:tcW w:w="6267" w:type="dxa"/>
            <w:tcBorders>
              <w:left w:val="single" w:sz="4" w:space="0" w:color="CCCCCC"/>
              <w:bottom w:val="single" w:sz="4" w:space="0" w:color="CCCCCC"/>
              <w:right w:val="single" w:sz="4" w:space="0" w:color="CCCCCC"/>
            </w:tcBorders>
          </w:tcPr>
          <w:p w:rsidR="0092635B" w:rsidRDefault="00000000">
            <w:pPr>
              <w:pStyle w:val="TableParagraph"/>
              <w:spacing w:line="161"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5"/>
              </w:numPr>
              <w:tabs>
                <w:tab w:val="left" w:pos="143"/>
              </w:tabs>
              <w:spacing w:before="7" w:line="249" w:lineRule="auto"/>
              <w:ind w:right="51" w:firstLine="0"/>
              <w:rPr>
                <w:sz w:val="14"/>
              </w:rPr>
            </w:pPr>
            <w:r>
              <w:rPr>
                <w:w w:val="85"/>
                <w:sz w:val="14"/>
              </w:rPr>
              <w:t>las actividades de construcción que se especialicen en un aspecto común a diferentes tipos de estructura y que</w:t>
            </w:r>
            <w:r>
              <w:rPr>
                <w:spacing w:val="40"/>
                <w:sz w:val="14"/>
              </w:rPr>
              <w:t xml:space="preserve"> </w:t>
            </w:r>
            <w:r>
              <w:rPr>
                <w:w w:val="90"/>
                <w:sz w:val="14"/>
              </w:rPr>
              <w:t>requieran aptitudes o materiales específicos,</w:t>
            </w:r>
          </w:p>
          <w:p w:rsidR="0092635B" w:rsidRDefault="00000000">
            <w:pPr>
              <w:pStyle w:val="TableParagraph"/>
              <w:numPr>
                <w:ilvl w:val="0"/>
                <w:numId w:val="25"/>
              </w:numPr>
              <w:tabs>
                <w:tab w:val="left" w:pos="143"/>
              </w:tabs>
              <w:spacing w:before="1"/>
              <w:ind w:left="143" w:hanging="102"/>
              <w:rPr>
                <w:sz w:val="14"/>
              </w:rPr>
            </w:pPr>
            <w:r>
              <w:rPr>
                <w:w w:val="85"/>
                <w:sz w:val="14"/>
              </w:rPr>
              <w:t>obras</w:t>
            </w:r>
            <w:r>
              <w:rPr>
                <w:spacing w:val="-1"/>
                <w:sz w:val="14"/>
              </w:rPr>
              <w:t xml:space="preserve"> </w:t>
            </w:r>
            <w:r>
              <w:rPr>
                <w:w w:val="85"/>
                <w:sz w:val="14"/>
              </w:rPr>
              <w:t>de</w:t>
            </w:r>
            <w:r>
              <w:rPr>
                <w:sz w:val="14"/>
              </w:rPr>
              <w:t xml:space="preserve"> </w:t>
            </w:r>
            <w:r>
              <w:rPr>
                <w:w w:val="85"/>
                <w:sz w:val="14"/>
              </w:rPr>
              <w:t>cimentación,</w:t>
            </w:r>
            <w:r>
              <w:rPr>
                <w:sz w:val="14"/>
              </w:rPr>
              <w:t xml:space="preserve"> </w:t>
            </w:r>
            <w:r>
              <w:rPr>
                <w:w w:val="85"/>
                <w:sz w:val="14"/>
              </w:rPr>
              <w:t>incluida</w:t>
            </w:r>
            <w:r>
              <w:rPr>
                <w:sz w:val="14"/>
              </w:rPr>
              <w:t xml:space="preserve"> </w:t>
            </w:r>
            <w:r>
              <w:rPr>
                <w:w w:val="85"/>
                <w:sz w:val="14"/>
              </w:rPr>
              <w:t>la</w:t>
            </w:r>
            <w:r>
              <w:rPr>
                <w:spacing w:val="-1"/>
                <w:sz w:val="14"/>
              </w:rPr>
              <w:t xml:space="preserve"> </w:t>
            </w:r>
            <w:r>
              <w:rPr>
                <w:w w:val="85"/>
                <w:sz w:val="14"/>
              </w:rPr>
              <w:t>hinca</w:t>
            </w:r>
            <w:r>
              <w:rPr>
                <w:sz w:val="14"/>
              </w:rPr>
              <w:t xml:space="preserve"> </w:t>
            </w:r>
            <w:r>
              <w:rPr>
                <w:w w:val="85"/>
                <w:sz w:val="14"/>
              </w:rPr>
              <w:t>de</w:t>
            </w:r>
            <w:r>
              <w:rPr>
                <w:sz w:val="14"/>
              </w:rPr>
              <w:t xml:space="preserve"> </w:t>
            </w:r>
            <w:r>
              <w:rPr>
                <w:spacing w:val="-2"/>
                <w:w w:val="85"/>
                <w:sz w:val="14"/>
              </w:rPr>
              <w:t>pilotes,</w:t>
            </w:r>
          </w:p>
          <w:p w:rsidR="0092635B" w:rsidRDefault="00000000">
            <w:pPr>
              <w:pStyle w:val="TableParagraph"/>
              <w:numPr>
                <w:ilvl w:val="0"/>
                <w:numId w:val="25"/>
              </w:numPr>
              <w:tabs>
                <w:tab w:val="left" w:pos="143"/>
              </w:tabs>
              <w:spacing w:before="7"/>
              <w:ind w:left="143" w:hanging="102"/>
              <w:rPr>
                <w:sz w:val="14"/>
              </w:rPr>
            </w:pPr>
            <w:r>
              <w:rPr>
                <w:w w:val="85"/>
                <w:sz w:val="14"/>
              </w:rPr>
              <w:t>construcción</w:t>
            </w:r>
            <w:r>
              <w:rPr>
                <w:sz w:val="14"/>
              </w:rPr>
              <w:t xml:space="preserve"> </w:t>
            </w:r>
            <w:r>
              <w:rPr>
                <w:w w:val="85"/>
                <w:sz w:val="14"/>
              </w:rPr>
              <w:t>y</w:t>
            </w:r>
            <w:r>
              <w:rPr>
                <w:sz w:val="14"/>
              </w:rPr>
              <w:t xml:space="preserve"> </w:t>
            </w:r>
            <w:r>
              <w:rPr>
                <w:w w:val="85"/>
                <w:sz w:val="14"/>
              </w:rPr>
              <w:t>perforación</w:t>
            </w:r>
            <w:r>
              <w:rPr>
                <w:sz w:val="14"/>
              </w:rPr>
              <w:t xml:space="preserve"> </w:t>
            </w:r>
            <w:r>
              <w:rPr>
                <w:w w:val="85"/>
                <w:sz w:val="14"/>
              </w:rPr>
              <w:t>de</w:t>
            </w:r>
            <w:r>
              <w:rPr>
                <w:sz w:val="14"/>
              </w:rPr>
              <w:t xml:space="preserve"> </w:t>
            </w:r>
            <w:r>
              <w:rPr>
                <w:w w:val="85"/>
                <w:sz w:val="14"/>
              </w:rPr>
              <w:t>pozos</w:t>
            </w:r>
            <w:r>
              <w:rPr>
                <w:sz w:val="14"/>
              </w:rPr>
              <w:t xml:space="preserve"> </w:t>
            </w:r>
            <w:r>
              <w:rPr>
                <w:w w:val="85"/>
                <w:sz w:val="14"/>
              </w:rPr>
              <w:t>hidráulicos,</w:t>
            </w:r>
            <w:r>
              <w:rPr>
                <w:sz w:val="14"/>
              </w:rPr>
              <w:t xml:space="preserve"> </w:t>
            </w:r>
            <w:r>
              <w:rPr>
                <w:w w:val="85"/>
                <w:sz w:val="14"/>
              </w:rPr>
              <w:t>excavación</w:t>
            </w:r>
            <w:r>
              <w:rPr>
                <w:sz w:val="14"/>
              </w:rPr>
              <w:t xml:space="preserve"> </w:t>
            </w:r>
            <w:r>
              <w:rPr>
                <w:w w:val="85"/>
                <w:sz w:val="14"/>
              </w:rPr>
              <w:t>de</w:t>
            </w:r>
            <w:r>
              <w:rPr>
                <w:sz w:val="14"/>
              </w:rPr>
              <w:t xml:space="preserve"> </w:t>
            </w:r>
            <w:r>
              <w:rPr>
                <w:w w:val="85"/>
                <w:sz w:val="14"/>
              </w:rPr>
              <w:t>pozos</w:t>
            </w:r>
            <w:r>
              <w:rPr>
                <w:sz w:val="14"/>
              </w:rPr>
              <w:t xml:space="preserve"> </w:t>
            </w:r>
            <w:r>
              <w:rPr>
                <w:w w:val="85"/>
                <w:sz w:val="14"/>
              </w:rPr>
              <w:t>de</w:t>
            </w:r>
            <w:r>
              <w:rPr>
                <w:sz w:val="14"/>
              </w:rPr>
              <w:t xml:space="preserve"> </w:t>
            </w:r>
            <w:r>
              <w:rPr>
                <w:spacing w:val="-2"/>
                <w:w w:val="85"/>
                <w:sz w:val="14"/>
              </w:rPr>
              <w:t>minas,</w:t>
            </w:r>
          </w:p>
          <w:p w:rsidR="0092635B" w:rsidRDefault="00000000">
            <w:pPr>
              <w:pStyle w:val="TableParagraph"/>
              <w:numPr>
                <w:ilvl w:val="0"/>
                <w:numId w:val="25"/>
              </w:numPr>
              <w:tabs>
                <w:tab w:val="left" w:pos="143"/>
              </w:tabs>
              <w:spacing w:before="7"/>
              <w:ind w:left="143" w:hanging="102"/>
              <w:rPr>
                <w:sz w:val="14"/>
              </w:rPr>
            </w:pPr>
            <w:r>
              <w:rPr>
                <w:w w:val="85"/>
                <w:sz w:val="14"/>
              </w:rPr>
              <w:t>montaje</w:t>
            </w:r>
            <w:r>
              <w:rPr>
                <w:spacing w:val="-2"/>
                <w:sz w:val="14"/>
              </w:rPr>
              <w:t xml:space="preserve"> </w:t>
            </w:r>
            <w:r>
              <w:rPr>
                <w:w w:val="85"/>
                <w:sz w:val="14"/>
              </w:rPr>
              <w:t>de</w:t>
            </w:r>
            <w:r>
              <w:rPr>
                <w:spacing w:val="-2"/>
                <w:sz w:val="14"/>
              </w:rPr>
              <w:t xml:space="preserve"> </w:t>
            </w:r>
            <w:r>
              <w:rPr>
                <w:w w:val="85"/>
                <w:sz w:val="14"/>
              </w:rPr>
              <w:t>piezas</w:t>
            </w:r>
            <w:r>
              <w:rPr>
                <w:spacing w:val="-1"/>
                <w:sz w:val="14"/>
              </w:rPr>
              <w:t xml:space="preserve"> </w:t>
            </w:r>
            <w:r>
              <w:rPr>
                <w:w w:val="85"/>
                <w:sz w:val="14"/>
              </w:rPr>
              <w:t>de</w:t>
            </w:r>
            <w:r>
              <w:rPr>
                <w:spacing w:val="-2"/>
                <w:sz w:val="14"/>
              </w:rPr>
              <w:t xml:space="preserve"> </w:t>
            </w:r>
            <w:r>
              <w:rPr>
                <w:w w:val="85"/>
                <w:sz w:val="14"/>
              </w:rPr>
              <w:t>acero</w:t>
            </w:r>
            <w:r>
              <w:rPr>
                <w:spacing w:val="-2"/>
                <w:sz w:val="14"/>
              </w:rPr>
              <w:t xml:space="preserve"> </w:t>
            </w:r>
            <w:r>
              <w:rPr>
                <w:w w:val="85"/>
                <w:sz w:val="14"/>
              </w:rPr>
              <w:t>que</w:t>
            </w:r>
            <w:r>
              <w:rPr>
                <w:spacing w:val="-1"/>
                <w:sz w:val="14"/>
              </w:rPr>
              <w:t xml:space="preserve"> </w:t>
            </w:r>
            <w:r>
              <w:rPr>
                <w:w w:val="85"/>
                <w:sz w:val="14"/>
              </w:rPr>
              <w:t>no</w:t>
            </w:r>
            <w:r>
              <w:rPr>
                <w:spacing w:val="-2"/>
                <w:sz w:val="14"/>
              </w:rPr>
              <w:t xml:space="preserve"> </w:t>
            </w:r>
            <w:r>
              <w:rPr>
                <w:w w:val="85"/>
                <w:sz w:val="14"/>
              </w:rPr>
              <w:t>sean</w:t>
            </w:r>
            <w:r>
              <w:rPr>
                <w:spacing w:val="-1"/>
                <w:sz w:val="14"/>
              </w:rPr>
              <w:t xml:space="preserve"> </w:t>
            </w:r>
            <w:r>
              <w:rPr>
                <w:w w:val="85"/>
                <w:sz w:val="14"/>
              </w:rPr>
              <w:t>de</w:t>
            </w:r>
            <w:r>
              <w:rPr>
                <w:spacing w:val="-2"/>
                <w:sz w:val="14"/>
              </w:rPr>
              <w:t xml:space="preserve"> </w:t>
            </w:r>
            <w:r>
              <w:rPr>
                <w:w w:val="85"/>
                <w:sz w:val="14"/>
              </w:rPr>
              <w:t>producción</w:t>
            </w:r>
            <w:r>
              <w:rPr>
                <w:spacing w:val="-2"/>
                <w:sz w:val="14"/>
              </w:rPr>
              <w:t xml:space="preserve"> </w:t>
            </w:r>
            <w:r>
              <w:rPr>
                <w:spacing w:val="-2"/>
                <w:w w:val="85"/>
                <w:sz w:val="14"/>
              </w:rPr>
              <w:t>propia,</w:t>
            </w:r>
          </w:p>
          <w:p w:rsidR="0092635B" w:rsidRDefault="00000000">
            <w:pPr>
              <w:pStyle w:val="TableParagraph"/>
              <w:numPr>
                <w:ilvl w:val="0"/>
                <w:numId w:val="25"/>
              </w:numPr>
              <w:tabs>
                <w:tab w:val="left" w:pos="143"/>
              </w:tabs>
              <w:spacing w:before="7"/>
              <w:ind w:left="143" w:hanging="102"/>
              <w:rPr>
                <w:sz w:val="14"/>
              </w:rPr>
            </w:pPr>
            <w:r>
              <w:rPr>
                <w:w w:val="85"/>
                <w:sz w:val="14"/>
              </w:rPr>
              <w:t>curvado</w:t>
            </w:r>
            <w:r>
              <w:rPr>
                <w:spacing w:val="-3"/>
                <w:sz w:val="14"/>
              </w:rPr>
              <w:t xml:space="preserve"> </w:t>
            </w:r>
            <w:r>
              <w:rPr>
                <w:w w:val="85"/>
                <w:sz w:val="14"/>
              </w:rPr>
              <w:t>del</w:t>
            </w:r>
            <w:r>
              <w:rPr>
                <w:spacing w:val="-2"/>
                <w:sz w:val="14"/>
              </w:rPr>
              <w:t xml:space="preserve"> </w:t>
            </w:r>
            <w:r>
              <w:rPr>
                <w:spacing w:val="-2"/>
                <w:w w:val="85"/>
                <w:sz w:val="14"/>
              </w:rPr>
              <w:t>acero,</w:t>
            </w:r>
          </w:p>
          <w:p w:rsidR="0092635B" w:rsidRDefault="00000000">
            <w:pPr>
              <w:pStyle w:val="TableParagraph"/>
              <w:numPr>
                <w:ilvl w:val="0"/>
                <w:numId w:val="25"/>
              </w:numPr>
              <w:tabs>
                <w:tab w:val="left" w:pos="143"/>
              </w:tabs>
              <w:spacing w:before="7"/>
              <w:ind w:left="143" w:hanging="102"/>
              <w:rPr>
                <w:sz w:val="14"/>
              </w:rPr>
            </w:pPr>
            <w:r>
              <w:rPr>
                <w:w w:val="85"/>
                <w:sz w:val="14"/>
              </w:rPr>
              <w:t>colocación</w:t>
            </w:r>
            <w:r>
              <w:rPr>
                <w:spacing w:val="-1"/>
                <w:sz w:val="14"/>
              </w:rPr>
              <w:t xml:space="preserve"> </w:t>
            </w:r>
            <w:r>
              <w:rPr>
                <w:w w:val="85"/>
                <w:sz w:val="14"/>
              </w:rPr>
              <w:t>de</w:t>
            </w:r>
            <w:r>
              <w:rPr>
                <w:spacing w:val="-1"/>
                <w:sz w:val="14"/>
              </w:rPr>
              <w:t xml:space="preserve"> </w:t>
            </w:r>
            <w:r>
              <w:rPr>
                <w:w w:val="85"/>
                <w:sz w:val="14"/>
              </w:rPr>
              <w:t>ladrillos</w:t>
            </w:r>
            <w:r>
              <w:rPr>
                <w:spacing w:val="-1"/>
                <w:sz w:val="14"/>
              </w:rPr>
              <w:t xml:space="preserve"> </w:t>
            </w:r>
            <w:r>
              <w:rPr>
                <w:w w:val="85"/>
                <w:sz w:val="14"/>
              </w:rPr>
              <w:t>y</w:t>
            </w:r>
            <w:r>
              <w:rPr>
                <w:sz w:val="14"/>
              </w:rPr>
              <w:t xml:space="preserve"> </w:t>
            </w:r>
            <w:r>
              <w:rPr>
                <w:spacing w:val="-2"/>
                <w:w w:val="85"/>
                <w:sz w:val="14"/>
              </w:rPr>
              <w:t>piedra,</w:t>
            </w:r>
          </w:p>
          <w:p w:rsidR="0092635B" w:rsidRDefault="00000000">
            <w:pPr>
              <w:pStyle w:val="TableParagraph"/>
              <w:numPr>
                <w:ilvl w:val="0"/>
                <w:numId w:val="25"/>
              </w:numPr>
              <w:tabs>
                <w:tab w:val="left" w:pos="143"/>
              </w:tabs>
              <w:spacing w:before="7"/>
              <w:ind w:left="143" w:hanging="102"/>
              <w:rPr>
                <w:sz w:val="14"/>
              </w:rPr>
            </w:pPr>
            <w:r>
              <w:rPr>
                <w:w w:val="85"/>
                <w:sz w:val="14"/>
              </w:rPr>
              <w:t>montaje</w:t>
            </w:r>
            <w:r>
              <w:rPr>
                <w:sz w:val="14"/>
              </w:rPr>
              <w:t xml:space="preserve"> </w:t>
            </w:r>
            <w:r>
              <w:rPr>
                <w:w w:val="85"/>
                <w:sz w:val="14"/>
              </w:rPr>
              <w:t>y</w:t>
            </w:r>
            <w:r>
              <w:rPr>
                <w:sz w:val="14"/>
              </w:rPr>
              <w:t xml:space="preserve"> </w:t>
            </w:r>
            <w:r>
              <w:rPr>
                <w:w w:val="85"/>
                <w:sz w:val="14"/>
              </w:rPr>
              <w:t>desmantelamiento</w:t>
            </w:r>
            <w:r>
              <w:rPr>
                <w:spacing w:val="1"/>
                <w:sz w:val="14"/>
              </w:rPr>
              <w:t xml:space="preserve"> </w:t>
            </w:r>
            <w:r>
              <w:rPr>
                <w:w w:val="85"/>
                <w:sz w:val="14"/>
              </w:rPr>
              <w:t>de</w:t>
            </w:r>
            <w:r>
              <w:rPr>
                <w:sz w:val="14"/>
              </w:rPr>
              <w:t xml:space="preserve"> </w:t>
            </w:r>
            <w:r>
              <w:rPr>
                <w:w w:val="85"/>
                <w:sz w:val="14"/>
              </w:rPr>
              <w:t>andamios</w:t>
            </w:r>
            <w:r>
              <w:rPr>
                <w:spacing w:val="1"/>
                <w:sz w:val="14"/>
              </w:rPr>
              <w:t xml:space="preserve"> </w:t>
            </w:r>
            <w:r>
              <w:rPr>
                <w:w w:val="85"/>
                <w:sz w:val="14"/>
              </w:rPr>
              <w:t>y</w:t>
            </w:r>
            <w:r>
              <w:rPr>
                <w:sz w:val="14"/>
              </w:rPr>
              <w:t xml:space="preserve"> </w:t>
            </w:r>
            <w:r>
              <w:rPr>
                <w:w w:val="85"/>
                <w:sz w:val="14"/>
              </w:rPr>
              <w:t>plataformas</w:t>
            </w:r>
            <w:r>
              <w:rPr>
                <w:sz w:val="14"/>
              </w:rPr>
              <w:t xml:space="preserve"> </w:t>
            </w:r>
            <w:r>
              <w:rPr>
                <w:w w:val="85"/>
                <w:sz w:val="14"/>
              </w:rPr>
              <w:t>de</w:t>
            </w:r>
            <w:r>
              <w:rPr>
                <w:spacing w:val="1"/>
                <w:sz w:val="14"/>
              </w:rPr>
              <w:t xml:space="preserve"> </w:t>
            </w:r>
            <w:r>
              <w:rPr>
                <w:w w:val="85"/>
                <w:sz w:val="14"/>
              </w:rPr>
              <w:t>trabajo,</w:t>
            </w:r>
            <w:r>
              <w:rPr>
                <w:sz w:val="14"/>
              </w:rPr>
              <w:t xml:space="preserve"> </w:t>
            </w:r>
            <w:r>
              <w:rPr>
                <w:w w:val="85"/>
                <w:sz w:val="14"/>
              </w:rPr>
              <w:t>incluido</w:t>
            </w:r>
            <w:r>
              <w:rPr>
                <w:spacing w:val="1"/>
                <w:sz w:val="14"/>
              </w:rPr>
              <w:t xml:space="preserve"> </w:t>
            </w:r>
            <w:r>
              <w:rPr>
                <w:w w:val="85"/>
                <w:sz w:val="14"/>
              </w:rPr>
              <w:t>su</w:t>
            </w:r>
            <w:r>
              <w:rPr>
                <w:sz w:val="14"/>
              </w:rPr>
              <w:t xml:space="preserve"> </w:t>
            </w:r>
            <w:r>
              <w:rPr>
                <w:spacing w:val="-2"/>
                <w:w w:val="85"/>
                <w:sz w:val="14"/>
              </w:rPr>
              <w:t>alquiler,</w:t>
            </w:r>
          </w:p>
          <w:p w:rsidR="0092635B" w:rsidRDefault="00000000">
            <w:pPr>
              <w:pStyle w:val="TableParagraph"/>
              <w:numPr>
                <w:ilvl w:val="0"/>
                <w:numId w:val="25"/>
              </w:numPr>
              <w:tabs>
                <w:tab w:val="left" w:pos="143"/>
              </w:tabs>
              <w:spacing w:before="7" w:line="249" w:lineRule="auto"/>
              <w:ind w:right="3686" w:firstLine="0"/>
              <w:rPr>
                <w:sz w:val="14"/>
              </w:rPr>
            </w:pPr>
            <w:r>
              <w:rPr>
                <w:w w:val="85"/>
                <w:sz w:val="14"/>
              </w:rPr>
              <w:t>montaje de chimeneas y hornos industriales.</w:t>
            </w:r>
            <w:r>
              <w:rPr>
                <w:spacing w:val="40"/>
                <w:sz w:val="14"/>
              </w:rPr>
              <w:t xml:space="preserve"> </w:t>
            </w:r>
            <w:r>
              <w:rPr>
                <w:w w:val="95"/>
                <w:sz w:val="14"/>
              </w:rPr>
              <w:t>Esta</w:t>
            </w:r>
            <w:r>
              <w:rPr>
                <w:spacing w:val="-3"/>
                <w:w w:val="95"/>
                <w:sz w:val="14"/>
              </w:rPr>
              <w:t xml:space="preserve"> </w:t>
            </w:r>
            <w:r>
              <w:rPr>
                <w:w w:val="95"/>
                <w:sz w:val="14"/>
              </w:rPr>
              <w:t>clase</w:t>
            </w:r>
            <w:r>
              <w:rPr>
                <w:spacing w:val="-4"/>
                <w:w w:val="95"/>
                <w:sz w:val="14"/>
              </w:rPr>
              <w:t xml:space="preserve"> </w:t>
            </w:r>
            <w:r>
              <w:rPr>
                <w:w w:val="95"/>
                <w:sz w:val="14"/>
              </w:rPr>
              <w:t>no</w:t>
            </w:r>
            <w:r>
              <w:rPr>
                <w:spacing w:val="-3"/>
                <w:w w:val="95"/>
                <w:sz w:val="14"/>
              </w:rPr>
              <w:t xml:space="preserve"> </w:t>
            </w:r>
            <w:r>
              <w:rPr>
                <w:w w:val="95"/>
                <w:sz w:val="14"/>
              </w:rPr>
              <w:t>comprende:</w:t>
            </w:r>
          </w:p>
          <w:p w:rsidR="0092635B" w:rsidRDefault="00000000">
            <w:pPr>
              <w:pStyle w:val="TableParagraph"/>
              <w:numPr>
                <w:ilvl w:val="0"/>
                <w:numId w:val="25"/>
              </w:numPr>
              <w:tabs>
                <w:tab w:val="left" w:pos="143"/>
              </w:tabs>
              <w:spacing w:before="1" w:line="145" w:lineRule="exact"/>
              <w:ind w:left="143" w:hanging="102"/>
              <w:rPr>
                <w:sz w:val="14"/>
              </w:rPr>
            </w:pPr>
            <w:r>
              <w:rPr>
                <w:w w:val="85"/>
                <w:sz w:val="14"/>
              </w:rPr>
              <w:t>el</w:t>
            </w:r>
            <w:r>
              <w:rPr>
                <w:spacing w:val="-1"/>
                <w:sz w:val="14"/>
              </w:rPr>
              <w:t xml:space="preserve"> </w:t>
            </w:r>
            <w:r>
              <w:rPr>
                <w:w w:val="85"/>
                <w:sz w:val="14"/>
              </w:rPr>
              <w:t>alquiler</w:t>
            </w:r>
            <w:r>
              <w:rPr>
                <w:sz w:val="14"/>
              </w:rPr>
              <w:t xml:space="preserve"> </w:t>
            </w:r>
            <w:r>
              <w:rPr>
                <w:w w:val="85"/>
                <w:sz w:val="14"/>
              </w:rPr>
              <w:t>de</w:t>
            </w:r>
            <w:r>
              <w:rPr>
                <w:sz w:val="14"/>
              </w:rPr>
              <w:t xml:space="preserve"> </w:t>
            </w:r>
            <w:r>
              <w:rPr>
                <w:w w:val="85"/>
                <w:sz w:val="14"/>
              </w:rPr>
              <w:t>andamios</w:t>
            </w:r>
            <w:r>
              <w:rPr>
                <w:spacing w:val="-1"/>
                <w:sz w:val="14"/>
              </w:rPr>
              <w:t xml:space="preserve"> </w:t>
            </w:r>
            <w:r>
              <w:rPr>
                <w:w w:val="85"/>
                <w:sz w:val="14"/>
              </w:rPr>
              <w:t>sin</w:t>
            </w:r>
            <w:r>
              <w:rPr>
                <w:sz w:val="14"/>
              </w:rPr>
              <w:t xml:space="preserve"> </w:t>
            </w:r>
            <w:r>
              <w:rPr>
                <w:w w:val="85"/>
                <w:sz w:val="14"/>
              </w:rPr>
              <w:t>montaje</w:t>
            </w:r>
            <w:r>
              <w:rPr>
                <w:sz w:val="14"/>
              </w:rPr>
              <w:t xml:space="preserve"> </w:t>
            </w:r>
            <w:r>
              <w:rPr>
                <w:w w:val="85"/>
                <w:sz w:val="14"/>
              </w:rPr>
              <w:t>ni</w:t>
            </w:r>
            <w:r>
              <w:rPr>
                <w:sz w:val="14"/>
              </w:rPr>
              <w:t xml:space="preserve"> </w:t>
            </w:r>
            <w:r>
              <w:rPr>
                <w:w w:val="85"/>
                <w:sz w:val="14"/>
              </w:rPr>
              <w:t>desmantelamiento</w:t>
            </w:r>
            <w:r>
              <w:rPr>
                <w:spacing w:val="-1"/>
                <w:sz w:val="14"/>
              </w:rPr>
              <w:t xml:space="preserve"> </w:t>
            </w:r>
            <w:r>
              <w:rPr>
                <w:w w:val="85"/>
                <w:sz w:val="14"/>
              </w:rPr>
              <w:t>(véase</w:t>
            </w:r>
            <w:r>
              <w:rPr>
                <w:sz w:val="14"/>
              </w:rPr>
              <w:t xml:space="preserve"> </w:t>
            </w:r>
            <w:r>
              <w:rPr>
                <w:spacing w:val="-2"/>
                <w:w w:val="85"/>
                <w:sz w:val="14"/>
              </w:rPr>
              <w:t>71.32).</w:t>
            </w:r>
          </w:p>
        </w:tc>
        <w:tc>
          <w:tcPr>
            <w:tcW w:w="913" w:type="dxa"/>
            <w:tcBorders>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34"/>
              <w:rPr>
                <w:sz w:val="14"/>
              </w:rPr>
            </w:pPr>
          </w:p>
          <w:p w:rsidR="0092635B" w:rsidRDefault="00000000">
            <w:pPr>
              <w:pStyle w:val="TableParagraph"/>
              <w:spacing w:before="1"/>
              <w:ind w:left="183"/>
              <w:rPr>
                <w:sz w:val="14"/>
              </w:rPr>
            </w:pPr>
            <w:r>
              <w:rPr>
                <w:spacing w:val="-2"/>
                <w:w w:val="95"/>
                <w:sz w:val="14"/>
              </w:rPr>
              <w:t>45250000</w:t>
            </w:r>
          </w:p>
          <w:p w:rsidR="0092635B" w:rsidRDefault="00000000">
            <w:pPr>
              <w:pStyle w:val="TableParagraph"/>
              <w:spacing w:before="7"/>
              <w:ind w:left="183"/>
              <w:rPr>
                <w:sz w:val="14"/>
              </w:rPr>
            </w:pPr>
            <w:r>
              <w:rPr>
                <w:spacing w:val="-2"/>
                <w:w w:val="95"/>
                <w:sz w:val="14"/>
              </w:rPr>
              <w:t>45262000</w:t>
            </w:r>
          </w:p>
        </w:tc>
      </w:tr>
      <w:tr w:rsidR="0092635B">
        <w:trPr>
          <w:trHeight w:val="331"/>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6"/>
              <w:jc w:val="center"/>
              <w:rPr>
                <w:sz w:val="14"/>
              </w:rPr>
            </w:pPr>
            <w:r>
              <w:rPr>
                <w:spacing w:val="-4"/>
                <w:w w:val="95"/>
                <w:sz w:val="14"/>
              </w:rPr>
              <w:t>45,3</w:t>
            </w: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Instalación</w:t>
            </w:r>
            <w:r>
              <w:rPr>
                <w:sz w:val="14"/>
              </w:rPr>
              <w:t xml:space="preserve"> </w:t>
            </w:r>
            <w:r>
              <w:rPr>
                <w:w w:val="85"/>
                <w:sz w:val="14"/>
              </w:rPr>
              <w:t>de</w:t>
            </w:r>
            <w:r>
              <w:rPr>
                <w:sz w:val="14"/>
              </w:rPr>
              <w:t xml:space="preserve"> </w:t>
            </w:r>
            <w:r>
              <w:rPr>
                <w:w w:val="85"/>
                <w:sz w:val="14"/>
              </w:rPr>
              <w:t>edificios</w:t>
            </w:r>
            <w:r>
              <w:rPr>
                <w:sz w:val="14"/>
              </w:rPr>
              <w:t xml:space="preserve"> </w:t>
            </w:r>
            <w:r>
              <w:rPr>
                <w:spacing w:val="-10"/>
                <w:w w:val="85"/>
                <w:sz w:val="14"/>
              </w:rPr>
              <w:t>y</w:t>
            </w:r>
          </w:p>
          <w:p w:rsidR="0092635B" w:rsidRDefault="00000000">
            <w:pPr>
              <w:pStyle w:val="TableParagraph"/>
              <w:spacing w:before="7" w:line="145" w:lineRule="exact"/>
              <w:ind w:left="41"/>
              <w:rPr>
                <w:sz w:val="14"/>
              </w:rPr>
            </w:pPr>
            <w:r>
              <w:rPr>
                <w:spacing w:val="-2"/>
                <w:w w:val="95"/>
                <w:sz w:val="14"/>
              </w:rPr>
              <w:t>obras.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91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30" w:right="22"/>
              <w:jc w:val="center"/>
              <w:rPr>
                <w:sz w:val="14"/>
              </w:rPr>
            </w:pPr>
            <w:r>
              <w:rPr>
                <w:spacing w:val="-2"/>
                <w:w w:val="95"/>
                <w:sz w:val="14"/>
              </w:rPr>
              <w:t>45300000</w:t>
            </w:r>
          </w:p>
        </w:tc>
      </w:tr>
      <w:tr w:rsidR="0092635B">
        <w:trPr>
          <w:trHeight w:val="1675"/>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1"/>
              <w:rPr>
                <w:sz w:val="14"/>
              </w:rPr>
            </w:pPr>
          </w:p>
          <w:p w:rsidR="0092635B" w:rsidRDefault="00000000">
            <w:pPr>
              <w:pStyle w:val="TableParagraph"/>
              <w:ind w:left="6"/>
              <w:jc w:val="center"/>
              <w:rPr>
                <w:sz w:val="14"/>
              </w:rPr>
            </w:pPr>
            <w:r>
              <w:rPr>
                <w:spacing w:val="-2"/>
                <w:w w:val="95"/>
                <w:sz w:val="14"/>
              </w:rPr>
              <w:t>45,31</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111"/>
              <w:rPr>
                <w:sz w:val="14"/>
              </w:rPr>
            </w:pPr>
          </w:p>
          <w:p w:rsidR="0092635B" w:rsidRDefault="00000000">
            <w:pPr>
              <w:pStyle w:val="TableParagraph"/>
              <w:ind w:left="41"/>
              <w:rPr>
                <w:sz w:val="14"/>
              </w:rPr>
            </w:pPr>
            <w:r>
              <w:rPr>
                <w:w w:val="85"/>
                <w:sz w:val="14"/>
              </w:rPr>
              <w:t>Instalación</w:t>
            </w:r>
            <w:r>
              <w:rPr>
                <w:spacing w:val="-2"/>
                <w:sz w:val="14"/>
              </w:rPr>
              <w:t xml:space="preserve"> </w:t>
            </w:r>
            <w:r>
              <w:rPr>
                <w:spacing w:val="-2"/>
                <w:w w:val="90"/>
                <w:sz w:val="14"/>
              </w:rPr>
              <w:t>eléctrica.</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spacing w:before="7"/>
              <w:ind w:left="41"/>
              <w:rPr>
                <w:sz w:val="14"/>
              </w:rPr>
            </w:pPr>
            <w:r>
              <w:rPr>
                <w:w w:val="85"/>
                <w:sz w:val="14"/>
              </w:rPr>
              <w:t>la</w:t>
            </w:r>
            <w:r>
              <w:rPr>
                <w:spacing w:val="-1"/>
                <w:sz w:val="14"/>
              </w:rPr>
              <w:t xml:space="preserve"> </w:t>
            </w:r>
            <w:r>
              <w:rPr>
                <w:w w:val="85"/>
                <w:sz w:val="14"/>
              </w:rPr>
              <w:t>instalación</w:t>
            </w:r>
            <w:r>
              <w:rPr>
                <w:spacing w:val="-1"/>
                <w:sz w:val="14"/>
              </w:rPr>
              <w:t xml:space="preserve"> </w:t>
            </w:r>
            <w:r>
              <w:rPr>
                <w:w w:val="85"/>
                <w:sz w:val="14"/>
              </w:rPr>
              <w:t>en</w:t>
            </w:r>
            <w:r>
              <w:rPr>
                <w:spacing w:val="-1"/>
                <w:sz w:val="14"/>
              </w:rPr>
              <w:t xml:space="preserve"> </w:t>
            </w:r>
            <w:r>
              <w:rPr>
                <w:w w:val="85"/>
                <w:sz w:val="14"/>
              </w:rPr>
              <w:t>edificios</w:t>
            </w:r>
            <w:r>
              <w:rPr>
                <w:spacing w:val="-1"/>
                <w:sz w:val="14"/>
              </w:rPr>
              <w:t xml:space="preserve"> </w:t>
            </w:r>
            <w:r>
              <w:rPr>
                <w:w w:val="85"/>
                <w:sz w:val="14"/>
              </w:rPr>
              <w:t>y</w:t>
            </w:r>
            <w:r>
              <w:rPr>
                <w:sz w:val="14"/>
              </w:rPr>
              <w:t xml:space="preserve"> </w:t>
            </w:r>
            <w:r>
              <w:rPr>
                <w:w w:val="85"/>
                <w:sz w:val="14"/>
              </w:rPr>
              <w:t>otras</w:t>
            </w:r>
            <w:r>
              <w:rPr>
                <w:spacing w:val="-1"/>
                <w:sz w:val="14"/>
              </w:rPr>
              <w:t xml:space="preserve"> </w:t>
            </w:r>
            <w:r>
              <w:rPr>
                <w:w w:val="85"/>
                <w:sz w:val="14"/>
              </w:rPr>
              <w:t>obras</w:t>
            </w:r>
            <w:r>
              <w:rPr>
                <w:spacing w:val="-1"/>
                <w:sz w:val="14"/>
              </w:rPr>
              <w:t xml:space="preserve"> </w:t>
            </w:r>
            <w:r>
              <w:rPr>
                <w:w w:val="85"/>
                <w:sz w:val="14"/>
              </w:rPr>
              <w:t>de</w:t>
            </w:r>
            <w:r>
              <w:rPr>
                <w:spacing w:val="-1"/>
                <w:sz w:val="14"/>
              </w:rPr>
              <w:t xml:space="preserve"> </w:t>
            </w:r>
            <w:r>
              <w:rPr>
                <w:w w:val="85"/>
                <w:sz w:val="14"/>
              </w:rPr>
              <w:t>construcción</w:t>
            </w:r>
            <w:r>
              <w:rPr>
                <w:sz w:val="14"/>
              </w:rPr>
              <w:t xml:space="preserve"> </w:t>
            </w:r>
            <w:r>
              <w:rPr>
                <w:spacing w:val="-5"/>
                <w:w w:val="85"/>
                <w:sz w:val="14"/>
              </w:rPr>
              <w:t>de:</w:t>
            </w:r>
          </w:p>
          <w:p w:rsidR="0092635B" w:rsidRDefault="00000000">
            <w:pPr>
              <w:pStyle w:val="TableParagraph"/>
              <w:numPr>
                <w:ilvl w:val="0"/>
                <w:numId w:val="24"/>
              </w:numPr>
              <w:tabs>
                <w:tab w:val="left" w:pos="143"/>
              </w:tabs>
              <w:spacing w:before="7"/>
              <w:ind w:hanging="102"/>
              <w:rPr>
                <w:sz w:val="14"/>
              </w:rPr>
            </w:pPr>
            <w:r>
              <w:rPr>
                <w:w w:val="85"/>
                <w:sz w:val="14"/>
              </w:rPr>
              <w:t>cables</w:t>
            </w:r>
            <w:r>
              <w:rPr>
                <w:spacing w:val="-1"/>
                <w:sz w:val="14"/>
              </w:rPr>
              <w:t xml:space="preserve"> </w:t>
            </w:r>
            <w:r>
              <w:rPr>
                <w:w w:val="85"/>
                <w:sz w:val="14"/>
              </w:rPr>
              <w:t>y</w:t>
            </w:r>
            <w:r>
              <w:rPr>
                <w:spacing w:val="-1"/>
                <w:sz w:val="14"/>
              </w:rPr>
              <w:t xml:space="preserve"> </w:t>
            </w:r>
            <w:r>
              <w:rPr>
                <w:w w:val="85"/>
                <w:sz w:val="14"/>
              </w:rPr>
              <w:t>material</w:t>
            </w:r>
            <w:r>
              <w:rPr>
                <w:spacing w:val="-1"/>
                <w:sz w:val="14"/>
              </w:rPr>
              <w:t xml:space="preserve"> </w:t>
            </w:r>
            <w:r>
              <w:rPr>
                <w:spacing w:val="-2"/>
                <w:w w:val="85"/>
                <w:sz w:val="14"/>
              </w:rPr>
              <w:t>eléctrico,</w:t>
            </w:r>
          </w:p>
          <w:p w:rsidR="0092635B" w:rsidRDefault="00000000">
            <w:pPr>
              <w:pStyle w:val="TableParagraph"/>
              <w:numPr>
                <w:ilvl w:val="0"/>
                <w:numId w:val="24"/>
              </w:numPr>
              <w:tabs>
                <w:tab w:val="left" w:pos="143"/>
              </w:tabs>
              <w:spacing w:before="7"/>
              <w:ind w:hanging="102"/>
              <w:rPr>
                <w:sz w:val="14"/>
              </w:rPr>
            </w:pPr>
            <w:r>
              <w:rPr>
                <w:w w:val="85"/>
                <w:sz w:val="14"/>
              </w:rPr>
              <w:t>sistemas</w:t>
            </w:r>
            <w:r>
              <w:rPr>
                <w:spacing w:val="1"/>
                <w:sz w:val="14"/>
              </w:rPr>
              <w:t xml:space="preserve"> </w:t>
            </w:r>
            <w:r>
              <w:rPr>
                <w:w w:val="85"/>
                <w:sz w:val="14"/>
              </w:rPr>
              <w:t>de</w:t>
            </w:r>
            <w:r>
              <w:rPr>
                <w:spacing w:val="2"/>
                <w:sz w:val="14"/>
              </w:rPr>
              <w:t xml:space="preserve"> </w:t>
            </w:r>
            <w:r>
              <w:rPr>
                <w:spacing w:val="-2"/>
                <w:w w:val="85"/>
                <w:sz w:val="14"/>
              </w:rPr>
              <w:t>telecomunicación,</w:t>
            </w:r>
          </w:p>
          <w:p w:rsidR="0092635B" w:rsidRDefault="00000000">
            <w:pPr>
              <w:pStyle w:val="TableParagraph"/>
              <w:numPr>
                <w:ilvl w:val="0"/>
                <w:numId w:val="24"/>
              </w:numPr>
              <w:tabs>
                <w:tab w:val="left" w:pos="143"/>
              </w:tabs>
              <w:spacing w:before="7"/>
              <w:ind w:hanging="102"/>
              <w:rPr>
                <w:sz w:val="14"/>
              </w:rPr>
            </w:pPr>
            <w:r>
              <w:rPr>
                <w:w w:val="85"/>
                <w:sz w:val="14"/>
              </w:rPr>
              <w:t>instalaciones</w:t>
            </w:r>
            <w:r>
              <w:rPr>
                <w:spacing w:val="2"/>
                <w:sz w:val="14"/>
              </w:rPr>
              <w:t xml:space="preserve"> </w:t>
            </w:r>
            <w:r>
              <w:rPr>
                <w:w w:val="85"/>
                <w:sz w:val="14"/>
              </w:rPr>
              <w:t>de</w:t>
            </w:r>
            <w:r>
              <w:rPr>
                <w:spacing w:val="2"/>
                <w:sz w:val="14"/>
              </w:rPr>
              <w:t xml:space="preserve"> </w:t>
            </w:r>
            <w:r>
              <w:rPr>
                <w:w w:val="85"/>
                <w:sz w:val="14"/>
              </w:rPr>
              <w:t>calefacción</w:t>
            </w:r>
            <w:r>
              <w:rPr>
                <w:spacing w:val="3"/>
                <w:sz w:val="14"/>
              </w:rPr>
              <w:t xml:space="preserve"> </w:t>
            </w:r>
            <w:r>
              <w:rPr>
                <w:spacing w:val="-2"/>
                <w:w w:val="85"/>
                <w:sz w:val="14"/>
              </w:rPr>
              <w:t>eléctrica,</w:t>
            </w:r>
          </w:p>
          <w:p w:rsidR="0092635B" w:rsidRDefault="00000000">
            <w:pPr>
              <w:pStyle w:val="TableParagraph"/>
              <w:numPr>
                <w:ilvl w:val="0"/>
                <w:numId w:val="24"/>
              </w:numPr>
              <w:tabs>
                <w:tab w:val="left" w:pos="143"/>
              </w:tabs>
              <w:spacing w:before="7"/>
              <w:ind w:hanging="102"/>
              <w:rPr>
                <w:sz w:val="14"/>
              </w:rPr>
            </w:pPr>
            <w:r>
              <w:rPr>
                <w:w w:val="85"/>
                <w:sz w:val="14"/>
              </w:rPr>
              <w:t>antenas</w:t>
            </w:r>
            <w:r>
              <w:rPr>
                <w:spacing w:val="1"/>
                <w:sz w:val="14"/>
              </w:rPr>
              <w:t xml:space="preserve"> </w:t>
            </w:r>
            <w:r>
              <w:rPr>
                <w:w w:val="85"/>
                <w:sz w:val="14"/>
              </w:rPr>
              <w:t>de</w:t>
            </w:r>
            <w:r>
              <w:rPr>
                <w:spacing w:val="1"/>
                <w:sz w:val="14"/>
              </w:rPr>
              <w:t xml:space="preserve"> </w:t>
            </w:r>
            <w:r>
              <w:rPr>
                <w:spacing w:val="-2"/>
                <w:w w:val="85"/>
                <w:sz w:val="14"/>
              </w:rPr>
              <w:t>viviendas,</w:t>
            </w:r>
          </w:p>
          <w:p w:rsidR="0092635B" w:rsidRDefault="00000000">
            <w:pPr>
              <w:pStyle w:val="TableParagraph"/>
              <w:numPr>
                <w:ilvl w:val="0"/>
                <w:numId w:val="24"/>
              </w:numPr>
              <w:tabs>
                <w:tab w:val="left" w:pos="143"/>
              </w:tabs>
              <w:spacing w:before="7"/>
              <w:ind w:hanging="102"/>
              <w:rPr>
                <w:sz w:val="14"/>
              </w:rPr>
            </w:pPr>
            <w:r>
              <w:rPr>
                <w:w w:val="85"/>
                <w:sz w:val="14"/>
              </w:rPr>
              <w:t>alarmas</w:t>
            </w:r>
            <w:r>
              <w:rPr>
                <w:spacing w:val="1"/>
                <w:sz w:val="14"/>
              </w:rPr>
              <w:t xml:space="preserve"> </w:t>
            </w:r>
            <w:r>
              <w:rPr>
                <w:w w:val="85"/>
                <w:sz w:val="14"/>
              </w:rPr>
              <w:t>contra</w:t>
            </w:r>
            <w:r>
              <w:rPr>
                <w:spacing w:val="1"/>
                <w:sz w:val="14"/>
              </w:rPr>
              <w:t xml:space="preserve"> </w:t>
            </w:r>
            <w:r>
              <w:rPr>
                <w:spacing w:val="-2"/>
                <w:w w:val="85"/>
                <w:sz w:val="14"/>
              </w:rPr>
              <w:t>incendios,</w:t>
            </w:r>
          </w:p>
          <w:p w:rsidR="0092635B" w:rsidRDefault="00000000">
            <w:pPr>
              <w:pStyle w:val="TableParagraph"/>
              <w:numPr>
                <w:ilvl w:val="0"/>
                <w:numId w:val="24"/>
              </w:numPr>
              <w:tabs>
                <w:tab w:val="left" w:pos="143"/>
              </w:tabs>
              <w:spacing w:before="7"/>
              <w:ind w:hanging="102"/>
              <w:rPr>
                <w:sz w:val="14"/>
              </w:rPr>
            </w:pPr>
            <w:r>
              <w:rPr>
                <w:w w:val="85"/>
                <w:sz w:val="14"/>
              </w:rPr>
              <w:t>sistemas</w:t>
            </w:r>
            <w:r>
              <w:rPr>
                <w:spacing w:val="-1"/>
                <w:sz w:val="14"/>
              </w:rPr>
              <w:t xml:space="preserve"> </w:t>
            </w:r>
            <w:r>
              <w:rPr>
                <w:w w:val="85"/>
                <w:sz w:val="14"/>
              </w:rPr>
              <w:t>de</w:t>
            </w:r>
            <w:r>
              <w:rPr>
                <w:spacing w:val="-1"/>
                <w:sz w:val="14"/>
              </w:rPr>
              <w:t xml:space="preserve"> </w:t>
            </w:r>
            <w:r>
              <w:rPr>
                <w:w w:val="85"/>
                <w:sz w:val="14"/>
              </w:rPr>
              <w:t>alarma</w:t>
            </w:r>
            <w:r>
              <w:rPr>
                <w:spacing w:val="-1"/>
                <w:sz w:val="14"/>
              </w:rPr>
              <w:t xml:space="preserve"> </w:t>
            </w:r>
            <w:r>
              <w:rPr>
                <w:w w:val="85"/>
                <w:sz w:val="14"/>
              </w:rPr>
              <w:t>de</w:t>
            </w:r>
            <w:r>
              <w:rPr>
                <w:sz w:val="14"/>
              </w:rPr>
              <w:t xml:space="preserve"> </w:t>
            </w:r>
            <w:r>
              <w:rPr>
                <w:w w:val="85"/>
                <w:sz w:val="14"/>
              </w:rPr>
              <w:t>protección</w:t>
            </w:r>
            <w:r>
              <w:rPr>
                <w:spacing w:val="-1"/>
                <w:sz w:val="14"/>
              </w:rPr>
              <w:t xml:space="preserve"> </w:t>
            </w:r>
            <w:r>
              <w:rPr>
                <w:w w:val="85"/>
                <w:sz w:val="14"/>
              </w:rPr>
              <w:t>contra</w:t>
            </w:r>
            <w:r>
              <w:rPr>
                <w:spacing w:val="-1"/>
                <w:sz w:val="14"/>
              </w:rPr>
              <w:t xml:space="preserve"> </w:t>
            </w:r>
            <w:r>
              <w:rPr>
                <w:spacing w:val="-2"/>
                <w:w w:val="85"/>
                <w:sz w:val="14"/>
              </w:rPr>
              <w:t>robos,</w:t>
            </w:r>
          </w:p>
          <w:p w:rsidR="0092635B" w:rsidRDefault="00000000">
            <w:pPr>
              <w:pStyle w:val="TableParagraph"/>
              <w:numPr>
                <w:ilvl w:val="0"/>
                <w:numId w:val="24"/>
              </w:numPr>
              <w:tabs>
                <w:tab w:val="left" w:pos="143"/>
              </w:tabs>
              <w:spacing w:before="7"/>
              <w:ind w:hanging="102"/>
              <w:rPr>
                <w:sz w:val="14"/>
              </w:rPr>
            </w:pPr>
            <w:r>
              <w:rPr>
                <w:w w:val="85"/>
                <w:sz w:val="14"/>
              </w:rPr>
              <w:t>ascensores</w:t>
            </w:r>
            <w:r>
              <w:rPr>
                <w:spacing w:val="4"/>
                <w:sz w:val="14"/>
              </w:rPr>
              <w:t xml:space="preserve"> </w:t>
            </w:r>
            <w:r>
              <w:rPr>
                <w:w w:val="85"/>
                <w:sz w:val="14"/>
              </w:rPr>
              <w:t>y</w:t>
            </w:r>
            <w:r>
              <w:rPr>
                <w:spacing w:val="4"/>
                <w:sz w:val="14"/>
              </w:rPr>
              <w:t xml:space="preserve"> </w:t>
            </w:r>
            <w:r>
              <w:rPr>
                <w:w w:val="85"/>
                <w:sz w:val="14"/>
              </w:rPr>
              <w:t>escaleras</w:t>
            </w:r>
            <w:r>
              <w:rPr>
                <w:spacing w:val="4"/>
                <w:sz w:val="14"/>
              </w:rPr>
              <w:t xml:space="preserve"> </w:t>
            </w:r>
            <w:r>
              <w:rPr>
                <w:spacing w:val="-2"/>
                <w:w w:val="85"/>
                <w:sz w:val="14"/>
              </w:rPr>
              <w:t>mecánicas,</w:t>
            </w:r>
          </w:p>
          <w:p w:rsidR="0092635B" w:rsidRDefault="00000000">
            <w:pPr>
              <w:pStyle w:val="TableParagraph"/>
              <w:numPr>
                <w:ilvl w:val="0"/>
                <w:numId w:val="24"/>
              </w:numPr>
              <w:tabs>
                <w:tab w:val="left" w:pos="143"/>
              </w:tabs>
              <w:spacing w:before="7" w:line="145" w:lineRule="exact"/>
              <w:ind w:hanging="102"/>
              <w:rPr>
                <w:sz w:val="14"/>
              </w:rPr>
            </w:pPr>
            <w:r>
              <w:rPr>
                <w:w w:val="85"/>
                <w:sz w:val="14"/>
              </w:rPr>
              <w:t>pararrayos,</w:t>
            </w:r>
            <w:r>
              <w:rPr>
                <w:spacing w:val="9"/>
                <w:sz w:val="14"/>
              </w:rPr>
              <w:t xml:space="preserve"> </w:t>
            </w:r>
            <w:r>
              <w:rPr>
                <w:spacing w:val="-4"/>
                <w:w w:val="95"/>
                <w:sz w:val="14"/>
              </w:rPr>
              <w:t>etc.</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0"/>
              <w:rPr>
                <w:sz w:val="14"/>
              </w:rPr>
            </w:pPr>
          </w:p>
          <w:p w:rsidR="0092635B" w:rsidRDefault="00000000">
            <w:pPr>
              <w:pStyle w:val="TableParagraph"/>
              <w:ind w:left="183"/>
              <w:rPr>
                <w:sz w:val="14"/>
              </w:rPr>
            </w:pPr>
            <w:r>
              <w:rPr>
                <w:spacing w:val="-2"/>
                <w:w w:val="95"/>
                <w:sz w:val="14"/>
              </w:rPr>
              <w:t>45213316</w:t>
            </w:r>
          </w:p>
          <w:p w:rsidR="0092635B" w:rsidRDefault="00000000">
            <w:pPr>
              <w:pStyle w:val="TableParagraph"/>
              <w:spacing w:before="7"/>
              <w:ind w:left="183"/>
              <w:rPr>
                <w:sz w:val="14"/>
              </w:rPr>
            </w:pPr>
            <w:r>
              <w:rPr>
                <w:spacing w:val="-2"/>
                <w:w w:val="95"/>
                <w:sz w:val="14"/>
              </w:rPr>
              <w:t>45310000</w:t>
            </w:r>
          </w:p>
          <w:p w:rsidR="0092635B" w:rsidRDefault="00000000">
            <w:pPr>
              <w:pStyle w:val="TableParagraph"/>
              <w:spacing w:before="7"/>
              <w:ind w:left="42"/>
              <w:rPr>
                <w:sz w:val="14"/>
              </w:rPr>
            </w:pPr>
            <w:r>
              <w:rPr>
                <w:spacing w:val="-2"/>
                <w:w w:val="95"/>
                <w:sz w:val="14"/>
              </w:rPr>
              <w:t>Excepto:</w:t>
            </w:r>
          </w:p>
          <w:p w:rsidR="0092635B" w:rsidRDefault="00000000">
            <w:pPr>
              <w:pStyle w:val="TableParagraph"/>
              <w:spacing w:before="7"/>
              <w:ind w:left="132"/>
              <w:rPr>
                <w:sz w:val="14"/>
              </w:rPr>
            </w:pPr>
            <w:r>
              <w:rPr>
                <w:w w:val="90"/>
                <w:sz w:val="14"/>
              </w:rPr>
              <w:t>–</w:t>
            </w:r>
            <w:r>
              <w:rPr>
                <w:spacing w:val="-4"/>
                <w:w w:val="90"/>
                <w:sz w:val="14"/>
              </w:rPr>
              <w:t xml:space="preserve"> </w:t>
            </w:r>
            <w:r>
              <w:rPr>
                <w:spacing w:val="-2"/>
                <w:w w:val="95"/>
                <w:sz w:val="14"/>
              </w:rPr>
              <w:t>45316000</w:t>
            </w:r>
          </w:p>
        </w:tc>
      </w:tr>
      <w:tr w:rsidR="0092635B">
        <w:trPr>
          <w:trHeight w:val="667"/>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ind w:left="6"/>
              <w:jc w:val="center"/>
              <w:rPr>
                <w:sz w:val="14"/>
              </w:rPr>
            </w:pPr>
            <w:r>
              <w:rPr>
                <w:spacing w:val="-2"/>
                <w:w w:val="95"/>
                <w:sz w:val="14"/>
              </w:rPr>
              <w:t>45,32</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ind w:left="41"/>
              <w:rPr>
                <w:sz w:val="14"/>
              </w:rPr>
            </w:pPr>
            <w:r>
              <w:rPr>
                <w:w w:val="85"/>
                <w:sz w:val="14"/>
              </w:rPr>
              <w:t>Trabajos</w:t>
            </w:r>
            <w:r>
              <w:rPr>
                <w:spacing w:val="-1"/>
                <w:sz w:val="14"/>
              </w:rPr>
              <w:t xml:space="preserve"> </w:t>
            </w:r>
            <w:r>
              <w:rPr>
                <w:w w:val="85"/>
                <w:sz w:val="14"/>
              </w:rPr>
              <w:t>de</w:t>
            </w:r>
            <w:r>
              <w:rPr>
                <w:spacing w:val="-1"/>
                <w:sz w:val="14"/>
              </w:rPr>
              <w:t xml:space="preserve"> </w:t>
            </w:r>
            <w:r>
              <w:rPr>
                <w:spacing w:val="-2"/>
                <w:w w:val="85"/>
                <w:sz w:val="14"/>
              </w:rPr>
              <w:t>aislamiento.</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3"/>
              </w:numPr>
              <w:tabs>
                <w:tab w:val="left" w:pos="143"/>
              </w:tabs>
              <w:spacing w:before="7" w:line="249" w:lineRule="auto"/>
              <w:ind w:right="473" w:firstLine="0"/>
              <w:rPr>
                <w:sz w:val="14"/>
              </w:rPr>
            </w:pPr>
            <w:r>
              <w:rPr>
                <w:w w:val="85"/>
                <w:sz w:val="14"/>
              </w:rPr>
              <w:t>la instalación en edificios y otras obras de construcción de aislamiento térmico, acústico o antivibratorio.</w:t>
            </w:r>
            <w:r>
              <w:rPr>
                <w:spacing w:val="40"/>
                <w:sz w:val="14"/>
              </w:rPr>
              <w:t xml:space="preserve"> </w:t>
            </w:r>
            <w:r>
              <w:rPr>
                <w:w w:val="95"/>
                <w:sz w:val="14"/>
              </w:rPr>
              <w:t>Esta</w:t>
            </w:r>
            <w:r>
              <w:rPr>
                <w:spacing w:val="-3"/>
                <w:w w:val="95"/>
                <w:sz w:val="14"/>
              </w:rPr>
              <w:t xml:space="preserve"> </w:t>
            </w:r>
            <w:r>
              <w:rPr>
                <w:w w:val="95"/>
                <w:sz w:val="14"/>
              </w:rPr>
              <w:t>clase</w:t>
            </w:r>
            <w:r>
              <w:rPr>
                <w:spacing w:val="-4"/>
                <w:w w:val="95"/>
                <w:sz w:val="14"/>
              </w:rPr>
              <w:t xml:space="preserve"> </w:t>
            </w:r>
            <w:r>
              <w:rPr>
                <w:w w:val="95"/>
                <w:sz w:val="14"/>
              </w:rPr>
              <w:t>no</w:t>
            </w:r>
            <w:r>
              <w:rPr>
                <w:spacing w:val="-3"/>
                <w:w w:val="95"/>
                <w:sz w:val="14"/>
              </w:rPr>
              <w:t xml:space="preserve"> </w:t>
            </w:r>
            <w:r>
              <w:rPr>
                <w:w w:val="95"/>
                <w:sz w:val="14"/>
              </w:rPr>
              <w:t>comprende:</w:t>
            </w:r>
          </w:p>
          <w:p w:rsidR="0092635B" w:rsidRDefault="00000000">
            <w:pPr>
              <w:pStyle w:val="TableParagraph"/>
              <w:numPr>
                <w:ilvl w:val="0"/>
                <w:numId w:val="23"/>
              </w:numPr>
              <w:tabs>
                <w:tab w:val="left" w:pos="143"/>
              </w:tabs>
              <w:spacing w:before="1" w:line="145" w:lineRule="exact"/>
              <w:ind w:left="143" w:hanging="102"/>
              <w:rPr>
                <w:sz w:val="14"/>
              </w:rPr>
            </w:pPr>
            <w:r>
              <w:rPr>
                <w:w w:val="85"/>
                <w:sz w:val="14"/>
              </w:rPr>
              <w:t>la</w:t>
            </w:r>
            <w:r>
              <w:rPr>
                <w:sz w:val="14"/>
              </w:rPr>
              <w:t xml:space="preserve"> </w:t>
            </w:r>
            <w:r>
              <w:rPr>
                <w:w w:val="85"/>
                <w:sz w:val="14"/>
              </w:rPr>
              <w:t>impermeabilización</w:t>
            </w:r>
            <w:r>
              <w:rPr>
                <w:sz w:val="14"/>
              </w:rPr>
              <w:t xml:space="preserve"> </w:t>
            </w:r>
            <w:r>
              <w:rPr>
                <w:w w:val="85"/>
                <w:sz w:val="14"/>
              </w:rPr>
              <w:t>de</w:t>
            </w:r>
            <w:r>
              <w:rPr>
                <w:sz w:val="14"/>
              </w:rPr>
              <w:t xml:space="preserve"> </w:t>
            </w:r>
            <w:r>
              <w:rPr>
                <w:w w:val="85"/>
                <w:sz w:val="14"/>
              </w:rPr>
              <w:t>edificios</w:t>
            </w:r>
            <w:r>
              <w:rPr>
                <w:sz w:val="14"/>
              </w:rPr>
              <w:t xml:space="preserve"> </w:t>
            </w:r>
            <w:r>
              <w:rPr>
                <w:w w:val="85"/>
                <w:sz w:val="14"/>
              </w:rPr>
              <w:t>y</w:t>
            </w:r>
            <w:r>
              <w:rPr>
                <w:spacing w:val="1"/>
                <w:sz w:val="14"/>
              </w:rPr>
              <w:t xml:space="preserve"> </w:t>
            </w:r>
            <w:r>
              <w:rPr>
                <w:w w:val="85"/>
                <w:sz w:val="14"/>
              </w:rPr>
              <w:t>balcones</w:t>
            </w:r>
            <w:r>
              <w:rPr>
                <w:sz w:val="14"/>
              </w:rPr>
              <w:t xml:space="preserve"> </w:t>
            </w:r>
            <w:r>
              <w:rPr>
                <w:w w:val="85"/>
                <w:sz w:val="14"/>
              </w:rPr>
              <w:t>(véase</w:t>
            </w:r>
            <w:r>
              <w:rPr>
                <w:sz w:val="14"/>
              </w:rPr>
              <w:t xml:space="preserve"> </w:t>
            </w:r>
            <w:r>
              <w:rPr>
                <w:spacing w:val="-2"/>
                <w:w w:val="85"/>
                <w:sz w:val="14"/>
              </w:rPr>
              <w:t>45.22).</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ind w:left="30" w:right="22"/>
              <w:jc w:val="center"/>
              <w:rPr>
                <w:sz w:val="14"/>
              </w:rPr>
            </w:pPr>
            <w:r>
              <w:rPr>
                <w:spacing w:val="-2"/>
                <w:w w:val="95"/>
                <w:sz w:val="14"/>
              </w:rPr>
              <w:t>45320000</w:t>
            </w:r>
          </w:p>
        </w:tc>
      </w:tr>
      <w:tr w:rsidR="0092635B">
        <w:trPr>
          <w:trHeight w:val="1171"/>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0"/>
              <w:rPr>
                <w:sz w:val="14"/>
              </w:rPr>
            </w:pPr>
          </w:p>
          <w:p w:rsidR="0092635B" w:rsidRDefault="00000000">
            <w:pPr>
              <w:pStyle w:val="TableParagraph"/>
              <w:ind w:left="6"/>
              <w:jc w:val="center"/>
              <w:rPr>
                <w:sz w:val="14"/>
              </w:rPr>
            </w:pPr>
            <w:r>
              <w:rPr>
                <w:spacing w:val="-2"/>
                <w:w w:val="95"/>
                <w:sz w:val="14"/>
              </w:rPr>
              <w:t>45,33</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0"/>
              <w:rPr>
                <w:sz w:val="14"/>
              </w:rPr>
            </w:pPr>
          </w:p>
          <w:p w:rsidR="0092635B" w:rsidRDefault="00000000">
            <w:pPr>
              <w:pStyle w:val="TableParagraph"/>
              <w:ind w:left="41"/>
              <w:rPr>
                <w:sz w:val="14"/>
              </w:rPr>
            </w:pPr>
            <w:r>
              <w:rPr>
                <w:spacing w:val="-2"/>
                <w:w w:val="95"/>
                <w:sz w:val="14"/>
              </w:rPr>
              <w:t>Fontanería.</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2"/>
              </w:numPr>
              <w:tabs>
                <w:tab w:val="left" w:pos="143"/>
              </w:tabs>
              <w:spacing w:before="7"/>
              <w:ind w:hanging="102"/>
              <w:rPr>
                <w:sz w:val="14"/>
              </w:rPr>
            </w:pPr>
            <w:r>
              <w:rPr>
                <w:w w:val="85"/>
                <w:sz w:val="14"/>
              </w:rPr>
              <w:t>la</w:t>
            </w:r>
            <w:r>
              <w:rPr>
                <w:spacing w:val="-1"/>
                <w:sz w:val="14"/>
              </w:rPr>
              <w:t xml:space="preserve"> </w:t>
            </w:r>
            <w:r>
              <w:rPr>
                <w:w w:val="85"/>
                <w:sz w:val="14"/>
              </w:rPr>
              <w:t>instalación</w:t>
            </w:r>
            <w:r>
              <w:rPr>
                <w:spacing w:val="-1"/>
                <w:sz w:val="14"/>
              </w:rPr>
              <w:t xml:space="preserve"> </w:t>
            </w:r>
            <w:r>
              <w:rPr>
                <w:w w:val="85"/>
                <w:sz w:val="14"/>
              </w:rPr>
              <w:t>en</w:t>
            </w:r>
            <w:r>
              <w:rPr>
                <w:spacing w:val="-1"/>
                <w:sz w:val="14"/>
              </w:rPr>
              <w:t xml:space="preserve"> </w:t>
            </w:r>
            <w:r>
              <w:rPr>
                <w:w w:val="85"/>
                <w:sz w:val="14"/>
              </w:rPr>
              <w:t>edificios</w:t>
            </w:r>
            <w:r>
              <w:rPr>
                <w:spacing w:val="-1"/>
                <w:sz w:val="14"/>
              </w:rPr>
              <w:t xml:space="preserve"> </w:t>
            </w:r>
            <w:r>
              <w:rPr>
                <w:w w:val="85"/>
                <w:sz w:val="14"/>
              </w:rPr>
              <w:t>y</w:t>
            </w:r>
            <w:r>
              <w:rPr>
                <w:sz w:val="14"/>
              </w:rPr>
              <w:t xml:space="preserve"> </w:t>
            </w:r>
            <w:r>
              <w:rPr>
                <w:w w:val="85"/>
                <w:sz w:val="14"/>
              </w:rPr>
              <w:t>otras</w:t>
            </w:r>
            <w:r>
              <w:rPr>
                <w:spacing w:val="-1"/>
                <w:sz w:val="14"/>
              </w:rPr>
              <w:t xml:space="preserve"> </w:t>
            </w:r>
            <w:r>
              <w:rPr>
                <w:w w:val="85"/>
                <w:sz w:val="14"/>
              </w:rPr>
              <w:t>obras</w:t>
            </w:r>
            <w:r>
              <w:rPr>
                <w:spacing w:val="-1"/>
                <w:sz w:val="14"/>
              </w:rPr>
              <w:t xml:space="preserve"> </w:t>
            </w:r>
            <w:r>
              <w:rPr>
                <w:w w:val="85"/>
                <w:sz w:val="14"/>
              </w:rPr>
              <w:t>de</w:t>
            </w:r>
            <w:r>
              <w:rPr>
                <w:spacing w:val="-1"/>
                <w:sz w:val="14"/>
              </w:rPr>
              <w:t xml:space="preserve"> </w:t>
            </w:r>
            <w:r>
              <w:rPr>
                <w:w w:val="85"/>
                <w:sz w:val="14"/>
              </w:rPr>
              <w:t>construcción</w:t>
            </w:r>
            <w:r>
              <w:rPr>
                <w:sz w:val="14"/>
              </w:rPr>
              <w:t xml:space="preserve"> </w:t>
            </w:r>
            <w:r>
              <w:rPr>
                <w:spacing w:val="-5"/>
                <w:w w:val="85"/>
                <w:sz w:val="14"/>
              </w:rPr>
              <w:t>de:</w:t>
            </w:r>
          </w:p>
          <w:p w:rsidR="0092635B" w:rsidRDefault="00000000">
            <w:pPr>
              <w:pStyle w:val="TableParagraph"/>
              <w:numPr>
                <w:ilvl w:val="0"/>
                <w:numId w:val="22"/>
              </w:numPr>
              <w:tabs>
                <w:tab w:val="left" w:pos="143"/>
              </w:tabs>
              <w:spacing w:before="7"/>
              <w:ind w:hanging="102"/>
              <w:rPr>
                <w:sz w:val="14"/>
              </w:rPr>
            </w:pPr>
            <w:r>
              <w:rPr>
                <w:w w:val="85"/>
                <w:sz w:val="14"/>
              </w:rPr>
              <w:t>fontanería</w:t>
            </w:r>
            <w:r>
              <w:rPr>
                <w:spacing w:val="-3"/>
                <w:sz w:val="14"/>
              </w:rPr>
              <w:t xml:space="preserve"> </w:t>
            </w:r>
            <w:r>
              <w:rPr>
                <w:w w:val="85"/>
                <w:sz w:val="14"/>
              </w:rPr>
              <w:t>y</w:t>
            </w:r>
            <w:r>
              <w:rPr>
                <w:spacing w:val="-2"/>
                <w:sz w:val="14"/>
              </w:rPr>
              <w:t xml:space="preserve"> </w:t>
            </w:r>
            <w:r>
              <w:rPr>
                <w:spacing w:val="-2"/>
                <w:w w:val="85"/>
                <w:sz w:val="14"/>
              </w:rPr>
              <w:t>sanitarios,</w:t>
            </w:r>
          </w:p>
          <w:p w:rsidR="0092635B" w:rsidRDefault="00000000">
            <w:pPr>
              <w:pStyle w:val="TableParagraph"/>
              <w:numPr>
                <w:ilvl w:val="0"/>
                <w:numId w:val="22"/>
              </w:numPr>
              <w:tabs>
                <w:tab w:val="left" w:pos="143"/>
              </w:tabs>
              <w:spacing w:before="7"/>
              <w:ind w:hanging="102"/>
              <w:rPr>
                <w:sz w:val="14"/>
              </w:rPr>
            </w:pPr>
            <w:r>
              <w:rPr>
                <w:w w:val="85"/>
                <w:sz w:val="14"/>
              </w:rPr>
              <w:t>aparatos</w:t>
            </w:r>
            <w:r>
              <w:rPr>
                <w:spacing w:val="1"/>
                <w:sz w:val="14"/>
              </w:rPr>
              <w:t xml:space="preserve"> </w:t>
            </w:r>
            <w:r>
              <w:rPr>
                <w:w w:val="85"/>
                <w:sz w:val="14"/>
              </w:rPr>
              <w:t>de</w:t>
            </w:r>
            <w:r>
              <w:rPr>
                <w:spacing w:val="2"/>
                <w:sz w:val="14"/>
              </w:rPr>
              <w:t xml:space="preserve"> </w:t>
            </w:r>
            <w:r>
              <w:rPr>
                <w:spacing w:val="-4"/>
                <w:w w:val="85"/>
                <w:sz w:val="14"/>
              </w:rPr>
              <w:t>gas,</w:t>
            </w:r>
          </w:p>
          <w:p w:rsidR="0092635B" w:rsidRDefault="00000000">
            <w:pPr>
              <w:pStyle w:val="TableParagraph"/>
              <w:numPr>
                <w:ilvl w:val="0"/>
                <w:numId w:val="22"/>
              </w:numPr>
              <w:tabs>
                <w:tab w:val="left" w:pos="143"/>
              </w:tabs>
              <w:spacing w:before="7"/>
              <w:ind w:hanging="102"/>
              <w:rPr>
                <w:sz w:val="14"/>
              </w:rPr>
            </w:pPr>
            <w:r>
              <w:rPr>
                <w:w w:val="85"/>
                <w:sz w:val="14"/>
              </w:rPr>
              <w:t>aparatos</w:t>
            </w:r>
            <w:r>
              <w:rPr>
                <w:spacing w:val="2"/>
                <w:sz w:val="14"/>
              </w:rPr>
              <w:t xml:space="preserve"> </w:t>
            </w:r>
            <w:r>
              <w:rPr>
                <w:w w:val="85"/>
                <w:sz w:val="14"/>
              </w:rPr>
              <w:t>y</w:t>
            </w:r>
            <w:r>
              <w:rPr>
                <w:spacing w:val="2"/>
                <w:sz w:val="14"/>
              </w:rPr>
              <w:t xml:space="preserve"> </w:t>
            </w:r>
            <w:r>
              <w:rPr>
                <w:w w:val="85"/>
                <w:sz w:val="14"/>
              </w:rPr>
              <w:t>conducciones</w:t>
            </w:r>
            <w:r>
              <w:rPr>
                <w:spacing w:val="3"/>
                <w:sz w:val="14"/>
              </w:rPr>
              <w:t xml:space="preserve"> </w:t>
            </w:r>
            <w:r>
              <w:rPr>
                <w:w w:val="85"/>
                <w:sz w:val="14"/>
              </w:rPr>
              <w:t>de</w:t>
            </w:r>
            <w:r>
              <w:rPr>
                <w:spacing w:val="2"/>
                <w:sz w:val="14"/>
              </w:rPr>
              <w:t xml:space="preserve"> </w:t>
            </w:r>
            <w:r>
              <w:rPr>
                <w:w w:val="85"/>
                <w:sz w:val="14"/>
              </w:rPr>
              <w:t>calefacción,</w:t>
            </w:r>
            <w:r>
              <w:rPr>
                <w:spacing w:val="3"/>
                <w:sz w:val="14"/>
              </w:rPr>
              <w:t xml:space="preserve"> </w:t>
            </w:r>
            <w:r>
              <w:rPr>
                <w:w w:val="85"/>
                <w:sz w:val="14"/>
              </w:rPr>
              <w:t>ventilación,</w:t>
            </w:r>
            <w:r>
              <w:rPr>
                <w:spacing w:val="2"/>
                <w:sz w:val="14"/>
              </w:rPr>
              <w:t xml:space="preserve"> </w:t>
            </w:r>
            <w:r>
              <w:rPr>
                <w:w w:val="85"/>
                <w:sz w:val="14"/>
              </w:rPr>
              <w:t>refrigeración</w:t>
            </w:r>
            <w:r>
              <w:rPr>
                <w:spacing w:val="3"/>
                <w:sz w:val="14"/>
              </w:rPr>
              <w:t xml:space="preserve"> </w:t>
            </w:r>
            <w:r>
              <w:rPr>
                <w:w w:val="85"/>
                <w:sz w:val="14"/>
              </w:rPr>
              <w:t>o</w:t>
            </w:r>
            <w:r>
              <w:rPr>
                <w:spacing w:val="2"/>
                <w:sz w:val="14"/>
              </w:rPr>
              <w:t xml:space="preserve"> </w:t>
            </w:r>
            <w:r>
              <w:rPr>
                <w:w w:val="85"/>
                <w:sz w:val="14"/>
              </w:rPr>
              <w:t>aire</w:t>
            </w:r>
            <w:r>
              <w:rPr>
                <w:spacing w:val="3"/>
                <w:sz w:val="14"/>
              </w:rPr>
              <w:t xml:space="preserve"> </w:t>
            </w:r>
            <w:r>
              <w:rPr>
                <w:spacing w:val="-2"/>
                <w:w w:val="85"/>
                <w:sz w:val="14"/>
              </w:rPr>
              <w:t>acondicionado,</w:t>
            </w:r>
          </w:p>
          <w:p w:rsidR="0092635B" w:rsidRDefault="00000000">
            <w:pPr>
              <w:pStyle w:val="TableParagraph"/>
              <w:numPr>
                <w:ilvl w:val="0"/>
                <w:numId w:val="22"/>
              </w:numPr>
              <w:tabs>
                <w:tab w:val="left" w:pos="143"/>
              </w:tabs>
              <w:spacing w:before="7"/>
              <w:ind w:hanging="102"/>
              <w:rPr>
                <w:sz w:val="14"/>
              </w:rPr>
            </w:pPr>
            <w:r>
              <w:rPr>
                <w:w w:val="85"/>
                <w:sz w:val="14"/>
              </w:rPr>
              <w:t>la</w:t>
            </w:r>
            <w:r>
              <w:rPr>
                <w:sz w:val="14"/>
              </w:rPr>
              <w:t xml:space="preserve"> </w:t>
            </w:r>
            <w:r>
              <w:rPr>
                <w:w w:val="85"/>
                <w:sz w:val="14"/>
              </w:rPr>
              <w:t>instalación</w:t>
            </w:r>
            <w:r>
              <w:rPr>
                <w:spacing w:val="1"/>
                <w:sz w:val="14"/>
              </w:rPr>
              <w:t xml:space="preserve"> </w:t>
            </w:r>
            <w:r>
              <w:rPr>
                <w:w w:val="85"/>
                <w:sz w:val="14"/>
              </w:rPr>
              <w:t>de</w:t>
            </w:r>
            <w:r>
              <w:rPr>
                <w:sz w:val="14"/>
              </w:rPr>
              <w:t xml:space="preserve"> </w:t>
            </w:r>
            <w:r>
              <w:rPr>
                <w:w w:val="85"/>
                <w:sz w:val="14"/>
              </w:rPr>
              <w:t>extintores</w:t>
            </w:r>
            <w:r>
              <w:rPr>
                <w:spacing w:val="1"/>
                <w:sz w:val="14"/>
              </w:rPr>
              <w:t xml:space="preserve"> </w:t>
            </w:r>
            <w:r>
              <w:rPr>
                <w:w w:val="85"/>
                <w:sz w:val="14"/>
              </w:rPr>
              <w:t>automáticos</w:t>
            </w:r>
            <w:r>
              <w:rPr>
                <w:sz w:val="14"/>
              </w:rPr>
              <w:t xml:space="preserve"> </w:t>
            </w:r>
            <w:r>
              <w:rPr>
                <w:w w:val="85"/>
                <w:sz w:val="14"/>
              </w:rPr>
              <w:t>de</w:t>
            </w:r>
            <w:r>
              <w:rPr>
                <w:spacing w:val="1"/>
                <w:sz w:val="14"/>
              </w:rPr>
              <w:t xml:space="preserve"> </w:t>
            </w:r>
            <w:r>
              <w:rPr>
                <w:w w:val="85"/>
                <w:sz w:val="14"/>
              </w:rPr>
              <w:t>incendios.</w:t>
            </w:r>
            <w:r>
              <w:rPr>
                <w:spacing w:val="1"/>
                <w:sz w:val="14"/>
              </w:rPr>
              <w:t xml:space="preserve"> </w:t>
            </w:r>
            <w:r>
              <w:rPr>
                <w:w w:val="85"/>
                <w:sz w:val="14"/>
              </w:rPr>
              <w:t>Esta</w:t>
            </w:r>
            <w:r>
              <w:rPr>
                <w:sz w:val="14"/>
              </w:rPr>
              <w:t xml:space="preserve"> </w:t>
            </w:r>
            <w:r>
              <w:rPr>
                <w:w w:val="85"/>
                <w:sz w:val="14"/>
              </w:rPr>
              <w:t>clase</w:t>
            </w:r>
            <w:r>
              <w:rPr>
                <w:spacing w:val="1"/>
                <w:sz w:val="14"/>
              </w:rPr>
              <w:t xml:space="preserve"> </w:t>
            </w:r>
            <w:r>
              <w:rPr>
                <w:w w:val="85"/>
                <w:sz w:val="14"/>
              </w:rPr>
              <w:t>no</w:t>
            </w:r>
            <w:r>
              <w:rPr>
                <w:sz w:val="14"/>
              </w:rPr>
              <w:t xml:space="preserve"> </w:t>
            </w:r>
            <w:r>
              <w:rPr>
                <w:spacing w:val="-2"/>
                <w:w w:val="85"/>
                <w:sz w:val="14"/>
              </w:rPr>
              <w:t>comprende:</w:t>
            </w:r>
          </w:p>
          <w:p w:rsidR="0092635B" w:rsidRDefault="00000000">
            <w:pPr>
              <w:pStyle w:val="TableParagraph"/>
              <w:numPr>
                <w:ilvl w:val="0"/>
                <w:numId w:val="22"/>
              </w:numPr>
              <w:tabs>
                <w:tab w:val="left" w:pos="143"/>
              </w:tabs>
              <w:spacing w:before="7" w:line="145" w:lineRule="exact"/>
              <w:ind w:hanging="102"/>
              <w:rPr>
                <w:sz w:val="14"/>
              </w:rPr>
            </w:pPr>
            <w:r>
              <w:rPr>
                <w:w w:val="85"/>
                <w:sz w:val="14"/>
              </w:rPr>
              <w:t>la</w:t>
            </w:r>
            <w:r>
              <w:rPr>
                <w:spacing w:val="-1"/>
                <w:sz w:val="14"/>
              </w:rPr>
              <w:t xml:space="preserve"> </w:t>
            </w:r>
            <w:r>
              <w:rPr>
                <w:w w:val="85"/>
                <w:sz w:val="14"/>
              </w:rPr>
              <w:t>instalación</w:t>
            </w:r>
            <w:r>
              <w:rPr>
                <w:spacing w:val="-1"/>
                <w:sz w:val="14"/>
              </w:rPr>
              <w:t xml:space="preserve"> </w:t>
            </w:r>
            <w:r>
              <w:rPr>
                <w:w w:val="85"/>
                <w:sz w:val="14"/>
              </w:rPr>
              <w:t>y</w:t>
            </w:r>
            <w:r>
              <w:rPr>
                <w:spacing w:val="-1"/>
                <w:sz w:val="14"/>
              </w:rPr>
              <w:t xml:space="preserve"> </w:t>
            </w:r>
            <w:r>
              <w:rPr>
                <w:w w:val="85"/>
                <w:sz w:val="14"/>
              </w:rPr>
              <w:t>reparación</w:t>
            </w:r>
            <w:r>
              <w:rPr>
                <w:spacing w:val="-1"/>
                <w:sz w:val="14"/>
              </w:rPr>
              <w:t xml:space="preserve"> </w:t>
            </w:r>
            <w:r>
              <w:rPr>
                <w:w w:val="85"/>
                <w:sz w:val="14"/>
              </w:rPr>
              <w:t>de</w:t>
            </w:r>
            <w:r>
              <w:rPr>
                <w:spacing w:val="-1"/>
                <w:sz w:val="14"/>
              </w:rPr>
              <w:t xml:space="preserve"> </w:t>
            </w:r>
            <w:r>
              <w:rPr>
                <w:w w:val="85"/>
                <w:sz w:val="14"/>
              </w:rPr>
              <w:t>instalaciones</w:t>
            </w:r>
            <w:r>
              <w:rPr>
                <w:spacing w:val="-1"/>
                <w:sz w:val="14"/>
              </w:rPr>
              <w:t xml:space="preserve"> </w:t>
            </w:r>
            <w:r>
              <w:rPr>
                <w:w w:val="85"/>
                <w:sz w:val="14"/>
              </w:rPr>
              <w:t>de</w:t>
            </w:r>
            <w:r>
              <w:rPr>
                <w:spacing w:val="-1"/>
                <w:sz w:val="14"/>
              </w:rPr>
              <w:t xml:space="preserve"> </w:t>
            </w:r>
            <w:r>
              <w:rPr>
                <w:w w:val="85"/>
                <w:sz w:val="14"/>
              </w:rPr>
              <w:t>calefacción</w:t>
            </w:r>
            <w:r>
              <w:rPr>
                <w:spacing w:val="-1"/>
                <w:sz w:val="14"/>
              </w:rPr>
              <w:t xml:space="preserve"> </w:t>
            </w:r>
            <w:r>
              <w:rPr>
                <w:w w:val="85"/>
                <w:sz w:val="14"/>
              </w:rPr>
              <w:t>eléctrica</w:t>
            </w:r>
            <w:r>
              <w:rPr>
                <w:spacing w:val="-1"/>
                <w:sz w:val="14"/>
              </w:rPr>
              <w:t xml:space="preserve"> </w:t>
            </w:r>
            <w:r>
              <w:rPr>
                <w:w w:val="85"/>
                <w:sz w:val="14"/>
              </w:rPr>
              <w:t>(véase</w:t>
            </w:r>
            <w:r>
              <w:rPr>
                <w:spacing w:val="-1"/>
                <w:sz w:val="14"/>
              </w:rPr>
              <w:t xml:space="preserve"> </w:t>
            </w:r>
            <w:r>
              <w:rPr>
                <w:spacing w:val="-2"/>
                <w:w w:val="85"/>
                <w:sz w:val="14"/>
              </w:rPr>
              <w:t>45.31).</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0"/>
              <w:rPr>
                <w:sz w:val="14"/>
              </w:rPr>
            </w:pPr>
          </w:p>
          <w:p w:rsidR="0092635B" w:rsidRDefault="00000000">
            <w:pPr>
              <w:pStyle w:val="TableParagraph"/>
              <w:ind w:left="30" w:right="22"/>
              <w:jc w:val="center"/>
              <w:rPr>
                <w:sz w:val="14"/>
              </w:rPr>
            </w:pPr>
            <w:r>
              <w:rPr>
                <w:spacing w:val="-2"/>
                <w:w w:val="95"/>
                <w:sz w:val="14"/>
              </w:rPr>
              <w:t>45330000</w:t>
            </w:r>
          </w:p>
        </w:tc>
      </w:tr>
      <w:tr w:rsidR="0092635B">
        <w:trPr>
          <w:trHeight w:val="49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6"/>
              <w:jc w:val="center"/>
              <w:rPr>
                <w:sz w:val="14"/>
              </w:rPr>
            </w:pPr>
            <w:r>
              <w:rPr>
                <w:spacing w:val="-2"/>
                <w:w w:val="95"/>
                <w:sz w:val="14"/>
              </w:rPr>
              <w:t>45,34</w:t>
            </w: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line="249" w:lineRule="auto"/>
              <w:ind w:left="41"/>
              <w:rPr>
                <w:sz w:val="14"/>
              </w:rPr>
            </w:pPr>
            <w:r>
              <w:rPr>
                <w:w w:val="85"/>
                <w:sz w:val="14"/>
              </w:rPr>
              <w:t>Otras</w:t>
            </w:r>
            <w:r>
              <w:rPr>
                <w:spacing w:val="-2"/>
                <w:w w:val="85"/>
                <w:sz w:val="14"/>
              </w:rPr>
              <w:t xml:space="preserve"> </w:t>
            </w:r>
            <w:r>
              <w:rPr>
                <w:w w:val="85"/>
                <w:sz w:val="14"/>
              </w:rPr>
              <w:t>instalaciones</w:t>
            </w:r>
            <w:r>
              <w:rPr>
                <w:spacing w:val="-2"/>
                <w:w w:val="85"/>
                <w:sz w:val="14"/>
              </w:rPr>
              <w:t xml:space="preserve"> </w:t>
            </w:r>
            <w:r>
              <w:rPr>
                <w:w w:val="85"/>
                <w:sz w:val="14"/>
              </w:rPr>
              <w:t>de</w:t>
            </w:r>
            <w:r>
              <w:rPr>
                <w:spacing w:val="40"/>
                <w:sz w:val="14"/>
              </w:rPr>
              <w:t xml:space="preserve"> </w:t>
            </w:r>
            <w:r>
              <w:rPr>
                <w:w w:val="95"/>
                <w:sz w:val="14"/>
              </w:rPr>
              <w:t>edificios y obras.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1"/>
              </w:numPr>
              <w:tabs>
                <w:tab w:val="left" w:pos="143"/>
              </w:tabs>
              <w:spacing w:before="7"/>
              <w:ind w:hanging="102"/>
              <w:rPr>
                <w:sz w:val="14"/>
              </w:rPr>
            </w:pPr>
            <w:r>
              <w:rPr>
                <w:w w:val="85"/>
                <w:sz w:val="14"/>
              </w:rPr>
              <w:t>la</w:t>
            </w:r>
            <w:r>
              <w:rPr>
                <w:spacing w:val="-1"/>
                <w:sz w:val="14"/>
              </w:rPr>
              <w:t xml:space="preserve"> </w:t>
            </w:r>
            <w:r>
              <w:rPr>
                <w:w w:val="85"/>
                <w:sz w:val="14"/>
              </w:rPr>
              <w:t>instalación</w:t>
            </w:r>
            <w:r>
              <w:rPr>
                <w:sz w:val="14"/>
              </w:rPr>
              <w:t xml:space="preserve"> </w:t>
            </w:r>
            <w:r>
              <w:rPr>
                <w:w w:val="85"/>
                <w:sz w:val="14"/>
              </w:rPr>
              <w:t>de</w:t>
            </w:r>
            <w:r>
              <w:rPr>
                <w:spacing w:val="-1"/>
                <w:sz w:val="14"/>
              </w:rPr>
              <w:t xml:space="preserve"> </w:t>
            </w:r>
            <w:r>
              <w:rPr>
                <w:w w:val="85"/>
                <w:sz w:val="14"/>
              </w:rPr>
              <w:t>sistemas</w:t>
            </w:r>
            <w:r>
              <w:rPr>
                <w:sz w:val="14"/>
              </w:rPr>
              <w:t xml:space="preserve"> </w:t>
            </w:r>
            <w:r>
              <w:rPr>
                <w:w w:val="85"/>
                <w:sz w:val="14"/>
              </w:rPr>
              <w:t>de</w:t>
            </w:r>
            <w:r>
              <w:rPr>
                <w:sz w:val="14"/>
              </w:rPr>
              <w:t xml:space="preserve"> </w:t>
            </w:r>
            <w:r>
              <w:rPr>
                <w:w w:val="85"/>
                <w:sz w:val="14"/>
              </w:rPr>
              <w:t>iluminación</w:t>
            </w:r>
            <w:r>
              <w:rPr>
                <w:spacing w:val="-1"/>
                <w:sz w:val="14"/>
              </w:rPr>
              <w:t xml:space="preserve"> </w:t>
            </w:r>
            <w:r>
              <w:rPr>
                <w:w w:val="85"/>
                <w:sz w:val="14"/>
              </w:rPr>
              <w:t>y</w:t>
            </w:r>
            <w:r>
              <w:rPr>
                <w:sz w:val="14"/>
              </w:rPr>
              <w:t xml:space="preserve"> </w:t>
            </w:r>
            <w:r>
              <w:rPr>
                <w:w w:val="85"/>
                <w:sz w:val="14"/>
              </w:rPr>
              <w:t>señalización</w:t>
            </w:r>
            <w:r>
              <w:rPr>
                <w:sz w:val="14"/>
              </w:rPr>
              <w:t xml:space="preserve"> </w:t>
            </w:r>
            <w:r>
              <w:rPr>
                <w:w w:val="85"/>
                <w:sz w:val="14"/>
              </w:rPr>
              <w:t>de</w:t>
            </w:r>
            <w:r>
              <w:rPr>
                <w:spacing w:val="-1"/>
                <w:sz w:val="14"/>
              </w:rPr>
              <w:t xml:space="preserve"> </w:t>
            </w:r>
            <w:r>
              <w:rPr>
                <w:w w:val="85"/>
                <w:sz w:val="14"/>
              </w:rPr>
              <w:t>carreteras,</w:t>
            </w:r>
            <w:r>
              <w:rPr>
                <w:sz w:val="14"/>
              </w:rPr>
              <w:t xml:space="preserve"> </w:t>
            </w:r>
            <w:r>
              <w:rPr>
                <w:w w:val="85"/>
                <w:sz w:val="14"/>
              </w:rPr>
              <w:t>puertos</w:t>
            </w:r>
            <w:r>
              <w:rPr>
                <w:sz w:val="14"/>
              </w:rPr>
              <w:t xml:space="preserve"> </w:t>
            </w:r>
            <w:r>
              <w:rPr>
                <w:w w:val="85"/>
                <w:sz w:val="14"/>
              </w:rPr>
              <w:t>y</w:t>
            </w:r>
            <w:r>
              <w:rPr>
                <w:spacing w:val="-1"/>
                <w:sz w:val="14"/>
              </w:rPr>
              <w:t xml:space="preserve"> </w:t>
            </w:r>
            <w:r>
              <w:rPr>
                <w:spacing w:val="-2"/>
                <w:w w:val="85"/>
                <w:sz w:val="14"/>
              </w:rPr>
              <w:t>aeropuertos,</w:t>
            </w:r>
          </w:p>
          <w:p w:rsidR="0092635B" w:rsidRDefault="00000000">
            <w:pPr>
              <w:pStyle w:val="TableParagraph"/>
              <w:numPr>
                <w:ilvl w:val="0"/>
                <w:numId w:val="21"/>
              </w:numPr>
              <w:tabs>
                <w:tab w:val="left" w:pos="143"/>
              </w:tabs>
              <w:spacing w:before="7" w:line="145" w:lineRule="exact"/>
              <w:ind w:hanging="102"/>
              <w:rPr>
                <w:sz w:val="14"/>
              </w:rPr>
            </w:pPr>
            <w:r>
              <w:rPr>
                <w:w w:val="85"/>
                <w:sz w:val="14"/>
              </w:rPr>
              <w:t>la</w:t>
            </w:r>
            <w:r>
              <w:rPr>
                <w:sz w:val="14"/>
              </w:rPr>
              <w:t xml:space="preserve"> </w:t>
            </w:r>
            <w:r>
              <w:rPr>
                <w:w w:val="85"/>
                <w:sz w:val="14"/>
              </w:rPr>
              <w:t>instalación</w:t>
            </w:r>
            <w:r>
              <w:rPr>
                <w:sz w:val="14"/>
              </w:rPr>
              <w:t xml:space="preserve"> </w:t>
            </w:r>
            <w:r>
              <w:rPr>
                <w:w w:val="85"/>
                <w:sz w:val="14"/>
              </w:rPr>
              <w:t>en</w:t>
            </w:r>
            <w:r>
              <w:rPr>
                <w:sz w:val="14"/>
              </w:rPr>
              <w:t xml:space="preserve"> </w:t>
            </w:r>
            <w:r>
              <w:rPr>
                <w:w w:val="85"/>
                <w:sz w:val="14"/>
              </w:rPr>
              <w:t>edificios</w:t>
            </w:r>
            <w:r>
              <w:rPr>
                <w:sz w:val="14"/>
              </w:rPr>
              <w:t xml:space="preserve"> </w:t>
            </w:r>
            <w:r>
              <w:rPr>
                <w:w w:val="85"/>
                <w:sz w:val="14"/>
              </w:rPr>
              <w:t>y</w:t>
            </w:r>
            <w:r>
              <w:rPr>
                <w:sz w:val="14"/>
              </w:rPr>
              <w:t xml:space="preserve"> </w:t>
            </w:r>
            <w:r>
              <w:rPr>
                <w:w w:val="85"/>
                <w:sz w:val="14"/>
              </w:rPr>
              <w:t>otras</w:t>
            </w:r>
            <w:r>
              <w:rPr>
                <w:sz w:val="14"/>
              </w:rPr>
              <w:t xml:space="preserve"> </w:t>
            </w:r>
            <w:r>
              <w:rPr>
                <w:w w:val="85"/>
                <w:sz w:val="14"/>
              </w:rPr>
              <w:t>obras</w:t>
            </w:r>
            <w:r>
              <w:rPr>
                <w:spacing w:val="1"/>
                <w:sz w:val="14"/>
              </w:rPr>
              <w:t xml:space="preserve"> </w:t>
            </w:r>
            <w:r>
              <w:rPr>
                <w:w w:val="85"/>
                <w:sz w:val="14"/>
              </w:rPr>
              <w:t>de</w:t>
            </w:r>
            <w:r>
              <w:rPr>
                <w:sz w:val="14"/>
              </w:rPr>
              <w:t xml:space="preserve"> </w:t>
            </w:r>
            <w:r>
              <w:rPr>
                <w:w w:val="85"/>
                <w:sz w:val="14"/>
              </w:rPr>
              <w:t>construcción</w:t>
            </w:r>
            <w:r>
              <w:rPr>
                <w:sz w:val="14"/>
              </w:rPr>
              <w:t xml:space="preserve"> </w:t>
            </w:r>
            <w:r>
              <w:rPr>
                <w:w w:val="85"/>
                <w:sz w:val="14"/>
              </w:rPr>
              <w:t>de</w:t>
            </w:r>
            <w:r>
              <w:rPr>
                <w:sz w:val="14"/>
              </w:rPr>
              <w:t xml:space="preserve"> </w:t>
            </w:r>
            <w:r>
              <w:rPr>
                <w:w w:val="85"/>
                <w:sz w:val="14"/>
              </w:rPr>
              <w:t>aparatos</w:t>
            </w:r>
            <w:r>
              <w:rPr>
                <w:sz w:val="14"/>
              </w:rPr>
              <w:t xml:space="preserve"> </w:t>
            </w:r>
            <w:r>
              <w:rPr>
                <w:w w:val="85"/>
                <w:sz w:val="14"/>
              </w:rPr>
              <w:t>y</w:t>
            </w:r>
            <w:r>
              <w:rPr>
                <w:sz w:val="14"/>
              </w:rPr>
              <w:t xml:space="preserve"> </w:t>
            </w:r>
            <w:r>
              <w:rPr>
                <w:w w:val="85"/>
                <w:sz w:val="14"/>
              </w:rPr>
              <w:t>dispositivos</w:t>
            </w:r>
            <w:r>
              <w:rPr>
                <w:sz w:val="14"/>
              </w:rPr>
              <w:t xml:space="preserve"> </w:t>
            </w:r>
            <w:r>
              <w:rPr>
                <w:w w:val="85"/>
                <w:sz w:val="14"/>
              </w:rPr>
              <w:t>no</w:t>
            </w:r>
            <w:r>
              <w:rPr>
                <w:spacing w:val="1"/>
                <w:sz w:val="14"/>
              </w:rPr>
              <w:t xml:space="preserve"> </w:t>
            </w:r>
            <w:r>
              <w:rPr>
                <w:w w:val="85"/>
                <w:sz w:val="14"/>
              </w:rPr>
              <w:t>clasificados</w:t>
            </w:r>
            <w:r>
              <w:rPr>
                <w:sz w:val="14"/>
              </w:rPr>
              <w:t xml:space="preserve"> </w:t>
            </w:r>
            <w:r>
              <w:rPr>
                <w:w w:val="85"/>
                <w:sz w:val="14"/>
              </w:rPr>
              <w:t>en</w:t>
            </w:r>
            <w:r>
              <w:rPr>
                <w:sz w:val="14"/>
              </w:rPr>
              <w:t xml:space="preserve"> </w:t>
            </w:r>
            <w:r>
              <w:rPr>
                <w:w w:val="85"/>
                <w:sz w:val="14"/>
              </w:rPr>
              <w:t>otra</w:t>
            </w:r>
            <w:r>
              <w:rPr>
                <w:sz w:val="14"/>
              </w:rPr>
              <w:t xml:space="preserve"> </w:t>
            </w:r>
            <w:r>
              <w:rPr>
                <w:spacing w:val="-2"/>
                <w:w w:val="85"/>
                <w:sz w:val="14"/>
              </w:rPr>
              <w:t>parte.</w:t>
            </w:r>
          </w:p>
        </w:tc>
        <w:tc>
          <w:tcPr>
            <w:tcW w:w="91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187"/>
              <w:rPr>
                <w:sz w:val="14"/>
              </w:rPr>
            </w:pPr>
            <w:r>
              <w:rPr>
                <w:spacing w:val="-2"/>
                <w:w w:val="95"/>
                <w:sz w:val="14"/>
              </w:rPr>
              <w:t>45234115</w:t>
            </w:r>
          </w:p>
          <w:p w:rsidR="0092635B" w:rsidRDefault="00000000">
            <w:pPr>
              <w:pStyle w:val="TableParagraph"/>
              <w:spacing w:before="7"/>
              <w:ind w:left="183"/>
              <w:rPr>
                <w:sz w:val="14"/>
              </w:rPr>
            </w:pPr>
            <w:r>
              <w:rPr>
                <w:spacing w:val="-2"/>
                <w:w w:val="95"/>
                <w:sz w:val="14"/>
              </w:rPr>
              <w:t>45316000</w:t>
            </w:r>
          </w:p>
          <w:p w:rsidR="0092635B" w:rsidRDefault="00000000">
            <w:pPr>
              <w:pStyle w:val="TableParagraph"/>
              <w:spacing w:before="7" w:line="145" w:lineRule="exact"/>
              <w:ind w:left="183"/>
              <w:rPr>
                <w:sz w:val="14"/>
              </w:rPr>
            </w:pPr>
            <w:r>
              <w:rPr>
                <w:spacing w:val="-2"/>
                <w:w w:val="95"/>
                <w:sz w:val="14"/>
              </w:rPr>
              <w:t>45340000</w:t>
            </w:r>
          </w:p>
        </w:tc>
      </w:tr>
      <w:tr w:rsidR="0092635B">
        <w:trPr>
          <w:trHeight w:val="331"/>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6"/>
              <w:jc w:val="center"/>
              <w:rPr>
                <w:sz w:val="14"/>
              </w:rPr>
            </w:pPr>
            <w:r>
              <w:rPr>
                <w:spacing w:val="-4"/>
                <w:w w:val="95"/>
                <w:sz w:val="14"/>
              </w:rPr>
              <w:t>45,4</w:t>
            </w: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Acabado</w:t>
            </w:r>
            <w:r>
              <w:rPr>
                <w:sz w:val="14"/>
              </w:rPr>
              <w:t xml:space="preserve"> </w:t>
            </w:r>
            <w:r>
              <w:rPr>
                <w:w w:val="85"/>
                <w:sz w:val="14"/>
              </w:rPr>
              <w:t>de</w:t>
            </w:r>
            <w:r>
              <w:rPr>
                <w:spacing w:val="1"/>
                <w:sz w:val="14"/>
              </w:rPr>
              <w:t xml:space="preserve"> </w:t>
            </w:r>
            <w:r>
              <w:rPr>
                <w:w w:val="85"/>
                <w:sz w:val="14"/>
              </w:rPr>
              <w:t>edificios</w:t>
            </w:r>
            <w:r>
              <w:rPr>
                <w:spacing w:val="1"/>
                <w:sz w:val="14"/>
              </w:rPr>
              <w:t xml:space="preserve"> </w:t>
            </w:r>
            <w:r>
              <w:rPr>
                <w:spacing w:val="-10"/>
                <w:w w:val="85"/>
                <w:sz w:val="14"/>
              </w:rPr>
              <w:t>y</w:t>
            </w:r>
          </w:p>
          <w:p w:rsidR="0092635B" w:rsidRDefault="00000000">
            <w:pPr>
              <w:pStyle w:val="TableParagraph"/>
              <w:spacing w:before="7" w:line="145" w:lineRule="exact"/>
              <w:ind w:left="41"/>
              <w:rPr>
                <w:sz w:val="14"/>
              </w:rPr>
            </w:pPr>
            <w:r>
              <w:rPr>
                <w:spacing w:val="-2"/>
                <w:w w:val="95"/>
                <w:sz w:val="14"/>
              </w:rPr>
              <w:t>obras.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913"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30" w:right="22"/>
              <w:jc w:val="center"/>
              <w:rPr>
                <w:sz w:val="14"/>
              </w:rPr>
            </w:pPr>
            <w:r>
              <w:rPr>
                <w:spacing w:val="-2"/>
                <w:w w:val="95"/>
                <w:sz w:val="14"/>
              </w:rPr>
              <w:t>45400000</w:t>
            </w:r>
          </w:p>
        </w:tc>
      </w:tr>
      <w:tr w:rsidR="0092635B">
        <w:trPr>
          <w:trHeight w:val="49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6"/>
              <w:jc w:val="center"/>
              <w:rPr>
                <w:sz w:val="14"/>
              </w:rPr>
            </w:pPr>
            <w:r>
              <w:rPr>
                <w:spacing w:val="-2"/>
                <w:w w:val="95"/>
                <w:sz w:val="14"/>
              </w:rPr>
              <w:t>45,41</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41"/>
              <w:rPr>
                <w:sz w:val="14"/>
              </w:rPr>
            </w:pPr>
            <w:r>
              <w:rPr>
                <w:spacing w:val="-2"/>
                <w:w w:val="95"/>
                <w:sz w:val="14"/>
              </w:rPr>
              <w:t>Revocamiento.</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spacing w:line="170" w:lineRule="atLeast"/>
              <w:ind w:left="41" w:right="59"/>
              <w:rPr>
                <w:sz w:val="14"/>
              </w:rPr>
            </w:pPr>
            <w:r>
              <w:rPr>
                <w:w w:val="85"/>
                <w:sz w:val="14"/>
              </w:rPr>
              <w:t>– la aplicación, en edificios y otras obras de construcción, de yeso y estuco interior y exterior, incluidos los</w:t>
            </w:r>
            <w:r>
              <w:rPr>
                <w:spacing w:val="40"/>
                <w:sz w:val="14"/>
              </w:rPr>
              <w:t xml:space="preserve"> </w:t>
            </w:r>
            <w:r>
              <w:rPr>
                <w:w w:val="90"/>
                <w:sz w:val="14"/>
              </w:rPr>
              <w:t>materiales de listado correspondientes.</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30" w:right="22"/>
              <w:jc w:val="center"/>
              <w:rPr>
                <w:sz w:val="14"/>
              </w:rPr>
            </w:pPr>
            <w:r>
              <w:rPr>
                <w:spacing w:val="-2"/>
                <w:w w:val="95"/>
                <w:sz w:val="14"/>
              </w:rPr>
              <w:t>45410000</w:t>
            </w:r>
          </w:p>
        </w:tc>
      </w:tr>
      <w:tr w:rsidR="0092635B">
        <w:trPr>
          <w:trHeight w:val="1003"/>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6"/>
              <w:rPr>
                <w:sz w:val="14"/>
              </w:rPr>
            </w:pPr>
          </w:p>
          <w:p w:rsidR="0092635B" w:rsidRDefault="00000000">
            <w:pPr>
              <w:pStyle w:val="TableParagraph"/>
              <w:ind w:left="6"/>
              <w:jc w:val="center"/>
              <w:rPr>
                <w:sz w:val="14"/>
              </w:rPr>
            </w:pPr>
            <w:r>
              <w:rPr>
                <w:spacing w:val="-2"/>
                <w:w w:val="95"/>
                <w:sz w:val="14"/>
              </w:rPr>
              <w:t>45,42</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12"/>
              <w:rPr>
                <w:sz w:val="14"/>
              </w:rPr>
            </w:pPr>
          </w:p>
          <w:p w:rsidR="0092635B" w:rsidRDefault="00000000">
            <w:pPr>
              <w:pStyle w:val="TableParagraph"/>
              <w:spacing w:line="249" w:lineRule="auto"/>
              <w:ind w:left="41" w:right="648"/>
              <w:rPr>
                <w:sz w:val="14"/>
              </w:rPr>
            </w:pPr>
            <w:r>
              <w:rPr>
                <w:spacing w:val="-2"/>
                <w:w w:val="90"/>
                <w:sz w:val="14"/>
              </w:rPr>
              <w:t>Instalaciones</w:t>
            </w:r>
            <w:r>
              <w:rPr>
                <w:spacing w:val="-4"/>
                <w:w w:val="90"/>
                <w:sz w:val="14"/>
              </w:rPr>
              <w:t xml:space="preserve"> </w:t>
            </w:r>
            <w:r>
              <w:rPr>
                <w:spacing w:val="-2"/>
                <w:w w:val="90"/>
                <w:sz w:val="14"/>
              </w:rPr>
              <w:t>de</w:t>
            </w:r>
            <w:r>
              <w:rPr>
                <w:spacing w:val="40"/>
                <w:sz w:val="14"/>
              </w:rPr>
              <w:t xml:space="preserve"> </w:t>
            </w:r>
            <w:r>
              <w:rPr>
                <w:spacing w:val="-2"/>
                <w:w w:val="95"/>
                <w:sz w:val="14"/>
              </w:rPr>
              <w:t>carpintería.</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20"/>
              </w:numPr>
              <w:tabs>
                <w:tab w:val="left" w:pos="143"/>
              </w:tabs>
              <w:spacing w:before="7" w:line="249" w:lineRule="auto"/>
              <w:ind w:right="64" w:firstLine="0"/>
              <w:rPr>
                <w:sz w:val="14"/>
              </w:rPr>
            </w:pPr>
            <w:r>
              <w:rPr>
                <w:w w:val="85"/>
                <w:sz w:val="14"/>
              </w:rPr>
              <w:t>la instalación de puertas, ventanas y marcos, cocinas equipadas, escaleras, mobiliario de trabajo y similares de</w:t>
            </w:r>
            <w:r>
              <w:rPr>
                <w:spacing w:val="40"/>
                <w:sz w:val="14"/>
              </w:rPr>
              <w:t xml:space="preserve"> </w:t>
            </w:r>
            <w:r>
              <w:rPr>
                <w:w w:val="90"/>
                <w:sz w:val="14"/>
              </w:rPr>
              <w:t>madera u otros materiales, que no sean de producción propia,</w:t>
            </w:r>
          </w:p>
          <w:p w:rsidR="0092635B" w:rsidRDefault="00000000">
            <w:pPr>
              <w:pStyle w:val="TableParagraph"/>
              <w:numPr>
                <w:ilvl w:val="0"/>
                <w:numId w:val="20"/>
              </w:numPr>
              <w:tabs>
                <w:tab w:val="left" w:pos="143"/>
              </w:tabs>
              <w:spacing w:before="1" w:line="249" w:lineRule="auto"/>
              <w:ind w:right="799" w:firstLine="0"/>
              <w:rPr>
                <w:sz w:val="14"/>
              </w:rPr>
            </w:pPr>
            <w:r>
              <w:rPr>
                <w:w w:val="85"/>
                <w:sz w:val="14"/>
              </w:rPr>
              <w:t>acabados interiores, como techos, revestimientos de madera para paredes, tabiques móviles, etc.</w:t>
            </w:r>
            <w:r>
              <w:rPr>
                <w:spacing w:val="40"/>
                <w:sz w:val="14"/>
              </w:rPr>
              <w:t xml:space="preserve"> </w:t>
            </w:r>
            <w:r>
              <w:rPr>
                <w:w w:val="95"/>
                <w:sz w:val="14"/>
              </w:rPr>
              <w:t>Esta</w:t>
            </w:r>
            <w:r>
              <w:rPr>
                <w:spacing w:val="-3"/>
                <w:w w:val="95"/>
                <w:sz w:val="14"/>
              </w:rPr>
              <w:t xml:space="preserve"> </w:t>
            </w:r>
            <w:r>
              <w:rPr>
                <w:w w:val="95"/>
                <w:sz w:val="14"/>
              </w:rPr>
              <w:t>clase</w:t>
            </w:r>
            <w:r>
              <w:rPr>
                <w:spacing w:val="-4"/>
                <w:w w:val="95"/>
                <w:sz w:val="14"/>
              </w:rPr>
              <w:t xml:space="preserve"> </w:t>
            </w:r>
            <w:r>
              <w:rPr>
                <w:w w:val="95"/>
                <w:sz w:val="14"/>
              </w:rPr>
              <w:t>no</w:t>
            </w:r>
            <w:r>
              <w:rPr>
                <w:spacing w:val="-3"/>
                <w:w w:val="95"/>
                <w:sz w:val="14"/>
              </w:rPr>
              <w:t xml:space="preserve"> </w:t>
            </w:r>
            <w:r>
              <w:rPr>
                <w:w w:val="95"/>
                <w:sz w:val="14"/>
              </w:rPr>
              <w:t>comprende:</w:t>
            </w:r>
          </w:p>
          <w:p w:rsidR="0092635B" w:rsidRDefault="00000000">
            <w:pPr>
              <w:pStyle w:val="TableParagraph"/>
              <w:numPr>
                <w:ilvl w:val="0"/>
                <w:numId w:val="20"/>
              </w:numPr>
              <w:tabs>
                <w:tab w:val="left" w:pos="143"/>
              </w:tabs>
              <w:spacing w:before="1" w:line="145" w:lineRule="exact"/>
              <w:ind w:left="143" w:hanging="102"/>
              <w:rPr>
                <w:sz w:val="14"/>
              </w:rPr>
            </w:pPr>
            <w:r>
              <w:rPr>
                <w:w w:val="85"/>
                <w:sz w:val="14"/>
              </w:rPr>
              <w:t>los</w:t>
            </w:r>
            <w:r>
              <w:rPr>
                <w:spacing w:val="1"/>
                <w:sz w:val="14"/>
              </w:rPr>
              <w:t xml:space="preserve"> </w:t>
            </w:r>
            <w:r>
              <w:rPr>
                <w:w w:val="85"/>
                <w:sz w:val="14"/>
              </w:rPr>
              <w:t>revestimientos</w:t>
            </w:r>
            <w:r>
              <w:rPr>
                <w:spacing w:val="1"/>
                <w:sz w:val="14"/>
              </w:rPr>
              <w:t xml:space="preserve"> </w:t>
            </w:r>
            <w:r>
              <w:rPr>
                <w:w w:val="85"/>
                <w:sz w:val="14"/>
              </w:rPr>
              <w:t>de</w:t>
            </w:r>
            <w:r>
              <w:rPr>
                <w:spacing w:val="1"/>
                <w:sz w:val="14"/>
              </w:rPr>
              <w:t xml:space="preserve"> </w:t>
            </w:r>
            <w:r>
              <w:rPr>
                <w:w w:val="85"/>
                <w:sz w:val="14"/>
              </w:rPr>
              <w:t>parqué</w:t>
            </w:r>
            <w:r>
              <w:rPr>
                <w:spacing w:val="1"/>
                <w:sz w:val="14"/>
              </w:rPr>
              <w:t xml:space="preserve"> </w:t>
            </w:r>
            <w:r>
              <w:rPr>
                <w:w w:val="85"/>
                <w:sz w:val="14"/>
              </w:rPr>
              <w:t>y</w:t>
            </w:r>
            <w:r>
              <w:rPr>
                <w:spacing w:val="1"/>
                <w:sz w:val="14"/>
              </w:rPr>
              <w:t xml:space="preserve"> </w:t>
            </w:r>
            <w:r>
              <w:rPr>
                <w:w w:val="85"/>
                <w:sz w:val="14"/>
              </w:rPr>
              <w:t>otras</w:t>
            </w:r>
            <w:r>
              <w:rPr>
                <w:spacing w:val="1"/>
                <w:sz w:val="14"/>
              </w:rPr>
              <w:t xml:space="preserve"> </w:t>
            </w:r>
            <w:r>
              <w:rPr>
                <w:w w:val="85"/>
                <w:sz w:val="14"/>
              </w:rPr>
              <w:t>maderas</w:t>
            </w:r>
            <w:r>
              <w:rPr>
                <w:spacing w:val="1"/>
                <w:sz w:val="14"/>
              </w:rPr>
              <w:t xml:space="preserve"> </w:t>
            </w:r>
            <w:r>
              <w:rPr>
                <w:w w:val="85"/>
                <w:sz w:val="14"/>
              </w:rPr>
              <w:t>para</w:t>
            </w:r>
            <w:r>
              <w:rPr>
                <w:spacing w:val="1"/>
                <w:sz w:val="14"/>
              </w:rPr>
              <w:t xml:space="preserve"> </w:t>
            </w:r>
            <w:r>
              <w:rPr>
                <w:w w:val="85"/>
                <w:sz w:val="14"/>
              </w:rPr>
              <w:t>suelos</w:t>
            </w:r>
            <w:r>
              <w:rPr>
                <w:spacing w:val="1"/>
                <w:sz w:val="14"/>
              </w:rPr>
              <w:t xml:space="preserve"> </w:t>
            </w:r>
            <w:r>
              <w:rPr>
                <w:w w:val="85"/>
                <w:sz w:val="14"/>
              </w:rPr>
              <w:t>(véase</w:t>
            </w:r>
            <w:r>
              <w:rPr>
                <w:spacing w:val="1"/>
                <w:sz w:val="14"/>
              </w:rPr>
              <w:t xml:space="preserve"> </w:t>
            </w:r>
            <w:r>
              <w:rPr>
                <w:spacing w:val="-2"/>
                <w:w w:val="85"/>
                <w:sz w:val="14"/>
              </w:rPr>
              <w:t>45.43).</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6"/>
              <w:rPr>
                <w:sz w:val="14"/>
              </w:rPr>
            </w:pPr>
          </w:p>
          <w:p w:rsidR="0092635B" w:rsidRDefault="00000000">
            <w:pPr>
              <w:pStyle w:val="TableParagraph"/>
              <w:ind w:left="30" w:right="22"/>
              <w:jc w:val="center"/>
              <w:rPr>
                <w:sz w:val="14"/>
              </w:rPr>
            </w:pPr>
            <w:r>
              <w:rPr>
                <w:spacing w:val="-2"/>
                <w:w w:val="95"/>
                <w:sz w:val="14"/>
              </w:rPr>
              <w:t>45420000</w:t>
            </w:r>
          </w:p>
        </w:tc>
      </w:tr>
      <w:tr w:rsidR="0092635B">
        <w:trPr>
          <w:trHeight w:val="1171"/>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0"/>
              <w:rPr>
                <w:sz w:val="14"/>
              </w:rPr>
            </w:pPr>
          </w:p>
          <w:p w:rsidR="0092635B" w:rsidRDefault="00000000">
            <w:pPr>
              <w:pStyle w:val="TableParagraph"/>
              <w:ind w:left="6"/>
              <w:jc w:val="center"/>
              <w:rPr>
                <w:sz w:val="14"/>
              </w:rPr>
            </w:pPr>
            <w:r>
              <w:rPr>
                <w:spacing w:val="-2"/>
                <w:w w:val="95"/>
                <w:sz w:val="14"/>
              </w:rPr>
              <w:t>45,43</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spacing w:line="249" w:lineRule="auto"/>
              <w:ind w:left="41"/>
              <w:rPr>
                <w:sz w:val="14"/>
              </w:rPr>
            </w:pPr>
            <w:r>
              <w:rPr>
                <w:w w:val="85"/>
                <w:sz w:val="14"/>
              </w:rPr>
              <w:t>Revestimiento de suelos y</w:t>
            </w:r>
            <w:r>
              <w:rPr>
                <w:spacing w:val="40"/>
                <w:sz w:val="14"/>
              </w:rPr>
              <w:t xml:space="preserve"> </w:t>
            </w:r>
            <w:r>
              <w:rPr>
                <w:spacing w:val="-2"/>
                <w:w w:val="95"/>
                <w:sz w:val="14"/>
              </w:rPr>
              <w:t>paredes.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19"/>
              </w:numPr>
              <w:tabs>
                <w:tab w:val="left" w:pos="143"/>
              </w:tabs>
              <w:spacing w:before="7"/>
              <w:ind w:hanging="102"/>
              <w:rPr>
                <w:sz w:val="14"/>
              </w:rPr>
            </w:pPr>
            <w:r>
              <w:rPr>
                <w:w w:val="85"/>
                <w:sz w:val="14"/>
              </w:rPr>
              <w:t>la</w:t>
            </w:r>
            <w:r>
              <w:rPr>
                <w:spacing w:val="-1"/>
                <w:sz w:val="14"/>
              </w:rPr>
              <w:t xml:space="preserve"> </w:t>
            </w:r>
            <w:r>
              <w:rPr>
                <w:w w:val="85"/>
                <w:sz w:val="14"/>
              </w:rPr>
              <w:t>colocación</w:t>
            </w:r>
            <w:r>
              <w:rPr>
                <w:spacing w:val="-1"/>
                <w:sz w:val="14"/>
              </w:rPr>
              <w:t xml:space="preserve"> </w:t>
            </w:r>
            <w:r>
              <w:rPr>
                <w:w w:val="85"/>
                <w:sz w:val="14"/>
              </w:rPr>
              <w:t>en</w:t>
            </w:r>
            <w:r>
              <w:rPr>
                <w:sz w:val="14"/>
              </w:rPr>
              <w:t xml:space="preserve"> </w:t>
            </w:r>
            <w:r>
              <w:rPr>
                <w:w w:val="85"/>
                <w:sz w:val="14"/>
              </w:rPr>
              <w:t>edificios</w:t>
            </w:r>
            <w:r>
              <w:rPr>
                <w:spacing w:val="-1"/>
                <w:sz w:val="14"/>
              </w:rPr>
              <w:t xml:space="preserve"> </w:t>
            </w:r>
            <w:r>
              <w:rPr>
                <w:w w:val="85"/>
                <w:sz w:val="14"/>
              </w:rPr>
              <w:t>y</w:t>
            </w:r>
            <w:r>
              <w:rPr>
                <w:spacing w:val="-1"/>
                <w:sz w:val="14"/>
              </w:rPr>
              <w:t xml:space="preserve"> </w:t>
            </w:r>
            <w:r>
              <w:rPr>
                <w:w w:val="85"/>
                <w:sz w:val="14"/>
              </w:rPr>
              <w:t>otras</w:t>
            </w:r>
            <w:r>
              <w:rPr>
                <w:sz w:val="14"/>
              </w:rPr>
              <w:t xml:space="preserve"> </w:t>
            </w:r>
            <w:r>
              <w:rPr>
                <w:w w:val="85"/>
                <w:sz w:val="14"/>
              </w:rPr>
              <w:t>obras</w:t>
            </w:r>
            <w:r>
              <w:rPr>
                <w:spacing w:val="-1"/>
                <w:sz w:val="14"/>
              </w:rPr>
              <w:t xml:space="preserve"> </w:t>
            </w:r>
            <w:r>
              <w:rPr>
                <w:w w:val="85"/>
                <w:sz w:val="14"/>
              </w:rPr>
              <w:t>de</w:t>
            </w:r>
            <w:r>
              <w:rPr>
                <w:spacing w:val="-1"/>
                <w:sz w:val="14"/>
              </w:rPr>
              <w:t xml:space="preserve"> </w:t>
            </w:r>
            <w:r>
              <w:rPr>
                <w:w w:val="85"/>
                <w:sz w:val="14"/>
              </w:rPr>
              <w:t>construcción</w:t>
            </w:r>
            <w:r>
              <w:rPr>
                <w:sz w:val="14"/>
              </w:rPr>
              <w:t xml:space="preserve"> </w:t>
            </w:r>
            <w:r>
              <w:rPr>
                <w:spacing w:val="-5"/>
                <w:w w:val="85"/>
                <w:sz w:val="14"/>
              </w:rPr>
              <w:t>de:</w:t>
            </w:r>
          </w:p>
          <w:p w:rsidR="0092635B" w:rsidRDefault="00000000">
            <w:pPr>
              <w:pStyle w:val="TableParagraph"/>
              <w:numPr>
                <w:ilvl w:val="0"/>
                <w:numId w:val="19"/>
              </w:numPr>
              <w:tabs>
                <w:tab w:val="left" w:pos="143"/>
              </w:tabs>
              <w:spacing w:before="7"/>
              <w:ind w:hanging="102"/>
              <w:rPr>
                <w:sz w:val="14"/>
              </w:rPr>
            </w:pPr>
            <w:r>
              <w:rPr>
                <w:w w:val="85"/>
                <w:sz w:val="14"/>
              </w:rPr>
              <w:t>revestimientos</w:t>
            </w:r>
            <w:r>
              <w:rPr>
                <w:sz w:val="14"/>
              </w:rPr>
              <w:t xml:space="preserve"> </w:t>
            </w:r>
            <w:r>
              <w:rPr>
                <w:w w:val="85"/>
                <w:sz w:val="14"/>
              </w:rPr>
              <w:t>de</w:t>
            </w:r>
            <w:r>
              <w:rPr>
                <w:spacing w:val="1"/>
                <w:sz w:val="14"/>
              </w:rPr>
              <w:t xml:space="preserve"> </w:t>
            </w:r>
            <w:r>
              <w:rPr>
                <w:w w:val="85"/>
                <w:sz w:val="14"/>
              </w:rPr>
              <w:t>cerámica,</w:t>
            </w:r>
            <w:r>
              <w:rPr>
                <w:spacing w:val="1"/>
                <w:sz w:val="14"/>
              </w:rPr>
              <w:t xml:space="preserve"> </w:t>
            </w:r>
            <w:r>
              <w:rPr>
                <w:w w:val="85"/>
                <w:sz w:val="14"/>
              </w:rPr>
              <w:t>hormigón</w:t>
            </w:r>
            <w:r>
              <w:rPr>
                <w:spacing w:val="1"/>
                <w:sz w:val="14"/>
              </w:rPr>
              <w:t xml:space="preserve"> </w:t>
            </w:r>
            <w:r>
              <w:rPr>
                <w:w w:val="85"/>
                <w:sz w:val="14"/>
              </w:rPr>
              <w:t>o</w:t>
            </w:r>
            <w:r>
              <w:rPr>
                <w:sz w:val="14"/>
              </w:rPr>
              <w:t xml:space="preserve"> </w:t>
            </w:r>
            <w:r>
              <w:rPr>
                <w:w w:val="85"/>
                <w:sz w:val="14"/>
              </w:rPr>
              <w:t>piedra</w:t>
            </w:r>
            <w:r>
              <w:rPr>
                <w:spacing w:val="1"/>
                <w:sz w:val="14"/>
              </w:rPr>
              <w:t xml:space="preserve"> </w:t>
            </w:r>
            <w:r>
              <w:rPr>
                <w:w w:val="85"/>
                <w:sz w:val="14"/>
              </w:rPr>
              <w:t>tallada</w:t>
            </w:r>
            <w:r>
              <w:rPr>
                <w:spacing w:val="1"/>
                <w:sz w:val="14"/>
              </w:rPr>
              <w:t xml:space="preserve"> </w:t>
            </w:r>
            <w:r>
              <w:rPr>
                <w:w w:val="85"/>
                <w:sz w:val="14"/>
              </w:rPr>
              <w:t>para</w:t>
            </w:r>
            <w:r>
              <w:rPr>
                <w:spacing w:val="1"/>
                <w:sz w:val="14"/>
              </w:rPr>
              <w:t xml:space="preserve"> </w:t>
            </w:r>
            <w:r>
              <w:rPr>
                <w:w w:val="85"/>
                <w:sz w:val="14"/>
              </w:rPr>
              <w:t>paredes</w:t>
            </w:r>
            <w:r>
              <w:rPr>
                <w:sz w:val="14"/>
              </w:rPr>
              <w:t xml:space="preserve"> </w:t>
            </w:r>
            <w:r>
              <w:rPr>
                <w:w w:val="85"/>
                <w:sz w:val="14"/>
              </w:rPr>
              <w:t>y</w:t>
            </w:r>
            <w:r>
              <w:rPr>
                <w:spacing w:val="1"/>
                <w:sz w:val="14"/>
              </w:rPr>
              <w:t xml:space="preserve"> </w:t>
            </w:r>
            <w:r>
              <w:rPr>
                <w:spacing w:val="-2"/>
                <w:w w:val="85"/>
                <w:sz w:val="14"/>
              </w:rPr>
              <w:t>suelos,</w:t>
            </w:r>
          </w:p>
          <w:p w:rsidR="0092635B" w:rsidRDefault="00000000">
            <w:pPr>
              <w:pStyle w:val="TableParagraph"/>
              <w:numPr>
                <w:ilvl w:val="0"/>
                <w:numId w:val="19"/>
              </w:numPr>
              <w:tabs>
                <w:tab w:val="left" w:pos="143"/>
              </w:tabs>
              <w:spacing w:before="7"/>
              <w:ind w:hanging="102"/>
              <w:rPr>
                <w:sz w:val="14"/>
              </w:rPr>
            </w:pPr>
            <w:r>
              <w:rPr>
                <w:w w:val="85"/>
                <w:sz w:val="14"/>
              </w:rPr>
              <w:t>revestimientos</w:t>
            </w:r>
            <w:r>
              <w:rPr>
                <w:sz w:val="14"/>
              </w:rPr>
              <w:t xml:space="preserve"> </w:t>
            </w:r>
            <w:r>
              <w:rPr>
                <w:w w:val="85"/>
                <w:sz w:val="14"/>
              </w:rPr>
              <w:t>de</w:t>
            </w:r>
            <w:r>
              <w:rPr>
                <w:spacing w:val="1"/>
                <w:sz w:val="14"/>
              </w:rPr>
              <w:t xml:space="preserve"> </w:t>
            </w:r>
            <w:r>
              <w:rPr>
                <w:w w:val="85"/>
                <w:sz w:val="14"/>
              </w:rPr>
              <w:t>parqué</w:t>
            </w:r>
            <w:r>
              <w:rPr>
                <w:spacing w:val="1"/>
                <w:sz w:val="14"/>
              </w:rPr>
              <w:t xml:space="preserve"> </w:t>
            </w:r>
            <w:r>
              <w:rPr>
                <w:w w:val="85"/>
                <w:sz w:val="14"/>
              </w:rPr>
              <w:t>y</w:t>
            </w:r>
            <w:r>
              <w:rPr>
                <w:sz w:val="14"/>
              </w:rPr>
              <w:t xml:space="preserve"> </w:t>
            </w:r>
            <w:r>
              <w:rPr>
                <w:w w:val="85"/>
                <w:sz w:val="14"/>
              </w:rPr>
              <w:t>otras</w:t>
            </w:r>
            <w:r>
              <w:rPr>
                <w:spacing w:val="1"/>
                <w:sz w:val="14"/>
              </w:rPr>
              <w:t xml:space="preserve"> </w:t>
            </w:r>
            <w:r>
              <w:rPr>
                <w:w w:val="85"/>
                <w:sz w:val="14"/>
              </w:rPr>
              <w:t>maderas</w:t>
            </w:r>
            <w:r>
              <w:rPr>
                <w:spacing w:val="1"/>
                <w:sz w:val="14"/>
              </w:rPr>
              <w:t xml:space="preserve"> </w:t>
            </w:r>
            <w:r>
              <w:rPr>
                <w:w w:val="85"/>
                <w:sz w:val="14"/>
              </w:rPr>
              <w:t>para</w:t>
            </w:r>
            <w:r>
              <w:rPr>
                <w:sz w:val="14"/>
              </w:rPr>
              <w:t xml:space="preserve"> </w:t>
            </w:r>
            <w:r>
              <w:rPr>
                <w:w w:val="85"/>
                <w:sz w:val="14"/>
              </w:rPr>
              <w:t>suelos</w:t>
            </w:r>
            <w:r>
              <w:rPr>
                <w:spacing w:val="1"/>
                <w:sz w:val="14"/>
              </w:rPr>
              <w:t xml:space="preserve"> </w:t>
            </w:r>
            <w:r>
              <w:rPr>
                <w:w w:val="85"/>
                <w:sz w:val="14"/>
              </w:rPr>
              <w:t>y</w:t>
            </w:r>
            <w:r>
              <w:rPr>
                <w:spacing w:val="1"/>
                <w:sz w:val="14"/>
              </w:rPr>
              <w:t xml:space="preserve"> </w:t>
            </w:r>
            <w:r>
              <w:rPr>
                <w:w w:val="85"/>
                <w:sz w:val="14"/>
              </w:rPr>
              <w:t>revestimientos</w:t>
            </w:r>
            <w:r>
              <w:rPr>
                <w:spacing w:val="1"/>
                <w:sz w:val="14"/>
              </w:rPr>
              <w:t xml:space="preserve"> </w:t>
            </w:r>
            <w:r>
              <w:rPr>
                <w:w w:val="85"/>
                <w:sz w:val="14"/>
              </w:rPr>
              <w:t>de</w:t>
            </w:r>
            <w:r>
              <w:rPr>
                <w:sz w:val="14"/>
              </w:rPr>
              <w:t xml:space="preserve"> </w:t>
            </w:r>
            <w:r>
              <w:rPr>
                <w:w w:val="85"/>
                <w:sz w:val="14"/>
              </w:rPr>
              <w:t>moqueta</w:t>
            </w:r>
            <w:r>
              <w:rPr>
                <w:spacing w:val="1"/>
                <w:sz w:val="14"/>
              </w:rPr>
              <w:t xml:space="preserve"> </w:t>
            </w:r>
            <w:r>
              <w:rPr>
                <w:w w:val="85"/>
                <w:sz w:val="14"/>
              </w:rPr>
              <w:t>y</w:t>
            </w:r>
            <w:r>
              <w:rPr>
                <w:spacing w:val="1"/>
                <w:sz w:val="14"/>
              </w:rPr>
              <w:t xml:space="preserve"> </w:t>
            </w:r>
            <w:r>
              <w:rPr>
                <w:w w:val="85"/>
                <w:sz w:val="14"/>
              </w:rPr>
              <w:t>linóleo</w:t>
            </w:r>
            <w:r>
              <w:rPr>
                <w:sz w:val="14"/>
              </w:rPr>
              <w:t xml:space="preserve"> </w:t>
            </w:r>
            <w:r>
              <w:rPr>
                <w:w w:val="85"/>
                <w:sz w:val="14"/>
              </w:rPr>
              <w:t>para</w:t>
            </w:r>
            <w:r>
              <w:rPr>
                <w:spacing w:val="1"/>
                <w:sz w:val="14"/>
              </w:rPr>
              <w:t xml:space="preserve"> </w:t>
            </w:r>
            <w:r>
              <w:rPr>
                <w:spacing w:val="-2"/>
                <w:w w:val="85"/>
                <w:sz w:val="14"/>
              </w:rPr>
              <w:t>suelos,</w:t>
            </w:r>
          </w:p>
          <w:p w:rsidR="0092635B" w:rsidRDefault="00000000">
            <w:pPr>
              <w:pStyle w:val="TableParagraph"/>
              <w:numPr>
                <w:ilvl w:val="0"/>
                <w:numId w:val="19"/>
              </w:numPr>
              <w:tabs>
                <w:tab w:val="left" w:pos="143"/>
              </w:tabs>
              <w:spacing w:before="7"/>
              <w:ind w:hanging="102"/>
              <w:rPr>
                <w:sz w:val="14"/>
              </w:rPr>
            </w:pPr>
            <w:r>
              <w:rPr>
                <w:w w:val="85"/>
                <w:sz w:val="14"/>
              </w:rPr>
              <w:t>incluidos</w:t>
            </w:r>
            <w:r>
              <w:rPr>
                <w:sz w:val="14"/>
              </w:rPr>
              <w:t xml:space="preserve"> </w:t>
            </w:r>
            <w:r>
              <w:rPr>
                <w:w w:val="85"/>
                <w:sz w:val="14"/>
              </w:rPr>
              <w:t>el</w:t>
            </w:r>
            <w:r>
              <w:rPr>
                <w:spacing w:val="1"/>
                <w:sz w:val="14"/>
              </w:rPr>
              <w:t xml:space="preserve"> </w:t>
            </w:r>
            <w:r>
              <w:rPr>
                <w:w w:val="85"/>
                <w:sz w:val="14"/>
              </w:rPr>
              <w:t>caucho</w:t>
            </w:r>
            <w:r>
              <w:rPr>
                <w:spacing w:val="1"/>
                <w:sz w:val="14"/>
              </w:rPr>
              <w:t xml:space="preserve"> </w:t>
            </w:r>
            <w:r>
              <w:rPr>
                <w:w w:val="85"/>
                <w:sz w:val="14"/>
              </w:rPr>
              <w:t>o</w:t>
            </w:r>
            <w:r>
              <w:rPr>
                <w:sz w:val="14"/>
              </w:rPr>
              <w:t xml:space="preserve"> </w:t>
            </w:r>
            <w:r>
              <w:rPr>
                <w:w w:val="85"/>
                <w:sz w:val="14"/>
              </w:rPr>
              <w:t>los</w:t>
            </w:r>
            <w:r>
              <w:rPr>
                <w:spacing w:val="1"/>
                <w:sz w:val="14"/>
              </w:rPr>
              <w:t xml:space="preserve"> </w:t>
            </w:r>
            <w:r>
              <w:rPr>
                <w:w w:val="85"/>
                <w:sz w:val="14"/>
              </w:rPr>
              <w:t>materiales</w:t>
            </w:r>
            <w:r>
              <w:rPr>
                <w:spacing w:val="1"/>
                <w:sz w:val="14"/>
              </w:rPr>
              <w:t xml:space="preserve"> </w:t>
            </w:r>
            <w:r>
              <w:rPr>
                <w:spacing w:val="-2"/>
                <w:w w:val="85"/>
                <w:sz w:val="14"/>
              </w:rPr>
              <w:t>plásticos,</w:t>
            </w:r>
          </w:p>
          <w:p w:rsidR="0092635B" w:rsidRDefault="00000000">
            <w:pPr>
              <w:pStyle w:val="TableParagraph"/>
              <w:numPr>
                <w:ilvl w:val="0"/>
                <w:numId w:val="19"/>
              </w:numPr>
              <w:tabs>
                <w:tab w:val="left" w:pos="143"/>
              </w:tabs>
              <w:spacing w:before="7"/>
              <w:ind w:hanging="102"/>
              <w:rPr>
                <w:sz w:val="14"/>
              </w:rPr>
            </w:pPr>
            <w:r>
              <w:rPr>
                <w:w w:val="85"/>
                <w:sz w:val="14"/>
              </w:rPr>
              <w:t>revestimientos</w:t>
            </w:r>
            <w:r>
              <w:rPr>
                <w:spacing w:val="1"/>
                <w:sz w:val="14"/>
              </w:rPr>
              <w:t xml:space="preserve"> </w:t>
            </w:r>
            <w:r>
              <w:rPr>
                <w:w w:val="85"/>
                <w:sz w:val="14"/>
              </w:rPr>
              <w:t>de</w:t>
            </w:r>
            <w:r>
              <w:rPr>
                <w:spacing w:val="1"/>
                <w:sz w:val="14"/>
              </w:rPr>
              <w:t xml:space="preserve"> </w:t>
            </w:r>
            <w:r>
              <w:rPr>
                <w:w w:val="85"/>
                <w:sz w:val="14"/>
              </w:rPr>
              <w:t>terrazo,</w:t>
            </w:r>
            <w:r>
              <w:rPr>
                <w:spacing w:val="1"/>
                <w:sz w:val="14"/>
              </w:rPr>
              <w:t xml:space="preserve"> </w:t>
            </w:r>
            <w:r>
              <w:rPr>
                <w:w w:val="85"/>
                <w:sz w:val="14"/>
              </w:rPr>
              <w:t>mármol,</w:t>
            </w:r>
            <w:r>
              <w:rPr>
                <w:spacing w:val="1"/>
                <w:sz w:val="14"/>
              </w:rPr>
              <w:t xml:space="preserve"> </w:t>
            </w:r>
            <w:r>
              <w:rPr>
                <w:w w:val="85"/>
                <w:sz w:val="14"/>
              </w:rPr>
              <w:t>granito</w:t>
            </w:r>
            <w:r>
              <w:rPr>
                <w:spacing w:val="1"/>
                <w:sz w:val="14"/>
              </w:rPr>
              <w:t xml:space="preserve"> </w:t>
            </w:r>
            <w:r>
              <w:rPr>
                <w:w w:val="85"/>
                <w:sz w:val="14"/>
              </w:rPr>
              <w:t>o</w:t>
            </w:r>
            <w:r>
              <w:rPr>
                <w:spacing w:val="1"/>
                <w:sz w:val="14"/>
              </w:rPr>
              <w:t xml:space="preserve"> </w:t>
            </w:r>
            <w:r>
              <w:rPr>
                <w:w w:val="85"/>
                <w:sz w:val="14"/>
              </w:rPr>
              <w:t>pizarra</w:t>
            </w:r>
            <w:r>
              <w:rPr>
                <w:spacing w:val="1"/>
                <w:sz w:val="14"/>
              </w:rPr>
              <w:t xml:space="preserve"> </w:t>
            </w:r>
            <w:r>
              <w:rPr>
                <w:w w:val="85"/>
                <w:sz w:val="14"/>
              </w:rPr>
              <w:t>para</w:t>
            </w:r>
            <w:r>
              <w:rPr>
                <w:spacing w:val="1"/>
                <w:sz w:val="14"/>
              </w:rPr>
              <w:t xml:space="preserve"> </w:t>
            </w:r>
            <w:r>
              <w:rPr>
                <w:w w:val="85"/>
                <w:sz w:val="14"/>
              </w:rPr>
              <w:t>paredes</w:t>
            </w:r>
            <w:r>
              <w:rPr>
                <w:spacing w:val="1"/>
                <w:sz w:val="14"/>
              </w:rPr>
              <w:t xml:space="preserve"> </w:t>
            </w:r>
            <w:r>
              <w:rPr>
                <w:w w:val="85"/>
                <w:sz w:val="14"/>
              </w:rPr>
              <w:t>y</w:t>
            </w:r>
            <w:r>
              <w:rPr>
                <w:spacing w:val="1"/>
                <w:sz w:val="14"/>
              </w:rPr>
              <w:t xml:space="preserve"> </w:t>
            </w:r>
            <w:r>
              <w:rPr>
                <w:spacing w:val="-2"/>
                <w:w w:val="85"/>
                <w:sz w:val="14"/>
              </w:rPr>
              <w:t>suelos,</w:t>
            </w:r>
          </w:p>
          <w:p w:rsidR="0092635B" w:rsidRDefault="00000000">
            <w:pPr>
              <w:pStyle w:val="TableParagraph"/>
              <w:numPr>
                <w:ilvl w:val="0"/>
                <w:numId w:val="19"/>
              </w:numPr>
              <w:tabs>
                <w:tab w:val="left" w:pos="143"/>
              </w:tabs>
              <w:spacing w:before="7" w:line="145" w:lineRule="exact"/>
              <w:ind w:hanging="102"/>
              <w:rPr>
                <w:sz w:val="14"/>
              </w:rPr>
            </w:pPr>
            <w:r>
              <w:rPr>
                <w:w w:val="85"/>
                <w:sz w:val="14"/>
              </w:rPr>
              <w:t>papeles</w:t>
            </w:r>
            <w:r>
              <w:rPr>
                <w:spacing w:val="4"/>
                <w:sz w:val="14"/>
              </w:rPr>
              <w:t xml:space="preserve"> </w:t>
            </w:r>
            <w:r>
              <w:rPr>
                <w:spacing w:val="-2"/>
                <w:w w:val="90"/>
                <w:sz w:val="14"/>
              </w:rPr>
              <w:t>pintados.</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rPr>
                <w:sz w:val="14"/>
              </w:rPr>
            </w:pPr>
          </w:p>
          <w:p w:rsidR="0092635B" w:rsidRDefault="0092635B">
            <w:pPr>
              <w:pStyle w:val="TableParagraph"/>
              <w:spacing w:before="20"/>
              <w:rPr>
                <w:sz w:val="14"/>
              </w:rPr>
            </w:pPr>
          </w:p>
          <w:p w:rsidR="0092635B" w:rsidRDefault="00000000">
            <w:pPr>
              <w:pStyle w:val="TableParagraph"/>
              <w:ind w:left="30" w:right="22"/>
              <w:jc w:val="center"/>
              <w:rPr>
                <w:sz w:val="14"/>
              </w:rPr>
            </w:pPr>
            <w:r>
              <w:rPr>
                <w:spacing w:val="-2"/>
                <w:w w:val="95"/>
                <w:sz w:val="14"/>
              </w:rPr>
              <w:t>45430000</w:t>
            </w:r>
          </w:p>
        </w:tc>
      </w:tr>
      <w:tr w:rsidR="0092635B">
        <w:trPr>
          <w:trHeight w:val="1003"/>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6"/>
              <w:jc w:val="center"/>
              <w:rPr>
                <w:sz w:val="14"/>
              </w:rPr>
            </w:pPr>
            <w:r>
              <w:rPr>
                <w:spacing w:val="-2"/>
                <w:w w:val="95"/>
                <w:sz w:val="14"/>
              </w:rPr>
              <w:t>45,44</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41"/>
              <w:rPr>
                <w:sz w:val="14"/>
              </w:rPr>
            </w:pPr>
            <w:r>
              <w:rPr>
                <w:w w:val="85"/>
                <w:sz w:val="14"/>
              </w:rPr>
              <w:t>Pintura</w:t>
            </w:r>
            <w:r>
              <w:rPr>
                <w:spacing w:val="-3"/>
                <w:sz w:val="14"/>
              </w:rPr>
              <w:t xml:space="preserve"> </w:t>
            </w:r>
            <w:r>
              <w:rPr>
                <w:w w:val="85"/>
                <w:sz w:val="14"/>
              </w:rPr>
              <w:t>y</w:t>
            </w:r>
            <w:r>
              <w:rPr>
                <w:spacing w:val="-3"/>
                <w:sz w:val="14"/>
              </w:rPr>
              <w:t xml:space="preserve"> </w:t>
            </w:r>
            <w:r>
              <w:rPr>
                <w:spacing w:val="-2"/>
                <w:w w:val="85"/>
                <w:sz w:val="14"/>
              </w:rPr>
              <w:t>acristalamiento.</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18"/>
              </w:numPr>
              <w:tabs>
                <w:tab w:val="left" w:pos="143"/>
              </w:tabs>
              <w:spacing w:before="7"/>
              <w:ind w:left="143" w:hanging="102"/>
              <w:rPr>
                <w:sz w:val="14"/>
              </w:rPr>
            </w:pPr>
            <w:r>
              <w:rPr>
                <w:w w:val="85"/>
                <w:sz w:val="14"/>
              </w:rPr>
              <w:t>la</w:t>
            </w:r>
            <w:r>
              <w:rPr>
                <w:spacing w:val="-1"/>
                <w:sz w:val="14"/>
              </w:rPr>
              <w:t xml:space="preserve"> </w:t>
            </w:r>
            <w:r>
              <w:rPr>
                <w:w w:val="85"/>
                <w:sz w:val="14"/>
              </w:rPr>
              <w:t>pintura</w:t>
            </w:r>
            <w:r>
              <w:rPr>
                <w:spacing w:val="-1"/>
                <w:sz w:val="14"/>
              </w:rPr>
              <w:t xml:space="preserve"> </w:t>
            </w:r>
            <w:r>
              <w:rPr>
                <w:w w:val="85"/>
                <w:sz w:val="14"/>
              </w:rPr>
              <w:t>interior</w:t>
            </w:r>
            <w:r>
              <w:rPr>
                <w:spacing w:val="-1"/>
                <w:sz w:val="14"/>
              </w:rPr>
              <w:t xml:space="preserve"> </w:t>
            </w:r>
            <w:r>
              <w:rPr>
                <w:w w:val="85"/>
                <w:sz w:val="14"/>
              </w:rPr>
              <w:t>y</w:t>
            </w:r>
            <w:r>
              <w:rPr>
                <w:spacing w:val="-1"/>
                <w:sz w:val="14"/>
              </w:rPr>
              <w:t xml:space="preserve"> </w:t>
            </w:r>
            <w:r>
              <w:rPr>
                <w:w w:val="85"/>
                <w:sz w:val="14"/>
              </w:rPr>
              <w:t>exterior</w:t>
            </w:r>
            <w:r>
              <w:rPr>
                <w:spacing w:val="-1"/>
                <w:sz w:val="14"/>
              </w:rPr>
              <w:t xml:space="preserve"> </w:t>
            </w:r>
            <w:r>
              <w:rPr>
                <w:w w:val="85"/>
                <w:sz w:val="14"/>
              </w:rPr>
              <w:t>de</w:t>
            </w:r>
            <w:r>
              <w:rPr>
                <w:sz w:val="14"/>
              </w:rPr>
              <w:t xml:space="preserve"> </w:t>
            </w:r>
            <w:r>
              <w:rPr>
                <w:spacing w:val="-2"/>
                <w:w w:val="85"/>
                <w:sz w:val="14"/>
              </w:rPr>
              <w:t>edificios,</w:t>
            </w:r>
          </w:p>
          <w:p w:rsidR="0092635B" w:rsidRDefault="00000000">
            <w:pPr>
              <w:pStyle w:val="TableParagraph"/>
              <w:numPr>
                <w:ilvl w:val="0"/>
                <w:numId w:val="18"/>
              </w:numPr>
              <w:tabs>
                <w:tab w:val="left" w:pos="143"/>
              </w:tabs>
              <w:spacing w:before="7"/>
              <w:ind w:left="143" w:hanging="102"/>
              <w:rPr>
                <w:sz w:val="14"/>
              </w:rPr>
            </w:pPr>
            <w:r>
              <w:rPr>
                <w:w w:val="85"/>
                <w:sz w:val="14"/>
              </w:rPr>
              <w:t>la</w:t>
            </w:r>
            <w:r>
              <w:rPr>
                <w:spacing w:val="-2"/>
                <w:sz w:val="14"/>
              </w:rPr>
              <w:t xml:space="preserve"> </w:t>
            </w:r>
            <w:r>
              <w:rPr>
                <w:w w:val="85"/>
                <w:sz w:val="14"/>
              </w:rPr>
              <w:t>pintura</w:t>
            </w:r>
            <w:r>
              <w:rPr>
                <w:spacing w:val="-2"/>
                <w:sz w:val="14"/>
              </w:rPr>
              <w:t xml:space="preserve"> </w:t>
            </w:r>
            <w:r>
              <w:rPr>
                <w:w w:val="85"/>
                <w:sz w:val="14"/>
              </w:rPr>
              <w:t>de</w:t>
            </w:r>
            <w:r>
              <w:rPr>
                <w:spacing w:val="-2"/>
                <w:sz w:val="14"/>
              </w:rPr>
              <w:t xml:space="preserve"> </w:t>
            </w:r>
            <w:r>
              <w:rPr>
                <w:w w:val="85"/>
                <w:sz w:val="14"/>
              </w:rPr>
              <w:t>obras</w:t>
            </w:r>
            <w:r>
              <w:rPr>
                <w:spacing w:val="-2"/>
                <w:sz w:val="14"/>
              </w:rPr>
              <w:t xml:space="preserve"> </w:t>
            </w:r>
            <w:r>
              <w:rPr>
                <w:w w:val="85"/>
                <w:sz w:val="14"/>
              </w:rPr>
              <w:t>de</w:t>
            </w:r>
            <w:r>
              <w:rPr>
                <w:spacing w:val="-2"/>
                <w:sz w:val="14"/>
              </w:rPr>
              <w:t xml:space="preserve"> </w:t>
            </w:r>
            <w:r>
              <w:rPr>
                <w:w w:val="85"/>
                <w:sz w:val="14"/>
              </w:rPr>
              <w:t>ingeniería</w:t>
            </w:r>
            <w:r>
              <w:rPr>
                <w:spacing w:val="-2"/>
                <w:sz w:val="14"/>
              </w:rPr>
              <w:t xml:space="preserve"> </w:t>
            </w:r>
            <w:r>
              <w:rPr>
                <w:spacing w:val="-2"/>
                <w:w w:val="85"/>
                <w:sz w:val="14"/>
              </w:rPr>
              <w:t>civil,</w:t>
            </w:r>
          </w:p>
          <w:p w:rsidR="0092635B" w:rsidRDefault="00000000">
            <w:pPr>
              <w:pStyle w:val="TableParagraph"/>
              <w:numPr>
                <w:ilvl w:val="0"/>
                <w:numId w:val="18"/>
              </w:numPr>
              <w:tabs>
                <w:tab w:val="left" w:pos="143"/>
              </w:tabs>
              <w:spacing w:before="7" w:line="249" w:lineRule="auto"/>
              <w:ind w:right="3993" w:firstLine="0"/>
              <w:rPr>
                <w:sz w:val="14"/>
              </w:rPr>
            </w:pPr>
            <w:r>
              <w:rPr>
                <w:w w:val="85"/>
                <w:sz w:val="14"/>
              </w:rPr>
              <w:t>la instalación de cristales, espejos, etc.</w:t>
            </w:r>
            <w:r>
              <w:rPr>
                <w:spacing w:val="40"/>
                <w:sz w:val="14"/>
              </w:rPr>
              <w:t xml:space="preserve"> </w:t>
            </w:r>
            <w:r>
              <w:rPr>
                <w:w w:val="95"/>
                <w:sz w:val="14"/>
              </w:rPr>
              <w:t>Esta</w:t>
            </w:r>
            <w:r>
              <w:rPr>
                <w:spacing w:val="-3"/>
                <w:w w:val="95"/>
                <w:sz w:val="14"/>
              </w:rPr>
              <w:t xml:space="preserve"> </w:t>
            </w:r>
            <w:r>
              <w:rPr>
                <w:w w:val="95"/>
                <w:sz w:val="14"/>
              </w:rPr>
              <w:t>clase</w:t>
            </w:r>
            <w:r>
              <w:rPr>
                <w:spacing w:val="-4"/>
                <w:w w:val="95"/>
                <w:sz w:val="14"/>
              </w:rPr>
              <w:t xml:space="preserve"> </w:t>
            </w:r>
            <w:r>
              <w:rPr>
                <w:w w:val="95"/>
                <w:sz w:val="14"/>
              </w:rPr>
              <w:t>no</w:t>
            </w:r>
            <w:r>
              <w:rPr>
                <w:spacing w:val="-3"/>
                <w:w w:val="95"/>
                <w:sz w:val="14"/>
              </w:rPr>
              <w:t xml:space="preserve"> </w:t>
            </w:r>
            <w:r>
              <w:rPr>
                <w:w w:val="95"/>
                <w:sz w:val="14"/>
              </w:rPr>
              <w:t>comprende:</w:t>
            </w:r>
          </w:p>
          <w:p w:rsidR="0092635B" w:rsidRDefault="00000000">
            <w:pPr>
              <w:pStyle w:val="TableParagraph"/>
              <w:numPr>
                <w:ilvl w:val="0"/>
                <w:numId w:val="18"/>
              </w:numPr>
              <w:tabs>
                <w:tab w:val="left" w:pos="143"/>
              </w:tabs>
              <w:spacing w:before="1" w:line="145" w:lineRule="exact"/>
              <w:ind w:left="143" w:hanging="102"/>
              <w:rPr>
                <w:sz w:val="14"/>
              </w:rPr>
            </w:pPr>
            <w:r>
              <w:rPr>
                <w:w w:val="85"/>
                <w:sz w:val="14"/>
              </w:rPr>
              <w:t>la</w:t>
            </w:r>
            <w:r>
              <w:rPr>
                <w:spacing w:val="-1"/>
                <w:sz w:val="14"/>
              </w:rPr>
              <w:t xml:space="preserve"> </w:t>
            </w:r>
            <w:r>
              <w:rPr>
                <w:w w:val="85"/>
                <w:sz w:val="14"/>
              </w:rPr>
              <w:t>instalación</w:t>
            </w:r>
            <w:r>
              <w:rPr>
                <w:spacing w:val="-1"/>
                <w:sz w:val="14"/>
              </w:rPr>
              <w:t xml:space="preserve"> </w:t>
            </w:r>
            <w:r>
              <w:rPr>
                <w:w w:val="85"/>
                <w:sz w:val="14"/>
              </w:rPr>
              <w:t>de</w:t>
            </w:r>
            <w:r>
              <w:rPr>
                <w:spacing w:val="-1"/>
                <w:sz w:val="14"/>
              </w:rPr>
              <w:t xml:space="preserve"> </w:t>
            </w:r>
            <w:r>
              <w:rPr>
                <w:w w:val="85"/>
                <w:sz w:val="14"/>
              </w:rPr>
              <w:t>ventanas</w:t>
            </w:r>
            <w:r>
              <w:rPr>
                <w:sz w:val="14"/>
              </w:rPr>
              <w:t xml:space="preserve"> </w:t>
            </w:r>
            <w:r>
              <w:rPr>
                <w:w w:val="85"/>
                <w:sz w:val="14"/>
              </w:rPr>
              <w:t>(véase</w:t>
            </w:r>
            <w:r>
              <w:rPr>
                <w:spacing w:val="-1"/>
                <w:sz w:val="14"/>
              </w:rPr>
              <w:t xml:space="preserve"> </w:t>
            </w:r>
            <w:r>
              <w:rPr>
                <w:spacing w:val="-2"/>
                <w:w w:val="85"/>
                <w:sz w:val="14"/>
              </w:rPr>
              <w:t>45.42).</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30" w:right="22"/>
              <w:jc w:val="center"/>
              <w:rPr>
                <w:sz w:val="14"/>
              </w:rPr>
            </w:pPr>
            <w:r>
              <w:rPr>
                <w:spacing w:val="-2"/>
                <w:w w:val="95"/>
                <w:sz w:val="14"/>
              </w:rPr>
              <w:t>45440000</w:t>
            </w:r>
          </w:p>
        </w:tc>
      </w:tr>
      <w:tr w:rsidR="0092635B">
        <w:trPr>
          <w:trHeight w:val="1003"/>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97"/>
              <w:rPr>
                <w:sz w:val="14"/>
              </w:rPr>
            </w:pPr>
          </w:p>
          <w:p w:rsidR="0092635B" w:rsidRDefault="00000000">
            <w:pPr>
              <w:pStyle w:val="TableParagraph"/>
              <w:ind w:left="6"/>
              <w:jc w:val="center"/>
              <w:rPr>
                <w:sz w:val="14"/>
              </w:rPr>
            </w:pPr>
            <w:r>
              <w:rPr>
                <w:spacing w:val="-2"/>
                <w:w w:val="95"/>
                <w:sz w:val="14"/>
              </w:rPr>
              <w:t>45,45</w:t>
            </w:r>
          </w:p>
        </w:tc>
        <w:tc>
          <w:tcPr>
            <w:tcW w:w="1596"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sz w:val="14"/>
              </w:rPr>
            </w:pPr>
          </w:p>
          <w:p w:rsidR="0092635B" w:rsidRDefault="0092635B">
            <w:pPr>
              <w:pStyle w:val="TableParagraph"/>
              <w:spacing w:before="13"/>
              <w:rPr>
                <w:sz w:val="14"/>
              </w:rPr>
            </w:pPr>
          </w:p>
          <w:p w:rsidR="0092635B" w:rsidRDefault="00000000">
            <w:pPr>
              <w:pStyle w:val="TableParagraph"/>
              <w:spacing w:line="249" w:lineRule="auto"/>
              <w:ind w:left="41" w:right="498"/>
              <w:rPr>
                <w:sz w:val="14"/>
              </w:rPr>
            </w:pPr>
            <w:r>
              <w:rPr>
                <w:spacing w:val="-2"/>
                <w:w w:val="90"/>
                <w:sz w:val="14"/>
              </w:rPr>
              <w:t>Otros</w:t>
            </w:r>
            <w:r>
              <w:rPr>
                <w:spacing w:val="-4"/>
                <w:w w:val="90"/>
                <w:sz w:val="14"/>
              </w:rPr>
              <w:t xml:space="preserve"> </w:t>
            </w:r>
            <w:r>
              <w:rPr>
                <w:spacing w:val="-2"/>
                <w:w w:val="90"/>
                <w:sz w:val="14"/>
              </w:rPr>
              <w:t>acabados</w:t>
            </w:r>
            <w:r>
              <w:rPr>
                <w:spacing w:val="-4"/>
                <w:w w:val="90"/>
                <w:sz w:val="14"/>
              </w:rPr>
              <w:t xml:space="preserve"> </w:t>
            </w:r>
            <w:r>
              <w:rPr>
                <w:spacing w:val="-2"/>
                <w:w w:val="90"/>
                <w:sz w:val="14"/>
              </w:rPr>
              <w:t>de</w:t>
            </w:r>
            <w:r>
              <w:rPr>
                <w:spacing w:val="40"/>
                <w:sz w:val="14"/>
              </w:rPr>
              <w:t xml:space="preserve"> </w:t>
            </w:r>
            <w:r>
              <w:rPr>
                <w:w w:val="95"/>
                <w:sz w:val="14"/>
              </w:rPr>
              <w:t>edificios y obras.</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Esta</w:t>
            </w:r>
            <w:r>
              <w:rPr>
                <w:spacing w:val="-3"/>
                <w:sz w:val="14"/>
              </w:rPr>
              <w:t xml:space="preserve"> </w:t>
            </w:r>
            <w:r>
              <w:rPr>
                <w:w w:val="85"/>
                <w:sz w:val="14"/>
              </w:rPr>
              <w:t>clase</w:t>
            </w:r>
            <w:r>
              <w:rPr>
                <w:spacing w:val="-2"/>
                <w:sz w:val="14"/>
              </w:rPr>
              <w:t xml:space="preserve"> </w:t>
            </w:r>
            <w:r>
              <w:rPr>
                <w:spacing w:val="-2"/>
                <w:w w:val="85"/>
                <w:sz w:val="14"/>
              </w:rPr>
              <w:t>comprende:</w:t>
            </w:r>
          </w:p>
          <w:p w:rsidR="0092635B" w:rsidRDefault="00000000">
            <w:pPr>
              <w:pStyle w:val="TableParagraph"/>
              <w:numPr>
                <w:ilvl w:val="0"/>
                <w:numId w:val="17"/>
              </w:numPr>
              <w:tabs>
                <w:tab w:val="left" w:pos="143"/>
              </w:tabs>
              <w:spacing w:before="7"/>
              <w:ind w:left="143" w:hanging="102"/>
              <w:rPr>
                <w:sz w:val="14"/>
              </w:rPr>
            </w:pPr>
            <w:r>
              <w:rPr>
                <w:w w:val="85"/>
                <w:sz w:val="14"/>
              </w:rPr>
              <w:t>la</w:t>
            </w:r>
            <w:r>
              <w:rPr>
                <w:spacing w:val="-1"/>
                <w:sz w:val="14"/>
              </w:rPr>
              <w:t xml:space="preserve"> </w:t>
            </w:r>
            <w:r>
              <w:rPr>
                <w:w w:val="85"/>
                <w:sz w:val="14"/>
              </w:rPr>
              <w:t>instalación</w:t>
            </w:r>
            <w:r>
              <w:rPr>
                <w:spacing w:val="-1"/>
                <w:sz w:val="14"/>
              </w:rPr>
              <w:t xml:space="preserve"> </w:t>
            </w:r>
            <w:r>
              <w:rPr>
                <w:w w:val="85"/>
                <w:sz w:val="14"/>
              </w:rPr>
              <w:t>de</w:t>
            </w:r>
            <w:r>
              <w:rPr>
                <w:spacing w:val="-1"/>
                <w:sz w:val="14"/>
              </w:rPr>
              <w:t xml:space="preserve"> </w:t>
            </w:r>
            <w:r>
              <w:rPr>
                <w:w w:val="85"/>
                <w:sz w:val="14"/>
              </w:rPr>
              <w:t>piscinas</w:t>
            </w:r>
            <w:r>
              <w:rPr>
                <w:spacing w:val="-1"/>
                <w:sz w:val="14"/>
              </w:rPr>
              <w:t xml:space="preserve"> </w:t>
            </w:r>
            <w:r>
              <w:rPr>
                <w:spacing w:val="-2"/>
                <w:w w:val="85"/>
                <w:sz w:val="14"/>
              </w:rPr>
              <w:t>particulares,</w:t>
            </w:r>
          </w:p>
          <w:p w:rsidR="0092635B" w:rsidRDefault="00000000">
            <w:pPr>
              <w:pStyle w:val="TableParagraph"/>
              <w:numPr>
                <w:ilvl w:val="0"/>
                <w:numId w:val="17"/>
              </w:numPr>
              <w:tabs>
                <w:tab w:val="left" w:pos="143"/>
              </w:tabs>
              <w:spacing w:before="7"/>
              <w:ind w:left="143" w:hanging="102"/>
              <w:rPr>
                <w:sz w:val="14"/>
              </w:rPr>
            </w:pPr>
            <w:r>
              <w:rPr>
                <w:w w:val="85"/>
                <w:sz w:val="14"/>
              </w:rPr>
              <w:t>la</w:t>
            </w:r>
            <w:r>
              <w:rPr>
                <w:spacing w:val="-2"/>
                <w:sz w:val="14"/>
              </w:rPr>
              <w:t xml:space="preserve"> </w:t>
            </w:r>
            <w:r>
              <w:rPr>
                <w:w w:val="85"/>
                <w:sz w:val="14"/>
              </w:rPr>
              <w:t>limpieza</w:t>
            </w:r>
            <w:r>
              <w:rPr>
                <w:spacing w:val="-2"/>
                <w:sz w:val="14"/>
              </w:rPr>
              <w:t xml:space="preserve"> </w:t>
            </w:r>
            <w:r>
              <w:rPr>
                <w:w w:val="85"/>
                <w:sz w:val="14"/>
              </w:rPr>
              <w:t>al</w:t>
            </w:r>
            <w:r>
              <w:rPr>
                <w:spacing w:val="-1"/>
                <w:sz w:val="14"/>
              </w:rPr>
              <w:t xml:space="preserve"> </w:t>
            </w:r>
            <w:r>
              <w:rPr>
                <w:w w:val="85"/>
                <w:sz w:val="14"/>
              </w:rPr>
              <w:t>vapor,</w:t>
            </w:r>
            <w:r>
              <w:rPr>
                <w:spacing w:val="-2"/>
                <w:sz w:val="14"/>
              </w:rPr>
              <w:t xml:space="preserve"> </w:t>
            </w:r>
            <w:r>
              <w:rPr>
                <w:w w:val="85"/>
                <w:sz w:val="14"/>
              </w:rPr>
              <w:t>con</w:t>
            </w:r>
            <w:r>
              <w:rPr>
                <w:spacing w:val="-2"/>
                <w:sz w:val="14"/>
              </w:rPr>
              <w:t xml:space="preserve"> </w:t>
            </w:r>
            <w:r>
              <w:rPr>
                <w:w w:val="85"/>
                <w:sz w:val="14"/>
              </w:rPr>
              <w:t>chorro</w:t>
            </w:r>
            <w:r>
              <w:rPr>
                <w:spacing w:val="-1"/>
                <w:sz w:val="14"/>
              </w:rPr>
              <w:t xml:space="preserve"> </w:t>
            </w:r>
            <w:r>
              <w:rPr>
                <w:w w:val="85"/>
                <w:sz w:val="14"/>
              </w:rPr>
              <w:t>de</w:t>
            </w:r>
            <w:r>
              <w:rPr>
                <w:spacing w:val="-2"/>
                <w:sz w:val="14"/>
              </w:rPr>
              <w:t xml:space="preserve"> </w:t>
            </w:r>
            <w:r>
              <w:rPr>
                <w:w w:val="85"/>
                <w:sz w:val="14"/>
              </w:rPr>
              <w:t>arena</w:t>
            </w:r>
            <w:r>
              <w:rPr>
                <w:spacing w:val="-1"/>
                <w:sz w:val="14"/>
              </w:rPr>
              <w:t xml:space="preserve"> </w:t>
            </w:r>
            <w:r>
              <w:rPr>
                <w:w w:val="85"/>
                <w:sz w:val="14"/>
              </w:rPr>
              <w:t>o</w:t>
            </w:r>
            <w:r>
              <w:rPr>
                <w:spacing w:val="-2"/>
                <w:sz w:val="14"/>
              </w:rPr>
              <w:t xml:space="preserve"> </w:t>
            </w:r>
            <w:r>
              <w:rPr>
                <w:w w:val="85"/>
                <w:sz w:val="14"/>
              </w:rPr>
              <w:t>similares,</w:t>
            </w:r>
            <w:r>
              <w:rPr>
                <w:spacing w:val="-2"/>
                <w:sz w:val="14"/>
              </w:rPr>
              <w:t xml:space="preserve"> </w:t>
            </w:r>
            <w:r>
              <w:rPr>
                <w:w w:val="85"/>
                <w:sz w:val="14"/>
              </w:rPr>
              <w:t>del</w:t>
            </w:r>
            <w:r>
              <w:rPr>
                <w:spacing w:val="-1"/>
                <w:sz w:val="14"/>
              </w:rPr>
              <w:t xml:space="preserve"> </w:t>
            </w:r>
            <w:r>
              <w:rPr>
                <w:w w:val="85"/>
                <w:sz w:val="14"/>
              </w:rPr>
              <w:t>exterior</w:t>
            </w:r>
            <w:r>
              <w:rPr>
                <w:spacing w:val="-2"/>
                <w:sz w:val="14"/>
              </w:rPr>
              <w:t xml:space="preserve"> </w:t>
            </w:r>
            <w:r>
              <w:rPr>
                <w:w w:val="85"/>
                <w:sz w:val="14"/>
              </w:rPr>
              <w:t>de</w:t>
            </w:r>
            <w:r>
              <w:rPr>
                <w:spacing w:val="-2"/>
                <w:sz w:val="14"/>
              </w:rPr>
              <w:t xml:space="preserve"> </w:t>
            </w:r>
            <w:r>
              <w:rPr>
                <w:w w:val="85"/>
                <w:sz w:val="14"/>
              </w:rPr>
              <w:t>los</w:t>
            </w:r>
            <w:r>
              <w:rPr>
                <w:spacing w:val="-1"/>
                <w:sz w:val="14"/>
              </w:rPr>
              <w:t xml:space="preserve"> </w:t>
            </w:r>
            <w:r>
              <w:rPr>
                <w:spacing w:val="-2"/>
                <w:w w:val="85"/>
                <w:sz w:val="14"/>
              </w:rPr>
              <w:t>edificios,</w:t>
            </w:r>
          </w:p>
          <w:p w:rsidR="0092635B" w:rsidRDefault="00000000">
            <w:pPr>
              <w:pStyle w:val="TableParagraph"/>
              <w:numPr>
                <w:ilvl w:val="0"/>
                <w:numId w:val="17"/>
              </w:numPr>
              <w:tabs>
                <w:tab w:val="left" w:pos="143"/>
              </w:tabs>
              <w:spacing w:before="7" w:line="249" w:lineRule="auto"/>
              <w:ind w:right="2822" w:firstLine="0"/>
              <w:rPr>
                <w:sz w:val="14"/>
              </w:rPr>
            </w:pPr>
            <w:r>
              <w:rPr>
                <w:w w:val="85"/>
                <w:sz w:val="14"/>
              </w:rPr>
              <w:t>otras obras de acabado de edificios no citadas en otra parte.</w:t>
            </w:r>
            <w:r>
              <w:rPr>
                <w:spacing w:val="40"/>
                <w:sz w:val="14"/>
              </w:rPr>
              <w:t xml:space="preserve"> </w:t>
            </w:r>
            <w:r>
              <w:rPr>
                <w:w w:val="95"/>
                <w:sz w:val="14"/>
              </w:rPr>
              <w:t>Esta</w:t>
            </w:r>
            <w:r>
              <w:rPr>
                <w:spacing w:val="-3"/>
                <w:w w:val="95"/>
                <w:sz w:val="14"/>
              </w:rPr>
              <w:t xml:space="preserve"> </w:t>
            </w:r>
            <w:r>
              <w:rPr>
                <w:w w:val="95"/>
                <w:sz w:val="14"/>
              </w:rPr>
              <w:t>clase</w:t>
            </w:r>
            <w:r>
              <w:rPr>
                <w:spacing w:val="-4"/>
                <w:w w:val="95"/>
                <w:sz w:val="14"/>
              </w:rPr>
              <w:t xml:space="preserve"> </w:t>
            </w:r>
            <w:r>
              <w:rPr>
                <w:w w:val="95"/>
                <w:sz w:val="14"/>
              </w:rPr>
              <w:t>no</w:t>
            </w:r>
            <w:r>
              <w:rPr>
                <w:spacing w:val="-3"/>
                <w:w w:val="95"/>
                <w:sz w:val="14"/>
              </w:rPr>
              <w:t xml:space="preserve"> </w:t>
            </w:r>
            <w:r>
              <w:rPr>
                <w:w w:val="95"/>
                <w:sz w:val="14"/>
              </w:rPr>
              <w:t>comprende:</w:t>
            </w:r>
          </w:p>
          <w:p w:rsidR="0092635B" w:rsidRDefault="00000000">
            <w:pPr>
              <w:pStyle w:val="TableParagraph"/>
              <w:numPr>
                <w:ilvl w:val="0"/>
                <w:numId w:val="17"/>
              </w:numPr>
              <w:tabs>
                <w:tab w:val="left" w:pos="143"/>
              </w:tabs>
              <w:spacing w:before="1" w:line="145" w:lineRule="exact"/>
              <w:ind w:left="143" w:hanging="102"/>
              <w:rPr>
                <w:sz w:val="14"/>
              </w:rPr>
            </w:pPr>
            <w:r>
              <w:rPr>
                <w:w w:val="85"/>
                <w:sz w:val="14"/>
              </w:rPr>
              <w:t>la</w:t>
            </w:r>
            <w:r>
              <w:rPr>
                <w:spacing w:val="-1"/>
                <w:sz w:val="14"/>
              </w:rPr>
              <w:t xml:space="preserve"> </w:t>
            </w:r>
            <w:r>
              <w:rPr>
                <w:w w:val="85"/>
                <w:sz w:val="14"/>
              </w:rPr>
              <w:t>limpieza</w:t>
            </w:r>
            <w:r>
              <w:rPr>
                <w:sz w:val="14"/>
              </w:rPr>
              <w:t xml:space="preserve"> </w:t>
            </w:r>
            <w:r>
              <w:rPr>
                <w:w w:val="85"/>
                <w:sz w:val="14"/>
              </w:rPr>
              <w:t>interior</w:t>
            </w:r>
            <w:r>
              <w:rPr>
                <w:spacing w:val="-1"/>
                <w:sz w:val="14"/>
              </w:rPr>
              <w:t xml:space="preserve"> </w:t>
            </w:r>
            <w:r>
              <w:rPr>
                <w:w w:val="85"/>
                <w:sz w:val="14"/>
              </w:rPr>
              <w:t>de</w:t>
            </w:r>
            <w:r>
              <w:rPr>
                <w:sz w:val="14"/>
              </w:rPr>
              <w:t xml:space="preserve"> </w:t>
            </w:r>
            <w:r>
              <w:rPr>
                <w:w w:val="85"/>
                <w:sz w:val="14"/>
              </w:rPr>
              <w:t>edificios</w:t>
            </w:r>
            <w:r>
              <w:rPr>
                <w:sz w:val="14"/>
              </w:rPr>
              <w:t xml:space="preserve"> </w:t>
            </w:r>
            <w:r>
              <w:rPr>
                <w:w w:val="85"/>
                <w:sz w:val="14"/>
              </w:rPr>
              <w:t>y</w:t>
            </w:r>
            <w:r>
              <w:rPr>
                <w:spacing w:val="-1"/>
                <w:sz w:val="14"/>
              </w:rPr>
              <w:t xml:space="preserve"> </w:t>
            </w:r>
            <w:r>
              <w:rPr>
                <w:w w:val="85"/>
                <w:sz w:val="14"/>
              </w:rPr>
              <w:t>obras</w:t>
            </w:r>
            <w:r>
              <w:rPr>
                <w:sz w:val="14"/>
              </w:rPr>
              <w:t xml:space="preserve"> </w:t>
            </w:r>
            <w:r>
              <w:rPr>
                <w:w w:val="85"/>
                <w:sz w:val="14"/>
              </w:rPr>
              <w:t>(véase</w:t>
            </w:r>
            <w:r>
              <w:rPr>
                <w:sz w:val="14"/>
              </w:rPr>
              <w:t xml:space="preserve"> </w:t>
            </w:r>
            <w:r>
              <w:rPr>
                <w:spacing w:val="-2"/>
                <w:w w:val="85"/>
                <w:sz w:val="14"/>
              </w:rPr>
              <w:t>74.70).</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sz w:val="14"/>
              </w:rPr>
            </w:pPr>
          </w:p>
          <w:p w:rsidR="0092635B" w:rsidRDefault="00000000">
            <w:pPr>
              <w:pStyle w:val="TableParagraph"/>
              <w:spacing w:line="249" w:lineRule="auto"/>
              <w:ind w:left="30" w:right="20"/>
              <w:jc w:val="center"/>
              <w:rPr>
                <w:sz w:val="14"/>
              </w:rPr>
            </w:pPr>
            <w:r>
              <w:rPr>
                <w:spacing w:val="-4"/>
                <w:w w:val="90"/>
                <w:sz w:val="14"/>
              </w:rPr>
              <w:t>45212212</w:t>
            </w:r>
            <w:r>
              <w:rPr>
                <w:spacing w:val="-6"/>
                <w:sz w:val="14"/>
              </w:rPr>
              <w:t xml:space="preserve"> </w:t>
            </w:r>
            <w:r>
              <w:rPr>
                <w:spacing w:val="-4"/>
                <w:w w:val="90"/>
                <w:sz w:val="14"/>
              </w:rPr>
              <w:t>y</w:t>
            </w:r>
            <w:r>
              <w:rPr>
                <w:spacing w:val="40"/>
                <w:sz w:val="14"/>
              </w:rPr>
              <w:t xml:space="preserve"> </w:t>
            </w:r>
            <w:r>
              <w:rPr>
                <w:spacing w:val="-4"/>
                <w:w w:val="95"/>
                <w:sz w:val="14"/>
              </w:rPr>
              <w:t>DA04</w:t>
            </w:r>
            <w:r>
              <w:rPr>
                <w:spacing w:val="40"/>
                <w:sz w:val="14"/>
              </w:rPr>
              <w:t xml:space="preserve"> </w:t>
            </w:r>
            <w:r>
              <w:rPr>
                <w:spacing w:val="-2"/>
                <w:w w:val="95"/>
                <w:sz w:val="14"/>
              </w:rPr>
              <w:t>45450000</w:t>
            </w:r>
          </w:p>
        </w:tc>
      </w:tr>
      <w:tr w:rsidR="0092635B">
        <w:trPr>
          <w:trHeight w:val="49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6"/>
              <w:jc w:val="center"/>
              <w:rPr>
                <w:sz w:val="14"/>
              </w:rPr>
            </w:pPr>
            <w:r>
              <w:rPr>
                <w:spacing w:val="-4"/>
                <w:w w:val="95"/>
                <w:sz w:val="14"/>
              </w:rPr>
              <w:t>45,5</w:t>
            </w: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1"/>
              <w:rPr>
                <w:sz w:val="14"/>
              </w:rPr>
            </w:pPr>
            <w:r>
              <w:rPr>
                <w:w w:val="85"/>
                <w:sz w:val="14"/>
              </w:rPr>
              <w:t>Alquiler</w:t>
            </w:r>
            <w:r>
              <w:rPr>
                <w:spacing w:val="-1"/>
                <w:sz w:val="14"/>
              </w:rPr>
              <w:t xml:space="preserve"> </w:t>
            </w:r>
            <w:r>
              <w:rPr>
                <w:w w:val="85"/>
                <w:sz w:val="14"/>
              </w:rPr>
              <w:t>de</w:t>
            </w:r>
            <w:r>
              <w:rPr>
                <w:sz w:val="14"/>
              </w:rPr>
              <w:t xml:space="preserve"> </w:t>
            </w:r>
            <w:r>
              <w:rPr>
                <w:w w:val="85"/>
                <w:sz w:val="14"/>
              </w:rPr>
              <w:t>equipo</w:t>
            </w:r>
            <w:r>
              <w:rPr>
                <w:sz w:val="14"/>
              </w:rPr>
              <w:t xml:space="preserve"> </w:t>
            </w:r>
            <w:r>
              <w:rPr>
                <w:spacing w:val="-5"/>
                <w:w w:val="85"/>
                <w:sz w:val="14"/>
              </w:rPr>
              <w:t>de</w:t>
            </w:r>
          </w:p>
          <w:p w:rsidR="0092635B" w:rsidRDefault="00000000">
            <w:pPr>
              <w:pStyle w:val="TableParagraph"/>
              <w:spacing w:line="160" w:lineRule="atLeast"/>
              <w:ind w:left="41"/>
              <w:rPr>
                <w:sz w:val="14"/>
              </w:rPr>
            </w:pPr>
            <w:r>
              <w:rPr>
                <w:w w:val="85"/>
                <w:sz w:val="14"/>
              </w:rPr>
              <w:t>construcción o demolición</w:t>
            </w:r>
            <w:r>
              <w:rPr>
                <w:spacing w:val="40"/>
                <w:sz w:val="14"/>
              </w:rPr>
              <w:t xml:space="preserve"> </w:t>
            </w:r>
            <w:r>
              <w:rPr>
                <w:w w:val="95"/>
                <w:sz w:val="14"/>
              </w:rPr>
              <w:t>dotado de operario.</w:t>
            </w:r>
          </w:p>
        </w:tc>
        <w:tc>
          <w:tcPr>
            <w:tcW w:w="6267"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30" w:right="22"/>
              <w:jc w:val="center"/>
              <w:rPr>
                <w:sz w:val="14"/>
              </w:rPr>
            </w:pPr>
            <w:r>
              <w:rPr>
                <w:spacing w:val="-2"/>
                <w:w w:val="95"/>
                <w:sz w:val="14"/>
              </w:rPr>
              <w:t>45500000</w:t>
            </w:r>
          </w:p>
        </w:tc>
      </w:tr>
      <w:tr w:rsidR="0092635B">
        <w:trPr>
          <w:trHeight w:val="499"/>
        </w:trPr>
        <w:tc>
          <w:tcPr>
            <w:tcW w:w="56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5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Times New Roman"/>
                <w:sz w:val="12"/>
              </w:rPr>
            </w:pPr>
          </w:p>
        </w:tc>
        <w:tc>
          <w:tcPr>
            <w:tcW w:w="412"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6"/>
              <w:jc w:val="center"/>
              <w:rPr>
                <w:sz w:val="14"/>
              </w:rPr>
            </w:pPr>
            <w:r>
              <w:rPr>
                <w:spacing w:val="-2"/>
                <w:w w:val="95"/>
                <w:sz w:val="14"/>
              </w:rPr>
              <w:t>45,50</w:t>
            </w:r>
          </w:p>
        </w:tc>
        <w:tc>
          <w:tcPr>
            <w:tcW w:w="1596"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1"/>
              <w:rPr>
                <w:sz w:val="14"/>
              </w:rPr>
            </w:pPr>
            <w:r>
              <w:rPr>
                <w:w w:val="95"/>
                <w:sz w:val="14"/>
              </w:rPr>
              <w:t>Alquiler de equipo de</w:t>
            </w:r>
            <w:r>
              <w:rPr>
                <w:spacing w:val="40"/>
                <w:sz w:val="14"/>
              </w:rPr>
              <w:t xml:space="preserve"> </w:t>
            </w:r>
            <w:r>
              <w:rPr>
                <w:w w:val="85"/>
                <w:sz w:val="14"/>
              </w:rPr>
              <w:t>construcción o demolición</w:t>
            </w:r>
          </w:p>
          <w:p w:rsidR="0092635B" w:rsidRDefault="00000000">
            <w:pPr>
              <w:pStyle w:val="TableParagraph"/>
              <w:spacing w:line="145" w:lineRule="exact"/>
              <w:ind w:left="41"/>
              <w:rPr>
                <w:sz w:val="14"/>
              </w:rPr>
            </w:pPr>
            <w:r>
              <w:rPr>
                <w:w w:val="85"/>
                <w:sz w:val="14"/>
              </w:rPr>
              <w:t>dotado</w:t>
            </w:r>
            <w:r>
              <w:rPr>
                <w:spacing w:val="-3"/>
                <w:sz w:val="14"/>
              </w:rPr>
              <w:t xml:space="preserve"> </w:t>
            </w:r>
            <w:r>
              <w:rPr>
                <w:w w:val="85"/>
                <w:sz w:val="14"/>
              </w:rPr>
              <w:t>de</w:t>
            </w:r>
            <w:r>
              <w:rPr>
                <w:spacing w:val="-2"/>
                <w:sz w:val="14"/>
              </w:rPr>
              <w:t xml:space="preserve"> </w:t>
            </w:r>
            <w:r>
              <w:rPr>
                <w:spacing w:val="-2"/>
                <w:w w:val="85"/>
                <w:sz w:val="14"/>
              </w:rPr>
              <w:t>operario.</w:t>
            </w:r>
          </w:p>
        </w:tc>
        <w:tc>
          <w:tcPr>
            <w:tcW w:w="6267"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41"/>
              <w:rPr>
                <w:sz w:val="14"/>
              </w:rPr>
            </w:pPr>
            <w:r>
              <w:rPr>
                <w:w w:val="85"/>
                <w:sz w:val="14"/>
              </w:rPr>
              <w:t>Esta</w:t>
            </w:r>
            <w:r>
              <w:rPr>
                <w:spacing w:val="-3"/>
                <w:sz w:val="14"/>
              </w:rPr>
              <w:t xml:space="preserve"> </w:t>
            </w:r>
            <w:r>
              <w:rPr>
                <w:w w:val="85"/>
                <w:sz w:val="14"/>
              </w:rPr>
              <w:t>clase</w:t>
            </w:r>
            <w:r>
              <w:rPr>
                <w:spacing w:val="-3"/>
                <w:sz w:val="14"/>
              </w:rPr>
              <w:t xml:space="preserve"> </w:t>
            </w:r>
            <w:r>
              <w:rPr>
                <w:w w:val="85"/>
                <w:sz w:val="14"/>
              </w:rPr>
              <w:t>no</w:t>
            </w:r>
            <w:r>
              <w:rPr>
                <w:spacing w:val="-2"/>
                <w:sz w:val="14"/>
              </w:rPr>
              <w:t xml:space="preserve"> </w:t>
            </w:r>
            <w:r>
              <w:rPr>
                <w:spacing w:val="-2"/>
                <w:w w:val="85"/>
                <w:sz w:val="14"/>
              </w:rPr>
              <w:t>comprende:</w:t>
            </w:r>
          </w:p>
          <w:p w:rsidR="0092635B" w:rsidRDefault="00000000">
            <w:pPr>
              <w:pStyle w:val="TableParagraph"/>
              <w:spacing w:before="7"/>
              <w:ind w:left="41"/>
              <w:rPr>
                <w:sz w:val="14"/>
              </w:rPr>
            </w:pPr>
            <w:r>
              <w:rPr>
                <w:w w:val="85"/>
                <w:sz w:val="14"/>
              </w:rPr>
              <w:t>–</w:t>
            </w:r>
            <w:r>
              <w:rPr>
                <w:spacing w:val="-2"/>
                <w:sz w:val="14"/>
              </w:rPr>
              <w:t xml:space="preserve"> </w:t>
            </w:r>
            <w:r>
              <w:rPr>
                <w:w w:val="85"/>
                <w:sz w:val="14"/>
              </w:rPr>
              <w:t>el</w:t>
            </w:r>
            <w:r>
              <w:rPr>
                <w:spacing w:val="-2"/>
                <w:sz w:val="14"/>
              </w:rPr>
              <w:t xml:space="preserve"> </w:t>
            </w:r>
            <w:r>
              <w:rPr>
                <w:w w:val="85"/>
                <w:sz w:val="14"/>
              </w:rPr>
              <w:t>alquiler</w:t>
            </w:r>
            <w:r>
              <w:rPr>
                <w:spacing w:val="-2"/>
                <w:sz w:val="14"/>
              </w:rPr>
              <w:t xml:space="preserve"> </w:t>
            </w:r>
            <w:r>
              <w:rPr>
                <w:w w:val="85"/>
                <w:sz w:val="14"/>
              </w:rPr>
              <w:t>de</w:t>
            </w:r>
            <w:r>
              <w:rPr>
                <w:spacing w:val="-1"/>
                <w:sz w:val="14"/>
              </w:rPr>
              <w:t xml:space="preserve"> </w:t>
            </w:r>
            <w:r>
              <w:rPr>
                <w:w w:val="85"/>
                <w:sz w:val="14"/>
              </w:rPr>
              <w:t>equipo</w:t>
            </w:r>
            <w:r>
              <w:rPr>
                <w:spacing w:val="-2"/>
                <w:sz w:val="14"/>
              </w:rPr>
              <w:t xml:space="preserve"> </w:t>
            </w:r>
            <w:r>
              <w:rPr>
                <w:w w:val="85"/>
                <w:sz w:val="14"/>
              </w:rPr>
              <w:t>y</w:t>
            </w:r>
            <w:r>
              <w:rPr>
                <w:spacing w:val="-2"/>
                <w:sz w:val="14"/>
              </w:rPr>
              <w:t xml:space="preserve"> </w:t>
            </w:r>
            <w:r>
              <w:rPr>
                <w:w w:val="85"/>
                <w:sz w:val="14"/>
              </w:rPr>
              <w:t>maquinaria</w:t>
            </w:r>
            <w:r>
              <w:rPr>
                <w:spacing w:val="-1"/>
                <w:sz w:val="14"/>
              </w:rPr>
              <w:t xml:space="preserve"> </w:t>
            </w:r>
            <w:r>
              <w:rPr>
                <w:w w:val="85"/>
                <w:sz w:val="14"/>
              </w:rPr>
              <w:t>de</w:t>
            </w:r>
            <w:r>
              <w:rPr>
                <w:spacing w:val="-2"/>
                <w:sz w:val="14"/>
              </w:rPr>
              <w:t xml:space="preserve"> </w:t>
            </w:r>
            <w:r>
              <w:rPr>
                <w:w w:val="85"/>
                <w:sz w:val="14"/>
              </w:rPr>
              <w:t>construcción</w:t>
            </w:r>
            <w:r>
              <w:rPr>
                <w:spacing w:val="-2"/>
                <w:sz w:val="14"/>
              </w:rPr>
              <w:t xml:space="preserve"> </w:t>
            </w:r>
            <w:r>
              <w:rPr>
                <w:w w:val="85"/>
                <w:sz w:val="14"/>
              </w:rPr>
              <w:t>o</w:t>
            </w:r>
            <w:r>
              <w:rPr>
                <w:spacing w:val="-2"/>
                <w:sz w:val="14"/>
              </w:rPr>
              <w:t xml:space="preserve"> </w:t>
            </w:r>
            <w:r>
              <w:rPr>
                <w:w w:val="85"/>
                <w:sz w:val="14"/>
              </w:rPr>
              <w:t>demolición</w:t>
            </w:r>
            <w:r>
              <w:rPr>
                <w:spacing w:val="-1"/>
                <w:sz w:val="14"/>
              </w:rPr>
              <w:t xml:space="preserve"> </w:t>
            </w:r>
            <w:r>
              <w:rPr>
                <w:w w:val="85"/>
                <w:sz w:val="14"/>
              </w:rPr>
              <w:t>desprovisto</w:t>
            </w:r>
            <w:r>
              <w:rPr>
                <w:spacing w:val="-2"/>
                <w:sz w:val="14"/>
              </w:rPr>
              <w:t xml:space="preserve"> </w:t>
            </w:r>
            <w:r>
              <w:rPr>
                <w:w w:val="85"/>
                <w:sz w:val="14"/>
              </w:rPr>
              <w:t>de</w:t>
            </w:r>
            <w:r>
              <w:rPr>
                <w:spacing w:val="-2"/>
                <w:sz w:val="14"/>
              </w:rPr>
              <w:t xml:space="preserve"> </w:t>
            </w:r>
            <w:r>
              <w:rPr>
                <w:w w:val="85"/>
                <w:sz w:val="14"/>
              </w:rPr>
              <w:t>operario</w:t>
            </w:r>
            <w:r>
              <w:rPr>
                <w:spacing w:val="-1"/>
                <w:sz w:val="14"/>
              </w:rPr>
              <w:t xml:space="preserve"> </w:t>
            </w:r>
            <w:r>
              <w:rPr>
                <w:w w:val="85"/>
                <w:sz w:val="14"/>
              </w:rPr>
              <w:t>(véase</w:t>
            </w:r>
            <w:r>
              <w:rPr>
                <w:spacing w:val="-2"/>
                <w:sz w:val="14"/>
              </w:rPr>
              <w:t xml:space="preserve"> </w:t>
            </w:r>
            <w:r>
              <w:rPr>
                <w:spacing w:val="-2"/>
                <w:w w:val="85"/>
                <w:sz w:val="14"/>
              </w:rPr>
              <w:t>71.32).</w:t>
            </w:r>
          </w:p>
        </w:tc>
        <w:tc>
          <w:tcPr>
            <w:tcW w:w="913"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6"/>
              <w:rPr>
                <w:sz w:val="14"/>
              </w:rPr>
            </w:pPr>
          </w:p>
          <w:p w:rsidR="0092635B" w:rsidRDefault="00000000">
            <w:pPr>
              <w:pStyle w:val="TableParagraph"/>
              <w:ind w:left="30" w:right="22"/>
              <w:jc w:val="center"/>
              <w:rPr>
                <w:sz w:val="14"/>
              </w:rPr>
            </w:pPr>
            <w:r>
              <w:rPr>
                <w:spacing w:val="-2"/>
                <w:w w:val="95"/>
                <w:sz w:val="14"/>
              </w:rPr>
              <w:t>45500000</w:t>
            </w:r>
          </w:p>
        </w:tc>
      </w:tr>
    </w:tbl>
    <w:p w:rsidR="0092635B" w:rsidRDefault="0092635B">
      <w:pPr>
        <w:pStyle w:val="Textoindependiente"/>
        <w:spacing w:before="0"/>
        <w:ind w:left="0" w:firstLine="0"/>
        <w:jc w:val="left"/>
        <w:rPr>
          <w:sz w:val="16"/>
        </w:rPr>
      </w:pPr>
    </w:p>
    <w:p w:rsidR="0092635B" w:rsidRDefault="0092635B">
      <w:pPr>
        <w:pStyle w:val="Textoindependiente"/>
        <w:spacing w:before="34"/>
        <w:ind w:left="0" w:firstLine="0"/>
        <w:jc w:val="left"/>
        <w:rPr>
          <w:sz w:val="16"/>
        </w:rPr>
      </w:pPr>
    </w:p>
    <w:p w:rsidR="0092635B" w:rsidRDefault="00000000">
      <w:pPr>
        <w:spacing w:line="249" w:lineRule="auto"/>
        <w:ind w:left="1106" w:right="1120" w:firstLine="340"/>
        <w:rPr>
          <w:sz w:val="16"/>
        </w:rPr>
      </w:pPr>
      <w:r>
        <w:rPr>
          <w:sz w:val="16"/>
        </w:rPr>
        <w:t>(1) Reglamento (CEE) n.º 1893/2006, del Parlamento Europeo y del Consejo, de 20 de diciembre de 2006, que establece la clasificación europea de actividades económicas.</w:t>
      </w:r>
    </w:p>
    <w:p w:rsidR="0092635B" w:rsidRDefault="0092635B">
      <w:pPr>
        <w:spacing w:line="249" w:lineRule="auto"/>
        <w:rPr>
          <w:sz w:val="16"/>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Ttulo1"/>
        <w:spacing w:before="1"/>
      </w:pPr>
      <w:bookmarkStart w:id="677" w:name="ANEXO_II._Lista_de_productos_contemplado"/>
      <w:bookmarkStart w:id="678" w:name="_bookmark126"/>
      <w:bookmarkEnd w:id="677"/>
      <w:bookmarkEnd w:id="678"/>
      <w:r>
        <w:t xml:space="preserve">ANEXO </w:t>
      </w:r>
      <w:r>
        <w:rPr>
          <w:spacing w:val="-5"/>
        </w:rPr>
        <w:t>II</w:t>
      </w:r>
    </w:p>
    <w:p w:rsidR="0092635B" w:rsidRDefault="00000000">
      <w:pPr>
        <w:spacing w:before="123" w:line="249" w:lineRule="auto"/>
        <w:ind w:left="1446" w:right="1444"/>
        <w:jc w:val="center"/>
        <w:rPr>
          <w:rFonts w:ascii="Arial" w:hAnsi="Arial"/>
          <w:b/>
          <w:sz w:val="20"/>
        </w:rPr>
      </w:pPr>
      <w:r>
        <w:rPr>
          <w:rFonts w:ascii="Arial" w:hAnsi="Arial"/>
          <w:b/>
          <w:sz w:val="20"/>
        </w:rPr>
        <w:t>Lista de productos contemplados en el artículo 21.1.a) en lo que se refiere a los contratos</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suministros</w:t>
      </w:r>
      <w:r>
        <w:rPr>
          <w:rFonts w:ascii="Arial" w:hAnsi="Arial"/>
          <w:b/>
          <w:spacing w:val="40"/>
          <w:sz w:val="20"/>
        </w:rPr>
        <w:t xml:space="preserve"> </w:t>
      </w:r>
      <w:r>
        <w:rPr>
          <w:rFonts w:ascii="Arial" w:hAnsi="Arial"/>
          <w:b/>
          <w:sz w:val="20"/>
        </w:rPr>
        <w:t>adjudicados</w:t>
      </w:r>
      <w:r>
        <w:rPr>
          <w:rFonts w:ascii="Arial" w:hAnsi="Arial"/>
          <w:b/>
          <w:spacing w:val="40"/>
          <w:sz w:val="20"/>
        </w:rPr>
        <w:t xml:space="preserve"> </w:t>
      </w:r>
      <w:r>
        <w:rPr>
          <w:rFonts w:ascii="Arial" w:hAnsi="Arial"/>
          <w:b/>
          <w:sz w:val="20"/>
        </w:rPr>
        <w:t>por</w:t>
      </w:r>
      <w:r>
        <w:rPr>
          <w:rFonts w:ascii="Arial" w:hAnsi="Arial"/>
          <w:b/>
          <w:spacing w:val="40"/>
          <w:sz w:val="20"/>
        </w:rPr>
        <w:t xml:space="preserve"> </w:t>
      </w:r>
      <w:r>
        <w:rPr>
          <w:rFonts w:ascii="Arial" w:hAnsi="Arial"/>
          <w:b/>
          <w:sz w:val="20"/>
        </w:rPr>
        <w:t>los</w:t>
      </w:r>
      <w:r>
        <w:rPr>
          <w:rFonts w:ascii="Arial" w:hAnsi="Arial"/>
          <w:b/>
          <w:spacing w:val="40"/>
          <w:sz w:val="20"/>
        </w:rPr>
        <w:t xml:space="preserve"> </w:t>
      </w:r>
      <w:r>
        <w:rPr>
          <w:rFonts w:ascii="Arial" w:hAnsi="Arial"/>
          <w:b/>
          <w:sz w:val="20"/>
        </w:rPr>
        <w:t>órganos</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contratación</w:t>
      </w:r>
      <w:r>
        <w:rPr>
          <w:rFonts w:ascii="Arial" w:hAnsi="Arial"/>
          <w:b/>
          <w:spacing w:val="40"/>
          <w:sz w:val="20"/>
        </w:rPr>
        <w:t xml:space="preserve"> </w:t>
      </w:r>
      <w:r>
        <w:rPr>
          <w:rFonts w:ascii="Arial" w:hAnsi="Arial"/>
          <w:b/>
          <w:sz w:val="20"/>
        </w:rPr>
        <w:t>del sector de la defensa</w:t>
      </w:r>
    </w:p>
    <w:p w:rsidR="0092635B" w:rsidRDefault="0092635B">
      <w:pPr>
        <w:pStyle w:val="Textoindependiente"/>
        <w:spacing w:before="108"/>
        <w:ind w:left="0" w:firstLine="0"/>
        <w:jc w:val="left"/>
        <w:rPr>
          <w:rFonts w:ascii="Arial"/>
          <w:b/>
        </w:rPr>
      </w:pPr>
    </w:p>
    <w:tbl>
      <w:tblPr>
        <w:tblStyle w:val="TableNormal"/>
        <w:tblW w:w="0" w:type="auto"/>
        <w:tblInd w:w="149"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746"/>
        <w:gridCol w:w="9458"/>
      </w:tblGrid>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25:</w:t>
            </w:r>
          </w:p>
        </w:tc>
        <w:tc>
          <w:tcPr>
            <w:tcW w:w="9458" w:type="dxa"/>
          </w:tcPr>
          <w:p w:rsidR="0092635B" w:rsidRDefault="00000000">
            <w:pPr>
              <w:pStyle w:val="TableParagraph"/>
              <w:spacing w:line="146" w:lineRule="exact"/>
              <w:ind w:left="40"/>
              <w:rPr>
                <w:sz w:val="14"/>
              </w:rPr>
            </w:pPr>
            <w:r>
              <w:rPr>
                <w:w w:val="85"/>
                <w:sz w:val="14"/>
              </w:rPr>
              <w:t>Sal,</w:t>
            </w:r>
            <w:r>
              <w:rPr>
                <w:spacing w:val="1"/>
                <w:sz w:val="14"/>
              </w:rPr>
              <w:t xml:space="preserve"> </w:t>
            </w:r>
            <w:r>
              <w:rPr>
                <w:w w:val="85"/>
                <w:sz w:val="14"/>
              </w:rPr>
              <w:t>azufre;</w:t>
            </w:r>
            <w:r>
              <w:rPr>
                <w:spacing w:val="1"/>
                <w:sz w:val="14"/>
              </w:rPr>
              <w:t xml:space="preserve"> </w:t>
            </w:r>
            <w:r>
              <w:rPr>
                <w:w w:val="85"/>
                <w:sz w:val="14"/>
              </w:rPr>
              <w:t>tierras</w:t>
            </w:r>
            <w:r>
              <w:rPr>
                <w:spacing w:val="1"/>
                <w:sz w:val="14"/>
              </w:rPr>
              <w:t xml:space="preserve"> </w:t>
            </w:r>
            <w:r>
              <w:rPr>
                <w:w w:val="85"/>
                <w:sz w:val="14"/>
              </w:rPr>
              <w:t>y</w:t>
            </w:r>
            <w:r>
              <w:rPr>
                <w:spacing w:val="1"/>
                <w:sz w:val="14"/>
              </w:rPr>
              <w:t xml:space="preserve"> </w:t>
            </w:r>
            <w:r>
              <w:rPr>
                <w:w w:val="85"/>
                <w:sz w:val="14"/>
              </w:rPr>
              <w:t>piedras;</w:t>
            </w:r>
            <w:r>
              <w:rPr>
                <w:spacing w:val="1"/>
                <w:sz w:val="14"/>
              </w:rPr>
              <w:t xml:space="preserve"> </w:t>
            </w:r>
            <w:r>
              <w:rPr>
                <w:w w:val="85"/>
                <w:sz w:val="14"/>
              </w:rPr>
              <w:t>yesos,</w:t>
            </w:r>
            <w:r>
              <w:rPr>
                <w:spacing w:val="1"/>
                <w:sz w:val="14"/>
              </w:rPr>
              <w:t xml:space="preserve"> </w:t>
            </w:r>
            <w:r>
              <w:rPr>
                <w:w w:val="85"/>
                <w:sz w:val="14"/>
              </w:rPr>
              <w:t>cales</w:t>
            </w:r>
            <w:r>
              <w:rPr>
                <w:spacing w:val="1"/>
                <w:sz w:val="14"/>
              </w:rPr>
              <w:t xml:space="preserve"> </w:t>
            </w:r>
            <w:r>
              <w:rPr>
                <w:w w:val="85"/>
                <w:sz w:val="14"/>
              </w:rPr>
              <w:t>y</w:t>
            </w:r>
            <w:r>
              <w:rPr>
                <w:spacing w:val="1"/>
                <w:sz w:val="14"/>
              </w:rPr>
              <w:t xml:space="preserve"> </w:t>
            </w:r>
            <w:r>
              <w:rPr>
                <w:spacing w:val="-2"/>
                <w:w w:val="85"/>
                <w:sz w:val="14"/>
              </w:rPr>
              <w:t>cementos.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26:</w:t>
            </w:r>
          </w:p>
        </w:tc>
        <w:tc>
          <w:tcPr>
            <w:tcW w:w="9458" w:type="dxa"/>
          </w:tcPr>
          <w:p w:rsidR="0092635B" w:rsidRDefault="00000000">
            <w:pPr>
              <w:pStyle w:val="TableParagraph"/>
              <w:spacing w:line="146" w:lineRule="exact"/>
              <w:ind w:left="40"/>
              <w:rPr>
                <w:sz w:val="14"/>
              </w:rPr>
            </w:pPr>
            <w:r>
              <w:rPr>
                <w:w w:val="85"/>
                <w:sz w:val="14"/>
              </w:rPr>
              <w:t>Minerales,</w:t>
            </w:r>
            <w:r>
              <w:rPr>
                <w:spacing w:val="3"/>
                <w:sz w:val="14"/>
              </w:rPr>
              <w:t xml:space="preserve"> </w:t>
            </w:r>
            <w:r>
              <w:rPr>
                <w:w w:val="85"/>
                <w:sz w:val="14"/>
              </w:rPr>
              <w:t>escorias</w:t>
            </w:r>
            <w:r>
              <w:rPr>
                <w:spacing w:val="3"/>
                <w:sz w:val="14"/>
              </w:rPr>
              <w:t xml:space="preserve"> </w:t>
            </w:r>
            <w:r>
              <w:rPr>
                <w:w w:val="85"/>
                <w:sz w:val="14"/>
              </w:rPr>
              <w:t>y</w:t>
            </w:r>
            <w:r>
              <w:rPr>
                <w:spacing w:val="3"/>
                <w:sz w:val="14"/>
              </w:rPr>
              <w:t xml:space="preserve"> </w:t>
            </w:r>
            <w:r>
              <w:rPr>
                <w:spacing w:val="-2"/>
                <w:w w:val="85"/>
                <w:sz w:val="14"/>
              </w:rPr>
              <w:t>cenizas.</w:t>
            </w:r>
          </w:p>
        </w:tc>
      </w:tr>
      <w:tr w:rsidR="0092635B">
        <w:trPr>
          <w:trHeight w:val="499"/>
        </w:trPr>
        <w:tc>
          <w:tcPr>
            <w:tcW w:w="746" w:type="dxa"/>
          </w:tcPr>
          <w:p w:rsidR="0092635B" w:rsidRDefault="0092635B">
            <w:pPr>
              <w:pStyle w:val="TableParagraph"/>
              <w:spacing w:before="6"/>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27:</w:t>
            </w:r>
          </w:p>
        </w:tc>
        <w:tc>
          <w:tcPr>
            <w:tcW w:w="9458" w:type="dxa"/>
          </w:tcPr>
          <w:p w:rsidR="0092635B" w:rsidRDefault="00000000">
            <w:pPr>
              <w:pStyle w:val="TableParagraph"/>
              <w:spacing w:line="249" w:lineRule="auto"/>
              <w:ind w:left="40" w:right="3343"/>
              <w:rPr>
                <w:sz w:val="14"/>
              </w:rPr>
            </w:pPr>
            <w:r>
              <w:rPr>
                <w:w w:val="85"/>
                <w:sz w:val="14"/>
              </w:rPr>
              <w:t>Combustibles minerales, aceites minerales y productos de su destilación; materias bituminosas, ceras minerales.</w:t>
            </w:r>
            <w:r>
              <w:rPr>
                <w:spacing w:val="40"/>
                <w:sz w:val="14"/>
              </w:rPr>
              <w:t xml:space="preserve"> </w:t>
            </w:r>
            <w:r>
              <w:rPr>
                <w:spacing w:val="-2"/>
                <w:w w:val="95"/>
                <w:sz w:val="14"/>
              </w:rPr>
              <w:t>excepto:</w:t>
            </w:r>
          </w:p>
          <w:p w:rsidR="0092635B" w:rsidRDefault="00000000">
            <w:pPr>
              <w:pStyle w:val="TableParagraph"/>
              <w:spacing w:line="145" w:lineRule="exact"/>
              <w:ind w:left="40"/>
              <w:rPr>
                <w:sz w:val="14"/>
              </w:rPr>
            </w:pPr>
            <w:r>
              <w:rPr>
                <w:w w:val="85"/>
                <w:sz w:val="14"/>
              </w:rPr>
              <w:t>ex</w:t>
            </w:r>
            <w:r>
              <w:rPr>
                <w:spacing w:val="2"/>
                <w:sz w:val="14"/>
              </w:rPr>
              <w:t xml:space="preserve"> </w:t>
            </w:r>
            <w:r>
              <w:rPr>
                <w:w w:val="85"/>
                <w:sz w:val="14"/>
              </w:rPr>
              <w:t>ex</w:t>
            </w:r>
            <w:r>
              <w:rPr>
                <w:spacing w:val="2"/>
                <w:sz w:val="14"/>
              </w:rPr>
              <w:t xml:space="preserve"> </w:t>
            </w:r>
            <w:r>
              <w:rPr>
                <w:w w:val="85"/>
                <w:sz w:val="14"/>
              </w:rPr>
              <w:t>27.10:</w:t>
            </w:r>
            <w:r>
              <w:rPr>
                <w:spacing w:val="2"/>
                <w:sz w:val="14"/>
              </w:rPr>
              <w:t xml:space="preserve"> </w:t>
            </w:r>
            <w:r>
              <w:rPr>
                <w:w w:val="85"/>
                <w:sz w:val="14"/>
              </w:rPr>
              <w:t>carburantes</w:t>
            </w:r>
            <w:r>
              <w:rPr>
                <w:spacing w:val="2"/>
                <w:sz w:val="14"/>
              </w:rPr>
              <w:t xml:space="preserve"> </w:t>
            </w:r>
            <w:r>
              <w:rPr>
                <w:spacing w:val="-2"/>
                <w:w w:val="85"/>
                <w:sz w:val="14"/>
              </w:rPr>
              <w:t>especiales.</w:t>
            </w:r>
          </w:p>
        </w:tc>
      </w:tr>
      <w:tr w:rsidR="0092635B">
        <w:trPr>
          <w:trHeight w:val="2011"/>
        </w:trPr>
        <w:tc>
          <w:tcPr>
            <w:tcW w:w="746" w:type="dxa"/>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118"/>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28:</w:t>
            </w:r>
          </w:p>
        </w:tc>
        <w:tc>
          <w:tcPr>
            <w:tcW w:w="9458" w:type="dxa"/>
          </w:tcPr>
          <w:p w:rsidR="0092635B" w:rsidRDefault="00000000">
            <w:pPr>
              <w:pStyle w:val="TableParagraph"/>
              <w:spacing w:line="249" w:lineRule="auto"/>
              <w:ind w:left="40" w:right="68"/>
              <w:rPr>
                <w:sz w:val="14"/>
              </w:rPr>
            </w:pPr>
            <w:r>
              <w:rPr>
                <w:w w:val="85"/>
                <w:sz w:val="14"/>
              </w:rPr>
              <w:t>Productos</w:t>
            </w:r>
            <w:r>
              <w:rPr>
                <w:sz w:val="14"/>
              </w:rPr>
              <w:t xml:space="preserve"> </w:t>
            </w:r>
            <w:r>
              <w:rPr>
                <w:w w:val="85"/>
                <w:sz w:val="14"/>
              </w:rPr>
              <w:t>químicos</w:t>
            </w:r>
            <w:r>
              <w:rPr>
                <w:sz w:val="14"/>
              </w:rPr>
              <w:t xml:space="preserve"> </w:t>
            </w:r>
            <w:r>
              <w:rPr>
                <w:w w:val="85"/>
                <w:sz w:val="14"/>
              </w:rPr>
              <w:t>inorgánicos;</w:t>
            </w:r>
            <w:r>
              <w:rPr>
                <w:sz w:val="14"/>
              </w:rPr>
              <w:t xml:space="preserve"> </w:t>
            </w:r>
            <w:r>
              <w:rPr>
                <w:w w:val="85"/>
                <w:sz w:val="14"/>
              </w:rPr>
              <w:t>compuestos</w:t>
            </w:r>
            <w:r>
              <w:rPr>
                <w:sz w:val="14"/>
              </w:rPr>
              <w:t xml:space="preserve"> </w:t>
            </w:r>
            <w:r>
              <w:rPr>
                <w:w w:val="85"/>
                <w:sz w:val="14"/>
              </w:rPr>
              <w:t>inorgánicos</w:t>
            </w:r>
            <w:r>
              <w:rPr>
                <w:sz w:val="14"/>
              </w:rPr>
              <w:t xml:space="preserve"> </w:t>
            </w:r>
            <w:r>
              <w:rPr>
                <w:w w:val="85"/>
                <w:sz w:val="14"/>
              </w:rPr>
              <w:t>u</w:t>
            </w:r>
            <w:r>
              <w:rPr>
                <w:sz w:val="14"/>
              </w:rPr>
              <w:t xml:space="preserve"> </w:t>
            </w:r>
            <w:r>
              <w:rPr>
                <w:w w:val="85"/>
                <w:sz w:val="14"/>
              </w:rPr>
              <w:t>orgánicos</w:t>
            </w:r>
            <w:r>
              <w:rPr>
                <w:sz w:val="14"/>
              </w:rPr>
              <w:t xml:space="preserve"> </w:t>
            </w:r>
            <w:r>
              <w:rPr>
                <w:w w:val="85"/>
                <w:sz w:val="14"/>
              </w:rPr>
              <w:t>de</w:t>
            </w:r>
            <w:r>
              <w:rPr>
                <w:sz w:val="14"/>
              </w:rPr>
              <w:t xml:space="preserve"> </w:t>
            </w:r>
            <w:r>
              <w:rPr>
                <w:w w:val="85"/>
                <w:sz w:val="14"/>
              </w:rPr>
              <w:t>los</w:t>
            </w:r>
            <w:r>
              <w:rPr>
                <w:sz w:val="14"/>
              </w:rPr>
              <w:t xml:space="preserve"> </w:t>
            </w:r>
            <w:r>
              <w:rPr>
                <w:w w:val="85"/>
                <w:sz w:val="14"/>
              </w:rPr>
              <w:t>metales</w:t>
            </w:r>
            <w:r>
              <w:rPr>
                <w:sz w:val="14"/>
              </w:rPr>
              <w:t xml:space="preserve"> </w:t>
            </w:r>
            <w:r>
              <w:rPr>
                <w:w w:val="85"/>
                <w:sz w:val="14"/>
              </w:rPr>
              <w:t>preciosos,</w:t>
            </w:r>
            <w:r>
              <w:rPr>
                <w:sz w:val="14"/>
              </w:rPr>
              <w:t xml:space="preserve"> </w:t>
            </w:r>
            <w:r>
              <w:rPr>
                <w:w w:val="85"/>
                <w:sz w:val="14"/>
              </w:rPr>
              <w:t>de</w:t>
            </w:r>
            <w:r>
              <w:rPr>
                <w:sz w:val="14"/>
              </w:rPr>
              <w:t xml:space="preserve"> </w:t>
            </w:r>
            <w:r>
              <w:rPr>
                <w:w w:val="85"/>
                <w:sz w:val="14"/>
              </w:rPr>
              <w:t>los</w:t>
            </w:r>
            <w:r>
              <w:rPr>
                <w:sz w:val="14"/>
              </w:rPr>
              <w:t xml:space="preserve"> </w:t>
            </w:r>
            <w:r>
              <w:rPr>
                <w:w w:val="85"/>
                <w:sz w:val="14"/>
              </w:rPr>
              <w:t>elementos</w:t>
            </w:r>
            <w:r>
              <w:rPr>
                <w:sz w:val="14"/>
              </w:rPr>
              <w:t xml:space="preserve"> </w:t>
            </w:r>
            <w:r>
              <w:rPr>
                <w:w w:val="85"/>
                <w:sz w:val="14"/>
              </w:rPr>
              <w:t>radiactivos,</w:t>
            </w:r>
            <w:r>
              <w:rPr>
                <w:sz w:val="14"/>
              </w:rPr>
              <w:t xml:space="preserve"> </w:t>
            </w:r>
            <w:r>
              <w:rPr>
                <w:w w:val="85"/>
                <w:sz w:val="14"/>
              </w:rPr>
              <w:t>de</w:t>
            </w:r>
            <w:r>
              <w:rPr>
                <w:sz w:val="14"/>
              </w:rPr>
              <w:t xml:space="preserve"> </w:t>
            </w:r>
            <w:r>
              <w:rPr>
                <w:w w:val="85"/>
                <w:sz w:val="14"/>
              </w:rPr>
              <w:t>los</w:t>
            </w:r>
            <w:r>
              <w:rPr>
                <w:sz w:val="14"/>
              </w:rPr>
              <w:t xml:space="preserve"> </w:t>
            </w:r>
            <w:r>
              <w:rPr>
                <w:w w:val="85"/>
                <w:sz w:val="14"/>
              </w:rPr>
              <w:t>metales</w:t>
            </w:r>
            <w:r>
              <w:rPr>
                <w:sz w:val="14"/>
              </w:rPr>
              <w:t xml:space="preserve"> </w:t>
            </w:r>
            <w:r>
              <w:rPr>
                <w:w w:val="85"/>
                <w:sz w:val="14"/>
              </w:rPr>
              <w:t>de</w:t>
            </w:r>
            <w:r>
              <w:rPr>
                <w:sz w:val="14"/>
              </w:rPr>
              <w:t xml:space="preserve"> </w:t>
            </w:r>
            <w:r>
              <w:rPr>
                <w:w w:val="85"/>
                <w:sz w:val="14"/>
              </w:rPr>
              <w:t>las</w:t>
            </w:r>
            <w:r>
              <w:rPr>
                <w:sz w:val="14"/>
              </w:rPr>
              <w:t xml:space="preserve"> </w:t>
            </w:r>
            <w:r>
              <w:rPr>
                <w:w w:val="85"/>
                <w:sz w:val="14"/>
              </w:rPr>
              <w:t>tierras</w:t>
            </w:r>
            <w:r>
              <w:rPr>
                <w:sz w:val="14"/>
              </w:rPr>
              <w:t xml:space="preserve"> </w:t>
            </w:r>
            <w:r>
              <w:rPr>
                <w:w w:val="85"/>
                <w:sz w:val="14"/>
              </w:rPr>
              <w:t>raras</w:t>
            </w:r>
            <w:r>
              <w:rPr>
                <w:sz w:val="14"/>
              </w:rPr>
              <w:t xml:space="preserve"> </w:t>
            </w:r>
            <w:r>
              <w:rPr>
                <w:w w:val="85"/>
                <w:sz w:val="14"/>
              </w:rPr>
              <w:t>o</w:t>
            </w:r>
            <w:r>
              <w:rPr>
                <w:sz w:val="14"/>
              </w:rPr>
              <w:t xml:space="preserve"> </w:t>
            </w:r>
            <w:r>
              <w:rPr>
                <w:w w:val="85"/>
                <w:sz w:val="14"/>
              </w:rPr>
              <w:t>de</w:t>
            </w:r>
            <w:r>
              <w:rPr>
                <w:spacing w:val="40"/>
                <w:sz w:val="14"/>
              </w:rPr>
              <w:t xml:space="preserve"> </w:t>
            </w:r>
            <w:r>
              <w:rPr>
                <w:spacing w:val="-2"/>
                <w:w w:val="95"/>
                <w:sz w:val="14"/>
              </w:rPr>
              <w:t>isótopos.</w:t>
            </w:r>
          </w:p>
          <w:p w:rsidR="0092635B" w:rsidRDefault="00000000">
            <w:pPr>
              <w:pStyle w:val="TableParagraph"/>
              <w:ind w:left="40"/>
              <w:rPr>
                <w:sz w:val="14"/>
              </w:rPr>
            </w:pPr>
            <w:r>
              <w:rPr>
                <w:spacing w:val="-2"/>
                <w:w w:val="95"/>
                <w:sz w:val="14"/>
              </w:rPr>
              <w:t>excepto:.</w:t>
            </w:r>
          </w:p>
          <w:p w:rsidR="0092635B" w:rsidRDefault="00000000">
            <w:pPr>
              <w:pStyle w:val="TableParagraph"/>
              <w:spacing w:before="7" w:line="249" w:lineRule="auto"/>
              <w:ind w:left="40" w:right="8011"/>
              <w:rPr>
                <w:sz w:val="14"/>
              </w:rPr>
            </w:pP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28.09:</w:t>
            </w:r>
            <w:r>
              <w:rPr>
                <w:spacing w:val="-4"/>
                <w:w w:val="90"/>
                <w:sz w:val="14"/>
              </w:rPr>
              <w:t xml:space="preserve"> </w:t>
            </w:r>
            <w:r>
              <w:rPr>
                <w:spacing w:val="-2"/>
                <w:w w:val="90"/>
                <w:sz w:val="14"/>
              </w:rPr>
              <w:t>explosivos.</w:t>
            </w:r>
            <w:r>
              <w:rPr>
                <w:spacing w:val="40"/>
                <w:sz w:val="14"/>
              </w:rPr>
              <w:t xml:space="preserve"> </w:t>
            </w:r>
            <w:r>
              <w:rPr>
                <w:w w:val="85"/>
                <w:sz w:val="14"/>
              </w:rPr>
              <w:t>ex</w:t>
            </w:r>
            <w:r>
              <w:rPr>
                <w:spacing w:val="-1"/>
                <w:sz w:val="14"/>
              </w:rPr>
              <w:t xml:space="preserve"> </w:t>
            </w:r>
            <w:r>
              <w:rPr>
                <w:w w:val="85"/>
                <w:sz w:val="14"/>
              </w:rPr>
              <w:t>ex</w:t>
            </w:r>
            <w:r>
              <w:rPr>
                <w:sz w:val="14"/>
              </w:rPr>
              <w:t xml:space="preserve"> </w:t>
            </w:r>
            <w:r>
              <w:rPr>
                <w:w w:val="85"/>
                <w:sz w:val="14"/>
              </w:rPr>
              <w:t>28.13:</w:t>
            </w:r>
            <w:r>
              <w:rPr>
                <w:spacing w:val="-1"/>
                <w:sz w:val="14"/>
              </w:rPr>
              <w:t xml:space="preserve"> </w:t>
            </w:r>
            <w:r>
              <w:rPr>
                <w:spacing w:val="-2"/>
                <w:w w:val="85"/>
                <w:sz w:val="14"/>
              </w:rPr>
              <w:t>explosivos.</w:t>
            </w:r>
          </w:p>
          <w:p w:rsidR="0092635B" w:rsidRDefault="00000000">
            <w:pPr>
              <w:pStyle w:val="TableParagraph"/>
              <w:spacing w:before="1" w:line="249" w:lineRule="auto"/>
              <w:ind w:left="40" w:right="7482"/>
              <w:rPr>
                <w:sz w:val="14"/>
              </w:rPr>
            </w:pP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28.14:</w:t>
            </w:r>
            <w:r>
              <w:rPr>
                <w:spacing w:val="-4"/>
                <w:w w:val="90"/>
                <w:sz w:val="14"/>
              </w:rPr>
              <w:t xml:space="preserve"> </w:t>
            </w:r>
            <w:r>
              <w:rPr>
                <w:spacing w:val="-2"/>
                <w:w w:val="90"/>
                <w:sz w:val="14"/>
              </w:rPr>
              <w:t>gases</w:t>
            </w:r>
            <w:r>
              <w:rPr>
                <w:spacing w:val="-4"/>
                <w:w w:val="90"/>
                <w:sz w:val="14"/>
              </w:rPr>
              <w:t xml:space="preserve"> </w:t>
            </w:r>
            <w:r>
              <w:rPr>
                <w:spacing w:val="-2"/>
                <w:w w:val="90"/>
                <w:sz w:val="14"/>
              </w:rPr>
              <w:t>lacrimógenos.</w:t>
            </w:r>
            <w:r>
              <w:rPr>
                <w:spacing w:val="40"/>
                <w:sz w:val="14"/>
              </w:rPr>
              <w:t xml:space="preserve"> </w:t>
            </w:r>
            <w:r>
              <w:rPr>
                <w:w w:val="95"/>
                <w:sz w:val="14"/>
              </w:rPr>
              <w:t>ex ex 28.28: explosivos.</w:t>
            </w:r>
          </w:p>
          <w:p w:rsidR="0092635B" w:rsidRDefault="00000000">
            <w:pPr>
              <w:pStyle w:val="TableParagraph"/>
              <w:spacing w:before="1" w:line="249" w:lineRule="auto"/>
              <w:ind w:left="40" w:right="8011"/>
              <w:rPr>
                <w:sz w:val="14"/>
              </w:rPr>
            </w:pP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28.32:</w:t>
            </w:r>
            <w:r>
              <w:rPr>
                <w:spacing w:val="-4"/>
                <w:w w:val="90"/>
                <w:sz w:val="14"/>
              </w:rPr>
              <w:t xml:space="preserve"> </w:t>
            </w:r>
            <w:r>
              <w:rPr>
                <w:spacing w:val="-2"/>
                <w:w w:val="90"/>
                <w:sz w:val="14"/>
              </w:rPr>
              <w:t>explosivos.</w:t>
            </w:r>
            <w:r>
              <w:rPr>
                <w:spacing w:val="40"/>
                <w:sz w:val="14"/>
              </w:rPr>
              <w:t xml:space="preserve"> </w:t>
            </w:r>
            <w:r>
              <w:rPr>
                <w:w w:val="85"/>
                <w:sz w:val="14"/>
              </w:rPr>
              <w:t>ex</w:t>
            </w:r>
            <w:r>
              <w:rPr>
                <w:spacing w:val="-1"/>
                <w:sz w:val="14"/>
              </w:rPr>
              <w:t xml:space="preserve"> </w:t>
            </w:r>
            <w:r>
              <w:rPr>
                <w:w w:val="85"/>
                <w:sz w:val="14"/>
              </w:rPr>
              <w:t>ex</w:t>
            </w:r>
            <w:r>
              <w:rPr>
                <w:sz w:val="14"/>
              </w:rPr>
              <w:t xml:space="preserve"> </w:t>
            </w:r>
            <w:r>
              <w:rPr>
                <w:w w:val="85"/>
                <w:sz w:val="14"/>
              </w:rPr>
              <w:t>28.39:</w:t>
            </w:r>
            <w:r>
              <w:rPr>
                <w:spacing w:val="-1"/>
                <w:sz w:val="14"/>
              </w:rPr>
              <w:t xml:space="preserve"> </w:t>
            </w:r>
            <w:r>
              <w:rPr>
                <w:spacing w:val="-2"/>
                <w:w w:val="85"/>
                <w:sz w:val="14"/>
              </w:rPr>
              <w:t>explosivos.</w:t>
            </w:r>
          </w:p>
          <w:p w:rsidR="0092635B" w:rsidRDefault="00000000">
            <w:pPr>
              <w:pStyle w:val="TableParagraph"/>
              <w:spacing w:before="1" w:line="249" w:lineRule="auto"/>
              <w:ind w:left="40" w:right="7350"/>
              <w:rPr>
                <w:sz w:val="14"/>
              </w:rPr>
            </w:pPr>
            <w:r>
              <w:rPr>
                <w:w w:val="85"/>
                <w:sz w:val="14"/>
              </w:rPr>
              <w:t>ex ex 28.50: productos toxicológicos.</w:t>
            </w:r>
            <w:r>
              <w:rPr>
                <w:spacing w:val="40"/>
                <w:sz w:val="14"/>
              </w:rPr>
              <w:t xml:space="preserve"> </w:t>
            </w:r>
            <w:r>
              <w:rPr>
                <w:w w:val="85"/>
                <w:sz w:val="14"/>
              </w:rPr>
              <w:t>ex</w:t>
            </w:r>
            <w:r>
              <w:rPr>
                <w:spacing w:val="-1"/>
                <w:sz w:val="14"/>
              </w:rPr>
              <w:t xml:space="preserve"> </w:t>
            </w:r>
            <w:r>
              <w:rPr>
                <w:w w:val="85"/>
                <w:sz w:val="14"/>
              </w:rPr>
              <w:t>ex</w:t>
            </w:r>
            <w:r>
              <w:rPr>
                <w:spacing w:val="2"/>
                <w:sz w:val="14"/>
              </w:rPr>
              <w:t xml:space="preserve"> </w:t>
            </w:r>
            <w:r>
              <w:rPr>
                <w:w w:val="85"/>
                <w:sz w:val="14"/>
              </w:rPr>
              <w:t>28.51:</w:t>
            </w:r>
            <w:r>
              <w:rPr>
                <w:spacing w:val="1"/>
                <w:sz w:val="14"/>
              </w:rPr>
              <w:t xml:space="preserve"> </w:t>
            </w:r>
            <w:r>
              <w:rPr>
                <w:w w:val="85"/>
                <w:sz w:val="14"/>
              </w:rPr>
              <w:t>productos</w:t>
            </w:r>
            <w:r>
              <w:rPr>
                <w:spacing w:val="2"/>
                <w:sz w:val="14"/>
              </w:rPr>
              <w:t xml:space="preserve"> </w:t>
            </w:r>
            <w:r>
              <w:rPr>
                <w:spacing w:val="-2"/>
                <w:w w:val="85"/>
                <w:sz w:val="14"/>
              </w:rPr>
              <w:t>toxicológicos.</w:t>
            </w:r>
          </w:p>
          <w:p w:rsidR="0092635B" w:rsidRDefault="00000000">
            <w:pPr>
              <w:pStyle w:val="TableParagraph"/>
              <w:spacing w:before="2" w:line="145" w:lineRule="exact"/>
              <w:ind w:left="40"/>
              <w:rPr>
                <w:sz w:val="14"/>
              </w:rPr>
            </w:pPr>
            <w:r>
              <w:rPr>
                <w:w w:val="85"/>
                <w:sz w:val="14"/>
              </w:rPr>
              <w:t>ex</w:t>
            </w:r>
            <w:r>
              <w:rPr>
                <w:spacing w:val="-1"/>
                <w:sz w:val="14"/>
              </w:rPr>
              <w:t xml:space="preserve"> </w:t>
            </w:r>
            <w:r>
              <w:rPr>
                <w:w w:val="85"/>
                <w:sz w:val="14"/>
              </w:rPr>
              <w:t>ex</w:t>
            </w:r>
            <w:r>
              <w:rPr>
                <w:sz w:val="14"/>
              </w:rPr>
              <w:t xml:space="preserve"> </w:t>
            </w:r>
            <w:r>
              <w:rPr>
                <w:w w:val="85"/>
                <w:sz w:val="14"/>
              </w:rPr>
              <w:t>28.54:</w:t>
            </w:r>
            <w:r>
              <w:rPr>
                <w:spacing w:val="-1"/>
                <w:sz w:val="14"/>
              </w:rPr>
              <w:t xml:space="preserve"> </w:t>
            </w:r>
            <w:r>
              <w:rPr>
                <w:spacing w:val="-2"/>
                <w:w w:val="85"/>
                <w:sz w:val="14"/>
              </w:rPr>
              <w:t>explosivos.</w:t>
            </w:r>
          </w:p>
        </w:tc>
      </w:tr>
      <w:tr w:rsidR="0092635B">
        <w:trPr>
          <w:trHeight w:val="2851"/>
        </w:trPr>
        <w:tc>
          <w:tcPr>
            <w:tcW w:w="746" w:type="dxa"/>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55"/>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29:</w:t>
            </w:r>
          </w:p>
        </w:tc>
        <w:tc>
          <w:tcPr>
            <w:tcW w:w="9458" w:type="dxa"/>
          </w:tcPr>
          <w:p w:rsidR="0092635B" w:rsidRDefault="00000000">
            <w:pPr>
              <w:pStyle w:val="TableParagraph"/>
              <w:spacing w:line="249" w:lineRule="auto"/>
              <w:ind w:left="40" w:right="7729"/>
              <w:jc w:val="both"/>
              <w:rPr>
                <w:sz w:val="14"/>
              </w:rPr>
            </w:pPr>
            <w:r>
              <w:rPr>
                <w:w w:val="85"/>
                <w:sz w:val="14"/>
              </w:rPr>
              <w:t>Productos químicos orgánicos.</w:t>
            </w:r>
            <w:r>
              <w:rPr>
                <w:spacing w:val="40"/>
                <w:sz w:val="14"/>
              </w:rPr>
              <w:t xml:space="preserve"> </w:t>
            </w:r>
            <w:r>
              <w:rPr>
                <w:spacing w:val="-2"/>
                <w:w w:val="95"/>
                <w:sz w:val="14"/>
              </w:rPr>
              <w:t>excepto:</w:t>
            </w:r>
          </w:p>
          <w:p w:rsidR="0092635B" w:rsidRDefault="00000000">
            <w:pPr>
              <w:pStyle w:val="TableParagraph"/>
              <w:spacing w:line="249" w:lineRule="auto"/>
              <w:ind w:left="40" w:right="8097"/>
              <w:jc w:val="both"/>
              <w:rPr>
                <w:sz w:val="14"/>
              </w:rPr>
            </w:pP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29.03:</w:t>
            </w:r>
            <w:r>
              <w:rPr>
                <w:spacing w:val="-4"/>
                <w:w w:val="90"/>
                <w:sz w:val="14"/>
              </w:rPr>
              <w:t xml:space="preserve"> </w:t>
            </w:r>
            <w:r>
              <w:rPr>
                <w:spacing w:val="-2"/>
                <w:w w:val="90"/>
                <w:sz w:val="14"/>
              </w:rPr>
              <w:t>explosivos.</w:t>
            </w:r>
            <w:r>
              <w:rPr>
                <w:spacing w:val="40"/>
                <w:sz w:val="14"/>
              </w:rPr>
              <w:t xml:space="preserve"> </w:t>
            </w: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29.04:</w:t>
            </w:r>
            <w:r>
              <w:rPr>
                <w:spacing w:val="-4"/>
                <w:w w:val="90"/>
                <w:sz w:val="14"/>
              </w:rPr>
              <w:t xml:space="preserve"> </w:t>
            </w:r>
            <w:r>
              <w:rPr>
                <w:spacing w:val="-2"/>
                <w:w w:val="90"/>
                <w:sz w:val="14"/>
              </w:rPr>
              <w:t>explosivos.</w:t>
            </w:r>
            <w:r>
              <w:rPr>
                <w:spacing w:val="40"/>
                <w:sz w:val="14"/>
              </w:rPr>
              <w:t xml:space="preserve"> </w:t>
            </w: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29.07:</w:t>
            </w:r>
            <w:r>
              <w:rPr>
                <w:spacing w:val="-4"/>
                <w:w w:val="90"/>
                <w:sz w:val="14"/>
              </w:rPr>
              <w:t xml:space="preserve"> </w:t>
            </w:r>
            <w:r>
              <w:rPr>
                <w:spacing w:val="-2"/>
                <w:w w:val="90"/>
                <w:sz w:val="14"/>
              </w:rPr>
              <w:t>explosivos.</w:t>
            </w:r>
            <w:r>
              <w:rPr>
                <w:spacing w:val="40"/>
                <w:sz w:val="14"/>
              </w:rPr>
              <w:t xml:space="preserve"> </w:t>
            </w: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29.08:</w:t>
            </w:r>
            <w:r>
              <w:rPr>
                <w:spacing w:val="-4"/>
                <w:w w:val="90"/>
                <w:sz w:val="14"/>
              </w:rPr>
              <w:t xml:space="preserve"> </w:t>
            </w:r>
            <w:r>
              <w:rPr>
                <w:spacing w:val="-2"/>
                <w:w w:val="90"/>
                <w:sz w:val="14"/>
              </w:rPr>
              <w:t>explosivos.</w:t>
            </w:r>
            <w:r>
              <w:rPr>
                <w:spacing w:val="40"/>
                <w:sz w:val="14"/>
              </w:rPr>
              <w:t xml:space="preserve"> </w:t>
            </w:r>
            <w:r>
              <w:rPr>
                <w:w w:val="85"/>
                <w:sz w:val="14"/>
              </w:rPr>
              <w:t>ex ex 29.11: explosivos.</w:t>
            </w:r>
            <w:r>
              <w:rPr>
                <w:spacing w:val="40"/>
                <w:sz w:val="14"/>
              </w:rPr>
              <w:t xml:space="preserve"> </w:t>
            </w:r>
            <w:r>
              <w:rPr>
                <w:w w:val="85"/>
                <w:sz w:val="14"/>
              </w:rPr>
              <w:t>ex</w:t>
            </w:r>
            <w:r>
              <w:rPr>
                <w:spacing w:val="-1"/>
                <w:sz w:val="14"/>
              </w:rPr>
              <w:t xml:space="preserve"> </w:t>
            </w:r>
            <w:r>
              <w:rPr>
                <w:w w:val="85"/>
                <w:sz w:val="14"/>
              </w:rPr>
              <w:t>ex</w:t>
            </w:r>
            <w:r>
              <w:rPr>
                <w:sz w:val="14"/>
              </w:rPr>
              <w:t xml:space="preserve"> </w:t>
            </w:r>
            <w:r>
              <w:rPr>
                <w:w w:val="85"/>
                <w:sz w:val="14"/>
              </w:rPr>
              <w:t>29.12:</w:t>
            </w:r>
            <w:r>
              <w:rPr>
                <w:spacing w:val="-1"/>
                <w:sz w:val="14"/>
              </w:rPr>
              <w:t xml:space="preserve"> </w:t>
            </w:r>
            <w:r>
              <w:rPr>
                <w:spacing w:val="-2"/>
                <w:w w:val="85"/>
                <w:sz w:val="14"/>
              </w:rPr>
              <w:t>explosivos.</w:t>
            </w:r>
          </w:p>
          <w:p w:rsidR="0092635B" w:rsidRDefault="00000000">
            <w:pPr>
              <w:pStyle w:val="TableParagraph"/>
              <w:spacing w:before="3" w:line="249" w:lineRule="auto"/>
              <w:ind w:left="40" w:right="7395"/>
              <w:jc w:val="both"/>
              <w:rPr>
                <w:sz w:val="14"/>
              </w:rPr>
            </w:pPr>
            <w:r>
              <w:rPr>
                <w:w w:val="85"/>
                <w:sz w:val="14"/>
              </w:rPr>
              <w:t>ex ex 29.13: productos toxicológicos.</w:t>
            </w:r>
            <w:r>
              <w:rPr>
                <w:spacing w:val="40"/>
                <w:sz w:val="14"/>
              </w:rPr>
              <w:t xml:space="preserve"> </w:t>
            </w:r>
            <w:r>
              <w:rPr>
                <w:w w:val="85"/>
                <w:sz w:val="14"/>
              </w:rPr>
              <w:t>ex ex 29.14: productos toxicológicos.</w:t>
            </w:r>
            <w:r>
              <w:rPr>
                <w:spacing w:val="40"/>
                <w:sz w:val="14"/>
              </w:rPr>
              <w:t xml:space="preserve"> </w:t>
            </w:r>
            <w:r>
              <w:rPr>
                <w:w w:val="85"/>
                <w:sz w:val="14"/>
              </w:rPr>
              <w:t>ex ex 29.15: productos toxicológicos.</w:t>
            </w:r>
            <w:r>
              <w:rPr>
                <w:spacing w:val="40"/>
                <w:sz w:val="14"/>
              </w:rPr>
              <w:t xml:space="preserve"> </w:t>
            </w:r>
            <w:r>
              <w:rPr>
                <w:w w:val="85"/>
                <w:sz w:val="14"/>
              </w:rPr>
              <w:t>ex ex 29.21: productos toxicológicos.</w:t>
            </w:r>
            <w:r>
              <w:rPr>
                <w:spacing w:val="40"/>
                <w:sz w:val="14"/>
              </w:rPr>
              <w:t xml:space="preserve"> </w:t>
            </w:r>
            <w:r>
              <w:rPr>
                <w:w w:val="85"/>
                <w:sz w:val="14"/>
              </w:rPr>
              <w:t>ex ex 29.22: productos toxicológicos.</w:t>
            </w:r>
            <w:r>
              <w:rPr>
                <w:spacing w:val="40"/>
                <w:sz w:val="14"/>
              </w:rPr>
              <w:t xml:space="preserve"> </w:t>
            </w:r>
            <w:r>
              <w:rPr>
                <w:w w:val="85"/>
                <w:sz w:val="14"/>
              </w:rPr>
              <w:t>ex ex 29.23: productos toxicológicos.</w:t>
            </w:r>
            <w:r>
              <w:rPr>
                <w:spacing w:val="40"/>
                <w:sz w:val="14"/>
              </w:rPr>
              <w:t xml:space="preserve"> </w:t>
            </w:r>
            <w:r>
              <w:rPr>
                <w:w w:val="95"/>
                <w:sz w:val="14"/>
              </w:rPr>
              <w:t>ex ex 29.26: explosivos.</w:t>
            </w:r>
          </w:p>
          <w:p w:rsidR="0092635B" w:rsidRDefault="00000000">
            <w:pPr>
              <w:pStyle w:val="TableParagraph"/>
              <w:spacing w:line="168" w:lineRule="exact"/>
              <w:ind w:left="40" w:right="7395"/>
              <w:jc w:val="both"/>
              <w:rPr>
                <w:sz w:val="14"/>
              </w:rPr>
            </w:pPr>
            <w:r>
              <w:rPr>
                <w:w w:val="85"/>
                <w:sz w:val="14"/>
              </w:rPr>
              <w:t>ex ex 29.27: productos toxicológicos.</w:t>
            </w:r>
            <w:r>
              <w:rPr>
                <w:spacing w:val="40"/>
                <w:sz w:val="14"/>
              </w:rPr>
              <w:t xml:space="preserve"> </w:t>
            </w:r>
            <w:r>
              <w:rPr>
                <w:w w:val="95"/>
                <w:sz w:val="14"/>
              </w:rPr>
              <w:t>ex ex 29.29: explosivos.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30:</w:t>
            </w:r>
          </w:p>
        </w:tc>
        <w:tc>
          <w:tcPr>
            <w:tcW w:w="9458" w:type="dxa"/>
          </w:tcPr>
          <w:p w:rsidR="0092635B" w:rsidRDefault="00000000">
            <w:pPr>
              <w:pStyle w:val="TableParagraph"/>
              <w:spacing w:line="146" w:lineRule="exact"/>
              <w:ind w:left="40"/>
              <w:rPr>
                <w:sz w:val="14"/>
              </w:rPr>
            </w:pPr>
            <w:r>
              <w:rPr>
                <w:w w:val="85"/>
                <w:sz w:val="14"/>
              </w:rPr>
              <w:t>Productos</w:t>
            </w:r>
            <w:r>
              <w:rPr>
                <w:spacing w:val="7"/>
                <w:sz w:val="14"/>
              </w:rPr>
              <w:t xml:space="preserve"> </w:t>
            </w:r>
            <w:r>
              <w:rPr>
                <w:spacing w:val="-2"/>
                <w:w w:val="95"/>
                <w:sz w:val="14"/>
              </w:rPr>
              <w:t>farmacéuticos.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31:</w:t>
            </w:r>
          </w:p>
        </w:tc>
        <w:tc>
          <w:tcPr>
            <w:tcW w:w="9458" w:type="dxa"/>
          </w:tcPr>
          <w:p w:rsidR="0092635B" w:rsidRDefault="00000000">
            <w:pPr>
              <w:pStyle w:val="TableParagraph"/>
              <w:spacing w:line="146" w:lineRule="exact"/>
              <w:ind w:left="40"/>
              <w:rPr>
                <w:sz w:val="14"/>
              </w:rPr>
            </w:pPr>
            <w:r>
              <w:rPr>
                <w:spacing w:val="-2"/>
                <w:w w:val="95"/>
                <w:sz w:val="14"/>
              </w:rPr>
              <w:t>Abonos.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32:</w:t>
            </w:r>
          </w:p>
        </w:tc>
        <w:tc>
          <w:tcPr>
            <w:tcW w:w="9458" w:type="dxa"/>
          </w:tcPr>
          <w:p w:rsidR="0092635B" w:rsidRDefault="00000000">
            <w:pPr>
              <w:pStyle w:val="TableParagraph"/>
              <w:spacing w:line="146" w:lineRule="exact"/>
              <w:ind w:left="40"/>
              <w:rPr>
                <w:sz w:val="14"/>
              </w:rPr>
            </w:pPr>
            <w:r>
              <w:rPr>
                <w:w w:val="85"/>
                <w:sz w:val="14"/>
              </w:rPr>
              <w:t>Extractos</w:t>
            </w:r>
            <w:r>
              <w:rPr>
                <w:spacing w:val="3"/>
                <w:sz w:val="14"/>
              </w:rPr>
              <w:t xml:space="preserve"> </w:t>
            </w:r>
            <w:r>
              <w:rPr>
                <w:w w:val="85"/>
                <w:sz w:val="14"/>
              </w:rPr>
              <w:t>curtientes</w:t>
            </w:r>
            <w:r>
              <w:rPr>
                <w:spacing w:val="4"/>
                <w:sz w:val="14"/>
              </w:rPr>
              <w:t xml:space="preserve"> </w:t>
            </w:r>
            <w:r>
              <w:rPr>
                <w:w w:val="85"/>
                <w:sz w:val="14"/>
              </w:rPr>
              <w:t>o</w:t>
            </w:r>
            <w:r>
              <w:rPr>
                <w:spacing w:val="4"/>
                <w:sz w:val="14"/>
              </w:rPr>
              <w:t xml:space="preserve"> </w:t>
            </w:r>
            <w:r>
              <w:rPr>
                <w:w w:val="85"/>
                <w:sz w:val="14"/>
              </w:rPr>
              <w:t>tintóreos;</w:t>
            </w:r>
            <w:r>
              <w:rPr>
                <w:spacing w:val="3"/>
                <w:sz w:val="14"/>
              </w:rPr>
              <w:t xml:space="preserve"> </w:t>
            </w:r>
            <w:r>
              <w:rPr>
                <w:w w:val="85"/>
                <w:sz w:val="14"/>
              </w:rPr>
              <w:t>taninos</w:t>
            </w:r>
            <w:r>
              <w:rPr>
                <w:spacing w:val="4"/>
                <w:sz w:val="14"/>
              </w:rPr>
              <w:t xml:space="preserve"> </w:t>
            </w:r>
            <w:r>
              <w:rPr>
                <w:w w:val="85"/>
                <w:sz w:val="14"/>
              </w:rPr>
              <w:t>y</w:t>
            </w:r>
            <w:r>
              <w:rPr>
                <w:spacing w:val="4"/>
                <w:sz w:val="14"/>
              </w:rPr>
              <w:t xml:space="preserve"> </w:t>
            </w:r>
            <w:r>
              <w:rPr>
                <w:w w:val="85"/>
                <w:sz w:val="14"/>
              </w:rPr>
              <w:t>sus</w:t>
            </w:r>
            <w:r>
              <w:rPr>
                <w:spacing w:val="3"/>
                <w:sz w:val="14"/>
              </w:rPr>
              <w:t xml:space="preserve"> </w:t>
            </w:r>
            <w:r>
              <w:rPr>
                <w:w w:val="85"/>
                <w:sz w:val="14"/>
              </w:rPr>
              <w:t>derivados;</w:t>
            </w:r>
            <w:r>
              <w:rPr>
                <w:spacing w:val="4"/>
                <w:sz w:val="14"/>
              </w:rPr>
              <w:t xml:space="preserve"> </w:t>
            </w:r>
            <w:r>
              <w:rPr>
                <w:w w:val="85"/>
                <w:sz w:val="14"/>
              </w:rPr>
              <w:t>pigmentos</w:t>
            </w:r>
            <w:r>
              <w:rPr>
                <w:spacing w:val="4"/>
                <w:sz w:val="14"/>
              </w:rPr>
              <w:t xml:space="preserve"> </w:t>
            </w:r>
            <w:r>
              <w:rPr>
                <w:w w:val="85"/>
                <w:sz w:val="14"/>
              </w:rPr>
              <w:t>y</w:t>
            </w:r>
            <w:r>
              <w:rPr>
                <w:spacing w:val="4"/>
                <w:sz w:val="14"/>
              </w:rPr>
              <w:t xml:space="preserve"> </w:t>
            </w:r>
            <w:r>
              <w:rPr>
                <w:w w:val="85"/>
                <w:sz w:val="14"/>
              </w:rPr>
              <w:t>demás</w:t>
            </w:r>
            <w:r>
              <w:rPr>
                <w:spacing w:val="3"/>
                <w:sz w:val="14"/>
              </w:rPr>
              <w:t xml:space="preserve"> </w:t>
            </w:r>
            <w:r>
              <w:rPr>
                <w:w w:val="85"/>
                <w:sz w:val="14"/>
              </w:rPr>
              <w:t>materias</w:t>
            </w:r>
            <w:r>
              <w:rPr>
                <w:spacing w:val="4"/>
                <w:sz w:val="14"/>
              </w:rPr>
              <w:t xml:space="preserve"> </w:t>
            </w:r>
            <w:r>
              <w:rPr>
                <w:w w:val="85"/>
                <w:sz w:val="14"/>
              </w:rPr>
              <w:t>colorantes;</w:t>
            </w:r>
            <w:r>
              <w:rPr>
                <w:spacing w:val="4"/>
                <w:sz w:val="14"/>
              </w:rPr>
              <w:t xml:space="preserve"> </w:t>
            </w:r>
            <w:r>
              <w:rPr>
                <w:w w:val="85"/>
                <w:sz w:val="14"/>
              </w:rPr>
              <w:t>pinturas</w:t>
            </w:r>
            <w:r>
              <w:rPr>
                <w:spacing w:val="3"/>
                <w:sz w:val="14"/>
              </w:rPr>
              <w:t xml:space="preserve"> </w:t>
            </w:r>
            <w:r>
              <w:rPr>
                <w:w w:val="85"/>
                <w:sz w:val="14"/>
              </w:rPr>
              <w:t>y</w:t>
            </w:r>
            <w:r>
              <w:rPr>
                <w:spacing w:val="4"/>
                <w:sz w:val="14"/>
              </w:rPr>
              <w:t xml:space="preserve"> </w:t>
            </w:r>
            <w:r>
              <w:rPr>
                <w:w w:val="85"/>
                <w:sz w:val="14"/>
              </w:rPr>
              <w:t>barnices;</w:t>
            </w:r>
            <w:r>
              <w:rPr>
                <w:spacing w:val="4"/>
                <w:sz w:val="14"/>
              </w:rPr>
              <w:t xml:space="preserve"> </w:t>
            </w:r>
            <w:r>
              <w:rPr>
                <w:w w:val="85"/>
                <w:sz w:val="14"/>
              </w:rPr>
              <w:t>mástiques;</w:t>
            </w:r>
            <w:r>
              <w:rPr>
                <w:spacing w:val="4"/>
                <w:sz w:val="14"/>
              </w:rPr>
              <w:t xml:space="preserve"> </w:t>
            </w:r>
            <w:r>
              <w:rPr>
                <w:spacing w:val="-2"/>
                <w:w w:val="85"/>
                <w:sz w:val="14"/>
              </w:rPr>
              <w:t>tintas.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33:</w:t>
            </w:r>
          </w:p>
        </w:tc>
        <w:tc>
          <w:tcPr>
            <w:tcW w:w="9458" w:type="dxa"/>
          </w:tcPr>
          <w:p w:rsidR="0092635B" w:rsidRDefault="00000000">
            <w:pPr>
              <w:pStyle w:val="TableParagraph"/>
              <w:spacing w:line="146" w:lineRule="exact"/>
              <w:ind w:left="40"/>
              <w:rPr>
                <w:sz w:val="14"/>
              </w:rPr>
            </w:pPr>
            <w:r>
              <w:rPr>
                <w:w w:val="85"/>
                <w:sz w:val="14"/>
              </w:rPr>
              <w:t>Aceites</w:t>
            </w:r>
            <w:r>
              <w:rPr>
                <w:spacing w:val="2"/>
                <w:sz w:val="14"/>
              </w:rPr>
              <w:t xml:space="preserve"> </w:t>
            </w:r>
            <w:r>
              <w:rPr>
                <w:w w:val="85"/>
                <w:sz w:val="14"/>
              </w:rPr>
              <w:t>esenciales</w:t>
            </w:r>
            <w:r>
              <w:rPr>
                <w:spacing w:val="3"/>
                <w:sz w:val="14"/>
              </w:rPr>
              <w:t xml:space="preserve"> </w:t>
            </w:r>
            <w:r>
              <w:rPr>
                <w:w w:val="85"/>
                <w:sz w:val="14"/>
              </w:rPr>
              <w:t>y</w:t>
            </w:r>
            <w:r>
              <w:rPr>
                <w:spacing w:val="3"/>
                <w:sz w:val="14"/>
              </w:rPr>
              <w:t xml:space="preserve"> </w:t>
            </w:r>
            <w:r>
              <w:rPr>
                <w:w w:val="85"/>
                <w:sz w:val="14"/>
              </w:rPr>
              <w:t>resinoides;</w:t>
            </w:r>
            <w:r>
              <w:rPr>
                <w:spacing w:val="3"/>
                <w:sz w:val="14"/>
              </w:rPr>
              <w:t xml:space="preserve"> </w:t>
            </w:r>
            <w:r>
              <w:rPr>
                <w:w w:val="85"/>
                <w:sz w:val="14"/>
              </w:rPr>
              <w:t>preparaciones</w:t>
            </w:r>
            <w:r>
              <w:rPr>
                <w:spacing w:val="3"/>
                <w:sz w:val="14"/>
              </w:rPr>
              <w:t xml:space="preserve"> </w:t>
            </w:r>
            <w:r>
              <w:rPr>
                <w:w w:val="85"/>
                <w:sz w:val="14"/>
              </w:rPr>
              <w:t>de</w:t>
            </w:r>
            <w:r>
              <w:rPr>
                <w:spacing w:val="3"/>
                <w:sz w:val="14"/>
              </w:rPr>
              <w:t xml:space="preserve"> </w:t>
            </w:r>
            <w:r>
              <w:rPr>
                <w:w w:val="85"/>
                <w:sz w:val="14"/>
              </w:rPr>
              <w:t>perfumería,</w:t>
            </w:r>
            <w:r>
              <w:rPr>
                <w:spacing w:val="3"/>
                <w:sz w:val="14"/>
              </w:rPr>
              <w:t xml:space="preserve"> </w:t>
            </w:r>
            <w:r>
              <w:rPr>
                <w:w w:val="85"/>
                <w:sz w:val="14"/>
              </w:rPr>
              <w:t>de</w:t>
            </w:r>
            <w:r>
              <w:rPr>
                <w:spacing w:val="3"/>
                <w:sz w:val="14"/>
              </w:rPr>
              <w:t xml:space="preserve"> </w:t>
            </w:r>
            <w:r>
              <w:rPr>
                <w:w w:val="85"/>
                <w:sz w:val="14"/>
              </w:rPr>
              <w:t>tocador</w:t>
            </w:r>
            <w:r>
              <w:rPr>
                <w:spacing w:val="2"/>
                <w:sz w:val="14"/>
              </w:rPr>
              <w:t xml:space="preserve"> </w:t>
            </w:r>
            <w:r>
              <w:rPr>
                <w:w w:val="85"/>
                <w:sz w:val="14"/>
              </w:rPr>
              <w:t>o</w:t>
            </w:r>
            <w:r>
              <w:rPr>
                <w:spacing w:val="3"/>
                <w:sz w:val="14"/>
              </w:rPr>
              <w:t xml:space="preserve"> </w:t>
            </w:r>
            <w:r>
              <w:rPr>
                <w:w w:val="85"/>
                <w:sz w:val="14"/>
              </w:rPr>
              <w:t>de</w:t>
            </w:r>
            <w:r>
              <w:rPr>
                <w:spacing w:val="3"/>
                <w:sz w:val="14"/>
              </w:rPr>
              <w:t xml:space="preserve"> </w:t>
            </w:r>
            <w:r>
              <w:rPr>
                <w:spacing w:val="-2"/>
                <w:w w:val="85"/>
                <w:sz w:val="14"/>
              </w:rPr>
              <w:t>cosmética.</w:t>
            </w:r>
          </w:p>
        </w:tc>
      </w:tr>
      <w:tr w:rsidR="0092635B">
        <w:trPr>
          <w:trHeight w:val="331"/>
        </w:trPr>
        <w:tc>
          <w:tcPr>
            <w:tcW w:w="746" w:type="dxa"/>
          </w:tcPr>
          <w:p w:rsidR="0092635B" w:rsidRDefault="00000000">
            <w:pPr>
              <w:pStyle w:val="TableParagraph"/>
              <w:spacing w:before="83"/>
              <w:ind w:left="5"/>
              <w:jc w:val="center"/>
              <w:rPr>
                <w:sz w:val="14"/>
              </w:rPr>
            </w:pPr>
            <w:r>
              <w:rPr>
                <w:w w:val="85"/>
                <w:sz w:val="14"/>
              </w:rPr>
              <w:t>Capítulo</w:t>
            </w:r>
            <w:r>
              <w:rPr>
                <w:spacing w:val="-2"/>
                <w:sz w:val="14"/>
              </w:rPr>
              <w:t xml:space="preserve"> </w:t>
            </w:r>
            <w:r>
              <w:rPr>
                <w:spacing w:val="-5"/>
                <w:w w:val="90"/>
                <w:sz w:val="14"/>
              </w:rPr>
              <w:t>34:</w:t>
            </w:r>
          </w:p>
        </w:tc>
        <w:tc>
          <w:tcPr>
            <w:tcW w:w="9458" w:type="dxa"/>
          </w:tcPr>
          <w:p w:rsidR="0092635B" w:rsidRDefault="00000000">
            <w:pPr>
              <w:pStyle w:val="TableParagraph"/>
              <w:spacing w:line="160" w:lineRule="exact"/>
              <w:ind w:left="40"/>
              <w:rPr>
                <w:sz w:val="14"/>
              </w:rPr>
            </w:pPr>
            <w:r>
              <w:rPr>
                <w:w w:val="85"/>
                <w:sz w:val="14"/>
              </w:rPr>
              <w:t>Jabones,</w:t>
            </w:r>
            <w:r>
              <w:rPr>
                <w:spacing w:val="4"/>
                <w:sz w:val="14"/>
              </w:rPr>
              <w:t xml:space="preserve"> </w:t>
            </w:r>
            <w:r>
              <w:rPr>
                <w:w w:val="85"/>
                <w:sz w:val="14"/>
              </w:rPr>
              <w:t>operadores</w:t>
            </w:r>
            <w:r>
              <w:rPr>
                <w:spacing w:val="4"/>
                <w:sz w:val="14"/>
              </w:rPr>
              <w:t xml:space="preserve"> </w:t>
            </w:r>
            <w:r>
              <w:rPr>
                <w:w w:val="85"/>
                <w:sz w:val="14"/>
              </w:rPr>
              <w:t>de</w:t>
            </w:r>
            <w:r>
              <w:rPr>
                <w:spacing w:val="5"/>
                <w:sz w:val="14"/>
              </w:rPr>
              <w:t xml:space="preserve"> </w:t>
            </w:r>
            <w:r>
              <w:rPr>
                <w:w w:val="85"/>
                <w:sz w:val="14"/>
              </w:rPr>
              <w:t>superficie</w:t>
            </w:r>
            <w:r>
              <w:rPr>
                <w:spacing w:val="4"/>
                <w:sz w:val="14"/>
              </w:rPr>
              <w:t xml:space="preserve"> </w:t>
            </w:r>
            <w:r>
              <w:rPr>
                <w:w w:val="85"/>
                <w:sz w:val="14"/>
              </w:rPr>
              <w:t>orgánicos,</w:t>
            </w:r>
            <w:r>
              <w:rPr>
                <w:spacing w:val="5"/>
                <w:sz w:val="14"/>
              </w:rPr>
              <w:t xml:space="preserve"> </w:t>
            </w:r>
            <w:r>
              <w:rPr>
                <w:w w:val="85"/>
                <w:sz w:val="14"/>
              </w:rPr>
              <w:t>preparaciones</w:t>
            </w:r>
            <w:r>
              <w:rPr>
                <w:spacing w:val="4"/>
                <w:sz w:val="14"/>
              </w:rPr>
              <w:t xml:space="preserve"> </w:t>
            </w:r>
            <w:r>
              <w:rPr>
                <w:w w:val="85"/>
                <w:sz w:val="14"/>
              </w:rPr>
              <w:t>para</w:t>
            </w:r>
            <w:r>
              <w:rPr>
                <w:spacing w:val="4"/>
                <w:sz w:val="14"/>
              </w:rPr>
              <w:t xml:space="preserve"> </w:t>
            </w:r>
            <w:r>
              <w:rPr>
                <w:w w:val="85"/>
                <w:sz w:val="14"/>
              </w:rPr>
              <w:t>lavar,</w:t>
            </w:r>
            <w:r>
              <w:rPr>
                <w:spacing w:val="5"/>
                <w:sz w:val="14"/>
              </w:rPr>
              <w:t xml:space="preserve"> </w:t>
            </w:r>
            <w:r>
              <w:rPr>
                <w:w w:val="85"/>
                <w:sz w:val="14"/>
              </w:rPr>
              <w:t>preparaciones</w:t>
            </w:r>
            <w:r>
              <w:rPr>
                <w:spacing w:val="4"/>
                <w:sz w:val="14"/>
              </w:rPr>
              <w:t xml:space="preserve"> </w:t>
            </w:r>
            <w:r>
              <w:rPr>
                <w:w w:val="85"/>
                <w:sz w:val="14"/>
              </w:rPr>
              <w:t>lubricantes,</w:t>
            </w:r>
            <w:r>
              <w:rPr>
                <w:spacing w:val="5"/>
                <w:sz w:val="14"/>
              </w:rPr>
              <w:t xml:space="preserve"> </w:t>
            </w:r>
            <w:r>
              <w:rPr>
                <w:w w:val="85"/>
                <w:sz w:val="14"/>
              </w:rPr>
              <w:t>ceras</w:t>
            </w:r>
            <w:r>
              <w:rPr>
                <w:spacing w:val="4"/>
                <w:sz w:val="14"/>
              </w:rPr>
              <w:t xml:space="preserve"> </w:t>
            </w:r>
            <w:r>
              <w:rPr>
                <w:w w:val="85"/>
                <w:sz w:val="14"/>
              </w:rPr>
              <w:t>artificiales,</w:t>
            </w:r>
            <w:r>
              <w:rPr>
                <w:spacing w:val="5"/>
                <w:sz w:val="14"/>
              </w:rPr>
              <w:t xml:space="preserve"> </w:t>
            </w:r>
            <w:r>
              <w:rPr>
                <w:w w:val="85"/>
                <w:sz w:val="14"/>
              </w:rPr>
              <w:t>ceras</w:t>
            </w:r>
            <w:r>
              <w:rPr>
                <w:spacing w:val="4"/>
                <w:sz w:val="14"/>
              </w:rPr>
              <w:t xml:space="preserve"> </w:t>
            </w:r>
            <w:r>
              <w:rPr>
                <w:w w:val="85"/>
                <w:sz w:val="14"/>
              </w:rPr>
              <w:t>preparadas,</w:t>
            </w:r>
            <w:r>
              <w:rPr>
                <w:spacing w:val="4"/>
                <w:sz w:val="14"/>
              </w:rPr>
              <w:t xml:space="preserve"> </w:t>
            </w:r>
            <w:r>
              <w:rPr>
                <w:w w:val="85"/>
                <w:sz w:val="14"/>
              </w:rPr>
              <w:t>productos</w:t>
            </w:r>
            <w:r>
              <w:rPr>
                <w:spacing w:val="5"/>
                <w:sz w:val="14"/>
              </w:rPr>
              <w:t xml:space="preserve"> </w:t>
            </w:r>
            <w:r>
              <w:rPr>
                <w:w w:val="85"/>
                <w:sz w:val="14"/>
              </w:rPr>
              <w:t>de</w:t>
            </w:r>
            <w:r>
              <w:rPr>
                <w:spacing w:val="4"/>
                <w:sz w:val="14"/>
              </w:rPr>
              <w:t xml:space="preserve"> </w:t>
            </w:r>
            <w:r>
              <w:rPr>
                <w:w w:val="85"/>
                <w:sz w:val="14"/>
              </w:rPr>
              <w:t>limpieza,</w:t>
            </w:r>
            <w:r>
              <w:rPr>
                <w:spacing w:val="5"/>
                <w:sz w:val="14"/>
              </w:rPr>
              <w:t xml:space="preserve"> </w:t>
            </w:r>
            <w:r>
              <w:rPr>
                <w:w w:val="85"/>
                <w:sz w:val="14"/>
              </w:rPr>
              <w:t>velas</w:t>
            </w:r>
            <w:r>
              <w:rPr>
                <w:spacing w:val="4"/>
                <w:sz w:val="14"/>
              </w:rPr>
              <w:t xml:space="preserve"> </w:t>
            </w:r>
            <w:r>
              <w:rPr>
                <w:spacing w:val="-10"/>
                <w:w w:val="85"/>
                <w:sz w:val="14"/>
              </w:rPr>
              <w:t>y</w:t>
            </w:r>
          </w:p>
          <w:p w:rsidR="0092635B" w:rsidRDefault="00000000">
            <w:pPr>
              <w:pStyle w:val="TableParagraph"/>
              <w:spacing w:before="7" w:line="145" w:lineRule="exact"/>
              <w:ind w:left="40"/>
              <w:rPr>
                <w:sz w:val="14"/>
              </w:rPr>
            </w:pPr>
            <w:r>
              <w:rPr>
                <w:w w:val="85"/>
                <w:sz w:val="14"/>
              </w:rPr>
              <w:t>artículos</w:t>
            </w:r>
            <w:r>
              <w:rPr>
                <w:sz w:val="14"/>
              </w:rPr>
              <w:t xml:space="preserve"> </w:t>
            </w:r>
            <w:r>
              <w:rPr>
                <w:w w:val="85"/>
                <w:sz w:val="14"/>
              </w:rPr>
              <w:t>similares,</w:t>
            </w:r>
            <w:r>
              <w:rPr>
                <w:spacing w:val="1"/>
                <w:sz w:val="14"/>
              </w:rPr>
              <w:t xml:space="preserve"> </w:t>
            </w:r>
            <w:r>
              <w:rPr>
                <w:w w:val="85"/>
                <w:sz w:val="14"/>
              </w:rPr>
              <w:t>pastas</w:t>
            </w:r>
            <w:r>
              <w:rPr>
                <w:sz w:val="14"/>
              </w:rPr>
              <w:t xml:space="preserve"> </w:t>
            </w:r>
            <w:r>
              <w:rPr>
                <w:w w:val="85"/>
                <w:sz w:val="14"/>
              </w:rPr>
              <w:t>para</w:t>
            </w:r>
            <w:r>
              <w:rPr>
                <w:spacing w:val="1"/>
                <w:sz w:val="14"/>
              </w:rPr>
              <w:t xml:space="preserve"> </w:t>
            </w:r>
            <w:r>
              <w:rPr>
                <w:w w:val="85"/>
                <w:sz w:val="14"/>
              </w:rPr>
              <w:t>modelar,</w:t>
            </w:r>
            <w:r>
              <w:rPr>
                <w:spacing w:val="1"/>
                <w:sz w:val="14"/>
              </w:rPr>
              <w:t xml:space="preserve"> </w:t>
            </w:r>
            <w:r>
              <w:rPr>
                <w:w w:val="85"/>
                <w:sz w:val="14"/>
              </w:rPr>
              <w:t>ceras</w:t>
            </w:r>
            <w:r>
              <w:rPr>
                <w:sz w:val="14"/>
              </w:rPr>
              <w:t xml:space="preserve"> </w:t>
            </w:r>
            <w:r>
              <w:rPr>
                <w:w w:val="85"/>
                <w:sz w:val="14"/>
              </w:rPr>
              <w:t>para</w:t>
            </w:r>
            <w:r>
              <w:rPr>
                <w:spacing w:val="1"/>
                <w:sz w:val="14"/>
              </w:rPr>
              <w:t xml:space="preserve"> </w:t>
            </w:r>
            <w:r>
              <w:rPr>
                <w:w w:val="85"/>
                <w:sz w:val="14"/>
              </w:rPr>
              <w:t>odontología</w:t>
            </w:r>
            <w:r>
              <w:rPr>
                <w:spacing w:val="1"/>
                <w:sz w:val="14"/>
              </w:rPr>
              <w:t xml:space="preserve"> </w:t>
            </w:r>
            <w:r>
              <w:rPr>
                <w:w w:val="85"/>
                <w:sz w:val="14"/>
              </w:rPr>
              <w:t>y</w:t>
            </w:r>
            <w:r>
              <w:rPr>
                <w:sz w:val="14"/>
              </w:rPr>
              <w:t xml:space="preserve"> </w:t>
            </w:r>
            <w:r>
              <w:rPr>
                <w:w w:val="85"/>
                <w:sz w:val="14"/>
              </w:rPr>
              <w:t>preparaciones</w:t>
            </w:r>
            <w:r>
              <w:rPr>
                <w:spacing w:val="1"/>
                <w:sz w:val="14"/>
              </w:rPr>
              <w:t xml:space="preserve"> </w:t>
            </w:r>
            <w:r>
              <w:rPr>
                <w:w w:val="85"/>
                <w:sz w:val="14"/>
              </w:rPr>
              <w:t>para</w:t>
            </w:r>
            <w:r>
              <w:rPr>
                <w:sz w:val="14"/>
              </w:rPr>
              <w:t xml:space="preserve"> </w:t>
            </w:r>
            <w:r>
              <w:rPr>
                <w:w w:val="85"/>
                <w:sz w:val="14"/>
              </w:rPr>
              <w:t>odontología</w:t>
            </w:r>
            <w:r>
              <w:rPr>
                <w:spacing w:val="1"/>
                <w:sz w:val="14"/>
              </w:rPr>
              <w:t xml:space="preserve"> </w:t>
            </w:r>
            <w:r>
              <w:rPr>
                <w:w w:val="85"/>
                <w:sz w:val="14"/>
              </w:rPr>
              <w:t>a</w:t>
            </w:r>
            <w:r>
              <w:rPr>
                <w:spacing w:val="1"/>
                <w:sz w:val="14"/>
              </w:rPr>
              <w:t xml:space="preserve"> </w:t>
            </w:r>
            <w:r>
              <w:rPr>
                <w:w w:val="85"/>
                <w:sz w:val="14"/>
              </w:rPr>
              <w:t>base</w:t>
            </w:r>
            <w:r>
              <w:rPr>
                <w:sz w:val="14"/>
              </w:rPr>
              <w:t xml:space="preserve"> </w:t>
            </w:r>
            <w:r>
              <w:rPr>
                <w:w w:val="85"/>
                <w:sz w:val="14"/>
              </w:rPr>
              <w:t>de</w:t>
            </w:r>
            <w:r>
              <w:rPr>
                <w:spacing w:val="1"/>
                <w:sz w:val="14"/>
              </w:rPr>
              <w:t xml:space="preserve"> </w:t>
            </w:r>
            <w:r>
              <w:rPr>
                <w:spacing w:val="-2"/>
                <w:w w:val="85"/>
                <w:sz w:val="14"/>
              </w:rPr>
              <w:t>yeso.</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35:</w:t>
            </w:r>
          </w:p>
        </w:tc>
        <w:tc>
          <w:tcPr>
            <w:tcW w:w="9458" w:type="dxa"/>
          </w:tcPr>
          <w:p w:rsidR="0092635B" w:rsidRDefault="00000000">
            <w:pPr>
              <w:pStyle w:val="TableParagraph"/>
              <w:spacing w:line="146" w:lineRule="exact"/>
              <w:ind w:left="40"/>
              <w:rPr>
                <w:sz w:val="14"/>
              </w:rPr>
            </w:pPr>
            <w:r>
              <w:rPr>
                <w:w w:val="85"/>
                <w:sz w:val="14"/>
              </w:rPr>
              <w:t>Materias</w:t>
            </w:r>
            <w:r>
              <w:rPr>
                <w:spacing w:val="7"/>
                <w:sz w:val="14"/>
              </w:rPr>
              <w:t xml:space="preserve"> </w:t>
            </w:r>
            <w:r>
              <w:rPr>
                <w:w w:val="85"/>
                <w:sz w:val="14"/>
              </w:rPr>
              <w:t>albuminóideas;</w:t>
            </w:r>
            <w:r>
              <w:rPr>
                <w:spacing w:val="7"/>
                <w:sz w:val="14"/>
              </w:rPr>
              <w:t xml:space="preserve"> </w:t>
            </w:r>
            <w:r>
              <w:rPr>
                <w:w w:val="85"/>
                <w:sz w:val="14"/>
              </w:rPr>
              <w:t>colas;</w:t>
            </w:r>
            <w:r>
              <w:rPr>
                <w:spacing w:val="7"/>
                <w:sz w:val="14"/>
              </w:rPr>
              <w:t xml:space="preserve"> </w:t>
            </w:r>
            <w:r>
              <w:rPr>
                <w:spacing w:val="-2"/>
                <w:w w:val="85"/>
                <w:sz w:val="14"/>
              </w:rPr>
              <w:t>enzimas.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37:</w:t>
            </w:r>
          </w:p>
        </w:tc>
        <w:tc>
          <w:tcPr>
            <w:tcW w:w="9458" w:type="dxa"/>
          </w:tcPr>
          <w:p w:rsidR="0092635B" w:rsidRDefault="00000000">
            <w:pPr>
              <w:pStyle w:val="TableParagraph"/>
              <w:spacing w:line="146" w:lineRule="exact"/>
              <w:ind w:left="40"/>
              <w:rPr>
                <w:sz w:val="14"/>
              </w:rPr>
            </w:pPr>
            <w:r>
              <w:rPr>
                <w:w w:val="85"/>
                <w:sz w:val="14"/>
              </w:rPr>
              <w:t>Productos</w:t>
            </w:r>
            <w:r>
              <w:rPr>
                <w:spacing w:val="4"/>
                <w:sz w:val="14"/>
              </w:rPr>
              <w:t xml:space="preserve"> </w:t>
            </w:r>
            <w:r>
              <w:rPr>
                <w:w w:val="85"/>
                <w:sz w:val="14"/>
              </w:rPr>
              <w:t>fotográficos</w:t>
            </w:r>
            <w:r>
              <w:rPr>
                <w:spacing w:val="5"/>
                <w:sz w:val="14"/>
              </w:rPr>
              <w:t xml:space="preserve"> </w:t>
            </w:r>
            <w:r>
              <w:rPr>
                <w:w w:val="85"/>
                <w:sz w:val="14"/>
              </w:rPr>
              <w:t>o</w:t>
            </w:r>
            <w:r>
              <w:rPr>
                <w:spacing w:val="4"/>
                <w:sz w:val="14"/>
              </w:rPr>
              <w:t xml:space="preserve"> </w:t>
            </w:r>
            <w:r>
              <w:rPr>
                <w:spacing w:val="-2"/>
                <w:w w:val="85"/>
                <w:sz w:val="14"/>
              </w:rPr>
              <w:t>cinematográficos.</w:t>
            </w:r>
          </w:p>
        </w:tc>
      </w:tr>
      <w:tr w:rsidR="0092635B">
        <w:trPr>
          <w:trHeight w:val="499"/>
        </w:trPr>
        <w:tc>
          <w:tcPr>
            <w:tcW w:w="746" w:type="dxa"/>
          </w:tcPr>
          <w:p w:rsidR="0092635B" w:rsidRDefault="0092635B">
            <w:pPr>
              <w:pStyle w:val="TableParagraph"/>
              <w:spacing w:before="6"/>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38:</w:t>
            </w:r>
          </w:p>
        </w:tc>
        <w:tc>
          <w:tcPr>
            <w:tcW w:w="9458" w:type="dxa"/>
          </w:tcPr>
          <w:p w:rsidR="0092635B" w:rsidRDefault="00000000">
            <w:pPr>
              <w:pStyle w:val="TableParagraph"/>
              <w:spacing w:line="249" w:lineRule="auto"/>
              <w:ind w:left="40" w:right="6806"/>
              <w:rPr>
                <w:sz w:val="14"/>
              </w:rPr>
            </w:pPr>
            <w:r>
              <w:rPr>
                <w:w w:val="85"/>
                <w:sz w:val="14"/>
              </w:rPr>
              <w:t>Productos diversos de las industrias químicas</w:t>
            </w:r>
            <w:r>
              <w:rPr>
                <w:spacing w:val="40"/>
                <w:sz w:val="14"/>
              </w:rPr>
              <w:t xml:space="preserve"> </w:t>
            </w:r>
            <w:r>
              <w:rPr>
                <w:spacing w:val="-2"/>
                <w:w w:val="95"/>
                <w:sz w:val="14"/>
              </w:rPr>
              <w:t>excepto:</w:t>
            </w:r>
          </w:p>
          <w:p w:rsidR="0092635B" w:rsidRDefault="00000000">
            <w:pPr>
              <w:pStyle w:val="TableParagraph"/>
              <w:spacing w:line="145" w:lineRule="exact"/>
              <w:ind w:left="40"/>
              <w:rPr>
                <w:sz w:val="14"/>
              </w:rPr>
            </w:pPr>
            <w:r>
              <w:rPr>
                <w:w w:val="85"/>
                <w:sz w:val="14"/>
              </w:rPr>
              <w:t>ex</w:t>
            </w:r>
            <w:r>
              <w:rPr>
                <w:spacing w:val="-1"/>
                <w:sz w:val="14"/>
              </w:rPr>
              <w:t xml:space="preserve"> </w:t>
            </w:r>
            <w:r>
              <w:rPr>
                <w:w w:val="85"/>
                <w:sz w:val="14"/>
              </w:rPr>
              <w:t>ex</w:t>
            </w:r>
            <w:r>
              <w:rPr>
                <w:spacing w:val="2"/>
                <w:sz w:val="14"/>
              </w:rPr>
              <w:t xml:space="preserve"> </w:t>
            </w:r>
            <w:r>
              <w:rPr>
                <w:w w:val="85"/>
                <w:sz w:val="14"/>
              </w:rPr>
              <w:t>38.19:</w:t>
            </w:r>
            <w:r>
              <w:rPr>
                <w:spacing w:val="1"/>
                <w:sz w:val="14"/>
              </w:rPr>
              <w:t xml:space="preserve"> </w:t>
            </w:r>
            <w:r>
              <w:rPr>
                <w:w w:val="85"/>
                <w:sz w:val="14"/>
              </w:rPr>
              <w:t>productos</w:t>
            </w:r>
            <w:r>
              <w:rPr>
                <w:spacing w:val="2"/>
                <w:sz w:val="14"/>
              </w:rPr>
              <w:t xml:space="preserve"> </w:t>
            </w:r>
            <w:r>
              <w:rPr>
                <w:spacing w:val="-2"/>
                <w:w w:val="85"/>
                <w:sz w:val="14"/>
              </w:rPr>
              <w:t>toxicológicos.</w:t>
            </w:r>
          </w:p>
        </w:tc>
      </w:tr>
      <w:tr w:rsidR="0092635B">
        <w:trPr>
          <w:trHeight w:val="499"/>
        </w:trPr>
        <w:tc>
          <w:tcPr>
            <w:tcW w:w="746" w:type="dxa"/>
          </w:tcPr>
          <w:p w:rsidR="0092635B" w:rsidRDefault="0092635B">
            <w:pPr>
              <w:pStyle w:val="TableParagraph"/>
              <w:spacing w:before="6"/>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39:</w:t>
            </w:r>
          </w:p>
        </w:tc>
        <w:tc>
          <w:tcPr>
            <w:tcW w:w="9458" w:type="dxa"/>
          </w:tcPr>
          <w:p w:rsidR="0092635B" w:rsidRDefault="00000000">
            <w:pPr>
              <w:pStyle w:val="TableParagraph"/>
              <w:spacing w:line="249" w:lineRule="auto"/>
              <w:ind w:left="40" w:right="3451"/>
              <w:rPr>
                <w:sz w:val="14"/>
              </w:rPr>
            </w:pPr>
            <w:r>
              <w:rPr>
                <w:w w:val="85"/>
                <w:sz w:val="14"/>
              </w:rPr>
              <w:t>Materias plásticas, éteres y esteres de la celulosa, resinas artificiales y manufacturas de estas materias.</w:t>
            </w:r>
            <w:r>
              <w:rPr>
                <w:spacing w:val="40"/>
                <w:sz w:val="14"/>
              </w:rPr>
              <w:t xml:space="preserve"> </w:t>
            </w:r>
            <w:r>
              <w:rPr>
                <w:spacing w:val="-2"/>
                <w:w w:val="95"/>
                <w:sz w:val="14"/>
              </w:rPr>
              <w:t>excepto:</w:t>
            </w:r>
          </w:p>
          <w:p w:rsidR="0092635B" w:rsidRDefault="00000000">
            <w:pPr>
              <w:pStyle w:val="TableParagraph"/>
              <w:spacing w:line="145" w:lineRule="exact"/>
              <w:ind w:left="40"/>
              <w:rPr>
                <w:sz w:val="14"/>
              </w:rPr>
            </w:pPr>
            <w:r>
              <w:rPr>
                <w:w w:val="85"/>
                <w:sz w:val="14"/>
              </w:rPr>
              <w:t>ex</w:t>
            </w:r>
            <w:r>
              <w:rPr>
                <w:spacing w:val="-1"/>
                <w:sz w:val="14"/>
              </w:rPr>
              <w:t xml:space="preserve"> </w:t>
            </w:r>
            <w:r>
              <w:rPr>
                <w:w w:val="85"/>
                <w:sz w:val="14"/>
              </w:rPr>
              <w:t>ex</w:t>
            </w:r>
            <w:r>
              <w:rPr>
                <w:sz w:val="14"/>
              </w:rPr>
              <w:t xml:space="preserve"> </w:t>
            </w:r>
            <w:r>
              <w:rPr>
                <w:w w:val="85"/>
                <w:sz w:val="14"/>
              </w:rPr>
              <w:t>39.03:</w:t>
            </w:r>
            <w:r>
              <w:rPr>
                <w:spacing w:val="-1"/>
                <w:sz w:val="14"/>
              </w:rPr>
              <w:t xml:space="preserve"> </w:t>
            </w:r>
            <w:r>
              <w:rPr>
                <w:spacing w:val="-2"/>
                <w:w w:val="85"/>
                <w:sz w:val="14"/>
              </w:rPr>
              <w:t>explosivos.</w:t>
            </w:r>
          </w:p>
        </w:tc>
      </w:tr>
      <w:tr w:rsidR="0092635B">
        <w:trPr>
          <w:trHeight w:val="499"/>
        </w:trPr>
        <w:tc>
          <w:tcPr>
            <w:tcW w:w="746" w:type="dxa"/>
          </w:tcPr>
          <w:p w:rsidR="0092635B" w:rsidRDefault="0092635B">
            <w:pPr>
              <w:pStyle w:val="TableParagraph"/>
              <w:spacing w:before="6"/>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40:</w:t>
            </w:r>
          </w:p>
        </w:tc>
        <w:tc>
          <w:tcPr>
            <w:tcW w:w="9458" w:type="dxa"/>
          </w:tcPr>
          <w:p w:rsidR="0092635B" w:rsidRDefault="00000000">
            <w:pPr>
              <w:pStyle w:val="TableParagraph"/>
              <w:spacing w:line="249" w:lineRule="auto"/>
              <w:ind w:left="40" w:right="5250"/>
              <w:rPr>
                <w:sz w:val="14"/>
              </w:rPr>
            </w:pPr>
            <w:r>
              <w:rPr>
                <w:w w:val="85"/>
                <w:sz w:val="14"/>
              </w:rPr>
              <w:t>Caucho natural o sintético, caucho facticio y manufacturas de caucho.</w:t>
            </w:r>
            <w:r>
              <w:rPr>
                <w:spacing w:val="40"/>
                <w:sz w:val="14"/>
              </w:rPr>
              <w:t xml:space="preserve"> </w:t>
            </w:r>
            <w:r>
              <w:rPr>
                <w:spacing w:val="-2"/>
                <w:w w:val="95"/>
                <w:sz w:val="14"/>
              </w:rPr>
              <w:t>excepto:</w:t>
            </w:r>
          </w:p>
          <w:p w:rsidR="0092635B" w:rsidRDefault="00000000">
            <w:pPr>
              <w:pStyle w:val="TableParagraph"/>
              <w:spacing w:line="145" w:lineRule="exact"/>
              <w:ind w:left="40"/>
              <w:rPr>
                <w:sz w:val="14"/>
              </w:rPr>
            </w:pPr>
            <w:r>
              <w:rPr>
                <w:w w:val="85"/>
                <w:sz w:val="14"/>
              </w:rPr>
              <w:t>ex</w:t>
            </w:r>
            <w:r>
              <w:rPr>
                <w:spacing w:val="-2"/>
                <w:sz w:val="14"/>
              </w:rPr>
              <w:t xml:space="preserve"> </w:t>
            </w:r>
            <w:r>
              <w:rPr>
                <w:w w:val="85"/>
                <w:sz w:val="14"/>
              </w:rPr>
              <w:t>ex</w:t>
            </w:r>
            <w:r>
              <w:rPr>
                <w:spacing w:val="-1"/>
                <w:sz w:val="14"/>
              </w:rPr>
              <w:t xml:space="preserve"> </w:t>
            </w:r>
            <w:r>
              <w:rPr>
                <w:w w:val="85"/>
                <w:sz w:val="14"/>
              </w:rPr>
              <w:t>40.11:</w:t>
            </w:r>
            <w:r>
              <w:rPr>
                <w:spacing w:val="-2"/>
                <w:sz w:val="14"/>
              </w:rPr>
              <w:t xml:space="preserve"> </w:t>
            </w:r>
            <w:r>
              <w:rPr>
                <w:w w:val="85"/>
                <w:sz w:val="14"/>
              </w:rPr>
              <w:t>neumáticos</w:t>
            </w:r>
            <w:r>
              <w:rPr>
                <w:spacing w:val="-1"/>
                <w:sz w:val="14"/>
              </w:rPr>
              <w:t xml:space="preserve"> </w:t>
            </w:r>
            <w:r>
              <w:rPr>
                <w:w w:val="85"/>
                <w:sz w:val="14"/>
              </w:rPr>
              <w:t>para</w:t>
            </w:r>
            <w:r>
              <w:rPr>
                <w:spacing w:val="-2"/>
                <w:sz w:val="14"/>
              </w:rPr>
              <w:t xml:space="preserve"> </w:t>
            </w:r>
            <w:r>
              <w:rPr>
                <w:spacing w:val="-2"/>
                <w:w w:val="85"/>
                <w:sz w:val="14"/>
              </w:rPr>
              <w:t>automóviles.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41:</w:t>
            </w:r>
          </w:p>
        </w:tc>
        <w:tc>
          <w:tcPr>
            <w:tcW w:w="9458" w:type="dxa"/>
          </w:tcPr>
          <w:p w:rsidR="0092635B" w:rsidRDefault="00000000">
            <w:pPr>
              <w:pStyle w:val="TableParagraph"/>
              <w:spacing w:line="146" w:lineRule="exact"/>
              <w:ind w:left="40"/>
              <w:rPr>
                <w:sz w:val="14"/>
              </w:rPr>
            </w:pPr>
            <w:r>
              <w:rPr>
                <w:w w:val="85"/>
                <w:sz w:val="14"/>
              </w:rPr>
              <w:t>Pieles</w:t>
            </w:r>
            <w:r>
              <w:rPr>
                <w:sz w:val="14"/>
              </w:rPr>
              <w:t xml:space="preserve"> </w:t>
            </w:r>
            <w:r>
              <w:rPr>
                <w:w w:val="85"/>
                <w:sz w:val="14"/>
              </w:rPr>
              <w:t>(excepto</w:t>
            </w:r>
            <w:r>
              <w:rPr>
                <w:sz w:val="14"/>
              </w:rPr>
              <w:t xml:space="preserve"> </w:t>
            </w:r>
            <w:r>
              <w:rPr>
                <w:w w:val="85"/>
                <w:sz w:val="14"/>
              </w:rPr>
              <w:t>la</w:t>
            </w:r>
            <w:r>
              <w:rPr>
                <w:sz w:val="14"/>
              </w:rPr>
              <w:t xml:space="preserve"> </w:t>
            </w:r>
            <w:r>
              <w:rPr>
                <w:w w:val="85"/>
                <w:sz w:val="14"/>
              </w:rPr>
              <w:t>peletería)</w:t>
            </w:r>
            <w:r>
              <w:rPr>
                <w:sz w:val="14"/>
              </w:rPr>
              <w:t xml:space="preserve"> </w:t>
            </w:r>
            <w:r>
              <w:rPr>
                <w:w w:val="85"/>
                <w:sz w:val="14"/>
              </w:rPr>
              <w:t>y</w:t>
            </w:r>
            <w:r>
              <w:rPr>
                <w:sz w:val="14"/>
              </w:rPr>
              <w:t xml:space="preserve"> </w:t>
            </w:r>
            <w:r>
              <w:rPr>
                <w:spacing w:val="-2"/>
                <w:w w:val="85"/>
                <w:sz w:val="14"/>
              </w:rPr>
              <w:t>cueros.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42:</w:t>
            </w:r>
          </w:p>
        </w:tc>
        <w:tc>
          <w:tcPr>
            <w:tcW w:w="9458" w:type="dxa"/>
          </w:tcPr>
          <w:p w:rsidR="0092635B" w:rsidRDefault="00000000">
            <w:pPr>
              <w:pStyle w:val="TableParagraph"/>
              <w:spacing w:line="146" w:lineRule="exact"/>
              <w:ind w:left="40"/>
              <w:rPr>
                <w:sz w:val="14"/>
              </w:rPr>
            </w:pPr>
            <w:r>
              <w:rPr>
                <w:w w:val="85"/>
                <w:sz w:val="14"/>
              </w:rPr>
              <w:t>Manufacturas</w:t>
            </w:r>
            <w:r>
              <w:rPr>
                <w:spacing w:val="2"/>
                <w:sz w:val="14"/>
              </w:rPr>
              <w:t xml:space="preserve"> </w:t>
            </w:r>
            <w:r>
              <w:rPr>
                <w:w w:val="85"/>
                <w:sz w:val="14"/>
              </w:rPr>
              <w:t>de</w:t>
            </w:r>
            <w:r>
              <w:rPr>
                <w:spacing w:val="2"/>
                <w:sz w:val="14"/>
              </w:rPr>
              <w:t xml:space="preserve"> </w:t>
            </w:r>
            <w:r>
              <w:rPr>
                <w:w w:val="85"/>
                <w:sz w:val="14"/>
              </w:rPr>
              <w:t>cuero,</w:t>
            </w:r>
            <w:r>
              <w:rPr>
                <w:spacing w:val="2"/>
                <w:sz w:val="14"/>
              </w:rPr>
              <w:t xml:space="preserve"> </w:t>
            </w:r>
            <w:r>
              <w:rPr>
                <w:w w:val="85"/>
                <w:sz w:val="14"/>
              </w:rPr>
              <w:t>artículos</w:t>
            </w:r>
            <w:r>
              <w:rPr>
                <w:spacing w:val="2"/>
                <w:sz w:val="14"/>
              </w:rPr>
              <w:t xml:space="preserve"> </w:t>
            </w:r>
            <w:r>
              <w:rPr>
                <w:w w:val="85"/>
                <w:sz w:val="14"/>
              </w:rPr>
              <w:t>de</w:t>
            </w:r>
            <w:r>
              <w:rPr>
                <w:spacing w:val="2"/>
                <w:sz w:val="14"/>
              </w:rPr>
              <w:t xml:space="preserve"> </w:t>
            </w:r>
            <w:r>
              <w:rPr>
                <w:w w:val="85"/>
                <w:sz w:val="14"/>
              </w:rPr>
              <w:t>guarnicionería</w:t>
            </w:r>
            <w:r>
              <w:rPr>
                <w:spacing w:val="2"/>
                <w:sz w:val="14"/>
              </w:rPr>
              <w:t xml:space="preserve"> </w:t>
            </w:r>
            <w:r>
              <w:rPr>
                <w:w w:val="85"/>
                <w:sz w:val="14"/>
              </w:rPr>
              <w:t>o</w:t>
            </w:r>
            <w:r>
              <w:rPr>
                <w:spacing w:val="3"/>
                <w:sz w:val="14"/>
              </w:rPr>
              <w:t xml:space="preserve"> </w:t>
            </w:r>
            <w:r>
              <w:rPr>
                <w:w w:val="85"/>
                <w:sz w:val="14"/>
              </w:rPr>
              <w:t>de</w:t>
            </w:r>
            <w:r>
              <w:rPr>
                <w:spacing w:val="2"/>
                <w:sz w:val="14"/>
              </w:rPr>
              <w:t xml:space="preserve"> </w:t>
            </w:r>
            <w:r>
              <w:rPr>
                <w:w w:val="85"/>
                <w:sz w:val="14"/>
              </w:rPr>
              <w:t>talabartería;</w:t>
            </w:r>
            <w:r>
              <w:rPr>
                <w:spacing w:val="2"/>
                <w:sz w:val="14"/>
              </w:rPr>
              <w:t xml:space="preserve"> </w:t>
            </w:r>
            <w:r>
              <w:rPr>
                <w:w w:val="85"/>
                <w:sz w:val="14"/>
              </w:rPr>
              <w:t>artículos</w:t>
            </w:r>
            <w:r>
              <w:rPr>
                <w:spacing w:val="2"/>
                <w:sz w:val="14"/>
              </w:rPr>
              <w:t xml:space="preserve"> </w:t>
            </w:r>
            <w:r>
              <w:rPr>
                <w:w w:val="85"/>
                <w:sz w:val="14"/>
              </w:rPr>
              <w:t>de</w:t>
            </w:r>
            <w:r>
              <w:rPr>
                <w:spacing w:val="2"/>
                <w:sz w:val="14"/>
              </w:rPr>
              <w:t xml:space="preserve"> </w:t>
            </w:r>
            <w:r>
              <w:rPr>
                <w:w w:val="85"/>
                <w:sz w:val="14"/>
              </w:rPr>
              <w:t>viaje,</w:t>
            </w:r>
            <w:r>
              <w:rPr>
                <w:spacing w:val="2"/>
                <w:sz w:val="14"/>
              </w:rPr>
              <w:t xml:space="preserve"> </w:t>
            </w:r>
            <w:r>
              <w:rPr>
                <w:w w:val="85"/>
                <w:sz w:val="14"/>
              </w:rPr>
              <w:t>bolsos</w:t>
            </w:r>
            <w:r>
              <w:rPr>
                <w:spacing w:val="2"/>
                <w:sz w:val="14"/>
              </w:rPr>
              <w:t xml:space="preserve"> </w:t>
            </w:r>
            <w:r>
              <w:rPr>
                <w:w w:val="85"/>
                <w:sz w:val="14"/>
              </w:rPr>
              <w:t>de</w:t>
            </w:r>
            <w:r>
              <w:rPr>
                <w:spacing w:val="3"/>
                <w:sz w:val="14"/>
              </w:rPr>
              <w:t xml:space="preserve"> </w:t>
            </w:r>
            <w:r>
              <w:rPr>
                <w:w w:val="85"/>
                <w:sz w:val="14"/>
              </w:rPr>
              <w:t>mano</w:t>
            </w:r>
            <w:r>
              <w:rPr>
                <w:spacing w:val="2"/>
                <w:sz w:val="14"/>
              </w:rPr>
              <w:t xml:space="preserve"> </w:t>
            </w:r>
            <w:r>
              <w:rPr>
                <w:w w:val="85"/>
                <w:sz w:val="14"/>
              </w:rPr>
              <w:t>y</w:t>
            </w:r>
            <w:r>
              <w:rPr>
                <w:spacing w:val="2"/>
                <w:sz w:val="14"/>
              </w:rPr>
              <w:t xml:space="preserve"> </w:t>
            </w:r>
            <w:r>
              <w:rPr>
                <w:w w:val="85"/>
                <w:sz w:val="14"/>
              </w:rPr>
              <w:t>continentes</w:t>
            </w:r>
            <w:r>
              <w:rPr>
                <w:spacing w:val="2"/>
                <w:sz w:val="14"/>
              </w:rPr>
              <w:t xml:space="preserve"> </w:t>
            </w:r>
            <w:r>
              <w:rPr>
                <w:w w:val="85"/>
                <w:sz w:val="14"/>
              </w:rPr>
              <w:t>similares;</w:t>
            </w:r>
            <w:r>
              <w:rPr>
                <w:spacing w:val="2"/>
                <w:sz w:val="14"/>
              </w:rPr>
              <w:t xml:space="preserve"> </w:t>
            </w:r>
            <w:r>
              <w:rPr>
                <w:w w:val="85"/>
                <w:sz w:val="14"/>
              </w:rPr>
              <w:t>manufacturas</w:t>
            </w:r>
            <w:r>
              <w:rPr>
                <w:spacing w:val="2"/>
                <w:sz w:val="14"/>
              </w:rPr>
              <w:t xml:space="preserve"> </w:t>
            </w:r>
            <w:r>
              <w:rPr>
                <w:w w:val="85"/>
                <w:sz w:val="14"/>
              </w:rPr>
              <w:t>de</w:t>
            </w:r>
            <w:r>
              <w:rPr>
                <w:spacing w:val="2"/>
                <w:sz w:val="14"/>
              </w:rPr>
              <w:t xml:space="preserve"> </w:t>
            </w:r>
            <w:r>
              <w:rPr>
                <w:spacing w:val="-2"/>
                <w:w w:val="85"/>
                <w:sz w:val="14"/>
              </w:rPr>
              <w:t>tripa.</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43:</w:t>
            </w:r>
          </w:p>
        </w:tc>
        <w:tc>
          <w:tcPr>
            <w:tcW w:w="9458" w:type="dxa"/>
          </w:tcPr>
          <w:p w:rsidR="0092635B" w:rsidRDefault="00000000">
            <w:pPr>
              <w:pStyle w:val="TableParagraph"/>
              <w:spacing w:line="146" w:lineRule="exact"/>
              <w:ind w:left="40"/>
              <w:rPr>
                <w:sz w:val="14"/>
              </w:rPr>
            </w:pPr>
            <w:r>
              <w:rPr>
                <w:w w:val="85"/>
                <w:sz w:val="14"/>
              </w:rPr>
              <w:t>Peletería</w:t>
            </w:r>
            <w:r>
              <w:rPr>
                <w:spacing w:val="-1"/>
                <w:sz w:val="14"/>
              </w:rPr>
              <w:t xml:space="preserve"> </w:t>
            </w:r>
            <w:r>
              <w:rPr>
                <w:w w:val="85"/>
                <w:sz w:val="14"/>
              </w:rPr>
              <w:t>y</w:t>
            </w:r>
            <w:r>
              <w:rPr>
                <w:sz w:val="14"/>
              </w:rPr>
              <w:t xml:space="preserve"> </w:t>
            </w:r>
            <w:r>
              <w:rPr>
                <w:w w:val="85"/>
                <w:sz w:val="14"/>
              </w:rPr>
              <w:t>confecciones</w:t>
            </w:r>
            <w:r>
              <w:rPr>
                <w:sz w:val="14"/>
              </w:rPr>
              <w:t xml:space="preserve"> </w:t>
            </w:r>
            <w:r>
              <w:rPr>
                <w:w w:val="85"/>
                <w:sz w:val="14"/>
              </w:rPr>
              <w:t>de</w:t>
            </w:r>
            <w:r>
              <w:rPr>
                <w:sz w:val="14"/>
              </w:rPr>
              <w:t xml:space="preserve"> </w:t>
            </w:r>
            <w:r>
              <w:rPr>
                <w:w w:val="85"/>
                <w:sz w:val="14"/>
              </w:rPr>
              <w:t>peletería;</w:t>
            </w:r>
            <w:r>
              <w:rPr>
                <w:sz w:val="14"/>
              </w:rPr>
              <w:t xml:space="preserve"> </w:t>
            </w:r>
            <w:r>
              <w:rPr>
                <w:w w:val="85"/>
                <w:sz w:val="14"/>
              </w:rPr>
              <w:t>peletería</w:t>
            </w:r>
            <w:r>
              <w:rPr>
                <w:sz w:val="14"/>
              </w:rPr>
              <w:t xml:space="preserve"> </w:t>
            </w:r>
            <w:r>
              <w:rPr>
                <w:w w:val="85"/>
                <w:sz w:val="14"/>
              </w:rPr>
              <w:t>artificial</w:t>
            </w:r>
            <w:r>
              <w:rPr>
                <w:sz w:val="14"/>
              </w:rPr>
              <w:t xml:space="preserve"> </w:t>
            </w:r>
            <w:r>
              <w:rPr>
                <w:w w:val="85"/>
                <w:sz w:val="14"/>
              </w:rPr>
              <w:t>o</w:t>
            </w:r>
            <w:r>
              <w:rPr>
                <w:sz w:val="14"/>
              </w:rPr>
              <w:t xml:space="preserve"> </w:t>
            </w:r>
            <w:r>
              <w:rPr>
                <w:spacing w:val="-2"/>
                <w:w w:val="85"/>
                <w:sz w:val="14"/>
              </w:rPr>
              <w:t>facticia.</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44:</w:t>
            </w:r>
          </w:p>
        </w:tc>
        <w:tc>
          <w:tcPr>
            <w:tcW w:w="9458" w:type="dxa"/>
          </w:tcPr>
          <w:p w:rsidR="0092635B" w:rsidRDefault="00000000">
            <w:pPr>
              <w:pStyle w:val="TableParagraph"/>
              <w:spacing w:line="146" w:lineRule="exact"/>
              <w:ind w:left="40"/>
              <w:rPr>
                <w:sz w:val="14"/>
              </w:rPr>
            </w:pPr>
            <w:r>
              <w:rPr>
                <w:w w:val="85"/>
                <w:sz w:val="14"/>
              </w:rPr>
              <w:t>Madera,</w:t>
            </w:r>
            <w:r>
              <w:rPr>
                <w:spacing w:val="1"/>
                <w:sz w:val="14"/>
              </w:rPr>
              <w:t xml:space="preserve"> </w:t>
            </w:r>
            <w:r>
              <w:rPr>
                <w:w w:val="85"/>
                <w:sz w:val="14"/>
              </w:rPr>
              <w:t>carbón</w:t>
            </w:r>
            <w:r>
              <w:rPr>
                <w:spacing w:val="1"/>
                <w:sz w:val="14"/>
              </w:rPr>
              <w:t xml:space="preserve"> </w:t>
            </w:r>
            <w:r>
              <w:rPr>
                <w:w w:val="85"/>
                <w:sz w:val="14"/>
              </w:rPr>
              <w:t>vegetal</w:t>
            </w:r>
            <w:r>
              <w:rPr>
                <w:spacing w:val="1"/>
                <w:sz w:val="14"/>
              </w:rPr>
              <w:t xml:space="preserve"> </w:t>
            </w:r>
            <w:r>
              <w:rPr>
                <w:w w:val="85"/>
                <w:sz w:val="14"/>
              </w:rPr>
              <w:t>y</w:t>
            </w:r>
            <w:r>
              <w:rPr>
                <w:spacing w:val="1"/>
                <w:sz w:val="14"/>
              </w:rPr>
              <w:t xml:space="preserve"> </w:t>
            </w:r>
            <w:r>
              <w:rPr>
                <w:w w:val="85"/>
                <w:sz w:val="14"/>
              </w:rPr>
              <w:t>manufacturas</w:t>
            </w:r>
            <w:r>
              <w:rPr>
                <w:spacing w:val="2"/>
                <w:sz w:val="14"/>
              </w:rPr>
              <w:t xml:space="preserve"> </w:t>
            </w:r>
            <w:r>
              <w:rPr>
                <w:w w:val="85"/>
                <w:sz w:val="14"/>
              </w:rPr>
              <w:t>de</w:t>
            </w:r>
            <w:r>
              <w:rPr>
                <w:spacing w:val="1"/>
                <w:sz w:val="14"/>
              </w:rPr>
              <w:t xml:space="preserve"> </w:t>
            </w:r>
            <w:r>
              <w:rPr>
                <w:spacing w:val="-2"/>
                <w:w w:val="85"/>
                <w:sz w:val="14"/>
              </w:rPr>
              <w:t>madera.</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45:</w:t>
            </w:r>
          </w:p>
        </w:tc>
        <w:tc>
          <w:tcPr>
            <w:tcW w:w="9458" w:type="dxa"/>
          </w:tcPr>
          <w:p w:rsidR="0092635B" w:rsidRDefault="00000000">
            <w:pPr>
              <w:pStyle w:val="TableParagraph"/>
              <w:spacing w:line="146" w:lineRule="exact"/>
              <w:ind w:left="40"/>
              <w:rPr>
                <w:sz w:val="14"/>
              </w:rPr>
            </w:pPr>
            <w:r>
              <w:rPr>
                <w:w w:val="85"/>
                <w:sz w:val="14"/>
              </w:rPr>
              <w:t>Corcho</w:t>
            </w:r>
            <w:r>
              <w:rPr>
                <w:spacing w:val="-2"/>
                <w:sz w:val="14"/>
              </w:rPr>
              <w:t xml:space="preserve"> </w:t>
            </w:r>
            <w:r>
              <w:rPr>
                <w:w w:val="85"/>
                <w:sz w:val="14"/>
              </w:rPr>
              <w:t>y</w:t>
            </w:r>
            <w:r>
              <w:rPr>
                <w:spacing w:val="-2"/>
                <w:sz w:val="14"/>
              </w:rPr>
              <w:t xml:space="preserve"> </w:t>
            </w:r>
            <w:r>
              <w:rPr>
                <w:w w:val="85"/>
                <w:sz w:val="14"/>
              </w:rPr>
              <w:t>sus</w:t>
            </w:r>
            <w:r>
              <w:rPr>
                <w:spacing w:val="-2"/>
                <w:sz w:val="14"/>
              </w:rPr>
              <w:t xml:space="preserve"> </w:t>
            </w:r>
            <w:r>
              <w:rPr>
                <w:spacing w:val="-2"/>
                <w:w w:val="85"/>
                <w:sz w:val="14"/>
              </w:rPr>
              <w:t>manufacturas.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46:</w:t>
            </w:r>
          </w:p>
        </w:tc>
        <w:tc>
          <w:tcPr>
            <w:tcW w:w="9458" w:type="dxa"/>
          </w:tcPr>
          <w:p w:rsidR="0092635B" w:rsidRDefault="00000000">
            <w:pPr>
              <w:pStyle w:val="TableParagraph"/>
              <w:spacing w:line="146" w:lineRule="exact"/>
              <w:ind w:left="40"/>
              <w:rPr>
                <w:sz w:val="14"/>
              </w:rPr>
            </w:pPr>
            <w:r>
              <w:rPr>
                <w:w w:val="85"/>
                <w:sz w:val="14"/>
              </w:rPr>
              <w:t>Manufacturas</w:t>
            </w:r>
            <w:r>
              <w:rPr>
                <w:sz w:val="14"/>
              </w:rPr>
              <w:t xml:space="preserve"> </w:t>
            </w:r>
            <w:r>
              <w:rPr>
                <w:w w:val="85"/>
                <w:sz w:val="14"/>
              </w:rPr>
              <w:t>de</w:t>
            </w:r>
            <w:r>
              <w:rPr>
                <w:sz w:val="14"/>
              </w:rPr>
              <w:t xml:space="preserve"> </w:t>
            </w:r>
            <w:r>
              <w:rPr>
                <w:w w:val="85"/>
                <w:sz w:val="14"/>
              </w:rPr>
              <w:t>espartería</w:t>
            </w:r>
            <w:r>
              <w:rPr>
                <w:sz w:val="14"/>
              </w:rPr>
              <w:t xml:space="preserve"> </w:t>
            </w:r>
            <w:r>
              <w:rPr>
                <w:w w:val="85"/>
                <w:sz w:val="14"/>
              </w:rPr>
              <w:t>o</w:t>
            </w:r>
            <w:r>
              <w:rPr>
                <w:spacing w:val="1"/>
                <w:sz w:val="14"/>
              </w:rPr>
              <w:t xml:space="preserve"> </w:t>
            </w:r>
            <w:r>
              <w:rPr>
                <w:w w:val="85"/>
                <w:sz w:val="14"/>
              </w:rPr>
              <w:t>de</w:t>
            </w:r>
            <w:r>
              <w:rPr>
                <w:sz w:val="14"/>
              </w:rPr>
              <w:t xml:space="preserve"> </w:t>
            </w:r>
            <w:r>
              <w:rPr>
                <w:spacing w:val="-2"/>
                <w:w w:val="85"/>
                <w:sz w:val="14"/>
              </w:rPr>
              <w:t>cestería.</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47:</w:t>
            </w:r>
          </w:p>
        </w:tc>
        <w:tc>
          <w:tcPr>
            <w:tcW w:w="9458" w:type="dxa"/>
          </w:tcPr>
          <w:p w:rsidR="0092635B" w:rsidRDefault="00000000">
            <w:pPr>
              <w:pStyle w:val="TableParagraph"/>
              <w:spacing w:line="146" w:lineRule="exact"/>
              <w:ind w:left="40"/>
              <w:rPr>
                <w:sz w:val="14"/>
              </w:rPr>
            </w:pPr>
            <w:r>
              <w:rPr>
                <w:w w:val="85"/>
                <w:sz w:val="14"/>
              </w:rPr>
              <w:t>Materias</w:t>
            </w:r>
            <w:r>
              <w:rPr>
                <w:sz w:val="14"/>
              </w:rPr>
              <w:t xml:space="preserve"> </w:t>
            </w:r>
            <w:r>
              <w:rPr>
                <w:w w:val="85"/>
                <w:sz w:val="14"/>
              </w:rPr>
              <w:t>destinadas</w:t>
            </w:r>
            <w:r>
              <w:rPr>
                <w:sz w:val="14"/>
              </w:rPr>
              <w:t xml:space="preserve"> </w:t>
            </w:r>
            <w:r>
              <w:rPr>
                <w:w w:val="85"/>
                <w:sz w:val="14"/>
              </w:rPr>
              <w:t>a</w:t>
            </w:r>
            <w:r>
              <w:rPr>
                <w:spacing w:val="1"/>
                <w:sz w:val="14"/>
              </w:rPr>
              <w:t xml:space="preserve"> </w:t>
            </w:r>
            <w:r>
              <w:rPr>
                <w:w w:val="85"/>
                <w:sz w:val="14"/>
              </w:rPr>
              <w:t>la</w:t>
            </w:r>
            <w:r>
              <w:rPr>
                <w:sz w:val="14"/>
              </w:rPr>
              <w:t xml:space="preserve"> </w:t>
            </w:r>
            <w:r>
              <w:rPr>
                <w:w w:val="85"/>
                <w:sz w:val="14"/>
              </w:rPr>
              <w:t>fabricación</w:t>
            </w:r>
            <w:r>
              <w:rPr>
                <w:spacing w:val="1"/>
                <w:sz w:val="14"/>
              </w:rPr>
              <w:t xml:space="preserve"> </w:t>
            </w:r>
            <w:r>
              <w:rPr>
                <w:w w:val="85"/>
                <w:sz w:val="14"/>
              </w:rPr>
              <w:t>de</w:t>
            </w:r>
            <w:r>
              <w:rPr>
                <w:sz w:val="14"/>
              </w:rPr>
              <w:t xml:space="preserve"> </w:t>
            </w:r>
            <w:r>
              <w:rPr>
                <w:spacing w:val="-2"/>
                <w:w w:val="85"/>
                <w:sz w:val="14"/>
              </w:rPr>
              <w:t>papel.</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48:</w:t>
            </w:r>
          </w:p>
        </w:tc>
        <w:tc>
          <w:tcPr>
            <w:tcW w:w="9458" w:type="dxa"/>
          </w:tcPr>
          <w:p w:rsidR="0092635B" w:rsidRDefault="00000000">
            <w:pPr>
              <w:pStyle w:val="TableParagraph"/>
              <w:spacing w:line="146" w:lineRule="exact"/>
              <w:ind w:left="40"/>
              <w:rPr>
                <w:sz w:val="14"/>
              </w:rPr>
            </w:pPr>
            <w:r>
              <w:rPr>
                <w:w w:val="85"/>
                <w:sz w:val="14"/>
              </w:rPr>
              <w:t>Papel</w:t>
            </w:r>
            <w:r>
              <w:rPr>
                <w:spacing w:val="-1"/>
                <w:sz w:val="14"/>
              </w:rPr>
              <w:t xml:space="preserve"> </w:t>
            </w:r>
            <w:r>
              <w:rPr>
                <w:w w:val="85"/>
                <w:sz w:val="14"/>
              </w:rPr>
              <w:t>y</w:t>
            </w:r>
            <w:r>
              <w:rPr>
                <w:sz w:val="14"/>
              </w:rPr>
              <w:t xml:space="preserve"> </w:t>
            </w:r>
            <w:r>
              <w:rPr>
                <w:w w:val="85"/>
                <w:sz w:val="14"/>
              </w:rPr>
              <w:t>cartón;</w:t>
            </w:r>
            <w:r>
              <w:rPr>
                <w:sz w:val="14"/>
              </w:rPr>
              <w:t xml:space="preserve"> </w:t>
            </w:r>
            <w:r>
              <w:rPr>
                <w:w w:val="85"/>
                <w:sz w:val="14"/>
              </w:rPr>
              <w:t>manufacturas</w:t>
            </w:r>
            <w:r>
              <w:rPr>
                <w:spacing w:val="-1"/>
                <w:sz w:val="14"/>
              </w:rPr>
              <w:t xml:space="preserve"> </w:t>
            </w:r>
            <w:r>
              <w:rPr>
                <w:w w:val="85"/>
                <w:sz w:val="14"/>
              </w:rPr>
              <w:t>de</w:t>
            </w:r>
            <w:r>
              <w:rPr>
                <w:sz w:val="14"/>
              </w:rPr>
              <w:t xml:space="preserve"> </w:t>
            </w:r>
            <w:r>
              <w:rPr>
                <w:w w:val="85"/>
                <w:sz w:val="14"/>
              </w:rPr>
              <w:t>pasta</w:t>
            </w:r>
            <w:r>
              <w:rPr>
                <w:sz w:val="14"/>
              </w:rPr>
              <w:t xml:space="preserve"> </w:t>
            </w:r>
            <w:r>
              <w:rPr>
                <w:w w:val="85"/>
                <w:sz w:val="14"/>
              </w:rPr>
              <w:t>de</w:t>
            </w:r>
            <w:r>
              <w:rPr>
                <w:sz w:val="14"/>
              </w:rPr>
              <w:t xml:space="preserve"> </w:t>
            </w:r>
            <w:r>
              <w:rPr>
                <w:w w:val="85"/>
                <w:sz w:val="14"/>
              </w:rPr>
              <w:t>celulosa,</w:t>
            </w:r>
            <w:r>
              <w:rPr>
                <w:spacing w:val="-1"/>
                <w:sz w:val="14"/>
              </w:rPr>
              <w:t xml:space="preserve"> </w:t>
            </w:r>
            <w:r>
              <w:rPr>
                <w:w w:val="85"/>
                <w:sz w:val="14"/>
              </w:rPr>
              <w:t>de</w:t>
            </w:r>
            <w:r>
              <w:rPr>
                <w:sz w:val="14"/>
              </w:rPr>
              <w:t xml:space="preserve"> </w:t>
            </w:r>
            <w:r>
              <w:rPr>
                <w:w w:val="85"/>
                <w:sz w:val="14"/>
              </w:rPr>
              <w:t>papel</w:t>
            </w:r>
            <w:r>
              <w:rPr>
                <w:sz w:val="14"/>
              </w:rPr>
              <w:t xml:space="preserve"> </w:t>
            </w:r>
            <w:r>
              <w:rPr>
                <w:w w:val="85"/>
                <w:sz w:val="14"/>
              </w:rPr>
              <w:t>o</w:t>
            </w:r>
            <w:r>
              <w:rPr>
                <w:sz w:val="14"/>
              </w:rPr>
              <w:t xml:space="preserve"> </w:t>
            </w:r>
            <w:r>
              <w:rPr>
                <w:w w:val="85"/>
                <w:sz w:val="14"/>
              </w:rPr>
              <w:t>de</w:t>
            </w:r>
            <w:r>
              <w:rPr>
                <w:spacing w:val="-1"/>
                <w:sz w:val="14"/>
              </w:rPr>
              <w:t xml:space="preserve"> </w:t>
            </w:r>
            <w:r>
              <w:rPr>
                <w:spacing w:val="-2"/>
                <w:w w:val="85"/>
                <w:sz w:val="14"/>
              </w:rPr>
              <w:t>cartón.</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49:</w:t>
            </w:r>
          </w:p>
        </w:tc>
        <w:tc>
          <w:tcPr>
            <w:tcW w:w="9458" w:type="dxa"/>
          </w:tcPr>
          <w:p w:rsidR="0092635B" w:rsidRDefault="00000000">
            <w:pPr>
              <w:pStyle w:val="TableParagraph"/>
              <w:spacing w:line="146" w:lineRule="exact"/>
              <w:ind w:left="40"/>
              <w:rPr>
                <w:sz w:val="14"/>
              </w:rPr>
            </w:pPr>
            <w:r>
              <w:rPr>
                <w:w w:val="85"/>
                <w:sz w:val="14"/>
              </w:rPr>
              <w:t>Artículos</w:t>
            </w:r>
            <w:r>
              <w:rPr>
                <w:sz w:val="14"/>
              </w:rPr>
              <w:t xml:space="preserve"> </w:t>
            </w:r>
            <w:r>
              <w:rPr>
                <w:w w:val="85"/>
                <w:sz w:val="14"/>
              </w:rPr>
              <w:t>de</w:t>
            </w:r>
            <w:r>
              <w:rPr>
                <w:sz w:val="14"/>
              </w:rPr>
              <w:t xml:space="preserve"> </w:t>
            </w:r>
            <w:r>
              <w:rPr>
                <w:w w:val="85"/>
                <w:sz w:val="14"/>
              </w:rPr>
              <w:t>librería</w:t>
            </w:r>
            <w:r>
              <w:rPr>
                <w:sz w:val="14"/>
              </w:rPr>
              <w:t xml:space="preserve"> </w:t>
            </w:r>
            <w:r>
              <w:rPr>
                <w:w w:val="85"/>
                <w:sz w:val="14"/>
              </w:rPr>
              <w:t>y</w:t>
            </w:r>
            <w:r>
              <w:rPr>
                <w:sz w:val="14"/>
              </w:rPr>
              <w:t xml:space="preserve"> </w:t>
            </w:r>
            <w:r>
              <w:rPr>
                <w:w w:val="85"/>
                <w:sz w:val="14"/>
              </w:rPr>
              <w:t>productos</w:t>
            </w:r>
            <w:r>
              <w:rPr>
                <w:sz w:val="14"/>
              </w:rPr>
              <w:t xml:space="preserve"> </w:t>
            </w:r>
            <w:r>
              <w:rPr>
                <w:w w:val="85"/>
                <w:sz w:val="14"/>
              </w:rPr>
              <w:t>de</w:t>
            </w:r>
            <w:r>
              <w:rPr>
                <w:sz w:val="14"/>
              </w:rPr>
              <w:t xml:space="preserve"> </w:t>
            </w:r>
            <w:r>
              <w:rPr>
                <w:w w:val="85"/>
                <w:sz w:val="14"/>
              </w:rPr>
              <w:t>las</w:t>
            </w:r>
            <w:r>
              <w:rPr>
                <w:sz w:val="14"/>
              </w:rPr>
              <w:t xml:space="preserve"> </w:t>
            </w:r>
            <w:r>
              <w:rPr>
                <w:w w:val="85"/>
                <w:sz w:val="14"/>
              </w:rPr>
              <w:t>artes</w:t>
            </w:r>
            <w:r>
              <w:rPr>
                <w:sz w:val="14"/>
              </w:rPr>
              <w:t xml:space="preserve"> </w:t>
            </w:r>
            <w:r>
              <w:rPr>
                <w:spacing w:val="-2"/>
                <w:w w:val="85"/>
                <w:sz w:val="14"/>
              </w:rPr>
              <w:t>gráficas.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65:</w:t>
            </w:r>
          </w:p>
        </w:tc>
        <w:tc>
          <w:tcPr>
            <w:tcW w:w="9458" w:type="dxa"/>
          </w:tcPr>
          <w:p w:rsidR="0092635B" w:rsidRDefault="00000000">
            <w:pPr>
              <w:pStyle w:val="TableParagraph"/>
              <w:spacing w:line="146" w:lineRule="exact"/>
              <w:ind w:left="40"/>
              <w:rPr>
                <w:sz w:val="14"/>
              </w:rPr>
            </w:pPr>
            <w:r>
              <w:rPr>
                <w:w w:val="85"/>
                <w:sz w:val="14"/>
              </w:rPr>
              <w:t>Sombreros</w:t>
            </w:r>
            <w:r>
              <w:rPr>
                <w:spacing w:val="1"/>
                <w:sz w:val="14"/>
              </w:rPr>
              <w:t xml:space="preserve"> </w:t>
            </w:r>
            <w:r>
              <w:rPr>
                <w:w w:val="85"/>
                <w:sz w:val="14"/>
              </w:rPr>
              <w:t>y</w:t>
            </w:r>
            <w:r>
              <w:rPr>
                <w:spacing w:val="2"/>
                <w:sz w:val="14"/>
              </w:rPr>
              <w:t xml:space="preserve"> </w:t>
            </w:r>
            <w:r>
              <w:rPr>
                <w:w w:val="85"/>
                <w:sz w:val="14"/>
              </w:rPr>
              <w:t>demás</w:t>
            </w:r>
            <w:r>
              <w:rPr>
                <w:spacing w:val="1"/>
                <w:sz w:val="14"/>
              </w:rPr>
              <w:t xml:space="preserve"> </w:t>
            </w:r>
            <w:r>
              <w:rPr>
                <w:w w:val="85"/>
                <w:sz w:val="14"/>
              </w:rPr>
              <w:t>tocados,</w:t>
            </w:r>
            <w:r>
              <w:rPr>
                <w:spacing w:val="2"/>
                <w:sz w:val="14"/>
              </w:rPr>
              <w:t xml:space="preserve"> </w:t>
            </w:r>
            <w:r>
              <w:rPr>
                <w:w w:val="85"/>
                <w:sz w:val="14"/>
              </w:rPr>
              <w:t>y</w:t>
            </w:r>
            <w:r>
              <w:rPr>
                <w:spacing w:val="2"/>
                <w:sz w:val="14"/>
              </w:rPr>
              <w:t xml:space="preserve"> </w:t>
            </w:r>
            <w:r>
              <w:rPr>
                <w:w w:val="85"/>
                <w:sz w:val="14"/>
              </w:rPr>
              <w:t>sus</w:t>
            </w:r>
            <w:r>
              <w:rPr>
                <w:spacing w:val="1"/>
                <w:sz w:val="14"/>
              </w:rPr>
              <w:t xml:space="preserve"> </w:t>
            </w:r>
            <w:r>
              <w:rPr>
                <w:spacing w:val="-2"/>
                <w:w w:val="85"/>
                <w:sz w:val="14"/>
              </w:rPr>
              <w:t>partes.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66:</w:t>
            </w:r>
          </w:p>
        </w:tc>
        <w:tc>
          <w:tcPr>
            <w:tcW w:w="9458" w:type="dxa"/>
          </w:tcPr>
          <w:p w:rsidR="0092635B" w:rsidRDefault="00000000">
            <w:pPr>
              <w:pStyle w:val="TableParagraph"/>
              <w:spacing w:line="146" w:lineRule="exact"/>
              <w:ind w:left="40"/>
              <w:rPr>
                <w:sz w:val="14"/>
              </w:rPr>
            </w:pPr>
            <w:r>
              <w:rPr>
                <w:w w:val="85"/>
                <w:sz w:val="14"/>
              </w:rPr>
              <w:t>Paraguas,</w:t>
            </w:r>
            <w:r>
              <w:rPr>
                <w:spacing w:val="3"/>
                <w:sz w:val="14"/>
              </w:rPr>
              <w:t xml:space="preserve"> </w:t>
            </w:r>
            <w:r>
              <w:rPr>
                <w:w w:val="85"/>
                <w:sz w:val="14"/>
              </w:rPr>
              <w:t>quitasoles,</w:t>
            </w:r>
            <w:r>
              <w:rPr>
                <w:spacing w:val="4"/>
                <w:sz w:val="14"/>
              </w:rPr>
              <w:t xml:space="preserve"> </w:t>
            </w:r>
            <w:r>
              <w:rPr>
                <w:w w:val="85"/>
                <w:sz w:val="14"/>
              </w:rPr>
              <w:t>bastones,</w:t>
            </w:r>
            <w:r>
              <w:rPr>
                <w:spacing w:val="3"/>
                <w:sz w:val="14"/>
              </w:rPr>
              <w:t xml:space="preserve"> </w:t>
            </w:r>
            <w:r>
              <w:rPr>
                <w:w w:val="85"/>
                <w:sz w:val="14"/>
              </w:rPr>
              <w:t>látigos,</w:t>
            </w:r>
            <w:r>
              <w:rPr>
                <w:spacing w:val="4"/>
                <w:sz w:val="14"/>
              </w:rPr>
              <w:t xml:space="preserve"> </w:t>
            </w:r>
            <w:r>
              <w:rPr>
                <w:w w:val="85"/>
                <w:sz w:val="14"/>
              </w:rPr>
              <w:t>fustas</w:t>
            </w:r>
            <w:r>
              <w:rPr>
                <w:spacing w:val="4"/>
                <w:sz w:val="14"/>
              </w:rPr>
              <w:t xml:space="preserve"> </w:t>
            </w:r>
            <w:r>
              <w:rPr>
                <w:w w:val="85"/>
                <w:sz w:val="14"/>
              </w:rPr>
              <w:t>y</w:t>
            </w:r>
            <w:r>
              <w:rPr>
                <w:spacing w:val="3"/>
                <w:sz w:val="14"/>
              </w:rPr>
              <w:t xml:space="preserve"> </w:t>
            </w:r>
            <w:r>
              <w:rPr>
                <w:w w:val="85"/>
                <w:sz w:val="14"/>
              </w:rPr>
              <w:t>sus</w:t>
            </w:r>
            <w:r>
              <w:rPr>
                <w:spacing w:val="4"/>
                <w:sz w:val="14"/>
              </w:rPr>
              <w:t xml:space="preserve"> </w:t>
            </w:r>
            <w:r>
              <w:rPr>
                <w:spacing w:val="-2"/>
                <w:w w:val="85"/>
                <w:sz w:val="14"/>
              </w:rPr>
              <w:t>partes.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67:</w:t>
            </w:r>
          </w:p>
        </w:tc>
        <w:tc>
          <w:tcPr>
            <w:tcW w:w="9458" w:type="dxa"/>
          </w:tcPr>
          <w:p w:rsidR="0092635B" w:rsidRDefault="00000000">
            <w:pPr>
              <w:pStyle w:val="TableParagraph"/>
              <w:spacing w:line="146" w:lineRule="exact"/>
              <w:ind w:left="40"/>
              <w:rPr>
                <w:sz w:val="14"/>
              </w:rPr>
            </w:pPr>
            <w:r>
              <w:rPr>
                <w:w w:val="85"/>
                <w:sz w:val="14"/>
              </w:rPr>
              <w:t>Plumas</w:t>
            </w:r>
            <w:r>
              <w:rPr>
                <w:spacing w:val="2"/>
                <w:sz w:val="14"/>
              </w:rPr>
              <w:t xml:space="preserve"> </w:t>
            </w:r>
            <w:r>
              <w:rPr>
                <w:w w:val="85"/>
                <w:sz w:val="14"/>
              </w:rPr>
              <w:t>y</w:t>
            </w:r>
            <w:r>
              <w:rPr>
                <w:spacing w:val="2"/>
                <w:sz w:val="14"/>
              </w:rPr>
              <w:t xml:space="preserve"> </w:t>
            </w:r>
            <w:r>
              <w:rPr>
                <w:w w:val="85"/>
                <w:sz w:val="14"/>
              </w:rPr>
              <w:t>plumón</w:t>
            </w:r>
            <w:r>
              <w:rPr>
                <w:spacing w:val="3"/>
                <w:sz w:val="14"/>
              </w:rPr>
              <w:t xml:space="preserve"> </w:t>
            </w:r>
            <w:r>
              <w:rPr>
                <w:w w:val="85"/>
                <w:sz w:val="14"/>
              </w:rPr>
              <w:t>preparados</w:t>
            </w:r>
            <w:r>
              <w:rPr>
                <w:spacing w:val="2"/>
                <w:sz w:val="14"/>
              </w:rPr>
              <w:t xml:space="preserve"> </w:t>
            </w:r>
            <w:r>
              <w:rPr>
                <w:w w:val="85"/>
                <w:sz w:val="14"/>
              </w:rPr>
              <w:t>y</w:t>
            </w:r>
            <w:r>
              <w:rPr>
                <w:spacing w:val="2"/>
                <w:sz w:val="14"/>
              </w:rPr>
              <w:t xml:space="preserve"> </w:t>
            </w:r>
            <w:r>
              <w:rPr>
                <w:w w:val="85"/>
                <w:sz w:val="14"/>
              </w:rPr>
              <w:t>artículos</w:t>
            </w:r>
            <w:r>
              <w:rPr>
                <w:spacing w:val="3"/>
                <w:sz w:val="14"/>
              </w:rPr>
              <w:t xml:space="preserve"> </w:t>
            </w:r>
            <w:r>
              <w:rPr>
                <w:w w:val="85"/>
                <w:sz w:val="14"/>
              </w:rPr>
              <w:t>de</w:t>
            </w:r>
            <w:r>
              <w:rPr>
                <w:spacing w:val="2"/>
                <w:sz w:val="14"/>
              </w:rPr>
              <w:t xml:space="preserve"> </w:t>
            </w:r>
            <w:r>
              <w:rPr>
                <w:w w:val="85"/>
                <w:sz w:val="14"/>
              </w:rPr>
              <w:t>plumas</w:t>
            </w:r>
            <w:r>
              <w:rPr>
                <w:spacing w:val="2"/>
                <w:sz w:val="14"/>
              </w:rPr>
              <w:t xml:space="preserve"> </w:t>
            </w:r>
            <w:r>
              <w:rPr>
                <w:w w:val="85"/>
                <w:sz w:val="14"/>
              </w:rPr>
              <w:t>o</w:t>
            </w:r>
            <w:r>
              <w:rPr>
                <w:spacing w:val="3"/>
                <w:sz w:val="14"/>
              </w:rPr>
              <w:t xml:space="preserve"> </w:t>
            </w:r>
            <w:r>
              <w:rPr>
                <w:w w:val="85"/>
                <w:sz w:val="14"/>
              </w:rPr>
              <w:t>plumón;</w:t>
            </w:r>
            <w:r>
              <w:rPr>
                <w:spacing w:val="2"/>
                <w:sz w:val="14"/>
              </w:rPr>
              <w:t xml:space="preserve"> </w:t>
            </w:r>
            <w:r>
              <w:rPr>
                <w:w w:val="85"/>
                <w:sz w:val="14"/>
              </w:rPr>
              <w:t>flores</w:t>
            </w:r>
            <w:r>
              <w:rPr>
                <w:spacing w:val="2"/>
                <w:sz w:val="14"/>
              </w:rPr>
              <w:t xml:space="preserve"> </w:t>
            </w:r>
            <w:r>
              <w:rPr>
                <w:w w:val="85"/>
                <w:sz w:val="14"/>
              </w:rPr>
              <w:t>artificiales;</w:t>
            </w:r>
            <w:r>
              <w:rPr>
                <w:spacing w:val="3"/>
                <w:sz w:val="14"/>
              </w:rPr>
              <w:t xml:space="preserve"> </w:t>
            </w:r>
            <w:r>
              <w:rPr>
                <w:w w:val="85"/>
                <w:sz w:val="14"/>
              </w:rPr>
              <w:t>manufacturas</w:t>
            </w:r>
            <w:r>
              <w:rPr>
                <w:spacing w:val="2"/>
                <w:sz w:val="14"/>
              </w:rPr>
              <w:t xml:space="preserve"> </w:t>
            </w:r>
            <w:r>
              <w:rPr>
                <w:w w:val="85"/>
                <w:sz w:val="14"/>
              </w:rPr>
              <w:t>de</w:t>
            </w:r>
            <w:r>
              <w:rPr>
                <w:spacing w:val="2"/>
                <w:sz w:val="14"/>
              </w:rPr>
              <w:t xml:space="preserve"> </w:t>
            </w:r>
            <w:r>
              <w:rPr>
                <w:spacing w:val="-2"/>
                <w:w w:val="85"/>
                <w:sz w:val="14"/>
              </w:rPr>
              <w:t>cabello.</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68:</w:t>
            </w:r>
          </w:p>
        </w:tc>
        <w:tc>
          <w:tcPr>
            <w:tcW w:w="9458" w:type="dxa"/>
          </w:tcPr>
          <w:p w:rsidR="0092635B" w:rsidRDefault="00000000">
            <w:pPr>
              <w:pStyle w:val="TableParagraph"/>
              <w:spacing w:line="146" w:lineRule="exact"/>
              <w:ind w:left="40"/>
              <w:rPr>
                <w:sz w:val="14"/>
              </w:rPr>
            </w:pPr>
            <w:r>
              <w:rPr>
                <w:w w:val="85"/>
                <w:sz w:val="14"/>
              </w:rPr>
              <w:t>Manufacturas</w:t>
            </w:r>
            <w:r>
              <w:rPr>
                <w:spacing w:val="2"/>
                <w:sz w:val="14"/>
              </w:rPr>
              <w:t xml:space="preserve"> </w:t>
            </w:r>
            <w:r>
              <w:rPr>
                <w:w w:val="85"/>
                <w:sz w:val="14"/>
              </w:rPr>
              <w:t>de</w:t>
            </w:r>
            <w:r>
              <w:rPr>
                <w:spacing w:val="3"/>
                <w:sz w:val="14"/>
              </w:rPr>
              <w:t xml:space="preserve"> </w:t>
            </w:r>
            <w:r>
              <w:rPr>
                <w:w w:val="85"/>
                <w:sz w:val="14"/>
              </w:rPr>
              <w:t>piedra,</w:t>
            </w:r>
            <w:r>
              <w:rPr>
                <w:spacing w:val="3"/>
                <w:sz w:val="14"/>
              </w:rPr>
              <w:t xml:space="preserve"> </w:t>
            </w:r>
            <w:r>
              <w:rPr>
                <w:w w:val="85"/>
                <w:sz w:val="14"/>
              </w:rPr>
              <w:t>yeso</w:t>
            </w:r>
            <w:r>
              <w:rPr>
                <w:spacing w:val="3"/>
                <w:sz w:val="14"/>
              </w:rPr>
              <w:t xml:space="preserve"> </w:t>
            </w:r>
            <w:r>
              <w:rPr>
                <w:w w:val="85"/>
                <w:sz w:val="14"/>
              </w:rPr>
              <w:t>fraguable,</w:t>
            </w:r>
            <w:r>
              <w:rPr>
                <w:spacing w:val="3"/>
                <w:sz w:val="14"/>
              </w:rPr>
              <w:t xml:space="preserve"> </w:t>
            </w:r>
            <w:r>
              <w:rPr>
                <w:w w:val="85"/>
                <w:sz w:val="14"/>
              </w:rPr>
              <w:t>cemento,</w:t>
            </w:r>
            <w:r>
              <w:rPr>
                <w:spacing w:val="2"/>
                <w:sz w:val="14"/>
              </w:rPr>
              <w:t xml:space="preserve"> </w:t>
            </w:r>
            <w:r>
              <w:rPr>
                <w:w w:val="85"/>
                <w:sz w:val="14"/>
              </w:rPr>
              <w:t>amianto</w:t>
            </w:r>
            <w:r>
              <w:rPr>
                <w:spacing w:val="3"/>
                <w:sz w:val="14"/>
              </w:rPr>
              <w:t xml:space="preserve"> </w:t>
            </w:r>
            <w:r>
              <w:rPr>
                <w:w w:val="85"/>
                <w:sz w:val="14"/>
              </w:rPr>
              <w:t>(asbesto),</w:t>
            </w:r>
            <w:r>
              <w:rPr>
                <w:spacing w:val="3"/>
                <w:sz w:val="14"/>
              </w:rPr>
              <w:t xml:space="preserve"> </w:t>
            </w:r>
            <w:r>
              <w:rPr>
                <w:w w:val="85"/>
                <w:sz w:val="14"/>
              </w:rPr>
              <w:t>mica</w:t>
            </w:r>
            <w:r>
              <w:rPr>
                <w:spacing w:val="3"/>
                <w:sz w:val="14"/>
              </w:rPr>
              <w:t xml:space="preserve"> </w:t>
            </w:r>
            <w:r>
              <w:rPr>
                <w:w w:val="85"/>
                <w:sz w:val="14"/>
              </w:rPr>
              <w:t>o</w:t>
            </w:r>
            <w:r>
              <w:rPr>
                <w:spacing w:val="3"/>
                <w:sz w:val="14"/>
              </w:rPr>
              <w:t xml:space="preserve"> </w:t>
            </w:r>
            <w:r>
              <w:rPr>
                <w:w w:val="85"/>
                <w:sz w:val="14"/>
              </w:rPr>
              <w:t>materias</w:t>
            </w:r>
            <w:r>
              <w:rPr>
                <w:spacing w:val="3"/>
                <w:sz w:val="14"/>
              </w:rPr>
              <w:t xml:space="preserve"> </w:t>
            </w:r>
            <w:r>
              <w:rPr>
                <w:spacing w:val="-2"/>
                <w:w w:val="85"/>
                <w:sz w:val="14"/>
              </w:rPr>
              <w:t>análogas.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69:</w:t>
            </w:r>
          </w:p>
        </w:tc>
        <w:tc>
          <w:tcPr>
            <w:tcW w:w="9458" w:type="dxa"/>
          </w:tcPr>
          <w:p w:rsidR="0092635B" w:rsidRDefault="00000000">
            <w:pPr>
              <w:pStyle w:val="TableParagraph"/>
              <w:spacing w:line="146" w:lineRule="exact"/>
              <w:ind w:left="40"/>
              <w:rPr>
                <w:sz w:val="14"/>
              </w:rPr>
            </w:pPr>
            <w:r>
              <w:rPr>
                <w:w w:val="85"/>
                <w:sz w:val="14"/>
              </w:rPr>
              <w:t>Productos</w:t>
            </w:r>
            <w:r>
              <w:rPr>
                <w:spacing w:val="7"/>
                <w:sz w:val="14"/>
              </w:rPr>
              <w:t xml:space="preserve"> </w:t>
            </w:r>
            <w:r>
              <w:rPr>
                <w:spacing w:val="-2"/>
                <w:w w:val="95"/>
                <w:sz w:val="14"/>
              </w:rPr>
              <w:t>cerámicos.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70:</w:t>
            </w:r>
          </w:p>
        </w:tc>
        <w:tc>
          <w:tcPr>
            <w:tcW w:w="9458" w:type="dxa"/>
          </w:tcPr>
          <w:p w:rsidR="0092635B" w:rsidRDefault="00000000">
            <w:pPr>
              <w:pStyle w:val="TableParagraph"/>
              <w:spacing w:line="146" w:lineRule="exact"/>
              <w:ind w:left="40"/>
              <w:rPr>
                <w:sz w:val="14"/>
              </w:rPr>
            </w:pPr>
            <w:r>
              <w:rPr>
                <w:w w:val="85"/>
                <w:sz w:val="14"/>
              </w:rPr>
              <w:t>Vidrio</w:t>
            </w:r>
            <w:r>
              <w:rPr>
                <w:spacing w:val="-4"/>
                <w:sz w:val="14"/>
              </w:rPr>
              <w:t xml:space="preserve"> </w:t>
            </w:r>
            <w:r>
              <w:rPr>
                <w:w w:val="85"/>
                <w:sz w:val="14"/>
              </w:rPr>
              <w:t>y</w:t>
            </w:r>
            <w:r>
              <w:rPr>
                <w:spacing w:val="-3"/>
                <w:sz w:val="14"/>
              </w:rPr>
              <w:t xml:space="preserve"> </w:t>
            </w:r>
            <w:r>
              <w:rPr>
                <w:w w:val="85"/>
                <w:sz w:val="14"/>
              </w:rPr>
              <w:t>sus</w:t>
            </w:r>
            <w:r>
              <w:rPr>
                <w:spacing w:val="-3"/>
                <w:sz w:val="14"/>
              </w:rPr>
              <w:t xml:space="preserve"> </w:t>
            </w:r>
            <w:r>
              <w:rPr>
                <w:spacing w:val="-2"/>
                <w:w w:val="85"/>
                <w:sz w:val="14"/>
              </w:rPr>
              <w:t>manufacturas.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71:</w:t>
            </w:r>
          </w:p>
        </w:tc>
        <w:tc>
          <w:tcPr>
            <w:tcW w:w="9458" w:type="dxa"/>
          </w:tcPr>
          <w:p w:rsidR="0092635B" w:rsidRDefault="00000000">
            <w:pPr>
              <w:pStyle w:val="TableParagraph"/>
              <w:spacing w:line="146" w:lineRule="exact"/>
              <w:ind w:left="40"/>
              <w:rPr>
                <w:sz w:val="14"/>
              </w:rPr>
            </w:pPr>
            <w:r>
              <w:rPr>
                <w:w w:val="85"/>
                <w:sz w:val="14"/>
              </w:rPr>
              <w:t>Perlas</w:t>
            </w:r>
            <w:r>
              <w:rPr>
                <w:spacing w:val="3"/>
                <w:sz w:val="14"/>
              </w:rPr>
              <w:t xml:space="preserve"> </w:t>
            </w:r>
            <w:r>
              <w:rPr>
                <w:w w:val="85"/>
                <w:sz w:val="14"/>
              </w:rPr>
              <w:t>finas,</w:t>
            </w:r>
            <w:r>
              <w:rPr>
                <w:spacing w:val="3"/>
                <w:sz w:val="14"/>
              </w:rPr>
              <w:t xml:space="preserve"> </w:t>
            </w:r>
            <w:r>
              <w:rPr>
                <w:w w:val="85"/>
                <w:sz w:val="14"/>
              </w:rPr>
              <w:t>piedras</w:t>
            </w:r>
            <w:r>
              <w:rPr>
                <w:spacing w:val="3"/>
                <w:sz w:val="14"/>
              </w:rPr>
              <w:t xml:space="preserve"> </w:t>
            </w:r>
            <w:r>
              <w:rPr>
                <w:w w:val="85"/>
                <w:sz w:val="14"/>
              </w:rPr>
              <w:t>preciosas</w:t>
            </w:r>
            <w:r>
              <w:rPr>
                <w:spacing w:val="3"/>
                <w:sz w:val="14"/>
              </w:rPr>
              <w:t xml:space="preserve"> </w:t>
            </w:r>
            <w:r>
              <w:rPr>
                <w:w w:val="85"/>
                <w:sz w:val="14"/>
              </w:rPr>
              <w:t>o</w:t>
            </w:r>
            <w:r>
              <w:rPr>
                <w:spacing w:val="4"/>
                <w:sz w:val="14"/>
              </w:rPr>
              <w:t xml:space="preserve"> </w:t>
            </w:r>
            <w:r>
              <w:rPr>
                <w:w w:val="85"/>
                <w:sz w:val="14"/>
              </w:rPr>
              <w:t>semipreciosas,</w:t>
            </w:r>
            <w:r>
              <w:rPr>
                <w:spacing w:val="3"/>
                <w:sz w:val="14"/>
              </w:rPr>
              <w:t xml:space="preserve"> </w:t>
            </w:r>
            <w:r>
              <w:rPr>
                <w:w w:val="85"/>
                <w:sz w:val="14"/>
              </w:rPr>
              <w:t>metales</w:t>
            </w:r>
            <w:r>
              <w:rPr>
                <w:spacing w:val="3"/>
                <w:sz w:val="14"/>
              </w:rPr>
              <w:t xml:space="preserve"> </w:t>
            </w:r>
            <w:r>
              <w:rPr>
                <w:w w:val="85"/>
                <w:sz w:val="14"/>
              </w:rPr>
              <w:t>preciosos,</w:t>
            </w:r>
            <w:r>
              <w:rPr>
                <w:spacing w:val="3"/>
                <w:sz w:val="14"/>
              </w:rPr>
              <w:t xml:space="preserve"> </w:t>
            </w:r>
            <w:r>
              <w:rPr>
                <w:w w:val="85"/>
                <w:sz w:val="14"/>
              </w:rPr>
              <w:t>chapados</w:t>
            </w:r>
            <w:r>
              <w:rPr>
                <w:spacing w:val="4"/>
                <w:sz w:val="14"/>
              </w:rPr>
              <w:t xml:space="preserve"> </w:t>
            </w:r>
            <w:r>
              <w:rPr>
                <w:w w:val="85"/>
                <w:sz w:val="14"/>
              </w:rPr>
              <w:t>de</w:t>
            </w:r>
            <w:r>
              <w:rPr>
                <w:spacing w:val="3"/>
                <w:sz w:val="14"/>
              </w:rPr>
              <w:t xml:space="preserve"> </w:t>
            </w:r>
            <w:r>
              <w:rPr>
                <w:w w:val="85"/>
                <w:sz w:val="14"/>
              </w:rPr>
              <w:t>metal</w:t>
            </w:r>
            <w:r>
              <w:rPr>
                <w:spacing w:val="3"/>
                <w:sz w:val="14"/>
              </w:rPr>
              <w:t xml:space="preserve"> </w:t>
            </w:r>
            <w:r>
              <w:rPr>
                <w:w w:val="85"/>
                <w:sz w:val="14"/>
              </w:rPr>
              <w:t>precioso</w:t>
            </w:r>
            <w:r>
              <w:rPr>
                <w:spacing w:val="3"/>
                <w:sz w:val="14"/>
              </w:rPr>
              <w:t xml:space="preserve"> </w:t>
            </w:r>
            <w:r>
              <w:rPr>
                <w:w w:val="85"/>
                <w:sz w:val="14"/>
              </w:rPr>
              <w:t>(plaqué)</w:t>
            </w:r>
            <w:r>
              <w:rPr>
                <w:spacing w:val="4"/>
                <w:sz w:val="14"/>
              </w:rPr>
              <w:t xml:space="preserve"> </w:t>
            </w:r>
            <w:r>
              <w:rPr>
                <w:w w:val="85"/>
                <w:sz w:val="14"/>
              </w:rPr>
              <w:t>y</w:t>
            </w:r>
            <w:r>
              <w:rPr>
                <w:spacing w:val="3"/>
                <w:sz w:val="14"/>
              </w:rPr>
              <w:t xml:space="preserve"> </w:t>
            </w:r>
            <w:r>
              <w:rPr>
                <w:w w:val="85"/>
                <w:sz w:val="14"/>
              </w:rPr>
              <w:t>manufacturas</w:t>
            </w:r>
            <w:r>
              <w:rPr>
                <w:spacing w:val="3"/>
                <w:sz w:val="14"/>
              </w:rPr>
              <w:t xml:space="preserve"> </w:t>
            </w:r>
            <w:r>
              <w:rPr>
                <w:w w:val="85"/>
                <w:sz w:val="14"/>
              </w:rPr>
              <w:t>de</w:t>
            </w:r>
            <w:r>
              <w:rPr>
                <w:spacing w:val="3"/>
                <w:sz w:val="14"/>
              </w:rPr>
              <w:t xml:space="preserve"> </w:t>
            </w:r>
            <w:r>
              <w:rPr>
                <w:w w:val="85"/>
                <w:sz w:val="14"/>
              </w:rPr>
              <w:t>estas</w:t>
            </w:r>
            <w:r>
              <w:rPr>
                <w:spacing w:val="4"/>
                <w:sz w:val="14"/>
              </w:rPr>
              <w:t xml:space="preserve"> </w:t>
            </w:r>
            <w:r>
              <w:rPr>
                <w:w w:val="85"/>
                <w:sz w:val="14"/>
              </w:rPr>
              <w:t>materias;</w:t>
            </w:r>
            <w:r>
              <w:rPr>
                <w:spacing w:val="3"/>
                <w:sz w:val="14"/>
              </w:rPr>
              <w:t xml:space="preserve"> </w:t>
            </w:r>
            <w:r>
              <w:rPr>
                <w:spacing w:val="-2"/>
                <w:w w:val="85"/>
                <w:sz w:val="14"/>
              </w:rPr>
              <w:t>bisutería.</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73:</w:t>
            </w:r>
          </w:p>
        </w:tc>
        <w:tc>
          <w:tcPr>
            <w:tcW w:w="9458" w:type="dxa"/>
          </w:tcPr>
          <w:p w:rsidR="0092635B" w:rsidRDefault="00000000">
            <w:pPr>
              <w:pStyle w:val="TableParagraph"/>
              <w:spacing w:line="146" w:lineRule="exact"/>
              <w:ind w:left="40"/>
              <w:rPr>
                <w:sz w:val="14"/>
              </w:rPr>
            </w:pPr>
            <w:r>
              <w:rPr>
                <w:w w:val="85"/>
                <w:sz w:val="14"/>
              </w:rPr>
              <w:t>Fundición,</w:t>
            </w:r>
            <w:r>
              <w:rPr>
                <w:sz w:val="14"/>
              </w:rPr>
              <w:t xml:space="preserve"> </w:t>
            </w:r>
            <w:r>
              <w:rPr>
                <w:w w:val="85"/>
                <w:sz w:val="14"/>
              </w:rPr>
              <w:t>hierro</w:t>
            </w:r>
            <w:r>
              <w:rPr>
                <w:sz w:val="14"/>
              </w:rPr>
              <w:t xml:space="preserve"> </w:t>
            </w:r>
            <w:r>
              <w:rPr>
                <w:w w:val="85"/>
                <w:sz w:val="14"/>
              </w:rPr>
              <w:t>y</w:t>
            </w:r>
            <w:r>
              <w:rPr>
                <w:spacing w:val="1"/>
                <w:sz w:val="14"/>
              </w:rPr>
              <w:t xml:space="preserve"> </w:t>
            </w:r>
            <w:r>
              <w:rPr>
                <w:spacing w:val="-2"/>
                <w:w w:val="85"/>
                <w:sz w:val="14"/>
              </w:rPr>
              <w:t>acero.</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74:</w:t>
            </w:r>
          </w:p>
        </w:tc>
        <w:tc>
          <w:tcPr>
            <w:tcW w:w="9458" w:type="dxa"/>
          </w:tcPr>
          <w:p w:rsidR="0092635B" w:rsidRDefault="00000000">
            <w:pPr>
              <w:pStyle w:val="TableParagraph"/>
              <w:spacing w:line="146" w:lineRule="exact"/>
              <w:ind w:left="40"/>
              <w:rPr>
                <w:sz w:val="14"/>
              </w:rPr>
            </w:pPr>
            <w:r>
              <w:rPr>
                <w:spacing w:val="-2"/>
                <w:w w:val="95"/>
                <w:sz w:val="14"/>
              </w:rPr>
              <w:t>Cobre.</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75:</w:t>
            </w:r>
          </w:p>
        </w:tc>
        <w:tc>
          <w:tcPr>
            <w:tcW w:w="9458" w:type="dxa"/>
          </w:tcPr>
          <w:p w:rsidR="0092635B" w:rsidRDefault="00000000">
            <w:pPr>
              <w:pStyle w:val="TableParagraph"/>
              <w:spacing w:line="146" w:lineRule="exact"/>
              <w:ind w:left="40"/>
              <w:rPr>
                <w:sz w:val="14"/>
              </w:rPr>
            </w:pPr>
            <w:r>
              <w:rPr>
                <w:spacing w:val="-2"/>
                <w:w w:val="95"/>
                <w:sz w:val="14"/>
              </w:rPr>
              <w:t>Níquel.</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76:</w:t>
            </w:r>
          </w:p>
        </w:tc>
        <w:tc>
          <w:tcPr>
            <w:tcW w:w="9458" w:type="dxa"/>
          </w:tcPr>
          <w:p w:rsidR="0092635B" w:rsidRDefault="00000000">
            <w:pPr>
              <w:pStyle w:val="TableParagraph"/>
              <w:spacing w:line="146" w:lineRule="exact"/>
              <w:ind w:left="40"/>
              <w:rPr>
                <w:sz w:val="14"/>
              </w:rPr>
            </w:pPr>
            <w:r>
              <w:rPr>
                <w:spacing w:val="-2"/>
                <w:w w:val="95"/>
                <w:sz w:val="14"/>
              </w:rPr>
              <w:t>Aluminio.</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77:</w:t>
            </w:r>
          </w:p>
        </w:tc>
        <w:tc>
          <w:tcPr>
            <w:tcW w:w="9458" w:type="dxa"/>
          </w:tcPr>
          <w:p w:rsidR="0092635B" w:rsidRDefault="00000000">
            <w:pPr>
              <w:pStyle w:val="TableParagraph"/>
              <w:spacing w:line="146" w:lineRule="exact"/>
              <w:ind w:left="40"/>
              <w:rPr>
                <w:sz w:val="14"/>
              </w:rPr>
            </w:pPr>
            <w:r>
              <w:rPr>
                <w:w w:val="85"/>
                <w:sz w:val="14"/>
              </w:rPr>
              <w:t>Magnesio,</w:t>
            </w:r>
            <w:r>
              <w:rPr>
                <w:spacing w:val="7"/>
                <w:sz w:val="14"/>
              </w:rPr>
              <w:t xml:space="preserve"> </w:t>
            </w:r>
            <w:r>
              <w:rPr>
                <w:spacing w:val="-2"/>
                <w:w w:val="95"/>
                <w:sz w:val="14"/>
              </w:rPr>
              <w:t>berilio.</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78:</w:t>
            </w:r>
          </w:p>
        </w:tc>
        <w:tc>
          <w:tcPr>
            <w:tcW w:w="9458" w:type="dxa"/>
          </w:tcPr>
          <w:p w:rsidR="0092635B" w:rsidRDefault="00000000">
            <w:pPr>
              <w:pStyle w:val="TableParagraph"/>
              <w:spacing w:line="146" w:lineRule="exact"/>
              <w:ind w:left="40"/>
              <w:rPr>
                <w:sz w:val="14"/>
              </w:rPr>
            </w:pPr>
            <w:r>
              <w:rPr>
                <w:spacing w:val="-2"/>
                <w:w w:val="95"/>
                <w:sz w:val="14"/>
              </w:rPr>
              <w:t>Plomo.</w:t>
            </w:r>
          </w:p>
        </w:tc>
      </w:tr>
    </w:tbl>
    <w:p w:rsidR="0092635B" w:rsidRDefault="0092635B">
      <w:pPr>
        <w:pStyle w:val="TableParagraph"/>
        <w:spacing w:line="146" w:lineRule="exact"/>
        <w:rPr>
          <w:sz w:val="14"/>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rPr>
          <w:rFonts w:ascii="Arial"/>
          <w:b/>
        </w:rPr>
      </w:pPr>
    </w:p>
    <w:p w:rsidR="0092635B" w:rsidRDefault="0092635B">
      <w:pPr>
        <w:pStyle w:val="Textoindependiente"/>
        <w:spacing w:before="22"/>
        <w:ind w:left="0" w:firstLine="0"/>
        <w:jc w:val="left"/>
        <w:rPr>
          <w:rFonts w:ascii="Arial"/>
          <w:b/>
        </w:rPr>
      </w:pPr>
    </w:p>
    <w:tbl>
      <w:tblPr>
        <w:tblStyle w:val="TableNormal"/>
        <w:tblW w:w="0" w:type="auto"/>
        <w:tblInd w:w="149"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746"/>
        <w:gridCol w:w="9458"/>
      </w:tblGrid>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79:</w:t>
            </w:r>
          </w:p>
        </w:tc>
        <w:tc>
          <w:tcPr>
            <w:tcW w:w="9458" w:type="dxa"/>
          </w:tcPr>
          <w:p w:rsidR="0092635B" w:rsidRDefault="00000000">
            <w:pPr>
              <w:pStyle w:val="TableParagraph"/>
              <w:spacing w:line="146" w:lineRule="exact"/>
              <w:ind w:left="40"/>
              <w:rPr>
                <w:sz w:val="14"/>
              </w:rPr>
            </w:pPr>
            <w:r>
              <w:rPr>
                <w:spacing w:val="-2"/>
                <w:w w:val="95"/>
                <w:sz w:val="14"/>
              </w:rPr>
              <w:t>Cinc.</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80:</w:t>
            </w:r>
          </w:p>
        </w:tc>
        <w:tc>
          <w:tcPr>
            <w:tcW w:w="9458" w:type="dxa"/>
          </w:tcPr>
          <w:p w:rsidR="0092635B" w:rsidRDefault="00000000">
            <w:pPr>
              <w:pStyle w:val="TableParagraph"/>
              <w:spacing w:line="146" w:lineRule="exact"/>
              <w:ind w:left="40"/>
              <w:rPr>
                <w:sz w:val="14"/>
              </w:rPr>
            </w:pPr>
            <w:r>
              <w:rPr>
                <w:spacing w:val="-2"/>
                <w:w w:val="95"/>
                <w:sz w:val="14"/>
              </w:rPr>
              <w:t>Estaño.</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81:</w:t>
            </w:r>
          </w:p>
        </w:tc>
        <w:tc>
          <w:tcPr>
            <w:tcW w:w="9458" w:type="dxa"/>
          </w:tcPr>
          <w:p w:rsidR="0092635B" w:rsidRDefault="00000000">
            <w:pPr>
              <w:pStyle w:val="TableParagraph"/>
              <w:spacing w:line="146" w:lineRule="exact"/>
              <w:ind w:left="40"/>
              <w:rPr>
                <w:sz w:val="14"/>
              </w:rPr>
            </w:pPr>
            <w:r>
              <w:rPr>
                <w:w w:val="85"/>
                <w:sz w:val="14"/>
              </w:rPr>
              <w:t>Otros</w:t>
            </w:r>
            <w:r>
              <w:rPr>
                <w:spacing w:val="3"/>
                <w:sz w:val="14"/>
              </w:rPr>
              <w:t xml:space="preserve"> </w:t>
            </w:r>
            <w:r>
              <w:rPr>
                <w:w w:val="85"/>
                <w:sz w:val="14"/>
              </w:rPr>
              <w:t>metales</w:t>
            </w:r>
            <w:r>
              <w:rPr>
                <w:spacing w:val="3"/>
                <w:sz w:val="14"/>
              </w:rPr>
              <w:t xml:space="preserve"> </w:t>
            </w:r>
            <w:r>
              <w:rPr>
                <w:spacing w:val="-2"/>
                <w:w w:val="85"/>
                <w:sz w:val="14"/>
              </w:rPr>
              <w:t>comunes.</w:t>
            </w:r>
          </w:p>
        </w:tc>
      </w:tr>
      <w:tr w:rsidR="0092635B">
        <w:trPr>
          <w:trHeight w:val="667"/>
        </w:trPr>
        <w:tc>
          <w:tcPr>
            <w:tcW w:w="746" w:type="dxa"/>
          </w:tcPr>
          <w:p w:rsidR="0092635B" w:rsidRDefault="0092635B">
            <w:pPr>
              <w:pStyle w:val="TableParagraph"/>
              <w:spacing w:before="90"/>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82:</w:t>
            </w:r>
          </w:p>
        </w:tc>
        <w:tc>
          <w:tcPr>
            <w:tcW w:w="9458" w:type="dxa"/>
          </w:tcPr>
          <w:p w:rsidR="0092635B" w:rsidRDefault="00000000">
            <w:pPr>
              <w:pStyle w:val="TableParagraph"/>
              <w:spacing w:line="249" w:lineRule="auto"/>
              <w:ind w:left="40" w:right="5250"/>
              <w:rPr>
                <w:sz w:val="14"/>
              </w:rPr>
            </w:pPr>
            <w:r>
              <w:rPr>
                <w:w w:val="85"/>
                <w:sz w:val="14"/>
              </w:rPr>
              <w:t>Herramientas, artículos de cuchillería y cubiertos de mesa, de metal común..</w:t>
            </w:r>
            <w:r>
              <w:rPr>
                <w:spacing w:val="40"/>
                <w:sz w:val="14"/>
              </w:rPr>
              <w:t xml:space="preserve"> </w:t>
            </w:r>
            <w:r>
              <w:rPr>
                <w:spacing w:val="-2"/>
                <w:w w:val="95"/>
                <w:sz w:val="14"/>
              </w:rPr>
              <w:t>excepto:</w:t>
            </w:r>
          </w:p>
          <w:p w:rsidR="0092635B" w:rsidRDefault="00000000">
            <w:pPr>
              <w:pStyle w:val="TableParagraph"/>
              <w:ind w:left="40"/>
              <w:rPr>
                <w:sz w:val="14"/>
              </w:rPr>
            </w:pPr>
            <w:r>
              <w:rPr>
                <w:w w:val="85"/>
                <w:sz w:val="14"/>
              </w:rPr>
              <w:t>ex</w:t>
            </w:r>
            <w:r>
              <w:rPr>
                <w:spacing w:val="-1"/>
                <w:sz w:val="14"/>
              </w:rPr>
              <w:t xml:space="preserve"> </w:t>
            </w:r>
            <w:r>
              <w:rPr>
                <w:w w:val="85"/>
                <w:sz w:val="14"/>
              </w:rPr>
              <w:t>ex</w:t>
            </w:r>
            <w:r>
              <w:rPr>
                <w:sz w:val="14"/>
              </w:rPr>
              <w:t xml:space="preserve"> </w:t>
            </w:r>
            <w:r>
              <w:rPr>
                <w:w w:val="85"/>
                <w:sz w:val="14"/>
              </w:rPr>
              <w:t>82.05:</w:t>
            </w:r>
            <w:r>
              <w:rPr>
                <w:spacing w:val="-1"/>
                <w:sz w:val="14"/>
              </w:rPr>
              <w:t xml:space="preserve"> </w:t>
            </w:r>
            <w:r>
              <w:rPr>
                <w:spacing w:val="-2"/>
                <w:w w:val="85"/>
                <w:sz w:val="14"/>
              </w:rPr>
              <w:t>herramientas.</w:t>
            </w:r>
          </w:p>
          <w:p w:rsidR="0092635B" w:rsidRDefault="00000000">
            <w:pPr>
              <w:pStyle w:val="TableParagraph"/>
              <w:spacing w:before="7" w:line="145" w:lineRule="exact"/>
              <w:ind w:left="40"/>
              <w:rPr>
                <w:sz w:val="14"/>
              </w:rPr>
            </w:pPr>
            <w:r>
              <w:rPr>
                <w:w w:val="85"/>
                <w:sz w:val="14"/>
              </w:rPr>
              <w:t>ex</w:t>
            </w:r>
            <w:r>
              <w:rPr>
                <w:spacing w:val="-1"/>
                <w:sz w:val="14"/>
              </w:rPr>
              <w:t xml:space="preserve"> </w:t>
            </w:r>
            <w:r>
              <w:rPr>
                <w:w w:val="85"/>
                <w:sz w:val="14"/>
              </w:rPr>
              <w:t>ex</w:t>
            </w:r>
            <w:r>
              <w:rPr>
                <w:sz w:val="14"/>
              </w:rPr>
              <w:t xml:space="preserve"> </w:t>
            </w:r>
            <w:r>
              <w:rPr>
                <w:w w:val="85"/>
                <w:sz w:val="14"/>
              </w:rPr>
              <w:t>82.07:</w:t>
            </w:r>
            <w:r>
              <w:rPr>
                <w:sz w:val="14"/>
              </w:rPr>
              <w:t xml:space="preserve"> </w:t>
            </w:r>
            <w:r>
              <w:rPr>
                <w:w w:val="85"/>
                <w:sz w:val="14"/>
              </w:rPr>
              <w:t>piezas</w:t>
            </w:r>
            <w:r>
              <w:rPr>
                <w:sz w:val="14"/>
              </w:rPr>
              <w:t xml:space="preserve"> </w:t>
            </w:r>
            <w:r>
              <w:rPr>
                <w:w w:val="85"/>
                <w:sz w:val="14"/>
              </w:rPr>
              <w:t>de</w:t>
            </w:r>
            <w:r>
              <w:rPr>
                <w:spacing w:val="-1"/>
                <w:sz w:val="14"/>
              </w:rPr>
              <w:t xml:space="preserve"> </w:t>
            </w:r>
            <w:r>
              <w:rPr>
                <w:spacing w:val="-2"/>
                <w:w w:val="85"/>
                <w:sz w:val="14"/>
              </w:rPr>
              <w:t>herramientas.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83:</w:t>
            </w:r>
          </w:p>
        </w:tc>
        <w:tc>
          <w:tcPr>
            <w:tcW w:w="9458" w:type="dxa"/>
          </w:tcPr>
          <w:p w:rsidR="0092635B" w:rsidRDefault="00000000">
            <w:pPr>
              <w:pStyle w:val="TableParagraph"/>
              <w:spacing w:line="146" w:lineRule="exact"/>
              <w:ind w:left="40"/>
              <w:rPr>
                <w:sz w:val="14"/>
              </w:rPr>
            </w:pPr>
            <w:r>
              <w:rPr>
                <w:w w:val="85"/>
                <w:sz w:val="14"/>
              </w:rPr>
              <w:t>Manufacturas</w:t>
            </w:r>
            <w:r>
              <w:rPr>
                <w:spacing w:val="3"/>
                <w:sz w:val="14"/>
              </w:rPr>
              <w:t xml:space="preserve"> </w:t>
            </w:r>
            <w:r>
              <w:rPr>
                <w:w w:val="85"/>
                <w:sz w:val="14"/>
              </w:rPr>
              <w:t>diversas</w:t>
            </w:r>
            <w:r>
              <w:rPr>
                <w:spacing w:val="3"/>
                <w:sz w:val="14"/>
              </w:rPr>
              <w:t xml:space="preserve"> </w:t>
            </w:r>
            <w:r>
              <w:rPr>
                <w:w w:val="85"/>
                <w:sz w:val="14"/>
              </w:rPr>
              <w:t>de</w:t>
            </w:r>
            <w:r>
              <w:rPr>
                <w:spacing w:val="3"/>
                <w:sz w:val="14"/>
              </w:rPr>
              <w:t xml:space="preserve"> </w:t>
            </w:r>
            <w:r>
              <w:rPr>
                <w:w w:val="85"/>
                <w:sz w:val="14"/>
              </w:rPr>
              <w:t>metal</w:t>
            </w:r>
            <w:r>
              <w:rPr>
                <w:spacing w:val="3"/>
                <w:sz w:val="14"/>
              </w:rPr>
              <w:t xml:space="preserve"> </w:t>
            </w:r>
            <w:r>
              <w:rPr>
                <w:spacing w:val="-2"/>
                <w:w w:val="85"/>
                <w:sz w:val="14"/>
              </w:rPr>
              <w:t>común.</w:t>
            </w:r>
          </w:p>
        </w:tc>
      </w:tr>
      <w:tr w:rsidR="0092635B">
        <w:trPr>
          <w:trHeight w:val="1339"/>
        </w:trPr>
        <w:tc>
          <w:tcPr>
            <w:tcW w:w="746" w:type="dxa"/>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104"/>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84:</w:t>
            </w:r>
          </w:p>
        </w:tc>
        <w:tc>
          <w:tcPr>
            <w:tcW w:w="9458" w:type="dxa"/>
          </w:tcPr>
          <w:p w:rsidR="0092635B" w:rsidRDefault="00000000">
            <w:pPr>
              <w:pStyle w:val="TableParagraph"/>
              <w:spacing w:line="249" w:lineRule="auto"/>
              <w:ind w:left="40" w:right="6070"/>
              <w:rPr>
                <w:sz w:val="14"/>
              </w:rPr>
            </w:pPr>
            <w:r>
              <w:rPr>
                <w:w w:val="85"/>
                <w:sz w:val="14"/>
              </w:rPr>
              <w:t>Calderas, máquinas, aparatos y artefactos mecánicos.</w:t>
            </w:r>
            <w:r>
              <w:rPr>
                <w:spacing w:val="40"/>
                <w:sz w:val="14"/>
              </w:rPr>
              <w:t xml:space="preserve"> </w:t>
            </w:r>
            <w:r>
              <w:rPr>
                <w:spacing w:val="-2"/>
                <w:w w:val="95"/>
                <w:sz w:val="14"/>
              </w:rPr>
              <w:t>excepto:</w:t>
            </w:r>
          </w:p>
          <w:p w:rsidR="0092635B" w:rsidRDefault="00000000">
            <w:pPr>
              <w:pStyle w:val="TableParagraph"/>
              <w:ind w:left="40"/>
              <w:rPr>
                <w:sz w:val="14"/>
              </w:rPr>
            </w:pPr>
            <w:r>
              <w:rPr>
                <w:w w:val="85"/>
                <w:sz w:val="14"/>
              </w:rPr>
              <w:t>ex</w:t>
            </w:r>
            <w:r>
              <w:rPr>
                <w:spacing w:val="-1"/>
                <w:sz w:val="14"/>
              </w:rPr>
              <w:t xml:space="preserve"> </w:t>
            </w:r>
            <w:r>
              <w:rPr>
                <w:w w:val="85"/>
                <w:sz w:val="14"/>
              </w:rPr>
              <w:t>ex</w:t>
            </w:r>
            <w:r>
              <w:rPr>
                <w:sz w:val="14"/>
              </w:rPr>
              <w:t xml:space="preserve"> </w:t>
            </w:r>
            <w:r>
              <w:rPr>
                <w:w w:val="85"/>
                <w:sz w:val="14"/>
              </w:rPr>
              <w:t>84.06:</w:t>
            </w:r>
            <w:r>
              <w:rPr>
                <w:spacing w:val="-1"/>
                <w:sz w:val="14"/>
              </w:rPr>
              <w:t xml:space="preserve"> </w:t>
            </w:r>
            <w:r>
              <w:rPr>
                <w:spacing w:val="-2"/>
                <w:w w:val="85"/>
                <w:sz w:val="14"/>
              </w:rPr>
              <w:t>motores.</w:t>
            </w:r>
          </w:p>
          <w:p w:rsidR="0092635B" w:rsidRDefault="00000000">
            <w:pPr>
              <w:pStyle w:val="TableParagraph"/>
              <w:spacing w:before="7" w:line="249" w:lineRule="auto"/>
              <w:ind w:left="40" w:right="7350"/>
              <w:rPr>
                <w:sz w:val="14"/>
              </w:rPr>
            </w:pPr>
            <w:r>
              <w:rPr>
                <w:spacing w:val="-2"/>
                <w:w w:val="90"/>
                <w:sz w:val="14"/>
              </w:rPr>
              <w:t>ex</w:t>
            </w:r>
            <w:r>
              <w:rPr>
                <w:spacing w:val="-4"/>
                <w:w w:val="90"/>
                <w:sz w:val="14"/>
              </w:rPr>
              <w:t xml:space="preserve"> </w:t>
            </w:r>
            <w:r>
              <w:rPr>
                <w:spacing w:val="-2"/>
                <w:w w:val="90"/>
                <w:sz w:val="14"/>
              </w:rPr>
              <w:t>ex</w:t>
            </w:r>
            <w:r>
              <w:rPr>
                <w:spacing w:val="-4"/>
                <w:w w:val="90"/>
                <w:sz w:val="14"/>
              </w:rPr>
              <w:t xml:space="preserve"> </w:t>
            </w:r>
            <w:r>
              <w:rPr>
                <w:spacing w:val="-2"/>
                <w:w w:val="90"/>
                <w:sz w:val="14"/>
              </w:rPr>
              <w:t>84.08:</w:t>
            </w:r>
            <w:r>
              <w:rPr>
                <w:spacing w:val="-4"/>
                <w:w w:val="90"/>
                <w:sz w:val="14"/>
              </w:rPr>
              <w:t xml:space="preserve"> </w:t>
            </w:r>
            <w:r>
              <w:rPr>
                <w:spacing w:val="-2"/>
                <w:w w:val="90"/>
                <w:sz w:val="14"/>
              </w:rPr>
              <w:t>los</w:t>
            </w:r>
            <w:r>
              <w:rPr>
                <w:spacing w:val="-4"/>
                <w:w w:val="90"/>
                <w:sz w:val="14"/>
              </w:rPr>
              <w:t xml:space="preserve"> </w:t>
            </w:r>
            <w:r>
              <w:rPr>
                <w:spacing w:val="-2"/>
                <w:w w:val="90"/>
                <w:sz w:val="14"/>
              </w:rPr>
              <w:t>demás</w:t>
            </w:r>
            <w:r>
              <w:rPr>
                <w:spacing w:val="-4"/>
                <w:w w:val="90"/>
                <w:sz w:val="14"/>
              </w:rPr>
              <w:t xml:space="preserve"> </w:t>
            </w:r>
            <w:r>
              <w:rPr>
                <w:spacing w:val="-2"/>
                <w:w w:val="90"/>
                <w:sz w:val="14"/>
              </w:rPr>
              <w:t>propulsores.</w:t>
            </w:r>
            <w:r>
              <w:rPr>
                <w:spacing w:val="40"/>
                <w:sz w:val="14"/>
              </w:rPr>
              <w:t xml:space="preserve"> </w:t>
            </w:r>
            <w:r>
              <w:rPr>
                <w:w w:val="95"/>
                <w:sz w:val="14"/>
              </w:rPr>
              <w:t>ex ex 84.45: máquinas.</w:t>
            </w:r>
          </w:p>
          <w:p w:rsidR="0092635B" w:rsidRDefault="00000000">
            <w:pPr>
              <w:pStyle w:val="TableParagraph"/>
              <w:spacing w:before="1" w:line="249" w:lineRule="auto"/>
              <w:ind w:left="40" w:right="5649"/>
              <w:rPr>
                <w:sz w:val="14"/>
              </w:rPr>
            </w:pPr>
            <w:r>
              <w:rPr>
                <w:w w:val="85"/>
                <w:sz w:val="14"/>
              </w:rPr>
              <w:t>ex ex 84.53: máquinas automáticas de tratamiento de la información.</w:t>
            </w:r>
            <w:r>
              <w:rPr>
                <w:spacing w:val="40"/>
                <w:sz w:val="14"/>
              </w:rPr>
              <w:t xml:space="preserve"> </w:t>
            </w:r>
            <w:r>
              <w:rPr>
                <w:w w:val="95"/>
                <w:sz w:val="14"/>
              </w:rPr>
              <w:t>ex</w:t>
            </w:r>
            <w:r>
              <w:rPr>
                <w:spacing w:val="-7"/>
                <w:w w:val="95"/>
                <w:sz w:val="14"/>
              </w:rPr>
              <w:t xml:space="preserve"> </w:t>
            </w:r>
            <w:r>
              <w:rPr>
                <w:w w:val="95"/>
                <w:sz w:val="14"/>
              </w:rPr>
              <w:t>ex</w:t>
            </w:r>
            <w:r>
              <w:rPr>
                <w:spacing w:val="-7"/>
                <w:w w:val="95"/>
                <w:sz w:val="14"/>
              </w:rPr>
              <w:t xml:space="preserve"> </w:t>
            </w:r>
            <w:r>
              <w:rPr>
                <w:w w:val="95"/>
                <w:sz w:val="14"/>
              </w:rPr>
              <w:t>84.55:</w:t>
            </w:r>
            <w:r>
              <w:rPr>
                <w:spacing w:val="-7"/>
                <w:w w:val="95"/>
                <w:sz w:val="14"/>
              </w:rPr>
              <w:t xml:space="preserve"> </w:t>
            </w:r>
            <w:r>
              <w:rPr>
                <w:w w:val="95"/>
                <w:sz w:val="14"/>
              </w:rPr>
              <w:t>piezas</w:t>
            </w:r>
            <w:r>
              <w:rPr>
                <w:spacing w:val="-7"/>
                <w:w w:val="95"/>
                <w:sz w:val="14"/>
              </w:rPr>
              <w:t xml:space="preserve"> </w:t>
            </w:r>
            <w:r>
              <w:rPr>
                <w:w w:val="95"/>
                <w:sz w:val="14"/>
              </w:rPr>
              <w:t>del</w:t>
            </w:r>
            <w:r>
              <w:rPr>
                <w:spacing w:val="-7"/>
                <w:w w:val="95"/>
                <w:sz w:val="14"/>
              </w:rPr>
              <w:t xml:space="preserve"> </w:t>
            </w:r>
            <w:r>
              <w:rPr>
                <w:w w:val="95"/>
                <w:sz w:val="14"/>
              </w:rPr>
              <w:t>n.º</w:t>
            </w:r>
            <w:r>
              <w:rPr>
                <w:spacing w:val="-7"/>
                <w:w w:val="95"/>
                <w:sz w:val="14"/>
              </w:rPr>
              <w:t xml:space="preserve"> </w:t>
            </w:r>
            <w:r>
              <w:rPr>
                <w:w w:val="95"/>
                <w:sz w:val="14"/>
              </w:rPr>
              <w:t>84.53.</w:t>
            </w:r>
          </w:p>
          <w:p w:rsidR="0092635B" w:rsidRDefault="00000000">
            <w:pPr>
              <w:pStyle w:val="TableParagraph"/>
              <w:spacing w:before="1" w:line="145" w:lineRule="exact"/>
              <w:ind w:left="40"/>
              <w:rPr>
                <w:sz w:val="14"/>
              </w:rPr>
            </w:pPr>
            <w:r>
              <w:rPr>
                <w:w w:val="85"/>
                <w:sz w:val="14"/>
              </w:rPr>
              <w:t>ex</w:t>
            </w:r>
            <w:r>
              <w:rPr>
                <w:spacing w:val="1"/>
                <w:sz w:val="14"/>
              </w:rPr>
              <w:t xml:space="preserve"> </w:t>
            </w:r>
            <w:r>
              <w:rPr>
                <w:w w:val="85"/>
                <w:sz w:val="14"/>
              </w:rPr>
              <w:t>ex</w:t>
            </w:r>
            <w:r>
              <w:rPr>
                <w:spacing w:val="1"/>
                <w:sz w:val="14"/>
              </w:rPr>
              <w:t xml:space="preserve"> </w:t>
            </w:r>
            <w:r>
              <w:rPr>
                <w:w w:val="85"/>
                <w:sz w:val="14"/>
              </w:rPr>
              <w:t>84.59:</w:t>
            </w:r>
            <w:r>
              <w:rPr>
                <w:spacing w:val="2"/>
                <w:sz w:val="14"/>
              </w:rPr>
              <w:t xml:space="preserve"> </w:t>
            </w:r>
            <w:r>
              <w:rPr>
                <w:w w:val="85"/>
                <w:sz w:val="14"/>
              </w:rPr>
              <w:t>reactores</w:t>
            </w:r>
            <w:r>
              <w:rPr>
                <w:spacing w:val="1"/>
                <w:sz w:val="14"/>
              </w:rPr>
              <w:t xml:space="preserve"> </w:t>
            </w:r>
            <w:r>
              <w:rPr>
                <w:spacing w:val="-2"/>
                <w:w w:val="85"/>
                <w:sz w:val="14"/>
              </w:rPr>
              <w:t>nucleares.</w:t>
            </w:r>
          </w:p>
        </w:tc>
      </w:tr>
      <w:tr w:rsidR="0092635B">
        <w:trPr>
          <w:trHeight w:val="667"/>
        </w:trPr>
        <w:tc>
          <w:tcPr>
            <w:tcW w:w="746" w:type="dxa"/>
          </w:tcPr>
          <w:p w:rsidR="0092635B" w:rsidRDefault="0092635B">
            <w:pPr>
              <w:pStyle w:val="TableParagraph"/>
              <w:spacing w:before="90"/>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85:</w:t>
            </w:r>
          </w:p>
        </w:tc>
        <w:tc>
          <w:tcPr>
            <w:tcW w:w="9458" w:type="dxa"/>
          </w:tcPr>
          <w:p w:rsidR="0092635B" w:rsidRDefault="00000000">
            <w:pPr>
              <w:pStyle w:val="TableParagraph"/>
              <w:spacing w:line="249" w:lineRule="auto"/>
              <w:ind w:left="40" w:right="4793"/>
              <w:rPr>
                <w:sz w:val="14"/>
              </w:rPr>
            </w:pPr>
            <w:r>
              <w:rPr>
                <w:w w:val="85"/>
                <w:sz w:val="14"/>
              </w:rPr>
              <w:t>Máquinas y aparatos eléctricos y objetos que sirvan para usos electrotécnicos.</w:t>
            </w:r>
            <w:r>
              <w:rPr>
                <w:spacing w:val="40"/>
                <w:sz w:val="14"/>
              </w:rPr>
              <w:t xml:space="preserve"> </w:t>
            </w:r>
            <w:r>
              <w:rPr>
                <w:spacing w:val="-2"/>
                <w:w w:val="95"/>
                <w:sz w:val="14"/>
              </w:rPr>
              <w:t>excepto:</w:t>
            </w:r>
          </w:p>
          <w:p w:rsidR="0092635B" w:rsidRDefault="00000000">
            <w:pPr>
              <w:pStyle w:val="TableParagraph"/>
              <w:ind w:left="40"/>
              <w:rPr>
                <w:sz w:val="14"/>
              </w:rPr>
            </w:pPr>
            <w:r>
              <w:rPr>
                <w:w w:val="85"/>
                <w:sz w:val="14"/>
              </w:rPr>
              <w:t>ex</w:t>
            </w:r>
            <w:r>
              <w:rPr>
                <w:spacing w:val="-1"/>
                <w:sz w:val="14"/>
              </w:rPr>
              <w:t xml:space="preserve"> </w:t>
            </w:r>
            <w:r>
              <w:rPr>
                <w:w w:val="85"/>
                <w:sz w:val="14"/>
              </w:rPr>
              <w:t>ex</w:t>
            </w:r>
            <w:r>
              <w:rPr>
                <w:sz w:val="14"/>
              </w:rPr>
              <w:t xml:space="preserve"> </w:t>
            </w:r>
            <w:r>
              <w:rPr>
                <w:w w:val="85"/>
                <w:sz w:val="14"/>
              </w:rPr>
              <w:t>85.13:</w:t>
            </w:r>
            <w:r>
              <w:rPr>
                <w:spacing w:val="-1"/>
                <w:sz w:val="14"/>
              </w:rPr>
              <w:t xml:space="preserve"> </w:t>
            </w:r>
            <w:r>
              <w:rPr>
                <w:spacing w:val="-2"/>
                <w:w w:val="85"/>
                <w:sz w:val="14"/>
              </w:rPr>
              <w:t>telecomunicaciones.</w:t>
            </w:r>
          </w:p>
          <w:p w:rsidR="0092635B" w:rsidRDefault="00000000">
            <w:pPr>
              <w:pStyle w:val="TableParagraph"/>
              <w:spacing w:before="7" w:line="145" w:lineRule="exact"/>
              <w:ind w:left="40"/>
              <w:rPr>
                <w:sz w:val="14"/>
              </w:rPr>
            </w:pPr>
            <w:r>
              <w:rPr>
                <w:w w:val="85"/>
                <w:sz w:val="14"/>
              </w:rPr>
              <w:t>ex</w:t>
            </w:r>
            <w:r>
              <w:rPr>
                <w:sz w:val="14"/>
              </w:rPr>
              <w:t xml:space="preserve"> </w:t>
            </w:r>
            <w:r>
              <w:rPr>
                <w:w w:val="85"/>
                <w:sz w:val="14"/>
              </w:rPr>
              <w:t>ex</w:t>
            </w:r>
            <w:r>
              <w:rPr>
                <w:sz w:val="14"/>
              </w:rPr>
              <w:t xml:space="preserve"> </w:t>
            </w:r>
            <w:r>
              <w:rPr>
                <w:w w:val="85"/>
                <w:sz w:val="14"/>
              </w:rPr>
              <w:t>85.15:</w:t>
            </w:r>
            <w:r>
              <w:rPr>
                <w:spacing w:val="1"/>
                <w:sz w:val="14"/>
              </w:rPr>
              <w:t xml:space="preserve"> </w:t>
            </w:r>
            <w:r>
              <w:rPr>
                <w:w w:val="85"/>
                <w:sz w:val="14"/>
              </w:rPr>
              <w:t>aparatos</w:t>
            </w:r>
            <w:r>
              <w:rPr>
                <w:sz w:val="14"/>
              </w:rPr>
              <w:t xml:space="preserve"> </w:t>
            </w:r>
            <w:r>
              <w:rPr>
                <w:w w:val="85"/>
                <w:sz w:val="14"/>
              </w:rPr>
              <w:t>de</w:t>
            </w:r>
            <w:r>
              <w:rPr>
                <w:sz w:val="14"/>
              </w:rPr>
              <w:t xml:space="preserve"> </w:t>
            </w:r>
            <w:r>
              <w:rPr>
                <w:spacing w:val="-2"/>
                <w:w w:val="85"/>
                <w:sz w:val="14"/>
              </w:rPr>
              <w:t>transmisión.</w:t>
            </w:r>
          </w:p>
        </w:tc>
      </w:tr>
      <w:tr w:rsidR="0092635B">
        <w:trPr>
          <w:trHeight w:val="1171"/>
        </w:trPr>
        <w:tc>
          <w:tcPr>
            <w:tcW w:w="746" w:type="dxa"/>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20"/>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86:</w:t>
            </w:r>
          </w:p>
        </w:tc>
        <w:tc>
          <w:tcPr>
            <w:tcW w:w="9458" w:type="dxa"/>
          </w:tcPr>
          <w:p w:rsidR="0092635B" w:rsidRDefault="00000000">
            <w:pPr>
              <w:pStyle w:val="TableParagraph"/>
              <w:spacing w:line="249" w:lineRule="auto"/>
              <w:ind w:left="40" w:right="3343"/>
              <w:rPr>
                <w:sz w:val="14"/>
              </w:rPr>
            </w:pPr>
            <w:r>
              <w:rPr>
                <w:w w:val="85"/>
                <w:sz w:val="14"/>
              </w:rPr>
              <w:t>Vehículos y material para vías férreas, aparatos de señalización no eléctricos para vías de comunicación.</w:t>
            </w:r>
            <w:r>
              <w:rPr>
                <w:spacing w:val="40"/>
                <w:sz w:val="14"/>
              </w:rPr>
              <w:t xml:space="preserve"> </w:t>
            </w:r>
            <w:r>
              <w:rPr>
                <w:spacing w:val="-2"/>
                <w:w w:val="95"/>
                <w:sz w:val="14"/>
              </w:rPr>
              <w:t>excepto:.</w:t>
            </w:r>
          </w:p>
          <w:p w:rsidR="0092635B" w:rsidRDefault="00000000">
            <w:pPr>
              <w:pStyle w:val="TableParagraph"/>
              <w:ind w:left="40"/>
              <w:rPr>
                <w:sz w:val="14"/>
              </w:rPr>
            </w:pPr>
            <w:r>
              <w:rPr>
                <w:w w:val="85"/>
                <w:sz w:val="14"/>
              </w:rPr>
              <w:t>ex</w:t>
            </w:r>
            <w:r>
              <w:rPr>
                <w:spacing w:val="2"/>
                <w:sz w:val="14"/>
              </w:rPr>
              <w:t xml:space="preserve"> </w:t>
            </w:r>
            <w:r>
              <w:rPr>
                <w:w w:val="85"/>
                <w:sz w:val="14"/>
              </w:rPr>
              <w:t>ex</w:t>
            </w:r>
            <w:r>
              <w:rPr>
                <w:spacing w:val="2"/>
                <w:sz w:val="14"/>
              </w:rPr>
              <w:t xml:space="preserve"> </w:t>
            </w:r>
            <w:r>
              <w:rPr>
                <w:w w:val="85"/>
                <w:sz w:val="14"/>
              </w:rPr>
              <w:t>86.02:</w:t>
            </w:r>
            <w:r>
              <w:rPr>
                <w:spacing w:val="2"/>
                <w:sz w:val="14"/>
              </w:rPr>
              <w:t xml:space="preserve"> </w:t>
            </w:r>
            <w:r>
              <w:rPr>
                <w:w w:val="85"/>
                <w:sz w:val="14"/>
              </w:rPr>
              <w:t>locomotoras</w:t>
            </w:r>
            <w:r>
              <w:rPr>
                <w:spacing w:val="2"/>
                <w:sz w:val="14"/>
              </w:rPr>
              <w:t xml:space="preserve"> </w:t>
            </w:r>
            <w:r>
              <w:rPr>
                <w:spacing w:val="-2"/>
                <w:w w:val="85"/>
                <w:sz w:val="14"/>
              </w:rPr>
              <w:t>blindadas.</w:t>
            </w:r>
          </w:p>
          <w:p w:rsidR="0092635B" w:rsidRDefault="00000000">
            <w:pPr>
              <w:pStyle w:val="TableParagraph"/>
              <w:spacing w:before="7" w:line="249" w:lineRule="auto"/>
              <w:ind w:left="40" w:right="6806"/>
              <w:rPr>
                <w:sz w:val="14"/>
              </w:rPr>
            </w:pPr>
            <w:r>
              <w:rPr>
                <w:w w:val="85"/>
                <w:sz w:val="14"/>
              </w:rPr>
              <w:t>ex ex 86.03: las demás locomotoras blindadas.</w:t>
            </w:r>
            <w:r>
              <w:rPr>
                <w:spacing w:val="40"/>
                <w:sz w:val="14"/>
              </w:rPr>
              <w:t xml:space="preserve"> </w:t>
            </w:r>
            <w:r>
              <w:rPr>
                <w:w w:val="95"/>
                <w:sz w:val="14"/>
              </w:rPr>
              <w:t>ex</w:t>
            </w:r>
            <w:r>
              <w:rPr>
                <w:spacing w:val="-8"/>
                <w:w w:val="95"/>
                <w:sz w:val="14"/>
              </w:rPr>
              <w:t xml:space="preserve"> </w:t>
            </w:r>
            <w:r>
              <w:rPr>
                <w:w w:val="95"/>
                <w:sz w:val="14"/>
              </w:rPr>
              <w:t>ex</w:t>
            </w:r>
            <w:r>
              <w:rPr>
                <w:spacing w:val="-8"/>
                <w:w w:val="95"/>
                <w:sz w:val="14"/>
              </w:rPr>
              <w:t xml:space="preserve"> </w:t>
            </w:r>
            <w:r>
              <w:rPr>
                <w:w w:val="95"/>
                <w:sz w:val="14"/>
              </w:rPr>
              <w:t>86.05:</w:t>
            </w:r>
            <w:r>
              <w:rPr>
                <w:spacing w:val="-8"/>
                <w:w w:val="95"/>
                <w:sz w:val="14"/>
              </w:rPr>
              <w:t xml:space="preserve"> </w:t>
            </w:r>
            <w:r>
              <w:rPr>
                <w:w w:val="95"/>
                <w:sz w:val="14"/>
              </w:rPr>
              <w:t>vagones</w:t>
            </w:r>
            <w:r>
              <w:rPr>
                <w:spacing w:val="-7"/>
                <w:w w:val="95"/>
                <w:sz w:val="14"/>
              </w:rPr>
              <w:t xml:space="preserve"> </w:t>
            </w:r>
            <w:r>
              <w:rPr>
                <w:w w:val="95"/>
                <w:sz w:val="14"/>
              </w:rPr>
              <w:t>blindados.</w:t>
            </w:r>
          </w:p>
          <w:p w:rsidR="0092635B" w:rsidRDefault="00000000">
            <w:pPr>
              <w:pStyle w:val="TableParagraph"/>
              <w:spacing w:before="1"/>
              <w:ind w:left="40"/>
              <w:rPr>
                <w:sz w:val="14"/>
              </w:rPr>
            </w:pPr>
            <w:r>
              <w:rPr>
                <w:w w:val="85"/>
                <w:sz w:val="14"/>
              </w:rPr>
              <w:t>ex</w:t>
            </w:r>
            <w:r>
              <w:rPr>
                <w:spacing w:val="1"/>
                <w:sz w:val="14"/>
              </w:rPr>
              <w:t xml:space="preserve"> </w:t>
            </w:r>
            <w:r>
              <w:rPr>
                <w:w w:val="85"/>
                <w:sz w:val="14"/>
              </w:rPr>
              <w:t>ex</w:t>
            </w:r>
            <w:r>
              <w:rPr>
                <w:spacing w:val="1"/>
                <w:sz w:val="14"/>
              </w:rPr>
              <w:t xml:space="preserve"> </w:t>
            </w:r>
            <w:r>
              <w:rPr>
                <w:w w:val="85"/>
                <w:sz w:val="14"/>
              </w:rPr>
              <w:t>86.06:</w:t>
            </w:r>
            <w:r>
              <w:rPr>
                <w:spacing w:val="1"/>
                <w:sz w:val="14"/>
              </w:rPr>
              <w:t xml:space="preserve"> </w:t>
            </w:r>
            <w:r>
              <w:rPr>
                <w:w w:val="85"/>
                <w:sz w:val="14"/>
              </w:rPr>
              <w:t>vagones</w:t>
            </w:r>
            <w:r>
              <w:rPr>
                <w:spacing w:val="1"/>
                <w:sz w:val="14"/>
              </w:rPr>
              <w:t xml:space="preserve"> </w:t>
            </w:r>
            <w:r>
              <w:rPr>
                <w:spacing w:val="-2"/>
                <w:w w:val="85"/>
                <w:sz w:val="14"/>
              </w:rPr>
              <w:t>taller.</w:t>
            </w:r>
          </w:p>
          <w:p w:rsidR="0092635B" w:rsidRDefault="00000000">
            <w:pPr>
              <w:pStyle w:val="TableParagraph"/>
              <w:spacing w:before="7" w:line="145" w:lineRule="exact"/>
              <w:ind w:left="40"/>
              <w:rPr>
                <w:sz w:val="14"/>
              </w:rPr>
            </w:pPr>
            <w:r>
              <w:rPr>
                <w:w w:val="85"/>
                <w:sz w:val="14"/>
              </w:rPr>
              <w:t>ex</w:t>
            </w:r>
            <w:r>
              <w:rPr>
                <w:spacing w:val="-1"/>
                <w:sz w:val="14"/>
              </w:rPr>
              <w:t xml:space="preserve"> </w:t>
            </w:r>
            <w:r>
              <w:rPr>
                <w:w w:val="85"/>
                <w:sz w:val="14"/>
              </w:rPr>
              <w:t>ex</w:t>
            </w:r>
            <w:r>
              <w:rPr>
                <w:sz w:val="14"/>
              </w:rPr>
              <w:t xml:space="preserve"> </w:t>
            </w:r>
            <w:r>
              <w:rPr>
                <w:w w:val="85"/>
                <w:sz w:val="14"/>
              </w:rPr>
              <w:t>86.07:</w:t>
            </w:r>
            <w:r>
              <w:rPr>
                <w:spacing w:val="-1"/>
                <w:sz w:val="14"/>
              </w:rPr>
              <w:t xml:space="preserve"> </w:t>
            </w:r>
            <w:r>
              <w:rPr>
                <w:spacing w:val="-2"/>
                <w:w w:val="85"/>
                <w:sz w:val="14"/>
              </w:rPr>
              <w:t>vagones.</w:t>
            </w:r>
          </w:p>
        </w:tc>
      </w:tr>
      <w:tr w:rsidR="0092635B">
        <w:trPr>
          <w:trHeight w:val="1339"/>
        </w:trPr>
        <w:tc>
          <w:tcPr>
            <w:tcW w:w="746" w:type="dxa"/>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104"/>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87:</w:t>
            </w:r>
          </w:p>
        </w:tc>
        <w:tc>
          <w:tcPr>
            <w:tcW w:w="9458" w:type="dxa"/>
          </w:tcPr>
          <w:p w:rsidR="0092635B" w:rsidRDefault="00000000">
            <w:pPr>
              <w:pStyle w:val="TableParagraph"/>
              <w:spacing w:line="249" w:lineRule="auto"/>
              <w:ind w:left="40" w:right="5250"/>
              <w:rPr>
                <w:sz w:val="14"/>
              </w:rPr>
            </w:pPr>
            <w:r>
              <w:rPr>
                <w:w w:val="85"/>
                <w:sz w:val="14"/>
              </w:rPr>
              <w:t>Vehículos automóviles, tractores, velocípedos y demás vehículos terrestres.</w:t>
            </w:r>
            <w:r>
              <w:rPr>
                <w:spacing w:val="40"/>
                <w:sz w:val="14"/>
              </w:rPr>
              <w:t xml:space="preserve"> </w:t>
            </w:r>
            <w:r>
              <w:rPr>
                <w:spacing w:val="-2"/>
                <w:w w:val="95"/>
                <w:sz w:val="14"/>
              </w:rPr>
              <w:t>excepto:.</w:t>
            </w:r>
          </w:p>
          <w:p w:rsidR="0092635B" w:rsidRDefault="00000000">
            <w:pPr>
              <w:pStyle w:val="TableParagraph"/>
              <w:spacing w:line="249" w:lineRule="auto"/>
              <w:ind w:left="40" w:right="5920"/>
              <w:rPr>
                <w:sz w:val="14"/>
              </w:rPr>
            </w:pPr>
            <w:r>
              <w:rPr>
                <w:w w:val="85"/>
                <w:sz w:val="14"/>
              </w:rPr>
              <w:t>ex ex 87.08: tanques y demás vehículos automóviles blindados.</w:t>
            </w:r>
            <w:r>
              <w:rPr>
                <w:spacing w:val="40"/>
                <w:sz w:val="14"/>
              </w:rPr>
              <w:t xml:space="preserve"> </w:t>
            </w:r>
            <w:r>
              <w:rPr>
                <w:w w:val="95"/>
                <w:sz w:val="14"/>
              </w:rPr>
              <w:t>ex ex 87.01: tractores.</w:t>
            </w:r>
          </w:p>
          <w:p w:rsidR="0092635B" w:rsidRDefault="00000000">
            <w:pPr>
              <w:pStyle w:val="TableParagraph"/>
              <w:spacing w:before="1"/>
              <w:ind w:left="40"/>
              <w:rPr>
                <w:sz w:val="14"/>
              </w:rPr>
            </w:pPr>
            <w:r>
              <w:rPr>
                <w:w w:val="85"/>
                <w:sz w:val="14"/>
              </w:rPr>
              <w:t>ex</w:t>
            </w:r>
            <w:r>
              <w:rPr>
                <w:spacing w:val="1"/>
                <w:sz w:val="14"/>
              </w:rPr>
              <w:t xml:space="preserve"> </w:t>
            </w:r>
            <w:r>
              <w:rPr>
                <w:w w:val="85"/>
                <w:sz w:val="14"/>
              </w:rPr>
              <w:t>ex</w:t>
            </w:r>
            <w:r>
              <w:rPr>
                <w:spacing w:val="1"/>
                <w:sz w:val="14"/>
              </w:rPr>
              <w:t xml:space="preserve"> </w:t>
            </w:r>
            <w:r>
              <w:rPr>
                <w:w w:val="85"/>
                <w:sz w:val="14"/>
              </w:rPr>
              <w:t>87.02:</w:t>
            </w:r>
            <w:r>
              <w:rPr>
                <w:spacing w:val="2"/>
                <w:sz w:val="14"/>
              </w:rPr>
              <w:t xml:space="preserve"> </w:t>
            </w:r>
            <w:r>
              <w:rPr>
                <w:w w:val="85"/>
                <w:sz w:val="14"/>
              </w:rPr>
              <w:t>vehículos</w:t>
            </w:r>
            <w:r>
              <w:rPr>
                <w:spacing w:val="1"/>
                <w:sz w:val="14"/>
              </w:rPr>
              <w:t xml:space="preserve"> </w:t>
            </w:r>
            <w:r>
              <w:rPr>
                <w:spacing w:val="-2"/>
                <w:w w:val="85"/>
                <w:sz w:val="14"/>
              </w:rPr>
              <w:t>militares.</w:t>
            </w:r>
          </w:p>
          <w:p w:rsidR="0092635B" w:rsidRDefault="00000000">
            <w:pPr>
              <w:pStyle w:val="TableParagraph"/>
              <w:spacing w:before="7" w:line="249" w:lineRule="auto"/>
              <w:ind w:left="40" w:right="7091"/>
              <w:rPr>
                <w:sz w:val="14"/>
              </w:rPr>
            </w:pPr>
            <w:r>
              <w:rPr>
                <w:w w:val="85"/>
                <w:sz w:val="14"/>
              </w:rPr>
              <w:t>ex ex 87.03: vehículos para reparaciones.</w:t>
            </w:r>
            <w:r>
              <w:rPr>
                <w:spacing w:val="40"/>
                <w:sz w:val="14"/>
              </w:rPr>
              <w:t xml:space="preserve"> </w:t>
            </w:r>
            <w:r>
              <w:rPr>
                <w:w w:val="95"/>
                <w:sz w:val="14"/>
              </w:rPr>
              <w:t>ex</w:t>
            </w:r>
            <w:r>
              <w:rPr>
                <w:spacing w:val="-1"/>
                <w:w w:val="95"/>
                <w:sz w:val="14"/>
              </w:rPr>
              <w:t xml:space="preserve"> </w:t>
            </w:r>
            <w:r>
              <w:rPr>
                <w:w w:val="95"/>
                <w:sz w:val="14"/>
              </w:rPr>
              <w:t>ex</w:t>
            </w:r>
            <w:r>
              <w:rPr>
                <w:spacing w:val="-1"/>
                <w:w w:val="95"/>
                <w:sz w:val="14"/>
              </w:rPr>
              <w:t xml:space="preserve"> </w:t>
            </w:r>
            <w:r>
              <w:rPr>
                <w:w w:val="95"/>
                <w:sz w:val="14"/>
              </w:rPr>
              <w:t>87.09:</w:t>
            </w:r>
            <w:r>
              <w:rPr>
                <w:spacing w:val="-1"/>
                <w:w w:val="95"/>
                <w:sz w:val="14"/>
              </w:rPr>
              <w:t xml:space="preserve"> </w:t>
            </w:r>
            <w:r>
              <w:rPr>
                <w:w w:val="95"/>
                <w:sz w:val="14"/>
              </w:rPr>
              <w:t>motocicletas.</w:t>
            </w:r>
          </w:p>
          <w:p w:rsidR="0092635B" w:rsidRDefault="00000000">
            <w:pPr>
              <w:pStyle w:val="TableParagraph"/>
              <w:spacing w:before="1" w:line="145" w:lineRule="exact"/>
              <w:ind w:left="40"/>
              <w:rPr>
                <w:sz w:val="14"/>
              </w:rPr>
            </w:pPr>
            <w:r>
              <w:rPr>
                <w:w w:val="85"/>
                <w:sz w:val="14"/>
              </w:rPr>
              <w:t>ex</w:t>
            </w:r>
            <w:r>
              <w:rPr>
                <w:spacing w:val="-1"/>
                <w:sz w:val="14"/>
              </w:rPr>
              <w:t xml:space="preserve"> </w:t>
            </w:r>
            <w:r>
              <w:rPr>
                <w:w w:val="85"/>
                <w:sz w:val="14"/>
              </w:rPr>
              <w:t>ex</w:t>
            </w:r>
            <w:r>
              <w:rPr>
                <w:sz w:val="14"/>
              </w:rPr>
              <w:t xml:space="preserve"> </w:t>
            </w:r>
            <w:r>
              <w:rPr>
                <w:w w:val="85"/>
                <w:sz w:val="14"/>
              </w:rPr>
              <w:t>87.14:</w:t>
            </w:r>
            <w:r>
              <w:rPr>
                <w:spacing w:val="-1"/>
                <w:sz w:val="14"/>
              </w:rPr>
              <w:t xml:space="preserve"> </w:t>
            </w:r>
            <w:r>
              <w:rPr>
                <w:spacing w:val="-2"/>
                <w:w w:val="85"/>
                <w:sz w:val="14"/>
              </w:rPr>
              <w:t>remolques.</w:t>
            </w:r>
          </w:p>
        </w:tc>
      </w:tr>
      <w:tr w:rsidR="0092635B">
        <w:trPr>
          <w:trHeight w:val="499"/>
        </w:trPr>
        <w:tc>
          <w:tcPr>
            <w:tcW w:w="746" w:type="dxa"/>
          </w:tcPr>
          <w:p w:rsidR="0092635B" w:rsidRDefault="0092635B">
            <w:pPr>
              <w:pStyle w:val="TableParagraph"/>
              <w:spacing w:before="6"/>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89:</w:t>
            </w:r>
          </w:p>
        </w:tc>
        <w:tc>
          <w:tcPr>
            <w:tcW w:w="9458" w:type="dxa"/>
          </w:tcPr>
          <w:p w:rsidR="0092635B" w:rsidRDefault="00000000">
            <w:pPr>
              <w:pStyle w:val="TableParagraph"/>
              <w:spacing w:line="249" w:lineRule="auto"/>
              <w:ind w:left="40" w:right="7482"/>
              <w:rPr>
                <w:sz w:val="14"/>
              </w:rPr>
            </w:pPr>
            <w:r>
              <w:rPr>
                <w:w w:val="85"/>
                <w:sz w:val="14"/>
              </w:rPr>
              <w:t>Navegación marítima y fluvial.</w:t>
            </w:r>
            <w:r>
              <w:rPr>
                <w:spacing w:val="40"/>
                <w:sz w:val="14"/>
              </w:rPr>
              <w:t xml:space="preserve"> </w:t>
            </w:r>
            <w:r>
              <w:rPr>
                <w:spacing w:val="-2"/>
                <w:w w:val="95"/>
                <w:sz w:val="14"/>
              </w:rPr>
              <w:t>excepto:.</w:t>
            </w:r>
          </w:p>
          <w:p w:rsidR="0092635B" w:rsidRDefault="00000000">
            <w:pPr>
              <w:pStyle w:val="TableParagraph"/>
              <w:spacing w:line="145" w:lineRule="exact"/>
              <w:ind w:left="40"/>
              <w:rPr>
                <w:sz w:val="14"/>
              </w:rPr>
            </w:pPr>
            <w:r>
              <w:rPr>
                <w:w w:val="85"/>
                <w:sz w:val="14"/>
              </w:rPr>
              <w:t>ex</w:t>
            </w:r>
            <w:r>
              <w:rPr>
                <w:sz w:val="14"/>
              </w:rPr>
              <w:t xml:space="preserve"> </w:t>
            </w:r>
            <w:r>
              <w:rPr>
                <w:w w:val="85"/>
                <w:sz w:val="14"/>
              </w:rPr>
              <w:t>ex</w:t>
            </w:r>
            <w:r>
              <w:rPr>
                <w:sz w:val="14"/>
              </w:rPr>
              <w:t xml:space="preserve"> </w:t>
            </w:r>
            <w:r>
              <w:rPr>
                <w:w w:val="85"/>
                <w:sz w:val="14"/>
              </w:rPr>
              <w:t>89.01A:</w:t>
            </w:r>
            <w:r>
              <w:rPr>
                <w:sz w:val="14"/>
              </w:rPr>
              <w:t xml:space="preserve"> </w:t>
            </w:r>
            <w:r>
              <w:rPr>
                <w:w w:val="85"/>
                <w:sz w:val="14"/>
              </w:rPr>
              <w:t>barcos</w:t>
            </w:r>
            <w:r>
              <w:rPr>
                <w:sz w:val="14"/>
              </w:rPr>
              <w:t xml:space="preserve"> </w:t>
            </w:r>
            <w:r>
              <w:rPr>
                <w:w w:val="85"/>
                <w:sz w:val="14"/>
              </w:rPr>
              <w:t>de</w:t>
            </w:r>
            <w:r>
              <w:rPr>
                <w:spacing w:val="1"/>
                <w:sz w:val="14"/>
              </w:rPr>
              <w:t xml:space="preserve"> </w:t>
            </w:r>
            <w:r>
              <w:rPr>
                <w:spacing w:val="-2"/>
                <w:w w:val="85"/>
                <w:sz w:val="14"/>
              </w:rPr>
              <w:t>guerra.</w:t>
            </w:r>
          </w:p>
        </w:tc>
      </w:tr>
      <w:tr w:rsidR="0092635B">
        <w:trPr>
          <w:trHeight w:val="1843"/>
        </w:trPr>
        <w:tc>
          <w:tcPr>
            <w:tcW w:w="746" w:type="dxa"/>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34"/>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90:</w:t>
            </w:r>
          </w:p>
        </w:tc>
        <w:tc>
          <w:tcPr>
            <w:tcW w:w="9458" w:type="dxa"/>
          </w:tcPr>
          <w:p w:rsidR="0092635B" w:rsidRDefault="00000000">
            <w:pPr>
              <w:pStyle w:val="TableParagraph"/>
              <w:spacing w:line="249" w:lineRule="auto"/>
              <w:ind w:left="40" w:right="1473"/>
              <w:rPr>
                <w:sz w:val="14"/>
              </w:rPr>
            </w:pPr>
            <w:r>
              <w:rPr>
                <w:w w:val="85"/>
                <w:sz w:val="14"/>
              </w:rPr>
              <w:t>Instrumentos y aparatos de óptica, fotografía o cinematografía, de medida, control o de precisión; instrumentos y aparatos medicoquirúrgicos.</w:t>
            </w:r>
            <w:r>
              <w:rPr>
                <w:spacing w:val="40"/>
                <w:sz w:val="14"/>
              </w:rPr>
              <w:t xml:space="preserve"> </w:t>
            </w:r>
            <w:r>
              <w:rPr>
                <w:spacing w:val="-2"/>
                <w:w w:val="95"/>
                <w:sz w:val="14"/>
              </w:rPr>
              <w:t>excepto:</w:t>
            </w:r>
          </w:p>
          <w:p w:rsidR="0092635B" w:rsidRDefault="00000000">
            <w:pPr>
              <w:pStyle w:val="TableParagraph"/>
              <w:ind w:left="40"/>
              <w:rPr>
                <w:sz w:val="14"/>
              </w:rPr>
            </w:pPr>
            <w:r>
              <w:rPr>
                <w:w w:val="85"/>
                <w:sz w:val="14"/>
              </w:rPr>
              <w:t>ex</w:t>
            </w:r>
            <w:r>
              <w:rPr>
                <w:spacing w:val="-1"/>
                <w:sz w:val="14"/>
              </w:rPr>
              <w:t xml:space="preserve"> </w:t>
            </w:r>
            <w:r>
              <w:rPr>
                <w:w w:val="85"/>
                <w:sz w:val="14"/>
              </w:rPr>
              <w:t>ex</w:t>
            </w:r>
            <w:r>
              <w:rPr>
                <w:sz w:val="14"/>
              </w:rPr>
              <w:t xml:space="preserve"> </w:t>
            </w:r>
            <w:r>
              <w:rPr>
                <w:w w:val="85"/>
                <w:sz w:val="14"/>
              </w:rPr>
              <w:t>90.05:</w:t>
            </w:r>
            <w:r>
              <w:rPr>
                <w:spacing w:val="-1"/>
                <w:sz w:val="14"/>
              </w:rPr>
              <w:t xml:space="preserve"> </w:t>
            </w:r>
            <w:r>
              <w:rPr>
                <w:spacing w:val="-2"/>
                <w:w w:val="85"/>
                <w:sz w:val="14"/>
              </w:rPr>
              <w:t>binoculares.</w:t>
            </w:r>
          </w:p>
          <w:p w:rsidR="0092635B" w:rsidRDefault="00000000">
            <w:pPr>
              <w:pStyle w:val="TableParagraph"/>
              <w:spacing w:before="7" w:line="249" w:lineRule="auto"/>
              <w:ind w:left="40" w:right="7091"/>
              <w:rPr>
                <w:sz w:val="14"/>
              </w:rPr>
            </w:pPr>
            <w:r>
              <w:rPr>
                <w:w w:val="85"/>
                <w:sz w:val="14"/>
              </w:rPr>
              <w:t>ex ex 90.13: instrumentos diversos, láser.</w:t>
            </w:r>
            <w:r>
              <w:rPr>
                <w:spacing w:val="40"/>
                <w:sz w:val="14"/>
              </w:rPr>
              <w:t xml:space="preserve"> </w:t>
            </w:r>
            <w:r>
              <w:rPr>
                <w:w w:val="95"/>
                <w:sz w:val="14"/>
              </w:rPr>
              <w:t>ex ex 90.14: telémetros.</w:t>
            </w:r>
          </w:p>
          <w:p w:rsidR="0092635B" w:rsidRDefault="00000000">
            <w:pPr>
              <w:pStyle w:val="TableParagraph"/>
              <w:spacing w:before="1" w:line="249" w:lineRule="auto"/>
              <w:ind w:left="40" w:right="6070"/>
              <w:rPr>
                <w:sz w:val="14"/>
              </w:rPr>
            </w:pPr>
            <w:r>
              <w:rPr>
                <w:w w:val="85"/>
                <w:sz w:val="14"/>
              </w:rPr>
              <w:t>ex ex 90.28: instrumentos de medida eléctricos o electrónicos.</w:t>
            </w:r>
            <w:r>
              <w:rPr>
                <w:spacing w:val="40"/>
                <w:sz w:val="14"/>
              </w:rPr>
              <w:t xml:space="preserve"> </w:t>
            </w:r>
            <w:r>
              <w:rPr>
                <w:w w:val="95"/>
                <w:sz w:val="14"/>
              </w:rPr>
              <w:t>ex</w:t>
            </w:r>
            <w:r>
              <w:rPr>
                <w:spacing w:val="-6"/>
                <w:w w:val="95"/>
                <w:sz w:val="14"/>
              </w:rPr>
              <w:t xml:space="preserve"> </w:t>
            </w:r>
            <w:r>
              <w:rPr>
                <w:w w:val="95"/>
                <w:sz w:val="14"/>
              </w:rPr>
              <w:t>ex</w:t>
            </w:r>
            <w:r>
              <w:rPr>
                <w:spacing w:val="-6"/>
                <w:w w:val="95"/>
                <w:sz w:val="14"/>
              </w:rPr>
              <w:t xml:space="preserve"> </w:t>
            </w:r>
            <w:r>
              <w:rPr>
                <w:w w:val="95"/>
                <w:sz w:val="14"/>
              </w:rPr>
              <w:t>90.11:</w:t>
            </w:r>
            <w:r>
              <w:rPr>
                <w:spacing w:val="-6"/>
                <w:w w:val="95"/>
                <w:sz w:val="14"/>
              </w:rPr>
              <w:t xml:space="preserve"> </w:t>
            </w:r>
            <w:r>
              <w:rPr>
                <w:w w:val="95"/>
                <w:sz w:val="14"/>
              </w:rPr>
              <w:t>microscopios.</w:t>
            </w:r>
          </w:p>
          <w:p w:rsidR="0092635B" w:rsidRDefault="00000000">
            <w:pPr>
              <w:pStyle w:val="TableParagraph"/>
              <w:spacing w:before="1"/>
              <w:ind w:left="40"/>
              <w:rPr>
                <w:sz w:val="14"/>
              </w:rPr>
            </w:pPr>
            <w:r>
              <w:rPr>
                <w:w w:val="85"/>
                <w:sz w:val="14"/>
              </w:rPr>
              <w:t>ex</w:t>
            </w:r>
            <w:r>
              <w:rPr>
                <w:spacing w:val="2"/>
                <w:sz w:val="14"/>
              </w:rPr>
              <w:t xml:space="preserve"> </w:t>
            </w:r>
            <w:r>
              <w:rPr>
                <w:w w:val="85"/>
                <w:sz w:val="14"/>
              </w:rPr>
              <w:t>ex</w:t>
            </w:r>
            <w:r>
              <w:rPr>
                <w:spacing w:val="2"/>
                <w:sz w:val="14"/>
              </w:rPr>
              <w:t xml:space="preserve"> </w:t>
            </w:r>
            <w:r>
              <w:rPr>
                <w:w w:val="85"/>
                <w:sz w:val="14"/>
              </w:rPr>
              <w:t>90.17:</w:t>
            </w:r>
            <w:r>
              <w:rPr>
                <w:spacing w:val="3"/>
                <w:sz w:val="14"/>
              </w:rPr>
              <w:t xml:space="preserve"> </w:t>
            </w:r>
            <w:r>
              <w:rPr>
                <w:w w:val="85"/>
                <w:sz w:val="14"/>
              </w:rPr>
              <w:t>instrumentos</w:t>
            </w:r>
            <w:r>
              <w:rPr>
                <w:spacing w:val="2"/>
                <w:sz w:val="14"/>
              </w:rPr>
              <w:t xml:space="preserve"> </w:t>
            </w:r>
            <w:r>
              <w:rPr>
                <w:spacing w:val="-2"/>
                <w:w w:val="85"/>
                <w:sz w:val="14"/>
              </w:rPr>
              <w:t>médicos.</w:t>
            </w:r>
          </w:p>
          <w:p w:rsidR="0092635B" w:rsidRDefault="00000000">
            <w:pPr>
              <w:pStyle w:val="TableParagraph"/>
              <w:spacing w:before="7" w:line="249" w:lineRule="auto"/>
              <w:ind w:left="40" w:right="7091"/>
              <w:rPr>
                <w:sz w:val="14"/>
              </w:rPr>
            </w:pPr>
            <w:r>
              <w:rPr>
                <w:w w:val="85"/>
                <w:sz w:val="14"/>
              </w:rPr>
              <w:t>ex ex 90.18: aparatos para mecanoterapia.</w:t>
            </w:r>
            <w:r>
              <w:rPr>
                <w:spacing w:val="40"/>
                <w:sz w:val="14"/>
              </w:rPr>
              <w:t xml:space="preserve"> </w:t>
            </w:r>
            <w:r>
              <w:rPr>
                <w:w w:val="95"/>
                <w:sz w:val="14"/>
              </w:rPr>
              <w:t>ex</w:t>
            </w:r>
            <w:r>
              <w:rPr>
                <w:spacing w:val="-8"/>
                <w:w w:val="95"/>
                <w:sz w:val="14"/>
              </w:rPr>
              <w:t xml:space="preserve"> </w:t>
            </w:r>
            <w:r>
              <w:rPr>
                <w:w w:val="95"/>
                <w:sz w:val="14"/>
              </w:rPr>
              <w:t>ex</w:t>
            </w:r>
            <w:r>
              <w:rPr>
                <w:spacing w:val="-8"/>
                <w:w w:val="95"/>
                <w:sz w:val="14"/>
              </w:rPr>
              <w:t xml:space="preserve"> </w:t>
            </w:r>
            <w:r>
              <w:rPr>
                <w:w w:val="95"/>
                <w:sz w:val="14"/>
              </w:rPr>
              <w:t>90.19:</w:t>
            </w:r>
            <w:r>
              <w:rPr>
                <w:spacing w:val="-8"/>
                <w:w w:val="95"/>
                <w:sz w:val="14"/>
              </w:rPr>
              <w:t xml:space="preserve"> </w:t>
            </w:r>
            <w:r>
              <w:rPr>
                <w:w w:val="95"/>
                <w:sz w:val="14"/>
              </w:rPr>
              <w:t>aparatos</w:t>
            </w:r>
            <w:r>
              <w:rPr>
                <w:spacing w:val="-8"/>
                <w:w w:val="95"/>
                <w:sz w:val="14"/>
              </w:rPr>
              <w:t xml:space="preserve"> </w:t>
            </w:r>
            <w:r>
              <w:rPr>
                <w:w w:val="95"/>
                <w:sz w:val="14"/>
              </w:rPr>
              <w:t>para</w:t>
            </w:r>
            <w:r>
              <w:rPr>
                <w:spacing w:val="-7"/>
                <w:w w:val="95"/>
                <w:sz w:val="14"/>
              </w:rPr>
              <w:t xml:space="preserve"> </w:t>
            </w:r>
            <w:r>
              <w:rPr>
                <w:w w:val="95"/>
                <w:sz w:val="14"/>
              </w:rPr>
              <w:t>ortopedia.</w:t>
            </w:r>
          </w:p>
          <w:p w:rsidR="0092635B" w:rsidRDefault="00000000">
            <w:pPr>
              <w:pStyle w:val="TableParagraph"/>
              <w:spacing w:before="1" w:line="145" w:lineRule="exact"/>
              <w:ind w:left="40"/>
              <w:rPr>
                <w:sz w:val="14"/>
              </w:rPr>
            </w:pPr>
            <w:r>
              <w:rPr>
                <w:w w:val="85"/>
                <w:sz w:val="14"/>
              </w:rPr>
              <w:t>ex</w:t>
            </w:r>
            <w:r>
              <w:rPr>
                <w:sz w:val="14"/>
              </w:rPr>
              <w:t xml:space="preserve"> </w:t>
            </w:r>
            <w:r>
              <w:rPr>
                <w:w w:val="85"/>
                <w:sz w:val="14"/>
              </w:rPr>
              <w:t>ex</w:t>
            </w:r>
            <w:r>
              <w:rPr>
                <w:spacing w:val="1"/>
                <w:sz w:val="14"/>
              </w:rPr>
              <w:t xml:space="preserve"> </w:t>
            </w:r>
            <w:r>
              <w:rPr>
                <w:w w:val="85"/>
                <w:sz w:val="14"/>
              </w:rPr>
              <w:t>90.20:</w:t>
            </w:r>
            <w:r>
              <w:rPr>
                <w:sz w:val="14"/>
              </w:rPr>
              <w:t xml:space="preserve"> </w:t>
            </w:r>
            <w:r>
              <w:rPr>
                <w:w w:val="85"/>
                <w:sz w:val="14"/>
              </w:rPr>
              <w:t>aparatos</w:t>
            </w:r>
            <w:r>
              <w:rPr>
                <w:spacing w:val="1"/>
                <w:sz w:val="14"/>
              </w:rPr>
              <w:t xml:space="preserve"> </w:t>
            </w:r>
            <w:r>
              <w:rPr>
                <w:w w:val="85"/>
                <w:sz w:val="14"/>
              </w:rPr>
              <w:t>de</w:t>
            </w:r>
            <w:r>
              <w:rPr>
                <w:sz w:val="14"/>
              </w:rPr>
              <w:t xml:space="preserve"> </w:t>
            </w:r>
            <w:r>
              <w:rPr>
                <w:w w:val="85"/>
                <w:sz w:val="14"/>
              </w:rPr>
              <w:t>rayos</w:t>
            </w:r>
            <w:r>
              <w:rPr>
                <w:spacing w:val="1"/>
                <w:sz w:val="14"/>
              </w:rPr>
              <w:t xml:space="preserve"> </w:t>
            </w:r>
            <w:r>
              <w:rPr>
                <w:spacing w:val="-5"/>
                <w:w w:val="85"/>
                <w:sz w:val="14"/>
              </w:rPr>
              <w:t>X.</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91:</w:t>
            </w:r>
          </w:p>
        </w:tc>
        <w:tc>
          <w:tcPr>
            <w:tcW w:w="9458" w:type="dxa"/>
          </w:tcPr>
          <w:p w:rsidR="0092635B" w:rsidRDefault="00000000">
            <w:pPr>
              <w:pStyle w:val="TableParagraph"/>
              <w:spacing w:line="146" w:lineRule="exact"/>
              <w:ind w:left="40"/>
              <w:rPr>
                <w:sz w:val="14"/>
              </w:rPr>
            </w:pPr>
            <w:r>
              <w:rPr>
                <w:w w:val="85"/>
                <w:sz w:val="14"/>
              </w:rPr>
              <w:t>Fabricación</w:t>
            </w:r>
            <w:r>
              <w:rPr>
                <w:spacing w:val="-2"/>
                <w:sz w:val="14"/>
              </w:rPr>
              <w:t xml:space="preserve"> </w:t>
            </w:r>
            <w:r>
              <w:rPr>
                <w:w w:val="85"/>
                <w:sz w:val="14"/>
              </w:rPr>
              <w:t>de</w:t>
            </w:r>
            <w:r>
              <w:rPr>
                <w:spacing w:val="-2"/>
                <w:sz w:val="14"/>
              </w:rPr>
              <w:t xml:space="preserve"> </w:t>
            </w:r>
            <w:r>
              <w:rPr>
                <w:spacing w:val="-2"/>
                <w:w w:val="85"/>
                <w:sz w:val="14"/>
              </w:rPr>
              <w:t>relojes.</w:t>
            </w:r>
          </w:p>
        </w:tc>
      </w:tr>
      <w:tr w:rsidR="0092635B">
        <w:trPr>
          <w:trHeight w:val="331"/>
        </w:trPr>
        <w:tc>
          <w:tcPr>
            <w:tcW w:w="746" w:type="dxa"/>
          </w:tcPr>
          <w:p w:rsidR="0092635B" w:rsidRDefault="00000000">
            <w:pPr>
              <w:pStyle w:val="TableParagraph"/>
              <w:spacing w:before="83"/>
              <w:ind w:left="5"/>
              <w:jc w:val="center"/>
              <w:rPr>
                <w:sz w:val="14"/>
              </w:rPr>
            </w:pPr>
            <w:r>
              <w:rPr>
                <w:w w:val="85"/>
                <w:sz w:val="14"/>
              </w:rPr>
              <w:t>Capítulo</w:t>
            </w:r>
            <w:r>
              <w:rPr>
                <w:spacing w:val="-2"/>
                <w:sz w:val="14"/>
              </w:rPr>
              <w:t xml:space="preserve"> </w:t>
            </w:r>
            <w:r>
              <w:rPr>
                <w:spacing w:val="-5"/>
                <w:w w:val="90"/>
                <w:sz w:val="14"/>
              </w:rPr>
              <w:t>92:</w:t>
            </w:r>
          </w:p>
        </w:tc>
        <w:tc>
          <w:tcPr>
            <w:tcW w:w="9458" w:type="dxa"/>
          </w:tcPr>
          <w:p w:rsidR="0092635B" w:rsidRDefault="00000000">
            <w:pPr>
              <w:pStyle w:val="TableParagraph"/>
              <w:spacing w:line="160" w:lineRule="exact"/>
              <w:ind w:left="40"/>
              <w:rPr>
                <w:sz w:val="14"/>
              </w:rPr>
            </w:pPr>
            <w:r>
              <w:rPr>
                <w:w w:val="85"/>
                <w:sz w:val="14"/>
              </w:rPr>
              <w:t>Instrumentos</w:t>
            </w:r>
            <w:r>
              <w:rPr>
                <w:sz w:val="14"/>
              </w:rPr>
              <w:t xml:space="preserve"> </w:t>
            </w:r>
            <w:r>
              <w:rPr>
                <w:w w:val="85"/>
                <w:sz w:val="14"/>
              </w:rPr>
              <w:t>musicales,</w:t>
            </w:r>
            <w:r>
              <w:rPr>
                <w:spacing w:val="1"/>
                <w:sz w:val="14"/>
              </w:rPr>
              <w:t xml:space="preserve"> </w:t>
            </w:r>
            <w:r>
              <w:rPr>
                <w:w w:val="85"/>
                <w:sz w:val="14"/>
              </w:rPr>
              <w:t>aparatos</w:t>
            </w:r>
            <w:r>
              <w:rPr>
                <w:spacing w:val="1"/>
                <w:sz w:val="14"/>
              </w:rPr>
              <w:t xml:space="preserve"> </w:t>
            </w:r>
            <w:r>
              <w:rPr>
                <w:w w:val="85"/>
                <w:sz w:val="14"/>
              </w:rPr>
              <w:t>de</w:t>
            </w:r>
            <w:r>
              <w:rPr>
                <w:spacing w:val="1"/>
                <w:sz w:val="14"/>
              </w:rPr>
              <w:t xml:space="preserve"> </w:t>
            </w:r>
            <w:r>
              <w:rPr>
                <w:w w:val="85"/>
                <w:sz w:val="14"/>
              </w:rPr>
              <w:t>grabación</w:t>
            </w:r>
            <w:r>
              <w:rPr>
                <w:spacing w:val="1"/>
                <w:sz w:val="14"/>
              </w:rPr>
              <w:t xml:space="preserve"> </w:t>
            </w:r>
            <w:r>
              <w:rPr>
                <w:w w:val="85"/>
                <w:sz w:val="14"/>
              </w:rPr>
              <w:t>o</w:t>
            </w:r>
            <w:r>
              <w:rPr>
                <w:spacing w:val="1"/>
                <w:sz w:val="14"/>
              </w:rPr>
              <w:t xml:space="preserve"> </w:t>
            </w:r>
            <w:r>
              <w:rPr>
                <w:w w:val="85"/>
                <w:sz w:val="14"/>
              </w:rPr>
              <w:t>reproducción</w:t>
            </w:r>
            <w:r>
              <w:rPr>
                <w:spacing w:val="1"/>
                <w:sz w:val="14"/>
              </w:rPr>
              <w:t xml:space="preserve"> </w:t>
            </w:r>
            <w:r>
              <w:rPr>
                <w:w w:val="85"/>
                <w:sz w:val="14"/>
              </w:rPr>
              <w:t>de</w:t>
            </w:r>
            <w:r>
              <w:rPr>
                <w:sz w:val="14"/>
              </w:rPr>
              <w:t xml:space="preserve"> </w:t>
            </w:r>
            <w:r>
              <w:rPr>
                <w:w w:val="85"/>
                <w:sz w:val="14"/>
              </w:rPr>
              <w:t>sonido,</w:t>
            </w:r>
            <w:r>
              <w:rPr>
                <w:spacing w:val="1"/>
                <w:sz w:val="14"/>
              </w:rPr>
              <w:t xml:space="preserve"> </w:t>
            </w:r>
            <w:r>
              <w:rPr>
                <w:w w:val="85"/>
                <w:sz w:val="14"/>
              </w:rPr>
              <w:t>aparatos</w:t>
            </w:r>
            <w:r>
              <w:rPr>
                <w:spacing w:val="1"/>
                <w:sz w:val="14"/>
              </w:rPr>
              <w:t xml:space="preserve"> </w:t>
            </w:r>
            <w:r>
              <w:rPr>
                <w:w w:val="85"/>
                <w:sz w:val="14"/>
              </w:rPr>
              <w:t>de</w:t>
            </w:r>
            <w:r>
              <w:rPr>
                <w:spacing w:val="1"/>
                <w:sz w:val="14"/>
              </w:rPr>
              <w:t xml:space="preserve"> </w:t>
            </w:r>
            <w:r>
              <w:rPr>
                <w:w w:val="85"/>
                <w:sz w:val="14"/>
              </w:rPr>
              <w:t>grabación</w:t>
            </w:r>
            <w:r>
              <w:rPr>
                <w:spacing w:val="1"/>
                <w:sz w:val="14"/>
              </w:rPr>
              <w:t xml:space="preserve"> </w:t>
            </w:r>
            <w:r>
              <w:rPr>
                <w:w w:val="85"/>
                <w:sz w:val="14"/>
              </w:rPr>
              <w:t>o</w:t>
            </w:r>
            <w:r>
              <w:rPr>
                <w:spacing w:val="1"/>
                <w:sz w:val="14"/>
              </w:rPr>
              <w:t xml:space="preserve"> </w:t>
            </w:r>
            <w:r>
              <w:rPr>
                <w:w w:val="85"/>
                <w:sz w:val="14"/>
              </w:rPr>
              <w:t>reproducción</w:t>
            </w:r>
            <w:r>
              <w:rPr>
                <w:spacing w:val="1"/>
                <w:sz w:val="14"/>
              </w:rPr>
              <w:t xml:space="preserve"> </w:t>
            </w:r>
            <w:r>
              <w:rPr>
                <w:w w:val="85"/>
                <w:sz w:val="14"/>
              </w:rPr>
              <w:t>de</w:t>
            </w:r>
            <w:r>
              <w:rPr>
                <w:sz w:val="14"/>
              </w:rPr>
              <w:t xml:space="preserve"> </w:t>
            </w:r>
            <w:r>
              <w:rPr>
                <w:w w:val="85"/>
                <w:sz w:val="14"/>
              </w:rPr>
              <w:t>imágenes</w:t>
            </w:r>
            <w:r>
              <w:rPr>
                <w:spacing w:val="1"/>
                <w:sz w:val="14"/>
              </w:rPr>
              <w:t xml:space="preserve"> </w:t>
            </w:r>
            <w:r>
              <w:rPr>
                <w:w w:val="85"/>
                <w:sz w:val="14"/>
              </w:rPr>
              <w:t>y</w:t>
            </w:r>
            <w:r>
              <w:rPr>
                <w:spacing w:val="1"/>
                <w:sz w:val="14"/>
              </w:rPr>
              <w:t xml:space="preserve"> </w:t>
            </w:r>
            <w:r>
              <w:rPr>
                <w:w w:val="85"/>
                <w:sz w:val="14"/>
              </w:rPr>
              <w:t>sonido</w:t>
            </w:r>
            <w:r>
              <w:rPr>
                <w:spacing w:val="1"/>
                <w:sz w:val="14"/>
              </w:rPr>
              <w:t xml:space="preserve"> </w:t>
            </w:r>
            <w:r>
              <w:rPr>
                <w:w w:val="85"/>
                <w:sz w:val="14"/>
              </w:rPr>
              <w:t>en</w:t>
            </w:r>
            <w:r>
              <w:rPr>
                <w:spacing w:val="1"/>
                <w:sz w:val="14"/>
              </w:rPr>
              <w:t xml:space="preserve"> </w:t>
            </w:r>
            <w:r>
              <w:rPr>
                <w:w w:val="85"/>
                <w:sz w:val="14"/>
              </w:rPr>
              <w:t>televisión,</w:t>
            </w:r>
            <w:r>
              <w:rPr>
                <w:spacing w:val="1"/>
                <w:sz w:val="14"/>
              </w:rPr>
              <w:t xml:space="preserve"> </w:t>
            </w:r>
            <w:r>
              <w:rPr>
                <w:w w:val="85"/>
                <w:sz w:val="14"/>
              </w:rPr>
              <w:t>y</w:t>
            </w:r>
            <w:r>
              <w:rPr>
                <w:spacing w:val="1"/>
                <w:sz w:val="14"/>
              </w:rPr>
              <w:t xml:space="preserve"> </w:t>
            </w:r>
            <w:r>
              <w:rPr>
                <w:w w:val="85"/>
                <w:sz w:val="14"/>
              </w:rPr>
              <w:t>las</w:t>
            </w:r>
            <w:r>
              <w:rPr>
                <w:spacing w:val="1"/>
                <w:sz w:val="14"/>
              </w:rPr>
              <w:t xml:space="preserve"> </w:t>
            </w:r>
            <w:r>
              <w:rPr>
                <w:w w:val="85"/>
                <w:sz w:val="14"/>
              </w:rPr>
              <w:t>partes</w:t>
            </w:r>
            <w:r>
              <w:rPr>
                <w:sz w:val="14"/>
              </w:rPr>
              <w:t xml:space="preserve"> </w:t>
            </w:r>
            <w:r>
              <w:rPr>
                <w:spacing w:val="-10"/>
                <w:w w:val="85"/>
                <w:sz w:val="14"/>
              </w:rPr>
              <w:t>y</w:t>
            </w:r>
          </w:p>
          <w:p w:rsidR="0092635B" w:rsidRDefault="00000000">
            <w:pPr>
              <w:pStyle w:val="TableParagraph"/>
              <w:spacing w:before="7" w:line="145" w:lineRule="exact"/>
              <w:ind w:left="40"/>
              <w:rPr>
                <w:sz w:val="14"/>
              </w:rPr>
            </w:pPr>
            <w:r>
              <w:rPr>
                <w:w w:val="85"/>
                <w:sz w:val="14"/>
              </w:rPr>
              <w:t>accesorios</w:t>
            </w:r>
            <w:r>
              <w:rPr>
                <w:spacing w:val="2"/>
                <w:sz w:val="14"/>
              </w:rPr>
              <w:t xml:space="preserve"> </w:t>
            </w:r>
            <w:r>
              <w:rPr>
                <w:w w:val="85"/>
                <w:sz w:val="14"/>
              </w:rPr>
              <w:t>de</w:t>
            </w:r>
            <w:r>
              <w:rPr>
                <w:spacing w:val="2"/>
                <w:sz w:val="14"/>
              </w:rPr>
              <w:t xml:space="preserve"> </w:t>
            </w:r>
            <w:r>
              <w:rPr>
                <w:w w:val="85"/>
                <w:sz w:val="14"/>
              </w:rPr>
              <w:t>estos</w:t>
            </w:r>
            <w:r>
              <w:rPr>
                <w:spacing w:val="3"/>
                <w:sz w:val="14"/>
              </w:rPr>
              <w:t xml:space="preserve"> </w:t>
            </w:r>
            <w:r>
              <w:rPr>
                <w:spacing w:val="-2"/>
                <w:w w:val="85"/>
                <w:sz w:val="14"/>
              </w:rPr>
              <w:t>aparatos.</w:t>
            </w:r>
          </w:p>
        </w:tc>
      </w:tr>
      <w:tr w:rsidR="0092635B">
        <w:trPr>
          <w:trHeight w:val="499"/>
        </w:trPr>
        <w:tc>
          <w:tcPr>
            <w:tcW w:w="746" w:type="dxa"/>
          </w:tcPr>
          <w:p w:rsidR="0092635B" w:rsidRDefault="0092635B">
            <w:pPr>
              <w:pStyle w:val="TableParagraph"/>
              <w:spacing w:before="6"/>
              <w:rPr>
                <w:rFonts w:ascii="Arial"/>
                <w:b/>
                <w:sz w:val="14"/>
              </w:rPr>
            </w:pPr>
          </w:p>
          <w:p w:rsidR="0092635B" w:rsidRDefault="00000000">
            <w:pPr>
              <w:pStyle w:val="TableParagraph"/>
              <w:ind w:left="5"/>
              <w:jc w:val="center"/>
              <w:rPr>
                <w:sz w:val="14"/>
              </w:rPr>
            </w:pPr>
            <w:r>
              <w:rPr>
                <w:w w:val="85"/>
                <w:sz w:val="14"/>
              </w:rPr>
              <w:t>Capítulo</w:t>
            </w:r>
            <w:r>
              <w:rPr>
                <w:spacing w:val="-2"/>
                <w:sz w:val="14"/>
              </w:rPr>
              <w:t xml:space="preserve"> </w:t>
            </w:r>
            <w:r>
              <w:rPr>
                <w:spacing w:val="-5"/>
                <w:w w:val="90"/>
                <w:sz w:val="14"/>
              </w:rPr>
              <w:t>94:</w:t>
            </w:r>
          </w:p>
        </w:tc>
        <w:tc>
          <w:tcPr>
            <w:tcW w:w="9458" w:type="dxa"/>
          </w:tcPr>
          <w:p w:rsidR="0092635B" w:rsidRDefault="00000000">
            <w:pPr>
              <w:pStyle w:val="TableParagraph"/>
              <w:spacing w:line="249" w:lineRule="auto"/>
              <w:ind w:left="40" w:right="5649"/>
              <w:rPr>
                <w:sz w:val="14"/>
              </w:rPr>
            </w:pPr>
            <w:r>
              <w:rPr>
                <w:w w:val="85"/>
                <w:sz w:val="14"/>
              </w:rPr>
              <w:t>Muebles; mobiliario medicoquirúrgico; artículos de cama y similares</w:t>
            </w:r>
            <w:r>
              <w:rPr>
                <w:spacing w:val="40"/>
                <w:sz w:val="14"/>
              </w:rPr>
              <w:t xml:space="preserve"> </w:t>
            </w:r>
            <w:r>
              <w:rPr>
                <w:spacing w:val="-2"/>
                <w:w w:val="95"/>
                <w:sz w:val="14"/>
              </w:rPr>
              <w:t>excepto:</w:t>
            </w:r>
          </w:p>
          <w:p w:rsidR="0092635B" w:rsidRDefault="00000000">
            <w:pPr>
              <w:pStyle w:val="TableParagraph"/>
              <w:spacing w:line="145" w:lineRule="exact"/>
              <w:ind w:left="40"/>
              <w:rPr>
                <w:sz w:val="14"/>
              </w:rPr>
            </w:pPr>
            <w:r>
              <w:rPr>
                <w:w w:val="85"/>
                <w:sz w:val="14"/>
              </w:rPr>
              <w:t>ex</w:t>
            </w:r>
            <w:r>
              <w:rPr>
                <w:sz w:val="14"/>
              </w:rPr>
              <w:t xml:space="preserve"> </w:t>
            </w:r>
            <w:r>
              <w:rPr>
                <w:w w:val="85"/>
                <w:sz w:val="14"/>
              </w:rPr>
              <w:t>ex</w:t>
            </w:r>
            <w:r>
              <w:rPr>
                <w:spacing w:val="1"/>
                <w:sz w:val="14"/>
              </w:rPr>
              <w:t xml:space="preserve"> </w:t>
            </w:r>
            <w:r>
              <w:rPr>
                <w:w w:val="85"/>
                <w:sz w:val="14"/>
              </w:rPr>
              <w:t>94.01A:</w:t>
            </w:r>
            <w:r>
              <w:rPr>
                <w:spacing w:val="1"/>
                <w:sz w:val="14"/>
              </w:rPr>
              <w:t xml:space="preserve"> </w:t>
            </w:r>
            <w:r>
              <w:rPr>
                <w:w w:val="85"/>
                <w:sz w:val="14"/>
              </w:rPr>
              <w:t>asientos</w:t>
            </w:r>
            <w:r>
              <w:rPr>
                <w:sz w:val="14"/>
              </w:rPr>
              <w:t xml:space="preserve"> </w:t>
            </w:r>
            <w:r>
              <w:rPr>
                <w:w w:val="85"/>
                <w:sz w:val="14"/>
              </w:rPr>
              <w:t>para</w:t>
            </w:r>
            <w:r>
              <w:rPr>
                <w:spacing w:val="1"/>
                <w:sz w:val="14"/>
              </w:rPr>
              <w:t xml:space="preserve"> </w:t>
            </w:r>
            <w:r>
              <w:rPr>
                <w:spacing w:val="-2"/>
                <w:w w:val="85"/>
                <w:sz w:val="14"/>
              </w:rPr>
              <w:t>aeronaves.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95:</w:t>
            </w:r>
          </w:p>
        </w:tc>
        <w:tc>
          <w:tcPr>
            <w:tcW w:w="9458" w:type="dxa"/>
          </w:tcPr>
          <w:p w:rsidR="0092635B" w:rsidRDefault="00000000">
            <w:pPr>
              <w:pStyle w:val="TableParagraph"/>
              <w:spacing w:line="146" w:lineRule="exact"/>
              <w:ind w:left="40"/>
              <w:rPr>
                <w:sz w:val="14"/>
              </w:rPr>
            </w:pPr>
            <w:r>
              <w:rPr>
                <w:w w:val="85"/>
                <w:sz w:val="14"/>
              </w:rPr>
              <w:t>Materias</w:t>
            </w:r>
            <w:r>
              <w:rPr>
                <w:spacing w:val="1"/>
                <w:sz w:val="14"/>
              </w:rPr>
              <w:t xml:space="preserve"> </w:t>
            </w:r>
            <w:r>
              <w:rPr>
                <w:w w:val="85"/>
                <w:sz w:val="14"/>
              </w:rPr>
              <w:t>para</w:t>
            </w:r>
            <w:r>
              <w:rPr>
                <w:spacing w:val="2"/>
                <w:sz w:val="14"/>
              </w:rPr>
              <w:t xml:space="preserve"> </w:t>
            </w:r>
            <w:r>
              <w:rPr>
                <w:w w:val="85"/>
                <w:sz w:val="14"/>
              </w:rPr>
              <w:t>tallar</w:t>
            </w:r>
            <w:r>
              <w:rPr>
                <w:spacing w:val="2"/>
                <w:sz w:val="14"/>
              </w:rPr>
              <w:t xml:space="preserve"> </w:t>
            </w:r>
            <w:r>
              <w:rPr>
                <w:w w:val="85"/>
                <w:sz w:val="14"/>
              </w:rPr>
              <w:t>o</w:t>
            </w:r>
            <w:r>
              <w:rPr>
                <w:spacing w:val="1"/>
                <w:sz w:val="14"/>
              </w:rPr>
              <w:t xml:space="preserve"> </w:t>
            </w:r>
            <w:r>
              <w:rPr>
                <w:w w:val="85"/>
                <w:sz w:val="14"/>
              </w:rPr>
              <w:t>moldear,</w:t>
            </w:r>
            <w:r>
              <w:rPr>
                <w:spacing w:val="2"/>
                <w:sz w:val="14"/>
              </w:rPr>
              <w:t xml:space="preserve"> </w:t>
            </w:r>
            <w:r>
              <w:rPr>
                <w:w w:val="85"/>
                <w:sz w:val="14"/>
              </w:rPr>
              <w:t>trabajadas</w:t>
            </w:r>
            <w:r>
              <w:rPr>
                <w:spacing w:val="2"/>
                <w:sz w:val="14"/>
              </w:rPr>
              <w:t xml:space="preserve"> </w:t>
            </w:r>
            <w:r>
              <w:rPr>
                <w:w w:val="85"/>
                <w:sz w:val="14"/>
              </w:rPr>
              <w:t>(incluidas</w:t>
            </w:r>
            <w:r>
              <w:rPr>
                <w:spacing w:val="1"/>
                <w:sz w:val="14"/>
              </w:rPr>
              <w:t xml:space="preserve"> </w:t>
            </w:r>
            <w:r>
              <w:rPr>
                <w:w w:val="85"/>
                <w:sz w:val="14"/>
              </w:rPr>
              <w:t>las</w:t>
            </w:r>
            <w:r>
              <w:rPr>
                <w:spacing w:val="2"/>
                <w:sz w:val="14"/>
              </w:rPr>
              <w:t xml:space="preserve"> </w:t>
            </w:r>
            <w:r>
              <w:rPr>
                <w:spacing w:val="-2"/>
                <w:w w:val="85"/>
                <w:sz w:val="14"/>
              </w:rPr>
              <w:t>manufacturas).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96:</w:t>
            </w:r>
          </w:p>
        </w:tc>
        <w:tc>
          <w:tcPr>
            <w:tcW w:w="9458" w:type="dxa"/>
          </w:tcPr>
          <w:p w:rsidR="0092635B" w:rsidRDefault="00000000">
            <w:pPr>
              <w:pStyle w:val="TableParagraph"/>
              <w:spacing w:line="146" w:lineRule="exact"/>
              <w:ind w:left="40"/>
              <w:rPr>
                <w:sz w:val="14"/>
              </w:rPr>
            </w:pPr>
            <w:r>
              <w:rPr>
                <w:w w:val="85"/>
                <w:sz w:val="14"/>
              </w:rPr>
              <w:t>Manufacturas</w:t>
            </w:r>
            <w:r>
              <w:rPr>
                <w:spacing w:val="3"/>
                <w:sz w:val="14"/>
              </w:rPr>
              <w:t xml:space="preserve"> </w:t>
            </w:r>
            <w:r>
              <w:rPr>
                <w:w w:val="85"/>
                <w:sz w:val="14"/>
              </w:rPr>
              <w:t>de</w:t>
            </w:r>
            <w:r>
              <w:rPr>
                <w:spacing w:val="4"/>
                <w:sz w:val="14"/>
              </w:rPr>
              <w:t xml:space="preserve"> </w:t>
            </w:r>
            <w:r>
              <w:rPr>
                <w:w w:val="85"/>
                <w:sz w:val="14"/>
              </w:rPr>
              <w:t>cepillería,</w:t>
            </w:r>
            <w:r>
              <w:rPr>
                <w:spacing w:val="4"/>
                <w:sz w:val="14"/>
              </w:rPr>
              <w:t xml:space="preserve"> </w:t>
            </w:r>
            <w:r>
              <w:rPr>
                <w:w w:val="85"/>
                <w:sz w:val="14"/>
              </w:rPr>
              <w:t>brochas</w:t>
            </w:r>
            <w:r>
              <w:rPr>
                <w:spacing w:val="3"/>
                <w:sz w:val="14"/>
              </w:rPr>
              <w:t xml:space="preserve"> </w:t>
            </w:r>
            <w:r>
              <w:rPr>
                <w:w w:val="85"/>
                <w:sz w:val="14"/>
              </w:rPr>
              <w:t>y</w:t>
            </w:r>
            <w:r>
              <w:rPr>
                <w:spacing w:val="4"/>
                <w:sz w:val="14"/>
              </w:rPr>
              <w:t xml:space="preserve"> </w:t>
            </w:r>
            <w:r>
              <w:rPr>
                <w:w w:val="85"/>
                <w:sz w:val="14"/>
              </w:rPr>
              <w:t>pinceles,</w:t>
            </w:r>
            <w:r>
              <w:rPr>
                <w:spacing w:val="4"/>
                <w:sz w:val="14"/>
              </w:rPr>
              <w:t xml:space="preserve"> </w:t>
            </w:r>
            <w:r>
              <w:rPr>
                <w:w w:val="85"/>
                <w:sz w:val="14"/>
              </w:rPr>
              <w:t>escobas,</w:t>
            </w:r>
            <w:r>
              <w:rPr>
                <w:spacing w:val="3"/>
                <w:sz w:val="14"/>
              </w:rPr>
              <w:t xml:space="preserve"> </w:t>
            </w:r>
            <w:r>
              <w:rPr>
                <w:w w:val="85"/>
                <w:sz w:val="14"/>
              </w:rPr>
              <w:t>borlas,</w:t>
            </w:r>
            <w:r>
              <w:rPr>
                <w:spacing w:val="4"/>
                <w:sz w:val="14"/>
              </w:rPr>
              <w:t xml:space="preserve"> </w:t>
            </w:r>
            <w:r>
              <w:rPr>
                <w:w w:val="85"/>
                <w:sz w:val="14"/>
              </w:rPr>
              <w:t>tamices,</w:t>
            </w:r>
            <w:r>
              <w:rPr>
                <w:spacing w:val="4"/>
                <w:sz w:val="14"/>
              </w:rPr>
              <w:t xml:space="preserve"> </w:t>
            </w:r>
            <w:r>
              <w:rPr>
                <w:w w:val="85"/>
                <w:sz w:val="14"/>
              </w:rPr>
              <w:t>cedazos</w:t>
            </w:r>
            <w:r>
              <w:rPr>
                <w:spacing w:val="3"/>
                <w:sz w:val="14"/>
              </w:rPr>
              <w:t xml:space="preserve"> </w:t>
            </w:r>
            <w:r>
              <w:rPr>
                <w:w w:val="85"/>
                <w:sz w:val="14"/>
              </w:rPr>
              <w:t>y</w:t>
            </w:r>
            <w:r>
              <w:rPr>
                <w:spacing w:val="4"/>
                <w:sz w:val="14"/>
              </w:rPr>
              <w:t xml:space="preserve"> </w:t>
            </w:r>
            <w:r>
              <w:rPr>
                <w:spacing w:val="-2"/>
                <w:w w:val="85"/>
                <w:sz w:val="14"/>
              </w:rPr>
              <w:t>cribas.</w:t>
            </w:r>
          </w:p>
        </w:tc>
      </w:tr>
      <w:tr w:rsidR="0092635B">
        <w:trPr>
          <w:trHeight w:val="165"/>
        </w:trPr>
        <w:tc>
          <w:tcPr>
            <w:tcW w:w="746" w:type="dxa"/>
          </w:tcPr>
          <w:p w:rsidR="0092635B" w:rsidRDefault="00000000">
            <w:pPr>
              <w:pStyle w:val="TableParagraph"/>
              <w:spacing w:line="146" w:lineRule="exact"/>
              <w:ind w:left="5"/>
              <w:jc w:val="center"/>
              <w:rPr>
                <w:sz w:val="14"/>
              </w:rPr>
            </w:pPr>
            <w:r>
              <w:rPr>
                <w:w w:val="85"/>
                <w:sz w:val="14"/>
              </w:rPr>
              <w:t>Capítulo</w:t>
            </w:r>
            <w:r>
              <w:rPr>
                <w:spacing w:val="-2"/>
                <w:sz w:val="14"/>
              </w:rPr>
              <w:t xml:space="preserve"> </w:t>
            </w:r>
            <w:r>
              <w:rPr>
                <w:spacing w:val="-5"/>
                <w:w w:val="90"/>
                <w:sz w:val="14"/>
              </w:rPr>
              <w:t>98:</w:t>
            </w:r>
          </w:p>
        </w:tc>
        <w:tc>
          <w:tcPr>
            <w:tcW w:w="9458" w:type="dxa"/>
          </w:tcPr>
          <w:p w:rsidR="0092635B" w:rsidRDefault="00000000">
            <w:pPr>
              <w:pStyle w:val="TableParagraph"/>
              <w:spacing w:line="146" w:lineRule="exact"/>
              <w:ind w:left="40"/>
              <w:rPr>
                <w:sz w:val="14"/>
              </w:rPr>
            </w:pPr>
            <w:r>
              <w:rPr>
                <w:w w:val="85"/>
                <w:sz w:val="14"/>
              </w:rPr>
              <w:t>Mercancías</w:t>
            </w:r>
            <w:r>
              <w:rPr>
                <w:spacing w:val="4"/>
                <w:sz w:val="14"/>
              </w:rPr>
              <w:t xml:space="preserve"> </w:t>
            </w:r>
            <w:r>
              <w:rPr>
                <w:w w:val="85"/>
                <w:sz w:val="14"/>
              </w:rPr>
              <w:t>y</w:t>
            </w:r>
            <w:r>
              <w:rPr>
                <w:spacing w:val="4"/>
                <w:sz w:val="14"/>
              </w:rPr>
              <w:t xml:space="preserve"> </w:t>
            </w:r>
            <w:r>
              <w:rPr>
                <w:w w:val="85"/>
                <w:sz w:val="14"/>
              </w:rPr>
              <w:t>productos</w:t>
            </w:r>
            <w:r>
              <w:rPr>
                <w:spacing w:val="5"/>
                <w:sz w:val="14"/>
              </w:rPr>
              <w:t xml:space="preserve"> </w:t>
            </w:r>
            <w:r>
              <w:rPr>
                <w:spacing w:val="-2"/>
                <w:w w:val="85"/>
                <w:sz w:val="14"/>
              </w:rPr>
              <w:t>diversos.</w:t>
            </w:r>
          </w:p>
        </w:tc>
      </w:tr>
    </w:tbl>
    <w:p w:rsidR="0092635B" w:rsidRDefault="0092635B">
      <w:pPr>
        <w:pStyle w:val="Textoindependiente"/>
        <w:spacing w:before="0"/>
        <w:ind w:left="0" w:firstLine="0"/>
        <w:jc w:val="left"/>
        <w:rPr>
          <w:rFonts w:ascii="Arial"/>
          <w:b/>
        </w:rPr>
      </w:pPr>
    </w:p>
    <w:p w:rsidR="0092635B" w:rsidRDefault="0092635B">
      <w:pPr>
        <w:pStyle w:val="Textoindependiente"/>
        <w:spacing w:before="0"/>
        <w:ind w:left="0" w:firstLine="0"/>
        <w:jc w:val="left"/>
        <w:rPr>
          <w:rFonts w:ascii="Arial"/>
          <w:b/>
        </w:rPr>
      </w:pPr>
    </w:p>
    <w:p w:rsidR="0092635B" w:rsidRDefault="00000000">
      <w:pPr>
        <w:pStyle w:val="Ttulo1"/>
      </w:pPr>
      <w:bookmarkStart w:id="679" w:name="ANEXO_III._Información_que_debe_figurar_"/>
      <w:bookmarkStart w:id="680" w:name="_bookmark127"/>
      <w:bookmarkEnd w:id="679"/>
      <w:bookmarkEnd w:id="680"/>
      <w:r>
        <w:t xml:space="preserve">ANEXO </w:t>
      </w:r>
      <w:r>
        <w:rPr>
          <w:spacing w:val="-5"/>
        </w:rPr>
        <w:t>III</w:t>
      </w:r>
    </w:p>
    <w:p w:rsidR="0092635B" w:rsidRDefault="00000000">
      <w:pPr>
        <w:pStyle w:val="Ttulo2"/>
      </w:pPr>
      <w:r>
        <w:t>Información</w:t>
      </w:r>
      <w:r>
        <w:rPr>
          <w:spacing w:val="-5"/>
        </w:rPr>
        <w:t xml:space="preserve"> </w:t>
      </w:r>
      <w:r>
        <w:t>que</w:t>
      </w:r>
      <w:r>
        <w:rPr>
          <w:spacing w:val="-2"/>
        </w:rPr>
        <w:t xml:space="preserve"> </w:t>
      </w:r>
      <w:r>
        <w:t>debe</w:t>
      </w:r>
      <w:r>
        <w:rPr>
          <w:spacing w:val="-2"/>
        </w:rPr>
        <w:t xml:space="preserve"> </w:t>
      </w:r>
      <w:r>
        <w:t>figurar</w:t>
      </w:r>
      <w:r>
        <w:rPr>
          <w:spacing w:val="-2"/>
        </w:rPr>
        <w:t xml:space="preserve"> </w:t>
      </w:r>
      <w:r>
        <w:t>en</w:t>
      </w:r>
      <w:r>
        <w:rPr>
          <w:spacing w:val="-2"/>
        </w:rPr>
        <w:t xml:space="preserve"> </w:t>
      </w:r>
      <w:r>
        <w:t>los</w:t>
      </w:r>
      <w:r>
        <w:rPr>
          <w:spacing w:val="-2"/>
        </w:rPr>
        <w:t xml:space="preserve"> anuncios</w:t>
      </w:r>
    </w:p>
    <w:p w:rsidR="0092635B" w:rsidRDefault="00000000">
      <w:pPr>
        <w:pStyle w:val="Prrafodelista"/>
        <w:numPr>
          <w:ilvl w:val="0"/>
          <w:numId w:val="16"/>
        </w:numPr>
        <w:tabs>
          <w:tab w:val="left" w:pos="1759"/>
        </w:tabs>
        <w:spacing w:before="130" w:line="249" w:lineRule="auto"/>
        <w:ind w:firstLine="340"/>
        <w:jc w:val="both"/>
        <w:rPr>
          <w:sz w:val="20"/>
        </w:rPr>
      </w:pPr>
      <w:r>
        <w:rPr>
          <w:sz w:val="20"/>
        </w:rPr>
        <w:t>Información que debe figurar en los anuncios de publicación de un anuncio de información previa en un perfil de contratante, de información previa, de licitación, de formalización y de modificación de contratos de obras, suministros y servicios.</w:t>
      </w:r>
    </w:p>
    <w:p w:rsidR="0092635B" w:rsidRDefault="00000000">
      <w:pPr>
        <w:pStyle w:val="Textoindependiente"/>
        <w:spacing w:before="123" w:line="249" w:lineRule="auto"/>
        <w:ind w:right="1120"/>
        <w:jc w:val="left"/>
      </w:pPr>
      <w:r>
        <w:t>Sección 1. Información que debe figurar en los anuncios de la publicación de un anuncio de información previa en un perfil de contratante:</w:t>
      </w:r>
    </w:p>
    <w:p w:rsidR="0092635B" w:rsidRDefault="00000000">
      <w:pPr>
        <w:pStyle w:val="Prrafodelista"/>
        <w:numPr>
          <w:ilvl w:val="1"/>
          <w:numId w:val="16"/>
        </w:numPr>
        <w:tabs>
          <w:tab w:val="left" w:pos="1738"/>
        </w:tabs>
        <w:spacing w:before="121"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1"/>
          <w:numId w:val="16"/>
        </w:numPr>
        <w:tabs>
          <w:tab w:val="left" w:pos="1668"/>
        </w:tabs>
        <w:spacing w:before="3"/>
        <w:ind w:left="1668" w:right="0" w:hanging="222"/>
        <w:jc w:val="both"/>
        <w:rPr>
          <w:sz w:val="20"/>
        </w:rPr>
      </w:pPr>
      <w:r>
        <w:rPr>
          <w:sz w:val="20"/>
        </w:rPr>
        <w:t>Tipo</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y</w:t>
      </w:r>
      <w:r>
        <w:rPr>
          <w:spacing w:val="-4"/>
          <w:sz w:val="20"/>
        </w:rPr>
        <w:t xml:space="preserve"> </w:t>
      </w:r>
      <w:r>
        <w:rPr>
          <w:sz w:val="20"/>
        </w:rPr>
        <w:t>principal</w:t>
      </w:r>
      <w:r>
        <w:rPr>
          <w:spacing w:val="-4"/>
          <w:sz w:val="20"/>
        </w:rPr>
        <w:t xml:space="preserve"> </w:t>
      </w:r>
      <w:r>
        <w:rPr>
          <w:sz w:val="20"/>
        </w:rPr>
        <w:t>actividad</w:t>
      </w:r>
      <w:r>
        <w:rPr>
          <w:spacing w:val="-3"/>
          <w:sz w:val="20"/>
        </w:rPr>
        <w:t xml:space="preserve"> </w:t>
      </w:r>
      <w:r>
        <w:rPr>
          <w:spacing w:val="-2"/>
          <w:sz w:val="20"/>
        </w:rPr>
        <w:t>ejercida.</w:t>
      </w:r>
    </w:p>
    <w:p w:rsidR="0092635B" w:rsidRDefault="00000000">
      <w:pPr>
        <w:pStyle w:val="Prrafodelista"/>
        <w:numPr>
          <w:ilvl w:val="1"/>
          <w:numId w:val="16"/>
        </w:numPr>
        <w:tabs>
          <w:tab w:val="left" w:pos="1672"/>
        </w:tabs>
        <w:spacing w:before="10" w:line="249" w:lineRule="auto"/>
        <w:ind w:right="1104" w:firstLine="340"/>
        <w:jc w:val="both"/>
        <w:rPr>
          <w:sz w:val="20"/>
        </w:rPr>
      </w:pPr>
      <w:r>
        <w:rPr>
          <w:sz w:val="20"/>
        </w:rPr>
        <w:t>Cuando proceda, indicación de que el poder adjudicador es una central de compras, o de que se va a utilizar, o se puede utilizar, alguna otra forma de contratación conjunta.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1"/>
          <w:numId w:val="16"/>
        </w:numPr>
        <w:tabs>
          <w:tab w:val="left" w:pos="1668"/>
        </w:tabs>
        <w:spacing w:before="1"/>
        <w:ind w:left="1668" w:right="0" w:hanging="222"/>
        <w:jc w:val="both"/>
        <w:rPr>
          <w:sz w:val="20"/>
        </w:rPr>
      </w:pPr>
      <w:r>
        <w:rPr>
          <w:sz w:val="20"/>
        </w:rPr>
        <w:t>Códigos</w:t>
      </w:r>
      <w:r>
        <w:rPr>
          <w:spacing w:val="-2"/>
          <w:sz w:val="20"/>
        </w:rPr>
        <w:t xml:space="preserve"> </w:t>
      </w:r>
      <w:r>
        <w:rPr>
          <w:spacing w:val="-4"/>
          <w:sz w:val="20"/>
        </w:rPr>
        <w:t>CPV.</w:t>
      </w:r>
    </w:p>
    <w:p w:rsidR="0092635B" w:rsidRDefault="00000000">
      <w:pPr>
        <w:pStyle w:val="Prrafodelista"/>
        <w:numPr>
          <w:ilvl w:val="1"/>
          <w:numId w:val="16"/>
        </w:numPr>
        <w:tabs>
          <w:tab w:val="left" w:pos="1668"/>
        </w:tabs>
        <w:spacing w:before="10"/>
        <w:ind w:left="1668" w:right="0" w:hanging="222"/>
        <w:jc w:val="both"/>
        <w:rPr>
          <w:sz w:val="20"/>
        </w:rPr>
      </w:pPr>
      <w:r>
        <w:rPr>
          <w:sz w:val="20"/>
        </w:rPr>
        <w:t>Dirección</w:t>
      </w:r>
      <w:r>
        <w:rPr>
          <w:spacing w:val="-5"/>
          <w:sz w:val="20"/>
        </w:rPr>
        <w:t xml:space="preserve"> </w:t>
      </w:r>
      <w:r>
        <w:rPr>
          <w:sz w:val="20"/>
        </w:rPr>
        <w:t>de</w:t>
      </w:r>
      <w:r>
        <w:rPr>
          <w:spacing w:val="-4"/>
          <w:sz w:val="20"/>
        </w:rPr>
        <w:t xml:space="preserve"> </w:t>
      </w:r>
      <w:r>
        <w:rPr>
          <w:sz w:val="20"/>
        </w:rPr>
        <w:t>internet</w:t>
      </w:r>
      <w:r>
        <w:rPr>
          <w:spacing w:val="-4"/>
          <w:sz w:val="20"/>
        </w:rPr>
        <w:t xml:space="preserve"> </w:t>
      </w:r>
      <w:r>
        <w:rPr>
          <w:sz w:val="20"/>
        </w:rPr>
        <w:t>del</w:t>
      </w:r>
      <w:r>
        <w:rPr>
          <w:spacing w:val="-4"/>
          <w:sz w:val="20"/>
        </w:rPr>
        <w:t xml:space="preserve"> </w:t>
      </w:r>
      <w:r>
        <w:rPr>
          <w:sz w:val="20"/>
        </w:rPr>
        <w:t>«perfil</w:t>
      </w:r>
      <w:r>
        <w:rPr>
          <w:spacing w:val="-4"/>
          <w:sz w:val="20"/>
        </w:rPr>
        <w:t xml:space="preserve"> </w:t>
      </w:r>
      <w:r>
        <w:rPr>
          <w:sz w:val="20"/>
        </w:rPr>
        <w:t>de</w:t>
      </w:r>
      <w:r>
        <w:rPr>
          <w:spacing w:val="-4"/>
          <w:sz w:val="20"/>
        </w:rPr>
        <w:t xml:space="preserve"> </w:t>
      </w:r>
      <w:r>
        <w:rPr>
          <w:sz w:val="20"/>
        </w:rPr>
        <w:t>contratante»</w:t>
      </w:r>
      <w:r>
        <w:rPr>
          <w:spacing w:val="-4"/>
          <w:sz w:val="20"/>
        </w:rPr>
        <w:t xml:space="preserve"> </w:t>
      </w:r>
      <w:r>
        <w:rPr>
          <w:spacing w:val="-2"/>
          <w:sz w:val="20"/>
        </w:rPr>
        <w:t>(URL).</w:t>
      </w:r>
    </w:p>
    <w:p w:rsidR="0092635B" w:rsidRDefault="00000000">
      <w:pPr>
        <w:pStyle w:val="Prrafodelista"/>
        <w:numPr>
          <w:ilvl w:val="1"/>
          <w:numId w:val="16"/>
        </w:numPr>
        <w:tabs>
          <w:tab w:val="left" w:pos="1699"/>
        </w:tabs>
        <w:spacing w:before="10" w:line="249" w:lineRule="auto"/>
        <w:ind w:right="1106" w:firstLine="340"/>
        <w:jc w:val="both"/>
        <w:rPr>
          <w:sz w:val="20"/>
        </w:rPr>
      </w:pPr>
      <w:r>
        <w:rPr>
          <w:sz w:val="20"/>
        </w:rPr>
        <w:t>Fecha de envío del anuncio relativo a la publicación de un anuncio de información previa en el perfil de contratante.</w:t>
      </w:r>
    </w:p>
    <w:p w:rsidR="0092635B" w:rsidRDefault="00000000">
      <w:pPr>
        <w:pStyle w:val="Textoindependiente"/>
        <w:spacing w:before="121" w:line="249" w:lineRule="auto"/>
        <w:ind w:right="1104"/>
      </w:pPr>
      <w:r>
        <w:t>Sección 2. Información que debe figurar en los anuncios de información previa cuando</w:t>
      </w:r>
      <w:r>
        <w:rPr>
          <w:spacing w:val="40"/>
        </w:rPr>
        <w:t xml:space="preserve"> </w:t>
      </w:r>
      <w:r>
        <w:t>no proceda la aplicación de la sección 3 siguiente:</w:t>
      </w:r>
    </w:p>
    <w:p w:rsidR="0092635B" w:rsidRDefault="00000000">
      <w:pPr>
        <w:pStyle w:val="Prrafodelista"/>
        <w:numPr>
          <w:ilvl w:val="0"/>
          <w:numId w:val="15"/>
        </w:numPr>
        <w:tabs>
          <w:tab w:val="left" w:pos="1738"/>
        </w:tabs>
        <w:spacing w:before="122"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0"/>
          <w:numId w:val="15"/>
        </w:numPr>
        <w:tabs>
          <w:tab w:val="left" w:pos="1706"/>
        </w:tabs>
        <w:spacing w:line="249" w:lineRule="auto"/>
        <w:ind w:right="1104" w:firstLine="340"/>
        <w:jc w:val="both"/>
        <w:rPr>
          <w:sz w:val="20"/>
        </w:rPr>
      </w:pPr>
      <w:r>
        <w:rPr>
          <w:sz w:val="20"/>
        </w:rPr>
        <w:t>Dirección electrónica o de internet en la que estarán disponibles los pliegos de la contratación para un acceso libre, directo, completo y gratuito.</w:t>
      </w:r>
    </w:p>
    <w:p w:rsidR="0092635B" w:rsidRDefault="00000000">
      <w:pPr>
        <w:pStyle w:val="Textoindependiente"/>
        <w:spacing w:line="249" w:lineRule="auto"/>
        <w:ind w:right="1104"/>
      </w:pPr>
      <w:r>
        <w:t xml:space="preserve">Cuando no se disponga de un acceso libre, directo, completo y gratuito por los motivos contemplados en el artículo 138, una indicación sobre el modo de acceso a los pliegos de la </w:t>
      </w:r>
      <w:r>
        <w:rPr>
          <w:spacing w:val="-2"/>
        </w:rPr>
        <w:t>contratación.</w:t>
      </w:r>
    </w:p>
    <w:p w:rsidR="0092635B" w:rsidRDefault="00000000">
      <w:pPr>
        <w:pStyle w:val="Prrafodelista"/>
        <w:numPr>
          <w:ilvl w:val="0"/>
          <w:numId w:val="15"/>
        </w:numPr>
        <w:tabs>
          <w:tab w:val="left" w:pos="1668"/>
        </w:tabs>
        <w:spacing w:before="3"/>
        <w:ind w:left="1668" w:right="0" w:hanging="222"/>
        <w:jc w:val="both"/>
        <w:rPr>
          <w:sz w:val="20"/>
        </w:rPr>
      </w:pPr>
      <w:r>
        <w:rPr>
          <w:sz w:val="20"/>
        </w:rPr>
        <w:t>Tipo</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y</w:t>
      </w:r>
      <w:r>
        <w:rPr>
          <w:spacing w:val="-4"/>
          <w:sz w:val="20"/>
        </w:rPr>
        <w:t xml:space="preserve"> </w:t>
      </w:r>
      <w:r>
        <w:rPr>
          <w:sz w:val="20"/>
        </w:rPr>
        <w:t>principal</w:t>
      </w:r>
      <w:r>
        <w:rPr>
          <w:spacing w:val="-4"/>
          <w:sz w:val="20"/>
        </w:rPr>
        <w:t xml:space="preserve"> </w:t>
      </w:r>
      <w:r>
        <w:rPr>
          <w:sz w:val="20"/>
        </w:rPr>
        <w:t>actividad</w:t>
      </w:r>
      <w:r>
        <w:rPr>
          <w:spacing w:val="-3"/>
          <w:sz w:val="20"/>
        </w:rPr>
        <w:t xml:space="preserve"> </w:t>
      </w:r>
      <w:r>
        <w:rPr>
          <w:spacing w:val="-2"/>
          <w:sz w:val="20"/>
        </w:rPr>
        <w:t>ejercida.</w:t>
      </w:r>
    </w:p>
    <w:p w:rsidR="0092635B" w:rsidRDefault="00000000">
      <w:pPr>
        <w:pStyle w:val="Prrafodelista"/>
        <w:numPr>
          <w:ilvl w:val="0"/>
          <w:numId w:val="15"/>
        </w:numPr>
        <w:tabs>
          <w:tab w:val="left" w:pos="1672"/>
        </w:tabs>
        <w:spacing w:before="10" w:line="249" w:lineRule="auto"/>
        <w:ind w:right="1105" w:firstLine="340"/>
        <w:jc w:val="both"/>
        <w:rPr>
          <w:sz w:val="20"/>
        </w:rPr>
      </w:pPr>
      <w:r>
        <w:rPr>
          <w:sz w:val="20"/>
        </w:rPr>
        <w:t>Cuando proceda, indicación de que el poder adjudicador es una central de compras, o de que se va a utilizar, o se puede utilizar, alguna otra forma de contratación conjunta.</w:t>
      </w:r>
    </w:p>
    <w:p w:rsidR="0092635B" w:rsidRDefault="00000000">
      <w:pPr>
        <w:pStyle w:val="Prrafodelista"/>
        <w:numPr>
          <w:ilvl w:val="0"/>
          <w:numId w:val="15"/>
        </w:numPr>
        <w:tabs>
          <w:tab w:val="left" w:pos="1673"/>
        </w:tabs>
        <w:spacing w:before="1" w:line="249" w:lineRule="auto"/>
        <w:ind w:right="1106" w:firstLine="340"/>
        <w:jc w:val="both"/>
        <w:rPr>
          <w:sz w:val="20"/>
        </w:rPr>
      </w:pPr>
      <w:r>
        <w:rPr>
          <w:sz w:val="20"/>
        </w:rPr>
        <w:t>Códigos CPV cuando la concesión esté dividida en lotes, esta información se facilitará para cada lote.</w:t>
      </w:r>
    </w:p>
    <w:p w:rsidR="0092635B" w:rsidRDefault="00000000">
      <w:pPr>
        <w:pStyle w:val="Prrafodelista"/>
        <w:numPr>
          <w:ilvl w:val="0"/>
          <w:numId w:val="15"/>
        </w:numPr>
        <w:tabs>
          <w:tab w:val="left" w:pos="1670"/>
        </w:tabs>
        <w:spacing w:line="249" w:lineRule="auto"/>
        <w:ind w:firstLine="340"/>
        <w:jc w:val="both"/>
        <w:rPr>
          <w:sz w:val="20"/>
        </w:rPr>
      </w:pPr>
      <w:r>
        <w:rPr>
          <w:sz w:val="20"/>
        </w:rPr>
        <w:t>Código</w:t>
      </w:r>
      <w:r>
        <w:rPr>
          <w:spacing w:val="-1"/>
          <w:sz w:val="20"/>
        </w:rPr>
        <w:t xml:space="preserve"> </w:t>
      </w:r>
      <w:r>
        <w:rPr>
          <w:sz w:val="20"/>
        </w:rPr>
        <w:t>NUTS</w:t>
      </w:r>
      <w:r>
        <w:rPr>
          <w:spacing w:val="-1"/>
          <w:sz w:val="20"/>
        </w:rPr>
        <w:t xml:space="preserve"> </w:t>
      </w:r>
      <w:r>
        <w:rPr>
          <w:sz w:val="20"/>
        </w:rPr>
        <w:t>del</w:t>
      </w:r>
      <w:r>
        <w:rPr>
          <w:spacing w:val="-1"/>
          <w:sz w:val="20"/>
        </w:rPr>
        <w:t xml:space="preserve"> </w:t>
      </w:r>
      <w:r>
        <w:rPr>
          <w:sz w:val="20"/>
        </w:rPr>
        <w:t>emplazamiento</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o código NUTS del lugar principal de entrega o de ejecución en los contratos de suministro y de servicios. Cuando la concesión esté dividida en lotes, esta información se facilitará para cada lote.</w:t>
      </w:r>
    </w:p>
    <w:p w:rsidR="0092635B" w:rsidRDefault="00000000">
      <w:pPr>
        <w:pStyle w:val="Prrafodelista"/>
        <w:numPr>
          <w:ilvl w:val="0"/>
          <w:numId w:val="15"/>
        </w:numPr>
        <w:tabs>
          <w:tab w:val="left" w:pos="1683"/>
        </w:tabs>
        <w:spacing w:before="3" w:line="249" w:lineRule="auto"/>
        <w:ind w:firstLine="340"/>
        <w:jc w:val="both"/>
        <w:rPr>
          <w:sz w:val="20"/>
        </w:rPr>
      </w:pPr>
      <w:r>
        <w:rPr>
          <w:sz w:val="20"/>
        </w:rPr>
        <w:t>Breve descripción de la contratación: naturaleza y alcance de las obras, naturaleza y cantidad o valor de los suministros, naturaleza y alcance de los servicios.</w:t>
      </w:r>
    </w:p>
    <w:p w:rsidR="0092635B" w:rsidRDefault="00000000">
      <w:pPr>
        <w:pStyle w:val="Prrafodelista"/>
        <w:numPr>
          <w:ilvl w:val="0"/>
          <w:numId w:val="15"/>
        </w:numPr>
        <w:tabs>
          <w:tab w:val="left" w:pos="1716"/>
        </w:tabs>
        <w:spacing w:line="249" w:lineRule="auto"/>
        <w:ind w:right="1105" w:firstLine="340"/>
        <w:jc w:val="both"/>
        <w:rPr>
          <w:sz w:val="20"/>
        </w:rPr>
      </w:pPr>
      <w:r>
        <w:rPr>
          <w:sz w:val="20"/>
        </w:rPr>
        <w:t>Cuando este anuncio no se utilice como medio de convocatoria de licitación, las fechas estimadas para la publicación de uno o varios anuncios de licitación con respecto al contrato o los contratos a los que se refiera este anuncio de información previa.</w:t>
      </w:r>
    </w:p>
    <w:p w:rsidR="0092635B" w:rsidRDefault="00000000">
      <w:pPr>
        <w:pStyle w:val="Prrafodelista"/>
        <w:numPr>
          <w:ilvl w:val="0"/>
          <w:numId w:val="15"/>
        </w:numPr>
        <w:tabs>
          <w:tab w:val="left" w:pos="1668"/>
        </w:tabs>
        <w:ind w:left="1668" w:right="0" w:hanging="222"/>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15"/>
        </w:numPr>
        <w:tabs>
          <w:tab w:val="left" w:pos="1779"/>
        </w:tabs>
        <w:spacing w:before="10"/>
        <w:ind w:left="1779" w:right="0" w:hanging="333"/>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Prrafodelista"/>
        <w:numPr>
          <w:ilvl w:val="0"/>
          <w:numId w:val="15"/>
        </w:numPr>
        <w:tabs>
          <w:tab w:val="left" w:pos="1763"/>
        </w:tabs>
        <w:spacing w:before="10"/>
        <w:ind w:left="1763" w:right="0" w:hanging="317"/>
        <w:rPr>
          <w:sz w:val="20"/>
        </w:rPr>
      </w:pPr>
      <w:r>
        <w:rPr>
          <w:sz w:val="20"/>
        </w:rPr>
        <w:t>Indicación</w:t>
      </w:r>
      <w:r>
        <w:rPr>
          <w:spacing w:val="-3"/>
          <w:sz w:val="20"/>
        </w:rPr>
        <w:t xml:space="preserve"> </w:t>
      </w:r>
      <w:r>
        <w:rPr>
          <w:sz w:val="20"/>
        </w:rPr>
        <w:t>de</w:t>
      </w:r>
      <w:r>
        <w:rPr>
          <w:spacing w:val="-3"/>
          <w:sz w:val="20"/>
        </w:rPr>
        <w:t xml:space="preserve"> </w:t>
      </w:r>
      <w:r>
        <w:rPr>
          <w:sz w:val="20"/>
        </w:rPr>
        <w:t>si</w:t>
      </w:r>
      <w:r>
        <w:rPr>
          <w:spacing w:val="-2"/>
          <w:sz w:val="20"/>
        </w:rPr>
        <w:t xml:space="preserve"> </w:t>
      </w:r>
      <w:r>
        <w:rPr>
          <w:sz w:val="20"/>
        </w:rPr>
        <w:t>el</w:t>
      </w:r>
      <w:r>
        <w:rPr>
          <w:spacing w:val="-3"/>
          <w:sz w:val="20"/>
        </w:rPr>
        <w:t xml:space="preserve"> </w:t>
      </w:r>
      <w:r>
        <w:rPr>
          <w:sz w:val="20"/>
        </w:rPr>
        <w:t>ACP</w:t>
      </w:r>
      <w:r>
        <w:rPr>
          <w:spacing w:val="-3"/>
          <w:sz w:val="20"/>
        </w:rPr>
        <w:t xml:space="preserve"> </w:t>
      </w:r>
      <w:r>
        <w:rPr>
          <w:sz w:val="20"/>
        </w:rPr>
        <w:t>es</w:t>
      </w:r>
      <w:r>
        <w:rPr>
          <w:spacing w:val="-2"/>
          <w:sz w:val="20"/>
        </w:rPr>
        <w:t xml:space="preserve"> </w:t>
      </w:r>
      <w:r>
        <w:rPr>
          <w:sz w:val="20"/>
        </w:rPr>
        <w:t>aplicable</w:t>
      </w:r>
      <w:r>
        <w:rPr>
          <w:spacing w:val="-3"/>
          <w:sz w:val="20"/>
        </w:rPr>
        <w:t xml:space="preserve"> </w:t>
      </w:r>
      <w:r>
        <w:rPr>
          <w:sz w:val="20"/>
        </w:rPr>
        <w:t>al</w:t>
      </w:r>
      <w:r>
        <w:rPr>
          <w:spacing w:val="-2"/>
          <w:sz w:val="20"/>
        </w:rPr>
        <w:t xml:space="preserve"> contrato.</w:t>
      </w:r>
    </w:p>
    <w:p w:rsidR="0092635B" w:rsidRDefault="00000000">
      <w:pPr>
        <w:pStyle w:val="Textoindependiente"/>
        <w:spacing w:before="130" w:line="249" w:lineRule="auto"/>
        <w:ind w:right="1107"/>
      </w:pPr>
      <w:r>
        <w:t>Sección 3. Información que debe figurar en los anuncios de información previa de servicios especiales del Anexo IV:</w:t>
      </w:r>
    </w:p>
    <w:p w:rsidR="0092635B" w:rsidRDefault="00000000">
      <w:pPr>
        <w:pStyle w:val="Prrafodelista"/>
        <w:numPr>
          <w:ilvl w:val="0"/>
          <w:numId w:val="14"/>
        </w:numPr>
        <w:tabs>
          <w:tab w:val="left" w:pos="1699"/>
        </w:tabs>
        <w:spacing w:before="122" w:line="249" w:lineRule="auto"/>
        <w:ind w:right="1105" w:firstLine="340"/>
        <w:rPr>
          <w:sz w:val="20"/>
        </w:rPr>
      </w:pPr>
      <w:r>
        <w:rPr>
          <w:sz w:val="20"/>
        </w:rPr>
        <w:t>Nombre,</w:t>
      </w:r>
      <w:r>
        <w:rPr>
          <w:spacing w:val="29"/>
          <w:sz w:val="20"/>
        </w:rPr>
        <w:t xml:space="preserve"> </w:t>
      </w:r>
      <w:r>
        <w:rPr>
          <w:sz w:val="20"/>
        </w:rPr>
        <w:t>número</w:t>
      </w:r>
      <w:r>
        <w:rPr>
          <w:spacing w:val="29"/>
          <w:sz w:val="20"/>
        </w:rPr>
        <w:t xml:space="preserve"> </w:t>
      </w:r>
      <w:r>
        <w:rPr>
          <w:sz w:val="20"/>
        </w:rPr>
        <w:t>de</w:t>
      </w:r>
      <w:r>
        <w:rPr>
          <w:spacing w:val="29"/>
          <w:sz w:val="20"/>
        </w:rPr>
        <w:t xml:space="preserve"> </w:t>
      </w:r>
      <w:r>
        <w:rPr>
          <w:sz w:val="20"/>
        </w:rPr>
        <w:t>identificación</w:t>
      </w:r>
      <w:r>
        <w:rPr>
          <w:spacing w:val="29"/>
          <w:sz w:val="20"/>
        </w:rPr>
        <w:t xml:space="preserve"> </w:t>
      </w:r>
      <w:r>
        <w:rPr>
          <w:sz w:val="20"/>
        </w:rPr>
        <w:t>(cuando</w:t>
      </w:r>
      <w:r>
        <w:rPr>
          <w:spacing w:val="29"/>
          <w:sz w:val="20"/>
        </w:rPr>
        <w:t xml:space="preserve"> </w:t>
      </w:r>
      <w:r>
        <w:rPr>
          <w:sz w:val="20"/>
        </w:rPr>
        <w:t>esté</w:t>
      </w:r>
      <w:r>
        <w:rPr>
          <w:spacing w:val="29"/>
          <w:sz w:val="20"/>
        </w:rPr>
        <w:t xml:space="preserve"> </w:t>
      </w:r>
      <w:r>
        <w:rPr>
          <w:sz w:val="20"/>
        </w:rPr>
        <w:t>previsto</w:t>
      </w:r>
      <w:r>
        <w:rPr>
          <w:spacing w:val="29"/>
          <w:sz w:val="20"/>
        </w:rPr>
        <w:t xml:space="preserve"> </w:t>
      </w:r>
      <w:r>
        <w:rPr>
          <w:sz w:val="20"/>
        </w:rPr>
        <w:t>en</w:t>
      </w:r>
      <w:r>
        <w:rPr>
          <w:spacing w:val="29"/>
          <w:sz w:val="20"/>
        </w:rPr>
        <w:t xml:space="preserve"> </w:t>
      </w:r>
      <w:r>
        <w:rPr>
          <w:sz w:val="20"/>
        </w:rPr>
        <w:t>la</w:t>
      </w:r>
      <w:r>
        <w:rPr>
          <w:spacing w:val="29"/>
          <w:sz w:val="20"/>
        </w:rPr>
        <w:t xml:space="preserve"> </w:t>
      </w:r>
      <w:r>
        <w:rPr>
          <w:sz w:val="20"/>
        </w:rPr>
        <w:t>legislación</w:t>
      </w:r>
      <w:r>
        <w:rPr>
          <w:spacing w:val="29"/>
          <w:sz w:val="20"/>
        </w:rPr>
        <w:t xml:space="preserve"> </w:t>
      </w:r>
      <w:r>
        <w:rPr>
          <w:sz w:val="20"/>
        </w:rPr>
        <w:t>nacional), dirección, incluido código NUTS, dirección electrónica y de internet del poder adjudicador.</w:t>
      </w:r>
    </w:p>
    <w:p w:rsidR="0092635B" w:rsidRDefault="00000000">
      <w:pPr>
        <w:pStyle w:val="Prrafodelista"/>
        <w:numPr>
          <w:ilvl w:val="0"/>
          <w:numId w:val="14"/>
        </w:numPr>
        <w:tabs>
          <w:tab w:val="left" w:pos="1697"/>
        </w:tabs>
        <w:spacing w:line="249" w:lineRule="auto"/>
        <w:ind w:right="1104" w:firstLine="340"/>
        <w:rPr>
          <w:sz w:val="20"/>
        </w:rPr>
      </w:pPr>
      <w:r>
        <w:rPr>
          <w:sz w:val="20"/>
        </w:rPr>
        <w:t>Breve</w:t>
      </w:r>
      <w:r>
        <w:rPr>
          <w:spacing w:val="27"/>
          <w:sz w:val="20"/>
        </w:rPr>
        <w:t xml:space="preserve"> </w:t>
      </w:r>
      <w:r>
        <w:rPr>
          <w:sz w:val="20"/>
        </w:rPr>
        <w:t>descripción</w:t>
      </w:r>
      <w:r>
        <w:rPr>
          <w:spacing w:val="27"/>
          <w:sz w:val="20"/>
        </w:rPr>
        <w:t xml:space="preserve"> </w:t>
      </w:r>
      <w:r>
        <w:rPr>
          <w:sz w:val="20"/>
        </w:rPr>
        <w:t>del</w:t>
      </w:r>
      <w:r>
        <w:rPr>
          <w:spacing w:val="27"/>
          <w:sz w:val="20"/>
        </w:rPr>
        <w:t xml:space="preserve"> </w:t>
      </w:r>
      <w:r>
        <w:rPr>
          <w:sz w:val="20"/>
        </w:rPr>
        <w:t>contrato</w:t>
      </w:r>
      <w:r>
        <w:rPr>
          <w:spacing w:val="27"/>
          <w:sz w:val="20"/>
        </w:rPr>
        <w:t xml:space="preserve"> </w:t>
      </w:r>
      <w:r>
        <w:rPr>
          <w:sz w:val="20"/>
        </w:rPr>
        <w:t>de</w:t>
      </w:r>
      <w:r>
        <w:rPr>
          <w:spacing w:val="27"/>
          <w:sz w:val="20"/>
        </w:rPr>
        <w:t xml:space="preserve"> </w:t>
      </w:r>
      <w:r>
        <w:rPr>
          <w:sz w:val="20"/>
        </w:rPr>
        <w:t>que</w:t>
      </w:r>
      <w:r>
        <w:rPr>
          <w:spacing w:val="27"/>
          <w:sz w:val="20"/>
        </w:rPr>
        <w:t xml:space="preserve"> </w:t>
      </w:r>
      <w:r>
        <w:rPr>
          <w:sz w:val="20"/>
        </w:rPr>
        <w:t>se</w:t>
      </w:r>
      <w:r>
        <w:rPr>
          <w:spacing w:val="27"/>
          <w:sz w:val="20"/>
        </w:rPr>
        <w:t xml:space="preserve"> </w:t>
      </w:r>
      <w:r>
        <w:rPr>
          <w:sz w:val="20"/>
        </w:rPr>
        <w:t>trate,</w:t>
      </w:r>
      <w:r>
        <w:rPr>
          <w:spacing w:val="27"/>
          <w:sz w:val="20"/>
        </w:rPr>
        <w:t xml:space="preserve"> </w:t>
      </w:r>
      <w:r>
        <w:rPr>
          <w:sz w:val="20"/>
        </w:rPr>
        <w:t>incluidos</w:t>
      </w:r>
      <w:r>
        <w:rPr>
          <w:spacing w:val="27"/>
          <w:sz w:val="20"/>
        </w:rPr>
        <w:t xml:space="preserve"> </w:t>
      </w:r>
      <w:r>
        <w:rPr>
          <w:sz w:val="20"/>
        </w:rPr>
        <w:t>el</w:t>
      </w:r>
      <w:r>
        <w:rPr>
          <w:spacing w:val="27"/>
          <w:sz w:val="20"/>
        </w:rPr>
        <w:t xml:space="preserve"> </w:t>
      </w:r>
      <w:r>
        <w:rPr>
          <w:sz w:val="20"/>
        </w:rPr>
        <w:t>valor</w:t>
      </w:r>
      <w:r>
        <w:rPr>
          <w:spacing w:val="27"/>
          <w:sz w:val="20"/>
        </w:rPr>
        <w:t xml:space="preserve"> </w:t>
      </w:r>
      <w:r>
        <w:rPr>
          <w:sz w:val="20"/>
        </w:rPr>
        <w:t>estimado</w:t>
      </w:r>
      <w:r>
        <w:rPr>
          <w:spacing w:val="27"/>
          <w:sz w:val="20"/>
        </w:rPr>
        <w:t xml:space="preserve"> </w:t>
      </w:r>
      <w:r>
        <w:rPr>
          <w:sz w:val="20"/>
        </w:rPr>
        <w:t>total</w:t>
      </w:r>
      <w:r>
        <w:rPr>
          <w:spacing w:val="27"/>
          <w:sz w:val="20"/>
        </w:rPr>
        <w:t xml:space="preserve"> </w:t>
      </w:r>
      <w:r>
        <w:rPr>
          <w:sz w:val="20"/>
        </w:rPr>
        <w:t>del contrato y los números de referencia a la nomenclatura CPV.</w:t>
      </w:r>
    </w:p>
    <w:p w:rsidR="0092635B" w:rsidRDefault="00000000">
      <w:pPr>
        <w:pStyle w:val="Prrafodelista"/>
        <w:numPr>
          <w:ilvl w:val="0"/>
          <w:numId w:val="14"/>
        </w:numPr>
        <w:tabs>
          <w:tab w:val="left" w:pos="1668"/>
        </w:tabs>
        <w:spacing w:before="1"/>
        <w:ind w:left="1668" w:right="0" w:hanging="222"/>
        <w:rPr>
          <w:sz w:val="20"/>
        </w:rPr>
      </w:pPr>
      <w:r>
        <w:rPr>
          <w:sz w:val="20"/>
        </w:rPr>
        <w:t>En</w:t>
      </w:r>
      <w:r>
        <w:rPr>
          <w:spacing w:val="-2"/>
          <w:sz w:val="20"/>
        </w:rPr>
        <w:t xml:space="preserve"> </w:t>
      </w:r>
      <w:r>
        <w:rPr>
          <w:sz w:val="20"/>
        </w:rPr>
        <w:t>la</w:t>
      </w:r>
      <w:r>
        <w:rPr>
          <w:spacing w:val="-2"/>
          <w:sz w:val="20"/>
        </w:rPr>
        <w:t xml:space="preserve"> </w:t>
      </w:r>
      <w:r>
        <w:rPr>
          <w:sz w:val="20"/>
        </w:rPr>
        <w:t>medida</w:t>
      </w:r>
      <w:r>
        <w:rPr>
          <w:spacing w:val="-2"/>
          <w:sz w:val="20"/>
        </w:rPr>
        <w:t xml:space="preserve"> </w:t>
      </w:r>
      <w:r>
        <w:rPr>
          <w:sz w:val="20"/>
        </w:rPr>
        <w:t>en</w:t>
      </w:r>
      <w:r>
        <w:rPr>
          <w:spacing w:val="-1"/>
          <w:sz w:val="20"/>
        </w:rPr>
        <w:t xml:space="preserve"> </w:t>
      </w:r>
      <w:r>
        <w:rPr>
          <w:sz w:val="20"/>
        </w:rPr>
        <w:t>que</w:t>
      </w:r>
      <w:r>
        <w:rPr>
          <w:spacing w:val="-2"/>
          <w:sz w:val="20"/>
        </w:rPr>
        <w:t xml:space="preserve"> </w:t>
      </w:r>
      <w:r>
        <w:rPr>
          <w:sz w:val="20"/>
        </w:rPr>
        <w:t>ya</w:t>
      </w:r>
      <w:r>
        <w:rPr>
          <w:spacing w:val="-2"/>
          <w:sz w:val="20"/>
        </w:rPr>
        <w:t xml:space="preserve"> </w:t>
      </w:r>
      <w:r>
        <w:rPr>
          <w:sz w:val="20"/>
        </w:rPr>
        <w:t>se</w:t>
      </w:r>
      <w:r>
        <w:rPr>
          <w:spacing w:val="-1"/>
          <w:sz w:val="20"/>
        </w:rPr>
        <w:t xml:space="preserve"> </w:t>
      </w:r>
      <w:r>
        <w:rPr>
          <w:spacing w:val="-2"/>
          <w:sz w:val="20"/>
        </w:rPr>
        <w:t>conozcan:</w:t>
      </w:r>
    </w:p>
    <w:p w:rsidR="0092635B" w:rsidRDefault="00000000">
      <w:pPr>
        <w:pStyle w:val="Prrafodelista"/>
        <w:numPr>
          <w:ilvl w:val="1"/>
          <w:numId w:val="14"/>
        </w:numPr>
        <w:tabs>
          <w:tab w:val="left" w:pos="1705"/>
        </w:tabs>
        <w:spacing w:before="130" w:line="249" w:lineRule="auto"/>
        <w:ind w:right="1105" w:firstLine="340"/>
        <w:jc w:val="both"/>
        <w:rPr>
          <w:sz w:val="20"/>
        </w:rPr>
      </w:pPr>
      <w:r>
        <w:rPr>
          <w:sz w:val="20"/>
        </w:rPr>
        <w:t>Código NUTS del emplazamiento principal de las obras, en el caso de las obras, o código</w:t>
      </w:r>
      <w:r>
        <w:rPr>
          <w:spacing w:val="-2"/>
          <w:sz w:val="20"/>
        </w:rPr>
        <w:t xml:space="preserve"> </w:t>
      </w:r>
      <w:r>
        <w:rPr>
          <w:sz w:val="20"/>
        </w:rPr>
        <w:t>NUTS</w:t>
      </w:r>
      <w:r>
        <w:rPr>
          <w:spacing w:val="-2"/>
          <w:sz w:val="20"/>
        </w:rPr>
        <w:t xml:space="preserve"> </w:t>
      </w:r>
      <w:r>
        <w:rPr>
          <w:sz w:val="20"/>
        </w:rPr>
        <w:t>del</w:t>
      </w:r>
      <w:r>
        <w:rPr>
          <w:spacing w:val="-2"/>
          <w:sz w:val="20"/>
        </w:rPr>
        <w:t xml:space="preserve"> </w:t>
      </w:r>
      <w:r>
        <w:rPr>
          <w:sz w:val="20"/>
        </w:rPr>
        <w:t>lugar</w:t>
      </w:r>
      <w:r>
        <w:rPr>
          <w:spacing w:val="-2"/>
          <w:sz w:val="20"/>
        </w:rPr>
        <w:t xml:space="preserve"> </w:t>
      </w:r>
      <w:r>
        <w:rPr>
          <w:sz w:val="20"/>
        </w:rPr>
        <w:t>principal</w:t>
      </w:r>
      <w:r>
        <w:rPr>
          <w:spacing w:val="-2"/>
          <w:sz w:val="20"/>
        </w:rPr>
        <w:t xml:space="preserve"> </w:t>
      </w:r>
      <w:r>
        <w:rPr>
          <w:sz w:val="20"/>
        </w:rPr>
        <w:t>de</w:t>
      </w:r>
      <w:r>
        <w:rPr>
          <w:spacing w:val="-2"/>
          <w:sz w:val="20"/>
        </w:rPr>
        <w:t xml:space="preserve"> </w:t>
      </w:r>
      <w:r>
        <w:rPr>
          <w:sz w:val="20"/>
        </w:rPr>
        <w:t>entrega</w:t>
      </w:r>
      <w:r>
        <w:rPr>
          <w:spacing w:val="-2"/>
          <w:sz w:val="20"/>
        </w:rPr>
        <w:t xml:space="preserve"> </w:t>
      </w:r>
      <w:r>
        <w:rPr>
          <w:sz w:val="20"/>
        </w:rPr>
        <w:t>o</w:t>
      </w:r>
      <w:r>
        <w:rPr>
          <w:spacing w:val="-2"/>
          <w:sz w:val="20"/>
        </w:rPr>
        <w:t xml:space="preserve"> </w:t>
      </w:r>
      <w:r>
        <w:rPr>
          <w:sz w:val="20"/>
        </w:rPr>
        <w:t>de</w:t>
      </w:r>
      <w:r>
        <w:rPr>
          <w:spacing w:val="-2"/>
          <w:sz w:val="20"/>
        </w:rPr>
        <w:t xml:space="preserve"> </w:t>
      </w:r>
      <w:r>
        <w:rPr>
          <w:sz w:val="20"/>
        </w:rPr>
        <w:t>ejecución</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suministros</w:t>
      </w:r>
      <w:r>
        <w:rPr>
          <w:spacing w:val="-2"/>
          <w:sz w:val="20"/>
        </w:rPr>
        <w:t xml:space="preserve"> </w:t>
      </w:r>
      <w:r>
        <w:rPr>
          <w:sz w:val="20"/>
        </w:rPr>
        <w:t>y</w:t>
      </w:r>
      <w:r>
        <w:rPr>
          <w:spacing w:val="-2"/>
          <w:sz w:val="20"/>
        </w:rPr>
        <w:t xml:space="preserve"> </w:t>
      </w:r>
      <w:r>
        <w:rPr>
          <w:sz w:val="20"/>
        </w:rPr>
        <w:t xml:space="preserve">los </w:t>
      </w:r>
      <w:r>
        <w:rPr>
          <w:spacing w:val="-2"/>
          <w:sz w:val="20"/>
        </w:rPr>
        <w:t>servicios;</w:t>
      </w:r>
    </w:p>
    <w:p w:rsidR="0092635B" w:rsidRDefault="00000000">
      <w:pPr>
        <w:pStyle w:val="Prrafodelista"/>
        <w:numPr>
          <w:ilvl w:val="1"/>
          <w:numId w:val="14"/>
        </w:numPr>
        <w:tabs>
          <w:tab w:val="left" w:pos="1686"/>
        </w:tabs>
        <w:spacing w:before="3" w:line="249" w:lineRule="auto"/>
        <w:ind w:right="1104" w:firstLine="340"/>
        <w:jc w:val="both"/>
        <w:rPr>
          <w:sz w:val="20"/>
        </w:rPr>
      </w:pPr>
      <w:r>
        <w:rPr>
          <w:sz w:val="20"/>
        </w:rPr>
        <w:t>Calendario de entrega de los bienes, la realización de las obras o la prestación de los servicios y duración del contrato;</w:t>
      </w:r>
    </w:p>
    <w:p w:rsidR="0092635B" w:rsidRDefault="00000000">
      <w:pPr>
        <w:pStyle w:val="Prrafodelista"/>
        <w:numPr>
          <w:ilvl w:val="1"/>
          <w:numId w:val="14"/>
        </w:numPr>
        <w:tabs>
          <w:tab w:val="left" w:pos="1668"/>
        </w:tabs>
        <w:spacing w:before="1"/>
        <w:ind w:left="1668" w:right="0" w:hanging="222"/>
        <w:jc w:val="both"/>
        <w:rPr>
          <w:sz w:val="20"/>
        </w:rPr>
      </w:pPr>
      <w:r>
        <w:rPr>
          <w:sz w:val="20"/>
        </w:rPr>
        <w:t>Condiciones</w:t>
      </w:r>
      <w:r>
        <w:rPr>
          <w:spacing w:val="-4"/>
          <w:sz w:val="20"/>
        </w:rPr>
        <w:t xml:space="preserve"> </w:t>
      </w:r>
      <w:r>
        <w:rPr>
          <w:sz w:val="20"/>
        </w:rPr>
        <w:t>para</w:t>
      </w:r>
      <w:r>
        <w:rPr>
          <w:spacing w:val="-3"/>
          <w:sz w:val="20"/>
        </w:rPr>
        <w:t xml:space="preserve"> </w:t>
      </w:r>
      <w:r>
        <w:rPr>
          <w:sz w:val="20"/>
        </w:rPr>
        <w:t>la</w:t>
      </w:r>
      <w:r>
        <w:rPr>
          <w:spacing w:val="-3"/>
          <w:sz w:val="20"/>
        </w:rPr>
        <w:t xml:space="preserve"> </w:t>
      </w:r>
      <w:r>
        <w:rPr>
          <w:sz w:val="20"/>
        </w:rPr>
        <w:t>participación,</w:t>
      </w:r>
      <w:r>
        <w:rPr>
          <w:spacing w:val="-4"/>
          <w:sz w:val="20"/>
        </w:rPr>
        <w:t xml:space="preserve"> </w:t>
      </w:r>
      <w:r>
        <w:rPr>
          <w:sz w:val="20"/>
        </w:rPr>
        <w:t>y,</w:t>
      </w:r>
      <w:r>
        <w:rPr>
          <w:spacing w:val="-3"/>
          <w:sz w:val="20"/>
        </w:rPr>
        <w:t xml:space="preserve"> </w:t>
      </w:r>
      <w:r>
        <w:rPr>
          <w:sz w:val="20"/>
        </w:rPr>
        <w:t>en</w:t>
      </w:r>
      <w:r>
        <w:rPr>
          <w:spacing w:val="-3"/>
          <w:sz w:val="20"/>
        </w:rPr>
        <w:t xml:space="preserve"> </w:t>
      </w:r>
      <w:r>
        <w:rPr>
          <w:spacing w:val="-2"/>
          <w:sz w:val="20"/>
        </w:rPr>
        <w:t>concreto:</w:t>
      </w:r>
    </w:p>
    <w:p w:rsidR="0092635B" w:rsidRDefault="00000000">
      <w:pPr>
        <w:pStyle w:val="Textoindependiente"/>
        <w:spacing w:before="130" w:line="249" w:lineRule="auto"/>
        <w:ind w:right="1104"/>
        <w:jc w:val="right"/>
      </w:pPr>
      <w:r>
        <w:t>Cuando</w:t>
      </w:r>
      <w:r>
        <w:rPr>
          <w:spacing w:val="-1"/>
        </w:rPr>
        <w:t xml:space="preserve"> </w:t>
      </w:r>
      <w:r>
        <w:t>proceda,</w:t>
      </w:r>
      <w:r>
        <w:rPr>
          <w:spacing w:val="-2"/>
        </w:rPr>
        <w:t xml:space="preserve"> </w:t>
      </w:r>
      <w:r>
        <w:t>indicación</w:t>
      </w:r>
      <w:r>
        <w:rPr>
          <w:spacing w:val="-1"/>
        </w:rPr>
        <w:t xml:space="preserve"> </w:t>
      </w:r>
      <w:r>
        <w:t>de</w:t>
      </w:r>
      <w:r>
        <w:rPr>
          <w:spacing w:val="-2"/>
        </w:rPr>
        <w:t xml:space="preserve"> </w:t>
      </w:r>
      <w:r>
        <w:t>si</w:t>
      </w:r>
      <w:r>
        <w:rPr>
          <w:spacing w:val="-1"/>
        </w:rPr>
        <w:t xml:space="preserve"> </w:t>
      </w:r>
      <w:r>
        <w:t>el</w:t>
      </w:r>
      <w:r>
        <w:rPr>
          <w:spacing w:val="-2"/>
        </w:rPr>
        <w:t xml:space="preserve"> </w:t>
      </w:r>
      <w:r>
        <w:t>contrato</w:t>
      </w:r>
      <w:r>
        <w:rPr>
          <w:spacing w:val="-1"/>
        </w:rPr>
        <w:t xml:space="preserve"> </w:t>
      </w:r>
      <w:r>
        <w:t>público</w:t>
      </w:r>
      <w:r>
        <w:rPr>
          <w:spacing w:val="-2"/>
        </w:rPr>
        <w:t xml:space="preserve"> </w:t>
      </w:r>
      <w:r>
        <w:t>está</w:t>
      </w:r>
      <w:r>
        <w:rPr>
          <w:spacing w:val="-1"/>
        </w:rPr>
        <w:t xml:space="preserve"> </w:t>
      </w:r>
      <w:r>
        <w:t>restringido</w:t>
      </w:r>
      <w:r>
        <w:rPr>
          <w:spacing w:val="-2"/>
        </w:rPr>
        <w:t xml:space="preserve"> </w:t>
      </w:r>
      <w:r>
        <w:t>a</w:t>
      </w:r>
      <w:r>
        <w:rPr>
          <w:spacing w:val="-1"/>
        </w:rPr>
        <w:t xml:space="preserve"> </w:t>
      </w:r>
      <w:r>
        <w:t>talleres</w:t>
      </w:r>
      <w:r>
        <w:rPr>
          <w:spacing w:val="-2"/>
        </w:rPr>
        <w:t xml:space="preserve"> </w:t>
      </w:r>
      <w:r>
        <w:t>protegidos o</w:t>
      </w:r>
      <w:r>
        <w:rPr>
          <w:spacing w:val="-3"/>
        </w:rPr>
        <w:t xml:space="preserve"> </w:t>
      </w:r>
      <w:r>
        <w:t>si</w:t>
      </w:r>
      <w:r>
        <w:rPr>
          <w:spacing w:val="-3"/>
        </w:rPr>
        <w:t xml:space="preserve"> </w:t>
      </w:r>
      <w:r>
        <w:t>se</w:t>
      </w:r>
      <w:r>
        <w:rPr>
          <w:spacing w:val="-2"/>
        </w:rPr>
        <w:t xml:space="preserve"> </w:t>
      </w:r>
      <w:r>
        <w:t>prevé</w:t>
      </w:r>
      <w:r>
        <w:rPr>
          <w:spacing w:val="-3"/>
        </w:rPr>
        <w:t xml:space="preserve"> </w:t>
      </w:r>
      <w:r>
        <w:t>que</w:t>
      </w:r>
      <w:r>
        <w:rPr>
          <w:spacing w:val="-3"/>
        </w:rPr>
        <w:t xml:space="preserve"> </w:t>
      </w:r>
      <w:r>
        <w:t>sea</w:t>
      </w:r>
      <w:r>
        <w:rPr>
          <w:spacing w:val="-2"/>
        </w:rPr>
        <w:t xml:space="preserve"> </w:t>
      </w:r>
      <w:r>
        <w:t>ejecutado</w:t>
      </w:r>
      <w:r>
        <w:rPr>
          <w:spacing w:val="-3"/>
        </w:rPr>
        <w:t xml:space="preserve"> </w:t>
      </w:r>
      <w:r>
        <w:t>únicamente</w:t>
      </w:r>
      <w:r>
        <w:rPr>
          <w:spacing w:val="-3"/>
        </w:rPr>
        <w:t xml:space="preserve"> </w:t>
      </w:r>
      <w:r>
        <w:t>en</w:t>
      </w:r>
      <w:r>
        <w:rPr>
          <w:spacing w:val="-2"/>
        </w:rPr>
        <w:t xml:space="preserve"> </w:t>
      </w:r>
      <w:r>
        <w:t>el</w:t>
      </w:r>
      <w:r>
        <w:rPr>
          <w:spacing w:val="-3"/>
        </w:rPr>
        <w:t xml:space="preserve"> </w:t>
      </w:r>
      <w:r>
        <w:t>marco</w:t>
      </w:r>
      <w:r>
        <w:rPr>
          <w:spacing w:val="-3"/>
        </w:rPr>
        <w:t xml:space="preserve"> </w:t>
      </w:r>
      <w:r>
        <w:t>de</w:t>
      </w:r>
      <w:r>
        <w:rPr>
          <w:spacing w:val="-2"/>
        </w:rPr>
        <w:t xml:space="preserve"> </w:t>
      </w:r>
      <w:r>
        <w:t>programas</w:t>
      </w:r>
      <w:r>
        <w:rPr>
          <w:spacing w:val="-3"/>
        </w:rPr>
        <w:t xml:space="preserve"> </w:t>
      </w:r>
      <w:r>
        <w:t>de</w:t>
      </w:r>
      <w:r>
        <w:rPr>
          <w:spacing w:val="-3"/>
        </w:rPr>
        <w:t xml:space="preserve"> </w:t>
      </w:r>
      <w:r>
        <w:t>empleo</w:t>
      </w:r>
      <w:r>
        <w:rPr>
          <w:spacing w:val="-2"/>
        </w:rPr>
        <w:t xml:space="preserve"> protegido,</w:t>
      </w:r>
    </w:p>
    <w:p w:rsidR="0092635B" w:rsidRDefault="00000000">
      <w:pPr>
        <w:pStyle w:val="Textoindependiente"/>
        <w:spacing w:line="249" w:lineRule="auto"/>
        <w:ind w:right="1104"/>
      </w:pPr>
      <w:r>
        <w:t>Cuando proceda, indicar si con arreglo a disposiciones legales, reglamentarias o administrativas, se reserva la prestación del servicio a una determinada profesión;</w:t>
      </w:r>
    </w:p>
    <w:p w:rsidR="0092635B" w:rsidRDefault="00000000">
      <w:pPr>
        <w:pStyle w:val="Prrafodelista"/>
        <w:numPr>
          <w:ilvl w:val="1"/>
          <w:numId w:val="14"/>
        </w:numPr>
        <w:tabs>
          <w:tab w:val="left" w:pos="1687"/>
        </w:tabs>
        <w:spacing w:before="122" w:line="249" w:lineRule="auto"/>
        <w:ind w:right="1105" w:firstLine="340"/>
        <w:rPr>
          <w:sz w:val="20"/>
        </w:rPr>
      </w:pPr>
      <w:r>
        <w:rPr>
          <w:sz w:val="20"/>
        </w:rPr>
        <w:t>Breve descripción de las características principales del procedimiento de adjudicación que se va a aplicar.</w:t>
      </w:r>
    </w:p>
    <w:p w:rsidR="0092635B" w:rsidRDefault="00000000">
      <w:pPr>
        <w:pStyle w:val="Textoindependiente"/>
        <w:spacing w:before="121" w:line="249" w:lineRule="auto"/>
        <w:ind w:right="1106"/>
      </w:pPr>
      <w:r>
        <w:t>Sección 4. Información que debe figurar en los anuncios de licitación cuando no proceda la aplicación de la sección 5 siguiente:</w:t>
      </w:r>
    </w:p>
    <w:p w:rsidR="0092635B" w:rsidRDefault="0092635B">
      <w:pPr>
        <w:pStyle w:val="Textoindependiente"/>
        <w:spacing w:line="249" w:lineRule="auto"/>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13"/>
        </w:numPr>
        <w:tabs>
          <w:tab w:val="left" w:pos="1738"/>
        </w:tabs>
        <w:spacing w:before="1"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0"/>
          <w:numId w:val="13"/>
        </w:numPr>
        <w:tabs>
          <w:tab w:val="left" w:pos="1706"/>
        </w:tabs>
        <w:spacing w:line="249" w:lineRule="auto"/>
        <w:ind w:right="1104" w:firstLine="340"/>
        <w:jc w:val="both"/>
        <w:rPr>
          <w:sz w:val="20"/>
        </w:rPr>
      </w:pPr>
      <w:r>
        <w:rPr>
          <w:sz w:val="20"/>
        </w:rPr>
        <w:t>Dirección electrónica o de internet en la que estarán disponibles los pliegos de la contratación para un acceso libre, directo, completo y gratuito.</w:t>
      </w:r>
    </w:p>
    <w:p w:rsidR="0092635B" w:rsidRDefault="00000000">
      <w:pPr>
        <w:pStyle w:val="Textoindependiente"/>
        <w:spacing w:line="249" w:lineRule="auto"/>
        <w:ind w:right="1104"/>
      </w:pPr>
      <w:r>
        <w:t xml:space="preserve">Cuando no se disponga de un acceso libre, directo, completo y gratuito por los motivos contemplados en el artículo 138, una indicación sobre el modo de acceso a los pliegos de la </w:t>
      </w:r>
      <w:r>
        <w:rPr>
          <w:spacing w:val="-2"/>
        </w:rPr>
        <w:t>contratación.</w:t>
      </w:r>
    </w:p>
    <w:p w:rsidR="0092635B" w:rsidRDefault="00000000">
      <w:pPr>
        <w:pStyle w:val="Prrafodelista"/>
        <w:numPr>
          <w:ilvl w:val="0"/>
          <w:numId w:val="13"/>
        </w:numPr>
        <w:tabs>
          <w:tab w:val="left" w:pos="1668"/>
        </w:tabs>
        <w:ind w:left="1668" w:right="0" w:hanging="222"/>
        <w:jc w:val="both"/>
        <w:rPr>
          <w:sz w:val="20"/>
        </w:rPr>
      </w:pPr>
      <w:r>
        <w:rPr>
          <w:sz w:val="20"/>
        </w:rPr>
        <w:t>Tipo</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y</w:t>
      </w:r>
      <w:r>
        <w:rPr>
          <w:spacing w:val="-4"/>
          <w:sz w:val="20"/>
        </w:rPr>
        <w:t xml:space="preserve"> </w:t>
      </w:r>
      <w:r>
        <w:rPr>
          <w:sz w:val="20"/>
        </w:rPr>
        <w:t>principal</w:t>
      </w:r>
      <w:r>
        <w:rPr>
          <w:spacing w:val="-4"/>
          <w:sz w:val="20"/>
        </w:rPr>
        <w:t xml:space="preserve"> </w:t>
      </w:r>
      <w:r>
        <w:rPr>
          <w:sz w:val="20"/>
        </w:rPr>
        <w:t>actividad</w:t>
      </w:r>
      <w:r>
        <w:rPr>
          <w:spacing w:val="-3"/>
          <w:sz w:val="20"/>
        </w:rPr>
        <w:t xml:space="preserve"> </w:t>
      </w:r>
      <w:r>
        <w:rPr>
          <w:spacing w:val="-2"/>
          <w:sz w:val="20"/>
        </w:rPr>
        <w:t>ejercida.</w:t>
      </w:r>
    </w:p>
    <w:p w:rsidR="0092635B" w:rsidRDefault="00000000">
      <w:pPr>
        <w:pStyle w:val="Prrafodelista"/>
        <w:numPr>
          <w:ilvl w:val="0"/>
          <w:numId w:val="13"/>
        </w:numPr>
        <w:tabs>
          <w:tab w:val="left" w:pos="1672"/>
        </w:tabs>
        <w:spacing w:before="10" w:line="249" w:lineRule="auto"/>
        <w:ind w:right="1106" w:firstLine="340"/>
        <w:jc w:val="both"/>
        <w:rPr>
          <w:sz w:val="20"/>
        </w:rPr>
      </w:pPr>
      <w:r>
        <w:rPr>
          <w:sz w:val="20"/>
        </w:rPr>
        <w:t>Cuando proceda, indicación de que el poder adjudicador es una central de compras, o de que se va a utilizar alguna otra forma de contratación conjunta.</w:t>
      </w:r>
    </w:p>
    <w:p w:rsidR="0092635B" w:rsidRDefault="00000000">
      <w:pPr>
        <w:pStyle w:val="Prrafodelista"/>
        <w:numPr>
          <w:ilvl w:val="0"/>
          <w:numId w:val="13"/>
        </w:numPr>
        <w:tabs>
          <w:tab w:val="left" w:pos="1673"/>
        </w:tabs>
        <w:spacing w:line="249" w:lineRule="auto"/>
        <w:ind w:right="1106" w:firstLine="340"/>
        <w:jc w:val="both"/>
        <w:rPr>
          <w:sz w:val="20"/>
        </w:rPr>
      </w:pPr>
      <w:r>
        <w:rPr>
          <w:sz w:val="20"/>
        </w:rPr>
        <w:t>Códigos CPV cuando la concesión esté dividida en lotes, esta información se facilitará para cada lote.</w:t>
      </w:r>
    </w:p>
    <w:p w:rsidR="0092635B" w:rsidRDefault="00000000">
      <w:pPr>
        <w:pStyle w:val="Prrafodelista"/>
        <w:numPr>
          <w:ilvl w:val="0"/>
          <w:numId w:val="13"/>
        </w:numPr>
        <w:tabs>
          <w:tab w:val="left" w:pos="1670"/>
        </w:tabs>
        <w:spacing w:line="249" w:lineRule="auto"/>
        <w:ind w:firstLine="340"/>
        <w:jc w:val="both"/>
        <w:rPr>
          <w:sz w:val="20"/>
        </w:rPr>
      </w:pPr>
      <w:r>
        <w:rPr>
          <w:sz w:val="20"/>
        </w:rPr>
        <w:t>Código</w:t>
      </w:r>
      <w:r>
        <w:rPr>
          <w:spacing w:val="-1"/>
          <w:sz w:val="20"/>
        </w:rPr>
        <w:t xml:space="preserve"> </w:t>
      </w:r>
      <w:r>
        <w:rPr>
          <w:sz w:val="20"/>
        </w:rPr>
        <w:t>NUTS</w:t>
      </w:r>
      <w:r>
        <w:rPr>
          <w:spacing w:val="-1"/>
          <w:sz w:val="20"/>
        </w:rPr>
        <w:t xml:space="preserve"> </w:t>
      </w:r>
      <w:r>
        <w:rPr>
          <w:sz w:val="20"/>
        </w:rPr>
        <w:t>del</w:t>
      </w:r>
      <w:r>
        <w:rPr>
          <w:spacing w:val="-1"/>
          <w:sz w:val="20"/>
        </w:rPr>
        <w:t xml:space="preserve"> </w:t>
      </w:r>
      <w:r>
        <w:rPr>
          <w:sz w:val="20"/>
        </w:rPr>
        <w:t>emplazamiento</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o código NUTS del lugar principal de entrega o de ejecución en los contratos de suministro y de servicios. Cuando la concesión esté dividida en lotes, esta información se facilitará para cada lote.</w:t>
      </w:r>
    </w:p>
    <w:p w:rsidR="0092635B" w:rsidRDefault="00000000">
      <w:pPr>
        <w:pStyle w:val="Prrafodelista"/>
        <w:numPr>
          <w:ilvl w:val="0"/>
          <w:numId w:val="13"/>
        </w:numPr>
        <w:tabs>
          <w:tab w:val="left" w:pos="1674"/>
        </w:tabs>
        <w:spacing w:before="3" w:line="249" w:lineRule="auto"/>
        <w:ind w:firstLine="340"/>
        <w:jc w:val="both"/>
        <w:rPr>
          <w:sz w:val="20"/>
        </w:rPr>
      </w:pPr>
      <w:r>
        <w:rPr>
          <w:sz w:val="20"/>
        </w:rPr>
        <w:t xml:space="preserve">Descripción de la licitación: naturaleza y alcance de las obras, naturaleza y cantidad o valor de los suministros, naturaleza y alcance de los servicios. Si el contrato está dividido en lotes, esta información se facilitará para cada lote. Si procede, descripción de posibles </w:t>
      </w:r>
      <w:r>
        <w:rPr>
          <w:spacing w:val="-2"/>
          <w:sz w:val="20"/>
        </w:rPr>
        <w:t>variantes.</w:t>
      </w:r>
    </w:p>
    <w:p w:rsidR="0092635B" w:rsidRDefault="00000000">
      <w:pPr>
        <w:pStyle w:val="Prrafodelista"/>
        <w:numPr>
          <w:ilvl w:val="0"/>
          <w:numId w:val="13"/>
        </w:numPr>
        <w:tabs>
          <w:tab w:val="left" w:pos="1690"/>
        </w:tabs>
        <w:spacing w:before="3" w:line="249" w:lineRule="auto"/>
        <w:ind w:right="1104" w:firstLine="340"/>
        <w:jc w:val="both"/>
        <w:rPr>
          <w:sz w:val="20"/>
        </w:rPr>
      </w:pPr>
      <w:r>
        <w:rPr>
          <w:sz w:val="20"/>
        </w:rPr>
        <w:t>Orden de magnitud total estimado del contrato o los contratos: cuando los contratos estén divididos en lotes, esta información se facilitará para cada lote.</w:t>
      </w:r>
    </w:p>
    <w:p w:rsidR="0092635B" w:rsidRDefault="00000000">
      <w:pPr>
        <w:pStyle w:val="Prrafodelista"/>
        <w:numPr>
          <w:ilvl w:val="0"/>
          <w:numId w:val="13"/>
        </w:numPr>
        <w:tabs>
          <w:tab w:val="left" w:pos="1668"/>
        </w:tabs>
        <w:ind w:left="1668" w:right="0" w:hanging="222"/>
        <w:jc w:val="both"/>
        <w:rPr>
          <w:sz w:val="20"/>
        </w:rPr>
      </w:pPr>
      <w:r>
        <w:rPr>
          <w:sz w:val="20"/>
        </w:rPr>
        <w:t>Admisión</w:t>
      </w:r>
      <w:r>
        <w:rPr>
          <w:spacing w:val="-5"/>
          <w:sz w:val="20"/>
        </w:rPr>
        <w:t xml:space="preserve"> </w:t>
      </w:r>
      <w:r>
        <w:rPr>
          <w:sz w:val="20"/>
        </w:rPr>
        <w:t>o</w:t>
      </w:r>
      <w:r>
        <w:rPr>
          <w:spacing w:val="-4"/>
          <w:sz w:val="20"/>
        </w:rPr>
        <w:t xml:space="preserve"> </w:t>
      </w:r>
      <w:r>
        <w:rPr>
          <w:sz w:val="20"/>
        </w:rPr>
        <w:t>prohibición</w:t>
      </w:r>
      <w:r>
        <w:rPr>
          <w:spacing w:val="-5"/>
          <w:sz w:val="20"/>
        </w:rPr>
        <w:t xml:space="preserve"> </w:t>
      </w:r>
      <w:r>
        <w:rPr>
          <w:sz w:val="20"/>
        </w:rPr>
        <w:t>de</w:t>
      </w:r>
      <w:r>
        <w:rPr>
          <w:spacing w:val="-4"/>
          <w:sz w:val="20"/>
        </w:rPr>
        <w:t xml:space="preserve"> </w:t>
      </w:r>
      <w:r>
        <w:rPr>
          <w:spacing w:val="-2"/>
          <w:sz w:val="20"/>
        </w:rPr>
        <w:t>variantes.</w:t>
      </w:r>
    </w:p>
    <w:p w:rsidR="0092635B" w:rsidRDefault="00000000">
      <w:pPr>
        <w:pStyle w:val="Prrafodelista"/>
        <w:numPr>
          <w:ilvl w:val="0"/>
          <w:numId w:val="13"/>
        </w:numPr>
        <w:tabs>
          <w:tab w:val="left" w:pos="1788"/>
        </w:tabs>
        <w:spacing w:before="10" w:line="249" w:lineRule="auto"/>
        <w:ind w:right="1104" w:firstLine="340"/>
        <w:jc w:val="both"/>
        <w:rPr>
          <w:sz w:val="20"/>
        </w:rPr>
      </w:pPr>
      <w:r>
        <w:rPr>
          <w:sz w:val="20"/>
        </w:rPr>
        <w:t>Calendario para la entrega de los suministros o las obras o para la prestación de los servicios y, en la medida de lo posible, duración del contrato.</w:t>
      </w:r>
    </w:p>
    <w:p w:rsidR="0092635B" w:rsidRDefault="00000000">
      <w:pPr>
        <w:pStyle w:val="Prrafodelista"/>
        <w:numPr>
          <w:ilvl w:val="1"/>
          <w:numId w:val="13"/>
        </w:numPr>
        <w:tabs>
          <w:tab w:val="left" w:pos="1696"/>
        </w:tabs>
        <w:spacing w:before="121" w:line="249" w:lineRule="auto"/>
        <w:ind w:firstLine="340"/>
        <w:jc w:val="both"/>
        <w:rPr>
          <w:sz w:val="20"/>
        </w:rPr>
      </w:pPr>
      <w:r>
        <w:rPr>
          <w:sz w:val="20"/>
        </w:rPr>
        <w:t>Cuando se utilice un acuerdo marco, indicación de su duración prevista, justificando, en su caso, toda duración superior a cuatro años; en la medida de lo posible, indicación del valor o del orden de magnitud y de la frecuencia de los contratos que se van a adjudicar, el número</w:t>
      </w:r>
      <w:r>
        <w:rPr>
          <w:spacing w:val="-3"/>
          <w:sz w:val="20"/>
        </w:rPr>
        <w:t xml:space="preserve"> </w:t>
      </w:r>
      <w:r>
        <w:rPr>
          <w:sz w:val="20"/>
        </w:rPr>
        <w:t>y,</w:t>
      </w:r>
      <w:r>
        <w:rPr>
          <w:spacing w:val="-3"/>
          <w:sz w:val="20"/>
        </w:rPr>
        <w:t xml:space="preserve"> </w:t>
      </w:r>
      <w:r>
        <w:rPr>
          <w:sz w:val="20"/>
        </w:rPr>
        <w:t>cuando</w:t>
      </w:r>
      <w:r>
        <w:rPr>
          <w:spacing w:val="-3"/>
          <w:sz w:val="20"/>
        </w:rPr>
        <w:t xml:space="preserve"> </w:t>
      </w:r>
      <w:r>
        <w:rPr>
          <w:sz w:val="20"/>
        </w:rPr>
        <w:t>proceda,</w:t>
      </w:r>
      <w:r>
        <w:rPr>
          <w:spacing w:val="-3"/>
          <w:sz w:val="20"/>
        </w:rPr>
        <w:t xml:space="preserve"> </w:t>
      </w:r>
      <w:r>
        <w:rPr>
          <w:sz w:val="20"/>
        </w:rPr>
        <w:t>número</w:t>
      </w:r>
      <w:r>
        <w:rPr>
          <w:spacing w:val="-3"/>
          <w:sz w:val="20"/>
        </w:rPr>
        <w:t xml:space="preserve"> </w:t>
      </w:r>
      <w:r>
        <w:rPr>
          <w:sz w:val="20"/>
        </w:rPr>
        <w:t>máximo</w:t>
      </w:r>
      <w:r>
        <w:rPr>
          <w:spacing w:val="-3"/>
          <w:sz w:val="20"/>
        </w:rPr>
        <w:t xml:space="preserve"> </w:t>
      </w:r>
      <w:r>
        <w:rPr>
          <w:sz w:val="20"/>
        </w:rPr>
        <w:t>propuesto</w:t>
      </w:r>
      <w:r>
        <w:rPr>
          <w:spacing w:val="-3"/>
          <w:sz w:val="20"/>
        </w:rPr>
        <w:t xml:space="preserve"> </w:t>
      </w:r>
      <w:r>
        <w:rPr>
          <w:sz w:val="20"/>
        </w:rPr>
        <w:t>de</w:t>
      </w:r>
      <w:r>
        <w:rPr>
          <w:spacing w:val="-3"/>
          <w:sz w:val="20"/>
        </w:rPr>
        <w:t xml:space="preserve"> </w:t>
      </w:r>
      <w:r>
        <w:rPr>
          <w:sz w:val="20"/>
        </w:rPr>
        <w:t>operadores</w:t>
      </w:r>
      <w:r>
        <w:rPr>
          <w:spacing w:val="-3"/>
          <w:sz w:val="20"/>
        </w:rPr>
        <w:t xml:space="preserve"> </w:t>
      </w:r>
      <w:r>
        <w:rPr>
          <w:sz w:val="20"/>
        </w:rPr>
        <w:t>económicos</w:t>
      </w:r>
      <w:r>
        <w:rPr>
          <w:spacing w:val="-3"/>
          <w:sz w:val="20"/>
        </w:rPr>
        <w:t xml:space="preserve"> </w:t>
      </w:r>
      <w:r>
        <w:rPr>
          <w:sz w:val="20"/>
        </w:rPr>
        <w:t>que</w:t>
      </w:r>
      <w:r>
        <w:rPr>
          <w:spacing w:val="-3"/>
          <w:sz w:val="20"/>
        </w:rPr>
        <w:t xml:space="preserve"> </w:t>
      </w:r>
      <w:r>
        <w:rPr>
          <w:sz w:val="20"/>
        </w:rPr>
        <w:t>van</w:t>
      </w:r>
      <w:r>
        <w:rPr>
          <w:spacing w:val="-3"/>
          <w:sz w:val="20"/>
        </w:rPr>
        <w:t xml:space="preserve"> </w:t>
      </w:r>
      <w:r>
        <w:rPr>
          <w:sz w:val="20"/>
        </w:rPr>
        <w:t xml:space="preserve">a </w:t>
      </w:r>
      <w:r>
        <w:rPr>
          <w:spacing w:val="-2"/>
          <w:sz w:val="20"/>
        </w:rPr>
        <w:t>participar.</w:t>
      </w:r>
    </w:p>
    <w:p w:rsidR="0092635B" w:rsidRDefault="00000000">
      <w:pPr>
        <w:pStyle w:val="Prrafodelista"/>
        <w:numPr>
          <w:ilvl w:val="1"/>
          <w:numId w:val="13"/>
        </w:numPr>
        <w:tabs>
          <w:tab w:val="left" w:pos="1694"/>
        </w:tabs>
        <w:spacing w:before="4" w:line="249" w:lineRule="auto"/>
        <w:ind w:firstLine="340"/>
        <w:jc w:val="both"/>
        <w:rPr>
          <w:sz w:val="20"/>
        </w:rPr>
      </w:pPr>
      <w:r>
        <w:rPr>
          <w:sz w:val="20"/>
        </w:rPr>
        <w:t>En el caso de un sistema dinámico de adquisición, indicación de la duración prevista del sistema; en la medida de lo posible, indicación del valor o del orden de magnitud y de la frecuencia de los contratos que se van a adjudicar.</w:t>
      </w:r>
    </w:p>
    <w:p w:rsidR="0092635B" w:rsidRDefault="00000000">
      <w:pPr>
        <w:pStyle w:val="Prrafodelista"/>
        <w:numPr>
          <w:ilvl w:val="0"/>
          <w:numId w:val="13"/>
        </w:numPr>
        <w:tabs>
          <w:tab w:val="left" w:pos="1763"/>
        </w:tabs>
        <w:spacing w:before="123"/>
        <w:ind w:left="1763" w:right="0" w:hanging="317"/>
        <w:jc w:val="both"/>
        <w:rPr>
          <w:sz w:val="20"/>
        </w:rPr>
      </w:pPr>
      <w:r>
        <w:rPr>
          <w:sz w:val="20"/>
        </w:rPr>
        <w:t>Condiciones</w:t>
      </w:r>
      <w:r>
        <w:rPr>
          <w:spacing w:val="-2"/>
          <w:sz w:val="20"/>
        </w:rPr>
        <w:t xml:space="preserve"> </w:t>
      </w:r>
      <w:r>
        <w:rPr>
          <w:sz w:val="20"/>
        </w:rPr>
        <w:t>de</w:t>
      </w:r>
      <w:r>
        <w:rPr>
          <w:spacing w:val="-1"/>
          <w:sz w:val="20"/>
        </w:rPr>
        <w:t xml:space="preserve"> </w:t>
      </w:r>
      <w:r>
        <w:rPr>
          <w:sz w:val="20"/>
        </w:rPr>
        <w:t>participación,</w:t>
      </w:r>
      <w:r>
        <w:rPr>
          <w:spacing w:val="-1"/>
          <w:sz w:val="20"/>
        </w:rPr>
        <w:t xml:space="preserve"> </w:t>
      </w:r>
      <w:r>
        <w:rPr>
          <w:sz w:val="20"/>
        </w:rPr>
        <w:t>entre</w:t>
      </w:r>
      <w:r>
        <w:rPr>
          <w:spacing w:val="-1"/>
          <w:sz w:val="20"/>
        </w:rPr>
        <w:t xml:space="preserve"> </w:t>
      </w:r>
      <w:r>
        <w:rPr>
          <w:spacing w:val="-2"/>
          <w:sz w:val="20"/>
        </w:rPr>
        <w:t>ellas:</w:t>
      </w:r>
    </w:p>
    <w:p w:rsidR="0092635B" w:rsidRDefault="00000000">
      <w:pPr>
        <w:pStyle w:val="Prrafodelista"/>
        <w:numPr>
          <w:ilvl w:val="1"/>
          <w:numId w:val="13"/>
        </w:numPr>
        <w:tabs>
          <w:tab w:val="left" w:pos="1743"/>
        </w:tabs>
        <w:spacing w:before="130" w:line="249" w:lineRule="auto"/>
        <w:ind w:right="1104" w:firstLine="340"/>
        <w:jc w:val="both"/>
        <w:rPr>
          <w:sz w:val="20"/>
        </w:rPr>
      </w:pPr>
      <w:r>
        <w:rPr>
          <w:sz w:val="20"/>
        </w:rPr>
        <w:t>Cuando proceda, indicación de si el contrato público está restringido a talleres protegidos o si se prevé que sea ejecutado únicamente en el marco de programas de</w:t>
      </w:r>
      <w:r>
        <w:rPr>
          <w:spacing w:val="80"/>
          <w:sz w:val="20"/>
        </w:rPr>
        <w:t xml:space="preserve"> </w:t>
      </w:r>
      <w:r>
        <w:rPr>
          <w:sz w:val="20"/>
        </w:rPr>
        <w:t>empleo protegido;</w:t>
      </w:r>
    </w:p>
    <w:p w:rsidR="0092635B" w:rsidRDefault="00000000">
      <w:pPr>
        <w:pStyle w:val="Prrafodelista"/>
        <w:numPr>
          <w:ilvl w:val="1"/>
          <w:numId w:val="13"/>
        </w:numPr>
        <w:tabs>
          <w:tab w:val="left" w:pos="1768"/>
        </w:tabs>
        <w:spacing w:line="249" w:lineRule="auto"/>
        <w:ind w:firstLine="340"/>
        <w:jc w:val="both"/>
        <w:rPr>
          <w:sz w:val="20"/>
        </w:rPr>
      </w:pPr>
      <w:r>
        <w:rPr>
          <w:sz w:val="20"/>
        </w:rPr>
        <w:t>Cuando proceda, indicación de si las disposiciones legales, reglamentarias y administrativas reservan la prestación del servicio a una profesión determinada; referencia a dicha disposición legal, reglamentaria o administrativa;</w:t>
      </w:r>
    </w:p>
    <w:p w:rsidR="0092635B" w:rsidRDefault="00000000">
      <w:pPr>
        <w:pStyle w:val="Prrafodelista"/>
        <w:numPr>
          <w:ilvl w:val="1"/>
          <w:numId w:val="13"/>
        </w:numPr>
        <w:tabs>
          <w:tab w:val="left" w:pos="1690"/>
        </w:tabs>
        <w:spacing w:before="3" w:line="249" w:lineRule="auto"/>
        <w:ind w:right="1104" w:firstLine="340"/>
        <w:jc w:val="both"/>
        <w:rPr>
          <w:sz w:val="20"/>
        </w:rPr>
      </w:pPr>
      <w:r>
        <w:rPr>
          <w:sz w:val="20"/>
        </w:rPr>
        <w:t>Enumeración y breve descripción de los criterios relativos a la situación personal de</w:t>
      </w:r>
      <w:r>
        <w:rPr>
          <w:spacing w:val="40"/>
          <w:sz w:val="20"/>
        </w:rPr>
        <w:t xml:space="preserve"> </w:t>
      </w:r>
      <w:r>
        <w:rPr>
          <w:sz w:val="20"/>
        </w:rPr>
        <w:t>los</w:t>
      </w:r>
      <w:r>
        <w:rPr>
          <w:spacing w:val="-2"/>
          <w:sz w:val="20"/>
        </w:rPr>
        <w:t xml:space="preserve"> </w:t>
      </w:r>
      <w:r>
        <w:rPr>
          <w:sz w:val="20"/>
        </w:rPr>
        <w:t>operadores</w:t>
      </w:r>
      <w:r>
        <w:rPr>
          <w:spacing w:val="-2"/>
          <w:sz w:val="20"/>
        </w:rPr>
        <w:t xml:space="preserve"> </w:t>
      </w:r>
      <w:r>
        <w:rPr>
          <w:sz w:val="20"/>
        </w:rPr>
        <w:t>económicos</w:t>
      </w:r>
      <w:r>
        <w:rPr>
          <w:spacing w:val="-2"/>
          <w:sz w:val="20"/>
        </w:rPr>
        <w:t xml:space="preserve"> </w:t>
      </w:r>
      <w:r>
        <w:rPr>
          <w:sz w:val="20"/>
        </w:rPr>
        <w:t>que</w:t>
      </w:r>
      <w:r>
        <w:rPr>
          <w:spacing w:val="-2"/>
          <w:sz w:val="20"/>
        </w:rPr>
        <w:t xml:space="preserve"> </w:t>
      </w:r>
      <w:r>
        <w:rPr>
          <w:sz w:val="20"/>
        </w:rPr>
        <w:t>pueden</w:t>
      </w:r>
      <w:r>
        <w:rPr>
          <w:spacing w:val="-2"/>
          <w:sz w:val="20"/>
        </w:rPr>
        <w:t xml:space="preserve"> </w:t>
      </w:r>
      <w:r>
        <w:rPr>
          <w:sz w:val="20"/>
        </w:rPr>
        <w:t>dar</w:t>
      </w:r>
      <w:r>
        <w:rPr>
          <w:spacing w:val="-2"/>
          <w:sz w:val="20"/>
        </w:rPr>
        <w:t xml:space="preserve"> </w:t>
      </w:r>
      <w:r>
        <w:rPr>
          <w:sz w:val="20"/>
        </w:rPr>
        <w:t>lugar</w:t>
      </w:r>
      <w:r>
        <w:rPr>
          <w:spacing w:val="-2"/>
          <w:sz w:val="20"/>
        </w:rPr>
        <w:t xml:space="preserve"> </w:t>
      </w:r>
      <w:r>
        <w:rPr>
          <w:sz w:val="20"/>
        </w:rPr>
        <w:t>a</w:t>
      </w:r>
      <w:r>
        <w:rPr>
          <w:spacing w:val="-2"/>
          <w:sz w:val="20"/>
        </w:rPr>
        <w:t xml:space="preserve"> </w:t>
      </w:r>
      <w:r>
        <w:rPr>
          <w:sz w:val="20"/>
        </w:rPr>
        <w:t>su</w:t>
      </w:r>
      <w:r>
        <w:rPr>
          <w:spacing w:val="-2"/>
          <w:sz w:val="20"/>
        </w:rPr>
        <w:t xml:space="preserve"> </w:t>
      </w:r>
      <w:r>
        <w:rPr>
          <w:sz w:val="20"/>
        </w:rPr>
        <w:t>exclusión,</w:t>
      </w:r>
      <w:r>
        <w:rPr>
          <w:spacing w:val="-2"/>
          <w:sz w:val="20"/>
        </w:rPr>
        <w:t xml:space="preserve"> </w:t>
      </w:r>
      <w:r>
        <w:rPr>
          <w:sz w:val="20"/>
        </w:rPr>
        <w:t>así</w:t>
      </w:r>
      <w:r>
        <w:rPr>
          <w:spacing w:val="-2"/>
          <w:sz w:val="20"/>
        </w:rPr>
        <w:t xml:space="preserve"> </w:t>
      </w:r>
      <w:r>
        <w:rPr>
          <w:sz w:val="20"/>
        </w:rPr>
        <w:t>como</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de selección; niveles mínimos aceptables; indicación de la información exigida (declaraciones</w:t>
      </w:r>
      <w:r>
        <w:rPr>
          <w:spacing w:val="40"/>
          <w:sz w:val="20"/>
        </w:rPr>
        <w:t xml:space="preserve"> </w:t>
      </w:r>
      <w:r>
        <w:rPr>
          <w:sz w:val="20"/>
        </w:rPr>
        <w:t>de los interesados, documentación).</w:t>
      </w:r>
    </w:p>
    <w:p w:rsidR="0092635B" w:rsidRDefault="00000000">
      <w:pPr>
        <w:pStyle w:val="Prrafodelista"/>
        <w:numPr>
          <w:ilvl w:val="0"/>
          <w:numId w:val="13"/>
        </w:numPr>
        <w:tabs>
          <w:tab w:val="left" w:pos="1800"/>
        </w:tabs>
        <w:spacing w:before="123" w:line="249" w:lineRule="auto"/>
        <w:ind w:right="1104" w:firstLine="340"/>
        <w:jc w:val="both"/>
        <w:rPr>
          <w:sz w:val="20"/>
        </w:rPr>
      </w:pPr>
      <w:r>
        <w:rPr>
          <w:sz w:val="20"/>
        </w:rPr>
        <w:t>Tipo de procedimiento de adjudicación; cuando proceda, motivos para la utilización de un procedimiento acelerado (en los procedimientos abiertos, restringidos o de licitación con negociación).</w:t>
      </w:r>
    </w:p>
    <w:p w:rsidR="0092635B" w:rsidRDefault="00000000">
      <w:pPr>
        <w:pStyle w:val="Prrafodelista"/>
        <w:numPr>
          <w:ilvl w:val="0"/>
          <w:numId w:val="13"/>
        </w:numPr>
        <w:tabs>
          <w:tab w:val="left" w:pos="1779"/>
        </w:tabs>
        <w:spacing w:before="3"/>
        <w:ind w:left="1779" w:right="0" w:hanging="333"/>
        <w:jc w:val="both"/>
        <w:rPr>
          <w:sz w:val="20"/>
        </w:rPr>
      </w:pPr>
      <w:r>
        <w:rPr>
          <w:sz w:val="20"/>
        </w:rPr>
        <w:t>Si</w:t>
      </w:r>
      <w:r>
        <w:rPr>
          <w:spacing w:val="-3"/>
          <w:sz w:val="20"/>
        </w:rPr>
        <w:t xml:space="preserve"> </w:t>
      </w:r>
      <w:r>
        <w:rPr>
          <w:sz w:val="20"/>
        </w:rPr>
        <w:t>procede,</w:t>
      </w:r>
      <w:r>
        <w:rPr>
          <w:spacing w:val="-3"/>
          <w:sz w:val="20"/>
        </w:rPr>
        <w:t xml:space="preserve"> </w:t>
      </w:r>
      <w:r>
        <w:rPr>
          <w:sz w:val="20"/>
        </w:rPr>
        <w:t>indicación</w:t>
      </w:r>
      <w:r>
        <w:rPr>
          <w:spacing w:val="-3"/>
          <w:sz w:val="20"/>
        </w:rPr>
        <w:t xml:space="preserve"> </w:t>
      </w:r>
      <w:r>
        <w:rPr>
          <w:sz w:val="20"/>
        </w:rPr>
        <w:t>de</w:t>
      </w:r>
      <w:r>
        <w:rPr>
          <w:spacing w:val="-2"/>
          <w:sz w:val="20"/>
        </w:rPr>
        <w:t xml:space="preserve"> </w:t>
      </w:r>
      <w:r>
        <w:rPr>
          <w:spacing w:val="-5"/>
          <w:sz w:val="20"/>
        </w:rPr>
        <w:t>si:</w:t>
      </w:r>
    </w:p>
    <w:p w:rsidR="0092635B" w:rsidRDefault="00000000">
      <w:pPr>
        <w:pStyle w:val="Prrafodelista"/>
        <w:numPr>
          <w:ilvl w:val="1"/>
          <w:numId w:val="13"/>
        </w:numPr>
        <w:tabs>
          <w:tab w:val="left" w:pos="1679"/>
        </w:tabs>
        <w:spacing w:before="130"/>
        <w:ind w:left="1679" w:right="0" w:hanging="233"/>
        <w:rPr>
          <w:sz w:val="20"/>
        </w:rPr>
      </w:pPr>
      <w:r>
        <w:rPr>
          <w:sz w:val="20"/>
        </w:rPr>
        <w:t>Se</w:t>
      </w:r>
      <w:r>
        <w:rPr>
          <w:spacing w:val="-4"/>
          <w:sz w:val="20"/>
        </w:rPr>
        <w:t xml:space="preserve"> </w:t>
      </w:r>
      <w:r>
        <w:rPr>
          <w:sz w:val="20"/>
        </w:rPr>
        <w:t>aplica</w:t>
      </w:r>
      <w:r>
        <w:rPr>
          <w:spacing w:val="-3"/>
          <w:sz w:val="20"/>
        </w:rPr>
        <w:t xml:space="preserve"> </w:t>
      </w:r>
      <w:r>
        <w:rPr>
          <w:sz w:val="20"/>
        </w:rPr>
        <w:t>un</w:t>
      </w:r>
      <w:r>
        <w:rPr>
          <w:spacing w:val="-3"/>
          <w:sz w:val="20"/>
        </w:rPr>
        <w:t xml:space="preserve"> </w:t>
      </w:r>
      <w:r>
        <w:rPr>
          <w:sz w:val="20"/>
        </w:rPr>
        <w:t>acuerdo</w:t>
      </w:r>
      <w:r>
        <w:rPr>
          <w:spacing w:val="-3"/>
          <w:sz w:val="20"/>
        </w:rPr>
        <w:t xml:space="preserve"> </w:t>
      </w:r>
      <w:r>
        <w:rPr>
          <w:spacing w:val="-2"/>
          <w:sz w:val="20"/>
        </w:rPr>
        <w:t>marco;</w:t>
      </w:r>
    </w:p>
    <w:p w:rsidR="0092635B" w:rsidRDefault="00000000">
      <w:pPr>
        <w:pStyle w:val="Prrafodelista"/>
        <w:numPr>
          <w:ilvl w:val="1"/>
          <w:numId w:val="13"/>
        </w:numPr>
        <w:tabs>
          <w:tab w:val="left" w:pos="1679"/>
        </w:tabs>
        <w:spacing w:before="10"/>
        <w:ind w:left="1679" w:right="0" w:hanging="233"/>
        <w:rPr>
          <w:sz w:val="20"/>
        </w:rPr>
      </w:pPr>
      <w:r>
        <w:rPr>
          <w:sz w:val="20"/>
        </w:rPr>
        <w:t>Se</w:t>
      </w:r>
      <w:r>
        <w:rPr>
          <w:spacing w:val="-4"/>
          <w:sz w:val="20"/>
        </w:rPr>
        <w:t xml:space="preserve"> </w:t>
      </w:r>
      <w:r>
        <w:rPr>
          <w:sz w:val="20"/>
        </w:rPr>
        <w:t>aplica</w:t>
      </w:r>
      <w:r>
        <w:rPr>
          <w:spacing w:val="-3"/>
          <w:sz w:val="20"/>
        </w:rPr>
        <w:t xml:space="preserve"> </w:t>
      </w:r>
      <w:r>
        <w:rPr>
          <w:sz w:val="20"/>
        </w:rPr>
        <w:t>un</w:t>
      </w:r>
      <w:r>
        <w:rPr>
          <w:spacing w:val="-4"/>
          <w:sz w:val="20"/>
        </w:rPr>
        <w:t xml:space="preserve"> </w:t>
      </w:r>
      <w:r>
        <w:rPr>
          <w:sz w:val="20"/>
        </w:rPr>
        <w:t>sistema</w:t>
      </w:r>
      <w:r>
        <w:rPr>
          <w:spacing w:val="-3"/>
          <w:sz w:val="20"/>
        </w:rPr>
        <w:t xml:space="preserve"> </w:t>
      </w:r>
      <w:r>
        <w:rPr>
          <w:sz w:val="20"/>
        </w:rPr>
        <w:t>dinámico</w:t>
      </w:r>
      <w:r>
        <w:rPr>
          <w:spacing w:val="-4"/>
          <w:sz w:val="20"/>
        </w:rPr>
        <w:t xml:space="preserve"> </w:t>
      </w:r>
      <w:r>
        <w:rPr>
          <w:sz w:val="20"/>
        </w:rPr>
        <w:t>de</w:t>
      </w:r>
      <w:r>
        <w:rPr>
          <w:spacing w:val="-3"/>
          <w:sz w:val="20"/>
        </w:rPr>
        <w:t xml:space="preserve"> </w:t>
      </w:r>
      <w:r>
        <w:rPr>
          <w:spacing w:val="-2"/>
          <w:sz w:val="20"/>
        </w:rPr>
        <w:t>adquisición;</w:t>
      </w:r>
    </w:p>
    <w:p w:rsidR="0092635B" w:rsidRDefault="00000000">
      <w:pPr>
        <w:pStyle w:val="Prrafodelista"/>
        <w:numPr>
          <w:ilvl w:val="1"/>
          <w:numId w:val="13"/>
        </w:numPr>
        <w:tabs>
          <w:tab w:val="left" w:pos="1693"/>
        </w:tabs>
        <w:spacing w:before="10" w:line="249" w:lineRule="auto"/>
        <w:ind w:right="1105" w:firstLine="340"/>
        <w:rPr>
          <w:sz w:val="20"/>
        </w:rPr>
      </w:pPr>
      <w:r>
        <w:rPr>
          <w:sz w:val="20"/>
        </w:rPr>
        <w:t>Se utiliza una subasta electrónica (en los procedimientos abiertos, restringidos o de</w:t>
      </w:r>
      <w:r>
        <w:rPr>
          <w:spacing w:val="40"/>
          <w:sz w:val="20"/>
        </w:rPr>
        <w:t xml:space="preserve"> </w:t>
      </w:r>
      <w:r>
        <w:rPr>
          <w:sz w:val="20"/>
        </w:rPr>
        <w:t>licitación con negociación).</w:t>
      </w:r>
    </w:p>
    <w:p w:rsidR="0092635B" w:rsidRDefault="0092635B">
      <w:pPr>
        <w:pStyle w:val="Prrafodelista"/>
        <w:spacing w:line="249" w:lineRule="auto"/>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13"/>
        </w:numPr>
        <w:tabs>
          <w:tab w:val="left" w:pos="1828"/>
        </w:tabs>
        <w:spacing w:before="1" w:line="249" w:lineRule="auto"/>
        <w:ind w:right="1104" w:firstLine="340"/>
        <w:jc w:val="both"/>
        <w:rPr>
          <w:sz w:val="20"/>
        </w:rPr>
      </w:pPr>
      <w:r>
        <w:rPr>
          <w:sz w:val="20"/>
        </w:rPr>
        <w:t>Cuando el contrato vaya a subdividirse en lotes, indicación de la posibilidad de presentar ofertas para uno de los lotes, para varios, o para todos ellos; indicación de si el número de lotes que podrá adjudicarse a cada licitador estará limitado. Cuando el contrato</w:t>
      </w:r>
      <w:r>
        <w:rPr>
          <w:spacing w:val="40"/>
          <w:sz w:val="20"/>
        </w:rPr>
        <w:t xml:space="preserve"> </w:t>
      </w:r>
      <w:r>
        <w:rPr>
          <w:sz w:val="20"/>
        </w:rPr>
        <w:t>no esté subdividido en lotes, indicación de las razones para ello, salvo que esta información se facilite en el informe específico.</w:t>
      </w:r>
    </w:p>
    <w:p w:rsidR="0092635B" w:rsidRDefault="00000000">
      <w:pPr>
        <w:pStyle w:val="Prrafodelista"/>
        <w:numPr>
          <w:ilvl w:val="0"/>
          <w:numId w:val="13"/>
        </w:numPr>
        <w:tabs>
          <w:tab w:val="left" w:pos="1828"/>
        </w:tabs>
        <w:spacing w:before="4" w:line="249" w:lineRule="auto"/>
        <w:ind w:firstLine="340"/>
        <w:jc w:val="both"/>
        <w:rPr>
          <w:sz w:val="20"/>
        </w:rPr>
      </w:pPr>
      <w:r>
        <w:rPr>
          <w:sz w:val="20"/>
        </w:rPr>
        <w:t>En el caso de los procedimientos restringidos, de licitación con negociación, de diálogo</w:t>
      </w:r>
      <w:r>
        <w:rPr>
          <w:spacing w:val="-2"/>
          <w:sz w:val="20"/>
        </w:rPr>
        <w:t xml:space="preserve"> </w:t>
      </w:r>
      <w:r>
        <w:rPr>
          <w:sz w:val="20"/>
        </w:rPr>
        <w:t>competitivo</w:t>
      </w:r>
      <w:r>
        <w:rPr>
          <w:spacing w:val="-2"/>
          <w:sz w:val="20"/>
        </w:rPr>
        <w:t xml:space="preserve"> </w:t>
      </w:r>
      <w:r>
        <w:rPr>
          <w:sz w:val="20"/>
        </w:rPr>
        <w:t>o</w:t>
      </w:r>
      <w:r>
        <w:rPr>
          <w:spacing w:val="-2"/>
          <w:sz w:val="20"/>
        </w:rPr>
        <w:t xml:space="preserve"> </w:t>
      </w:r>
      <w:r>
        <w:rPr>
          <w:sz w:val="20"/>
        </w:rPr>
        <w:t>de</w:t>
      </w:r>
      <w:r>
        <w:rPr>
          <w:spacing w:val="-2"/>
          <w:sz w:val="20"/>
        </w:rPr>
        <w:t xml:space="preserve"> </w:t>
      </w:r>
      <w:r>
        <w:rPr>
          <w:sz w:val="20"/>
        </w:rPr>
        <w:t>asociación</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innovación,</w:t>
      </w:r>
      <w:r>
        <w:rPr>
          <w:spacing w:val="-2"/>
          <w:sz w:val="20"/>
        </w:rPr>
        <w:t xml:space="preserve"> </w:t>
      </w:r>
      <w:r>
        <w:rPr>
          <w:sz w:val="20"/>
        </w:rPr>
        <w:t>cuando</w:t>
      </w:r>
      <w:r>
        <w:rPr>
          <w:spacing w:val="-2"/>
          <w:sz w:val="20"/>
        </w:rPr>
        <w:t xml:space="preserve"> </w:t>
      </w:r>
      <w:r>
        <w:rPr>
          <w:sz w:val="20"/>
        </w:rPr>
        <w:t>se</w:t>
      </w:r>
      <w:r>
        <w:rPr>
          <w:spacing w:val="-2"/>
          <w:sz w:val="20"/>
        </w:rPr>
        <w:t xml:space="preserve"> </w:t>
      </w:r>
      <w:r>
        <w:rPr>
          <w:sz w:val="20"/>
        </w:rPr>
        <w:t>haga</w:t>
      </w:r>
      <w:r>
        <w:rPr>
          <w:spacing w:val="-2"/>
          <w:sz w:val="20"/>
        </w:rPr>
        <w:t xml:space="preserve"> </w:t>
      </w:r>
      <w:r>
        <w:rPr>
          <w:sz w:val="20"/>
        </w:rPr>
        <w:t>uso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facultad</w:t>
      </w:r>
      <w:r>
        <w:rPr>
          <w:spacing w:val="-2"/>
          <w:sz w:val="20"/>
        </w:rPr>
        <w:t xml:space="preserve"> </w:t>
      </w:r>
      <w:r>
        <w:rPr>
          <w:sz w:val="20"/>
        </w:rPr>
        <w:t>de reducir el número de candidatos a los que se invitará a presentar ofertas, a negociar o a participar en el diálogo: número mínimo y, en su caso, máximo propuesto de candidatos y criterios objetivos que se utilizarán para elegir a los candidatos en cuestión.</w:t>
      </w:r>
    </w:p>
    <w:p w:rsidR="0092635B" w:rsidRDefault="00000000">
      <w:pPr>
        <w:pStyle w:val="Prrafodelista"/>
        <w:numPr>
          <w:ilvl w:val="0"/>
          <w:numId w:val="13"/>
        </w:numPr>
        <w:tabs>
          <w:tab w:val="left" w:pos="1833"/>
        </w:tabs>
        <w:spacing w:before="4" w:line="249" w:lineRule="auto"/>
        <w:ind w:right="1105" w:firstLine="340"/>
        <w:jc w:val="both"/>
        <w:rPr>
          <w:sz w:val="20"/>
        </w:rPr>
      </w:pPr>
      <w:r>
        <w:rPr>
          <w:sz w:val="20"/>
        </w:rPr>
        <w:t>Para el procedimiento de licitación con negociación, el diálogo competitivo o la asociación para la innovación, se indicará, si procede, que se recurrirá a un procedimiento que se desarrollará en fases sucesivas con el fin de reducir progresivamente el número de ofertas que haya que negociar o de soluciones que deban examinarse.</w:t>
      </w:r>
    </w:p>
    <w:p w:rsidR="0092635B" w:rsidRDefault="00000000">
      <w:pPr>
        <w:pStyle w:val="Prrafodelista"/>
        <w:numPr>
          <w:ilvl w:val="0"/>
          <w:numId w:val="13"/>
        </w:numPr>
        <w:tabs>
          <w:tab w:val="left" w:pos="1845"/>
        </w:tabs>
        <w:spacing w:before="3" w:line="249" w:lineRule="auto"/>
        <w:ind w:right="1105" w:firstLine="340"/>
        <w:jc w:val="both"/>
        <w:rPr>
          <w:sz w:val="20"/>
        </w:rPr>
      </w:pPr>
      <w:r>
        <w:rPr>
          <w:sz w:val="20"/>
        </w:rPr>
        <w:t xml:space="preserve">Si procede, condiciones particulares a las que está sometida la ejecución del </w:t>
      </w:r>
      <w:r>
        <w:rPr>
          <w:spacing w:val="-2"/>
          <w:sz w:val="20"/>
        </w:rPr>
        <w:t>contrato.</w:t>
      </w:r>
    </w:p>
    <w:p w:rsidR="0092635B" w:rsidRDefault="00000000">
      <w:pPr>
        <w:pStyle w:val="Prrafodelista"/>
        <w:numPr>
          <w:ilvl w:val="0"/>
          <w:numId w:val="13"/>
        </w:numPr>
        <w:tabs>
          <w:tab w:val="left" w:pos="1804"/>
        </w:tabs>
        <w:spacing w:line="249" w:lineRule="auto"/>
        <w:ind w:firstLine="340"/>
        <w:jc w:val="both"/>
        <w:rPr>
          <w:sz w:val="20"/>
        </w:rPr>
      </w:pPr>
      <w:r>
        <w:rPr>
          <w:sz w:val="20"/>
        </w:rPr>
        <w:t>Criterios que se utilizarán para adjudicar el contrato o los contratos. Excepto en el supuesto en que la mejor oferta se determine sobre la base del precio exclusivamente, se indicarán los criterios que determinen esta, de conformidad con el artículo 145, así como su ponderación, cuando dichos criterios no figuren en el pliego de condiciones o, en caso de diálogo competitivo, en el documento descriptivo.</w:t>
      </w:r>
    </w:p>
    <w:p w:rsidR="0092635B" w:rsidRDefault="00000000">
      <w:pPr>
        <w:pStyle w:val="Prrafodelista"/>
        <w:numPr>
          <w:ilvl w:val="0"/>
          <w:numId w:val="13"/>
        </w:numPr>
        <w:tabs>
          <w:tab w:val="left" w:pos="1854"/>
        </w:tabs>
        <w:spacing w:before="4" w:line="249" w:lineRule="auto"/>
        <w:ind w:firstLine="340"/>
        <w:jc w:val="both"/>
        <w:rPr>
          <w:sz w:val="20"/>
        </w:rPr>
      </w:pPr>
      <w:r>
        <w:rPr>
          <w:sz w:val="20"/>
        </w:rPr>
        <w:t>Plazo para la recepción de ofertas (procedimientos abiertos) o solicitudes de participación (procedimientos restringidos, procedimientos de licitación con negociación, sistemas</w:t>
      </w:r>
      <w:r>
        <w:rPr>
          <w:spacing w:val="-1"/>
          <w:sz w:val="20"/>
        </w:rPr>
        <w:t xml:space="preserve"> </w:t>
      </w:r>
      <w:r>
        <w:rPr>
          <w:sz w:val="20"/>
        </w:rPr>
        <w:t>dinámicos de</w:t>
      </w:r>
      <w:r>
        <w:rPr>
          <w:spacing w:val="-1"/>
          <w:sz w:val="20"/>
        </w:rPr>
        <w:t xml:space="preserve"> </w:t>
      </w:r>
      <w:r>
        <w:rPr>
          <w:sz w:val="20"/>
        </w:rPr>
        <w:t>adquisición, diálogos</w:t>
      </w:r>
      <w:r>
        <w:rPr>
          <w:spacing w:val="-1"/>
          <w:sz w:val="20"/>
        </w:rPr>
        <w:t xml:space="preserve"> </w:t>
      </w:r>
      <w:r>
        <w:rPr>
          <w:sz w:val="20"/>
        </w:rPr>
        <w:t>competitivos y</w:t>
      </w:r>
      <w:r>
        <w:rPr>
          <w:spacing w:val="-1"/>
          <w:sz w:val="20"/>
        </w:rPr>
        <w:t xml:space="preserve"> </w:t>
      </w:r>
      <w:r>
        <w:rPr>
          <w:sz w:val="20"/>
        </w:rPr>
        <w:t>asociaciones para</w:t>
      </w:r>
      <w:r>
        <w:rPr>
          <w:spacing w:val="-1"/>
          <w:sz w:val="20"/>
        </w:rPr>
        <w:t xml:space="preserve"> </w:t>
      </w:r>
      <w:r>
        <w:rPr>
          <w:sz w:val="20"/>
        </w:rPr>
        <w:t xml:space="preserve">la </w:t>
      </w:r>
      <w:r>
        <w:rPr>
          <w:spacing w:val="-2"/>
          <w:sz w:val="20"/>
        </w:rPr>
        <w:t>innovación).</w:t>
      </w:r>
    </w:p>
    <w:p w:rsidR="0092635B" w:rsidRDefault="00000000">
      <w:pPr>
        <w:pStyle w:val="Prrafodelista"/>
        <w:numPr>
          <w:ilvl w:val="0"/>
          <w:numId w:val="13"/>
        </w:numPr>
        <w:tabs>
          <w:tab w:val="left" w:pos="1779"/>
        </w:tabs>
        <w:ind w:left="1779" w:right="0" w:hanging="333"/>
        <w:jc w:val="both"/>
        <w:rPr>
          <w:sz w:val="20"/>
        </w:rPr>
      </w:pPr>
      <w:r>
        <w:rPr>
          <w:sz w:val="20"/>
        </w:rPr>
        <w:t>Dirección</w:t>
      </w:r>
      <w:r>
        <w:rPr>
          <w:spacing w:val="-3"/>
          <w:sz w:val="20"/>
        </w:rPr>
        <w:t xml:space="preserve"> </w:t>
      </w:r>
      <w:r>
        <w:rPr>
          <w:sz w:val="20"/>
        </w:rPr>
        <w:t>a</w:t>
      </w:r>
      <w:r>
        <w:rPr>
          <w:spacing w:val="-3"/>
          <w:sz w:val="20"/>
        </w:rPr>
        <w:t xml:space="preserve"> </w:t>
      </w:r>
      <w:r>
        <w:rPr>
          <w:sz w:val="20"/>
        </w:rPr>
        <w:t>la</w:t>
      </w:r>
      <w:r>
        <w:rPr>
          <w:spacing w:val="-2"/>
          <w:sz w:val="20"/>
        </w:rPr>
        <w:t xml:space="preserve"> </w:t>
      </w:r>
      <w:r>
        <w:rPr>
          <w:sz w:val="20"/>
        </w:rPr>
        <w:t>que</w:t>
      </w:r>
      <w:r>
        <w:rPr>
          <w:spacing w:val="-3"/>
          <w:sz w:val="20"/>
        </w:rPr>
        <w:t xml:space="preserve"> </w:t>
      </w:r>
      <w:r>
        <w:rPr>
          <w:sz w:val="20"/>
        </w:rPr>
        <w:t>deberán</w:t>
      </w:r>
      <w:r>
        <w:rPr>
          <w:spacing w:val="-3"/>
          <w:sz w:val="20"/>
        </w:rPr>
        <w:t xml:space="preserve"> </w:t>
      </w:r>
      <w:r>
        <w:rPr>
          <w:sz w:val="20"/>
        </w:rPr>
        <w:t>transmitirse</w:t>
      </w:r>
      <w:r>
        <w:rPr>
          <w:spacing w:val="-2"/>
          <w:sz w:val="20"/>
        </w:rPr>
        <w:t xml:space="preserve"> </w:t>
      </w:r>
      <w:r>
        <w:rPr>
          <w:sz w:val="20"/>
        </w:rPr>
        <w:t>las</w:t>
      </w:r>
      <w:r>
        <w:rPr>
          <w:spacing w:val="-3"/>
          <w:sz w:val="20"/>
        </w:rPr>
        <w:t xml:space="preserve"> </w:t>
      </w:r>
      <w:r>
        <w:rPr>
          <w:sz w:val="20"/>
        </w:rPr>
        <w:t>ofertas</w:t>
      </w:r>
      <w:r>
        <w:rPr>
          <w:spacing w:val="-3"/>
          <w:sz w:val="20"/>
        </w:rPr>
        <w:t xml:space="preserve"> </w:t>
      </w:r>
      <w:r>
        <w:rPr>
          <w:sz w:val="20"/>
        </w:rPr>
        <w:t>o</w:t>
      </w:r>
      <w:r>
        <w:rPr>
          <w:spacing w:val="-2"/>
          <w:sz w:val="20"/>
        </w:rPr>
        <w:t xml:space="preserve"> </w:t>
      </w:r>
      <w:r>
        <w:rPr>
          <w:sz w:val="20"/>
        </w:rPr>
        <w:t>solicitudes</w:t>
      </w:r>
      <w:r>
        <w:rPr>
          <w:spacing w:val="-3"/>
          <w:sz w:val="20"/>
        </w:rPr>
        <w:t xml:space="preserve"> </w:t>
      </w:r>
      <w:r>
        <w:rPr>
          <w:sz w:val="20"/>
        </w:rPr>
        <w:t>de</w:t>
      </w:r>
      <w:r>
        <w:rPr>
          <w:spacing w:val="-2"/>
          <w:sz w:val="20"/>
        </w:rPr>
        <w:t xml:space="preserve"> participación.</w:t>
      </w:r>
    </w:p>
    <w:p w:rsidR="0092635B" w:rsidRDefault="00000000">
      <w:pPr>
        <w:pStyle w:val="Prrafodelista"/>
        <w:numPr>
          <w:ilvl w:val="0"/>
          <w:numId w:val="13"/>
        </w:numPr>
        <w:tabs>
          <w:tab w:val="left" w:pos="1779"/>
        </w:tabs>
        <w:spacing w:before="130"/>
        <w:ind w:left="1779" w:right="0" w:hanging="333"/>
        <w:jc w:val="both"/>
        <w:rPr>
          <w:sz w:val="20"/>
        </w:rPr>
      </w:pPr>
      <w:r>
        <w:rPr>
          <w:sz w:val="20"/>
        </w:rPr>
        <w:t>Cuando</w:t>
      </w:r>
      <w:r>
        <w:rPr>
          <w:spacing w:val="-5"/>
          <w:sz w:val="20"/>
        </w:rPr>
        <w:t xml:space="preserve"> </w:t>
      </w:r>
      <w:r>
        <w:rPr>
          <w:sz w:val="20"/>
        </w:rPr>
        <w:t>se</w:t>
      </w:r>
      <w:r>
        <w:rPr>
          <w:spacing w:val="-2"/>
          <w:sz w:val="20"/>
        </w:rPr>
        <w:t xml:space="preserve"> </w:t>
      </w:r>
      <w:r>
        <w:rPr>
          <w:sz w:val="20"/>
        </w:rPr>
        <w:t>trate</w:t>
      </w:r>
      <w:r>
        <w:rPr>
          <w:spacing w:val="-2"/>
          <w:sz w:val="20"/>
        </w:rPr>
        <w:t xml:space="preserve"> </w:t>
      </w:r>
      <w:r>
        <w:rPr>
          <w:sz w:val="20"/>
        </w:rPr>
        <w:t>de</w:t>
      </w:r>
      <w:r>
        <w:rPr>
          <w:spacing w:val="-2"/>
          <w:sz w:val="20"/>
        </w:rPr>
        <w:t xml:space="preserve"> </w:t>
      </w:r>
      <w:r>
        <w:rPr>
          <w:sz w:val="20"/>
        </w:rPr>
        <w:t>procedimientos</w:t>
      </w:r>
      <w:r>
        <w:rPr>
          <w:spacing w:val="-2"/>
          <w:sz w:val="20"/>
        </w:rPr>
        <w:t xml:space="preserve"> abiertos:</w:t>
      </w:r>
    </w:p>
    <w:p w:rsidR="0092635B" w:rsidRDefault="00000000">
      <w:pPr>
        <w:pStyle w:val="Prrafodelista"/>
        <w:numPr>
          <w:ilvl w:val="1"/>
          <w:numId w:val="13"/>
        </w:numPr>
        <w:tabs>
          <w:tab w:val="left" w:pos="1679"/>
        </w:tabs>
        <w:spacing w:before="130"/>
        <w:ind w:left="1679" w:right="0" w:hanging="233"/>
        <w:rPr>
          <w:sz w:val="20"/>
        </w:rPr>
      </w:pPr>
      <w:r>
        <w:rPr>
          <w:sz w:val="20"/>
        </w:rPr>
        <w:t>Plazo</w:t>
      </w:r>
      <w:r>
        <w:rPr>
          <w:spacing w:val="-5"/>
          <w:sz w:val="20"/>
        </w:rPr>
        <w:t xml:space="preserve"> </w:t>
      </w:r>
      <w:r>
        <w:rPr>
          <w:sz w:val="20"/>
        </w:rPr>
        <w:t>durante</w:t>
      </w:r>
      <w:r>
        <w:rPr>
          <w:spacing w:val="-3"/>
          <w:sz w:val="20"/>
        </w:rPr>
        <w:t xml:space="preserve"> </w:t>
      </w:r>
      <w:r>
        <w:rPr>
          <w:sz w:val="20"/>
        </w:rPr>
        <w:t>el</w:t>
      </w:r>
      <w:r>
        <w:rPr>
          <w:spacing w:val="-2"/>
          <w:sz w:val="20"/>
        </w:rPr>
        <w:t xml:space="preserve"> </w:t>
      </w:r>
      <w:r>
        <w:rPr>
          <w:sz w:val="20"/>
        </w:rPr>
        <w:t>cual</w:t>
      </w:r>
      <w:r>
        <w:rPr>
          <w:spacing w:val="-3"/>
          <w:sz w:val="20"/>
        </w:rPr>
        <w:t xml:space="preserve"> </w:t>
      </w:r>
      <w:r>
        <w:rPr>
          <w:sz w:val="20"/>
        </w:rPr>
        <w:t>el</w:t>
      </w:r>
      <w:r>
        <w:rPr>
          <w:spacing w:val="-2"/>
          <w:sz w:val="20"/>
        </w:rPr>
        <w:t xml:space="preserve"> </w:t>
      </w:r>
      <w:r>
        <w:rPr>
          <w:sz w:val="20"/>
        </w:rPr>
        <w:t>licitador</w:t>
      </w:r>
      <w:r>
        <w:rPr>
          <w:spacing w:val="-3"/>
          <w:sz w:val="20"/>
        </w:rPr>
        <w:t xml:space="preserve"> </w:t>
      </w:r>
      <w:r>
        <w:rPr>
          <w:sz w:val="20"/>
        </w:rPr>
        <w:t>estará</w:t>
      </w:r>
      <w:r>
        <w:rPr>
          <w:spacing w:val="-2"/>
          <w:sz w:val="20"/>
        </w:rPr>
        <w:t xml:space="preserve"> </w:t>
      </w:r>
      <w:r>
        <w:rPr>
          <w:sz w:val="20"/>
        </w:rPr>
        <w:t>obligado</w:t>
      </w:r>
      <w:r>
        <w:rPr>
          <w:spacing w:val="-3"/>
          <w:sz w:val="20"/>
        </w:rPr>
        <w:t xml:space="preserve"> </w:t>
      </w:r>
      <w:r>
        <w:rPr>
          <w:sz w:val="20"/>
        </w:rPr>
        <w:t>a</w:t>
      </w:r>
      <w:r>
        <w:rPr>
          <w:spacing w:val="-2"/>
          <w:sz w:val="20"/>
        </w:rPr>
        <w:t xml:space="preserve"> </w:t>
      </w:r>
      <w:r>
        <w:rPr>
          <w:sz w:val="20"/>
        </w:rPr>
        <w:t>mantener</w:t>
      </w:r>
      <w:r>
        <w:rPr>
          <w:spacing w:val="-3"/>
          <w:sz w:val="20"/>
        </w:rPr>
        <w:t xml:space="preserve"> </w:t>
      </w:r>
      <w:r>
        <w:rPr>
          <w:sz w:val="20"/>
        </w:rPr>
        <w:t>su</w:t>
      </w:r>
      <w:r>
        <w:rPr>
          <w:spacing w:val="-2"/>
          <w:sz w:val="20"/>
        </w:rPr>
        <w:t xml:space="preserve"> oferta;</w:t>
      </w:r>
    </w:p>
    <w:p w:rsidR="0092635B" w:rsidRDefault="00000000">
      <w:pPr>
        <w:pStyle w:val="Prrafodelista"/>
        <w:numPr>
          <w:ilvl w:val="1"/>
          <w:numId w:val="13"/>
        </w:numPr>
        <w:tabs>
          <w:tab w:val="left" w:pos="1679"/>
        </w:tabs>
        <w:spacing w:before="10"/>
        <w:ind w:left="1679" w:right="0" w:hanging="233"/>
        <w:rPr>
          <w:sz w:val="20"/>
        </w:rPr>
      </w:pPr>
      <w:r>
        <w:rPr>
          <w:sz w:val="20"/>
        </w:rPr>
        <w:t>Fecha,</w:t>
      </w:r>
      <w:r>
        <w:rPr>
          <w:spacing w:val="-2"/>
          <w:sz w:val="20"/>
        </w:rPr>
        <w:t xml:space="preserve"> </w:t>
      </w:r>
      <w:r>
        <w:rPr>
          <w:sz w:val="20"/>
        </w:rPr>
        <w:t>hora</w:t>
      </w:r>
      <w:r>
        <w:rPr>
          <w:spacing w:val="-1"/>
          <w:sz w:val="20"/>
        </w:rPr>
        <w:t xml:space="preserve"> </w:t>
      </w:r>
      <w:r>
        <w:rPr>
          <w:sz w:val="20"/>
        </w:rPr>
        <w:t>y</w:t>
      </w:r>
      <w:r>
        <w:rPr>
          <w:spacing w:val="-2"/>
          <w:sz w:val="20"/>
        </w:rPr>
        <w:t xml:space="preserve"> </w:t>
      </w:r>
      <w:r>
        <w:rPr>
          <w:sz w:val="20"/>
        </w:rPr>
        <w:t>lugar</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apertura</w:t>
      </w:r>
      <w:r>
        <w:rPr>
          <w:spacing w:val="-2"/>
          <w:sz w:val="20"/>
        </w:rPr>
        <w:t xml:space="preserve"> </w:t>
      </w:r>
      <w:r>
        <w:rPr>
          <w:sz w:val="20"/>
        </w:rPr>
        <w:t>de</w:t>
      </w:r>
      <w:r>
        <w:rPr>
          <w:spacing w:val="-1"/>
          <w:sz w:val="20"/>
        </w:rPr>
        <w:t xml:space="preserve"> </w:t>
      </w:r>
      <w:r>
        <w:rPr>
          <w:sz w:val="20"/>
        </w:rPr>
        <w:t>las</w:t>
      </w:r>
      <w:r>
        <w:rPr>
          <w:spacing w:val="-1"/>
          <w:sz w:val="20"/>
        </w:rPr>
        <w:t xml:space="preserve"> </w:t>
      </w:r>
      <w:r>
        <w:rPr>
          <w:spacing w:val="-2"/>
          <w:sz w:val="20"/>
        </w:rPr>
        <w:t>plicas;</w:t>
      </w:r>
    </w:p>
    <w:p w:rsidR="0092635B" w:rsidRDefault="00000000">
      <w:pPr>
        <w:pStyle w:val="Prrafodelista"/>
        <w:numPr>
          <w:ilvl w:val="1"/>
          <w:numId w:val="13"/>
        </w:numPr>
        <w:tabs>
          <w:tab w:val="left" w:pos="1668"/>
        </w:tabs>
        <w:spacing w:before="10"/>
        <w:ind w:left="1668" w:right="0" w:hanging="222"/>
        <w:rPr>
          <w:sz w:val="20"/>
        </w:rPr>
      </w:pPr>
      <w:r>
        <w:rPr>
          <w:sz w:val="20"/>
        </w:rPr>
        <w:t>Personas</w:t>
      </w:r>
      <w:r>
        <w:rPr>
          <w:spacing w:val="-1"/>
          <w:sz w:val="20"/>
        </w:rPr>
        <w:t xml:space="preserve"> </w:t>
      </w:r>
      <w:r>
        <w:rPr>
          <w:sz w:val="20"/>
        </w:rPr>
        <w:t>autorizadas</w:t>
      </w:r>
      <w:r>
        <w:rPr>
          <w:spacing w:val="-1"/>
          <w:sz w:val="20"/>
        </w:rPr>
        <w:t xml:space="preserve"> </w:t>
      </w:r>
      <w:r>
        <w:rPr>
          <w:sz w:val="20"/>
        </w:rPr>
        <w:t>a asistir</w:t>
      </w:r>
      <w:r>
        <w:rPr>
          <w:spacing w:val="-1"/>
          <w:sz w:val="20"/>
        </w:rPr>
        <w:t xml:space="preserve"> </w:t>
      </w:r>
      <w:r>
        <w:rPr>
          <w:sz w:val="20"/>
        </w:rPr>
        <w:t>a</w:t>
      </w:r>
      <w:r>
        <w:rPr>
          <w:spacing w:val="-1"/>
          <w:sz w:val="20"/>
        </w:rPr>
        <w:t xml:space="preserve"> </w:t>
      </w:r>
      <w:r>
        <w:rPr>
          <w:sz w:val="20"/>
        </w:rPr>
        <w:t xml:space="preserve">dicha </w:t>
      </w:r>
      <w:r>
        <w:rPr>
          <w:spacing w:val="-2"/>
          <w:sz w:val="20"/>
        </w:rPr>
        <w:t>apertura.</w:t>
      </w:r>
    </w:p>
    <w:p w:rsidR="0092635B" w:rsidRDefault="00000000">
      <w:pPr>
        <w:pStyle w:val="Prrafodelista"/>
        <w:numPr>
          <w:ilvl w:val="0"/>
          <w:numId w:val="13"/>
        </w:numPr>
        <w:tabs>
          <w:tab w:val="left" w:pos="1816"/>
        </w:tabs>
        <w:spacing w:before="130" w:line="249" w:lineRule="auto"/>
        <w:ind w:right="1104" w:firstLine="340"/>
        <w:jc w:val="both"/>
        <w:rPr>
          <w:sz w:val="20"/>
        </w:rPr>
      </w:pPr>
      <w:r>
        <w:rPr>
          <w:sz w:val="20"/>
        </w:rPr>
        <w:t xml:space="preserve">Lengua o lenguas en las que deberán redactarse las ofertas o las solicitudes de </w:t>
      </w:r>
      <w:r>
        <w:rPr>
          <w:spacing w:val="-2"/>
          <w:sz w:val="20"/>
        </w:rPr>
        <w:t>participación.</w:t>
      </w:r>
    </w:p>
    <w:p w:rsidR="0092635B" w:rsidRDefault="00000000">
      <w:pPr>
        <w:pStyle w:val="Prrafodelista"/>
        <w:numPr>
          <w:ilvl w:val="0"/>
          <w:numId w:val="13"/>
        </w:numPr>
        <w:tabs>
          <w:tab w:val="left" w:pos="1779"/>
        </w:tabs>
        <w:ind w:left="1779" w:right="0" w:hanging="333"/>
        <w:rPr>
          <w:sz w:val="20"/>
        </w:rPr>
      </w:pPr>
      <w:r>
        <w:rPr>
          <w:sz w:val="20"/>
        </w:rPr>
        <w:t>Si</w:t>
      </w:r>
      <w:r>
        <w:rPr>
          <w:spacing w:val="-3"/>
          <w:sz w:val="20"/>
        </w:rPr>
        <w:t xml:space="preserve"> </w:t>
      </w:r>
      <w:r>
        <w:rPr>
          <w:sz w:val="20"/>
        </w:rPr>
        <w:t>procede,</w:t>
      </w:r>
      <w:r>
        <w:rPr>
          <w:spacing w:val="-3"/>
          <w:sz w:val="20"/>
        </w:rPr>
        <w:t xml:space="preserve"> </w:t>
      </w:r>
      <w:r>
        <w:rPr>
          <w:sz w:val="20"/>
        </w:rPr>
        <w:t>indicación</w:t>
      </w:r>
      <w:r>
        <w:rPr>
          <w:spacing w:val="-3"/>
          <w:sz w:val="20"/>
        </w:rPr>
        <w:t xml:space="preserve"> </w:t>
      </w:r>
      <w:r>
        <w:rPr>
          <w:sz w:val="20"/>
        </w:rPr>
        <w:t>de</w:t>
      </w:r>
      <w:r>
        <w:rPr>
          <w:spacing w:val="-2"/>
          <w:sz w:val="20"/>
        </w:rPr>
        <w:t xml:space="preserve"> </w:t>
      </w:r>
      <w:r>
        <w:rPr>
          <w:spacing w:val="-5"/>
          <w:sz w:val="20"/>
        </w:rPr>
        <w:t>si:</w:t>
      </w:r>
    </w:p>
    <w:p w:rsidR="0092635B" w:rsidRDefault="00000000">
      <w:pPr>
        <w:pStyle w:val="Prrafodelista"/>
        <w:numPr>
          <w:ilvl w:val="1"/>
          <w:numId w:val="13"/>
        </w:numPr>
        <w:tabs>
          <w:tab w:val="left" w:pos="1679"/>
        </w:tabs>
        <w:spacing w:before="130"/>
        <w:ind w:left="1679" w:right="0" w:hanging="233"/>
        <w:rPr>
          <w:sz w:val="20"/>
        </w:rPr>
      </w:pPr>
      <w:r>
        <w:rPr>
          <w:sz w:val="20"/>
        </w:rPr>
        <w:t>Se</w:t>
      </w:r>
      <w:r>
        <w:rPr>
          <w:spacing w:val="-5"/>
          <w:sz w:val="20"/>
        </w:rPr>
        <w:t xml:space="preserve"> </w:t>
      </w:r>
      <w:r>
        <w:rPr>
          <w:sz w:val="20"/>
        </w:rPr>
        <w:t>aceptará</w:t>
      </w:r>
      <w:r>
        <w:rPr>
          <w:spacing w:val="-3"/>
          <w:sz w:val="20"/>
        </w:rPr>
        <w:t xml:space="preserve"> </w:t>
      </w:r>
      <w:r>
        <w:rPr>
          <w:sz w:val="20"/>
        </w:rPr>
        <w:t>la</w:t>
      </w:r>
      <w:r>
        <w:rPr>
          <w:spacing w:val="-3"/>
          <w:sz w:val="20"/>
        </w:rPr>
        <w:t xml:space="preserve"> </w:t>
      </w:r>
      <w:r>
        <w:rPr>
          <w:sz w:val="20"/>
        </w:rPr>
        <w:t>presentación</w:t>
      </w:r>
      <w:r>
        <w:rPr>
          <w:spacing w:val="-3"/>
          <w:sz w:val="20"/>
        </w:rPr>
        <w:t xml:space="preserve"> </w:t>
      </w:r>
      <w:r>
        <w:rPr>
          <w:sz w:val="20"/>
        </w:rPr>
        <w:t>electrónica</w:t>
      </w:r>
      <w:r>
        <w:rPr>
          <w:spacing w:val="-3"/>
          <w:sz w:val="20"/>
        </w:rPr>
        <w:t xml:space="preserve"> </w:t>
      </w:r>
      <w:r>
        <w:rPr>
          <w:sz w:val="20"/>
        </w:rPr>
        <w:t>de</w:t>
      </w:r>
      <w:r>
        <w:rPr>
          <w:spacing w:val="-3"/>
          <w:sz w:val="20"/>
        </w:rPr>
        <w:t xml:space="preserve"> </w:t>
      </w:r>
      <w:r>
        <w:rPr>
          <w:sz w:val="20"/>
        </w:rPr>
        <w:t>ofertas</w:t>
      </w:r>
      <w:r>
        <w:rPr>
          <w:spacing w:val="-3"/>
          <w:sz w:val="20"/>
        </w:rPr>
        <w:t xml:space="preserve"> </w:t>
      </w:r>
      <w:r>
        <w:rPr>
          <w:sz w:val="20"/>
        </w:rPr>
        <w:t>o</w:t>
      </w:r>
      <w:r>
        <w:rPr>
          <w:spacing w:val="-3"/>
          <w:sz w:val="20"/>
        </w:rPr>
        <w:t xml:space="preserve"> </w:t>
      </w:r>
      <w:r>
        <w:rPr>
          <w:sz w:val="20"/>
        </w:rPr>
        <w:t>de</w:t>
      </w:r>
      <w:r>
        <w:rPr>
          <w:spacing w:val="-3"/>
          <w:sz w:val="20"/>
        </w:rPr>
        <w:t xml:space="preserve"> </w:t>
      </w:r>
      <w:r>
        <w:rPr>
          <w:sz w:val="20"/>
        </w:rPr>
        <w:t>solicitudes</w:t>
      </w:r>
      <w:r>
        <w:rPr>
          <w:spacing w:val="-3"/>
          <w:sz w:val="20"/>
        </w:rPr>
        <w:t xml:space="preserve"> </w:t>
      </w:r>
      <w:r>
        <w:rPr>
          <w:sz w:val="20"/>
        </w:rPr>
        <w:t>de</w:t>
      </w:r>
      <w:r>
        <w:rPr>
          <w:spacing w:val="-3"/>
          <w:sz w:val="20"/>
        </w:rPr>
        <w:t xml:space="preserve"> </w:t>
      </w:r>
      <w:r>
        <w:rPr>
          <w:spacing w:val="-2"/>
          <w:sz w:val="20"/>
        </w:rPr>
        <w:t>participación;</w:t>
      </w:r>
    </w:p>
    <w:p w:rsidR="0092635B" w:rsidRDefault="00000000">
      <w:pPr>
        <w:pStyle w:val="Prrafodelista"/>
        <w:numPr>
          <w:ilvl w:val="1"/>
          <w:numId w:val="13"/>
        </w:numPr>
        <w:tabs>
          <w:tab w:val="left" w:pos="1679"/>
        </w:tabs>
        <w:spacing w:before="10"/>
        <w:ind w:left="1679" w:right="0" w:hanging="233"/>
        <w:rPr>
          <w:sz w:val="20"/>
        </w:rPr>
      </w:pPr>
      <w:r>
        <w:rPr>
          <w:sz w:val="20"/>
        </w:rPr>
        <w:t>Se</w:t>
      </w:r>
      <w:r>
        <w:rPr>
          <w:spacing w:val="-4"/>
          <w:sz w:val="20"/>
        </w:rPr>
        <w:t xml:space="preserve"> </w:t>
      </w:r>
      <w:r>
        <w:rPr>
          <w:sz w:val="20"/>
        </w:rPr>
        <w:t>utilizarán</w:t>
      </w:r>
      <w:r>
        <w:rPr>
          <w:spacing w:val="-3"/>
          <w:sz w:val="20"/>
        </w:rPr>
        <w:t xml:space="preserve"> </w:t>
      </w:r>
      <w:r>
        <w:rPr>
          <w:sz w:val="20"/>
        </w:rPr>
        <w:t>pedidos</w:t>
      </w:r>
      <w:r>
        <w:rPr>
          <w:spacing w:val="-3"/>
          <w:sz w:val="20"/>
        </w:rPr>
        <w:t xml:space="preserve"> </w:t>
      </w:r>
      <w:r>
        <w:rPr>
          <w:spacing w:val="-2"/>
          <w:sz w:val="20"/>
        </w:rPr>
        <w:t>electrónicos;</w:t>
      </w:r>
    </w:p>
    <w:p w:rsidR="0092635B" w:rsidRDefault="00000000">
      <w:pPr>
        <w:pStyle w:val="Prrafodelista"/>
        <w:numPr>
          <w:ilvl w:val="1"/>
          <w:numId w:val="13"/>
        </w:numPr>
        <w:tabs>
          <w:tab w:val="left" w:pos="1668"/>
        </w:tabs>
        <w:spacing w:before="10"/>
        <w:ind w:left="1668" w:right="0" w:hanging="222"/>
        <w:rPr>
          <w:sz w:val="20"/>
        </w:rPr>
      </w:pPr>
      <w:r>
        <w:rPr>
          <w:sz w:val="20"/>
        </w:rPr>
        <w:t>Se</w:t>
      </w:r>
      <w:r>
        <w:rPr>
          <w:spacing w:val="-8"/>
          <w:sz w:val="20"/>
        </w:rPr>
        <w:t xml:space="preserve"> </w:t>
      </w:r>
      <w:r>
        <w:rPr>
          <w:sz w:val="20"/>
        </w:rPr>
        <w:t>aceptará</w:t>
      </w:r>
      <w:r>
        <w:rPr>
          <w:spacing w:val="-6"/>
          <w:sz w:val="20"/>
        </w:rPr>
        <w:t xml:space="preserve"> </w:t>
      </w:r>
      <w:r>
        <w:rPr>
          <w:sz w:val="20"/>
        </w:rPr>
        <w:t>facturación</w:t>
      </w:r>
      <w:r>
        <w:rPr>
          <w:spacing w:val="-6"/>
          <w:sz w:val="20"/>
        </w:rPr>
        <w:t xml:space="preserve"> </w:t>
      </w:r>
      <w:r>
        <w:rPr>
          <w:spacing w:val="-2"/>
          <w:sz w:val="20"/>
        </w:rPr>
        <w:t>electrónica;</w:t>
      </w:r>
    </w:p>
    <w:p w:rsidR="0092635B" w:rsidRDefault="00000000">
      <w:pPr>
        <w:pStyle w:val="Prrafodelista"/>
        <w:numPr>
          <w:ilvl w:val="1"/>
          <w:numId w:val="13"/>
        </w:numPr>
        <w:tabs>
          <w:tab w:val="left" w:pos="1679"/>
        </w:tabs>
        <w:spacing w:before="10"/>
        <w:ind w:left="1679" w:right="0" w:hanging="233"/>
        <w:rPr>
          <w:sz w:val="20"/>
        </w:rPr>
      </w:pPr>
      <w:r>
        <w:rPr>
          <w:sz w:val="20"/>
        </w:rPr>
        <w:t>Se</w:t>
      </w:r>
      <w:r>
        <w:rPr>
          <w:spacing w:val="-4"/>
          <w:sz w:val="20"/>
        </w:rPr>
        <w:t xml:space="preserve"> </w:t>
      </w:r>
      <w:r>
        <w:rPr>
          <w:sz w:val="20"/>
        </w:rPr>
        <w:t>utilizará</w:t>
      </w:r>
      <w:r>
        <w:rPr>
          <w:spacing w:val="-3"/>
          <w:sz w:val="20"/>
        </w:rPr>
        <w:t xml:space="preserve"> </w:t>
      </w:r>
      <w:r>
        <w:rPr>
          <w:sz w:val="20"/>
        </w:rPr>
        <w:t>el</w:t>
      </w:r>
      <w:r>
        <w:rPr>
          <w:spacing w:val="-3"/>
          <w:sz w:val="20"/>
        </w:rPr>
        <w:t xml:space="preserve"> </w:t>
      </w:r>
      <w:r>
        <w:rPr>
          <w:sz w:val="20"/>
        </w:rPr>
        <w:t>pago</w:t>
      </w:r>
      <w:r>
        <w:rPr>
          <w:spacing w:val="-3"/>
          <w:sz w:val="20"/>
        </w:rPr>
        <w:t xml:space="preserve"> </w:t>
      </w:r>
      <w:r>
        <w:rPr>
          <w:spacing w:val="-2"/>
          <w:sz w:val="20"/>
        </w:rPr>
        <w:t>electrónico.</w:t>
      </w:r>
    </w:p>
    <w:p w:rsidR="0092635B" w:rsidRDefault="00000000">
      <w:pPr>
        <w:pStyle w:val="Prrafodelista"/>
        <w:numPr>
          <w:ilvl w:val="0"/>
          <w:numId w:val="13"/>
        </w:numPr>
        <w:tabs>
          <w:tab w:val="left" w:pos="1840"/>
        </w:tabs>
        <w:spacing w:before="130" w:line="249" w:lineRule="auto"/>
        <w:ind w:right="1106" w:firstLine="340"/>
        <w:jc w:val="both"/>
        <w:rPr>
          <w:sz w:val="20"/>
        </w:rPr>
      </w:pPr>
      <w:r>
        <w:rPr>
          <w:sz w:val="20"/>
        </w:rPr>
        <w:t>Información sobre si el contrato está relacionado con un proyecto o programa financiado con fondos de la Unión.</w:t>
      </w:r>
    </w:p>
    <w:p w:rsidR="0092635B" w:rsidRDefault="00000000">
      <w:pPr>
        <w:pStyle w:val="Prrafodelista"/>
        <w:numPr>
          <w:ilvl w:val="0"/>
          <w:numId w:val="13"/>
        </w:numPr>
        <w:tabs>
          <w:tab w:val="left" w:pos="1781"/>
        </w:tabs>
        <w:spacing w:line="249" w:lineRule="auto"/>
        <w:ind w:right="1104" w:firstLine="340"/>
        <w:jc w:val="both"/>
        <w:rPr>
          <w:sz w:val="20"/>
        </w:rPr>
      </w:pPr>
      <w:r>
        <w:rPr>
          <w:sz w:val="20"/>
        </w:rPr>
        <w:t>Nombre</w:t>
      </w:r>
      <w:r>
        <w:rPr>
          <w:spacing w:val="-1"/>
          <w:sz w:val="20"/>
        </w:rPr>
        <w:t xml:space="preserve"> </w:t>
      </w:r>
      <w:r>
        <w:rPr>
          <w:sz w:val="20"/>
        </w:rPr>
        <w:t>y</w:t>
      </w:r>
      <w:r>
        <w:rPr>
          <w:spacing w:val="-1"/>
          <w:sz w:val="20"/>
        </w:rPr>
        <w:t xml:space="preserve"> </w:t>
      </w:r>
      <w:r>
        <w:rPr>
          <w:sz w:val="20"/>
        </w:rPr>
        <w:t>dirección</w:t>
      </w:r>
      <w:r>
        <w:rPr>
          <w:spacing w:val="-1"/>
          <w:sz w:val="20"/>
        </w:rPr>
        <w:t xml:space="preserve"> </w:t>
      </w:r>
      <w:r>
        <w:rPr>
          <w:sz w:val="20"/>
        </w:rPr>
        <w:t>del</w:t>
      </w:r>
      <w:r>
        <w:rPr>
          <w:spacing w:val="-2"/>
          <w:sz w:val="20"/>
        </w:rPr>
        <w:t xml:space="preserve"> </w:t>
      </w:r>
      <w:r>
        <w:rPr>
          <w:sz w:val="20"/>
        </w:rPr>
        <w:t>órgano</w:t>
      </w:r>
      <w:r>
        <w:rPr>
          <w:spacing w:val="-1"/>
          <w:sz w:val="20"/>
        </w:rPr>
        <w:t xml:space="preserve"> </w:t>
      </w:r>
      <w:r>
        <w:rPr>
          <w:sz w:val="20"/>
        </w:rPr>
        <w:t>competente</w:t>
      </w:r>
      <w:r>
        <w:rPr>
          <w:spacing w:val="-1"/>
          <w:sz w:val="20"/>
        </w:rPr>
        <w:t xml:space="preserve"> </w:t>
      </w:r>
      <w:r>
        <w:rPr>
          <w:sz w:val="20"/>
        </w:rPr>
        <w:t>en</w:t>
      </w:r>
      <w:r>
        <w:rPr>
          <w:spacing w:val="-1"/>
          <w:sz w:val="20"/>
        </w:rPr>
        <w:t xml:space="preserve"> </w:t>
      </w:r>
      <w:r>
        <w:rPr>
          <w:sz w:val="20"/>
        </w:rPr>
        <w:t>los</w:t>
      </w:r>
      <w:r>
        <w:rPr>
          <w:spacing w:val="-2"/>
          <w:sz w:val="20"/>
        </w:rPr>
        <w:t xml:space="preserve"> </w:t>
      </w:r>
      <w:r>
        <w:rPr>
          <w:sz w:val="20"/>
        </w:rPr>
        <w:t>procedimientos</w:t>
      </w:r>
      <w:r>
        <w:rPr>
          <w:spacing w:val="-1"/>
          <w:sz w:val="20"/>
        </w:rPr>
        <w:t xml:space="preserve"> </w:t>
      </w:r>
      <w:r>
        <w:rPr>
          <w:sz w:val="20"/>
        </w:rPr>
        <w:t>de</w:t>
      </w:r>
      <w:r>
        <w:rPr>
          <w:spacing w:val="-1"/>
          <w:sz w:val="20"/>
        </w:rPr>
        <w:t xml:space="preserve"> </w:t>
      </w:r>
      <w:r>
        <w:rPr>
          <w:sz w:val="20"/>
        </w:rPr>
        <w:t>recurso</w:t>
      </w:r>
      <w:r>
        <w:rPr>
          <w:spacing w:val="-1"/>
          <w:sz w:val="20"/>
        </w:rPr>
        <w:t xml:space="preserve"> </w:t>
      </w:r>
      <w:r>
        <w:rPr>
          <w:sz w:val="20"/>
        </w:rPr>
        <w:t>y,</w:t>
      </w:r>
      <w:r>
        <w:rPr>
          <w:spacing w:val="-2"/>
          <w:sz w:val="20"/>
        </w:rPr>
        <w:t xml:space="preserve"> </w:t>
      </w:r>
      <w:r>
        <w:rPr>
          <w:sz w:val="20"/>
        </w:rPr>
        <w:t>en</w:t>
      </w:r>
      <w:r>
        <w:rPr>
          <w:spacing w:val="-1"/>
          <w:sz w:val="20"/>
        </w:rPr>
        <w:t xml:space="preserve"> </w:t>
      </w:r>
      <w:r>
        <w:rPr>
          <w:sz w:val="20"/>
        </w:rPr>
        <w:t>su caso, de mediación. Indicación de los plazos de presentación de recursos o, en caso necesario, el nombre, la dirección, los números de teléfono y de fax y la dirección electrónica del servicio del que pueda obtenerse dicha información.</w:t>
      </w:r>
    </w:p>
    <w:p w:rsidR="0092635B" w:rsidRDefault="00000000">
      <w:pPr>
        <w:pStyle w:val="Prrafodelista"/>
        <w:numPr>
          <w:ilvl w:val="0"/>
          <w:numId w:val="13"/>
        </w:numPr>
        <w:tabs>
          <w:tab w:val="left" w:pos="1810"/>
        </w:tabs>
        <w:spacing w:before="3" w:line="249" w:lineRule="auto"/>
        <w:ind w:firstLine="340"/>
        <w:jc w:val="both"/>
        <w:rPr>
          <w:sz w:val="20"/>
        </w:rPr>
      </w:pPr>
      <w:r>
        <w:rPr>
          <w:sz w:val="20"/>
        </w:rPr>
        <w:t>Fechas y referencias de publicaciones anteriores en el «Diario Oficial de la Unión Europea» relevantes para el contrato o los contratos que se den a conocer en el anuncio.</w:t>
      </w:r>
    </w:p>
    <w:p w:rsidR="0092635B" w:rsidRDefault="00000000">
      <w:pPr>
        <w:pStyle w:val="Prrafodelista"/>
        <w:numPr>
          <w:ilvl w:val="0"/>
          <w:numId w:val="13"/>
        </w:numPr>
        <w:tabs>
          <w:tab w:val="left" w:pos="1804"/>
        </w:tabs>
        <w:spacing w:line="249" w:lineRule="auto"/>
        <w:ind w:right="1104" w:firstLine="340"/>
        <w:jc w:val="both"/>
        <w:rPr>
          <w:sz w:val="20"/>
        </w:rPr>
      </w:pPr>
      <w:r>
        <w:rPr>
          <w:sz w:val="20"/>
        </w:rPr>
        <w:t>En el caso de los contratos periódicos, calendario estimado para la publicación de ulteriores anuncios.</w:t>
      </w:r>
    </w:p>
    <w:p w:rsidR="0092635B" w:rsidRDefault="00000000">
      <w:pPr>
        <w:pStyle w:val="Prrafodelista"/>
        <w:numPr>
          <w:ilvl w:val="0"/>
          <w:numId w:val="13"/>
        </w:numPr>
        <w:tabs>
          <w:tab w:val="left" w:pos="1779"/>
        </w:tabs>
        <w:spacing w:before="1"/>
        <w:ind w:left="1779" w:right="0" w:hanging="333"/>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13"/>
        </w:numPr>
        <w:tabs>
          <w:tab w:val="left" w:pos="1779"/>
        </w:tabs>
        <w:spacing w:before="10"/>
        <w:ind w:left="1779" w:right="0" w:hanging="333"/>
        <w:rPr>
          <w:sz w:val="20"/>
        </w:rPr>
      </w:pPr>
      <w:r>
        <w:rPr>
          <w:sz w:val="20"/>
        </w:rPr>
        <w:t>Indicación</w:t>
      </w:r>
      <w:r>
        <w:rPr>
          <w:spacing w:val="-3"/>
          <w:sz w:val="20"/>
        </w:rPr>
        <w:t xml:space="preserve"> </w:t>
      </w:r>
      <w:r>
        <w:rPr>
          <w:sz w:val="20"/>
        </w:rPr>
        <w:t>de</w:t>
      </w:r>
      <w:r>
        <w:rPr>
          <w:spacing w:val="-3"/>
          <w:sz w:val="20"/>
        </w:rPr>
        <w:t xml:space="preserve"> </w:t>
      </w:r>
      <w:r>
        <w:rPr>
          <w:sz w:val="20"/>
        </w:rPr>
        <w:t>si</w:t>
      </w:r>
      <w:r>
        <w:rPr>
          <w:spacing w:val="-2"/>
          <w:sz w:val="20"/>
        </w:rPr>
        <w:t xml:space="preserve"> </w:t>
      </w:r>
      <w:r>
        <w:rPr>
          <w:sz w:val="20"/>
        </w:rPr>
        <w:t>el</w:t>
      </w:r>
      <w:r>
        <w:rPr>
          <w:spacing w:val="-3"/>
          <w:sz w:val="20"/>
        </w:rPr>
        <w:t xml:space="preserve"> </w:t>
      </w:r>
      <w:r>
        <w:rPr>
          <w:sz w:val="20"/>
        </w:rPr>
        <w:t>ACP</w:t>
      </w:r>
      <w:r>
        <w:rPr>
          <w:spacing w:val="-3"/>
          <w:sz w:val="20"/>
        </w:rPr>
        <w:t xml:space="preserve"> </w:t>
      </w:r>
      <w:r>
        <w:rPr>
          <w:sz w:val="20"/>
        </w:rPr>
        <w:t>es</w:t>
      </w:r>
      <w:r>
        <w:rPr>
          <w:spacing w:val="-2"/>
          <w:sz w:val="20"/>
        </w:rPr>
        <w:t xml:space="preserve"> </w:t>
      </w:r>
      <w:r>
        <w:rPr>
          <w:sz w:val="20"/>
        </w:rPr>
        <w:t>aplicable</w:t>
      </w:r>
      <w:r>
        <w:rPr>
          <w:spacing w:val="-3"/>
          <w:sz w:val="20"/>
        </w:rPr>
        <w:t xml:space="preserve"> </w:t>
      </w:r>
      <w:r>
        <w:rPr>
          <w:sz w:val="20"/>
        </w:rPr>
        <w:t>al</w:t>
      </w:r>
      <w:r>
        <w:rPr>
          <w:spacing w:val="-2"/>
          <w:sz w:val="20"/>
        </w:rPr>
        <w:t xml:space="preserve"> contrato.</w:t>
      </w:r>
    </w:p>
    <w:p w:rsidR="0092635B" w:rsidRDefault="00000000">
      <w:pPr>
        <w:pStyle w:val="Prrafodelista"/>
        <w:numPr>
          <w:ilvl w:val="0"/>
          <w:numId w:val="13"/>
        </w:numPr>
        <w:tabs>
          <w:tab w:val="left" w:pos="1779"/>
        </w:tabs>
        <w:spacing w:before="10"/>
        <w:ind w:left="1779" w:right="0" w:hanging="333"/>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05"/>
        <w:jc w:val="left"/>
      </w:pPr>
      <w:r>
        <w:t>Sección</w:t>
      </w:r>
      <w:r>
        <w:rPr>
          <w:spacing w:val="70"/>
        </w:rPr>
        <w:t xml:space="preserve"> </w:t>
      </w:r>
      <w:r>
        <w:t>5.</w:t>
      </w:r>
      <w:r>
        <w:rPr>
          <w:spacing w:val="70"/>
        </w:rPr>
        <w:t xml:space="preserve"> </w:t>
      </w:r>
      <w:r>
        <w:t>Información</w:t>
      </w:r>
      <w:r>
        <w:rPr>
          <w:spacing w:val="70"/>
        </w:rPr>
        <w:t xml:space="preserve"> </w:t>
      </w:r>
      <w:r>
        <w:t>que</w:t>
      </w:r>
      <w:r>
        <w:rPr>
          <w:spacing w:val="70"/>
        </w:rPr>
        <w:t xml:space="preserve"> </w:t>
      </w:r>
      <w:r>
        <w:t>debe</w:t>
      </w:r>
      <w:r>
        <w:rPr>
          <w:spacing w:val="70"/>
        </w:rPr>
        <w:t xml:space="preserve"> </w:t>
      </w:r>
      <w:r>
        <w:t>figurar</w:t>
      </w:r>
      <w:r>
        <w:rPr>
          <w:spacing w:val="70"/>
        </w:rPr>
        <w:t xml:space="preserve"> </w:t>
      </w:r>
      <w:r>
        <w:t>en</w:t>
      </w:r>
      <w:r>
        <w:rPr>
          <w:spacing w:val="70"/>
        </w:rPr>
        <w:t xml:space="preserve"> </w:t>
      </w:r>
      <w:r>
        <w:t>los</w:t>
      </w:r>
      <w:r>
        <w:rPr>
          <w:spacing w:val="70"/>
        </w:rPr>
        <w:t xml:space="preserve"> </w:t>
      </w:r>
      <w:r>
        <w:t>anuncios</w:t>
      </w:r>
      <w:r>
        <w:rPr>
          <w:spacing w:val="70"/>
        </w:rPr>
        <w:t xml:space="preserve"> </w:t>
      </w:r>
      <w:r>
        <w:t>de</w:t>
      </w:r>
      <w:r>
        <w:rPr>
          <w:spacing w:val="70"/>
        </w:rPr>
        <w:t xml:space="preserve"> </w:t>
      </w:r>
      <w:r>
        <w:t>licitación</w:t>
      </w:r>
      <w:r>
        <w:rPr>
          <w:spacing w:val="70"/>
        </w:rPr>
        <w:t xml:space="preserve"> </w:t>
      </w:r>
      <w:r>
        <w:t>relativos</w:t>
      </w:r>
      <w:r>
        <w:rPr>
          <w:spacing w:val="70"/>
        </w:rPr>
        <w:t xml:space="preserve"> </w:t>
      </w:r>
      <w:r>
        <w:t>a contratos de servicios especiales del Anexo IV:</w:t>
      </w:r>
    </w:p>
    <w:p w:rsidR="0092635B" w:rsidRDefault="00000000">
      <w:pPr>
        <w:pStyle w:val="Prrafodelista"/>
        <w:numPr>
          <w:ilvl w:val="0"/>
          <w:numId w:val="12"/>
        </w:numPr>
        <w:tabs>
          <w:tab w:val="left" w:pos="1764"/>
        </w:tabs>
        <w:spacing w:before="122" w:line="249" w:lineRule="auto"/>
        <w:ind w:right="1102" w:firstLine="340"/>
        <w:jc w:val="both"/>
        <w:rPr>
          <w:sz w:val="20"/>
        </w:rPr>
      </w:pPr>
      <w:r>
        <w:rPr>
          <w:sz w:val="20"/>
        </w:rPr>
        <w:t>Nombre, número de identificación, dirección, incluido código NUTS, dirección electrónica y de internet del poder adjudicador.</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2"/>
        </w:numPr>
        <w:tabs>
          <w:tab w:val="left" w:pos="1670"/>
        </w:tabs>
        <w:spacing w:before="1" w:line="249" w:lineRule="auto"/>
        <w:ind w:right="1104" w:firstLine="340"/>
        <w:jc w:val="both"/>
        <w:rPr>
          <w:sz w:val="20"/>
        </w:rPr>
      </w:pPr>
      <w:r>
        <w:rPr>
          <w:sz w:val="20"/>
        </w:rPr>
        <w:t>Código</w:t>
      </w:r>
      <w:r>
        <w:rPr>
          <w:spacing w:val="-1"/>
          <w:sz w:val="20"/>
        </w:rPr>
        <w:t xml:space="preserve"> </w:t>
      </w:r>
      <w:r>
        <w:rPr>
          <w:sz w:val="20"/>
        </w:rPr>
        <w:t>NUTS</w:t>
      </w:r>
      <w:r>
        <w:rPr>
          <w:spacing w:val="-1"/>
          <w:sz w:val="20"/>
        </w:rPr>
        <w:t xml:space="preserve"> </w:t>
      </w:r>
      <w:r>
        <w:rPr>
          <w:sz w:val="20"/>
        </w:rPr>
        <w:t>del</w:t>
      </w:r>
      <w:r>
        <w:rPr>
          <w:spacing w:val="-1"/>
          <w:sz w:val="20"/>
        </w:rPr>
        <w:t xml:space="preserve"> </w:t>
      </w:r>
      <w:r>
        <w:rPr>
          <w:sz w:val="20"/>
        </w:rPr>
        <w:t>emplazamiento</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o código NUTS del lugar principal de entrega o de ejecución, en los contratos de suministro y de servicios.</w:t>
      </w:r>
    </w:p>
    <w:p w:rsidR="0092635B" w:rsidRDefault="00000000">
      <w:pPr>
        <w:pStyle w:val="Prrafodelista"/>
        <w:numPr>
          <w:ilvl w:val="0"/>
          <w:numId w:val="12"/>
        </w:numPr>
        <w:tabs>
          <w:tab w:val="left" w:pos="1683"/>
        </w:tabs>
        <w:spacing w:line="249" w:lineRule="auto"/>
        <w:ind w:right="1105" w:firstLine="340"/>
        <w:jc w:val="both"/>
        <w:rPr>
          <w:sz w:val="20"/>
        </w:rPr>
      </w:pPr>
      <w:r>
        <w:rPr>
          <w:sz w:val="20"/>
        </w:rPr>
        <w:t>Breve descripción del contrato de que se trate, incluidos los números de referencia a</w:t>
      </w:r>
      <w:r>
        <w:rPr>
          <w:spacing w:val="40"/>
          <w:sz w:val="20"/>
        </w:rPr>
        <w:t xml:space="preserve"> </w:t>
      </w:r>
      <w:r>
        <w:rPr>
          <w:sz w:val="20"/>
        </w:rPr>
        <w:t>la nomenclatura CPV.</w:t>
      </w:r>
    </w:p>
    <w:p w:rsidR="0092635B" w:rsidRDefault="00000000">
      <w:pPr>
        <w:pStyle w:val="Prrafodelista"/>
        <w:numPr>
          <w:ilvl w:val="0"/>
          <w:numId w:val="12"/>
        </w:numPr>
        <w:tabs>
          <w:tab w:val="left" w:pos="1668"/>
        </w:tabs>
        <w:ind w:left="1668" w:right="0" w:hanging="222"/>
        <w:jc w:val="both"/>
        <w:rPr>
          <w:sz w:val="20"/>
        </w:rPr>
      </w:pPr>
      <w:r>
        <w:rPr>
          <w:sz w:val="20"/>
        </w:rPr>
        <w:t>Condiciones</w:t>
      </w:r>
      <w:r>
        <w:rPr>
          <w:spacing w:val="-4"/>
          <w:sz w:val="20"/>
        </w:rPr>
        <w:t xml:space="preserve"> </w:t>
      </w:r>
      <w:r>
        <w:rPr>
          <w:sz w:val="20"/>
        </w:rPr>
        <w:t>para</w:t>
      </w:r>
      <w:r>
        <w:rPr>
          <w:spacing w:val="-3"/>
          <w:sz w:val="20"/>
        </w:rPr>
        <w:t xml:space="preserve"> </w:t>
      </w:r>
      <w:r>
        <w:rPr>
          <w:sz w:val="20"/>
        </w:rPr>
        <w:t>la</w:t>
      </w:r>
      <w:r>
        <w:rPr>
          <w:spacing w:val="-3"/>
          <w:sz w:val="20"/>
        </w:rPr>
        <w:t xml:space="preserve"> </w:t>
      </w:r>
      <w:r>
        <w:rPr>
          <w:sz w:val="20"/>
        </w:rPr>
        <w:t>participación,</w:t>
      </w:r>
      <w:r>
        <w:rPr>
          <w:spacing w:val="-4"/>
          <w:sz w:val="20"/>
        </w:rPr>
        <w:t xml:space="preserve"> </w:t>
      </w:r>
      <w:r>
        <w:rPr>
          <w:sz w:val="20"/>
        </w:rPr>
        <w:t>y,</w:t>
      </w:r>
      <w:r>
        <w:rPr>
          <w:spacing w:val="-3"/>
          <w:sz w:val="20"/>
        </w:rPr>
        <w:t xml:space="preserve"> </w:t>
      </w:r>
      <w:r>
        <w:rPr>
          <w:sz w:val="20"/>
        </w:rPr>
        <w:t>en</w:t>
      </w:r>
      <w:r>
        <w:rPr>
          <w:spacing w:val="-3"/>
          <w:sz w:val="20"/>
        </w:rPr>
        <w:t xml:space="preserve"> </w:t>
      </w:r>
      <w:r>
        <w:rPr>
          <w:spacing w:val="-2"/>
          <w:sz w:val="20"/>
        </w:rPr>
        <w:t>concreto:</w:t>
      </w:r>
    </w:p>
    <w:p w:rsidR="0092635B" w:rsidRDefault="00000000">
      <w:pPr>
        <w:pStyle w:val="Prrafodelista"/>
        <w:numPr>
          <w:ilvl w:val="1"/>
          <w:numId w:val="12"/>
        </w:numPr>
        <w:tabs>
          <w:tab w:val="left" w:pos="1682"/>
        </w:tabs>
        <w:spacing w:before="130" w:line="249" w:lineRule="auto"/>
        <w:ind w:right="1104" w:firstLine="340"/>
        <w:rPr>
          <w:sz w:val="20"/>
        </w:rPr>
      </w:pPr>
      <w:r>
        <w:rPr>
          <w:sz w:val="20"/>
        </w:rPr>
        <w:t>Cuando proceda, indicación de si el contrato público está restringido a talleres protegidos o si se prevé que sea ejecutado únicamente en el marco de programas de</w:t>
      </w:r>
      <w:r>
        <w:rPr>
          <w:spacing w:val="80"/>
          <w:sz w:val="20"/>
        </w:rPr>
        <w:t xml:space="preserve"> </w:t>
      </w:r>
      <w:r>
        <w:rPr>
          <w:sz w:val="20"/>
        </w:rPr>
        <w:t>empleo protegido,</w:t>
      </w:r>
    </w:p>
    <w:p w:rsidR="0092635B" w:rsidRDefault="00000000">
      <w:pPr>
        <w:pStyle w:val="Prrafodelista"/>
        <w:numPr>
          <w:ilvl w:val="1"/>
          <w:numId w:val="12"/>
        </w:numPr>
        <w:tabs>
          <w:tab w:val="left" w:pos="1669"/>
        </w:tabs>
        <w:spacing w:line="249" w:lineRule="auto"/>
        <w:ind w:right="1102" w:firstLine="340"/>
        <w:rPr>
          <w:sz w:val="20"/>
        </w:rPr>
      </w:pPr>
      <w:r>
        <w:rPr>
          <w:sz w:val="20"/>
        </w:rPr>
        <w:t>Cuando proceda, indicar si con arreglo a disposiciones legales, reglamentarias o administrativas, se reserva la prestación del servicio a una determinada profesión.</w:t>
      </w:r>
    </w:p>
    <w:p w:rsidR="0092635B" w:rsidRDefault="00000000">
      <w:pPr>
        <w:pStyle w:val="Prrafodelista"/>
        <w:numPr>
          <w:ilvl w:val="0"/>
          <w:numId w:val="12"/>
        </w:numPr>
        <w:tabs>
          <w:tab w:val="left" w:pos="1668"/>
        </w:tabs>
        <w:spacing w:before="122"/>
        <w:ind w:left="1668" w:right="0" w:hanging="222"/>
        <w:jc w:val="both"/>
        <w:rPr>
          <w:sz w:val="20"/>
        </w:rPr>
      </w:pPr>
      <w:r>
        <w:rPr>
          <w:sz w:val="20"/>
        </w:rPr>
        <w:t>Plazo(s)</w:t>
      </w:r>
      <w:r>
        <w:rPr>
          <w:spacing w:val="-5"/>
          <w:sz w:val="20"/>
        </w:rPr>
        <w:t xml:space="preserve"> </w:t>
      </w:r>
      <w:r>
        <w:rPr>
          <w:sz w:val="20"/>
        </w:rPr>
        <w:t>para</w:t>
      </w:r>
      <w:r>
        <w:rPr>
          <w:spacing w:val="-3"/>
          <w:sz w:val="20"/>
        </w:rPr>
        <w:t xml:space="preserve"> </w:t>
      </w:r>
      <w:r>
        <w:rPr>
          <w:sz w:val="20"/>
        </w:rPr>
        <w:t>ponerse</w:t>
      </w:r>
      <w:r>
        <w:rPr>
          <w:spacing w:val="-3"/>
          <w:sz w:val="20"/>
        </w:rPr>
        <w:t xml:space="preserve"> </w:t>
      </w:r>
      <w:r>
        <w:rPr>
          <w:sz w:val="20"/>
        </w:rPr>
        <w:t>en</w:t>
      </w:r>
      <w:r>
        <w:rPr>
          <w:spacing w:val="-3"/>
          <w:sz w:val="20"/>
        </w:rPr>
        <w:t xml:space="preserve"> </w:t>
      </w:r>
      <w:r>
        <w:rPr>
          <w:sz w:val="20"/>
        </w:rPr>
        <w:t>contacto</w:t>
      </w:r>
      <w:r>
        <w:rPr>
          <w:spacing w:val="-3"/>
          <w:sz w:val="20"/>
        </w:rPr>
        <w:t xml:space="preserve"> </w:t>
      </w:r>
      <w:r>
        <w:rPr>
          <w:sz w:val="20"/>
        </w:rPr>
        <w:t>con</w:t>
      </w:r>
      <w:r>
        <w:rPr>
          <w:spacing w:val="-2"/>
          <w:sz w:val="20"/>
        </w:rPr>
        <w:t xml:space="preserve"> </w:t>
      </w:r>
      <w:r>
        <w:rPr>
          <w:sz w:val="20"/>
        </w:rPr>
        <w:t>el</w:t>
      </w:r>
      <w:r>
        <w:rPr>
          <w:spacing w:val="-3"/>
          <w:sz w:val="20"/>
        </w:rPr>
        <w:t xml:space="preserve"> </w:t>
      </w:r>
      <w:r>
        <w:rPr>
          <w:sz w:val="20"/>
        </w:rPr>
        <w:t>poder</w:t>
      </w:r>
      <w:r>
        <w:rPr>
          <w:spacing w:val="-3"/>
          <w:sz w:val="20"/>
        </w:rPr>
        <w:t xml:space="preserve"> </w:t>
      </w:r>
      <w:r>
        <w:rPr>
          <w:sz w:val="20"/>
        </w:rPr>
        <w:t>adjudicador,</w:t>
      </w:r>
      <w:r>
        <w:rPr>
          <w:spacing w:val="-3"/>
          <w:sz w:val="20"/>
        </w:rPr>
        <w:t xml:space="preserve"> </w:t>
      </w:r>
      <w:r>
        <w:rPr>
          <w:sz w:val="20"/>
        </w:rPr>
        <w:t>con</w:t>
      </w:r>
      <w:r>
        <w:rPr>
          <w:spacing w:val="-3"/>
          <w:sz w:val="20"/>
        </w:rPr>
        <w:t xml:space="preserve"> </w:t>
      </w:r>
      <w:r>
        <w:rPr>
          <w:sz w:val="20"/>
        </w:rPr>
        <w:t>vistas</w:t>
      </w:r>
      <w:r>
        <w:rPr>
          <w:spacing w:val="-3"/>
          <w:sz w:val="20"/>
        </w:rPr>
        <w:t xml:space="preserve"> </w:t>
      </w:r>
      <w:r>
        <w:rPr>
          <w:sz w:val="20"/>
        </w:rPr>
        <w:t>a</w:t>
      </w:r>
      <w:r>
        <w:rPr>
          <w:spacing w:val="-2"/>
          <w:sz w:val="20"/>
        </w:rPr>
        <w:t xml:space="preserve"> participar.</w:t>
      </w:r>
    </w:p>
    <w:p w:rsidR="0092635B" w:rsidRDefault="00000000">
      <w:pPr>
        <w:pStyle w:val="Prrafodelista"/>
        <w:numPr>
          <w:ilvl w:val="0"/>
          <w:numId w:val="12"/>
        </w:numPr>
        <w:tabs>
          <w:tab w:val="left" w:pos="1678"/>
        </w:tabs>
        <w:spacing w:before="10" w:line="249" w:lineRule="auto"/>
        <w:ind w:right="1104" w:firstLine="340"/>
        <w:jc w:val="both"/>
        <w:rPr>
          <w:sz w:val="20"/>
        </w:rPr>
      </w:pPr>
      <w:r>
        <w:rPr>
          <w:sz w:val="20"/>
        </w:rPr>
        <w:t>Breve descripción de las características principales del procedimiento de adjudicación que se va a aplicar.</w:t>
      </w:r>
    </w:p>
    <w:p w:rsidR="0092635B" w:rsidRDefault="00000000">
      <w:pPr>
        <w:pStyle w:val="Textoindependiente"/>
        <w:spacing w:before="122" w:line="249" w:lineRule="auto"/>
        <w:ind w:right="1106"/>
      </w:pPr>
      <w:r>
        <w:t>Sección 6. Información que debe figurar en los anuncios de formalización de contratos cuando no proceda la aplicación de la sección 7 siguiente:</w:t>
      </w:r>
    </w:p>
    <w:p w:rsidR="0092635B" w:rsidRDefault="00000000">
      <w:pPr>
        <w:pStyle w:val="Prrafodelista"/>
        <w:numPr>
          <w:ilvl w:val="0"/>
          <w:numId w:val="11"/>
        </w:numPr>
        <w:tabs>
          <w:tab w:val="left" w:pos="1738"/>
        </w:tabs>
        <w:spacing w:before="121"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0"/>
          <w:numId w:val="11"/>
        </w:numPr>
        <w:tabs>
          <w:tab w:val="left" w:pos="1668"/>
        </w:tabs>
        <w:spacing w:before="3"/>
        <w:ind w:left="1668" w:right="0" w:hanging="222"/>
        <w:jc w:val="both"/>
        <w:rPr>
          <w:sz w:val="20"/>
        </w:rPr>
      </w:pPr>
      <w:r>
        <w:rPr>
          <w:sz w:val="20"/>
        </w:rPr>
        <w:t>Tipo</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y</w:t>
      </w:r>
      <w:r>
        <w:rPr>
          <w:spacing w:val="-4"/>
          <w:sz w:val="20"/>
        </w:rPr>
        <w:t xml:space="preserve"> </w:t>
      </w:r>
      <w:r>
        <w:rPr>
          <w:sz w:val="20"/>
        </w:rPr>
        <w:t>principal</w:t>
      </w:r>
      <w:r>
        <w:rPr>
          <w:spacing w:val="-4"/>
          <w:sz w:val="20"/>
        </w:rPr>
        <w:t xml:space="preserve"> </w:t>
      </w:r>
      <w:r>
        <w:rPr>
          <w:sz w:val="20"/>
        </w:rPr>
        <w:t>actividad</w:t>
      </w:r>
      <w:r>
        <w:rPr>
          <w:spacing w:val="-3"/>
          <w:sz w:val="20"/>
        </w:rPr>
        <w:t xml:space="preserve"> </w:t>
      </w:r>
      <w:r>
        <w:rPr>
          <w:spacing w:val="-2"/>
          <w:sz w:val="20"/>
        </w:rPr>
        <w:t>ejercida.</w:t>
      </w:r>
    </w:p>
    <w:p w:rsidR="0092635B" w:rsidRDefault="00000000">
      <w:pPr>
        <w:pStyle w:val="Prrafodelista"/>
        <w:numPr>
          <w:ilvl w:val="0"/>
          <w:numId w:val="11"/>
        </w:numPr>
        <w:tabs>
          <w:tab w:val="left" w:pos="1670"/>
        </w:tabs>
        <w:spacing w:before="10" w:line="249" w:lineRule="auto"/>
        <w:ind w:firstLine="340"/>
        <w:jc w:val="both"/>
        <w:rPr>
          <w:sz w:val="20"/>
        </w:rPr>
      </w:pPr>
      <w:r>
        <w:rPr>
          <w:sz w:val="20"/>
        </w:rPr>
        <w:t>Cuando</w:t>
      </w:r>
      <w:r>
        <w:rPr>
          <w:spacing w:val="-1"/>
          <w:sz w:val="20"/>
        </w:rPr>
        <w:t xml:space="preserve"> </w:t>
      </w:r>
      <w:r>
        <w:rPr>
          <w:sz w:val="20"/>
        </w:rPr>
        <w:t>proceda,</w:t>
      </w:r>
      <w:r>
        <w:rPr>
          <w:spacing w:val="-1"/>
          <w:sz w:val="20"/>
        </w:rPr>
        <w:t xml:space="preserve"> </w:t>
      </w:r>
      <w:r>
        <w:rPr>
          <w:sz w:val="20"/>
        </w:rPr>
        <w:t>indicación</w:t>
      </w:r>
      <w:r>
        <w:rPr>
          <w:spacing w:val="-1"/>
          <w:sz w:val="20"/>
        </w:rPr>
        <w:t xml:space="preserve"> </w:t>
      </w:r>
      <w:r>
        <w:rPr>
          <w:sz w:val="20"/>
        </w:rPr>
        <w:t>de</w:t>
      </w:r>
      <w:r>
        <w:rPr>
          <w:spacing w:val="-1"/>
          <w:sz w:val="20"/>
        </w:rPr>
        <w:t xml:space="preserve"> </w:t>
      </w:r>
      <w:r>
        <w:rPr>
          <w:sz w:val="20"/>
        </w:rPr>
        <w:t>si</w:t>
      </w:r>
      <w:r>
        <w:rPr>
          <w:spacing w:val="-1"/>
          <w:sz w:val="20"/>
        </w:rPr>
        <w:t xml:space="preserve"> </w:t>
      </w:r>
      <w:r>
        <w:rPr>
          <w:sz w:val="20"/>
        </w:rPr>
        <w:t>el</w:t>
      </w:r>
      <w:r>
        <w:rPr>
          <w:spacing w:val="-1"/>
          <w:sz w:val="20"/>
        </w:rPr>
        <w:t xml:space="preserve"> </w:t>
      </w:r>
      <w:r>
        <w:rPr>
          <w:sz w:val="20"/>
        </w:rPr>
        <w:t>poder</w:t>
      </w:r>
      <w:r>
        <w:rPr>
          <w:spacing w:val="-1"/>
          <w:sz w:val="20"/>
        </w:rPr>
        <w:t xml:space="preserve"> </w:t>
      </w:r>
      <w:r>
        <w:rPr>
          <w:sz w:val="20"/>
        </w:rPr>
        <w:t>adjudicador</w:t>
      </w:r>
      <w:r>
        <w:rPr>
          <w:spacing w:val="-1"/>
          <w:sz w:val="20"/>
        </w:rPr>
        <w:t xml:space="preserve"> </w:t>
      </w:r>
      <w:r>
        <w:rPr>
          <w:sz w:val="20"/>
        </w:rPr>
        <w:t>es</w:t>
      </w:r>
      <w:r>
        <w:rPr>
          <w:spacing w:val="-1"/>
          <w:sz w:val="20"/>
        </w:rPr>
        <w:t xml:space="preserve"> </w:t>
      </w:r>
      <w:r>
        <w:rPr>
          <w:sz w:val="20"/>
        </w:rPr>
        <w:t>una</w:t>
      </w:r>
      <w:r>
        <w:rPr>
          <w:spacing w:val="-1"/>
          <w:sz w:val="20"/>
        </w:rPr>
        <w:t xml:space="preserve"> </w:t>
      </w:r>
      <w:r>
        <w:rPr>
          <w:sz w:val="20"/>
        </w:rPr>
        <w:t>central</w:t>
      </w:r>
      <w:r>
        <w:rPr>
          <w:spacing w:val="-1"/>
          <w:sz w:val="20"/>
        </w:rPr>
        <w:t xml:space="preserve"> </w:t>
      </w:r>
      <w:r>
        <w:rPr>
          <w:sz w:val="20"/>
        </w:rPr>
        <w:t>de</w:t>
      </w:r>
      <w:r>
        <w:rPr>
          <w:spacing w:val="-1"/>
          <w:sz w:val="20"/>
        </w:rPr>
        <w:t xml:space="preserve"> </w:t>
      </w:r>
      <w:r>
        <w:rPr>
          <w:sz w:val="20"/>
        </w:rPr>
        <w:t>compras</w:t>
      </w:r>
      <w:r>
        <w:rPr>
          <w:spacing w:val="-1"/>
          <w:sz w:val="20"/>
        </w:rPr>
        <w:t xml:space="preserve"> </w:t>
      </w:r>
      <w:r>
        <w:rPr>
          <w:sz w:val="20"/>
        </w:rPr>
        <w:t>o</w:t>
      </w:r>
      <w:r>
        <w:rPr>
          <w:spacing w:val="-1"/>
          <w:sz w:val="20"/>
        </w:rPr>
        <w:t xml:space="preserve"> </w:t>
      </w:r>
      <w:r>
        <w:rPr>
          <w:sz w:val="20"/>
        </w:rPr>
        <w:t>de si se va a utilizar alguna otra forma de contratación conjunta.</w:t>
      </w:r>
    </w:p>
    <w:p w:rsidR="0092635B" w:rsidRDefault="00000000">
      <w:pPr>
        <w:pStyle w:val="Prrafodelista"/>
        <w:numPr>
          <w:ilvl w:val="0"/>
          <w:numId w:val="11"/>
        </w:numPr>
        <w:tabs>
          <w:tab w:val="left" w:pos="1668"/>
        </w:tabs>
        <w:spacing w:before="1"/>
        <w:ind w:left="1668" w:right="0" w:hanging="222"/>
        <w:jc w:val="both"/>
        <w:rPr>
          <w:sz w:val="20"/>
        </w:rPr>
      </w:pPr>
      <w:r>
        <w:rPr>
          <w:sz w:val="20"/>
        </w:rPr>
        <w:t>Códigos</w:t>
      </w:r>
      <w:r>
        <w:rPr>
          <w:spacing w:val="-2"/>
          <w:sz w:val="20"/>
        </w:rPr>
        <w:t xml:space="preserve"> </w:t>
      </w:r>
      <w:r>
        <w:rPr>
          <w:spacing w:val="-4"/>
          <w:sz w:val="20"/>
        </w:rPr>
        <w:t>CPV.</w:t>
      </w:r>
    </w:p>
    <w:p w:rsidR="0092635B" w:rsidRDefault="00000000">
      <w:pPr>
        <w:pStyle w:val="Prrafodelista"/>
        <w:numPr>
          <w:ilvl w:val="0"/>
          <w:numId w:val="11"/>
        </w:numPr>
        <w:tabs>
          <w:tab w:val="left" w:pos="1670"/>
        </w:tabs>
        <w:spacing w:before="10" w:line="249" w:lineRule="auto"/>
        <w:ind w:right="1104" w:firstLine="340"/>
        <w:jc w:val="both"/>
        <w:rPr>
          <w:sz w:val="20"/>
        </w:rPr>
      </w:pPr>
      <w:r>
        <w:rPr>
          <w:sz w:val="20"/>
        </w:rPr>
        <w:t>Código</w:t>
      </w:r>
      <w:r>
        <w:rPr>
          <w:spacing w:val="-1"/>
          <w:sz w:val="20"/>
        </w:rPr>
        <w:t xml:space="preserve"> </w:t>
      </w:r>
      <w:r>
        <w:rPr>
          <w:sz w:val="20"/>
        </w:rPr>
        <w:t>NUTS</w:t>
      </w:r>
      <w:r>
        <w:rPr>
          <w:spacing w:val="-1"/>
          <w:sz w:val="20"/>
        </w:rPr>
        <w:t xml:space="preserve"> </w:t>
      </w:r>
      <w:r>
        <w:rPr>
          <w:sz w:val="20"/>
        </w:rPr>
        <w:t>del</w:t>
      </w:r>
      <w:r>
        <w:rPr>
          <w:spacing w:val="-1"/>
          <w:sz w:val="20"/>
        </w:rPr>
        <w:t xml:space="preserve"> </w:t>
      </w:r>
      <w:r>
        <w:rPr>
          <w:sz w:val="20"/>
        </w:rPr>
        <w:t>emplazamiento</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o código NUTS del lugar principal de entrega o de ejecución, en los contratos de suministro y de servicios.</w:t>
      </w:r>
    </w:p>
    <w:p w:rsidR="0092635B" w:rsidRDefault="00000000">
      <w:pPr>
        <w:pStyle w:val="Prrafodelista"/>
        <w:numPr>
          <w:ilvl w:val="0"/>
          <w:numId w:val="11"/>
        </w:numPr>
        <w:tabs>
          <w:tab w:val="left" w:pos="1674"/>
        </w:tabs>
        <w:spacing w:before="3" w:line="249" w:lineRule="auto"/>
        <w:ind w:firstLine="340"/>
        <w:jc w:val="both"/>
        <w:rPr>
          <w:sz w:val="20"/>
        </w:rPr>
      </w:pPr>
      <w:r>
        <w:rPr>
          <w:sz w:val="20"/>
        </w:rPr>
        <w:t xml:space="preserve">Descripción de la licitación: naturaleza y alcance de las obras, naturaleza y cantidad o valor de los suministros, naturaleza y alcance de los servicios. Si el contrato está dividido en lotes, esta información se facilitará para cada lote. Si procede, descripción de posibles </w:t>
      </w:r>
      <w:r>
        <w:rPr>
          <w:spacing w:val="-2"/>
          <w:sz w:val="20"/>
        </w:rPr>
        <w:t>variantes.</w:t>
      </w:r>
    </w:p>
    <w:p w:rsidR="0092635B" w:rsidRDefault="00000000">
      <w:pPr>
        <w:pStyle w:val="Prrafodelista"/>
        <w:numPr>
          <w:ilvl w:val="0"/>
          <w:numId w:val="11"/>
        </w:numPr>
        <w:tabs>
          <w:tab w:val="left" w:pos="1744"/>
        </w:tabs>
        <w:spacing w:before="3" w:line="249" w:lineRule="auto"/>
        <w:ind w:right="1104" w:firstLine="340"/>
        <w:jc w:val="both"/>
        <w:rPr>
          <w:sz w:val="20"/>
        </w:rPr>
      </w:pPr>
      <w:r>
        <w:rPr>
          <w:sz w:val="20"/>
        </w:rPr>
        <w:t>Tipo de procedimiento de adjudicación; en caso de que se haya utilizado un procedimiento negociado sin publicación previa, se deberá justificar esta elección.</w:t>
      </w:r>
    </w:p>
    <w:p w:rsidR="0092635B" w:rsidRDefault="00000000">
      <w:pPr>
        <w:pStyle w:val="Prrafodelista"/>
        <w:numPr>
          <w:ilvl w:val="0"/>
          <w:numId w:val="11"/>
        </w:numPr>
        <w:tabs>
          <w:tab w:val="left" w:pos="1668"/>
        </w:tabs>
        <w:ind w:left="1668" w:right="0" w:hanging="222"/>
        <w:jc w:val="both"/>
        <w:rPr>
          <w:sz w:val="20"/>
        </w:rPr>
      </w:pPr>
      <w:r>
        <w:rPr>
          <w:sz w:val="20"/>
        </w:rPr>
        <w:t>Si</w:t>
      </w:r>
      <w:r>
        <w:rPr>
          <w:spacing w:val="-3"/>
          <w:sz w:val="20"/>
        </w:rPr>
        <w:t xml:space="preserve"> </w:t>
      </w:r>
      <w:r>
        <w:rPr>
          <w:sz w:val="20"/>
        </w:rPr>
        <w:t>procede,</w:t>
      </w:r>
      <w:r>
        <w:rPr>
          <w:spacing w:val="-3"/>
          <w:sz w:val="20"/>
        </w:rPr>
        <w:t xml:space="preserve"> </w:t>
      </w:r>
      <w:r>
        <w:rPr>
          <w:sz w:val="20"/>
        </w:rPr>
        <w:t>indicación</w:t>
      </w:r>
      <w:r>
        <w:rPr>
          <w:spacing w:val="-3"/>
          <w:sz w:val="20"/>
        </w:rPr>
        <w:t xml:space="preserve"> </w:t>
      </w:r>
      <w:r>
        <w:rPr>
          <w:sz w:val="20"/>
        </w:rPr>
        <w:t>de</w:t>
      </w:r>
      <w:r>
        <w:rPr>
          <w:spacing w:val="-2"/>
          <w:sz w:val="20"/>
        </w:rPr>
        <w:t xml:space="preserve"> </w:t>
      </w:r>
      <w:r>
        <w:rPr>
          <w:spacing w:val="-5"/>
          <w:sz w:val="20"/>
        </w:rPr>
        <w:t>si:</w:t>
      </w:r>
    </w:p>
    <w:p w:rsidR="0092635B" w:rsidRDefault="00000000">
      <w:pPr>
        <w:pStyle w:val="Prrafodelista"/>
        <w:numPr>
          <w:ilvl w:val="1"/>
          <w:numId w:val="11"/>
        </w:numPr>
        <w:tabs>
          <w:tab w:val="left" w:pos="1679"/>
        </w:tabs>
        <w:spacing w:before="130"/>
        <w:ind w:right="0" w:hanging="233"/>
        <w:jc w:val="both"/>
        <w:rPr>
          <w:sz w:val="20"/>
        </w:rPr>
      </w:pPr>
      <w:r>
        <w:rPr>
          <w:sz w:val="20"/>
        </w:rPr>
        <w:t>Se</w:t>
      </w:r>
      <w:r>
        <w:rPr>
          <w:spacing w:val="-4"/>
          <w:sz w:val="20"/>
        </w:rPr>
        <w:t xml:space="preserve"> </w:t>
      </w:r>
      <w:r>
        <w:rPr>
          <w:sz w:val="20"/>
        </w:rPr>
        <w:t>aplicó</w:t>
      </w:r>
      <w:r>
        <w:rPr>
          <w:spacing w:val="-3"/>
          <w:sz w:val="20"/>
        </w:rPr>
        <w:t xml:space="preserve"> </w:t>
      </w:r>
      <w:r>
        <w:rPr>
          <w:sz w:val="20"/>
        </w:rPr>
        <w:t>un</w:t>
      </w:r>
      <w:r>
        <w:rPr>
          <w:spacing w:val="-3"/>
          <w:sz w:val="20"/>
        </w:rPr>
        <w:t xml:space="preserve"> </w:t>
      </w:r>
      <w:r>
        <w:rPr>
          <w:sz w:val="20"/>
        </w:rPr>
        <w:t>acuerdo</w:t>
      </w:r>
      <w:r>
        <w:rPr>
          <w:spacing w:val="-3"/>
          <w:sz w:val="20"/>
        </w:rPr>
        <w:t xml:space="preserve"> </w:t>
      </w:r>
      <w:r>
        <w:rPr>
          <w:spacing w:val="-2"/>
          <w:sz w:val="20"/>
        </w:rPr>
        <w:t>marco;</w:t>
      </w:r>
    </w:p>
    <w:p w:rsidR="0092635B" w:rsidRDefault="00000000">
      <w:pPr>
        <w:pStyle w:val="Prrafodelista"/>
        <w:numPr>
          <w:ilvl w:val="1"/>
          <w:numId w:val="11"/>
        </w:numPr>
        <w:tabs>
          <w:tab w:val="left" w:pos="1679"/>
        </w:tabs>
        <w:spacing w:before="10"/>
        <w:ind w:right="0" w:hanging="233"/>
        <w:jc w:val="both"/>
        <w:rPr>
          <w:sz w:val="20"/>
        </w:rPr>
      </w:pPr>
      <w:r>
        <w:rPr>
          <w:sz w:val="20"/>
        </w:rPr>
        <w:t>Se</w:t>
      </w:r>
      <w:r>
        <w:rPr>
          <w:spacing w:val="-4"/>
          <w:sz w:val="20"/>
        </w:rPr>
        <w:t xml:space="preserve"> </w:t>
      </w:r>
      <w:r>
        <w:rPr>
          <w:sz w:val="20"/>
        </w:rPr>
        <w:t>aplicó</w:t>
      </w:r>
      <w:r>
        <w:rPr>
          <w:spacing w:val="-3"/>
          <w:sz w:val="20"/>
        </w:rPr>
        <w:t xml:space="preserve"> </w:t>
      </w:r>
      <w:r>
        <w:rPr>
          <w:sz w:val="20"/>
        </w:rPr>
        <w:t>un</w:t>
      </w:r>
      <w:r>
        <w:rPr>
          <w:spacing w:val="-4"/>
          <w:sz w:val="20"/>
        </w:rPr>
        <w:t xml:space="preserve"> </w:t>
      </w:r>
      <w:r>
        <w:rPr>
          <w:sz w:val="20"/>
        </w:rPr>
        <w:t>sistema</w:t>
      </w:r>
      <w:r>
        <w:rPr>
          <w:spacing w:val="-3"/>
          <w:sz w:val="20"/>
        </w:rPr>
        <w:t xml:space="preserve"> </w:t>
      </w:r>
      <w:r>
        <w:rPr>
          <w:sz w:val="20"/>
        </w:rPr>
        <w:t>dinámico</w:t>
      </w:r>
      <w:r>
        <w:rPr>
          <w:spacing w:val="-4"/>
          <w:sz w:val="20"/>
        </w:rPr>
        <w:t xml:space="preserve"> </w:t>
      </w:r>
      <w:r>
        <w:rPr>
          <w:sz w:val="20"/>
        </w:rPr>
        <w:t>de</w:t>
      </w:r>
      <w:r>
        <w:rPr>
          <w:spacing w:val="-3"/>
          <w:sz w:val="20"/>
        </w:rPr>
        <w:t xml:space="preserve"> </w:t>
      </w:r>
      <w:r>
        <w:rPr>
          <w:spacing w:val="-2"/>
          <w:sz w:val="20"/>
        </w:rPr>
        <w:t>adquisición.</w:t>
      </w:r>
    </w:p>
    <w:p w:rsidR="0092635B" w:rsidRDefault="00000000">
      <w:pPr>
        <w:pStyle w:val="Prrafodelista"/>
        <w:numPr>
          <w:ilvl w:val="0"/>
          <w:numId w:val="11"/>
        </w:numPr>
        <w:tabs>
          <w:tab w:val="left" w:pos="1673"/>
        </w:tabs>
        <w:spacing w:before="130" w:line="249" w:lineRule="auto"/>
        <w:ind w:right="1104" w:firstLine="340"/>
        <w:jc w:val="both"/>
        <w:rPr>
          <w:sz w:val="20"/>
        </w:rPr>
      </w:pPr>
      <w:r>
        <w:rPr>
          <w:sz w:val="20"/>
        </w:rPr>
        <w:t>Criterios previstos en el artículo 145 que se utilizaron para la adjudicación del contrato o los contratos. Cuando proceda, indicación de si se utilizó una subasta electrónica (en los procedimientos abiertos, restringidos o de licitación con negociación).</w:t>
      </w:r>
    </w:p>
    <w:p w:rsidR="0092635B" w:rsidRDefault="00000000">
      <w:pPr>
        <w:pStyle w:val="Prrafodelista"/>
        <w:numPr>
          <w:ilvl w:val="0"/>
          <w:numId w:val="11"/>
        </w:numPr>
        <w:tabs>
          <w:tab w:val="left" w:pos="1802"/>
        </w:tabs>
        <w:spacing w:line="249" w:lineRule="auto"/>
        <w:ind w:right="1104" w:firstLine="340"/>
        <w:jc w:val="both"/>
        <w:rPr>
          <w:sz w:val="20"/>
        </w:rPr>
      </w:pPr>
      <w:r>
        <w:rPr>
          <w:sz w:val="20"/>
        </w:rPr>
        <w:t>Fecha de la adjudicación del contrato o contratos o del acuerdo o acuerdos marco tras la decisión de concesión o celebración.</w:t>
      </w:r>
    </w:p>
    <w:p w:rsidR="0092635B" w:rsidRDefault="00000000">
      <w:pPr>
        <w:pStyle w:val="Prrafodelista"/>
        <w:numPr>
          <w:ilvl w:val="0"/>
          <w:numId w:val="11"/>
        </w:numPr>
        <w:tabs>
          <w:tab w:val="left" w:pos="1763"/>
        </w:tabs>
        <w:ind w:left="1763" w:right="0" w:hanging="317"/>
        <w:jc w:val="both"/>
        <w:rPr>
          <w:sz w:val="20"/>
        </w:rPr>
      </w:pPr>
      <w:r>
        <w:rPr>
          <w:sz w:val="20"/>
        </w:rPr>
        <w:t>Número</w:t>
      </w:r>
      <w:r>
        <w:rPr>
          <w:spacing w:val="-6"/>
          <w:sz w:val="20"/>
        </w:rPr>
        <w:t xml:space="preserve"> </w:t>
      </w:r>
      <w:r>
        <w:rPr>
          <w:sz w:val="20"/>
        </w:rPr>
        <w:t>de</w:t>
      </w:r>
      <w:r>
        <w:rPr>
          <w:spacing w:val="-3"/>
          <w:sz w:val="20"/>
        </w:rPr>
        <w:t xml:space="preserve"> </w:t>
      </w:r>
      <w:r>
        <w:rPr>
          <w:sz w:val="20"/>
        </w:rPr>
        <w:t>ofertas</w:t>
      </w:r>
      <w:r>
        <w:rPr>
          <w:spacing w:val="-3"/>
          <w:sz w:val="20"/>
        </w:rPr>
        <w:t xml:space="preserve"> </w:t>
      </w:r>
      <w:r>
        <w:rPr>
          <w:sz w:val="20"/>
        </w:rPr>
        <w:t>recibidas</w:t>
      </w:r>
      <w:r>
        <w:rPr>
          <w:spacing w:val="-3"/>
          <w:sz w:val="20"/>
        </w:rPr>
        <w:t xml:space="preserve"> </w:t>
      </w:r>
      <w:r>
        <w:rPr>
          <w:sz w:val="20"/>
        </w:rPr>
        <w:t>con</w:t>
      </w:r>
      <w:r>
        <w:rPr>
          <w:spacing w:val="-3"/>
          <w:sz w:val="20"/>
        </w:rPr>
        <w:t xml:space="preserve"> </w:t>
      </w:r>
      <w:r>
        <w:rPr>
          <w:sz w:val="20"/>
        </w:rPr>
        <w:t>respecto</w:t>
      </w:r>
      <w:r>
        <w:rPr>
          <w:spacing w:val="-3"/>
          <w:sz w:val="20"/>
        </w:rPr>
        <w:t xml:space="preserve"> </w:t>
      </w:r>
      <w:r>
        <w:rPr>
          <w:sz w:val="20"/>
        </w:rPr>
        <w:t>a</w:t>
      </w:r>
      <w:r>
        <w:rPr>
          <w:spacing w:val="-3"/>
          <w:sz w:val="20"/>
        </w:rPr>
        <w:t xml:space="preserve"> </w:t>
      </w:r>
      <w:r>
        <w:rPr>
          <w:sz w:val="20"/>
        </w:rPr>
        <w:t>cada</w:t>
      </w:r>
      <w:r>
        <w:rPr>
          <w:spacing w:val="-3"/>
          <w:sz w:val="20"/>
        </w:rPr>
        <w:t xml:space="preserve"> </w:t>
      </w:r>
      <w:r>
        <w:rPr>
          <w:sz w:val="20"/>
        </w:rPr>
        <w:t>adjudicación,</w:t>
      </w:r>
      <w:r>
        <w:rPr>
          <w:spacing w:val="-3"/>
          <w:sz w:val="20"/>
        </w:rPr>
        <w:t xml:space="preserve"> </w:t>
      </w:r>
      <w:r>
        <w:rPr>
          <w:sz w:val="20"/>
        </w:rPr>
        <w:t>y,</w:t>
      </w:r>
      <w:r>
        <w:rPr>
          <w:spacing w:val="-3"/>
          <w:sz w:val="20"/>
        </w:rPr>
        <w:t xml:space="preserve"> </w:t>
      </w:r>
      <w:r>
        <w:rPr>
          <w:sz w:val="20"/>
        </w:rPr>
        <w:t>en</w:t>
      </w:r>
      <w:r>
        <w:rPr>
          <w:spacing w:val="-3"/>
          <w:sz w:val="20"/>
        </w:rPr>
        <w:t xml:space="preserve"> </w:t>
      </w:r>
      <w:r>
        <w:rPr>
          <w:spacing w:val="-2"/>
          <w:sz w:val="20"/>
        </w:rPr>
        <w:t>concreto:</w:t>
      </w:r>
    </w:p>
    <w:p w:rsidR="0092635B" w:rsidRDefault="00000000">
      <w:pPr>
        <w:pStyle w:val="Prrafodelista"/>
        <w:numPr>
          <w:ilvl w:val="1"/>
          <w:numId w:val="11"/>
        </w:numPr>
        <w:tabs>
          <w:tab w:val="left" w:pos="1724"/>
        </w:tabs>
        <w:spacing w:before="130" w:line="249" w:lineRule="auto"/>
        <w:ind w:left="1106" w:right="1104" w:firstLine="340"/>
        <w:rPr>
          <w:sz w:val="20"/>
        </w:rPr>
      </w:pPr>
      <w:r>
        <w:rPr>
          <w:sz w:val="20"/>
        </w:rPr>
        <w:t>El</w:t>
      </w:r>
      <w:r>
        <w:rPr>
          <w:spacing w:val="40"/>
          <w:sz w:val="20"/>
        </w:rPr>
        <w:t xml:space="preserve"> </w:t>
      </w:r>
      <w:r>
        <w:rPr>
          <w:sz w:val="20"/>
        </w:rPr>
        <w:t>número</w:t>
      </w:r>
      <w:r>
        <w:rPr>
          <w:spacing w:val="40"/>
          <w:sz w:val="20"/>
        </w:rPr>
        <w:t xml:space="preserve"> </w:t>
      </w:r>
      <w:r>
        <w:rPr>
          <w:sz w:val="20"/>
        </w:rPr>
        <w:t>de</w:t>
      </w:r>
      <w:r>
        <w:rPr>
          <w:spacing w:val="40"/>
          <w:sz w:val="20"/>
        </w:rPr>
        <w:t xml:space="preserve"> </w:t>
      </w:r>
      <w:r>
        <w:rPr>
          <w:sz w:val="20"/>
        </w:rPr>
        <w:t>ofertas</w:t>
      </w:r>
      <w:r>
        <w:rPr>
          <w:spacing w:val="40"/>
          <w:sz w:val="20"/>
        </w:rPr>
        <w:t xml:space="preserve"> </w:t>
      </w:r>
      <w:r>
        <w:rPr>
          <w:sz w:val="20"/>
        </w:rPr>
        <w:t>recibidas</w:t>
      </w:r>
      <w:r>
        <w:rPr>
          <w:spacing w:val="40"/>
          <w:sz w:val="20"/>
        </w:rPr>
        <w:t xml:space="preserve"> </w:t>
      </w:r>
      <w:r>
        <w:rPr>
          <w:sz w:val="20"/>
        </w:rPr>
        <w:t>de</w:t>
      </w:r>
      <w:r>
        <w:rPr>
          <w:spacing w:val="40"/>
          <w:sz w:val="20"/>
        </w:rPr>
        <w:t xml:space="preserve"> </w:t>
      </w:r>
      <w:r>
        <w:rPr>
          <w:sz w:val="20"/>
        </w:rPr>
        <w:t>operadores</w:t>
      </w:r>
      <w:r>
        <w:rPr>
          <w:spacing w:val="40"/>
          <w:sz w:val="20"/>
        </w:rPr>
        <w:t xml:space="preserve"> </w:t>
      </w:r>
      <w:r>
        <w:rPr>
          <w:sz w:val="20"/>
        </w:rPr>
        <w:t>económicos</w:t>
      </w:r>
      <w:r>
        <w:rPr>
          <w:spacing w:val="40"/>
          <w:sz w:val="20"/>
        </w:rPr>
        <w:t xml:space="preserve"> </w:t>
      </w:r>
      <w:r>
        <w:rPr>
          <w:sz w:val="20"/>
        </w:rPr>
        <w:t>que</w:t>
      </w:r>
      <w:r>
        <w:rPr>
          <w:spacing w:val="40"/>
          <w:sz w:val="20"/>
        </w:rPr>
        <w:t xml:space="preserve"> </w:t>
      </w:r>
      <w:r>
        <w:rPr>
          <w:sz w:val="20"/>
        </w:rPr>
        <w:t>sean</w:t>
      </w:r>
      <w:r>
        <w:rPr>
          <w:spacing w:val="40"/>
          <w:sz w:val="20"/>
        </w:rPr>
        <w:t xml:space="preserve"> </w:t>
      </w:r>
      <w:r>
        <w:rPr>
          <w:sz w:val="20"/>
        </w:rPr>
        <w:t>pequeñas</w:t>
      </w:r>
      <w:r>
        <w:rPr>
          <w:spacing w:val="40"/>
          <w:sz w:val="20"/>
        </w:rPr>
        <w:t xml:space="preserve"> </w:t>
      </w:r>
      <w:r>
        <w:rPr>
          <w:sz w:val="20"/>
        </w:rPr>
        <w:t>y medianas empresas;</w:t>
      </w:r>
    </w:p>
    <w:p w:rsidR="0092635B" w:rsidRDefault="00000000">
      <w:pPr>
        <w:pStyle w:val="Prrafodelista"/>
        <w:numPr>
          <w:ilvl w:val="1"/>
          <w:numId w:val="11"/>
        </w:numPr>
        <w:tabs>
          <w:tab w:val="left" w:pos="1679"/>
        </w:tabs>
        <w:ind w:right="0" w:hanging="233"/>
        <w:rPr>
          <w:sz w:val="20"/>
        </w:rPr>
      </w:pPr>
      <w:r>
        <w:rPr>
          <w:sz w:val="20"/>
        </w:rPr>
        <w:t>Número</w:t>
      </w:r>
      <w:r>
        <w:rPr>
          <w:spacing w:val="-2"/>
          <w:sz w:val="20"/>
        </w:rPr>
        <w:t xml:space="preserve"> </w:t>
      </w:r>
      <w:r>
        <w:rPr>
          <w:sz w:val="20"/>
        </w:rPr>
        <w:t>de</w:t>
      </w:r>
      <w:r>
        <w:rPr>
          <w:spacing w:val="-2"/>
          <w:sz w:val="20"/>
        </w:rPr>
        <w:t xml:space="preserve"> </w:t>
      </w:r>
      <w:r>
        <w:rPr>
          <w:sz w:val="20"/>
        </w:rPr>
        <w:t>ofertas</w:t>
      </w:r>
      <w:r>
        <w:rPr>
          <w:spacing w:val="-2"/>
          <w:sz w:val="20"/>
        </w:rPr>
        <w:t xml:space="preserve"> </w:t>
      </w:r>
      <w:r>
        <w:rPr>
          <w:sz w:val="20"/>
        </w:rPr>
        <w:t>recibidas</w:t>
      </w:r>
      <w:r>
        <w:rPr>
          <w:spacing w:val="-2"/>
          <w:sz w:val="20"/>
        </w:rPr>
        <w:t xml:space="preserve"> </w:t>
      </w:r>
      <w:r>
        <w:rPr>
          <w:sz w:val="20"/>
        </w:rPr>
        <w:t>de</w:t>
      </w:r>
      <w:r>
        <w:rPr>
          <w:spacing w:val="-2"/>
          <w:sz w:val="20"/>
        </w:rPr>
        <w:t xml:space="preserve"> </w:t>
      </w:r>
      <w:r>
        <w:rPr>
          <w:sz w:val="20"/>
        </w:rPr>
        <w:t>otro</w:t>
      </w:r>
      <w:r>
        <w:rPr>
          <w:spacing w:val="-2"/>
          <w:sz w:val="20"/>
        </w:rPr>
        <w:t xml:space="preserve"> </w:t>
      </w:r>
      <w:r>
        <w:rPr>
          <w:sz w:val="20"/>
        </w:rPr>
        <w:t>Estado</w:t>
      </w:r>
      <w:r>
        <w:rPr>
          <w:spacing w:val="-2"/>
          <w:sz w:val="20"/>
        </w:rPr>
        <w:t xml:space="preserve"> </w:t>
      </w:r>
      <w:r>
        <w:rPr>
          <w:sz w:val="20"/>
        </w:rPr>
        <w:t>miembro</w:t>
      </w:r>
      <w:r>
        <w:rPr>
          <w:spacing w:val="-2"/>
          <w:sz w:val="20"/>
        </w:rPr>
        <w:t xml:space="preserve"> </w:t>
      </w:r>
      <w:r>
        <w:rPr>
          <w:sz w:val="20"/>
        </w:rPr>
        <w:t>o</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tercer</w:t>
      </w:r>
      <w:r>
        <w:rPr>
          <w:spacing w:val="-1"/>
          <w:sz w:val="20"/>
        </w:rPr>
        <w:t xml:space="preserve"> </w:t>
      </w:r>
      <w:r>
        <w:rPr>
          <w:spacing w:val="-2"/>
          <w:sz w:val="20"/>
        </w:rPr>
        <w:t>país;</w:t>
      </w:r>
    </w:p>
    <w:p w:rsidR="0092635B" w:rsidRDefault="00000000">
      <w:pPr>
        <w:pStyle w:val="Prrafodelista"/>
        <w:numPr>
          <w:ilvl w:val="1"/>
          <w:numId w:val="11"/>
        </w:numPr>
        <w:tabs>
          <w:tab w:val="left" w:pos="1668"/>
        </w:tabs>
        <w:spacing w:before="10"/>
        <w:ind w:left="1668" w:right="0" w:hanging="222"/>
        <w:rPr>
          <w:sz w:val="20"/>
        </w:rPr>
      </w:pPr>
      <w:r>
        <w:rPr>
          <w:sz w:val="20"/>
        </w:rPr>
        <w:t>Número</w:t>
      </w:r>
      <w:r>
        <w:rPr>
          <w:spacing w:val="-2"/>
          <w:sz w:val="20"/>
        </w:rPr>
        <w:t xml:space="preserve"> </w:t>
      </w:r>
      <w:r>
        <w:rPr>
          <w:sz w:val="20"/>
        </w:rPr>
        <w:t>de</w:t>
      </w:r>
      <w:r>
        <w:rPr>
          <w:spacing w:val="-1"/>
          <w:sz w:val="20"/>
        </w:rPr>
        <w:t xml:space="preserve"> </w:t>
      </w:r>
      <w:r>
        <w:rPr>
          <w:sz w:val="20"/>
        </w:rPr>
        <w:t>ofertas</w:t>
      </w:r>
      <w:r>
        <w:rPr>
          <w:spacing w:val="-1"/>
          <w:sz w:val="20"/>
        </w:rPr>
        <w:t xml:space="preserve"> </w:t>
      </w:r>
      <w:r>
        <w:rPr>
          <w:sz w:val="20"/>
        </w:rPr>
        <w:t>recibidas</w:t>
      </w:r>
      <w:r>
        <w:rPr>
          <w:spacing w:val="-2"/>
          <w:sz w:val="20"/>
        </w:rPr>
        <w:t xml:space="preserve"> </w:t>
      </w:r>
      <w:r>
        <w:rPr>
          <w:sz w:val="20"/>
        </w:rPr>
        <w:t>por</w:t>
      </w:r>
      <w:r>
        <w:rPr>
          <w:spacing w:val="-1"/>
          <w:sz w:val="20"/>
        </w:rPr>
        <w:t xml:space="preserve"> </w:t>
      </w:r>
      <w:r>
        <w:rPr>
          <w:sz w:val="20"/>
        </w:rPr>
        <w:t>vía</w:t>
      </w:r>
      <w:r>
        <w:rPr>
          <w:spacing w:val="-1"/>
          <w:sz w:val="20"/>
        </w:rPr>
        <w:t xml:space="preserve"> </w:t>
      </w:r>
      <w:r>
        <w:rPr>
          <w:spacing w:val="-2"/>
          <w:sz w:val="20"/>
        </w:rPr>
        <w:t>electrónica.</w:t>
      </w:r>
    </w:p>
    <w:p w:rsidR="0092635B" w:rsidRDefault="00000000">
      <w:pPr>
        <w:pStyle w:val="Prrafodelista"/>
        <w:numPr>
          <w:ilvl w:val="0"/>
          <w:numId w:val="11"/>
        </w:numPr>
        <w:tabs>
          <w:tab w:val="left" w:pos="1807"/>
        </w:tabs>
        <w:spacing w:before="130" w:line="249" w:lineRule="auto"/>
        <w:ind w:firstLine="340"/>
        <w:jc w:val="both"/>
        <w:rPr>
          <w:sz w:val="20"/>
        </w:rPr>
      </w:pPr>
      <w:r>
        <w:rPr>
          <w:sz w:val="20"/>
        </w:rPr>
        <w:t xml:space="preserve">Para cada adjudicación, nombre, NIF, dirección, incluido código NUTS, número de teléfono y de fax, dirección electrónica y de internet del licitador o licitadores seleccionados, </w:t>
      </w:r>
      <w:r>
        <w:rPr>
          <w:spacing w:val="-2"/>
          <w:sz w:val="20"/>
        </w:rPr>
        <w:t>especificando:</w:t>
      </w:r>
    </w:p>
    <w:p w:rsidR="0092635B" w:rsidRDefault="00000000">
      <w:pPr>
        <w:pStyle w:val="Prrafodelista"/>
        <w:numPr>
          <w:ilvl w:val="1"/>
          <w:numId w:val="11"/>
        </w:numPr>
        <w:tabs>
          <w:tab w:val="left" w:pos="1679"/>
        </w:tabs>
        <w:spacing w:before="122"/>
        <w:ind w:right="0" w:hanging="233"/>
        <w:rPr>
          <w:sz w:val="20"/>
        </w:rPr>
      </w:pPr>
      <w:r>
        <w:rPr>
          <w:sz w:val="20"/>
        </w:rPr>
        <w:t>Si</w:t>
      </w:r>
      <w:r>
        <w:rPr>
          <w:spacing w:val="-4"/>
          <w:sz w:val="20"/>
        </w:rPr>
        <w:t xml:space="preserve"> </w:t>
      </w:r>
      <w:r>
        <w:rPr>
          <w:sz w:val="20"/>
        </w:rPr>
        <w:t>el</w:t>
      </w:r>
      <w:r>
        <w:rPr>
          <w:spacing w:val="-3"/>
          <w:sz w:val="20"/>
        </w:rPr>
        <w:t xml:space="preserve"> </w:t>
      </w:r>
      <w:r>
        <w:rPr>
          <w:sz w:val="20"/>
        </w:rPr>
        <w:t>licitador</w:t>
      </w:r>
      <w:r>
        <w:rPr>
          <w:spacing w:val="-3"/>
          <w:sz w:val="20"/>
        </w:rPr>
        <w:t xml:space="preserve"> </w:t>
      </w:r>
      <w:r>
        <w:rPr>
          <w:sz w:val="20"/>
        </w:rPr>
        <w:t>adjudicatario</w:t>
      </w:r>
      <w:r>
        <w:rPr>
          <w:spacing w:val="-3"/>
          <w:sz w:val="20"/>
        </w:rPr>
        <w:t xml:space="preserve"> </w:t>
      </w:r>
      <w:r>
        <w:rPr>
          <w:sz w:val="20"/>
        </w:rPr>
        <w:t>es</w:t>
      </w:r>
      <w:r>
        <w:rPr>
          <w:spacing w:val="-3"/>
          <w:sz w:val="20"/>
        </w:rPr>
        <w:t xml:space="preserve"> </w:t>
      </w:r>
      <w:r>
        <w:rPr>
          <w:sz w:val="20"/>
        </w:rPr>
        <w:t>una</w:t>
      </w:r>
      <w:r>
        <w:rPr>
          <w:spacing w:val="-3"/>
          <w:sz w:val="20"/>
        </w:rPr>
        <w:t xml:space="preserve"> </w:t>
      </w:r>
      <w:r>
        <w:rPr>
          <w:sz w:val="20"/>
        </w:rPr>
        <w:t>pequeña</w:t>
      </w:r>
      <w:r>
        <w:rPr>
          <w:spacing w:val="-3"/>
          <w:sz w:val="20"/>
        </w:rPr>
        <w:t xml:space="preserve"> </w:t>
      </w:r>
      <w:r>
        <w:rPr>
          <w:sz w:val="20"/>
        </w:rPr>
        <w:t>y</w:t>
      </w:r>
      <w:r>
        <w:rPr>
          <w:spacing w:val="-3"/>
          <w:sz w:val="20"/>
        </w:rPr>
        <w:t xml:space="preserve"> </w:t>
      </w:r>
      <w:r>
        <w:rPr>
          <w:sz w:val="20"/>
        </w:rPr>
        <w:t>mediana</w:t>
      </w:r>
      <w:r>
        <w:rPr>
          <w:spacing w:val="-3"/>
          <w:sz w:val="20"/>
        </w:rPr>
        <w:t xml:space="preserve"> </w:t>
      </w:r>
      <w:r>
        <w:rPr>
          <w:spacing w:val="-2"/>
          <w:sz w:val="20"/>
        </w:rPr>
        <w:t>empresa;</w:t>
      </w:r>
    </w:p>
    <w:p w:rsidR="0092635B" w:rsidRDefault="00000000">
      <w:pPr>
        <w:pStyle w:val="Prrafodelista"/>
        <w:numPr>
          <w:ilvl w:val="1"/>
          <w:numId w:val="11"/>
        </w:numPr>
        <w:tabs>
          <w:tab w:val="left" w:pos="1679"/>
        </w:tabs>
        <w:spacing w:before="10"/>
        <w:ind w:right="0" w:hanging="233"/>
        <w:rPr>
          <w:sz w:val="20"/>
        </w:rPr>
      </w:pPr>
      <w:r>
        <w:rPr>
          <w:sz w:val="20"/>
        </w:rPr>
        <w:t>Si</w:t>
      </w:r>
      <w:r>
        <w:rPr>
          <w:spacing w:val="-4"/>
          <w:sz w:val="20"/>
        </w:rPr>
        <w:t xml:space="preserve"> </w:t>
      </w:r>
      <w:r>
        <w:rPr>
          <w:sz w:val="20"/>
        </w:rPr>
        <w:t>el</w:t>
      </w:r>
      <w:r>
        <w:rPr>
          <w:spacing w:val="-3"/>
          <w:sz w:val="20"/>
        </w:rPr>
        <w:t xml:space="preserve"> </w:t>
      </w:r>
      <w:r>
        <w:rPr>
          <w:sz w:val="20"/>
        </w:rPr>
        <w:t>contrato</w:t>
      </w:r>
      <w:r>
        <w:rPr>
          <w:spacing w:val="-3"/>
          <w:sz w:val="20"/>
        </w:rPr>
        <w:t xml:space="preserve"> </w:t>
      </w:r>
      <w:r>
        <w:rPr>
          <w:sz w:val="20"/>
        </w:rPr>
        <w:t>se</w:t>
      </w:r>
      <w:r>
        <w:rPr>
          <w:spacing w:val="-3"/>
          <w:sz w:val="20"/>
        </w:rPr>
        <w:t xml:space="preserve"> </w:t>
      </w:r>
      <w:r>
        <w:rPr>
          <w:sz w:val="20"/>
        </w:rPr>
        <w:t>ha</w:t>
      </w:r>
      <w:r>
        <w:rPr>
          <w:spacing w:val="-3"/>
          <w:sz w:val="20"/>
        </w:rPr>
        <w:t xml:space="preserve"> </w:t>
      </w:r>
      <w:r>
        <w:rPr>
          <w:sz w:val="20"/>
        </w:rPr>
        <w:t>adjudicado</w:t>
      </w:r>
      <w:r>
        <w:rPr>
          <w:spacing w:val="-4"/>
          <w:sz w:val="20"/>
        </w:rPr>
        <w:t xml:space="preserve"> </w:t>
      </w:r>
      <w:r>
        <w:rPr>
          <w:sz w:val="20"/>
        </w:rPr>
        <w:t>a</w:t>
      </w:r>
      <w:r>
        <w:rPr>
          <w:spacing w:val="-3"/>
          <w:sz w:val="20"/>
        </w:rPr>
        <w:t xml:space="preserve"> </w:t>
      </w:r>
      <w:r>
        <w:rPr>
          <w:sz w:val="20"/>
        </w:rPr>
        <w:t>una</w:t>
      </w:r>
      <w:r>
        <w:rPr>
          <w:spacing w:val="-3"/>
          <w:sz w:val="20"/>
        </w:rPr>
        <w:t xml:space="preserve"> </w:t>
      </w:r>
      <w:r>
        <w:rPr>
          <w:sz w:val="20"/>
        </w:rPr>
        <w:t>agrupación</w:t>
      </w:r>
      <w:r>
        <w:rPr>
          <w:spacing w:val="-3"/>
          <w:sz w:val="20"/>
        </w:rPr>
        <w:t xml:space="preserve"> </w:t>
      </w:r>
      <w:r>
        <w:rPr>
          <w:sz w:val="20"/>
        </w:rPr>
        <w:t>de</w:t>
      </w:r>
      <w:r>
        <w:rPr>
          <w:spacing w:val="-3"/>
          <w:sz w:val="20"/>
        </w:rPr>
        <w:t xml:space="preserve"> </w:t>
      </w:r>
      <w:r>
        <w:rPr>
          <w:spacing w:val="-2"/>
          <w:sz w:val="20"/>
        </w:rPr>
        <w:t>empresas.</w:t>
      </w:r>
    </w:p>
    <w:p w:rsidR="0092635B" w:rsidRDefault="00000000">
      <w:pPr>
        <w:pStyle w:val="Prrafodelista"/>
        <w:numPr>
          <w:ilvl w:val="0"/>
          <w:numId w:val="11"/>
        </w:numPr>
        <w:tabs>
          <w:tab w:val="left" w:pos="1810"/>
        </w:tabs>
        <w:spacing w:before="130" w:line="249" w:lineRule="auto"/>
        <w:ind w:firstLine="340"/>
        <w:jc w:val="both"/>
        <w:rPr>
          <w:sz w:val="20"/>
        </w:rPr>
      </w:pPr>
      <w:r>
        <w:rPr>
          <w:sz w:val="20"/>
        </w:rPr>
        <w:t xml:space="preserve">Valor de la oferta u ofertas seleccionadas o valores de las ofertas de mayor y de menor coste tomadas en consideración para la adjudicación o las adjudicaciones de </w:t>
      </w:r>
      <w:r>
        <w:rPr>
          <w:spacing w:val="-2"/>
          <w:sz w:val="20"/>
        </w:rPr>
        <w:t>contratos.</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11"/>
        </w:numPr>
        <w:tabs>
          <w:tab w:val="left" w:pos="1789"/>
        </w:tabs>
        <w:spacing w:before="1" w:line="249" w:lineRule="auto"/>
        <w:ind w:firstLine="340"/>
        <w:jc w:val="both"/>
        <w:rPr>
          <w:sz w:val="20"/>
        </w:rPr>
      </w:pPr>
      <w:r>
        <w:rPr>
          <w:sz w:val="20"/>
        </w:rPr>
        <w:t>Cuando proceda, para cada adjudicación, valor y proporción de los contratos que se prevea subcontratar a terceros.</w:t>
      </w:r>
    </w:p>
    <w:p w:rsidR="0092635B" w:rsidRDefault="00000000">
      <w:pPr>
        <w:pStyle w:val="Prrafodelista"/>
        <w:numPr>
          <w:ilvl w:val="0"/>
          <w:numId w:val="11"/>
        </w:numPr>
        <w:tabs>
          <w:tab w:val="left" w:pos="1840"/>
        </w:tabs>
        <w:spacing w:before="1" w:line="249" w:lineRule="auto"/>
        <w:ind w:right="1106" w:firstLine="340"/>
        <w:jc w:val="both"/>
        <w:rPr>
          <w:sz w:val="20"/>
        </w:rPr>
      </w:pPr>
      <w:r>
        <w:rPr>
          <w:sz w:val="20"/>
        </w:rPr>
        <w:t>Información sobre si el contrato está relacionado con un proyecto o programa financiado con fondos de la Unión.</w:t>
      </w:r>
    </w:p>
    <w:p w:rsidR="0092635B" w:rsidRDefault="00000000">
      <w:pPr>
        <w:pStyle w:val="Prrafodelista"/>
        <w:numPr>
          <w:ilvl w:val="0"/>
          <w:numId w:val="11"/>
        </w:numPr>
        <w:tabs>
          <w:tab w:val="left" w:pos="1798"/>
        </w:tabs>
        <w:spacing w:line="249" w:lineRule="auto"/>
        <w:ind w:right="1104" w:firstLine="340"/>
        <w:jc w:val="both"/>
        <w:rPr>
          <w:sz w:val="20"/>
        </w:rPr>
      </w:pPr>
      <w:r>
        <w:rPr>
          <w:sz w:val="20"/>
        </w:rPr>
        <w:t>Nombre y dirección del órgano responsable de los procedimientos de recurso y, en</w:t>
      </w:r>
      <w:r>
        <w:rPr>
          <w:spacing w:val="40"/>
          <w:sz w:val="20"/>
        </w:rPr>
        <w:t xml:space="preserve"> </w:t>
      </w:r>
      <w:r>
        <w:rPr>
          <w:sz w:val="20"/>
        </w:rPr>
        <w:t>su caso, de mediación. Indicación del plazo de presentación de recursos o, en caso necesario, el nombre, la dirección, los números de teléfono y de fax y la dirección electrónica del servicio del que pueda obtenerse dicha información.</w:t>
      </w:r>
    </w:p>
    <w:p w:rsidR="0092635B" w:rsidRDefault="00000000">
      <w:pPr>
        <w:pStyle w:val="Prrafodelista"/>
        <w:numPr>
          <w:ilvl w:val="0"/>
          <w:numId w:val="11"/>
        </w:numPr>
        <w:tabs>
          <w:tab w:val="left" w:pos="1810"/>
        </w:tabs>
        <w:spacing w:before="3" w:line="249" w:lineRule="auto"/>
        <w:ind w:firstLine="340"/>
        <w:jc w:val="both"/>
        <w:rPr>
          <w:sz w:val="20"/>
        </w:rPr>
      </w:pPr>
      <w:r>
        <w:rPr>
          <w:sz w:val="20"/>
        </w:rPr>
        <w:t>Fechas y referencias de publicaciones anteriores en el «Diario Oficial de la Unión Europea» relevantes para el contrato o los contratos que se den a conocer en el anuncio.</w:t>
      </w:r>
    </w:p>
    <w:p w:rsidR="0092635B" w:rsidRDefault="00000000">
      <w:pPr>
        <w:pStyle w:val="Prrafodelista"/>
        <w:numPr>
          <w:ilvl w:val="0"/>
          <w:numId w:val="11"/>
        </w:numPr>
        <w:tabs>
          <w:tab w:val="left" w:pos="1779"/>
        </w:tabs>
        <w:ind w:left="1779" w:right="0" w:hanging="333"/>
        <w:jc w:val="both"/>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11"/>
        </w:numPr>
        <w:tabs>
          <w:tab w:val="left" w:pos="1779"/>
        </w:tabs>
        <w:spacing w:before="10"/>
        <w:ind w:left="1779" w:right="0" w:hanging="333"/>
        <w:jc w:val="both"/>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04"/>
      </w:pPr>
      <w:r>
        <w:t>Sección 7. Información que debe figurar en el anuncio de formalización de los contratos de servicios sociales y otros servicios específicos:</w:t>
      </w:r>
    </w:p>
    <w:p w:rsidR="0092635B" w:rsidRDefault="00000000">
      <w:pPr>
        <w:pStyle w:val="Prrafodelista"/>
        <w:numPr>
          <w:ilvl w:val="0"/>
          <w:numId w:val="10"/>
        </w:numPr>
        <w:tabs>
          <w:tab w:val="left" w:pos="1699"/>
        </w:tabs>
        <w:spacing w:before="122" w:line="249" w:lineRule="auto"/>
        <w:ind w:right="1105" w:firstLine="340"/>
        <w:jc w:val="both"/>
        <w:rPr>
          <w:sz w:val="20"/>
        </w:rPr>
      </w:pPr>
      <w:r>
        <w:rPr>
          <w:sz w:val="20"/>
        </w:rPr>
        <w:t>Nombre, número de identificación (cuando esté previsto en la legislación nacional), dirección, incluido código NUTS, dirección electrónica y de internet del poder adjudicador.</w:t>
      </w:r>
    </w:p>
    <w:p w:rsidR="0092635B" w:rsidRDefault="00000000">
      <w:pPr>
        <w:pStyle w:val="Prrafodelista"/>
        <w:numPr>
          <w:ilvl w:val="0"/>
          <w:numId w:val="10"/>
        </w:numPr>
        <w:tabs>
          <w:tab w:val="left" w:pos="1704"/>
        </w:tabs>
        <w:spacing w:before="1" w:line="249" w:lineRule="auto"/>
        <w:ind w:right="1105" w:firstLine="340"/>
        <w:jc w:val="both"/>
        <w:rPr>
          <w:sz w:val="20"/>
        </w:rPr>
      </w:pPr>
      <w:r>
        <w:rPr>
          <w:sz w:val="20"/>
        </w:rPr>
        <w:t>Breve descripción del contrato de que se trate, incluidos el número o números de referencia de la nomenclatura CPV.</w:t>
      </w:r>
    </w:p>
    <w:p w:rsidR="0092635B" w:rsidRDefault="00000000">
      <w:pPr>
        <w:pStyle w:val="Prrafodelista"/>
        <w:numPr>
          <w:ilvl w:val="0"/>
          <w:numId w:val="10"/>
        </w:numPr>
        <w:tabs>
          <w:tab w:val="left" w:pos="1670"/>
        </w:tabs>
        <w:spacing w:line="249" w:lineRule="auto"/>
        <w:ind w:firstLine="340"/>
        <w:jc w:val="both"/>
        <w:rPr>
          <w:sz w:val="20"/>
        </w:rPr>
      </w:pPr>
      <w:r>
        <w:rPr>
          <w:sz w:val="20"/>
        </w:rPr>
        <w:t>Código</w:t>
      </w:r>
      <w:r>
        <w:rPr>
          <w:spacing w:val="-1"/>
          <w:sz w:val="20"/>
        </w:rPr>
        <w:t xml:space="preserve"> </w:t>
      </w:r>
      <w:r>
        <w:rPr>
          <w:sz w:val="20"/>
        </w:rPr>
        <w:t>NUTS</w:t>
      </w:r>
      <w:r>
        <w:rPr>
          <w:spacing w:val="-1"/>
          <w:sz w:val="20"/>
        </w:rPr>
        <w:t xml:space="preserve"> </w:t>
      </w:r>
      <w:r>
        <w:rPr>
          <w:sz w:val="20"/>
        </w:rPr>
        <w:t>del</w:t>
      </w:r>
      <w:r>
        <w:rPr>
          <w:spacing w:val="-1"/>
          <w:sz w:val="20"/>
        </w:rPr>
        <w:t xml:space="preserve"> </w:t>
      </w:r>
      <w:r>
        <w:rPr>
          <w:sz w:val="20"/>
        </w:rPr>
        <w:t>emplazamiento</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o código NUTS del lugar principal de entrega o ejecución, en los contratos de suministro y de servicios.</w:t>
      </w:r>
    </w:p>
    <w:p w:rsidR="0092635B" w:rsidRDefault="00000000">
      <w:pPr>
        <w:pStyle w:val="Prrafodelista"/>
        <w:numPr>
          <w:ilvl w:val="0"/>
          <w:numId w:val="10"/>
        </w:numPr>
        <w:tabs>
          <w:tab w:val="left" w:pos="1668"/>
        </w:tabs>
        <w:ind w:left="1668" w:right="0" w:hanging="222"/>
        <w:jc w:val="both"/>
        <w:rPr>
          <w:sz w:val="20"/>
        </w:rPr>
      </w:pPr>
      <w:r>
        <w:rPr>
          <w:sz w:val="20"/>
        </w:rPr>
        <w:t>Número</w:t>
      </w:r>
      <w:r>
        <w:rPr>
          <w:spacing w:val="-2"/>
          <w:sz w:val="20"/>
        </w:rPr>
        <w:t xml:space="preserve"> </w:t>
      </w:r>
      <w:r>
        <w:rPr>
          <w:sz w:val="20"/>
        </w:rPr>
        <w:t>de</w:t>
      </w:r>
      <w:r>
        <w:rPr>
          <w:spacing w:val="-2"/>
          <w:sz w:val="20"/>
        </w:rPr>
        <w:t xml:space="preserve"> </w:t>
      </w:r>
      <w:r>
        <w:rPr>
          <w:sz w:val="20"/>
        </w:rPr>
        <w:t>ofertas</w:t>
      </w:r>
      <w:r>
        <w:rPr>
          <w:spacing w:val="-2"/>
          <w:sz w:val="20"/>
        </w:rPr>
        <w:t xml:space="preserve"> recibidas.</w:t>
      </w:r>
    </w:p>
    <w:p w:rsidR="0092635B" w:rsidRDefault="00000000">
      <w:pPr>
        <w:pStyle w:val="Prrafodelista"/>
        <w:numPr>
          <w:ilvl w:val="0"/>
          <w:numId w:val="10"/>
        </w:numPr>
        <w:tabs>
          <w:tab w:val="left" w:pos="1668"/>
        </w:tabs>
        <w:spacing w:before="10"/>
        <w:ind w:left="1668" w:right="0" w:hanging="222"/>
        <w:jc w:val="both"/>
        <w:rPr>
          <w:sz w:val="20"/>
        </w:rPr>
      </w:pPr>
      <w:r>
        <w:rPr>
          <w:sz w:val="20"/>
        </w:rPr>
        <w:t>Precio</w:t>
      </w:r>
      <w:r>
        <w:rPr>
          <w:spacing w:val="-2"/>
          <w:sz w:val="20"/>
        </w:rPr>
        <w:t xml:space="preserve"> </w:t>
      </w:r>
      <w:r>
        <w:rPr>
          <w:sz w:val="20"/>
        </w:rPr>
        <w:t>o</w:t>
      </w:r>
      <w:r>
        <w:rPr>
          <w:spacing w:val="-1"/>
          <w:sz w:val="20"/>
        </w:rPr>
        <w:t xml:space="preserve"> </w:t>
      </w:r>
      <w:r>
        <w:rPr>
          <w:sz w:val="20"/>
        </w:rPr>
        <w:t>gama</w:t>
      </w:r>
      <w:r>
        <w:rPr>
          <w:spacing w:val="-2"/>
          <w:sz w:val="20"/>
        </w:rPr>
        <w:t xml:space="preserve"> </w:t>
      </w:r>
      <w:r>
        <w:rPr>
          <w:sz w:val="20"/>
        </w:rPr>
        <w:t>de</w:t>
      </w:r>
      <w:r>
        <w:rPr>
          <w:spacing w:val="-1"/>
          <w:sz w:val="20"/>
        </w:rPr>
        <w:t xml:space="preserve"> </w:t>
      </w:r>
      <w:r>
        <w:rPr>
          <w:sz w:val="20"/>
        </w:rPr>
        <w:t>precios</w:t>
      </w:r>
      <w:r>
        <w:rPr>
          <w:spacing w:val="-2"/>
          <w:sz w:val="20"/>
        </w:rPr>
        <w:t xml:space="preserve"> </w:t>
      </w:r>
      <w:r>
        <w:rPr>
          <w:sz w:val="20"/>
        </w:rPr>
        <w:t>(mínimo/máximo)</w:t>
      </w:r>
      <w:r>
        <w:rPr>
          <w:spacing w:val="-1"/>
          <w:sz w:val="20"/>
        </w:rPr>
        <w:t xml:space="preserve"> </w:t>
      </w:r>
      <w:r>
        <w:rPr>
          <w:spacing w:val="-2"/>
          <w:sz w:val="20"/>
        </w:rPr>
        <w:t>pagados.</w:t>
      </w:r>
    </w:p>
    <w:p w:rsidR="0092635B" w:rsidRDefault="00000000">
      <w:pPr>
        <w:pStyle w:val="Prrafodelista"/>
        <w:numPr>
          <w:ilvl w:val="0"/>
          <w:numId w:val="10"/>
        </w:numPr>
        <w:tabs>
          <w:tab w:val="left" w:pos="1710"/>
        </w:tabs>
        <w:spacing w:before="10" w:line="249" w:lineRule="auto"/>
        <w:ind w:right="1104" w:firstLine="340"/>
        <w:jc w:val="both"/>
        <w:rPr>
          <w:sz w:val="20"/>
        </w:rPr>
      </w:pPr>
      <w:r>
        <w:rPr>
          <w:sz w:val="20"/>
        </w:rPr>
        <w:t>Para cada adjudicación, nombre y dirección, incluido código NUTS, NIF, dirección electrónica y de internet del operador u operadores económicos adjudicatarios.</w:t>
      </w:r>
    </w:p>
    <w:p w:rsidR="0092635B" w:rsidRDefault="00000000">
      <w:pPr>
        <w:pStyle w:val="Prrafodelista"/>
        <w:numPr>
          <w:ilvl w:val="0"/>
          <w:numId w:val="10"/>
        </w:numPr>
        <w:tabs>
          <w:tab w:val="left" w:pos="1668"/>
        </w:tabs>
        <w:ind w:left="1668" w:right="0" w:hanging="222"/>
        <w:jc w:val="both"/>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ind w:left="0" w:right="101" w:firstLine="0"/>
        <w:jc w:val="center"/>
      </w:pPr>
      <w:r>
        <w:t>Sección</w:t>
      </w:r>
      <w:r>
        <w:rPr>
          <w:spacing w:val="-2"/>
        </w:rPr>
        <w:t xml:space="preserve"> </w:t>
      </w:r>
      <w:r>
        <w:t>8.</w:t>
      </w:r>
      <w:r>
        <w:rPr>
          <w:spacing w:val="-2"/>
        </w:rPr>
        <w:t xml:space="preserve"> </w:t>
      </w:r>
      <w:r>
        <w:t>Información</w:t>
      </w:r>
      <w:r>
        <w:rPr>
          <w:spacing w:val="-2"/>
        </w:rPr>
        <w:t xml:space="preserve"> </w:t>
      </w:r>
      <w:r>
        <w:t>que</w:t>
      </w:r>
      <w:r>
        <w:rPr>
          <w:spacing w:val="-2"/>
        </w:rPr>
        <w:t xml:space="preserve"> </w:t>
      </w:r>
      <w:r>
        <w:t>debe</w:t>
      </w:r>
      <w:r>
        <w:rPr>
          <w:spacing w:val="-2"/>
        </w:rPr>
        <w:t xml:space="preserve"> </w:t>
      </w:r>
      <w:r>
        <w:t>figurar</w:t>
      </w:r>
      <w:r>
        <w:rPr>
          <w:spacing w:val="-2"/>
        </w:rPr>
        <w:t xml:space="preserve"> </w:t>
      </w:r>
      <w:r>
        <w:t>en</w:t>
      </w:r>
      <w:r>
        <w:rPr>
          <w:spacing w:val="-2"/>
        </w:rPr>
        <w:t xml:space="preserve"> </w:t>
      </w:r>
      <w:r>
        <w:t>los</w:t>
      </w:r>
      <w:r>
        <w:rPr>
          <w:spacing w:val="-2"/>
        </w:rPr>
        <w:t xml:space="preserve"> </w:t>
      </w:r>
      <w:r>
        <w:t>anuncios</w:t>
      </w:r>
      <w:r>
        <w:rPr>
          <w:spacing w:val="-2"/>
        </w:rPr>
        <w:t xml:space="preserve"> </w:t>
      </w:r>
      <w:r>
        <w:t>de</w:t>
      </w:r>
      <w:r>
        <w:rPr>
          <w:spacing w:val="-2"/>
        </w:rPr>
        <w:t xml:space="preserve"> </w:t>
      </w:r>
      <w:r>
        <w:t>concursos</w:t>
      </w:r>
      <w:r>
        <w:rPr>
          <w:spacing w:val="-2"/>
        </w:rPr>
        <w:t xml:space="preserve"> </w:t>
      </w:r>
      <w:r>
        <w:t>de</w:t>
      </w:r>
      <w:r>
        <w:rPr>
          <w:spacing w:val="-2"/>
        </w:rPr>
        <w:t xml:space="preserve"> proyectos:</w:t>
      </w:r>
    </w:p>
    <w:p w:rsidR="0092635B" w:rsidRDefault="00000000">
      <w:pPr>
        <w:pStyle w:val="Prrafodelista"/>
        <w:numPr>
          <w:ilvl w:val="0"/>
          <w:numId w:val="9"/>
        </w:numPr>
        <w:tabs>
          <w:tab w:val="left" w:pos="1738"/>
        </w:tabs>
        <w:spacing w:before="130"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0"/>
          <w:numId w:val="9"/>
        </w:numPr>
        <w:tabs>
          <w:tab w:val="left" w:pos="1706"/>
        </w:tabs>
        <w:spacing w:line="249" w:lineRule="auto"/>
        <w:ind w:right="1104" w:firstLine="340"/>
        <w:jc w:val="both"/>
        <w:rPr>
          <w:sz w:val="20"/>
        </w:rPr>
      </w:pPr>
      <w:r>
        <w:rPr>
          <w:sz w:val="20"/>
        </w:rPr>
        <w:t>Dirección electrónica o de internet en la que estarán disponibles los pliegos de la contratación para un acceso libre, directo, completo y gratuito.</w:t>
      </w:r>
    </w:p>
    <w:p w:rsidR="0092635B" w:rsidRDefault="00000000">
      <w:pPr>
        <w:pStyle w:val="Textoindependiente"/>
        <w:spacing w:line="249" w:lineRule="auto"/>
        <w:ind w:right="1104"/>
      </w:pPr>
      <w:r>
        <w:t xml:space="preserve">Cuando no se disponga de un acceso libre, directo, completo y gratuito por los motivos contemplados en el artículo 138, una indicación sobre el modo de acceso a los pliegos de la </w:t>
      </w:r>
      <w:r>
        <w:rPr>
          <w:spacing w:val="-2"/>
        </w:rPr>
        <w:t>contratación.</w:t>
      </w:r>
    </w:p>
    <w:p w:rsidR="0092635B" w:rsidRDefault="00000000">
      <w:pPr>
        <w:pStyle w:val="Prrafodelista"/>
        <w:numPr>
          <w:ilvl w:val="0"/>
          <w:numId w:val="9"/>
        </w:numPr>
        <w:tabs>
          <w:tab w:val="left" w:pos="1668"/>
        </w:tabs>
        <w:spacing w:before="3"/>
        <w:ind w:left="1668" w:right="0" w:hanging="222"/>
        <w:rPr>
          <w:sz w:val="20"/>
        </w:rPr>
      </w:pPr>
      <w:r>
        <w:rPr>
          <w:sz w:val="20"/>
        </w:rPr>
        <w:t>Tipo</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y</w:t>
      </w:r>
      <w:r>
        <w:rPr>
          <w:spacing w:val="-4"/>
          <w:sz w:val="20"/>
        </w:rPr>
        <w:t xml:space="preserve"> </w:t>
      </w:r>
      <w:r>
        <w:rPr>
          <w:sz w:val="20"/>
        </w:rPr>
        <w:t>principal</w:t>
      </w:r>
      <w:r>
        <w:rPr>
          <w:spacing w:val="-4"/>
          <w:sz w:val="20"/>
        </w:rPr>
        <w:t xml:space="preserve"> </w:t>
      </w:r>
      <w:r>
        <w:rPr>
          <w:sz w:val="20"/>
        </w:rPr>
        <w:t>actividad</w:t>
      </w:r>
      <w:r>
        <w:rPr>
          <w:spacing w:val="-3"/>
          <w:sz w:val="20"/>
        </w:rPr>
        <w:t xml:space="preserve"> </w:t>
      </w:r>
      <w:r>
        <w:rPr>
          <w:spacing w:val="-2"/>
          <w:sz w:val="20"/>
        </w:rPr>
        <w:t>ejercida.</w:t>
      </w:r>
    </w:p>
    <w:p w:rsidR="0092635B" w:rsidRDefault="00000000">
      <w:pPr>
        <w:pStyle w:val="Prrafodelista"/>
        <w:numPr>
          <w:ilvl w:val="0"/>
          <w:numId w:val="9"/>
        </w:numPr>
        <w:tabs>
          <w:tab w:val="left" w:pos="1670"/>
        </w:tabs>
        <w:spacing w:before="10" w:line="249" w:lineRule="auto"/>
        <w:ind w:firstLine="340"/>
        <w:rPr>
          <w:sz w:val="20"/>
        </w:rPr>
      </w:pPr>
      <w:r>
        <w:rPr>
          <w:sz w:val="20"/>
        </w:rPr>
        <w:t>Cuando</w:t>
      </w:r>
      <w:r>
        <w:rPr>
          <w:spacing w:val="-1"/>
          <w:sz w:val="20"/>
        </w:rPr>
        <w:t xml:space="preserve"> </w:t>
      </w:r>
      <w:r>
        <w:rPr>
          <w:sz w:val="20"/>
        </w:rPr>
        <w:t>proceda,</w:t>
      </w:r>
      <w:r>
        <w:rPr>
          <w:spacing w:val="-1"/>
          <w:sz w:val="20"/>
        </w:rPr>
        <w:t xml:space="preserve"> </w:t>
      </w:r>
      <w:r>
        <w:rPr>
          <w:sz w:val="20"/>
        </w:rPr>
        <w:t>indicación</w:t>
      </w:r>
      <w:r>
        <w:rPr>
          <w:spacing w:val="-1"/>
          <w:sz w:val="20"/>
        </w:rPr>
        <w:t xml:space="preserve"> </w:t>
      </w:r>
      <w:r>
        <w:rPr>
          <w:sz w:val="20"/>
        </w:rPr>
        <w:t>de</w:t>
      </w:r>
      <w:r>
        <w:rPr>
          <w:spacing w:val="-1"/>
          <w:sz w:val="20"/>
        </w:rPr>
        <w:t xml:space="preserve"> </w:t>
      </w:r>
      <w:r>
        <w:rPr>
          <w:sz w:val="20"/>
        </w:rPr>
        <w:t>si</w:t>
      </w:r>
      <w:r>
        <w:rPr>
          <w:spacing w:val="-1"/>
          <w:sz w:val="20"/>
        </w:rPr>
        <w:t xml:space="preserve"> </w:t>
      </w:r>
      <w:r>
        <w:rPr>
          <w:sz w:val="20"/>
        </w:rPr>
        <w:t>el</w:t>
      </w:r>
      <w:r>
        <w:rPr>
          <w:spacing w:val="-1"/>
          <w:sz w:val="20"/>
        </w:rPr>
        <w:t xml:space="preserve"> </w:t>
      </w:r>
      <w:r>
        <w:rPr>
          <w:sz w:val="20"/>
        </w:rPr>
        <w:t>poder</w:t>
      </w:r>
      <w:r>
        <w:rPr>
          <w:spacing w:val="-1"/>
          <w:sz w:val="20"/>
        </w:rPr>
        <w:t xml:space="preserve"> </w:t>
      </w:r>
      <w:r>
        <w:rPr>
          <w:sz w:val="20"/>
        </w:rPr>
        <w:t>adjudicador</w:t>
      </w:r>
      <w:r>
        <w:rPr>
          <w:spacing w:val="-1"/>
          <w:sz w:val="20"/>
        </w:rPr>
        <w:t xml:space="preserve"> </w:t>
      </w:r>
      <w:r>
        <w:rPr>
          <w:sz w:val="20"/>
        </w:rPr>
        <w:t>es</w:t>
      </w:r>
      <w:r>
        <w:rPr>
          <w:spacing w:val="-1"/>
          <w:sz w:val="20"/>
        </w:rPr>
        <w:t xml:space="preserve"> </w:t>
      </w:r>
      <w:r>
        <w:rPr>
          <w:sz w:val="20"/>
        </w:rPr>
        <w:t>una</w:t>
      </w:r>
      <w:r>
        <w:rPr>
          <w:spacing w:val="-1"/>
          <w:sz w:val="20"/>
        </w:rPr>
        <w:t xml:space="preserve"> </w:t>
      </w:r>
      <w:r>
        <w:rPr>
          <w:sz w:val="20"/>
        </w:rPr>
        <w:t>central</w:t>
      </w:r>
      <w:r>
        <w:rPr>
          <w:spacing w:val="-1"/>
          <w:sz w:val="20"/>
        </w:rPr>
        <w:t xml:space="preserve"> </w:t>
      </w:r>
      <w:r>
        <w:rPr>
          <w:sz w:val="20"/>
        </w:rPr>
        <w:t>de</w:t>
      </w:r>
      <w:r>
        <w:rPr>
          <w:spacing w:val="-1"/>
          <w:sz w:val="20"/>
        </w:rPr>
        <w:t xml:space="preserve"> </w:t>
      </w:r>
      <w:r>
        <w:rPr>
          <w:sz w:val="20"/>
        </w:rPr>
        <w:t>compras</w:t>
      </w:r>
      <w:r>
        <w:rPr>
          <w:spacing w:val="-1"/>
          <w:sz w:val="20"/>
        </w:rPr>
        <w:t xml:space="preserve"> </w:t>
      </w:r>
      <w:r>
        <w:rPr>
          <w:sz w:val="20"/>
        </w:rPr>
        <w:t>o</w:t>
      </w:r>
      <w:r>
        <w:rPr>
          <w:spacing w:val="-1"/>
          <w:sz w:val="20"/>
        </w:rPr>
        <w:t xml:space="preserve"> </w:t>
      </w:r>
      <w:r>
        <w:rPr>
          <w:sz w:val="20"/>
        </w:rPr>
        <w:t>de si se va a utilizar alguna otra forma de contratación conjunta.</w:t>
      </w:r>
    </w:p>
    <w:p w:rsidR="0092635B" w:rsidRDefault="00000000">
      <w:pPr>
        <w:pStyle w:val="Prrafodelista"/>
        <w:numPr>
          <w:ilvl w:val="0"/>
          <w:numId w:val="9"/>
        </w:numPr>
        <w:tabs>
          <w:tab w:val="left" w:pos="1673"/>
        </w:tabs>
        <w:spacing w:before="1" w:line="249" w:lineRule="auto"/>
        <w:ind w:right="1106" w:firstLine="340"/>
        <w:rPr>
          <w:sz w:val="20"/>
        </w:rPr>
      </w:pPr>
      <w:r>
        <w:rPr>
          <w:sz w:val="20"/>
        </w:rPr>
        <w:t>Códigos CPV cuando la concesión esté dividida en lotes, esta información se facilitará para cada lote.</w:t>
      </w:r>
    </w:p>
    <w:p w:rsidR="0092635B" w:rsidRDefault="00000000">
      <w:pPr>
        <w:pStyle w:val="Prrafodelista"/>
        <w:numPr>
          <w:ilvl w:val="0"/>
          <w:numId w:val="9"/>
        </w:numPr>
        <w:tabs>
          <w:tab w:val="left" w:pos="1668"/>
        </w:tabs>
        <w:ind w:left="1668" w:right="0" w:hanging="222"/>
        <w:rPr>
          <w:sz w:val="20"/>
        </w:rPr>
      </w:pPr>
      <w:r>
        <w:rPr>
          <w:sz w:val="20"/>
        </w:rPr>
        <w:t>Descripción</w:t>
      </w:r>
      <w:r>
        <w:rPr>
          <w:spacing w:val="-3"/>
          <w:sz w:val="20"/>
        </w:rPr>
        <w:t xml:space="preserve"> </w:t>
      </w:r>
      <w:r>
        <w:rPr>
          <w:sz w:val="20"/>
        </w:rPr>
        <w:t>de</w:t>
      </w:r>
      <w:r>
        <w:rPr>
          <w:spacing w:val="-2"/>
          <w:sz w:val="20"/>
        </w:rPr>
        <w:t xml:space="preserve"> </w:t>
      </w:r>
      <w:r>
        <w:rPr>
          <w:sz w:val="20"/>
        </w:rPr>
        <w:t>las</w:t>
      </w:r>
      <w:r>
        <w:rPr>
          <w:spacing w:val="-2"/>
          <w:sz w:val="20"/>
        </w:rPr>
        <w:t xml:space="preserve"> </w:t>
      </w:r>
      <w:r>
        <w:rPr>
          <w:sz w:val="20"/>
        </w:rPr>
        <w:t>principales</w:t>
      </w:r>
      <w:r>
        <w:rPr>
          <w:spacing w:val="-2"/>
          <w:sz w:val="20"/>
        </w:rPr>
        <w:t xml:space="preserve"> </w:t>
      </w:r>
      <w:r>
        <w:rPr>
          <w:sz w:val="20"/>
        </w:rPr>
        <w:t>características</w:t>
      </w:r>
      <w:r>
        <w:rPr>
          <w:spacing w:val="-2"/>
          <w:sz w:val="20"/>
        </w:rPr>
        <w:t xml:space="preserve"> </w:t>
      </w:r>
      <w:r>
        <w:rPr>
          <w:sz w:val="20"/>
        </w:rPr>
        <w:t>del</w:t>
      </w:r>
      <w:r>
        <w:rPr>
          <w:spacing w:val="-2"/>
          <w:sz w:val="20"/>
        </w:rPr>
        <w:t xml:space="preserve"> proyecto.</w:t>
      </w:r>
    </w:p>
    <w:p w:rsidR="0092635B" w:rsidRDefault="00000000">
      <w:pPr>
        <w:pStyle w:val="Prrafodelista"/>
        <w:numPr>
          <w:ilvl w:val="0"/>
          <w:numId w:val="9"/>
        </w:numPr>
        <w:tabs>
          <w:tab w:val="left" w:pos="1668"/>
        </w:tabs>
        <w:spacing w:before="10"/>
        <w:ind w:left="1668" w:right="0" w:hanging="222"/>
        <w:rPr>
          <w:sz w:val="20"/>
        </w:rPr>
      </w:pPr>
      <w:r>
        <w:rPr>
          <w:sz w:val="20"/>
        </w:rPr>
        <w:t>Si</w:t>
      </w:r>
      <w:r>
        <w:rPr>
          <w:spacing w:val="-4"/>
          <w:sz w:val="20"/>
        </w:rPr>
        <w:t xml:space="preserve"> </w:t>
      </w:r>
      <w:r>
        <w:rPr>
          <w:sz w:val="20"/>
        </w:rPr>
        <w:t>procede,</w:t>
      </w:r>
      <w:r>
        <w:rPr>
          <w:spacing w:val="-2"/>
          <w:sz w:val="20"/>
        </w:rPr>
        <w:t xml:space="preserve"> </w:t>
      </w:r>
      <w:r>
        <w:rPr>
          <w:sz w:val="20"/>
        </w:rPr>
        <w:t>número</w:t>
      </w:r>
      <w:r>
        <w:rPr>
          <w:spacing w:val="-2"/>
          <w:sz w:val="20"/>
        </w:rPr>
        <w:t xml:space="preserve"> </w:t>
      </w:r>
      <w:r>
        <w:rPr>
          <w:sz w:val="20"/>
        </w:rPr>
        <w:t>e</w:t>
      </w:r>
      <w:r>
        <w:rPr>
          <w:spacing w:val="-2"/>
          <w:sz w:val="20"/>
        </w:rPr>
        <w:t xml:space="preserve"> </w:t>
      </w:r>
      <w:r>
        <w:rPr>
          <w:sz w:val="20"/>
        </w:rPr>
        <w:t>importe</w:t>
      </w:r>
      <w:r>
        <w:rPr>
          <w:spacing w:val="-2"/>
          <w:sz w:val="20"/>
        </w:rPr>
        <w:t xml:space="preserve"> </w:t>
      </w:r>
      <w:r>
        <w:rPr>
          <w:sz w:val="20"/>
        </w:rPr>
        <w:t>de</w:t>
      </w:r>
      <w:r>
        <w:rPr>
          <w:spacing w:val="-2"/>
          <w:sz w:val="20"/>
        </w:rPr>
        <w:t xml:space="preserve"> </w:t>
      </w:r>
      <w:r>
        <w:rPr>
          <w:sz w:val="20"/>
        </w:rPr>
        <w:t>los</w:t>
      </w:r>
      <w:r>
        <w:rPr>
          <w:spacing w:val="-1"/>
          <w:sz w:val="20"/>
        </w:rPr>
        <w:t xml:space="preserve"> </w:t>
      </w:r>
      <w:r>
        <w:rPr>
          <w:spacing w:val="-2"/>
          <w:sz w:val="20"/>
        </w:rPr>
        <w:t>premios.</w:t>
      </w:r>
    </w:p>
    <w:p w:rsidR="0092635B" w:rsidRDefault="00000000">
      <w:pPr>
        <w:pStyle w:val="Prrafodelista"/>
        <w:numPr>
          <w:ilvl w:val="0"/>
          <w:numId w:val="9"/>
        </w:numPr>
        <w:tabs>
          <w:tab w:val="left" w:pos="1668"/>
        </w:tabs>
        <w:spacing w:before="10"/>
        <w:ind w:left="1668" w:right="0" w:hanging="222"/>
        <w:rPr>
          <w:sz w:val="20"/>
        </w:rPr>
      </w:pPr>
      <w:r>
        <w:rPr>
          <w:sz w:val="20"/>
        </w:rPr>
        <w:t>Tipo</w:t>
      </w:r>
      <w:r>
        <w:rPr>
          <w:spacing w:val="-5"/>
          <w:sz w:val="20"/>
        </w:rPr>
        <w:t xml:space="preserve"> </w:t>
      </w:r>
      <w:r>
        <w:rPr>
          <w:sz w:val="20"/>
        </w:rPr>
        <w:t>de</w:t>
      </w:r>
      <w:r>
        <w:rPr>
          <w:spacing w:val="-5"/>
          <w:sz w:val="20"/>
        </w:rPr>
        <w:t xml:space="preserve"> </w:t>
      </w:r>
      <w:r>
        <w:rPr>
          <w:sz w:val="20"/>
        </w:rPr>
        <w:t>concurso</w:t>
      </w:r>
      <w:r>
        <w:rPr>
          <w:spacing w:val="-5"/>
          <w:sz w:val="20"/>
        </w:rPr>
        <w:t xml:space="preserve"> </w:t>
      </w:r>
      <w:r>
        <w:rPr>
          <w:sz w:val="20"/>
        </w:rPr>
        <w:t>(abierto</w:t>
      </w:r>
      <w:r>
        <w:rPr>
          <w:spacing w:val="-5"/>
          <w:sz w:val="20"/>
        </w:rPr>
        <w:t xml:space="preserve"> </w:t>
      </w:r>
      <w:r>
        <w:rPr>
          <w:sz w:val="20"/>
        </w:rPr>
        <w:t>o</w:t>
      </w:r>
      <w:r>
        <w:rPr>
          <w:spacing w:val="-5"/>
          <w:sz w:val="20"/>
        </w:rPr>
        <w:t xml:space="preserve"> </w:t>
      </w:r>
      <w:r>
        <w:rPr>
          <w:spacing w:val="-2"/>
          <w:sz w:val="20"/>
        </w:rPr>
        <w:t>restringido).</w:t>
      </w:r>
    </w:p>
    <w:p w:rsidR="0092635B" w:rsidRDefault="00000000">
      <w:pPr>
        <w:pStyle w:val="Prrafodelista"/>
        <w:numPr>
          <w:ilvl w:val="0"/>
          <w:numId w:val="9"/>
        </w:numPr>
        <w:tabs>
          <w:tab w:val="left" w:pos="1668"/>
        </w:tabs>
        <w:spacing w:before="10"/>
        <w:ind w:left="1668" w:right="0" w:hanging="222"/>
        <w:rPr>
          <w:sz w:val="20"/>
        </w:rPr>
      </w:pPr>
      <w:r>
        <w:rPr>
          <w:sz w:val="20"/>
        </w:rPr>
        <w:t>Cuando</w:t>
      </w:r>
      <w:r>
        <w:rPr>
          <w:spacing w:val="-3"/>
          <w:sz w:val="20"/>
        </w:rPr>
        <w:t xml:space="preserve"> </w:t>
      </w:r>
      <w:r>
        <w:rPr>
          <w:sz w:val="20"/>
        </w:rPr>
        <w:t>se</w:t>
      </w:r>
      <w:r>
        <w:rPr>
          <w:spacing w:val="-3"/>
          <w:sz w:val="20"/>
        </w:rPr>
        <w:t xml:space="preserve"> </w:t>
      </w:r>
      <w:r>
        <w:rPr>
          <w:sz w:val="20"/>
        </w:rPr>
        <w:t>trate</w:t>
      </w:r>
      <w:r>
        <w:rPr>
          <w:spacing w:val="-3"/>
          <w:sz w:val="20"/>
        </w:rPr>
        <w:t xml:space="preserve"> </w:t>
      </w:r>
      <w:r>
        <w:rPr>
          <w:sz w:val="20"/>
        </w:rPr>
        <w:t>de</w:t>
      </w:r>
      <w:r>
        <w:rPr>
          <w:spacing w:val="-3"/>
          <w:sz w:val="20"/>
        </w:rPr>
        <w:t xml:space="preserve"> </w:t>
      </w:r>
      <w:r>
        <w:rPr>
          <w:sz w:val="20"/>
        </w:rPr>
        <w:t>concursos</w:t>
      </w:r>
      <w:r>
        <w:rPr>
          <w:spacing w:val="-3"/>
          <w:sz w:val="20"/>
        </w:rPr>
        <w:t xml:space="preserve"> </w:t>
      </w:r>
      <w:r>
        <w:rPr>
          <w:sz w:val="20"/>
        </w:rPr>
        <w:t>abiertos,</w:t>
      </w:r>
      <w:r>
        <w:rPr>
          <w:spacing w:val="-2"/>
          <w:sz w:val="20"/>
        </w:rPr>
        <w:t xml:space="preserve"> </w:t>
      </w:r>
      <w:r>
        <w:rPr>
          <w:sz w:val="20"/>
        </w:rPr>
        <w:t>plazo</w:t>
      </w:r>
      <w:r>
        <w:rPr>
          <w:spacing w:val="-3"/>
          <w:sz w:val="20"/>
        </w:rPr>
        <w:t xml:space="preserve"> </w:t>
      </w:r>
      <w:r>
        <w:rPr>
          <w:sz w:val="20"/>
        </w:rPr>
        <w:t>para</w:t>
      </w:r>
      <w:r>
        <w:rPr>
          <w:spacing w:val="-3"/>
          <w:sz w:val="20"/>
        </w:rPr>
        <w:t xml:space="preserve"> </w:t>
      </w:r>
      <w:r>
        <w:rPr>
          <w:sz w:val="20"/>
        </w:rPr>
        <w:t>la</w:t>
      </w:r>
      <w:r>
        <w:rPr>
          <w:spacing w:val="-3"/>
          <w:sz w:val="20"/>
        </w:rPr>
        <w:t xml:space="preserve"> </w:t>
      </w:r>
      <w:r>
        <w:rPr>
          <w:sz w:val="20"/>
        </w:rPr>
        <w:t>presentación</w:t>
      </w:r>
      <w:r>
        <w:rPr>
          <w:spacing w:val="-3"/>
          <w:sz w:val="20"/>
        </w:rPr>
        <w:t xml:space="preserve"> </w:t>
      </w:r>
      <w:r>
        <w:rPr>
          <w:sz w:val="20"/>
        </w:rPr>
        <w:t>de</w:t>
      </w:r>
      <w:r>
        <w:rPr>
          <w:spacing w:val="-2"/>
          <w:sz w:val="20"/>
        </w:rPr>
        <w:t xml:space="preserve"> proyectos.</w:t>
      </w:r>
    </w:p>
    <w:p w:rsidR="0092635B" w:rsidRDefault="00000000">
      <w:pPr>
        <w:pStyle w:val="Prrafodelista"/>
        <w:numPr>
          <w:ilvl w:val="0"/>
          <w:numId w:val="9"/>
        </w:numPr>
        <w:tabs>
          <w:tab w:val="left" w:pos="1779"/>
        </w:tabs>
        <w:spacing w:before="10"/>
        <w:ind w:left="1779" w:right="0" w:hanging="333"/>
        <w:rPr>
          <w:sz w:val="20"/>
        </w:rPr>
      </w:pPr>
      <w:r>
        <w:rPr>
          <w:sz w:val="20"/>
        </w:rPr>
        <w:t>Cuando</w:t>
      </w:r>
      <w:r>
        <w:rPr>
          <w:spacing w:val="-5"/>
          <w:sz w:val="20"/>
        </w:rPr>
        <w:t xml:space="preserve"> </w:t>
      </w:r>
      <w:r>
        <w:rPr>
          <w:sz w:val="20"/>
        </w:rPr>
        <w:t>se</w:t>
      </w:r>
      <w:r>
        <w:rPr>
          <w:spacing w:val="-2"/>
          <w:sz w:val="20"/>
        </w:rPr>
        <w:t xml:space="preserve"> </w:t>
      </w:r>
      <w:r>
        <w:rPr>
          <w:sz w:val="20"/>
        </w:rPr>
        <w:t>trate</w:t>
      </w:r>
      <w:r>
        <w:rPr>
          <w:spacing w:val="-2"/>
          <w:sz w:val="20"/>
        </w:rPr>
        <w:t xml:space="preserve"> </w:t>
      </w:r>
      <w:r>
        <w:rPr>
          <w:sz w:val="20"/>
        </w:rPr>
        <w:t>de</w:t>
      </w:r>
      <w:r>
        <w:rPr>
          <w:spacing w:val="-2"/>
          <w:sz w:val="20"/>
        </w:rPr>
        <w:t xml:space="preserve"> </w:t>
      </w:r>
      <w:r>
        <w:rPr>
          <w:sz w:val="20"/>
        </w:rPr>
        <w:t>concursos</w:t>
      </w:r>
      <w:r>
        <w:rPr>
          <w:spacing w:val="-2"/>
          <w:sz w:val="20"/>
        </w:rPr>
        <w:t xml:space="preserve"> restringidos:</w:t>
      </w:r>
    </w:p>
    <w:p w:rsidR="0092635B" w:rsidRDefault="00000000">
      <w:pPr>
        <w:pStyle w:val="Prrafodelista"/>
        <w:numPr>
          <w:ilvl w:val="1"/>
          <w:numId w:val="9"/>
        </w:numPr>
        <w:tabs>
          <w:tab w:val="left" w:pos="1679"/>
        </w:tabs>
        <w:spacing w:before="130"/>
        <w:ind w:right="0" w:hanging="233"/>
        <w:rPr>
          <w:sz w:val="20"/>
        </w:rPr>
      </w:pPr>
      <w:r>
        <w:rPr>
          <w:sz w:val="20"/>
        </w:rPr>
        <w:t>Número</w:t>
      </w:r>
      <w:r>
        <w:rPr>
          <w:spacing w:val="-2"/>
          <w:sz w:val="20"/>
        </w:rPr>
        <w:t xml:space="preserve"> </w:t>
      </w:r>
      <w:r>
        <w:rPr>
          <w:sz w:val="20"/>
        </w:rPr>
        <w:t>de</w:t>
      </w:r>
      <w:r>
        <w:rPr>
          <w:spacing w:val="-2"/>
          <w:sz w:val="20"/>
        </w:rPr>
        <w:t xml:space="preserve"> </w:t>
      </w:r>
      <w:r>
        <w:rPr>
          <w:sz w:val="20"/>
        </w:rPr>
        <w:t>participantes</w:t>
      </w:r>
      <w:r>
        <w:rPr>
          <w:spacing w:val="-2"/>
          <w:sz w:val="20"/>
        </w:rPr>
        <w:t xml:space="preserve"> considerado;</w:t>
      </w:r>
    </w:p>
    <w:p w:rsidR="0092635B" w:rsidRDefault="00000000">
      <w:pPr>
        <w:pStyle w:val="Prrafodelista"/>
        <w:numPr>
          <w:ilvl w:val="1"/>
          <w:numId w:val="9"/>
        </w:numPr>
        <w:tabs>
          <w:tab w:val="left" w:pos="1679"/>
        </w:tabs>
        <w:spacing w:before="10"/>
        <w:ind w:right="0" w:hanging="233"/>
        <w:rPr>
          <w:sz w:val="20"/>
        </w:rPr>
      </w:pPr>
      <w:r>
        <w:rPr>
          <w:sz w:val="20"/>
        </w:rPr>
        <w:t>Nombres</w:t>
      </w:r>
      <w:r>
        <w:rPr>
          <w:spacing w:val="-1"/>
          <w:sz w:val="20"/>
        </w:rPr>
        <w:t xml:space="preserve"> </w:t>
      </w:r>
      <w:r>
        <w:rPr>
          <w:sz w:val="20"/>
        </w:rPr>
        <w:t>de los</w:t>
      </w:r>
      <w:r>
        <w:rPr>
          <w:spacing w:val="-1"/>
          <w:sz w:val="20"/>
        </w:rPr>
        <w:t xml:space="preserve"> </w:t>
      </w:r>
      <w:r>
        <w:rPr>
          <w:sz w:val="20"/>
        </w:rPr>
        <w:t>participantes ya</w:t>
      </w:r>
      <w:r>
        <w:rPr>
          <w:spacing w:val="-1"/>
          <w:sz w:val="20"/>
        </w:rPr>
        <w:t xml:space="preserve"> </w:t>
      </w:r>
      <w:r>
        <w:rPr>
          <w:sz w:val="20"/>
        </w:rPr>
        <w:t>seleccionados, en</w:t>
      </w:r>
      <w:r>
        <w:rPr>
          <w:spacing w:val="-1"/>
          <w:sz w:val="20"/>
        </w:rPr>
        <w:t xml:space="preserve"> </w:t>
      </w:r>
      <w:r>
        <w:rPr>
          <w:sz w:val="20"/>
        </w:rPr>
        <w:t xml:space="preserve">su </w:t>
      </w:r>
      <w:r>
        <w:rPr>
          <w:spacing w:val="-2"/>
          <w:sz w:val="20"/>
        </w:rPr>
        <w:t>caso;</w:t>
      </w:r>
    </w:p>
    <w:p w:rsidR="0092635B" w:rsidRDefault="00000000">
      <w:pPr>
        <w:pStyle w:val="Prrafodelista"/>
        <w:numPr>
          <w:ilvl w:val="1"/>
          <w:numId w:val="9"/>
        </w:numPr>
        <w:tabs>
          <w:tab w:val="left" w:pos="1668"/>
        </w:tabs>
        <w:spacing w:before="10"/>
        <w:ind w:left="1668" w:right="0" w:hanging="222"/>
        <w:rPr>
          <w:sz w:val="20"/>
        </w:rPr>
      </w:pPr>
      <w:r>
        <w:rPr>
          <w:sz w:val="20"/>
        </w:rPr>
        <w:t>Criterios</w:t>
      </w:r>
      <w:r>
        <w:rPr>
          <w:spacing w:val="-2"/>
          <w:sz w:val="20"/>
        </w:rPr>
        <w:t xml:space="preserve"> </w:t>
      </w:r>
      <w:r>
        <w:rPr>
          <w:sz w:val="20"/>
        </w:rPr>
        <w:t>de</w:t>
      </w:r>
      <w:r>
        <w:rPr>
          <w:spacing w:val="-2"/>
          <w:sz w:val="20"/>
        </w:rPr>
        <w:t xml:space="preserve"> </w:t>
      </w:r>
      <w:r>
        <w:rPr>
          <w:sz w:val="20"/>
        </w:rPr>
        <w:t>selección</w:t>
      </w:r>
      <w:r>
        <w:rPr>
          <w:spacing w:val="-2"/>
          <w:sz w:val="20"/>
        </w:rPr>
        <w:t xml:space="preserve"> </w:t>
      </w:r>
      <w:r>
        <w:rPr>
          <w:sz w:val="20"/>
        </w:rPr>
        <w:t>de</w:t>
      </w:r>
      <w:r>
        <w:rPr>
          <w:spacing w:val="-2"/>
          <w:sz w:val="20"/>
        </w:rPr>
        <w:t xml:space="preserve"> </w:t>
      </w:r>
      <w:r>
        <w:rPr>
          <w:sz w:val="20"/>
        </w:rPr>
        <w:t>los</w:t>
      </w:r>
      <w:r>
        <w:rPr>
          <w:spacing w:val="-2"/>
          <w:sz w:val="20"/>
        </w:rPr>
        <w:t xml:space="preserve"> participantes;</w:t>
      </w:r>
    </w:p>
    <w:p w:rsidR="0092635B" w:rsidRDefault="00000000">
      <w:pPr>
        <w:pStyle w:val="Prrafodelista"/>
        <w:numPr>
          <w:ilvl w:val="1"/>
          <w:numId w:val="9"/>
        </w:numPr>
        <w:tabs>
          <w:tab w:val="left" w:pos="1679"/>
        </w:tabs>
        <w:spacing w:before="10"/>
        <w:ind w:right="0" w:hanging="233"/>
        <w:rPr>
          <w:sz w:val="20"/>
        </w:rPr>
      </w:pPr>
      <w:r>
        <w:rPr>
          <w:sz w:val="20"/>
        </w:rPr>
        <w:t>Plazo</w:t>
      </w:r>
      <w:r>
        <w:rPr>
          <w:spacing w:val="-2"/>
          <w:sz w:val="20"/>
        </w:rPr>
        <w:t xml:space="preserve"> </w:t>
      </w:r>
      <w:r>
        <w:rPr>
          <w:sz w:val="20"/>
        </w:rPr>
        <w:t>para</w:t>
      </w:r>
      <w:r>
        <w:rPr>
          <w:spacing w:val="-2"/>
          <w:sz w:val="20"/>
        </w:rPr>
        <w:t xml:space="preserve"> </w:t>
      </w:r>
      <w:r>
        <w:rPr>
          <w:sz w:val="20"/>
        </w:rPr>
        <w:t>las</w:t>
      </w:r>
      <w:r>
        <w:rPr>
          <w:spacing w:val="-1"/>
          <w:sz w:val="20"/>
        </w:rPr>
        <w:t xml:space="preserve"> </w:t>
      </w:r>
      <w:r>
        <w:rPr>
          <w:sz w:val="20"/>
        </w:rPr>
        <w:t>solicitudes</w:t>
      </w:r>
      <w:r>
        <w:rPr>
          <w:spacing w:val="-2"/>
          <w:sz w:val="20"/>
        </w:rPr>
        <w:t xml:space="preserve"> </w:t>
      </w:r>
      <w:r>
        <w:rPr>
          <w:sz w:val="20"/>
        </w:rPr>
        <w:t>de</w:t>
      </w:r>
      <w:r>
        <w:rPr>
          <w:spacing w:val="-1"/>
          <w:sz w:val="20"/>
        </w:rPr>
        <w:t xml:space="preserve"> </w:t>
      </w:r>
      <w:r>
        <w:rPr>
          <w:spacing w:val="-2"/>
          <w:sz w:val="20"/>
        </w:rPr>
        <w:t>participación.</w:t>
      </w:r>
    </w:p>
    <w:p w:rsidR="0092635B" w:rsidRDefault="00000000">
      <w:pPr>
        <w:pStyle w:val="Prrafodelista"/>
        <w:numPr>
          <w:ilvl w:val="0"/>
          <w:numId w:val="9"/>
        </w:numPr>
        <w:tabs>
          <w:tab w:val="left" w:pos="1833"/>
        </w:tabs>
        <w:spacing w:before="130" w:line="249" w:lineRule="auto"/>
        <w:ind w:right="1106" w:firstLine="340"/>
        <w:rPr>
          <w:sz w:val="20"/>
        </w:rPr>
      </w:pPr>
      <w:r>
        <w:rPr>
          <w:sz w:val="20"/>
        </w:rPr>
        <w:t>En</w:t>
      </w:r>
      <w:r>
        <w:rPr>
          <w:spacing w:val="40"/>
          <w:sz w:val="20"/>
        </w:rPr>
        <w:t xml:space="preserve"> </w:t>
      </w:r>
      <w:r>
        <w:rPr>
          <w:sz w:val="20"/>
        </w:rPr>
        <w:t>su</w:t>
      </w:r>
      <w:r>
        <w:rPr>
          <w:spacing w:val="40"/>
          <w:sz w:val="20"/>
        </w:rPr>
        <w:t xml:space="preserve"> </w:t>
      </w:r>
      <w:r>
        <w:rPr>
          <w:sz w:val="20"/>
        </w:rPr>
        <w:t>caso,</w:t>
      </w:r>
      <w:r>
        <w:rPr>
          <w:spacing w:val="40"/>
          <w:sz w:val="20"/>
        </w:rPr>
        <w:t xml:space="preserve"> </w:t>
      </w:r>
      <w:r>
        <w:rPr>
          <w:sz w:val="20"/>
        </w:rPr>
        <w:t>indicación</w:t>
      </w:r>
      <w:r>
        <w:rPr>
          <w:spacing w:val="40"/>
          <w:sz w:val="20"/>
        </w:rPr>
        <w:t xml:space="preserve"> </w:t>
      </w:r>
      <w:r>
        <w:rPr>
          <w:sz w:val="20"/>
        </w:rPr>
        <w:t>de</w:t>
      </w:r>
      <w:r>
        <w:rPr>
          <w:spacing w:val="40"/>
          <w:sz w:val="20"/>
        </w:rPr>
        <w:t xml:space="preserve"> </w:t>
      </w:r>
      <w:r>
        <w:rPr>
          <w:sz w:val="20"/>
        </w:rPr>
        <w:t>si</w:t>
      </w:r>
      <w:r>
        <w:rPr>
          <w:spacing w:val="40"/>
          <w:sz w:val="20"/>
        </w:rPr>
        <w:t xml:space="preserve"> </w:t>
      </w:r>
      <w:r>
        <w:rPr>
          <w:sz w:val="20"/>
        </w:rPr>
        <w:t>la</w:t>
      </w:r>
      <w:r>
        <w:rPr>
          <w:spacing w:val="40"/>
          <w:sz w:val="20"/>
        </w:rPr>
        <w:t xml:space="preserve"> </w:t>
      </w:r>
      <w:r>
        <w:rPr>
          <w:sz w:val="20"/>
        </w:rPr>
        <w:t>participación</w:t>
      </w:r>
      <w:r>
        <w:rPr>
          <w:spacing w:val="40"/>
          <w:sz w:val="20"/>
        </w:rPr>
        <w:t xml:space="preserve"> </w:t>
      </w:r>
      <w:r>
        <w:rPr>
          <w:sz w:val="20"/>
        </w:rPr>
        <w:t>está</w:t>
      </w:r>
      <w:r>
        <w:rPr>
          <w:spacing w:val="40"/>
          <w:sz w:val="20"/>
        </w:rPr>
        <w:t xml:space="preserve"> </w:t>
      </w:r>
      <w:r>
        <w:rPr>
          <w:sz w:val="20"/>
        </w:rPr>
        <w:t>restringida</w:t>
      </w:r>
      <w:r>
        <w:rPr>
          <w:spacing w:val="40"/>
          <w:sz w:val="20"/>
        </w:rPr>
        <w:t xml:space="preserve"> </w:t>
      </w:r>
      <w:r>
        <w:rPr>
          <w:sz w:val="20"/>
        </w:rPr>
        <w:t>a</w:t>
      </w:r>
      <w:r>
        <w:rPr>
          <w:spacing w:val="40"/>
          <w:sz w:val="20"/>
        </w:rPr>
        <w:t xml:space="preserve"> </w:t>
      </w:r>
      <w:r>
        <w:rPr>
          <w:sz w:val="20"/>
        </w:rPr>
        <w:t>una</w:t>
      </w:r>
      <w:r>
        <w:rPr>
          <w:spacing w:val="40"/>
          <w:sz w:val="20"/>
        </w:rPr>
        <w:t xml:space="preserve"> </w:t>
      </w:r>
      <w:r>
        <w:rPr>
          <w:sz w:val="20"/>
        </w:rPr>
        <w:t>profesión</w:t>
      </w:r>
      <w:r>
        <w:rPr>
          <w:spacing w:val="80"/>
          <w:sz w:val="20"/>
        </w:rPr>
        <w:t xml:space="preserve"> </w:t>
      </w:r>
      <w:r>
        <w:rPr>
          <w:spacing w:val="-2"/>
          <w:sz w:val="20"/>
        </w:rPr>
        <w:t>específica.</w:t>
      </w:r>
    </w:p>
    <w:p w:rsidR="0092635B" w:rsidRDefault="00000000">
      <w:pPr>
        <w:pStyle w:val="Prrafodelista"/>
        <w:numPr>
          <w:ilvl w:val="0"/>
          <w:numId w:val="9"/>
        </w:numPr>
        <w:tabs>
          <w:tab w:val="left" w:pos="1779"/>
        </w:tabs>
        <w:ind w:left="1779" w:right="0" w:hanging="333"/>
        <w:rPr>
          <w:sz w:val="20"/>
        </w:rPr>
      </w:pPr>
      <w:r>
        <w:rPr>
          <w:sz w:val="20"/>
        </w:rPr>
        <w:t>Criterios</w:t>
      </w:r>
      <w:r>
        <w:rPr>
          <w:spacing w:val="-4"/>
          <w:sz w:val="20"/>
        </w:rPr>
        <w:t xml:space="preserve"> </w:t>
      </w:r>
      <w:r>
        <w:rPr>
          <w:sz w:val="20"/>
        </w:rPr>
        <w:t>que</w:t>
      </w:r>
      <w:r>
        <w:rPr>
          <w:spacing w:val="-2"/>
          <w:sz w:val="20"/>
        </w:rPr>
        <w:t xml:space="preserve"> </w:t>
      </w:r>
      <w:r>
        <w:rPr>
          <w:sz w:val="20"/>
        </w:rPr>
        <w:t>se</w:t>
      </w:r>
      <w:r>
        <w:rPr>
          <w:spacing w:val="-2"/>
          <w:sz w:val="20"/>
        </w:rPr>
        <w:t xml:space="preserve"> </w:t>
      </w:r>
      <w:r>
        <w:rPr>
          <w:sz w:val="20"/>
        </w:rPr>
        <w:t>aplicarán</w:t>
      </w:r>
      <w:r>
        <w:rPr>
          <w:spacing w:val="-2"/>
          <w:sz w:val="20"/>
        </w:rPr>
        <w:t xml:space="preserve"> </w:t>
      </w:r>
      <w:r>
        <w:rPr>
          <w:sz w:val="20"/>
        </w:rPr>
        <w:t>para</w:t>
      </w:r>
      <w:r>
        <w:rPr>
          <w:spacing w:val="-2"/>
          <w:sz w:val="20"/>
        </w:rPr>
        <w:t xml:space="preserve"> </w:t>
      </w:r>
      <w:r>
        <w:rPr>
          <w:sz w:val="20"/>
        </w:rPr>
        <w:t>valorar</w:t>
      </w:r>
      <w:r>
        <w:rPr>
          <w:spacing w:val="-2"/>
          <w:sz w:val="20"/>
        </w:rPr>
        <w:t xml:space="preserve"> </w:t>
      </w:r>
      <w:r>
        <w:rPr>
          <w:sz w:val="20"/>
        </w:rPr>
        <w:t>los</w:t>
      </w:r>
      <w:r>
        <w:rPr>
          <w:spacing w:val="-2"/>
          <w:sz w:val="20"/>
        </w:rPr>
        <w:t xml:space="preserve"> proyectos.</w:t>
      </w:r>
    </w:p>
    <w:p w:rsidR="0092635B" w:rsidRDefault="00000000">
      <w:pPr>
        <w:pStyle w:val="Prrafodelista"/>
        <w:numPr>
          <w:ilvl w:val="0"/>
          <w:numId w:val="9"/>
        </w:numPr>
        <w:tabs>
          <w:tab w:val="left" w:pos="1779"/>
        </w:tabs>
        <w:spacing w:before="10"/>
        <w:ind w:left="1779" w:right="0" w:hanging="333"/>
        <w:rPr>
          <w:sz w:val="20"/>
        </w:rPr>
      </w:pPr>
      <w:r>
        <w:rPr>
          <w:sz w:val="20"/>
        </w:rPr>
        <w:t>Indicación</w:t>
      </w:r>
      <w:r>
        <w:rPr>
          <w:spacing w:val="-6"/>
          <w:sz w:val="20"/>
        </w:rPr>
        <w:t xml:space="preserve"> </w:t>
      </w:r>
      <w:r>
        <w:rPr>
          <w:sz w:val="20"/>
        </w:rPr>
        <w:t>de</w:t>
      </w:r>
      <w:r>
        <w:rPr>
          <w:spacing w:val="-3"/>
          <w:sz w:val="20"/>
        </w:rPr>
        <w:t xml:space="preserve"> </w:t>
      </w:r>
      <w:r>
        <w:rPr>
          <w:sz w:val="20"/>
        </w:rPr>
        <w:t>si</w:t>
      </w:r>
      <w:r>
        <w:rPr>
          <w:spacing w:val="-3"/>
          <w:sz w:val="20"/>
        </w:rPr>
        <w:t xml:space="preserve"> </w:t>
      </w:r>
      <w:r>
        <w:rPr>
          <w:sz w:val="20"/>
        </w:rPr>
        <w:t>la</w:t>
      </w:r>
      <w:r>
        <w:rPr>
          <w:spacing w:val="-3"/>
          <w:sz w:val="20"/>
        </w:rPr>
        <w:t xml:space="preserve"> </w:t>
      </w:r>
      <w:r>
        <w:rPr>
          <w:sz w:val="20"/>
        </w:rPr>
        <w:t>decisión</w:t>
      </w:r>
      <w:r>
        <w:rPr>
          <w:spacing w:val="-4"/>
          <w:sz w:val="20"/>
        </w:rPr>
        <w:t xml:space="preserve"> </w:t>
      </w:r>
      <w:r>
        <w:rPr>
          <w:sz w:val="20"/>
        </w:rPr>
        <w:t>del</w:t>
      </w:r>
      <w:r>
        <w:rPr>
          <w:spacing w:val="-3"/>
          <w:sz w:val="20"/>
        </w:rPr>
        <w:t xml:space="preserve"> </w:t>
      </w:r>
      <w:r>
        <w:rPr>
          <w:sz w:val="20"/>
        </w:rPr>
        <w:t>jurado</w:t>
      </w:r>
      <w:r>
        <w:rPr>
          <w:spacing w:val="-3"/>
          <w:sz w:val="20"/>
        </w:rPr>
        <w:t xml:space="preserve"> </w:t>
      </w:r>
      <w:r>
        <w:rPr>
          <w:sz w:val="20"/>
        </w:rPr>
        <w:t>es</w:t>
      </w:r>
      <w:r>
        <w:rPr>
          <w:spacing w:val="-3"/>
          <w:sz w:val="20"/>
        </w:rPr>
        <w:t xml:space="preserve"> </w:t>
      </w:r>
      <w:r>
        <w:rPr>
          <w:sz w:val="20"/>
        </w:rPr>
        <w:t>vinculante</w:t>
      </w:r>
      <w:r>
        <w:rPr>
          <w:spacing w:val="-4"/>
          <w:sz w:val="20"/>
        </w:rPr>
        <w:t xml:space="preserve"> </w:t>
      </w:r>
      <w:r>
        <w:rPr>
          <w:sz w:val="20"/>
        </w:rPr>
        <w:t>para</w:t>
      </w:r>
      <w:r>
        <w:rPr>
          <w:spacing w:val="-3"/>
          <w:sz w:val="20"/>
        </w:rPr>
        <w:t xml:space="preserve"> </w:t>
      </w:r>
      <w:r>
        <w:rPr>
          <w:sz w:val="20"/>
        </w:rPr>
        <w:t>el</w:t>
      </w:r>
      <w:r>
        <w:rPr>
          <w:spacing w:val="-3"/>
          <w:sz w:val="20"/>
        </w:rPr>
        <w:t xml:space="preserve"> </w:t>
      </w:r>
      <w:r>
        <w:rPr>
          <w:sz w:val="20"/>
        </w:rPr>
        <w:t>poder</w:t>
      </w:r>
      <w:r>
        <w:rPr>
          <w:spacing w:val="-3"/>
          <w:sz w:val="20"/>
        </w:rPr>
        <w:t xml:space="preserve"> </w:t>
      </w:r>
      <w:r>
        <w:rPr>
          <w:spacing w:val="-2"/>
          <w:sz w:val="20"/>
        </w:rPr>
        <w:t>adjudicador.</w:t>
      </w:r>
    </w:p>
    <w:p w:rsidR="0092635B" w:rsidRDefault="00000000">
      <w:pPr>
        <w:pStyle w:val="Prrafodelista"/>
        <w:numPr>
          <w:ilvl w:val="0"/>
          <w:numId w:val="9"/>
        </w:numPr>
        <w:tabs>
          <w:tab w:val="left" w:pos="1779"/>
        </w:tabs>
        <w:spacing w:before="10"/>
        <w:ind w:left="1779" w:right="0" w:hanging="333"/>
        <w:rPr>
          <w:sz w:val="20"/>
        </w:rPr>
      </w:pPr>
      <w:r>
        <w:rPr>
          <w:sz w:val="20"/>
        </w:rPr>
        <w:t>Si</w:t>
      </w:r>
      <w:r>
        <w:rPr>
          <w:spacing w:val="-1"/>
          <w:sz w:val="20"/>
        </w:rPr>
        <w:t xml:space="preserve"> </w:t>
      </w:r>
      <w:r>
        <w:rPr>
          <w:sz w:val="20"/>
        </w:rPr>
        <w:t xml:space="preserve">procede, posibles pagos a todos los </w:t>
      </w:r>
      <w:r>
        <w:rPr>
          <w:spacing w:val="-2"/>
          <w:sz w:val="20"/>
        </w:rPr>
        <w:t>participantes.</w:t>
      </w:r>
    </w:p>
    <w:p w:rsidR="0092635B" w:rsidRDefault="0092635B">
      <w:pPr>
        <w:pStyle w:val="Prrafodelista"/>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9"/>
        </w:numPr>
        <w:tabs>
          <w:tab w:val="left" w:pos="1819"/>
        </w:tabs>
        <w:spacing w:before="1" w:line="249" w:lineRule="auto"/>
        <w:ind w:firstLine="340"/>
        <w:rPr>
          <w:sz w:val="20"/>
        </w:rPr>
      </w:pPr>
      <w:r>
        <w:rPr>
          <w:sz w:val="20"/>
        </w:rPr>
        <w:t>Se</w:t>
      </w:r>
      <w:r>
        <w:rPr>
          <w:spacing w:val="37"/>
          <w:sz w:val="20"/>
        </w:rPr>
        <w:t xml:space="preserve"> </w:t>
      </w:r>
      <w:r>
        <w:rPr>
          <w:sz w:val="20"/>
        </w:rPr>
        <w:t>indicará</w:t>
      </w:r>
      <w:r>
        <w:rPr>
          <w:spacing w:val="37"/>
          <w:sz w:val="20"/>
        </w:rPr>
        <w:t xml:space="preserve"> </w:t>
      </w:r>
      <w:r>
        <w:rPr>
          <w:sz w:val="20"/>
        </w:rPr>
        <w:t>si</w:t>
      </w:r>
      <w:r>
        <w:rPr>
          <w:spacing w:val="37"/>
          <w:sz w:val="20"/>
        </w:rPr>
        <w:t xml:space="preserve"> </w:t>
      </w:r>
      <w:r>
        <w:rPr>
          <w:sz w:val="20"/>
        </w:rPr>
        <w:t>los</w:t>
      </w:r>
      <w:r>
        <w:rPr>
          <w:spacing w:val="37"/>
          <w:sz w:val="20"/>
        </w:rPr>
        <w:t xml:space="preserve"> </w:t>
      </w:r>
      <w:r>
        <w:rPr>
          <w:sz w:val="20"/>
        </w:rPr>
        <w:t>contratos</w:t>
      </w:r>
      <w:r>
        <w:rPr>
          <w:spacing w:val="37"/>
          <w:sz w:val="20"/>
        </w:rPr>
        <w:t xml:space="preserve"> </w:t>
      </w:r>
      <w:r>
        <w:rPr>
          <w:sz w:val="20"/>
        </w:rPr>
        <w:t>subsiguientes</w:t>
      </w:r>
      <w:r>
        <w:rPr>
          <w:spacing w:val="37"/>
          <w:sz w:val="20"/>
        </w:rPr>
        <w:t xml:space="preserve"> </w:t>
      </w:r>
      <w:r>
        <w:rPr>
          <w:sz w:val="20"/>
        </w:rPr>
        <w:t>al</w:t>
      </w:r>
      <w:r>
        <w:rPr>
          <w:spacing w:val="37"/>
          <w:sz w:val="20"/>
        </w:rPr>
        <w:t xml:space="preserve"> </w:t>
      </w:r>
      <w:r>
        <w:rPr>
          <w:sz w:val="20"/>
        </w:rPr>
        <w:t>concurso</w:t>
      </w:r>
      <w:r>
        <w:rPr>
          <w:spacing w:val="37"/>
          <w:sz w:val="20"/>
        </w:rPr>
        <w:t xml:space="preserve"> </w:t>
      </w:r>
      <w:r>
        <w:rPr>
          <w:sz w:val="20"/>
        </w:rPr>
        <w:t>serán</w:t>
      </w:r>
      <w:r>
        <w:rPr>
          <w:spacing w:val="37"/>
          <w:sz w:val="20"/>
        </w:rPr>
        <w:t xml:space="preserve"> </w:t>
      </w:r>
      <w:r>
        <w:rPr>
          <w:sz w:val="20"/>
        </w:rPr>
        <w:t>o</w:t>
      </w:r>
      <w:r>
        <w:rPr>
          <w:spacing w:val="37"/>
          <w:sz w:val="20"/>
        </w:rPr>
        <w:t xml:space="preserve"> </w:t>
      </w:r>
      <w:r>
        <w:rPr>
          <w:sz w:val="20"/>
        </w:rPr>
        <w:t>no</w:t>
      </w:r>
      <w:r>
        <w:rPr>
          <w:spacing w:val="37"/>
          <w:sz w:val="20"/>
        </w:rPr>
        <w:t xml:space="preserve"> </w:t>
      </w:r>
      <w:r>
        <w:rPr>
          <w:sz w:val="20"/>
        </w:rPr>
        <w:t>adjudicados</w:t>
      </w:r>
      <w:r>
        <w:rPr>
          <w:spacing w:val="37"/>
          <w:sz w:val="20"/>
        </w:rPr>
        <w:t xml:space="preserve"> </w:t>
      </w:r>
      <w:r>
        <w:rPr>
          <w:sz w:val="20"/>
        </w:rPr>
        <w:t>al ganador o a los ganadores de dicho concurso.</w:t>
      </w:r>
    </w:p>
    <w:p w:rsidR="0092635B" w:rsidRDefault="00000000">
      <w:pPr>
        <w:pStyle w:val="Prrafodelista"/>
        <w:numPr>
          <w:ilvl w:val="0"/>
          <w:numId w:val="9"/>
        </w:numPr>
        <w:tabs>
          <w:tab w:val="left" w:pos="1779"/>
        </w:tabs>
        <w:spacing w:before="1"/>
        <w:ind w:left="1779" w:right="0" w:hanging="333"/>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9"/>
        </w:numPr>
        <w:tabs>
          <w:tab w:val="left" w:pos="1779"/>
        </w:tabs>
        <w:spacing w:before="10"/>
        <w:ind w:left="1779" w:right="0" w:hanging="333"/>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05"/>
        <w:jc w:val="left"/>
      </w:pPr>
      <w:r>
        <w:t>Sección</w:t>
      </w:r>
      <w:r>
        <w:rPr>
          <w:spacing w:val="39"/>
        </w:rPr>
        <w:t xml:space="preserve"> </w:t>
      </w:r>
      <w:r>
        <w:t>9.</w:t>
      </w:r>
      <w:r>
        <w:rPr>
          <w:spacing w:val="39"/>
        </w:rPr>
        <w:t xml:space="preserve"> </w:t>
      </w:r>
      <w:r>
        <w:t>Información</w:t>
      </w:r>
      <w:r>
        <w:rPr>
          <w:spacing w:val="39"/>
        </w:rPr>
        <w:t xml:space="preserve"> </w:t>
      </w:r>
      <w:r>
        <w:t>que</w:t>
      </w:r>
      <w:r>
        <w:rPr>
          <w:spacing w:val="39"/>
        </w:rPr>
        <w:t xml:space="preserve"> </w:t>
      </w:r>
      <w:r>
        <w:t>debe</w:t>
      </w:r>
      <w:r>
        <w:rPr>
          <w:spacing w:val="39"/>
        </w:rPr>
        <w:t xml:space="preserve"> </w:t>
      </w:r>
      <w:r>
        <w:t>figurar</w:t>
      </w:r>
      <w:r>
        <w:rPr>
          <w:spacing w:val="39"/>
        </w:rPr>
        <w:t xml:space="preserve"> </w:t>
      </w:r>
      <w:r>
        <w:t>en</w:t>
      </w:r>
      <w:r>
        <w:rPr>
          <w:spacing w:val="39"/>
        </w:rPr>
        <w:t xml:space="preserve"> </w:t>
      </w:r>
      <w:r>
        <w:t>los</w:t>
      </w:r>
      <w:r>
        <w:rPr>
          <w:spacing w:val="39"/>
        </w:rPr>
        <w:t xml:space="preserve"> </w:t>
      </w:r>
      <w:r>
        <w:t>anuncios</w:t>
      </w:r>
      <w:r>
        <w:rPr>
          <w:spacing w:val="39"/>
        </w:rPr>
        <w:t xml:space="preserve"> </w:t>
      </w:r>
      <w:r>
        <w:t>sobre</w:t>
      </w:r>
      <w:r>
        <w:rPr>
          <w:spacing w:val="39"/>
        </w:rPr>
        <w:t xml:space="preserve"> </w:t>
      </w:r>
      <w:r>
        <w:t>los</w:t>
      </w:r>
      <w:r>
        <w:rPr>
          <w:spacing w:val="39"/>
        </w:rPr>
        <w:t xml:space="preserve"> </w:t>
      </w:r>
      <w:r>
        <w:t>resultados</w:t>
      </w:r>
      <w:r>
        <w:rPr>
          <w:spacing w:val="39"/>
        </w:rPr>
        <w:t xml:space="preserve"> </w:t>
      </w:r>
      <w:r>
        <w:t>de</w:t>
      </w:r>
      <w:r>
        <w:rPr>
          <w:spacing w:val="39"/>
        </w:rPr>
        <w:t xml:space="preserve"> </w:t>
      </w:r>
      <w:r>
        <w:t>un concurso de proyectos:</w:t>
      </w:r>
    </w:p>
    <w:p w:rsidR="0092635B" w:rsidRDefault="00000000">
      <w:pPr>
        <w:pStyle w:val="Prrafodelista"/>
        <w:numPr>
          <w:ilvl w:val="0"/>
          <w:numId w:val="8"/>
        </w:numPr>
        <w:tabs>
          <w:tab w:val="left" w:pos="1738"/>
        </w:tabs>
        <w:spacing w:before="122"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0"/>
          <w:numId w:val="8"/>
        </w:numPr>
        <w:tabs>
          <w:tab w:val="left" w:pos="1668"/>
        </w:tabs>
        <w:ind w:left="1668" w:right="0" w:hanging="222"/>
        <w:jc w:val="both"/>
        <w:rPr>
          <w:sz w:val="20"/>
        </w:rPr>
      </w:pPr>
      <w:r>
        <w:rPr>
          <w:sz w:val="20"/>
        </w:rPr>
        <w:t>Tipo</w:t>
      </w:r>
      <w:r>
        <w:rPr>
          <w:spacing w:val="-4"/>
          <w:sz w:val="20"/>
        </w:rPr>
        <w:t xml:space="preserve"> </w:t>
      </w:r>
      <w:r>
        <w:rPr>
          <w:sz w:val="20"/>
        </w:rPr>
        <w:t>de</w:t>
      </w:r>
      <w:r>
        <w:rPr>
          <w:spacing w:val="-4"/>
          <w:sz w:val="20"/>
        </w:rPr>
        <w:t xml:space="preserve"> </w:t>
      </w:r>
      <w:r>
        <w:rPr>
          <w:sz w:val="20"/>
        </w:rPr>
        <w:t>poder</w:t>
      </w:r>
      <w:r>
        <w:rPr>
          <w:spacing w:val="-4"/>
          <w:sz w:val="20"/>
        </w:rPr>
        <w:t xml:space="preserve"> </w:t>
      </w:r>
      <w:r>
        <w:rPr>
          <w:sz w:val="20"/>
        </w:rPr>
        <w:t>adjudicador</w:t>
      </w:r>
      <w:r>
        <w:rPr>
          <w:spacing w:val="-4"/>
          <w:sz w:val="20"/>
        </w:rPr>
        <w:t xml:space="preserve"> </w:t>
      </w:r>
      <w:r>
        <w:rPr>
          <w:sz w:val="20"/>
        </w:rPr>
        <w:t>y</w:t>
      </w:r>
      <w:r>
        <w:rPr>
          <w:spacing w:val="-4"/>
          <w:sz w:val="20"/>
        </w:rPr>
        <w:t xml:space="preserve"> </w:t>
      </w:r>
      <w:r>
        <w:rPr>
          <w:sz w:val="20"/>
        </w:rPr>
        <w:t>principal</w:t>
      </w:r>
      <w:r>
        <w:rPr>
          <w:spacing w:val="-4"/>
          <w:sz w:val="20"/>
        </w:rPr>
        <w:t xml:space="preserve"> </w:t>
      </w:r>
      <w:r>
        <w:rPr>
          <w:sz w:val="20"/>
        </w:rPr>
        <w:t>actividad</w:t>
      </w:r>
      <w:r>
        <w:rPr>
          <w:spacing w:val="-3"/>
          <w:sz w:val="20"/>
        </w:rPr>
        <w:t xml:space="preserve"> </w:t>
      </w:r>
      <w:r>
        <w:rPr>
          <w:spacing w:val="-2"/>
          <w:sz w:val="20"/>
        </w:rPr>
        <w:t>ejercida.</w:t>
      </w:r>
    </w:p>
    <w:p w:rsidR="0092635B" w:rsidRDefault="00000000">
      <w:pPr>
        <w:pStyle w:val="Prrafodelista"/>
        <w:numPr>
          <w:ilvl w:val="0"/>
          <w:numId w:val="8"/>
        </w:numPr>
        <w:tabs>
          <w:tab w:val="left" w:pos="1670"/>
        </w:tabs>
        <w:spacing w:before="10" w:line="249" w:lineRule="auto"/>
        <w:ind w:firstLine="340"/>
        <w:jc w:val="both"/>
        <w:rPr>
          <w:sz w:val="20"/>
        </w:rPr>
      </w:pPr>
      <w:r>
        <w:rPr>
          <w:sz w:val="20"/>
        </w:rPr>
        <w:t>Cuando</w:t>
      </w:r>
      <w:r>
        <w:rPr>
          <w:spacing w:val="-1"/>
          <w:sz w:val="20"/>
        </w:rPr>
        <w:t xml:space="preserve"> </w:t>
      </w:r>
      <w:r>
        <w:rPr>
          <w:sz w:val="20"/>
        </w:rPr>
        <w:t>proceda,</w:t>
      </w:r>
      <w:r>
        <w:rPr>
          <w:spacing w:val="-1"/>
          <w:sz w:val="20"/>
        </w:rPr>
        <w:t xml:space="preserve"> </w:t>
      </w:r>
      <w:r>
        <w:rPr>
          <w:sz w:val="20"/>
        </w:rPr>
        <w:t>indicación</w:t>
      </w:r>
      <w:r>
        <w:rPr>
          <w:spacing w:val="-1"/>
          <w:sz w:val="20"/>
        </w:rPr>
        <w:t xml:space="preserve"> </w:t>
      </w:r>
      <w:r>
        <w:rPr>
          <w:sz w:val="20"/>
        </w:rPr>
        <w:t>de</w:t>
      </w:r>
      <w:r>
        <w:rPr>
          <w:spacing w:val="-1"/>
          <w:sz w:val="20"/>
        </w:rPr>
        <w:t xml:space="preserve"> </w:t>
      </w:r>
      <w:r>
        <w:rPr>
          <w:sz w:val="20"/>
        </w:rPr>
        <w:t>si</w:t>
      </w:r>
      <w:r>
        <w:rPr>
          <w:spacing w:val="-1"/>
          <w:sz w:val="20"/>
        </w:rPr>
        <w:t xml:space="preserve"> </w:t>
      </w:r>
      <w:r>
        <w:rPr>
          <w:sz w:val="20"/>
        </w:rPr>
        <w:t>el</w:t>
      </w:r>
      <w:r>
        <w:rPr>
          <w:spacing w:val="-1"/>
          <w:sz w:val="20"/>
        </w:rPr>
        <w:t xml:space="preserve"> </w:t>
      </w:r>
      <w:r>
        <w:rPr>
          <w:sz w:val="20"/>
        </w:rPr>
        <w:t>poder</w:t>
      </w:r>
      <w:r>
        <w:rPr>
          <w:spacing w:val="-1"/>
          <w:sz w:val="20"/>
        </w:rPr>
        <w:t xml:space="preserve"> </w:t>
      </w:r>
      <w:r>
        <w:rPr>
          <w:sz w:val="20"/>
        </w:rPr>
        <w:t>adjudicador</w:t>
      </w:r>
      <w:r>
        <w:rPr>
          <w:spacing w:val="-1"/>
          <w:sz w:val="20"/>
        </w:rPr>
        <w:t xml:space="preserve"> </w:t>
      </w:r>
      <w:r>
        <w:rPr>
          <w:sz w:val="20"/>
        </w:rPr>
        <w:t>es</w:t>
      </w:r>
      <w:r>
        <w:rPr>
          <w:spacing w:val="-1"/>
          <w:sz w:val="20"/>
        </w:rPr>
        <w:t xml:space="preserve"> </w:t>
      </w:r>
      <w:r>
        <w:rPr>
          <w:sz w:val="20"/>
        </w:rPr>
        <w:t>una</w:t>
      </w:r>
      <w:r>
        <w:rPr>
          <w:spacing w:val="-1"/>
          <w:sz w:val="20"/>
        </w:rPr>
        <w:t xml:space="preserve"> </w:t>
      </w:r>
      <w:r>
        <w:rPr>
          <w:sz w:val="20"/>
        </w:rPr>
        <w:t>central</w:t>
      </w:r>
      <w:r>
        <w:rPr>
          <w:spacing w:val="-1"/>
          <w:sz w:val="20"/>
        </w:rPr>
        <w:t xml:space="preserve"> </w:t>
      </w:r>
      <w:r>
        <w:rPr>
          <w:sz w:val="20"/>
        </w:rPr>
        <w:t>de</w:t>
      </w:r>
      <w:r>
        <w:rPr>
          <w:spacing w:val="-1"/>
          <w:sz w:val="20"/>
        </w:rPr>
        <w:t xml:space="preserve"> </w:t>
      </w:r>
      <w:r>
        <w:rPr>
          <w:sz w:val="20"/>
        </w:rPr>
        <w:t>compras</w:t>
      </w:r>
      <w:r>
        <w:rPr>
          <w:spacing w:val="-1"/>
          <w:sz w:val="20"/>
        </w:rPr>
        <w:t xml:space="preserve"> </w:t>
      </w:r>
      <w:r>
        <w:rPr>
          <w:sz w:val="20"/>
        </w:rPr>
        <w:t>o</w:t>
      </w:r>
      <w:r>
        <w:rPr>
          <w:spacing w:val="-1"/>
          <w:sz w:val="20"/>
        </w:rPr>
        <w:t xml:space="preserve"> </w:t>
      </w:r>
      <w:r>
        <w:rPr>
          <w:sz w:val="20"/>
        </w:rPr>
        <w:t>de si se va a utilizar alguna otra forma de contratación conjunta.</w:t>
      </w:r>
    </w:p>
    <w:p w:rsidR="0092635B" w:rsidRDefault="00000000">
      <w:pPr>
        <w:pStyle w:val="Prrafodelista"/>
        <w:numPr>
          <w:ilvl w:val="0"/>
          <w:numId w:val="8"/>
        </w:numPr>
        <w:tabs>
          <w:tab w:val="left" w:pos="1668"/>
        </w:tabs>
        <w:ind w:left="1668" w:right="0" w:hanging="222"/>
        <w:jc w:val="both"/>
        <w:rPr>
          <w:sz w:val="20"/>
        </w:rPr>
      </w:pPr>
      <w:r>
        <w:rPr>
          <w:sz w:val="20"/>
        </w:rPr>
        <w:t>Códigos</w:t>
      </w:r>
      <w:r>
        <w:rPr>
          <w:spacing w:val="-2"/>
          <w:sz w:val="20"/>
        </w:rPr>
        <w:t xml:space="preserve"> </w:t>
      </w:r>
      <w:r>
        <w:rPr>
          <w:spacing w:val="-4"/>
          <w:sz w:val="20"/>
        </w:rPr>
        <w:t>CPV.</w:t>
      </w:r>
    </w:p>
    <w:p w:rsidR="0092635B" w:rsidRDefault="00000000">
      <w:pPr>
        <w:pStyle w:val="Prrafodelista"/>
        <w:numPr>
          <w:ilvl w:val="0"/>
          <w:numId w:val="8"/>
        </w:numPr>
        <w:tabs>
          <w:tab w:val="left" w:pos="1668"/>
        </w:tabs>
        <w:spacing w:before="10"/>
        <w:ind w:left="1668" w:right="0" w:hanging="222"/>
        <w:rPr>
          <w:sz w:val="20"/>
        </w:rPr>
      </w:pPr>
      <w:r>
        <w:rPr>
          <w:sz w:val="20"/>
        </w:rPr>
        <w:t>Descripción</w:t>
      </w:r>
      <w:r>
        <w:rPr>
          <w:spacing w:val="-3"/>
          <w:sz w:val="20"/>
        </w:rPr>
        <w:t xml:space="preserve"> </w:t>
      </w:r>
      <w:r>
        <w:rPr>
          <w:sz w:val="20"/>
        </w:rPr>
        <w:t>de</w:t>
      </w:r>
      <w:r>
        <w:rPr>
          <w:spacing w:val="-2"/>
          <w:sz w:val="20"/>
        </w:rPr>
        <w:t xml:space="preserve"> </w:t>
      </w:r>
      <w:r>
        <w:rPr>
          <w:sz w:val="20"/>
        </w:rPr>
        <w:t>las</w:t>
      </w:r>
      <w:r>
        <w:rPr>
          <w:spacing w:val="-2"/>
          <w:sz w:val="20"/>
        </w:rPr>
        <w:t xml:space="preserve"> </w:t>
      </w:r>
      <w:r>
        <w:rPr>
          <w:sz w:val="20"/>
        </w:rPr>
        <w:t>principales</w:t>
      </w:r>
      <w:r>
        <w:rPr>
          <w:spacing w:val="-2"/>
          <w:sz w:val="20"/>
        </w:rPr>
        <w:t xml:space="preserve"> </w:t>
      </w:r>
      <w:r>
        <w:rPr>
          <w:sz w:val="20"/>
        </w:rPr>
        <w:t>características</w:t>
      </w:r>
      <w:r>
        <w:rPr>
          <w:spacing w:val="-2"/>
          <w:sz w:val="20"/>
        </w:rPr>
        <w:t xml:space="preserve"> </w:t>
      </w:r>
      <w:r>
        <w:rPr>
          <w:sz w:val="20"/>
        </w:rPr>
        <w:t>del</w:t>
      </w:r>
      <w:r>
        <w:rPr>
          <w:spacing w:val="-2"/>
          <w:sz w:val="20"/>
        </w:rPr>
        <w:t xml:space="preserve"> proyecto.</w:t>
      </w:r>
    </w:p>
    <w:p w:rsidR="0092635B" w:rsidRDefault="00000000">
      <w:pPr>
        <w:pStyle w:val="Prrafodelista"/>
        <w:numPr>
          <w:ilvl w:val="0"/>
          <w:numId w:val="8"/>
        </w:numPr>
        <w:tabs>
          <w:tab w:val="left" w:pos="1668"/>
        </w:tabs>
        <w:spacing w:before="10"/>
        <w:ind w:left="1668" w:right="0" w:hanging="222"/>
        <w:rPr>
          <w:sz w:val="20"/>
        </w:rPr>
      </w:pPr>
      <w:r>
        <w:rPr>
          <w:sz w:val="20"/>
        </w:rPr>
        <w:t>Importe</w:t>
      </w:r>
      <w:r>
        <w:rPr>
          <w:spacing w:val="-3"/>
          <w:sz w:val="20"/>
        </w:rPr>
        <w:t xml:space="preserve"> </w:t>
      </w:r>
      <w:r>
        <w:rPr>
          <w:sz w:val="20"/>
        </w:rPr>
        <w:t>de</w:t>
      </w:r>
      <w:r>
        <w:rPr>
          <w:spacing w:val="-2"/>
          <w:sz w:val="20"/>
        </w:rPr>
        <w:t xml:space="preserve"> </w:t>
      </w:r>
      <w:r>
        <w:rPr>
          <w:sz w:val="20"/>
        </w:rPr>
        <w:t>los</w:t>
      </w:r>
      <w:r>
        <w:rPr>
          <w:spacing w:val="-2"/>
          <w:sz w:val="20"/>
        </w:rPr>
        <w:t xml:space="preserve"> premios.</w:t>
      </w:r>
    </w:p>
    <w:p w:rsidR="0092635B" w:rsidRDefault="00000000">
      <w:pPr>
        <w:pStyle w:val="Prrafodelista"/>
        <w:numPr>
          <w:ilvl w:val="0"/>
          <w:numId w:val="8"/>
        </w:numPr>
        <w:tabs>
          <w:tab w:val="left" w:pos="1668"/>
        </w:tabs>
        <w:spacing w:before="10"/>
        <w:ind w:left="1668" w:right="0" w:hanging="222"/>
        <w:rPr>
          <w:sz w:val="20"/>
        </w:rPr>
      </w:pPr>
      <w:r>
        <w:rPr>
          <w:sz w:val="20"/>
        </w:rPr>
        <w:t>Tipo</w:t>
      </w:r>
      <w:r>
        <w:rPr>
          <w:spacing w:val="-5"/>
          <w:sz w:val="20"/>
        </w:rPr>
        <w:t xml:space="preserve"> </w:t>
      </w:r>
      <w:r>
        <w:rPr>
          <w:sz w:val="20"/>
        </w:rPr>
        <w:t>de</w:t>
      </w:r>
      <w:r>
        <w:rPr>
          <w:spacing w:val="-5"/>
          <w:sz w:val="20"/>
        </w:rPr>
        <w:t xml:space="preserve"> </w:t>
      </w:r>
      <w:r>
        <w:rPr>
          <w:sz w:val="20"/>
        </w:rPr>
        <w:t>concurso</w:t>
      </w:r>
      <w:r>
        <w:rPr>
          <w:spacing w:val="-5"/>
          <w:sz w:val="20"/>
        </w:rPr>
        <w:t xml:space="preserve"> </w:t>
      </w:r>
      <w:r>
        <w:rPr>
          <w:sz w:val="20"/>
        </w:rPr>
        <w:t>(abierto</w:t>
      </w:r>
      <w:r>
        <w:rPr>
          <w:spacing w:val="-5"/>
          <w:sz w:val="20"/>
        </w:rPr>
        <w:t xml:space="preserve"> </w:t>
      </w:r>
      <w:r>
        <w:rPr>
          <w:sz w:val="20"/>
        </w:rPr>
        <w:t>o</w:t>
      </w:r>
      <w:r>
        <w:rPr>
          <w:spacing w:val="-5"/>
          <w:sz w:val="20"/>
        </w:rPr>
        <w:t xml:space="preserve"> </w:t>
      </w:r>
      <w:r>
        <w:rPr>
          <w:spacing w:val="-2"/>
          <w:sz w:val="20"/>
        </w:rPr>
        <w:t>restringido).</w:t>
      </w:r>
    </w:p>
    <w:p w:rsidR="0092635B" w:rsidRDefault="00000000">
      <w:pPr>
        <w:pStyle w:val="Prrafodelista"/>
        <w:numPr>
          <w:ilvl w:val="0"/>
          <w:numId w:val="8"/>
        </w:numPr>
        <w:tabs>
          <w:tab w:val="left" w:pos="1668"/>
        </w:tabs>
        <w:spacing w:before="10"/>
        <w:ind w:left="1668" w:right="0" w:hanging="222"/>
        <w:rPr>
          <w:sz w:val="20"/>
        </w:rPr>
      </w:pPr>
      <w:r>
        <w:rPr>
          <w:sz w:val="20"/>
        </w:rPr>
        <w:t>Criterios</w:t>
      </w:r>
      <w:r>
        <w:rPr>
          <w:spacing w:val="-4"/>
          <w:sz w:val="20"/>
        </w:rPr>
        <w:t xml:space="preserve"> </w:t>
      </w:r>
      <w:r>
        <w:rPr>
          <w:sz w:val="20"/>
        </w:rPr>
        <w:t>que</w:t>
      </w:r>
      <w:r>
        <w:rPr>
          <w:spacing w:val="-2"/>
          <w:sz w:val="20"/>
        </w:rPr>
        <w:t xml:space="preserve"> </w:t>
      </w:r>
      <w:r>
        <w:rPr>
          <w:sz w:val="20"/>
        </w:rPr>
        <w:t>se</w:t>
      </w:r>
      <w:r>
        <w:rPr>
          <w:spacing w:val="-2"/>
          <w:sz w:val="20"/>
        </w:rPr>
        <w:t xml:space="preserve"> </w:t>
      </w:r>
      <w:r>
        <w:rPr>
          <w:sz w:val="20"/>
        </w:rPr>
        <w:t>aplicaron</w:t>
      </w:r>
      <w:r>
        <w:rPr>
          <w:spacing w:val="-2"/>
          <w:sz w:val="20"/>
        </w:rPr>
        <w:t xml:space="preserve"> </w:t>
      </w:r>
      <w:r>
        <w:rPr>
          <w:sz w:val="20"/>
        </w:rPr>
        <w:t>para</w:t>
      </w:r>
      <w:r>
        <w:rPr>
          <w:spacing w:val="-2"/>
          <w:sz w:val="20"/>
        </w:rPr>
        <w:t xml:space="preserve"> </w:t>
      </w:r>
      <w:r>
        <w:rPr>
          <w:sz w:val="20"/>
        </w:rPr>
        <w:t>valorar</w:t>
      </w:r>
      <w:r>
        <w:rPr>
          <w:spacing w:val="-2"/>
          <w:sz w:val="20"/>
        </w:rPr>
        <w:t xml:space="preserve"> </w:t>
      </w:r>
      <w:r>
        <w:rPr>
          <w:sz w:val="20"/>
        </w:rPr>
        <w:t>los</w:t>
      </w:r>
      <w:r>
        <w:rPr>
          <w:spacing w:val="-2"/>
          <w:sz w:val="20"/>
        </w:rPr>
        <w:t xml:space="preserve"> proyectos.</w:t>
      </w:r>
    </w:p>
    <w:p w:rsidR="0092635B" w:rsidRDefault="00000000">
      <w:pPr>
        <w:pStyle w:val="Prrafodelista"/>
        <w:numPr>
          <w:ilvl w:val="0"/>
          <w:numId w:val="8"/>
        </w:numPr>
        <w:tabs>
          <w:tab w:val="left" w:pos="1668"/>
        </w:tabs>
        <w:spacing w:before="10"/>
        <w:ind w:left="1668" w:right="0" w:hanging="222"/>
        <w:rPr>
          <w:sz w:val="20"/>
        </w:rPr>
      </w:pPr>
      <w:r>
        <w:rPr>
          <w:sz w:val="20"/>
        </w:rPr>
        <w:t>Fecha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decisión</w:t>
      </w:r>
      <w:r>
        <w:rPr>
          <w:spacing w:val="-3"/>
          <w:sz w:val="20"/>
        </w:rPr>
        <w:t xml:space="preserve"> </w:t>
      </w:r>
      <w:r>
        <w:rPr>
          <w:sz w:val="20"/>
        </w:rPr>
        <w:t>del</w:t>
      </w:r>
      <w:r>
        <w:rPr>
          <w:spacing w:val="-3"/>
          <w:sz w:val="20"/>
        </w:rPr>
        <w:t xml:space="preserve"> </w:t>
      </w:r>
      <w:r>
        <w:rPr>
          <w:spacing w:val="-2"/>
          <w:sz w:val="20"/>
        </w:rPr>
        <w:t>jurado.</w:t>
      </w:r>
    </w:p>
    <w:p w:rsidR="0092635B" w:rsidRDefault="00000000">
      <w:pPr>
        <w:pStyle w:val="Prrafodelista"/>
        <w:numPr>
          <w:ilvl w:val="0"/>
          <w:numId w:val="8"/>
        </w:numPr>
        <w:tabs>
          <w:tab w:val="left" w:pos="1779"/>
        </w:tabs>
        <w:spacing w:before="10"/>
        <w:ind w:left="1779" w:right="0" w:hanging="333"/>
        <w:rPr>
          <w:sz w:val="20"/>
        </w:rPr>
      </w:pPr>
      <w:r>
        <w:rPr>
          <w:sz w:val="20"/>
        </w:rPr>
        <w:t>Número</w:t>
      </w:r>
      <w:r>
        <w:rPr>
          <w:spacing w:val="-3"/>
          <w:sz w:val="20"/>
        </w:rPr>
        <w:t xml:space="preserve"> </w:t>
      </w:r>
      <w:r>
        <w:rPr>
          <w:sz w:val="20"/>
        </w:rPr>
        <w:t>de</w:t>
      </w:r>
      <w:r>
        <w:rPr>
          <w:spacing w:val="-3"/>
          <w:sz w:val="20"/>
        </w:rPr>
        <w:t xml:space="preserve"> </w:t>
      </w:r>
      <w:r>
        <w:rPr>
          <w:spacing w:val="-2"/>
          <w:sz w:val="20"/>
        </w:rPr>
        <w:t>participantes.</w:t>
      </w:r>
    </w:p>
    <w:p w:rsidR="0092635B" w:rsidRDefault="00000000">
      <w:pPr>
        <w:pStyle w:val="Prrafodelista"/>
        <w:numPr>
          <w:ilvl w:val="1"/>
          <w:numId w:val="8"/>
        </w:numPr>
        <w:tabs>
          <w:tab w:val="left" w:pos="1679"/>
        </w:tabs>
        <w:spacing w:before="130"/>
        <w:ind w:right="0" w:hanging="233"/>
        <w:jc w:val="both"/>
        <w:rPr>
          <w:sz w:val="20"/>
        </w:rPr>
      </w:pPr>
      <w:r>
        <w:rPr>
          <w:sz w:val="20"/>
        </w:rPr>
        <w:t>Número</w:t>
      </w:r>
      <w:r>
        <w:rPr>
          <w:spacing w:val="-3"/>
          <w:sz w:val="20"/>
        </w:rPr>
        <w:t xml:space="preserve"> </w:t>
      </w:r>
      <w:r>
        <w:rPr>
          <w:sz w:val="20"/>
        </w:rPr>
        <w:t>de</w:t>
      </w:r>
      <w:r>
        <w:rPr>
          <w:spacing w:val="-2"/>
          <w:sz w:val="20"/>
        </w:rPr>
        <w:t xml:space="preserve"> </w:t>
      </w:r>
      <w:r>
        <w:rPr>
          <w:sz w:val="20"/>
        </w:rPr>
        <w:t>participantes</w:t>
      </w:r>
      <w:r>
        <w:rPr>
          <w:spacing w:val="-2"/>
          <w:sz w:val="20"/>
        </w:rPr>
        <w:t xml:space="preserve"> </w:t>
      </w:r>
      <w:r>
        <w:rPr>
          <w:sz w:val="20"/>
        </w:rPr>
        <w:t>que</w:t>
      </w:r>
      <w:r>
        <w:rPr>
          <w:spacing w:val="-2"/>
          <w:sz w:val="20"/>
        </w:rPr>
        <w:t xml:space="preserve"> </w:t>
      </w:r>
      <w:r>
        <w:rPr>
          <w:sz w:val="20"/>
        </w:rPr>
        <w:t>sean</w:t>
      </w:r>
      <w:r>
        <w:rPr>
          <w:spacing w:val="-2"/>
          <w:sz w:val="20"/>
        </w:rPr>
        <w:t xml:space="preserve"> PYME.</w:t>
      </w:r>
    </w:p>
    <w:p w:rsidR="0092635B" w:rsidRDefault="00000000">
      <w:pPr>
        <w:pStyle w:val="Prrafodelista"/>
        <w:numPr>
          <w:ilvl w:val="1"/>
          <w:numId w:val="8"/>
        </w:numPr>
        <w:tabs>
          <w:tab w:val="left" w:pos="1679"/>
        </w:tabs>
        <w:spacing w:before="10"/>
        <w:ind w:right="0" w:hanging="233"/>
        <w:jc w:val="both"/>
        <w:rPr>
          <w:sz w:val="20"/>
        </w:rPr>
      </w:pPr>
      <w:r>
        <w:rPr>
          <w:sz w:val="20"/>
        </w:rPr>
        <w:t>Número</w:t>
      </w:r>
      <w:r>
        <w:rPr>
          <w:spacing w:val="-2"/>
          <w:sz w:val="20"/>
        </w:rPr>
        <w:t xml:space="preserve"> </w:t>
      </w:r>
      <w:r>
        <w:rPr>
          <w:sz w:val="20"/>
        </w:rPr>
        <w:t>de</w:t>
      </w:r>
      <w:r>
        <w:rPr>
          <w:spacing w:val="-2"/>
          <w:sz w:val="20"/>
        </w:rPr>
        <w:t xml:space="preserve"> </w:t>
      </w:r>
      <w:r>
        <w:rPr>
          <w:sz w:val="20"/>
        </w:rPr>
        <w:t>participantes</w:t>
      </w:r>
      <w:r>
        <w:rPr>
          <w:spacing w:val="-2"/>
          <w:sz w:val="20"/>
        </w:rPr>
        <w:t xml:space="preserve"> extranjeros.</w:t>
      </w:r>
    </w:p>
    <w:p w:rsidR="0092635B" w:rsidRDefault="00000000">
      <w:pPr>
        <w:pStyle w:val="Prrafodelista"/>
        <w:numPr>
          <w:ilvl w:val="0"/>
          <w:numId w:val="8"/>
        </w:numPr>
        <w:tabs>
          <w:tab w:val="left" w:pos="1821"/>
        </w:tabs>
        <w:spacing w:before="130" w:line="249" w:lineRule="auto"/>
        <w:ind w:firstLine="340"/>
        <w:jc w:val="both"/>
        <w:rPr>
          <w:sz w:val="20"/>
        </w:rPr>
      </w:pPr>
      <w:r>
        <w:rPr>
          <w:sz w:val="20"/>
        </w:rPr>
        <w:t>Nombre, dirección, incluido código NUTS, NIF, número de teléfono y de fax, y dirección electrónica y de internet del ganador o los ganadores del concurso e indicación de si se trata de pequeñas y medianas empresas.</w:t>
      </w:r>
    </w:p>
    <w:p w:rsidR="0092635B" w:rsidRDefault="00000000">
      <w:pPr>
        <w:pStyle w:val="Prrafodelista"/>
        <w:numPr>
          <w:ilvl w:val="0"/>
          <w:numId w:val="8"/>
        </w:numPr>
        <w:tabs>
          <w:tab w:val="left" w:pos="1806"/>
        </w:tabs>
        <w:spacing w:before="3" w:line="249" w:lineRule="auto"/>
        <w:ind w:right="1106" w:firstLine="340"/>
        <w:jc w:val="both"/>
        <w:rPr>
          <w:sz w:val="20"/>
        </w:rPr>
      </w:pPr>
      <w:r>
        <w:rPr>
          <w:sz w:val="20"/>
        </w:rPr>
        <w:t>Información sobre si el concurso de proyectos está relacionado con un proyecto o programa financiado con fondos de la Unión Europea.</w:t>
      </w:r>
    </w:p>
    <w:p w:rsidR="0092635B" w:rsidRDefault="00000000">
      <w:pPr>
        <w:pStyle w:val="Prrafodelista"/>
        <w:numPr>
          <w:ilvl w:val="0"/>
          <w:numId w:val="8"/>
        </w:numPr>
        <w:tabs>
          <w:tab w:val="left" w:pos="1810"/>
        </w:tabs>
        <w:spacing w:before="1" w:line="249" w:lineRule="auto"/>
        <w:ind w:firstLine="340"/>
        <w:jc w:val="both"/>
        <w:rPr>
          <w:sz w:val="20"/>
        </w:rPr>
      </w:pPr>
      <w:r>
        <w:rPr>
          <w:sz w:val="20"/>
        </w:rPr>
        <w:t>Fechas y referencias de publicaciones anteriores en el «Diario Oficial de la Unión Europea» relevantes para el proyecto o los proyectos que se den a conocer en el anuncio.</w:t>
      </w:r>
    </w:p>
    <w:p w:rsidR="0092635B" w:rsidRDefault="00000000">
      <w:pPr>
        <w:pStyle w:val="Prrafodelista"/>
        <w:numPr>
          <w:ilvl w:val="0"/>
          <w:numId w:val="8"/>
        </w:numPr>
        <w:tabs>
          <w:tab w:val="left" w:pos="1779"/>
        </w:tabs>
        <w:ind w:left="1779" w:right="0" w:hanging="333"/>
        <w:jc w:val="both"/>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8"/>
        </w:numPr>
        <w:tabs>
          <w:tab w:val="left" w:pos="1779"/>
        </w:tabs>
        <w:spacing w:before="10"/>
        <w:ind w:left="1779" w:right="0" w:hanging="333"/>
        <w:jc w:val="both"/>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20"/>
        <w:jc w:val="left"/>
      </w:pPr>
      <w:r>
        <w:t>Sección 10. Información que debe figurar en los anuncios de modificación de un contrato durante su vigencia:</w:t>
      </w:r>
    </w:p>
    <w:p w:rsidR="0092635B" w:rsidRDefault="00000000">
      <w:pPr>
        <w:pStyle w:val="Prrafodelista"/>
        <w:numPr>
          <w:ilvl w:val="0"/>
          <w:numId w:val="7"/>
        </w:numPr>
        <w:tabs>
          <w:tab w:val="left" w:pos="1738"/>
        </w:tabs>
        <w:spacing w:before="122" w:line="249" w:lineRule="auto"/>
        <w:ind w:right="1102" w:firstLine="340"/>
        <w:jc w:val="both"/>
        <w:rPr>
          <w:sz w:val="20"/>
        </w:rPr>
      </w:pPr>
      <w:r>
        <w:rPr>
          <w:sz w:val="20"/>
        </w:rPr>
        <w:t>Nombre, número de identificación, dirección, incluido código NUTS, número de teléfono</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fax,</w:t>
      </w:r>
      <w:r>
        <w:rPr>
          <w:spacing w:val="-2"/>
          <w:sz w:val="20"/>
        </w:rPr>
        <w:t xml:space="preserve"> </w:t>
      </w:r>
      <w:r>
        <w:rPr>
          <w:sz w:val="20"/>
        </w:rPr>
        <w:t>y</w:t>
      </w:r>
      <w:r>
        <w:rPr>
          <w:spacing w:val="-2"/>
          <w:sz w:val="20"/>
        </w:rPr>
        <w:t xml:space="preserve"> </w:t>
      </w:r>
      <w:r>
        <w:rPr>
          <w:sz w:val="20"/>
        </w:rPr>
        <w:t>dirección</w:t>
      </w:r>
      <w:r>
        <w:rPr>
          <w:spacing w:val="-2"/>
          <w:sz w:val="20"/>
        </w:rPr>
        <w:t xml:space="preserve"> </w:t>
      </w:r>
      <w:r>
        <w:rPr>
          <w:sz w:val="20"/>
        </w:rPr>
        <w:t>electrónica</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internet</w:t>
      </w:r>
      <w:r>
        <w:rPr>
          <w:spacing w:val="-2"/>
          <w:sz w:val="20"/>
        </w:rPr>
        <w:t xml:space="preserve"> </w:t>
      </w:r>
      <w:r>
        <w:rPr>
          <w:sz w:val="20"/>
        </w:rPr>
        <w:t>del</w:t>
      </w:r>
      <w:r>
        <w:rPr>
          <w:spacing w:val="-2"/>
          <w:sz w:val="20"/>
        </w:rPr>
        <w:t xml:space="preserve"> </w:t>
      </w:r>
      <w:r>
        <w:rPr>
          <w:sz w:val="20"/>
        </w:rPr>
        <w:t>poder</w:t>
      </w:r>
      <w:r>
        <w:rPr>
          <w:spacing w:val="-2"/>
          <w:sz w:val="20"/>
        </w:rPr>
        <w:t xml:space="preserve"> </w:t>
      </w:r>
      <w:r>
        <w:rPr>
          <w:sz w:val="20"/>
        </w:rPr>
        <w:t>adjudicador</w:t>
      </w:r>
      <w:r>
        <w:rPr>
          <w:spacing w:val="-2"/>
          <w:sz w:val="20"/>
        </w:rPr>
        <w:t xml:space="preserve"> </w:t>
      </w:r>
      <w:r>
        <w:rPr>
          <w:sz w:val="20"/>
        </w:rPr>
        <w:t>y,</w:t>
      </w:r>
      <w:r>
        <w:rPr>
          <w:spacing w:val="-2"/>
          <w:sz w:val="20"/>
        </w:rPr>
        <w:t xml:space="preserve"> </w:t>
      </w:r>
      <w:r>
        <w:rPr>
          <w:sz w:val="20"/>
        </w:rPr>
        <w:t>en</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ser diferente, del servicio del que pueda obtenerse información complementaria.</w:t>
      </w:r>
    </w:p>
    <w:p w:rsidR="0092635B" w:rsidRDefault="00000000">
      <w:pPr>
        <w:pStyle w:val="Prrafodelista"/>
        <w:numPr>
          <w:ilvl w:val="0"/>
          <w:numId w:val="7"/>
        </w:numPr>
        <w:tabs>
          <w:tab w:val="left" w:pos="1668"/>
        </w:tabs>
        <w:ind w:left="1668" w:right="0" w:hanging="222"/>
        <w:jc w:val="both"/>
        <w:rPr>
          <w:sz w:val="20"/>
        </w:rPr>
      </w:pPr>
      <w:r>
        <w:rPr>
          <w:sz w:val="20"/>
        </w:rPr>
        <w:t>Códigos</w:t>
      </w:r>
      <w:r>
        <w:rPr>
          <w:spacing w:val="-2"/>
          <w:sz w:val="20"/>
        </w:rPr>
        <w:t xml:space="preserve"> </w:t>
      </w:r>
      <w:r>
        <w:rPr>
          <w:spacing w:val="-4"/>
          <w:sz w:val="20"/>
        </w:rPr>
        <w:t>CPV.</w:t>
      </w:r>
    </w:p>
    <w:p w:rsidR="0092635B" w:rsidRDefault="00000000">
      <w:pPr>
        <w:pStyle w:val="Prrafodelista"/>
        <w:numPr>
          <w:ilvl w:val="0"/>
          <w:numId w:val="7"/>
        </w:numPr>
        <w:tabs>
          <w:tab w:val="left" w:pos="1670"/>
        </w:tabs>
        <w:spacing w:before="10" w:line="249" w:lineRule="auto"/>
        <w:ind w:firstLine="340"/>
        <w:jc w:val="both"/>
        <w:rPr>
          <w:sz w:val="20"/>
        </w:rPr>
      </w:pPr>
      <w:r>
        <w:rPr>
          <w:sz w:val="20"/>
        </w:rPr>
        <w:t>Código</w:t>
      </w:r>
      <w:r>
        <w:rPr>
          <w:spacing w:val="-1"/>
          <w:sz w:val="20"/>
        </w:rPr>
        <w:t xml:space="preserve"> </w:t>
      </w:r>
      <w:r>
        <w:rPr>
          <w:sz w:val="20"/>
        </w:rPr>
        <w:t>NUTS</w:t>
      </w:r>
      <w:r>
        <w:rPr>
          <w:spacing w:val="-1"/>
          <w:sz w:val="20"/>
        </w:rPr>
        <w:t xml:space="preserve"> </w:t>
      </w:r>
      <w:r>
        <w:rPr>
          <w:sz w:val="20"/>
        </w:rPr>
        <w:t>del</w:t>
      </w:r>
      <w:r>
        <w:rPr>
          <w:spacing w:val="-1"/>
          <w:sz w:val="20"/>
        </w:rPr>
        <w:t xml:space="preserve"> </w:t>
      </w:r>
      <w:r>
        <w:rPr>
          <w:sz w:val="20"/>
        </w:rPr>
        <w:t>emplazamiento</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obras,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contratos</w:t>
      </w:r>
      <w:r>
        <w:rPr>
          <w:spacing w:val="-1"/>
          <w:sz w:val="20"/>
        </w:rPr>
        <w:t xml:space="preserve"> </w:t>
      </w:r>
      <w:r>
        <w:rPr>
          <w:sz w:val="20"/>
        </w:rPr>
        <w:t>de obras, o código NUTS del lugar principal de entrega o de ejecución en los contratos de suministro y de servicios.</w:t>
      </w:r>
    </w:p>
    <w:p w:rsidR="0092635B" w:rsidRDefault="00000000">
      <w:pPr>
        <w:pStyle w:val="Prrafodelista"/>
        <w:numPr>
          <w:ilvl w:val="0"/>
          <w:numId w:val="7"/>
        </w:numPr>
        <w:tabs>
          <w:tab w:val="left" w:pos="1723"/>
        </w:tabs>
        <w:spacing w:before="3" w:line="249" w:lineRule="auto"/>
        <w:ind w:firstLine="340"/>
        <w:jc w:val="both"/>
        <w:rPr>
          <w:sz w:val="20"/>
        </w:rPr>
      </w:pPr>
      <w:r>
        <w:rPr>
          <w:sz w:val="20"/>
        </w:rPr>
        <w:t>Descripción de la contratación antes y después de la modificación: naturaleza y alcance de las obras, naturaleza y cantidad o valor de los suministros, naturaleza y alcance de los servicios.</w:t>
      </w:r>
    </w:p>
    <w:p w:rsidR="0092635B" w:rsidRDefault="00000000">
      <w:pPr>
        <w:pStyle w:val="Prrafodelista"/>
        <w:numPr>
          <w:ilvl w:val="0"/>
          <w:numId w:val="7"/>
        </w:numPr>
        <w:tabs>
          <w:tab w:val="left" w:pos="1668"/>
        </w:tabs>
        <w:ind w:left="1668" w:right="0" w:hanging="222"/>
        <w:rPr>
          <w:sz w:val="20"/>
        </w:rPr>
      </w:pPr>
      <w:r>
        <w:rPr>
          <w:sz w:val="20"/>
        </w:rPr>
        <w:t>Cuando</w:t>
      </w:r>
      <w:r>
        <w:rPr>
          <w:spacing w:val="-4"/>
          <w:sz w:val="20"/>
        </w:rPr>
        <w:t xml:space="preserve"> </w:t>
      </w:r>
      <w:r>
        <w:rPr>
          <w:sz w:val="20"/>
        </w:rPr>
        <w:t>proceda,</w:t>
      </w:r>
      <w:r>
        <w:rPr>
          <w:spacing w:val="-3"/>
          <w:sz w:val="20"/>
        </w:rPr>
        <w:t xml:space="preserve"> </w:t>
      </w:r>
      <w:r>
        <w:rPr>
          <w:sz w:val="20"/>
        </w:rPr>
        <w:t>incremento</w:t>
      </w:r>
      <w:r>
        <w:rPr>
          <w:spacing w:val="-4"/>
          <w:sz w:val="20"/>
        </w:rPr>
        <w:t xml:space="preserve"> </w:t>
      </w:r>
      <w:r>
        <w:rPr>
          <w:sz w:val="20"/>
        </w:rPr>
        <w:t>de</w:t>
      </w:r>
      <w:r>
        <w:rPr>
          <w:spacing w:val="-3"/>
          <w:sz w:val="20"/>
        </w:rPr>
        <w:t xml:space="preserve"> </w:t>
      </w:r>
      <w:r>
        <w:rPr>
          <w:sz w:val="20"/>
        </w:rPr>
        <w:t>precio</w:t>
      </w:r>
      <w:r>
        <w:rPr>
          <w:spacing w:val="-3"/>
          <w:sz w:val="20"/>
        </w:rPr>
        <w:t xml:space="preserve"> </w:t>
      </w:r>
      <w:r>
        <w:rPr>
          <w:sz w:val="20"/>
        </w:rPr>
        <w:t>causado</w:t>
      </w:r>
      <w:r>
        <w:rPr>
          <w:spacing w:val="-4"/>
          <w:sz w:val="20"/>
        </w:rPr>
        <w:t xml:space="preserve"> </w:t>
      </w:r>
      <w:r>
        <w:rPr>
          <w:sz w:val="20"/>
        </w:rPr>
        <w:t>por</w:t>
      </w:r>
      <w:r>
        <w:rPr>
          <w:spacing w:val="-3"/>
          <w:sz w:val="20"/>
        </w:rPr>
        <w:t xml:space="preserve"> </w:t>
      </w:r>
      <w:r>
        <w:rPr>
          <w:sz w:val="20"/>
        </w:rPr>
        <w:t>la</w:t>
      </w:r>
      <w:r>
        <w:rPr>
          <w:spacing w:val="-3"/>
          <w:sz w:val="20"/>
        </w:rPr>
        <w:t xml:space="preserve"> </w:t>
      </w:r>
      <w:r>
        <w:rPr>
          <w:spacing w:val="-2"/>
          <w:sz w:val="20"/>
        </w:rPr>
        <w:t>modificación.</w:t>
      </w:r>
    </w:p>
    <w:p w:rsidR="0092635B" w:rsidRDefault="00000000">
      <w:pPr>
        <w:pStyle w:val="Prrafodelista"/>
        <w:numPr>
          <w:ilvl w:val="0"/>
          <w:numId w:val="7"/>
        </w:numPr>
        <w:tabs>
          <w:tab w:val="left" w:pos="1668"/>
        </w:tabs>
        <w:spacing w:before="10"/>
        <w:ind w:left="1668" w:right="0" w:hanging="222"/>
        <w:rPr>
          <w:sz w:val="20"/>
        </w:rPr>
      </w:pPr>
      <w:r>
        <w:rPr>
          <w:sz w:val="20"/>
        </w:rPr>
        <w:t>Descripción</w:t>
      </w:r>
      <w:r>
        <w:rPr>
          <w:spacing w:val="-4"/>
          <w:sz w:val="20"/>
        </w:rPr>
        <w:t xml:space="preserve"> </w:t>
      </w:r>
      <w:r>
        <w:rPr>
          <w:sz w:val="20"/>
        </w:rPr>
        <w:t>de</w:t>
      </w:r>
      <w:r>
        <w:rPr>
          <w:spacing w:val="-3"/>
          <w:sz w:val="20"/>
        </w:rPr>
        <w:t xml:space="preserve"> </w:t>
      </w:r>
      <w:r>
        <w:rPr>
          <w:sz w:val="20"/>
        </w:rPr>
        <w:t>las</w:t>
      </w:r>
      <w:r>
        <w:rPr>
          <w:spacing w:val="-3"/>
          <w:sz w:val="20"/>
        </w:rPr>
        <w:t xml:space="preserve"> </w:t>
      </w:r>
      <w:r>
        <w:rPr>
          <w:sz w:val="20"/>
        </w:rPr>
        <w:t>circunstancias</w:t>
      </w:r>
      <w:r>
        <w:rPr>
          <w:spacing w:val="-3"/>
          <w:sz w:val="20"/>
        </w:rPr>
        <w:t xml:space="preserve"> </w:t>
      </w:r>
      <w:r>
        <w:rPr>
          <w:sz w:val="20"/>
        </w:rPr>
        <w:t>que</w:t>
      </w:r>
      <w:r>
        <w:rPr>
          <w:spacing w:val="-3"/>
          <w:sz w:val="20"/>
        </w:rPr>
        <w:t xml:space="preserve"> </w:t>
      </w:r>
      <w:r>
        <w:rPr>
          <w:sz w:val="20"/>
        </w:rPr>
        <w:t>han</w:t>
      </w:r>
      <w:r>
        <w:rPr>
          <w:spacing w:val="-3"/>
          <w:sz w:val="20"/>
        </w:rPr>
        <w:t xml:space="preserve"> </w:t>
      </w:r>
      <w:r>
        <w:rPr>
          <w:sz w:val="20"/>
        </w:rPr>
        <w:t>hecho</w:t>
      </w:r>
      <w:r>
        <w:rPr>
          <w:spacing w:val="-3"/>
          <w:sz w:val="20"/>
        </w:rPr>
        <w:t xml:space="preserve"> </w:t>
      </w:r>
      <w:r>
        <w:rPr>
          <w:sz w:val="20"/>
        </w:rPr>
        <w:t>necesaria</w:t>
      </w:r>
      <w:r>
        <w:rPr>
          <w:spacing w:val="-3"/>
          <w:sz w:val="20"/>
        </w:rPr>
        <w:t xml:space="preserve"> </w:t>
      </w:r>
      <w:r>
        <w:rPr>
          <w:sz w:val="20"/>
        </w:rPr>
        <w:t>la</w:t>
      </w:r>
      <w:r>
        <w:rPr>
          <w:spacing w:val="-3"/>
          <w:sz w:val="20"/>
        </w:rPr>
        <w:t xml:space="preserve"> </w:t>
      </w:r>
      <w:r>
        <w:rPr>
          <w:spacing w:val="-2"/>
          <w:sz w:val="20"/>
        </w:rPr>
        <w:t>modificación.</w:t>
      </w:r>
    </w:p>
    <w:p w:rsidR="0092635B" w:rsidRDefault="00000000">
      <w:pPr>
        <w:pStyle w:val="Prrafodelista"/>
        <w:numPr>
          <w:ilvl w:val="0"/>
          <w:numId w:val="7"/>
        </w:numPr>
        <w:tabs>
          <w:tab w:val="left" w:pos="1668"/>
        </w:tabs>
        <w:spacing w:before="10"/>
        <w:ind w:left="1668" w:right="0" w:hanging="222"/>
        <w:rPr>
          <w:sz w:val="20"/>
        </w:rPr>
      </w:pPr>
      <w:r>
        <w:rPr>
          <w:sz w:val="20"/>
        </w:rPr>
        <w:t>Fecha</w:t>
      </w:r>
      <w:r>
        <w:rPr>
          <w:spacing w:val="-5"/>
          <w:sz w:val="20"/>
        </w:rPr>
        <w:t xml:space="preserve"> </w:t>
      </w:r>
      <w:r>
        <w:rPr>
          <w:sz w:val="20"/>
        </w:rPr>
        <w:t>de</w:t>
      </w:r>
      <w:r>
        <w:rPr>
          <w:spacing w:val="-4"/>
          <w:sz w:val="20"/>
        </w:rPr>
        <w:t xml:space="preserve"> </w:t>
      </w:r>
      <w:r>
        <w:rPr>
          <w:sz w:val="20"/>
        </w:rPr>
        <w:t>adjudicación</w:t>
      </w:r>
      <w:r>
        <w:rPr>
          <w:spacing w:val="-5"/>
          <w:sz w:val="20"/>
        </w:rPr>
        <w:t xml:space="preserve"> </w:t>
      </w:r>
      <w:r>
        <w:rPr>
          <w:sz w:val="20"/>
        </w:rPr>
        <w:t>del</w:t>
      </w:r>
      <w:r>
        <w:rPr>
          <w:spacing w:val="-4"/>
          <w:sz w:val="20"/>
        </w:rPr>
        <w:t xml:space="preserve"> </w:t>
      </w:r>
      <w:r>
        <w:rPr>
          <w:spacing w:val="-2"/>
          <w:sz w:val="20"/>
        </w:rPr>
        <w:t>contrato.</w:t>
      </w:r>
    </w:p>
    <w:p w:rsidR="0092635B" w:rsidRDefault="00000000">
      <w:pPr>
        <w:pStyle w:val="Prrafodelista"/>
        <w:numPr>
          <w:ilvl w:val="0"/>
          <w:numId w:val="7"/>
        </w:numPr>
        <w:tabs>
          <w:tab w:val="left" w:pos="1681"/>
        </w:tabs>
        <w:spacing w:before="10" w:line="249" w:lineRule="auto"/>
        <w:ind w:firstLine="340"/>
        <w:jc w:val="both"/>
        <w:rPr>
          <w:sz w:val="20"/>
        </w:rPr>
      </w:pPr>
      <w:r>
        <w:rPr>
          <w:sz w:val="20"/>
        </w:rPr>
        <w:t>Cuando proceda, nombre y dirección, incluido código NUTS, NIF, número de teléfono</w:t>
      </w:r>
      <w:r>
        <w:rPr>
          <w:spacing w:val="40"/>
          <w:sz w:val="20"/>
        </w:rPr>
        <w:t xml:space="preserve"> </w:t>
      </w:r>
      <w:r>
        <w:rPr>
          <w:sz w:val="20"/>
        </w:rPr>
        <w:t>y fax, dirección electrónica y de internet del nuevo operador u operadores económicos.</w:t>
      </w:r>
    </w:p>
    <w:p w:rsidR="0092635B" w:rsidRDefault="00000000">
      <w:pPr>
        <w:pStyle w:val="Prrafodelista"/>
        <w:numPr>
          <w:ilvl w:val="0"/>
          <w:numId w:val="7"/>
        </w:numPr>
        <w:tabs>
          <w:tab w:val="left" w:pos="1737"/>
        </w:tabs>
        <w:spacing w:line="249" w:lineRule="auto"/>
        <w:ind w:right="1105" w:firstLine="340"/>
        <w:jc w:val="both"/>
        <w:rPr>
          <w:sz w:val="20"/>
        </w:rPr>
      </w:pPr>
      <w:r>
        <w:rPr>
          <w:sz w:val="20"/>
        </w:rPr>
        <w:t>Información sobre si el contrato está relacionado con un proyecto o programa financiado con fondos de la Unión.</w:t>
      </w:r>
    </w:p>
    <w:p w:rsidR="0092635B" w:rsidRDefault="00000000">
      <w:pPr>
        <w:pStyle w:val="Prrafodelista"/>
        <w:numPr>
          <w:ilvl w:val="0"/>
          <w:numId w:val="7"/>
        </w:numPr>
        <w:tabs>
          <w:tab w:val="left" w:pos="1804"/>
        </w:tabs>
        <w:spacing w:before="1" w:line="249" w:lineRule="auto"/>
        <w:ind w:right="1102" w:firstLine="340"/>
        <w:jc w:val="both"/>
        <w:rPr>
          <w:sz w:val="20"/>
        </w:rPr>
      </w:pPr>
      <w:r>
        <w:rPr>
          <w:sz w:val="20"/>
        </w:rPr>
        <w:t>Nombre y dirección del organismo de supervisión y del órgano responsable de los procedimientos de recurso y, en su caso, de mediación. Indicación del plazo de presentación de recursos o, en caso necesario, el nombre, la dirección, los números de teléfono y de fax y la dirección electrónica del servicio del que pueda obtenerse dicha información.</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Prrafodelista"/>
        <w:numPr>
          <w:ilvl w:val="0"/>
          <w:numId w:val="7"/>
        </w:numPr>
        <w:tabs>
          <w:tab w:val="left" w:pos="1796"/>
        </w:tabs>
        <w:spacing w:before="1" w:line="249" w:lineRule="auto"/>
        <w:ind w:right="1105" w:firstLine="340"/>
        <w:rPr>
          <w:sz w:val="20"/>
        </w:rPr>
      </w:pPr>
      <w:r>
        <w:rPr>
          <w:sz w:val="20"/>
        </w:rPr>
        <w:t>Fechas</w:t>
      </w:r>
      <w:r>
        <w:rPr>
          <w:spacing w:val="29"/>
          <w:sz w:val="20"/>
        </w:rPr>
        <w:t xml:space="preserve"> </w:t>
      </w:r>
      <w:r>
        <w:rPr>
          <w:sz w:val="20"/>
        </w:rPr>
        <w:t>y</w:t>
      </w:r>
      <w:r>
        <w:rPr>
          <w:spacing w:val="29"/>
          <w:sz w:val="20"/>
        </w:rPr>
        <w:t xml:space="preserve"> </w:t>
      </w:r>
      <w:r>
        <w:rPr>
          <w:sz w:val="20"/>
        </w:rPr>
        <w:t>referencias</w:t>
      </w:r>
      <w:r>
        <w:rPr>
          <w:spacing w:val="29"/>
          <w:sz w:val="20"/>
        </w:rPr>
        <w:t xml:space="preserve"> </w:t>
      </w:r>
      <w:r>
        <w:rPr>
          <w:sz w:val="20"/>
        </w:rPr>
        <w:t>de</w:t>
      </w:r>
      <w:r>
        <w:rPr>
          <w:spacing w:val="29"/>
          <w:sz w:val="20"/>
        </w:rPr>
        <w:t xml:space="preserve"> </w:t>
      </w:r>
      <w:r>
        <w:rPr>
          <w:sz w:val="20"/>
        </w:rPr>
        <w:t>publicaciones</w:t>
      </w:r>
      <w:r>
        <w:rPr>
          <w:spacing w:val="29"/>
          <w:sz w:val="20"/>
        </w:rPr>
        <w:t xml:space="preserve"> </w:t>
      </w:r>
      <w:r>
        <w:rPr>
          <w:sz w:val="20"/>
        </w:rPr>
        <w:t>anteriores</w:t>
      </w:r>
      <w:r>
        <w:rPr>
          <w:spacing w:val="29"/>
          <w:sz w:val="20"/>
        </w:rPr>
        <w:t xml:space="preserve"> </w:t>
      </w:r>
      <w:r>
        <w:rPr>
          <w:sz w:val="20"/>
        </w:rPr>
        <w:t>en</w:t>
      </w:r>
      <w:r>
        <w:rPr>
          <w:spacing w:val="29"/>
          <w:sz w:val="20"/>
        </w:rPr>
        <w:t xml:space="preserve"> </w:t>
      </w:r>
      <w:r>
        <w:rPr>
          <w:sz w:val="20"/>
        </w:rPr>
        <w:t>el</w:t>
      </w:r>
      <w:r>
        <w:rPr>
          <w:spacing w:val="29"/>
          <w:sz w:val="20"/>
        </w:rPr>
        <w:t xml:space="preserve"> </w:t>
      </w:r>
      <w:r>
        <w:rPr>
          <w:sz w:val="20"/>
        </w:rPr>
        <w:t>«Diario</w:t>
      </w:r>
      <w:r>
        <w:rPr>
          <w:spacing w:val="29"/>
          <w:sz w:val="20"/>
        </w:rPr>
        <w:t xml:space="preserve"> </w:t>
      </w:r>
      <w:r>
        <w:rPr>
          <w:sz w:val="20"/>
        </w:rPr>
        <w:t>Oficial</w:t>
      </w:r>
      <w:r>
        <w:rPr>
          <w:spacing w:val="29"/>
          <w:sz w:val="20"/>
        </w:rPr>
        <w:t xml:space="preserve"> </w:t>
      </w:r>
      <w:r>
        <w:rPr>
          <w:sz w:val="20"/>
        </w:rPr>
        <w:t>de</w:t>
      </w:r>
      <w:r>
        <w:rPr>
          <w:spacing w:val="29"/>
          <w:sz w:val="20"/>
        </w:rPr>
        <w:t xml:space="preserve"> </w:t>
      </w:r>
      <w:r>
        <w:rPr>
          <w:sz w:val="20"/>
        </w:rPr>
        <w:t>la</w:t>
      </w:r>
      <w:r>
        <w:rPr>
          <w:spacing w:val="29"/>
          <w:sz w:val="20"/>
        </w:rPr>
        <w:t xml:space="preserve"> </w:t>
      </w:r>
      <w:r>
        <w:rPr>
          <w:sz w:val="20"/>
        </w:rPr>
        <w:t>Unión Europea» relevantes para el contrato o los contratos que se den a conocer en el anuncio.</w:t>
      </w:r>
    </w:p>
    <w:p w:rsidR="0092635B" w:rsidRDefault="00000000">
      <w:pPr>
        <w:pStyle w:val="Prrafodelista"/>
        <w:numPr>
          <w:ilvl w:val="0"/>
          <w:numId w:val="7"/>
        </w:numPr>
        <w:tabs>
          <w:tab w:val="left" w:pos="1779"/>
        </w:tabs>
        <w:spacing w:before="1"/>
        <w:ind w:left="1779" w:right="0" w:hanging="333"/>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7"/>
        </w:numPr>
        <w:tabs>
          <w:tab w:val="left" w:pos="1779"/>
        </w:tabs>
        <w:spacing w:before="10"/>
        <w:ind w:left="1779" w:right="0" w:hanging="333"/>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Prrafodelista"/>
        <w:numPr>
          <w:ilvl w:val="0"/>
          <w:numId w:val="16"/>
        </w:numPr>
        <w:tabs>
          <w:tab w:val="left" w:pos="1803"/>
        </w:tabs>
        <w:spacing w:before="130" w:line="249" w:lineRule="auto"/>
        <w:ind w:right="1104" w:firstLine="340"/>
        <w:rPr>
          <w:sz w:val="20"/>
        </w:rPr>
      </w:pPr>
      <w:r>
        <w:rPr>
          <w:sz w:val="20"/>
        </w:rPr>
        <w:t>Información</w:t>
      </w:r>
      <w:r>
        <w:rPr>
          <w:spacing w:val="80"/>
          <w:sz w:val="20"/>
        </w:rPr>
        <w:t xml:space="preserve"> </w:t>
      </w:r>
      <w:r>
        <w:rPr>
          <w:sz w:val="20"/>
        </w:rPr>
        <w:t>que</w:t>
      </w:r>
      <w:r>
        <w:rPr>
          <w:spacing w:val="80"/>
          <w:sz w:val="20"/>
        </w:rPr>
        <w:t xml:space="preserve"> </w:t>
      </w:r>
      <w:r>
        <w:rPr>
          <w:sz w:val="20"/>
        </w:rPr>
        <w:t>debe</w:t>
      </w:r>
      <w:r>
        <w:rPr>
          <w:spacing w:val="80"/>
          <w:sz w:val="20"/>
        </w:rPr>
        <w:t xml:space="preserve"> </w:t>
      </w:r>
      <w:r>
        <w:rPr>
          <w:sz w:val="20"/>
        </w:rPr>
        <w:t>figurar</w:t>
      </w:r>
      <w:r>
        <w:rPr>
          <w:spacing w:val="80"/>
          <w:sz w:val="20"/>
        </w:rPr>
        <w:t xml:space="preserve"> </w:t>
      </w:r>
      <w:r>
        <w:rPr>
          <w:sz w:val="20"/>
        </w:rPr>
        <w:t>en</w:t>
      </w:r>
      <w:r>
        <w:rPr>
          <w:spacing w:val="80"/>
          <w:sz w:val="20"/>
        </w:rPr>
        <w:t xml:space="preserve"> </w:t>
      </w:r>
      <w:r>
        <w:rPr>
          <w:sz w:val="20"/>
        </w:rPr>
        <w:t>los</w:t>
      </w:r>
      <w:r>
        <w:rPr>
          <w:spacing w:val="80"/>
          <w:sz w:val="20"/>
        </w:rPr>
        <w:t xml:space="preserve"> </w:t>
      </w:r>
      <w:r>
        <w:rPr>
          <w:sz w:val="20"/>
        </w:rPr>
        <w:t>anuncios</w:t>
      </w:r>
      <w:r>
        <w:rPr>
          <w:spacing w:val="80"/>
          <w:sz w:val="20"/>
        </w:rPr>
        <w:t xml:space="preserve"> </w:t>
      </w:r>
      <w:r>
        <w:rPr>
          <w:sz w:val="20"/>
        </w:rPr>
        <w:t>de</w:t>
      </w:r>
      <w:r>
        <w:rPr>
          <w:spacing w:val="80"/>
          <w:sz w:val="20"/>
        </w:rPr>
        <w:t xml:space="preserve"> </w:t>
      </w:r>
      <w:r>
        <w:rPr>
          <w:sz w:val="20"/>
        </w:rPr>
        <w:t>licitación,</w:t>
      </w:r>
      <w:r>
        <w:rPr>
          <w:spacing w:val="80"/>
          <w:sz w:val="20"/>
        </w:rPr>
        <w:t xml:space="preserve"> </w:t>
      </w:r>
      <w:r>
        <w:rPr>
          <w:sz w:val="20"/>
        </w:rPr>
        <w:t>formalización</w:t>
      </w:r>
      <w:r>
        <w:rPr>
          <w:spacing w:val="80"/>
          <w:sz w:val="20"/>
        </w:rPr>
        <w:t xml:space="preserve"> </w:t>
      </w:r>
      <w:r>
        <w:rPr>
          <w:sz w:val="20"/>
        </w:rPr>
        <w:t>y modificación de contratos de concesión de obras y concesión de servicios.</w:t>
      </w:r>
    </w:p>
    <w:p w:rsidR="0092635B" w:rsidRDefault="00000000">
      <w:pPr>
        <w:pStyle w:val="Textoindependiente"/>
        <w:spacing w:before="122" w:line="249" w:lineRule="auto"/>
        <w:ind w:right="1120"/>
        <w:jc w:val="left"/>
      </w:pPr>
      <w:r>
        <w:t>Sección 1. Información que debe figurar en los anuncios de licitación de los contratos de concesión de obras y de concesión de servicios:</w:t>
      </w:r>
    </w:p>
    <w:p w:rsidR="0092635B" w:rsidRDefault="00000000">
      <w:pPr>
        <w:pStyle w:val="Prrafodelista"/>
        <w:numPr>
          <w:ilvl w:val="1"/>
          <w:numId w:val="16"/>
        </w:numPr>
        <w:tabs>
          <w:tab w:val="left" w:pos="1699"/>
        </w:tabs>
        <w:spacing w:before="122" w:line="249" w:lineRule="auto"/>
        <w:ind w:right="1102" w:firstLine="340"/>
        <w:jc w:val="both"/>
        <w:rPr>
          <w:sz w:val="20"/>
        </w:rPr>
      </w:pPr>
      <w:r>
        <w:rPr>
          <w:sz w:val="20"/>
        </w:rPr>
        <w:t>Nombre, número de identificación (cuando esté previsto en la legislación nacional), dirección (incluido el código NUTS), número de teléfono y de fax, y dirección electrónica y de internet del poder adjudicador o de la entidad adjudicadora y, en caso de ser diferente, del servicio del que pueda obtenerse información complementaria.</w:t>
      </w:r>
    </w:p>
    <w:p w:rsidR="0092635B" w:rsidRDefault="00000000">
      <w:pPr>
        <w:pStyle w:val="Prrafodelista"/>
        <w:numPr>
          <w:ilvl w:val="1"/>
          <w:numId w:val="16"/>
        </w:numPr>
        <w:tabs>
          <w:tab w:val="left" w:pos="1668"/>
        </w:tabs>
        <w:spacing w:before="3"/>
        <w:ind w:left="1668" w:right="0" w:hanging="222"/>
        <w:jc w:val="both"/>
        <w:rPr>
          <w:sz w:val="20"/>
        </w:rPr>
      </w:pPr>
      <w:r>
        <w:rPr>
          <w:sz w:val="20"/>
        </w:rPr>
        <w:t>Tipo</w:t>
      </w:r>
      <w:r>
        <w:rPr>
          <w:spacing w:val="-5"/>
          <w:sz w:val="20"/>
        </w:rPr>
        <w:t xml:space="preserve"> </w:t>
      </w:r>
      <w:r>
        <w:rPr>
          <w:sz w:val="20"/>
        </w:rPr>
        <w:t>de</w:t>
      </w:r>
      <w:r>
        <w:rPr>
          <w:spacing w:val="-4"/>
          <w:sz w:val="20"/>
        </w:rPr>
        <w:t xml:space="preserve"> </w:t>
      </w:r>
      <w:r>
        <w:rPr>
          <w:sz w:val="20"/>
        </w:rPr>
        <w:t>poder</w:t>
      </w:r>
      <w:r>
        <w:rPr>
          <w:spacing w:val="-5"/>
          <w:sz w:val="20"/>
        </w:rPr>
        <w:t xml:space="preserve"> </w:t>
      </w:r>
      <w:r>
        <w:rPr>
          <w:sz w:val="20"/>
        </w:rPr>
        <w:t>adjudicador</w:t>
      </w:r>
      <w:r>
        <w:rPr>
          <w:spacing w:val="-4"/>
          <w:sz w:val="20"/>
        </w:rPr>
        <w:t xml:space="preserve"> </w:t>
      </w:r>
      <w:r>
        <w:rPr>
          <w:sz w:val="20"/>
        </w:rPr>
        <w:t>o</w:t>
      </w:r>
      <w:r>
        <w:rPr>
          <w:spacing w:val="-4"/>
          <w:sz w:val="20"/>
        </w:rPr>
        <w:t xml:space="preserve"> </w:t>
      </w:r>
      <w:r>
        <w:rPr>
          <w:sz w:val="20"/>
        </w:rPr>
        <w:t>entidad</w:t>
      </w:r>
      <w:r>
        <w:rPr>
          <w:spacing w:val="-5"/>
          <w:sz w:val="20"/>
        </w:rPr>
        <w:t xml:space="preserve"> </w:t>
      </w:r>
      <w:r>
        <w:rPr>
          <w:sz w:val="20"/>
        </w:rPr>
        <w:t>adjudicadora</w:t>
      </w:r>
      <w:r>
        <w:rPr>
          <w:spacing w:val="-4"/>
          <w:sz w:val="20"/>
        </w:rPr>
        <w:t xml:space="preserve"> </w:t>
      </w:r>
      <w:r>
        <w:rPr>
          <w:sz w:val="20"/>
        </w:rPr>
        <w:t>y</w:t>
      </w:r>
      <w:r>
        <w:rPr>
          <w:spacing w:val="-5"/>
          <w:sz w:val="20"/>
        </w:rPr>
        <w:t xml:space="preserve"> </w:t>
      </w:r>
      <w:r>
        <w:rPr>
          <w:sz w:val="20"/>
        </w:rPr>
        <w:t>principal</w:t>
      </w:r>
      <w:r>
        <w:rPr>
          <w:spacing w:val="-4"/>
          <w:sz w:val="20"/>
        </w:rPr>
        <w:t xml:space="preserve"> </w:t>
      </w:r>
      <w:r>
        <w:rPr>
          <w:sz w:val="20"/>
        </w:rPr>
        <w:t>actividad</w:t>
      </w:r>
      <w:r>
        <w:rPr>
          <w:spacing w:val="-4"/>
          <w:sz w:val="20"/>
        </w:rPr>
        <w:t xml:space="preserve"> </w:t>
      </w:r>
      <w:r>
        <w:rPr>
          <w:spacing w:val="-2"/>
          <w:sz w:val="20"/>
        </w:rPr>
        <w:t>desarrollada.</w:t>
      </w:r>
    </w:p>
    <w:p w:rsidR="0092635B" w:rsidRDefault="00000000">
      <w:pPr>
        <w:pStyle w:val="Prrafodelista"/>
        <w:numPr>
          <w:ilvl w:val="1"/>
          <w:numId w:val="16"/>
        </w:numPr>
        <w:tabs>
          <w:tab w:val="left" w:pos="1680"/>
        </w:tabs>
        <w:spacing w:before="10" w:line="249" w:lineRule="auto"/>
        <w:ind w:firstLine="340"/>
        <w:jc w:val="both"/>
        <w:rPr>
          <w:sz w:val="20"/>
        </w:rPr>
      </w:pPr>
      <w:r>
        <w:rPr>
          <w:sz w:val="20"/>
        </w:rPr>
        <w:t>Si las solicitudes van a ir acompañadas de ofertas, dirección electrónica y de internet donde pueden consultarse con un acceso directo, completo, gratuito y sin restricciones, los documentos de concesión. Cuando no se disponga de un acceso directo, completo, gratuito</w:t>
      </w:r>
      <w:r>
        <w:rPr>
          <w:spacing w:val="40"/>
          <w:sz w:val="20"/>
        </w:rPr>
        <w:t xml:space="preserve"> </w:t>
      </w:r>
      <w:r>
        <w:rPr>
          <w:sz w:val="20"/>
        </w:rPr>
        <w:t>y sin restricciones en los casos contemplados en el artículo 138, una indicación sobre el modo de consulta de la documentación de la contratación.</w:t>
      </w:r>
    </w:p>
    <w:p w:rsidR="0092635B" w:rsidRDefault="00000000">
      <w:pPr>
        <w:pStyle w:val="Prrafodelista"/>
        <w:numPr>
          <w:ilvl w:val="1"/>
          <w:numId w:val="16"/>
        </w:numPr>
        <w:tabs>
          <w:tab w:val="left" w:pos="1734"/>
        </w:tabs>
        <w:spacing w:before="4" w:line="249" w:lineRule="auto"/>
        <w:ind w:right="1104" w:firstLine="340"/>
        <w:jc w:val="both"/>
        <w:rPr>
          <w:sz w:val="20"/>
        </w:rPr>
      </w:pPr>
      <w:r>
        <w:rPr>
          <w:sz w:val="20"/>
        </w:rPr>
        <w:t>Descripción de la concesión: naturaleza y magnitud de las obras, naturaleza y magnitud de los servicios, orden de magnitud o valor indicativo y, si es posible, duración del contrato. Cuando la concesión esté dividida en lotes, esta información se facilitará para cada lote. Si procede, descripción de posibles variantes.</w:t>
      </w:r>
    </w:p>
    <w:p w:rsidR="0092635B" w:rsidRDefault="00000000">
      <w:pPr>
        <w:pStyle w:val="Prrafodelista"/>
        <w:numPr>
          <w:ilvl w:val="1"/>
          <w:numId w:val="16"/>
        </w:numPr>
        <w:tabs>
          <w:tab w:val="left" w:pos="1718"/>
        </w:tabs>
        <w:spacing w:before="3" w:line="249" w:lineRule="auto"/>
        <w:ind w:right="1105" w:firstLine="340"/>
        <w:jc w:val="both"/>
        <w:rPr>
          <w:sz w:val="20"/>
        </w:rPr>
      </w:pPr>
      <w:r>
        <w:rPr>
          <w:sz w:val="20"/>
        </w:rPr>
        <w:t>Número(s) de referencia de la nomenclatura del CPV. Cuando la concesión esté dividida en lotes, esta información se facilitará para cada lote.</w:t>
      </w:r>
    </w:p>
    <w:p w:rsidR="0092635B" w:rsidRDefault="00000000">
      <w:pPr>
        <w:pStyle w:val="Prrafodelista"/>
        <w:numPr>
          <w:ilvl w:val="1"/>
          <w:numId w:val="16"/>
        </w:numPr>
        <w:tabs>
          <w:tab w:val="left" w:pos="1672"/>
        </w:tabs>
        <w:spacing w:line="249" w:lineRule="auto"/>
        <w:ind w:firstLine="340"/>
        <w:jc w:val="both"/>
        <w:rPr>
          <w:sz w:val="20"/>
        </w:rPr>
      </w:pPr>
      <w:r>
        <w:rPr>
          <w:sz w:val="20"/>
        </w:rPr>
        <w:t>Código NUTS del emplazamiento principal de las obras, en el caso de concesiones de obras, o del lugar principal de prestación, tratándose de concesiones de servicios; cuando la concesión esté dividida en lotes, esta información se facilitará para cada lote.</w:t>
      </w:r>
    </w:p>
    <w:p w:rsidR="0092635B" w:rsidRDefault="00000000">
      <w:pPr>
        <w:pStyle w:val="Prrafodelista"/>
        <w:numPr>
          <w:ilvl w:val="1"/>
          <w:numId w:val="16"/>
        </w:numPr>
        <w:tabs>
          <w:tab w:val="left" w:pos="1668"/>
        </w:tabs>
        <w:ind w:left="1668" w:right="0" w:hanging="222"/>
        <w:jc w:val="both"/>
        <w:rPr>
          <w:sz w:val="20"/>
        </w:rPr>
      </w:pPr>
      <w:r>
        <w:rPr>
          <w:sz w:val="20"/>
        </w:rPr>
        <w:t>Condiciones</w:t>
      </w:r>
      <w:r>
        <w:rPr>
          <w:spacing w:val="-2"/>
          <w:sz w:val="20"/>
        </w:rPr>
        <w:t xml:space="preserve"> </w:t>
      </w:r>
      <w:r>
        <w:rPr>
          <w:sz w:val="20"/>
        </w:rPr>
        <w:t>de</w:t>
      </w:r>
      <w:r>
        <w:rPr>
          <w:spacing w:val="-1"/>
          <w:sz w:val="20"/>
        </w:rPr>
        <w:t xml:space="preserve"> </w:t>
      </w:r>
      <w:r>
        <w:rPr>
          <w:sz w:val="20"/>
        </w:rPr>
        <w:t>participación,</w:t>
      </w:r>
      <w:r>
        <w:rPr>
          <w:spacing w:val="-1"/>
          <w:sz w:val="20"/>
        </w:rPr>
        <w:t xml:space="preserve"> </w:t>
      </w:r>
      <w:r>
        <w:rPr>
          <w:sz w:val="20"/>
        </w:rPr>
        <w:t>entre</w:t>
      </w:r>
      <w:r>
        <w:rPr>
          <w:spacing w:val="-1"/>
          <w:sz w:val="20"/>
        </w:rPr>
        <w:t xml:space="preserve"> </w:t>
      </w:r>
      <w:r>
        <w:rPr>
          <w:spacing w:val="-2"/>
          <w:sz w:val="20"/>
        </w:rPr>
        <w:t>ellas:</w:t>
      </w:r>
    </w:p>
    <w:p w:rsidR="0092635B" w:rsidRDefault="00000000">
      <w:pPr>
        <w:pStyle w:val="Prrafodelista"/>
        <w:numPr>
          <w:ilvl w:val="2"/>
          <w:numId w:val="16"/>
        </w:numPr>
        <w:tabs>
          <w:tab w:val="left" w:pos="1691"/>
        </w:tabs>
        <w:spacing w:before="130" w:line="249" w:lineRule="auto"/>
        <w:ind w:right="1104" w:firstLine="340"/>
        <w:jc w:val="both"/>
        <w:rPr>
          <w:sz w:val="20"/>
        </w:rPr>
      </w:pPr>
      <w:r>
        <w:rPr>
          <w:sz w:val="20"/>
        </w:rPr>
        <w:t>Si procede, indicación de si la concesión está restringida a talleres protegidos o si su ejecución está restringida al marco de programas de protección de empleo;</w:t>
      </w:r>
    </w:p>
    <w:p w:rsidR="0092635B" w:rsidRDefault="00000000">
      <w:pPr>
        <w:pStyle w:val="Prrafodelista"/>
        <w:numPr>
          <w:ilvl w:val="2"/>
          <w:numId w:val="16"/>
        </w:numPr>
        <w:tabs>
          <w:tab w:val="left" w:pos="1705"/>
        </w:tabs>
        <w:spacing w:line="249" w:lineRule="auto"/>
        <w:ind w:right="1102" w:firstLine="340"/>
        <w:jc w:val="both"/>
        <w:rPr>
          <w:sz w:val="20"/>
        </w:rPr>
      </w:pPr>
      <w:r>
        <w:rPr>
          <w:sz w:val="20"/>
        </w:rPr>
        <w:t>Si procede, indicación de si la prestación del servicio está reservada, con arreglo a disposiciones legales, reglamentarias y administrativas, a una determinada profesión; referencia de dicha disposición legal, reglamentaria o administrativa;</w:t>
      </w:r>
    </w:p>
    <w:p w:rsidR="0092635B" w:rsidRDefault="00000000">
      <w:pPr>
        <w:pStyle w:val="Prrafodelista"/>
        <w:numPr>
          <w:ilvl w:val="2"/>
          <w:numId w:val="16"/>
        </w:numPr>
        <w:tabs>
          <w:tab w:val="left" w:pos="1710"/>
        </w:tabs>
        <w:spacing w:before="3" w:line="249" w:lineRule="auto"/>
        <w:ind w:right="1104" w:firstLine="340"/>
        <w:jc w:val="both"/>
        <w:rPr>
          <w:sz w:val="20"/>
        </w:rPr>
      </w:pPr>
      <w:r>
        <w:rPr>
          <w:sz w:val="20"/>
        </w:rPr>
        <w:t>Lista y descripción breve de los criterios de selección, si procede; nivel o niveles mínimos que pueden exigirse; indicación de la información exigida (declaraciones de los interesados, documentación).</w:t>
      </w:r>
    </w:p>
    <w:p w:rsidR="0092635B" w:rsidRDefault="00000000">
      <w:pPr>
        <w:pStyle w:val="Prrafodelista"/>
        <w:numPr>
          <w:ilvl w:val="1"/>
          <w:numId w:val="16"/>
        </w:numPr>
        <w:tabs>
          <w:tab w:val="left" w:pos="1668"/>
        </w:tabs>
        <w:spacing w:before="122"/>
        <w:ind w:left="1668" w:right="0" w:hanging="222"/>
        <w:jc w:val="both"/>
        <w:rPr>
          <w:sz w:val="20"/>
        </w:rPr>
      </w:pPr>
      <w:r>
        <w:rPr>
          <w:sz w:val="20"/>
        </w:rPr>
        <w:t>Fecha</w:t>
      </w:r>
      <w:r>
        <w:rPr>
          <w:spacing w:val="-5"/>
          <w:sz w:val="20"/>
        </w:rPr>
        <w:t xml:space="preserve"> </w:t>
      </w:r>
      <w:r>
        <w:rPr>
          <w:sz w:val="20"/>
        </w:rPr>
        <w:t>límite</w:t>
      </w:r>
      <w:r>
        <w:rPr>
          <w:spacing w:val="-3"/>
          <w:sz w:val="20"/>
        </w:rPr>
        <w:t xml:space="preserve"> </w:t>
      </w:r>
      <w:r>
        <w:rPr>
          <w:sz w:val="20"/>
        </w:rPr>
        <w:t>de</w:t>
      </w:r>
      <w:r>
        <w:rPr>
          <w:spacing w:val="-2"/>
          <w:sz w:val="20"/>
        </w:rPr>
        <w:t xml:space="preserve"> </w:t>
      </w:r>
      <w:r>
        <w:rPr>
          <w:sz w:val="20"/>
        </w:rPr>
        <w:t>presentación</w:t>
      </w:r>
      <w:r>
        <w:rPr>
          <w:spacing w:val="-3"/>
          <w:sz w:val="20"/>
        </w:rPr>
        <w:t xml:space="preserve"> </w:t>
      </w:r>
      <w:r>
        <w:rPr>
          <w:sz w:val="20"/>
        </w:rPr>
        <w:t>de</w:t>
      </w:r>
      <w:r>
        <w:rPr>
          <w:spacing w:val="-3"/>
          <w:sz w:val="20"/>
        </w:rPr>
        <w:t xml:space="preserve"> </w:t>
      </w:r>
      <w:r>
        <w:rPr>
          <w:sz w:val="20"/>
        </w:rPr>
        <w:t>las</w:t>
      </w:r>
      <w:r>
        <w:rPr>
          <w:spacing w:val="-2"/>
          <w:sz w:val="20"/>
        </w:rPr>
        <w:t xml:space="preserve"> </w:t>
      </w:r>
      <w:r>
        <w:rPr>
          <w:sz w:val="20"/>
        </w:rPr>
        <w:t>solicitudes</w:t>
      </w:r>
      <w:r>
        <w:rPr>
          <w:spacing w:val="-3"/>
          <w:sz w:val="20"/>
        </w:rPr>
        <w:t xml:space="preserve"> </w:t>
      </w:r>
      <w:r>
        <w:rPr>
          <w:sz w:val="20"/>
        </w:rPr>
        <w:t>o</w:t>
      </w:r>
      <w:r>
        <w:rPr>
          <w:spacing w:val="-3"/>
          <w:sz w:val="20"/>
        </w:rPr>
        <w:t xml:space="preserve"> </w:t>
      </w:r>
      <w:r>
        <w:rPr>
          <w:sz w:val="20"/>
        </w:rPr>
        <w:t>de</w:t>
      </w:r>
      <w:r>
        <w:rPr>
          <w:spacing w:val="-2"/>
          <w:sz w:val="20"/>
        </w:rPr>
        <w:t xml:space="preserve"> </w:t>
      </w:r>
      <w:r>
        <w:rPr>
          <w:sz w:val="20"/>
        </w:rPr>
        <w:t>recepción</w:t>
      </w:r>
      <w:r>
        <w:rPr>
          <w:spacing w:val="-3"/>
          <w:sz w:val="20"/>
        </w:rPr>
        <w:t xml:space="preserve"> </w:t>
      </w:r>
      <w:r>
        <w:rPr>
          <w:sz w:val="20"/>
        </w:rPr>
        <w:t>de</w:t>
      </w:r>
      <w:r>
        <w:rPr>
          <w:spacing w:val="-3"/>
          <w:sz w:val="20"/>
        </w:rPr>
        <w:t xml:space="preserve"> </w:t>
      </w:r>
      <w:r>
        <w:rPr>
          <w:sz w:val="20"/>
        </w:rPr>
        <w:t>las</w:t>
      </w:r>
      <w:r>
        <w:rPr>
          <w:spacing w:val="-2"/>
          <w:sz w:val="20"/>
        </w:rPr>
        <w:t xml:space="preserve"> ofertas.</w:t>
      </w:r>
    </w:p>
    <w:p w:rsidR="0092635B" w:rsidRDefault="00000000">
      <w:pPr>
        <w:pStyle w:val="Prrafodelista"/>
        <w:numPr>
          <w:ilvl w:val="1"/>
          <w:numId w:val="16"/>
        </w:numPr>
        <w:tabs>
          <w:tab w:val="left" w:pos="1670"/>
        </w:tabs>
        <w:spacing w:before="10" w:line="249" w:lineRule="auto"/>
        <w:ind w:right="1105" w:firstLine="340"/>
        <w:jc w:val="both"/>
        <w:rPr>
          <w:sz w:val="20"/>
        </w:rPr>
      </w:pPr>
      <w:r>
        <w:rPr>
          <w:sz w:val="20"/>
        </w:rPr>
        <w:t>Criterios</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aplicarán</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adjudicación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concesión,</w:t>
      </w:r>
      <w:r>
        <w:rPr>
          <w:spacing w:val="-1"/>
          <w:sz w:val="20"/>
        </w:rPr>
        <w:t xml:space="preserve"> </w:t>
      </w:r>
      <w:r>
        <w:rPr>
          <w:sz w:val="20"/>
        </w:rPr>
        <w:t>cuando</w:t>
      </w:r>
      <w:r>
        <w:rPr>
          <w:spacing w:val="-1"/>
          <w:sz w:val="20"/>
        </w:rPr>
        <w:t xml:space="preserve"> </w:t>
      </w:r>
      <w:r>
        <w:rPr>
          <w:sz w:val="20"/>
        </w:rPr>
        <w:t>no</w:t>
      </w:r>
      <w:r>
        <w:rPr>
          <w:spacing w:val="-1"/>
          <w:sz w:val="20"/>
        </w:rPr>
        <w:t xml:space="preserve"> </w:t>
      </w:r>
      <w:r>
        <w:rPr>
          <w:sz w:val="20"/>
        </w:rPr>
        <w:t>aparezcan</w:t>
      </w:r>
      <w:r>
        <w:rPr>
          <w:spacing w:val="-1"/>
          <w:sz w:val="20"/>
        </w:rPr>
        <w:t xml:space="preserve"> </w:t>
      </w:r>
      <w:r>
        <w:rPr>
          <w:sz w:val="20"/>
        </w:rPr>
        <w:t>en otros documentos relativos a la concesión.</w:t>
      </w:r>
    </w:p>
    <w:p w:rsidR="0092635B" w:rsidRDefault="00000000">
      <w:pPr>
        <w:pStyle w:val="Prrafodelista"/>
        <w:numPr>
          <w:ilvl w:val="1"/>
          <w:numId w:val="16"/>
        </w:numPr>
        <w:tabs>
          <w:tab w:val="left" w:pos="1779"/>
        </w:tabs>
        <w:ind w:left="1779" w:right="0" w:hanging="333"/>
        <w:jc w:val="both"/>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1"/>
          <w:numId w:val="16"/>
        </w:numPr>
        <w:tabs>
          <w:tab w:val="left" w:pos="1780"/>
        </w:tabs>
        <w:spacing w:before="10" w:line="249" w:lineRule="auto"/>
        <w:ind w:right="1104" w:firstLine="340"/>
        <w:jc w:val="both"/>
        <w:rPr>
          <w:sz w:val="20"/>
        </w:rPr>
      </w:pPr>
      <w:r>
        <w:rPr>
          <w:sz w:val="20"/>
        </w:rPr>
        <w:t>Nombre y dirección del órgano competente para los procedimientos de recurso y, si procede, de mediación. Indicación precisa del plazo de presentación de recursos o, en caso necesario, el nombre, dirección, números de teléfono y de fax y dirección electrónica del servicio del que pueda obtenerse dicha información.</w:t>
      </w:r>
    </w:p>
    <w:p w:rsidR="0092635B" w:rsidRDefault="00000000">
      <w:pPr>
        <w:pStyle w:val="Prrafodelista"/>
        <w:numPr>
          <w:ilvl w:val="1"/>
          <w:numId w:val="16"/>
        </w:numPr>
        <w:tabs>
          <w:tab w:val="left" w:pos="1827"/>
        </w:tabs>
        <w:spacing w:before="3" w:line="249" w:lineRule="auto"/>
        <w:ind w:right="1104" w:firstLine="340"/>
        <w:jc w:val="both"/>
        <w:rPr>
          <w:sz w:val="20"/>
        </w:rPr>
      </w:pPr>
      <w:r>
        <w:rPr>
          <w:sz w:val="20"/>
        </w:rPr>
        <w:t xml:space="preserve">Si procede, condiciones particulares a las que está sometida la ejecución de la </w:t>
      </w:r>
      <w:r>
        <w:rPr>
          <w:spacing w:val="-2"/>
          <w:sz w:val="20"/>
        </w:rPr>
        <w:t>concesión.</w:t>
      </w:r>
    </w:p>
    <w:p w:rsidR="0092635B" w:rsidRDefault="00000000">
      <w:pPr>
        <w:pStyle w:val="Prrafodelista"/>
        <w:numPr>
          <w:ilvl w:val="1"/>
          <w:numId w:val="16"/>
        </w:numPr>
        <w:tabs>
          <w:tab w:val="left" w:pos="1779"/>
        </w:tabs>
        <w:ind w:left="1779" w:right="0" w:hanging="333"/>
        <w:jc w:val="both"/>
        <w:rPr>
          <w:sz w:val="20"/>
        </w:rPr>
      </w:pPr>
      <w:r>
        <w:rPr>
          <w:sz w:val="20"/>
        </w:rPr>
        <w:t>Dirección</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que</w:t>
      </w:r>
      <w:r>
        <w:rPr>
          <w:spacing w:val="-3"/>
          <w:sz w:val="20"/>
        </w:rPr>
        <w:t xml:space="preserve"> </w:t>
      </w:r>
      <w:r>
        <w:rPr>
          <w:sz w:val="20"/>
        </w:rPr>
        <w:t>deban</w:t>
      </w:r>
      <w:r>
        <w:rPr>
          <w:spacing w:val="-3"/>
          <w:sz w:val="20"/>
        </w:rPr>
        <w:t xml:space="preserve"> </w:t>
      </w:r>
      <w:r>
        <w:rPr>
          <w:sz w:val="20"/>
        </w:rPr>
        <w:t>enviarse</w:t>
      </w:r>
      <w:r>
        <w:rPr>
          <w:spacing w:val="-3"/>
          <w:sz w:val="20"/>
        </w:rPr>
        <w:t xml:space="preserve"> </w:t>
      </w:r>
      <w:r>
        <w:rPr>
          <w:sz w:val="20"/>
        </w:rPr>
        <w:t>las</w:t>
      </w:r>
      <w:r>
        <w:rPr>
          <w:spacing w:val="-3"/>
          <w:sz w:val="20"/>
        </w:rPr>
        <w:t xml:space="preserve"> </w:t>
      </w:r>
      <w:r>
        <w:rPr>
          <w:sz w:val="20"/>
        </w:rPr>
        <w:t>solicitudes</w:t>
      </w:r>
      <w:r>
        <w:rPr>
          <w:spacing w:val="-3"/>
          <w:sz w:val="20"/>
        </w:rPr>
        <w:t xml:space="preserve"> </w:t>
      </w:r>
      <w:r>
        <w:rPr>
          <w:sz w:val="20"/>
        </w:rPr>
        <w:t>de</w:t>
      </w:r>
      <w:r>
        <w:rPr>
          <w:spacing w:val="-3"/>
          <w:sz w:val="20"/>
        </w:rPr>
        <w:t xml:space="preserve"> </w:t>
      </w:r>
      <w:r>
        <w:rPr>
          <w:sz w:val="20"/>
        </w:rPr>
        <w:t>participación</w:t>
      </w:r>
      <w:r>
        <w:rPr>
          <w:spacing w:val="-3"/>
          <w:sz w:val="20"/>
        </w:rPr>
        <w:t xml:space="preserve"> </w:t>
      </w:r>
      <w:r>
        <w:rPr>
          <w:sz w:val="20"/>
        </w:rPr>
        <w:t>o</w:t>
      </w:r>
      <w:r>
        <w:rPr>
          <w:spacing w:val="-3"/>
          <w:sz w:val="20"/>
        </w:rPr>
        <w:t xml:space="preserve"> </w:t>
      </w:r>
      <w:r>
        <w:rPr>
          <w:sz w:val="20"/>
        </w:rPr>
        <w:t>las</w:t>
      </w:r>
      <w:r>
        <w:rPr>
          <w:spacing w:val="-2"/>
          <w:sz w:val="20"/>
        </w:rPr>
        <w:t xml:space="preserve"> ofertas.</w:t>
      </w:r>
    </w:p>
    <w:p w:rsidR="0092635B" w:rsidRDefault="00000000">
      <w:pPr>
        <w:pStyle w:val="Prrafodelista"/>
        <w:numPr>
          <w:ilvl w:val="1"/>
          <w:numId w:val="16"/>
        </w:numPr>
        <w:tabs>
          <w:tab w:val="left" w:pos="1818"/>
        </w:tabs>
        <w:spacing w:before="10" w:line="249" w:lineRule="auto"/>
        <w:ind w:right="1105" w:firstLine="340"/>
        <w:rPr>
          <w:sz w:val="20"/>
        </w:rPr>
      </w:pPr>
      <w:r>
        <w:rPr>
          <w:sz w:val="20"/>
        </w:rPr>
        <w:t>Si</w:t>
      </w:r>
      <w:r>
        <w:rPr>
          <w:spacing w:val="36"/>
          <w:sz w:val="20"/>
        </w:rPr>
        <w:t xml:space="preserve"> </w:t>
      </w:r>
      <w:r>
        <w:rPr>
          <w:sz w:val="20"/>
        </w:rPr>
        <w:t>procede,</w:t>
      </w:r>
      <w:r>
        <w:rPr>
          <w:spacing w:val="36"/>
          <w:sz w:val="20"/>
        </w:rPr>
        <w:t xml:space="preserve"> </w:t>
      </w:r>
      <w:r>
        <w:rPr>
          <w:sz w:val="20"/>
        </w:rPr>
        <w:t>indicación</w:t>
      </w:r>
      <w:r>
        <w:rPr>
          <w:spacing w:val="36"/>
          <w:sz w:val="20"/>
        </w:rPr>
        <w:t xml:space="preserve"> </w:t>
      </w:r>
      <w:r>
        <w:rPr>
          <w:sz w:val="20"/>
        </w:rPr>
        <w:t>de</w:t>
      </w:r>
      <w:r>
        <w:rPr>
          <w:spacing w:val="36"/>
          <w:sz w:val="20"/>
        </w:rPr>
        <w:t xml:space="preserve"> </w:t>
      </w:r>
      <w:r>
        <w:rPr>
          <w:sz w:val="20"/>
        </w:rPr>
        <w:t>las</w:t>
      </w:r>
      <w:r>
        <w:rPr>
          <w:spacing w:val="36"/>
          <w:sz w:val="20"/>
        </w:rPr>
        <w:t xml:space="preserve"> </w:t>
      </w:r>
      <w:r>
        <w:rPr>
          <w:sz w:val="20"/>
        </w:rPr>
        <w:t>condiciones</w:t>
      </w:r>
      <w:r>
        <w:rPr>
          <w:spacing w:val="36"/>
          <w:sz w:val="20"/>
        </w:rPr>
        <w:t xml:space="preserve"> </w:t>
      </w:r>
      <w:r>
        <w:rPr>
          <w:sz w:val="20"/>
        </w:rPr>
        <w:t>y</w:t>
      </w:r>
      <w:r>
        <w:rPr>
          <w:spacing w:val="36"/>
          <w:sz w:val="20"/>
        </w:rPr>
        <w:t xml:space="preserve"> </w:t>
      </w:r>
      <w:r>
        <w:rPr>
          <w:sz w:val="20"/>
        </w:rPr>
        <w:t>requisitos</w:t>
      </w:r>
      <w:r>
        <w:rPr>
          <w:spacing w:val="36"/>
          <w:sz w:val="20"/>
        </w:rPr>
        <w:t xml:space="preserve"> </w:t>
      </w:r>
      <w:r>
        <w:rPr>
          <w:sz w:val="20"/>
        </w:rPr>
        <w:t>relativos</w:t>
      </w:r>
      <w:r>
        <w:rPr>
          <w:spacing w:val="36"/>
          <w:sz w:val="20"/>
        </w:rPr>
        <w:t xml:space="preserve"> </w:t>
      </w:r>
      <w:r>
        <w:rPr>
          <w:sz w:val="20"/>
        </w:rPr>
        <w:t>al</w:t>
      </w:r>
      <w:r>
        <w:rPr>
          <w:spacing w:val="36"/>
          <w:sz w:val="20"/>
        </w:rPr>
        <w:t xml:space="preserve"> </w:t>
      </w:r>
      <w:r>
        <w:rPr>
          <w:sz w:val="20"/>
        </w:rPr>
        <w:t>uso</w:t>
      </w:r>
      <w:r>
        <w:rPr>
          <w:spacing w:val="36"/>
          <w:sz w:val="20"/>
        </w:rPr>
        <w:t xml:space="preserve"> </w:t>
      </w:r>
      <w:r>
        <w:rPr>
          <w:sz w:val="20"/>
        </w:rPr>
        <w:t>de</w:t>
      </w:r>
      <w:r>
        <w:rPr>
          <w:spacing w:val="36"/>
          <w:sz w:val="20"/>
        </w:rPr>
        <w:t xml:space="preserve"> </w:t>
      </w:r>
      <w:r>
        <w:rPr>
          <w:sz w:val="20"/>
        </w:rPr>
        <w:t>medios electrónicos de comunicación.</w:t>
      </w:r>
    </w:p>
    <w:p w:rsidR="0092635B" w:rsidRDefault="00000000">
      <w:pPr>
        <w:pStyle w:val="Prrafodelista"/>
        <w:numPr>
          <w:ilvl w:val="1"/>
          <w:numId w:val="16"/>
        </w:numPr>
        <w:tabs>
          <w:tab w:val="left" w:pos="1856"/>
        </w:tabs>
        <w:spacing w:before="1" w:line="249" w:lineRule="auto"/>
        <w:ind w:right="1105" w:firstLine="340"/>
        <w:rPr>
          <w:sz w:val="20"/>
        </w:rPr>
      </w:pPr>
      <w:r>
        <w:rPr>
          <w:sz w:val="20"/>
        </w:rPr>
        <w:t>Información</w:t>
      </w:r>
      <w:r>
        <w:rPr>
          <w:spacing w:val="73"/>
          <w:sz w:val="20"/>
        </w:rPr>
        <w:t xml:space="preserve"> </w:t>
      </w:r>
      <w:r>
        <w:rPr>
          <w:sz w:val="20"/>
        </w:rPr>
        <w:t>de</w:t>
      </w:r>
      <w:r>
        <w:rPr>
          <w:spacing w:val="73"/>
          <w:sz w:val="20"/>
        </w:rPr>
        <w:t xml:space="preserve"> </w:t>
      </w:r>
      <w:r>
        <w:rPr>
          <w:sz w:val="20"/>
        </w:rPr>
        <w:t>si</w:t>
      </w:r>
      <w:r>
        <w:rPr>
          <w:spacing w:val="73"/>
          <w:sz w:val="20"/>
        </w:rPr>
        <w:t xml:space="preserve"> </w:t>
      </w:r>
      <w:r>
        <w:rPr>
          <w:sz w:val="20"/>
        </w:rPr>
        <w:t>la</w:t>
      </w:r>
      <w:r>
        <w:rPr>
          <w:spacing w:val="73"/>
          <w:sz w:val="20"/>
        </w:rPr>
        <w:t xml:space="preserve"> </w:t>
      </w:r>
      <w:r>
        <w:rPr>
          <w:sz w:val="20"/>
        </w:rPr>
        <w:t>concesión</w:t>
      </w:r>
      <w:r>
        <w:rPr>
          <w:spacing w:val="73"/>
          <w:sz w:val="20"/>
        </w:rPr>
        <w:t xml:space="preserve"> </w:t>
      </w:r>
      <w:r>
        <w:rPr>
          <w:sz w:val="20"/>
        </w:rPr>
        <w:t>guarda</w:t>
      </w:r>
      <w:r>
        <w:rPr>
          <w:spacing w:val="73"/>
          <w:sz w:val="20"/>
        </w:rPr>
        <w:t xml:space="preserve"> </w:t>
      </w:r>
      <w:r>
        <w:rPr>
          <w:sz w:val="20"/>
        </w:rPr>
        <w:t>relación</w:t>
      </w:r>
      <w:r>
        <w:rPr>
          <w:spacing w:val="73"/>
          <w:sz w:val="20"/>
        </w:rPr>
        <w:t xml:space="preserve"> </w:t>
      </w:r>
      <w:r>
        <w:rPr>
          <w:sz w:val="20"/>
        </w:rPr>
        <w:t>con</w:t>
      </w:r>
      <w:r>
        <w:rPr>
          <w:spacing w:val="73"/>
          <w:sz w:val="20"/>
        </w:rPr>
        <w:t xml:space="preserve"> </w:t>
      </w:r>
      <w:r>
        <w:rPr>
          <w:sz w:val="20"/>
        </w:rPr>
        <w:t>un</w:t>
      </w:r>
      <w:r>
        <w:rPr>
          <w:spacing w:val="73"/>
          <w:sz w:val="20"/>
        </w:rPr>
        <w:t xml:space="preserve"> </w:t>
      </w:r>
      <w:r>
        <w:rPr>
          <w:sz w:val="20"/>
        </w:rPr>
        <w:t>proyecto</w:t>
      </w:r>
      <w:r>
        <w:rPr>
          <w:spacing w:val="73"/>
          <w:sz w:val="20"/>
        </w:rPr>
        <w:t xml:space="preserve"> </w:t>
      </w:r>
      <w:r>
        <w:rPr>
          <w:sz w:val="20"/>
        </w:rPr>
        <w:t>o</w:t>
      </w:r>
      <w:r>
        <w:rPr>
          <w:spacing w:val="73"/>
          <w:sz w:val="20"/>
        </w:rPr>
        <w:t xml:space="preserve"> </w:t>
      </w:r>
      <w:r>
        <w:rPr>
          <w:sz w:val="20"/>
        </w:rPr>
        <w:t>programa financiado por la Unión Europea.</w:t>
      </w:r>
    </w:p>
    <w:p w:rsidR="0092635B" w:rsidRDefault="00000000">
      <w:pPr>
        <w:pStyle w:val="Prrafodelista"/>
        <w:numPr>
          <w:ilvl w:val="1"/>
          <w:numId w:val="16"/>
        </w:numPr>
        <w:tabs>
          <w:tab w:val="left" w:pos="1779"/>
        </w:tabs>
        <w:ind w:left="1779" w:right="0" w:hanging="333"/>
        <w:rPr>
          <w:sz w:val="20"/>
        </w:rPr>
      </w:pPr>
      <w:r>
        <w:rPr>
          <w:sz w:val="20"/>
        </w:rPr>
        <w:t>Para</w:t>
      </w:r>
      <w:r>
        <w:rPr>
          <w:spacing w:val="-2"/>
          <w:sz w:val="20"/>
        </w:rPr>
        <w:t xml:space="preserve"> </w:t>
      </w:r>
      <w:r>
        <w:rPr>
          <w:sz w:val="20"/>
        </w:rPr>
        <w:t>las</w:t>
      </w:r>
      <w:r>
        <w:rPr>
          <w:spacing w:val="-2"/>
          <w:sz w:val="20"/>
        </w:rPr>
        <w:t xml:space="preserve"> </w:t>
      </w:r>
      <w:r>
        <w:rPr>
          <w:sz w:val="20"/>
        </w:rPr>
        <w:t>concesiones</w:t>
      </w:r>
      <w:r>
        <w:rPr>
          <w:spacing w:val="-2"/>
          <w:sz w:val="20"/>
        </w:rPr>
        <w:t xml:space="preserve"> </w:t>
      </w:r>
      <w:r>
        <w:rPr>
          <w:sz w:val="20"/>
        </w:rPr>
        <w:t>de</w:t>
      </w:r>
      <w:r>
        <w:rPr>
          <w:spacing w:val="-2"/>
          <w:sz w:val="20"/>
        </w:rPr>
        <w:t xml:space="preserve"> </w:t>
      </w:r>
      <w:r>
        <w:rPr>
          <w:sz w:val="20"/>
        </w:rPr>
        <w:t>obras,</w:t>
      </w:r>
      <w:r>
        <w:rPr>
          <w:spacing w:val="-2"/>
          <w:sz w:val="20"/>
        </w:rPr>
        <w:t xml:space="preserve"> </w:t>
      </w:r>
      <w:r>
        <w:rPr>
          <w:sz w:val="20"/>
        </w:rPr>
        <w:t>indicar</w:t>
      </w:r>
      <w:r>
        <w:rPr>
          <w:spacing w:val="-2"/>
          <w:sz w:val="20"/>
        </w:rPr>
        <w:t xml:space="preserve"> </w:t>
      </w:r>
      <w:r>
        <w:rPr>
          <w:sz w:val="20"/>
        </w:rPr>
        <w:t>si</w:t>
      </w:r>
      <w:r>
        <w:rPr>
          <w:spacing w:val="-2"/>
          <w:sz w:val="20"/>
        </w:rPr>
        <w:t xml:space="preserve"> </w:t>
      </w:r>
      <w:r>
        <w:rPr>
          <w:sz w:val="20"/>
        </w:rPr>
        <w:t>la</w:t>
      </w:r>
      <w:r>
        <w:rPr>
          <w:spacing w:val="-2"/>
          <w:sz w:val="20"/>
        </w:rPr>
        <w:t xml:space="preserve"> </w:t>
      </w:r>
      <w:r>
        <w:rPr>
          <w:sz w:val="20"/>
        </w:rPr>
        <w:t>concesión</w:t>
      </w:r>
      <w:r>
        <w:rPr>
          <w:spacing w:val="-2"/>
          <w:sz w:val="20"/>
        </w:rPr>
        <w:t xml:space="preserve"> </w:t>
      </w:r>
      <w:r>
        <w:rPr>
          <w:sz w:val="20"/>
        </w:rPr>
        <w:t>está</w:t>
      </w:r>
      <w:r>
        <w:rPr>
          <w:spacing w:val="-2"/>
          <w:sz w:val="20"/>
        </w:rPr>
        <w:t xml:space="preserve"> </w:t>
      </w:r>
      <w:r>
        <w:rPr>
          <w:sz w:val="20"/>
        </w:rPr>
        <w:t>cubierta</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pacing w:val="-4"/>
          <w:sz w:val="20"/>
        </w:rPr>
        <w:t>ACP.</w:t>
      </w:r>
    </w:p>
    <w:p w:rsidR="0092635B" w:rsidRDefault="0092635B">
      <w:pPr>
        <w:pStyle w:val="Prrafodelista"/>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spacing w:before="1" w:line="249" w:lineRule="auto"/>
        <w:ind w:right="1104"/>
      </w:pPr>
      <w:r>
        <w:t>Sección 2. Información que debe figurar en los anuncios de formalización de los</w:t>
      </w:r>
      <w:r>
        <w:rPr>
          <w:spacing w:val="40"/>
        </w:rPr>
        <w:t xml:space="preserve"> </w:t>
      </w:r>
      <w:r>
        <w:t>contratos de concesión de obras y de concesión de servicios cuando no proceda la</w:t>
      </w:r>
      <w:r>
        <w:rPr>
          <w:spacing w:val="40"/>
        </w:rPr>
        <w:t xml:space="preserve"> </w:t>
      </w:r>
      <w:r>
        <w:t>aplicación de la sección 5 siguiente:</w:t>
      </w:r>
    </w:p>
    <w:p w:rsidR="0092635B" w:rsidRDefault="00000000">
      <w:pPr>
        <w:pStyle w:val="Prrafodelista"/>
        <w:numPr>
          <w:ilvl w:val="0"/>
          <w:numId w:val="6"/>
        </w:numPr>
        <w:tabs>
          <w:tab w:val="left" w:pos="1689"/>
        </w:tabs>
        <w:spacing w:before="122" w:line="249" w:lineRule="auto"/>
        <w:ind w:firstLine="340"/>
        <w:jc w:val="both"/>
        <w:rPr>
          <w:sz w:val="20"/>
        </w:rPr>
      </w:pPr>
      <w:r>
        <w:rPr>
          <w:sz w:val="20"/>
        </w:rPr>
        <w:t>Nombre, número de identificación, dirección (incluido el código NUTS) y, si procede, número de teléfono y de fax, y dirección electrónica y de internet del poder adjudicador o de la entidad adjudicadora y, en caso de ser diferente, del servicio del que pueda obtenerse información complementaria.</w:t>
      </w:r>
    </w:p>
    <w:p w:rsidR="0092635B" w:rsidRDefault="00000000">
      <w:pPr>
        <w:pStyle w:val="Prrafodelista"/>
        <w:numPr>
          <w:ilvl w:val="0"/>
          <w:numId w:val="6"/>
        </w:numPr>
        <w:tabs>
          <w:tab w:val="left" w:pos="1668"/>
        </w:tabs>
        <w:spacing w:before="3"/>
        <w:ind w:left="1668" w:right="0" w:hanging="222"/>
        <w:jc w:val="both"/>
        <w:rPr>
          <w:sz w:val="20"/>
        </w:rPr>
      </w:pPr>
      <w:r>
        <w:rPr>
          <w:sz w:val="20"/>
        </w:rPr>
        <w:t>Tipo</w:t>
      </w:r>
      <w:r>
        <w:rPr>
          <w:spacing w:val="-5"/>
          <w:sz w:val="20"/>
        </w:rPr>
        <w:t xml:space="preserve"> </w:t>
      </w:r>
      <w:r>
        <w:rPr>
          <w:sz w:val="20"/>
        </w:rPr>
        <w:t>de</w:t>
      </w:r>
      <w:r>
        <w:rPr>
          <w:spacing w:val="-4"/>
          <w:sz w:val="20"/>
        </w:rPr>
        <w:t xml:space="preserve"> </w:t>
      </w:r>
      <w:r>
        <w:rPr>
          <w:sz w:val="20"/>
        </w:rPr>
        <w:t>poder</w:t>
      </w:r>
      <w:r>
        <w:rPr>
          <w:spacing w:val="-5"/>
          <w:sz w:val="20"/>
        </w:rPr>
        <w:t xml:space="preserve"> </w:t>
      </w:r>
      <w:r>
        <w:rPr>
          <w:sz w:val="20"/>
        </w:rPr>
        <w:t>adjudicador</w:t>
      </w:r>
      <w:r>
        <w:rPr>
          <w:spacing w:val="-4"/>
          <w:sz w:val="20"/>
        </w:rPr>
        <w:t xml:space="preserve"> </w:t>
      </w:r>
      <w:r>
        <w:rPr>
          <w:sz w:val="20"/>
        </w:rPr>
        <w:t>o</w:t>
      </w:r>
      <w:r>
        <w:rPr>
          <w:spacing w:val="-4"/>
          <w:sz w:val="20"/>
        </w:rPr>
        <w:t xml:space="preserve"> </w:t>
      </w:r>
      <w:r>
        <w:rPr>
          <w:sz w:val="20"/>
        </w:rPr>
        <w:t>entidad</w:t>
      </w:r>
      <w:r>
        <w:rPr>
          <w:spacing w:val="-5"/>
          <w:sz w:val="20"/>
        </w:rPr>
        <w:t xml:space="preserve"> </w:t>
      </w:r>
      <w:r>
        <w:rPr>
          <w:sz w:val="20"/>
        </w:rPr>
        <w:t>adjudicadora</w:t>
      </w:r>
      <w:r>
        <w:rPr>
          <w:spacing w:val="-4"/>
          <w:sz w:val="20"/>
        </w:rPr>
        <w:t xml:space="preserve"> </w:t>
      </w:r>
      <w:r>
        <w:rPr>
          <w:sz w:val="20"/>
        </w:rPr>
        <w:t>y</w:t>
      </w:r>
      <w:r>
        <w:rPr>
          <w:spacing w:val="-5"/>
          <w:sz w:val="20"/>
        </w:rPr>
        <w:t xml:space="preserve"> </w:t>
      </w:r>
      <w:r>
        <w:rPr>
          <w:sz w:val="20"/>
        </w:rPr>
        <w:t>principal</w:t>
      </w:r>
      <w:r>
        <w:rPr>
          <w:spacing w:val="-4"/>
          <w:sz w:val="20"/>
        </w:rPr>
        <w:t xml:space="preserve"> </w:t>
      </w:r>
      <w:r>
        <w:rPr>
          <w:sz w:val="20"/>
        </w:rPr>
        <w:t>actividad</w:t>
      </w:r>
      <w:r>
        <w:rPr>
          <w:spacing w:val="-4"/>
          <w:sz w:val="20"/>
        </w:rPr>
        <w:t xml:space="preserve"> </w:t>
      </w:r>
      <w:r>
        <w:rPr>
          <w:spacing w:val="-2"/>
          <w:sz w:val="20"/>
        </w:rPr>
        <w:t>desarrollada.</w:t>
      </w:r>
    </w:p>
    <w:p w:rsidR="0092635B" w:rsidRDefault="00000000">
      <w:pPr>
        <w:pStyle w:val="Prrafodelista"/>
        <w:numPr>
          <w:ilvl w:val="0"/>
          <w:numId w:val="6"/>
        </w:numPr>
        <w:tabs>
          <w:tab w:val="left" w:pos="1668"/>
        </w:tabs>
        <w:spacing w:before="10"/>
        <w:ind w:left="1668" w:right="0" w:hanging="222"/>
        <w:jc w:val="both"/>
        <w:rPr>
          <w:sz w:val="20"/>
        </w:rPr>
      </w:pPr>
      <w:r>
        <w:rPr>
          <w:sz w:val="20"/>
        </w:rPr>
        <w:t>Códigos</w:t>
      </w:r>
      <w:r>
        <w:rPr>
          <w:spacing w:val="-2"/>
          <w:sz w:val="20"/>
        </w:rPr>
        <w:t xml:space="preserve"> </w:t>
      </w:r>
      <w:r>
        <w:rPr>
          <w:spacing w:val="-4"/>
          <w:sz w:val="20"/>
        </w:rPr>
        <w:t>CPV.</w:t>
      </w:r>
    </w:p>
    <w:p w:rsidR="0092635B" w:rsidRDefault="00000000">
      <w:pPr>
        <w:pStyle w:val="Prrafodelista"/>
        <w:numPr>
          <w:ilvl w:val="0"/>
          <w:numId w:val="6"/>
        </w:numPr>
        <w:tabs>
          <w:tab w:val="left" w:pos="1672"/>
        </w:tabs>
        <w:spacing w:before="10" w:line="249" w:lineRule="auto"/>
        <w:ind w:firstLine="340"/>
        <w:jc w:val="both"/>
        <w:rPr>
          <w:sz w:val="20"/>
        </w:rPr>
      </w:pPr>
      <w:r>
        <w:rPr>
          <w:sz w:val="20"/>
        </w:rPr>
        <w:t>Código NUTS del emplazamiento principal de las obras, en el caso de concesiones de obras, o del lugar principal de prestación, tratándose de concesiones de servicios.</w:t>
      </w:r>
    </w:p>
    <w:p w:rsidR="0092635B" w:rsidRDefault="00000000">
      <w:pPr>
        <w:pStyle w:val="Prrafodelista"/>
        <w:numPr>
          <w:ilvl w:val="0"/>
          <w:numId w:val="6"/>
        </w:numPr>
        <w:tabs>
          <w:tab w:val="left" w:pos="1734"/>
        </w:tabs>
        <w:spacing w:line="249" w:lineRule="auto"/>
        <w:ind w:right="1105" w:firstLine="340"/>
        <w:jc w:val="both"/>
        <w:rPr>
          <w:sz w:val="20"/>
        </w:rPr>
      </w:pPr>
      <w:r>
        <w:rPr>
          <w:sz w:val="20"/>
        </w:rPr>
        <w:t>Descripción de la concesión: naturaleza y magnitud de las obras, naturaleza y magnitud de los servicios, duración del contrato. Cuando la concesión esté dividida en lotes, esta información se facilitará para cada lote. Si procede, descripción de posibles variantes.</w:t>
      </w:r>
    </w:p>
    <w:p w:rsidR="0092635B" w:rsidRDefault="00000000">
      <w:pPr>
        <w:pStyle w:val="Prrafodelista"/>
        <w:numPr>
          <w:ilvl w:val="0"/>
          <w:numId w:val="6"/>
        </w:numPr>
        <w:tabs>
          <w:tab w:val="left" w:pos="1689"/>
        </w:tabs>
        <w:spacing w:before="3" w:line="249" w:lineRule="auto"/>
        <w:ind w:right="1104" w:firstLine="340"/>
        <w:jc w:val="both"/>
        <w:rPr>
          <w:sz w:val="20"/>
        </w:rPr>
      </w:pPr>
      <w:r>
        <w:rPr>
          <w:sz w:val="20"/>
        </w:rPr>
        <w:t>Descripción del procedimiento de adjudicación utilizado; en caso de adjudicación sin publicación previa, justificación de la misma.</w:t>
      </w:r>
    </w:p>
    <w:p w:rsidR="0092635B" w:rsidRDefault="00000000">
      <w:pPr>
        <w:pStyle w:val="Prrafodelista"/>
        <w:numPr>
          <w:ilvl w:val="0"/>
          <w:numId w:val="6"/>
        </w:numPr>
        <w:tabs>
          <w:tab w:val="left" w:pos="1716"/>
        </w:tabs>
        <w:spacing w:before="1" w:line="249" w:lineRule="auto"/>
        <w:ind w:right="1104" w:firstLine="340"/>
        <w:jc w:val="both"/>
        <w:rPr>
          <w:sz w:val="20"/>
        </w:rPr>
      </w:pPr>
      <w:r>
        <w:rPr>
          <w:sz w:val="20"/>
        </w:rPr>
        <w:t>Criterios previstos en el artículo 145 que se utilizarán para la adjudicación de la concesión o concesiones.</w:t>
      </w:r>
    </w:p>
    <w:p w:rsidR="0092635B" w:rsidRDefault="00000000">
      <w:pPr>
        <w:pStyle w:val="Prrafodelista"/>
        <w:numPr>
          <w:ilvl w:val="0"/>
          <w:numId w:val="6"/>
        </w:numPr>
        <w:tabs>
          <w:tab w:val="left" w:pos="1668"/>
        </w:tabs>
        <w:ind w:left="1668" w:right="0" w:hanging="222"/>
        <w:jc w:val="both"/>
        <w:rPr>
          <w:sz w:val="20"/>
        </w:rPr>
      </w:pPr>
      <w:r>
        <w:rPr>
          <w:sz w:val="20"/>
        </w:rPr>
        <w:t>Fecha</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decisión</w:t>
      </w:r>
      <w:r>
        <w:rPr>
          <w:spacing w:val="-3"/>
          <w:sz w:val="20"/>
        </w:rPr>
        <w:t xml:space="preserve"> </w:t>
      </w:r>
      <w:r>
        <w:rPr>
          <w:sz w:val="20"/>
        </w:rPr>
        <w:t>o</w:t>
      </w:r>
      <w:r>
        <w:rPr>
          <w:spacing w:val="-2"/>
          <w:sz w:val="20"/>
        </w:rPr>
        <w:t xml:space="preserve"> </w:t>
      </w:r>
      <w:r>
        <w:rPr>
          <w:sz w:val="20"/>
        </w:rPr>
        <w:t>decisiones</w:t>
      </w:r>
      <w:r>
        <w:rPr>
          <w:spacing w:val="-3"/>
          <w:sz w:val="20"/>
        </w:rPr>
        <w:t xml:space="preserve"> </w:t>
      </w:r>
      <w:r>
        <w:rPr>
          <w:sz w:val="20"/>
        </w:rPr>
        <w:t>de</w:t>
      </w:r>
      <w:r>
        <w:rPr>
          <w:spacing w:val="-3"/>
          <w:sz w:val="20"/>
        </w:rPr>
        <w:t xml:space="preserve"> </w:t>
      </w:r>
      <w:r>
        <w:rPr>
          <w:sz w:val="20"/>
        </w:rPr>
        <w:t>adjudicación</w:t>
      </w:r>
      <w:r>
        <w:rPr>
          <w:spacing w:val="-2"/>
          <w:sz w:val="20"/>
        </w:rPr>
        <w:t xml:space="preserve"> </w:t>
      </w:r>
      <w:r>
        <w:rPr>
          <w:sz w:val="20"/>
        </w:rPr>
        <w:t>de</w:t>
      </w:r>
      <w:r>
        <w:rPr>
          <w:spacing w:val="-3"/>
          <w:sz w:val="20"/>
        </w:rPr>
        <w:t xml:space="preserve"> </w:t>
      </w:r>
      <w:r>
        <w:rPr>
          <w:sz w:val="20"/>
        </w:rPr>
        <w:t>las</w:t>
      </w:r>
      <w:r>
        <w:rPr>
          <w:spacing w:val="-2"/>
          <w:sz w:val="20"/>
        </w:rPr>
        <w:t xml:space="preserve"> concesiones.</w:t>
      </w:r>
    </w:p>
    <w:p w:rsidR="0092635B" w:rsidRDefault="00000000">
      <w:pPr>
        <w:pStyle w:val="Prrafodelista"/>
        <w:numPr>
          <w:ilvl w:val="0"/>
          <w:numId w:val="6"/>
        </w:numPr>
        <w:tabs>
          <w:tab w:val="left" w:pos="1668"/>
        </w:tabs>
        <w:spacing w:before="10"/>
        <w:ind w:left="1668" w:right="0" w:hanging="222"/>
        <w:jc w:val="both"/>
        <w:rPr>
          <w:sz w:val="20"/>
        </w:rPr>
      </w:pPr>
      <w:r>
        <w:rPr>
          <w:sz w:val="20"/>
        </w:rPr>
        <w:t>Número</w:t>
      </w:r>
      <w:r>
        <w:rPr>
          <w:spacing w:val="-4"/>
          <w:sz w:val="20"/>
        </w:rPr>
        <w:t xml:space="preserve"> </w:t>
      </w:r>
      <w:r>
        <w:rPr>
          <w:sz w:val="20"/>
        </w:rPr>
        <w:t>de</w:t>
      </w:r>
      <w:r>
        <w:rPr>
          <w:spacing w:val="-2"/>
          <w:sz w:val="20"/>
        </w:rPr>
        <w:t xml:space="preserve"> </w:t>
      </w:r>
      <w:r>
        <w:rPr>
          <w:sz w:val="20"/>
        </w:rPr>
        <w:t>ofertas</w:t>
      </w:r>
      <w:r>
        <w:rPr>
          <w:spacing w:val="-2"/>
          <w:sz w:val="20"/>
        </w:rPr>
        <w:t xml:space="preserve"> </w:t>
      </w:r>
      <w:r>
        <w:rPr>
          <w:sz w:val="20"/>
        </w:rPr>
        <w:t>recibidas</w:t>
      </w:r>
      <w:r>
        <w:rPr>
          <w:spacing w:val="-1"/>
          <w:sz w:val="20"/>
        </w:rPr>
        <w:t xml:space="preserve"> </w:t>
      </w:r>
      <w:r>
        <w:rPr>
          <w:sz w:val="20"/>
        </w:rPr>
        <w:t>para</w:t>
      </w:r>
      <w:r>
        <w:rPr>
          <w:spacing w:val="-2"/>
          <w:sz w:val="20"/>
        </w:rPr>
        <w:t xml:space="preserve"> </w:t>
      </w:r>
      <w:r>
        <w:rPr>
          <w:sz w:val="20"/>
        </w:rPr>
        <w:t>cada</w:t>
      </w:r>
      <w:r>
        <w:rPr>
          <w:spacing w:val="-2"/>
          <w:sz w:val="20"/>
        </w:rPr>
        <w:t xml:space="preserve"> </w:t>
      </w:r>
      <w:r>
        <w:rPr>
          <w:sz w:val="20"/>
        </w:rPr>
        <w:t>adjudicación,</w:t>
      </w:r>
      <w:r>
        <w:rPr>
          <w:spacing w:val="-1"/>
          <w:sz w:val="20"/>
        </w:rPr>
        <w:t xml:space="preserve"> </w:t>
      </w:r>
      <w:r>
        <w:rPr>
          <w:spacing w:val="-2"/>
          <w:sz w:val="20"/>
        </w:rPr>
        <w:t>especificando:</w:t>
      </w:r>
    </w:p>
    <w:p w:rsidR="0092635B" w:rsidRDefault="00000000">
      <w:pPr>
        <w:pStyle w:val="Prrafodelista"/>
        <w:numPr>
          <w:ilvl w:val="1"/>
          <w:numId w:val="6"/>
        </w:numPr>
        <w:tabs>
          <w:tab w:val="left" w:pos="1733"/>
        </w:tabs>
        <w:spacing w:before="130" w:line="249" w:lineRule="auto"/>
        <w:ind w:right="1105" w:firstLine="340"/>
        <w:rPr>
          <w:sz w:val="20"/>
        </w:rPr>
      </w:pPr>
      <w:r>
        <w:rPr>
          <w:sz w:val="20"/>
        </w:rPr>
        <w:t>El</w:t>
      </w:r>
      <w:r>
        <w:rPr>
          <w:spacing w:val="40"/>
          <w:sz w:val="20"/>
        </w:rPr>
        <w:t xml:space="preserve"> </w:t>
      </w:r>
      <w:r>
        <w:rPr>
          <w:sz w:val="20"/>
        </w:rPr>
        <w:t>número</w:t>
      </w:r>
      <w:r>
        <w:rPr>
          <w:spacing w:val="40"/>
          <w:sz w:val="20"/>
        </w:rPr>
        <w:t xml:space="preserve"> </w:t>
      </w:r>
      <w:r>
        <w:rPr>
          <w:sz w:val="20"/>
        </w:rPr>
        <w:t>de</w:t>
      </w:r>
      <w:r>
        <w:rPr>
          <w:spacing w:val="40"/>
          <w:sz w:val="20"/>
        </w:rPr>
        <w:t xml:space="preserve"> </w:t>
      </w:r>
      <w:r>
        <w:rPr>
          <w:sz w:val="20"/>
        </w:rPr>
        <w:t>ofertas</w:t>
      </w:r>
      <w:r>
        <w:rPr>
          <w:spacing w:val="40"/>
          <w:sz w:val="20"/>
        </w:rPr>
        <w:t xml:space="preserve"> </w:t>
      </w:r>
      <w:r>
        <w:rPr>
          <w:sz w:val="20"/>
        </w:rPr>
        <w:t>recibidas</w:t>
      </w:r>
      <w:r>
        <w:rPr>
          <w:spacing w:val="40"/>
          <w:sz w:val="20"/>
        </w:rPr>
        <w:t xml:space="preserve"> </w:t>
      </w:r>
      <w:r>
        <w:rPr>
          <w:sz w:val="20"/>
        </w:rPr>
        <w:t>de</w:t>
      </w:r>
      <w:r>
        <w:rPr>
          <w:spacing w:val="40"/>
          <w:sz w:val="20"/>
        </w:rPr>
        <w:t xml:space="preserve"> </w:t>
      </w:r>
      <w:r>
        <w:rPr>
          <w:sz w:val="20"/>
        </w:rPr>
        <w:t>operadores</w:t>
      </w:r>
      <w:r>
        <w:rPr>
          <w:spacing w:val="40"/>
          <w:sz w:val="20"/>
        </w:rPr>
        <w:t xml:space="preserve"> </w:t>
      </w:r>
      <w:r>
        <w:rPr>
          <w:sz w:val="20"/>
        </w:rPr>
        <w:t>económicos</w:t>
      </w:r>
      <w:r>
        <w:rPr>
          <w:spacing w:val="40"/>
          <w:sz w:val="20"/>
        </w:rPr>
        <w:t xml:space="preserve"> </w:t>
      </w:r>
      <w:r>
        <w:rPr>
          <w:sz w:val="20"/>
        </w:rPr>
        <w:t>que</w:t>
      </w:r>
      <w:r>
        <w:rPr>
          <w:spacing w:val="40"/>
          <w:sz w:val="20"/>
        </w:rPr>
        <w:t xml:space="preserve"> </w:t>
      </w:r>
      <w:r>
        <w:rPr>
          <w:sz w:val="20"/>
        </w:rPr>
        <w:t>son</w:t>
      </w:r>
      <w:r>
        <w:rPr>
          <w:spacing w:val="40"/>
          <w:sz w:val="20"/>
        </w:rPr>
        <w:t xml:space="preserve"> </w:t>
      </w:r>
      <w:r>
        <w:rPr>
          <w:sz w:val="20"/>
        </w:rPr>
        <w:t>pequeñas</w:t>
      </w:r>
      <w:r>
        <w:rPr>
          <w:spacing w:val="40"/>
          <w:sz w:val="20"/>
        </w:rPr>
        <w:t xml:space="preserve"> </w:t>
      </w:r>
      <w:r>
        <w:rPr>
          <w:sz w:val="20"/>
        </w:rPr>
        <w:t>y medianas empresas;</w:t>
      </w:r>
    </w:p>
    <w:p w:rsidR="0092635B" w:rsidRDefault="00000000">
      <w:pPr>
        <w:pStyle w:val="Prrafodelista"/>
        <w:numPr>
          <w:ilvl w:val="1"/>
          <w:numId w:val="6"/>
        </w:numPr>
        <w:tabs>
          <w:tab w:val="left" w:pos="1679"/>
        </w:tabs>
        <w:spacing w:before="1"/>
        <w:ind w:left="1679" w:right="0" w:hanging="233"/>
        <w:rPr>
          <w:sz w:val="20"/>
        </w:rPr>
      </w:pPr>
      <w:r>
        <w:rPr>
          <w:sz w:val="20"/>
        </w:rPr>
        <w:t>El</w:t>
      </w:r>
      <w:r>
        <w:rPr>
          <w:spacing w:val="-2"/>
          <w:sz w:val="20"/>
        </w:rPr>
        <w:t xml:space="preserve"> </w:t>
      </w:r>
      <w:r>
        <w:rPr>
          <w:sz w:val="20"/>
        </w:rPr>
        <w:t>número</w:t>
      </w:r>
      <w:r>
        <w:rPr>
          <w:spacing w:val="-1"/>
          <w:sz w:val="20"/>
        </w:rPr>
        <w:t xml:space="preserve"> </w:t>
      </w:r>
      <w:r>
        <w:rPr>
          <w:sz w:val="20"/>
        </w:rPr>
        <w:t>de</w:t>
      </w:r>
      <w:r>
        <w:rPr>
          <w:spacing w:val="-2"/>
          <w:sz w:val="20"/>
        </w:rPr>
        <w:t xml:space="preserve"> </w:t>
      </w:r>
      <w:r>
        <w:rPr>
          <w:sz w:val="20"/>
        </w:rPr>
        <w:t>ofertas</w:t>
      </w:r>
      <w:r>
        <w:rPr>
          <w:spacing w:val="-1"/>
          <w:sz w:val="20"/>
        </w:rPr>
        <w:t xml:space="preserve"> </w:t>
      </w:r>
      <w:r>
        <w:rPr>
          <w:sz w:val="20"/>
        </w:rPr>
        <w:t>recibidas</w:t>
      </w:r>
      <w:r>
        <w:rPr>
          <w:spacing w:val="-2"/>
          <w:sz w:val="20"/>
        </w:rPr>
        <w:t xml:space="preserve"> </w:t>
      </w:r>
      <w:r>
        <w:rPr>
          <w:sz w:val="20"/>
        </w:rPr>
        <w:t>del</w:t>
      </w:r>
      <w:r>
        <w:rPr>
          <w:spacing w:val="-1"/>
          <w:sz w:val="20"/>
        </w:rPr>
        <w:t xml:space="preserve"> </w:t>
      </w:r>
      <w:r>
        <w:rPr>
          <w:spacing w:val="-2"/>
          <w:sz w:val="20"/>
        </w:rPr>
        <w:t>extranjero;</w:t>
      </w:r>
    </w:p>
    <w:p w:rsidR="0092635B" w:rsidRDefault="00000000">
      <w:pPr>
        <w:pStyle w:val="Prrafodelista"/>
        <w:numPr>
          <w:ilvl w:val="1"/>
          <w:numId w:val="6"/>
        </w:numPr>
        <w:tabs>
          <w:tab w:val="left" w:pos="1668"/>
        </w:tabs>
        <w:spacing w:before="11"/>
        <w:ind w:left="1668" w:right="0" w:hanging="222"/>
        <w:rPr>
          <w:sz w:val="20"/>
        </w:rPr>
      </w:pPr>
      <w:r>
        <w:rPr>
          <w:sz w:val="20"/>
        </w:rPr>
        <w:t>El</w:t>
      </w:r>
      <w:r>
        <w:rPr>
          <w:spacing w:val="-2"/>
          <w:sz w:val="20"/>
        </w:rPr>
        <w:t xml:space="preserve"> </w:t>
      </w:r>
      <w:r>
        <w:rPr>
          <w:sz w:val="20"/>
        </w:rPr>
        <w:t>número</w:t>
      </w:r>
      <w:r>
        <w:rPr>
          <w:spacing w:val="-1"/>
          <w:sz w:val="20"/>
        </w:rPr>
        <w:t xml:space="preserve"> </w:t>
      </w:r>
      <w:r>
        <w:rPr>
          <w:sz w:val="20"/>
        </w:rPr>
        <w:t>de</w:t>
      </w:r>
      <w:r>
        <w:rPr>
          <w:spacing w:val="-1"/>
          <w:sz w:val="20"/>
        </w:rPr>
        <w:t xml:space="preserve"> </w:t>
      </w:r>
      <w:r>
        <w:rPr>
          <w:sz w:val="20"/>
        </w:rPr>
        <w:t>ofertas</w:t>
      </w:r>
      <w:r>
        <w:rPr>
          <w:spacing w:val="-2"/>
          <w:sz w:val="20"/>
        </w:rPr>
        <w:t xml:space="preserve"> </w:t>
      </w:r>
      <w:r>
        <w:rPr>
          <w:sz w:val="20"/>
        </w:rPr>
        <w:t>recibidas</w:t>
      </w:r>
      <w:r>
        <w:rPr>
          <w:spacing w:val="-1"/>
          <w:sz w:val="20"/>
        </w:rPr>
        <w:t xml:space="preserve"> </w:t>
      </w:r>
      <w:r>
        <w:rPr>
          <w:sz w:val="20"/>
        </w:rPr>
        <w:t>por</w:t>
      </w:r>
      <w:r>
        <w:rPr>
          <w:spacing w:val="-1"/>
          <w:sz w:val="20"/>
        </w:rPr>
        <w:t xml:space="preserve"> </w:t>
      </w:r>
      <w:r>
        <w:rPr>
          <w:sz w:val="20"/>
        </w:rPr>
        <w:t>vía</w:t>
      </w:r>
      <w:r>
        <w:rPr>
          <w:spacing w:val="-1"/>
          <w:sz w:val="20"/>
        </w:rPr>
        <w:t xml:space="preserve"> </w:t>
      </w:r>
      <w:r>
        <w:rPr>
          <w:spacing w:val="-2"/>
          <w:sz w:val="20"/>
        </w:rPr>
        <w:t>electrónica.</w:t>
      </w:r>
    </w:p>
    <w:p w:rsidR="0092635B" w:rsidRDefault="00000000">
      <w:pPr>
        <w:pStyle w:val="Prrafodelista"/>
        <w:numPr>
          <w:ilvl w:val="0"/>
          <w:numId w:val="6"/>
        </w:numPr>
        <w:tabs>
          <w:tab w:val="left" w:pos="1832"/>
        </w:tabs>
        <w:spacing w:before="130" w:line="249" w:lineRule="auto"/>
        <w:ind w:right="1102" w:firstLine="340"/>
        <w:jc w:val="both"/>
        <w:rPr>
          <w:sz w:val="20"/>
        </w:rPr>
      </w:pPr>
      <w:r>
        <w:rPr>
          <w:sz w:val="20"/>
        </w:rPr>
        <w:t>Para cada adjudicación, nombre, dirección (incluido el código NUTS), NIF, y, si procede, número de teléfono y de fax, y dirección electrónica y de internet del licitador o licitadores seleccionados, especificando:</w:t>
      </w:r>
    </w:p>
    <w:p w:rsidR="0092635B" w:rsidRDefault="00000000">
      <w:pPr>
        <w:pStyle w:val="Prrafodelista"/>
        <w:numPr>
          <w:ilvl w:val="1"/>
          <w:numId w:val="6"/>
        </w:numPr>
        <w:tabs>
          <w:tab w:val="left" w:pos="1679"/>
        </w:tabs>
        <w:spacing w:before="122"/>
        <w:ind w:left="1679" w:right="0" w:hanging="233"/>
        <w:rPr>
          <w:sz w:val="20"/>
        </w:rPr>
      </w:pPr>
      <w:r>
        <w:rPr>
          <w:sz w:val="20"/>
        </w:rPr>
        <w:t>Si</w:t>
      </w:r>
      <w:r>
        <w:rPr>
          <w:spacing w:val="-4"/>
          <w:sz w:val="20"/>
        </w:rPr>
        <w:t xml:space="preserve"> </w:t>
      </w:r>
      <w:r>
        <w:rPr>
          <w:sz w:val="20"/>
        </w:rPr>
        <w:t>el</w:t>
      </w:r>
      <w:r>
        <w:rPr>
          <w:spacing w:val="-3"/>
          <w:sz w:val="20"/>
        </w:rPr>
        <w:t xml:space="preserve"> </w:t>
      </w:r>
      <w:r>
        <w:rPr>
          <w:sz w:val="20"/>
        </w:rPr>
        <w:t>licitador</w:t>
      </w:r>
      <w:r>
        <w:rPr>
          <w:spacing w:val="-3"/>
          <w:sz w:val="20"/>
        </w:rPr>
        <w:t xml:space="preserve"> </w:t>
      </w:r>
      <w:r>
        <w:rPr>
          <w:sz w:val="20"/>
        </w:rPr>
        <w:t>adjudicatario</w:t>
      </w:r>
      <w:r>
        <w:rPr>
          <w:spacing w:val="-3"/>
          <w:sz w:val="20"/>
        </w:rPr>
        <w:t xml:space="preserve"> </w:t>
      </w:r>
      <w:r>
        <w:rPr>
          <w:sz w:val="20"/>
        </w:rPr>
        <w:t>es</w:t>
      </w:r>
      <w:r>
        <w:rPr>
          <w:spacing w:val="-3"/>
          <w:sz w:val="20"/>
        </w:rPr>
        <w:t xml:space="preserve"> </w:t>
      </w:r>
      <w:r>
        <w:rPr>
          <w:sz w:val="20"/>
        </w:rPr>
        <w:t>una</w:t>
      </w:r>
      <w:r>
        <w:rPr>
          <w:spacing w:val="-3"/>
          <w:sz w:val="20"/>
        </w:rPr>
        <w:t xml:space="preserve"> </w:t>
      </w:r>
      <w:r>
        <w:rPr>
          <w:sz w:val="20"/>
        </w:rPr>
        <w:t>pequeña</w:t>
      </w:r>
      <w:r>
        <w:rPr>
          <w:spacing w:val="-3"/>
          <w:sz w:val="20"/>
        </w:rPr>
        <w:t xml:space="preserve"> </w:t>
      </w:r>
      <w:r>
        <w:rPr>
          <w:sz w:val="20"/>
        </w:rPr>
        <w:t>y</w:t>
      </w:r>
      <w:r>
        <w:rPr>
          <w:spacing w:val="-3"/>
          <w:sz w:val="20"/>
        </w:rPr>
        <w:t xml:space="preserve"> </w:t>
      </w:r>
      <w:r>
        <w:rPr>
          <w:sz w:val="20"/>
        </w:rPr>
        <w:t>mediana</w:t>
      </w:r>
      <w:r>
        <w:rPr>
          <w:spacing w:val="-3"/>
          <w:sz w:val="20"/>
        </w:rPr>
        <w:t xml:space="preserve"> </w:t>
      </w:r>
      <w:r>
        <w:rPr>
          <w:spacing w:val="-2"/>
          <w:sz w:val="20"/>
        </w:rPr>
        <w:t>empresa;</w:t>
      </w:r>
    </w:p>
    <w:p w:rsidR="0092635B" w:rsidRDefault="00000000">
      <w:pPr>
        <w:pStyle w:val="Prrafodelista"/>
        <w:numPr>
          <w:ilvl w:val="1"/>
          <w:numId w:val="6"/>
        </w:numPr>
        <w:tabs>
          <w:tab w:val="left" w:pos="1679"/>
        </w:tabs>
        <w:spacing w:before="10"/>
        <w:ind w:left="1679" w:right="0" w:hanging="233"/>
        <w:rPr>
          <w:sz w:val="20"/>
        </w:rPr>
      </w:pPr>
      <w:r>
        <w:rPr>
          <w:sz w:val="20"/>
        </w:rPr>
        <w:t>Si</w:t>
      </w:r>
      <w:r>
        <w:rPr>
          <w:spacing w:val="-3"/>
          <w:sz w:val="20"/>
        </w:rPr>
        <w:t xml:space="preserve"> </w:t>
      </w:r>
      <w:r>
        <w:rPr>
          <w:sz w:val="20"/>
        </w:rPr>
        <w:t>la</w:t>
      </w:r>
      <w:r>
        <w:rPr>
          <w:spacing w:val="-3"/>
          <w:sz w:val="20"/>
        </w:rPr>
        <w:t xml:space="preserve"> </w:t>
      </w:r>
      <w:r>
        <w:rPr>
          <w:sz w:val="20"/>
        </w:rPr>
        <w:t>concesión</w:t>
      </w:r>
      <w:r>
        <w:rPr>
          <w:spacing w:val="-3"/>
          <w:sz w:val="20"/>
        </w:rPr>
        <w:t xml:space="preserve"> </w:t>
      </w:r>
      <w:r>
        <w:rPr>
          <w:sz w:val="20"/>
        </w:rPr>
        <w:t>se</w:t>
      </w:r>
      <w:r>
        <w:rPr>
          <w:spacing w:val="-2"/>
          <w:sz w:val="20"/>
        </w:rPr>
        <w:t xml:space="preserve"> </w:t>
      </w:r>
      <w:r>
        <w:rPr>
          <w:sz w:val="20"/>
        </w:rPr>
        <w:t>ha</w:t>
      </w:r>
      <w:r>
        <w:rPr>
          <w:spacing w:val="-3"/>
          <w:sz w:val="20"/>
        </w:rPr>
        <w:t xml:space="preserve"> </w:t>
      </w:r>
      <w:r>
        <w:rPr>
          <w:sz w:val="20"/>
        </w:rPr>
        <w:t>adjudicado</w:t>
      </w:r>
      <w:r>
        <w:rPr>
          <w:spacing w:val="-3"/>
          <w:sz w:val="20"/>
        </w:rPr>
        <w:t xml:space="preserve"> </w:t>
      </w:r>
      <w:r>
        <w:rPr>
          <w:sz w:val="20"/>
        </w:rPr>
        <w:t>a</w:t>
      </w:r>
      <w:r>
        <w:rPr>
          <w:spacing w:val="-3"/>
          <w:sz w:val="20"/>
        </w:rPr>
        <w:t xml:space="preserve"> </w:t>
      </w:r>
      <w:r>
        <w:rPr>
          <w:sz w:val="20"/>
        </w:rPr>
        <w:t>un</w:t>
      </w:r>
      <w:r>
        <w:rPr>
          <w:spacing w:val="-2"/>
          <w:sz w:val="20"/>
        </w:rPr>
        <w:t xml:space="preserve"> consorcio.</w:t>
      </w:r>
    </w:p>
    <w:p w:rsidR="0092635B" w:rsidRDefault="00000000">
      <w:pPr>
        <w:pStyle w:val="Prrafodelista"/>
        <w:numPr>
          <w:ilvl w:val="0"/>
          <w:numId w:val="6"/>
        </w:numPr>
        <w:tabs>
          <w:tab w:val="left" w:pos="1764"/>
        </w:tabs>
        <w:spacing w:before="130"/>
        <w:ind w:left="1764" w:right="0" w:hanging="318"/>
        <w:rPr>
          <w:sz w:val="20"/>
        </w:rPr>
      </w:pPr>
      <w:r>
        <w:rPr>
          <w:sz w:val="20"/>
        </w:rPr>
        <w:t>Valor</w:t>
      </w:r>
      <w:r>
        <w:rPr>
          <w:spacing w:val="-3"/>
          <w:sz w:val="20"/>
        </w:rPr>
        <w:t xml:space="preserve"> </w:t>
      </w:r>
      <w:r>
        <w:rPr>
          <w:sz w:val="20"/>
        </w:rPr>
        <w:t>y</w:t>
      </w:r>
      <w:r>
        <w:rPr>
          <w:spacing w:val="-3"/>
          <w:sz w:val="20"/>
        </w:rPr>
        <w:t xml:space="preserve"> </w:t>
      </w:r>
      <w:r>
        <w:rPr>
          <w:sz w:val="20"/>
        </w:rPr>
        <w:t>principales</w:t>
      </w:r>
      <w:r>
        <w:rPr>
          <w:spacing w:val="-2"/>
          <w:sz w:val="20"/>
        </w:rPr>
        <w:t xml:space="preserve"> </w:t>
      </w:r>
      <w:r>
        <w:rPr>
          <w:sz w:val="20"/>
        </w:rPr>
        <w:t>condiciones</w:t>
      </w:r>
      <w:r>
        <w:rPr>
          <w:spacing w:val="-3"/>
          <w:sz w:val="20"/>
        </w:rPr>
        <w:t xml:space="preserve"> </w:t>
      </w:r>
      <w:r>
        <w:rPr>
          <w:sz w:val="20"/>
        </w:rPr>
        <w:t>económicas</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concesión</w:t>
      </w:r>
      <w:r>
        <w:rPr>
          <w:spacing w:val="-2"/>
          <w:sz w:val="20"/>
        </w:rPr>
        <w:t xml:space="preserve"> </w:t>
      </w:r>
      <w:r>
        <w:rPr>
          <w:sz w:val="20"/>
        </w:rPr>
        <w:t>adjudicada,</w:t>
      </w:r>
      <w:r>
        <w:rPr>
          <w:spacing w:val="-3"/>
          <w:sz w:val="20"/>
        </w:rPr>
        <w:t xml:space="preserve"> </w:t>
      </w:r>
      <w:r>
        <w:rPr>
          <w:sz w:val="20"/>
        </w:rPr>
        <w:t>en</w:t>
      </w:r>
      <w:r>
        <w:rPr>
          <w:spacing w:val="-2"/>
          <w:sz w:val="20"/>
        </w:rPr>
        <w:t xml:space="preserve"> particular:</w:t>
      </w:r>
    </w:p>
    <w:p w:rsidR="0092635B" w:rsidRDefault="00000000">
      <w:pPr>
        <w:pStyle w:val="Prrafodelista"/>
        <w:numPr>
          <w:ilvl w:val="1"/>
          <w:numId w:val="6"/>
        </w:numPr>
        <w:tabs>
          <w:tab w:val="left" w:pos="1679"/>
        </w:tabs>
        <w:spacing w:before="130"/>
        <w:ind w:left="1679" w:right="0" w:hanging="233"/>
        <w:rPr>
          <w:sz w:val="20"/>
        </w:rPr>
      </w:pPr>
      <w:r>
        <w:rPr>
          <w:sz w:val="20"/>
        </w:rPr>
        <w:t>Honorarios,</w:t>
      </w:r>
      <w:r>
        <w:rPr>
          <w:spacing w:val="-1"/>
          <w:sz w:val="20"/>
        </w:rPr>
        <w:t xml:space="preserve"> </w:t>
      </w:r>
      <w:r>
        <w:rPr>
          <w:sz w:val="20"/>
        </w:rPr>
        <w:t xml:space="preserve">precios y multas de </w:t>
      </w:r>
      <w:r>
        <w:rPr>
          <w:spacing w:val="-2"/>
          <w:sz w:val="20"/>
        </w:rPr>
        <w:t>haberlas;</w:t>
      </w:r>
    </w:p>
    <w:p w:rsidR="0092635B" w:rsidRDefault="00000000">
      <w:pPr>
        <w:pStyle w:val="Prrafodelista"/>
        <w:numPr>
          <w:ilvl w:val="1"/>
          <w:numId w:val="6"/>
        </w:numPr>
        <w:tabs>
          <w:tab w:val="left" w:pos="1679"/>
        </w:tabs>
        <w:spacing w:before="10"/>
        <w:ind w:left="1679" w:right="0" w:hanging="233"/>
        <w:rPr>
          <w:sz w:val="20"/>
        </w:rPr>
      </w:pPr>
      <w:r>
        <w:rPr>
          <w:sz w:val="20"/>
        </w:rPr>
        <w:t>Primas</w:t>
      </w:r>
      <w:r>
        <w:rPr>
          <w:spacing w:val="-1"/>
          <w:sz w:val="20"/>
        </w:rPr>
        <w:t xml:space="preserve"> </w:t>
      </w:r>
      <w:r>
        <w:rPr>
          <w:sz w:val="20"/>
        </w:rPr>
        <w:t xml:space="preserve">y pagos de </w:t>
      </w:r>
      <w:r>
        <w:rPr>
          <w:spacing w:val="-2"/>
          <w:sz w:val="20"/>
        </w:rPr>
        <w:t>haberlos;</w:t>
      </w:r>
    </w:p>
    <w:p w:rsidR="0092635B" w:rsidRDefault="00000000">
      <w:pPr>
        <w:pStyle w:val="Prrafodelista"/>
        <w:numPr>
          <w:ilvl w:val="1"/>
          <w:numId w:val="6"/>
        </w:numPr>
        <w:tabs>
          <w:tab w:val="left" w:pos="1696"/>
        </w:tabs>
        <w:spacing w:before="10" w:line="249" w:lineRule="auto"/>
        <w:ind w:right="1105" w:firstLine="340"/>
        <w:rPr>
          <w:sz w:val="20"/>
        </w:rPr>
      </w:pPr>
      <w:r>
        <w:rPr>
          <w:sz w:val="20"/>
        </w:rPr>
        <w:t>Cualesquiera</w:t>
      </w:r>
      <w:r>
        <w:rPr>
          <w:spacing w:val="26"/>
          <w:sz w:val="20"/>
        </w:rPr>
        <w:t xml:space="preserve"> </w:t>
      </w:r>
      <w:r>
        <w:rPr>
          <w:sz w:val="20"/>
        </w:rPr>
        <w:t>otros</w:t>
      </w:r>
      <w:r>
        <w:rPr>
          <w:spacing w:val="26"/>
          <w:sz w:val="20"/>
        </w:rPr>
        <w:t xml:space="preserve"> </w:t>
      </w:r>
      <w:r>
        <w:rPr>
          <w:sz w:val="20"/>
        </w:rPr>
        <w:t>detalles</w:t>
      </w:r>
      <w:r>
        <w:rPr>
          <w:spacing w:val="26"/>
          <w:sz w:val="20"/>
        </w:rPr>
        <w:t xml:space="preserve"> </w:t>
      </w:r>
      <w:r>
        <w:rPr>
          <w:sz w:val="20"/>
        </w:rPr>
        <w:t>pertinentes</w:t>
      </w:r>
      <w:r>
        <w:rPr>
          <w:spacing w:val="26"/>
          <w:sz w:val="20"/>
        </w:rPr>
        <w:t xml:space="preserve"> </w:t>
      </w:r>
      <w:r>
        <w:rPr>
          <w:sz w:val="20"/>
        </w:rPr>
        <w:t>para</w:t>
      </w:r>
      <w:r>
        <w:rPr>
          <w:spacing w:val="26"/>
          <w:sz w:val="20"/>
        </w:rPr>
        <w:t xml:space="preserve"> </w:t>
      </w:r>
      <w:r>
        <w:rPr>
          <w:sz w:val="20"/>
        </w:rPr>
        <w:t>el</w:t>
      </w:r>
      <w:r>
        <w:rPr>
          <w:spacing w:val="26"/>
          <w:sz w:val="20"/>
        </w:rPr>
        <w:t xml:space="preserve"> </w:t>
      </w:r>
      <w:r>
        <w:rPr>
          <w:sz w:val="20"/>
        </w:rPr>
        <w:t>valor</w:t>
      </w:r>
      <w:r>
        <w:rPr>
          <w:spacing w:val="26"/>
          <w:sz w:val="20"/>
        </w:rPr>
        <w:t xml:space="preserve"> </w:t>
      </w:r>
      <w:r>
        <w:rPr>
          <w:sz w:val="20"/>
        </w:rPr>
        <w:t>de</w:t>
      </w:r>
      <w:r>
        <w:rPr>
          <w:spacing w:val="26"/>
          <w:sz w:val="20"/>
        </w:rPr>
        <w:t xml:space="preserve"> </w:t>
      </w:r>
      <w:r>
        <w:rPr>
          <w:sz w:val="20"/>
        </w:rPr>
        <w:t>la</w:t>
      </w:r>
      <w:r>
        <w:rPr>
          <w:spacing w:val="26"/>
          <w:sz w:val="20"/>
        </w:rPr>
        <w:t xml:space="preserve"> </w:t>
      </w:r>
      <w:r>
        <w:rPr>
          <w:sz w:val="20"/>
        </w:rPr>
        <w:t>concesión</w:t>
      </w:r>
      <w:r>
        <w:rPr>
          <w:spacing w:val="26"/>
          <w:sz w:val="20"/>
        </w:rPr>
        <w:t xml:space="preserve"> </w:t>
      </w:r>
      <w:r>
        <w:rPr>
          <w:sz w:val="20"/>
        </w:rPr>
        <w:t>conforme</w:t>
      </w:r>
      <w:r>
        <w:rPr>
          <w:spacing w:val="26"/>
          <w:sz w:val="20"/>
        </w:rPr>
        <w:t xml:space="preserve"> </w:t>
      </w:r>
      <w:r>
        <w:rPr>
          <w:sz w:val="20"/>
        </w:rPr>
        <w:t>a</w:t>
      </w:r>
      <w:r>
        <w:rPr>
          <w:spacing w:val="26"/>
          <w:sz w:val="20"/>
        </w:rPr>
        <w:t xml:space="preserve"> </w:t>
      </w:r>
      <w:r>
        <w:rPr>
          <w:sz w:val="20"/>
        </w:rPr>
        <w:t>lo establecido en el apartado 3 del artículo 101.</w:t>
      </w:r>
    </w:p>
    <w:p w:rsidR="0092635B" w:rsidRDefault="00000000">
      <w:pPr>
        <w:pStyle w:val="Prrafodelista"/>
        <w:numPr>
          <w:ilvl w:val="0"/>
          <w:numId w:val="6"/>
        </w:numPr>
        <w:tabs>
          <w:tab w:val="left" w:pos="1856"/>
        </w:tabs>
        <w:spacing w:before="122" w:line="249" w:lineRule="auto"/>
        <w:ind w:right="1105" w:firstLine="340"/>
        <w:jc w:val="both"/>
        <w:rPr>
          <w:sz w:val="20"/>
        </w:rPr>
      </w:pPr>
      <w:r>
        <w:rPr>
          <w:sz w:val="20"/>
        </w:rPr>
        <w:t>Información de si la concesión guarda relación con un proyecto o programa financiado por fondos de la Unión.</w:t>
      </w:r>
    </w:p>
    <w:p w:rsidR="0092635B" w:rsidRDefault="00000000">
      <w:pPr>
        <w:pStyle w:val="Prrafodelista"/>
        <w:numPr>
          <w:ilvl w:val="0"/>
          <w:numId w:val="6"/>
        </w:numPr>
        <w:tabs>
          <w:tab w:val="left" w:pos="1805"/>
        </w:tabs>
        <w:spacing w:before="1" w:line="249" w:lineRule="auto"/>
        <w:ind w:firstLine="340"/>
        <w:jc w:val="both"/>
        <w:rPr>
          <w:sz w:val="20"/>
        </w:rPr>
      </w:pPr>
      <w:r>
        <w:rPr>
          <w:sz w:val="20"/>
        </w:rPr>
        <w:t>Nombre y dirección del órgano responsable de los procedimientos de recurso y, si procede, de mediación. Indicación precisa del plazo de presentación de recursos o, en caso necesario, el nombre, dirección, números de teléfono y de fax y dirección electrónica del servicio del que pueda obtenerse dicha información.</w:t>
      </w:r>
    </w:p>
    <w:p w:rsidR="0092635B" w:rsidRDefault="00000000">
      <w:pPr>
        <w:pStyle w:val="Prrafodelista"/>
        <w:numPr>
          <w:ilvl w:val="0"/>
          <w:numId w:val="6"/>
        </w:numPr>
        <w:tabs>
          <w:tab w:val="left" w:pos="1810"/>
        </w:tabs>
        <w:spacing w:before="4" w:line="249" w:lineRule="auto"/>
        <w:ind w:firstLine="340"/>
        <w:jc w:val="both"/>
        <w:rPr>
          <w:sz w:val="20"/>
        </w:rPr>
      </w:pPr>
      <w:r>
        <w:rPr>
          <w:sz w:val="20"/>
        </w:rPr>
        <w:t>Fechas y referencias de anteriores publicaciones en el «Diario Oficial de la Unión Europea» que guarden relación con la concesión o concesiones objeto del anuncio.</w:t>
      </w:r>
    </w:p>
    <w:p w:rsidR="0092635B" w:rsidRDefault="00000000">
      <w:pPr>
        <w:pStyle w:val="Prrafodelista"/>
        <w:numPr>
          <w:ilvl w:val="0"/>
          <w:numId w:val="6"/>
        </w:numPr>
        <w:tabs>
          <w:tab w:val="left" w:pos="1779"/>
        </w:tabs>
        <w:spacing w:before="1"/>
        <w:ind w:left="1779" w:right="0" w:hanging="333"/>
        <w:jc w:val="both"/>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6"/>
        </w:numPr>
        <w:tabs>
          <w:tab w:val="left" w:pos="1792"/>
        </w:tabs>
        <w:spacing w:before="10" w:line="249" w:lineRule="auto"/>
        <w:ind w:right="1105" w:firstLine="340"/>
        <w:jc w:val="both"/>
        <w:rPr>
          <w:sz w:val="20"/>
        </w:rPr>
      </w:pPr>
      <w:r>
        <w:rPr>
          <w:sz w:val="20"/>
        </w:rPr>
        <w:t>Método utilizado para calcular el valor estimado de la concesión, si no se especifica en otros documentos relativos a la concesión de conformidad con el artículo 101.</w:t>
      </w:r>
    </w:p>
    <w:p w:rsidR="0092635B" w:rsidRDefault="00000000">
      <w:pPr>
        <w:pStyle w:val="Prrafodelista"/>
        <w:numPr>
          <w:ilvl w:val="0"/>
          <w:numId w:val="6"/>
        </w:numPr>
        <w:tabs>
          <w:tab w:val="left" w:pos="1779"/>
        </w:tabs>
        <w:ind w:left="1779" w:right="0" w:hanging="333"/>
        <w:jc w:val="both"/>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06"/>
      </w:pPr>
      <w:r>
        <w:t>Sección 3. Información que debe figurar en los anuncios de información previa de concesiones de servicios especiales del anexo IV:</w:t>
      </w:r>
    </w:p>
    <w:p w:rsidR="0092635B" w:rsidRDefault="00000000">
      <w:pPr>
        <w:pStyle w:val="Prrafodelista"/>
        <w:numPr>
          <w:ilvl w:val="0"/>
          <w:numId w:val="5"/>
        </w:numPr>
        <w:tabs>
          <w:tab w:val="left" w:pos="1705"/>
        </w:tabs>
        <w:spacing w:before="122" w:line="249" w:lineRule="auto"/>
        <w:ind w:firstLine="340"/>
        <w:jc w:val="both"/>
        <w:rPr>
          <w:sz w:val="20"/>
        </w:rPr>
      </w:pPr>
      <w:r>
        <w:rPr>
          <w:sz w:val="20"/>
        </w:rPr>
        <w:t xml:space="preserve">Nombre, número de identificación, dirección (incluido el código NUTS), número de teléfono y de fax, y dirección electrónica y de internet del poder adjudicador o la entidad adjudicadora y, en caso de ser diferente, del servicio del que pueda obtenerse información </w:t>
      </w:r>
      <w:r>
        <w:rPr>
          <w:spacing w:val="-2"/>
          <w:sz w:val="20"/>
        </w:rPr>
        <w:t>complementaria.</w:t>
      </w:r>
    </w:p>
    <w:p w:rsidR="0092635B" w:rsidRDefault="0092635B">
      <w:pPr>
        <w:pStyle w:val="Prrafodelista"/>
        <w:spacing w:line="249" w:lineRule="auto"/>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5"/>
        </w:numPr>
        <w:tabs>
          <w:tab w:val="left" w:pos="1754"/>
        </w:tabs>
        <w:spacing w:before="1" w:line="249" w:lineRule="auto"/>
        <w:ind w:right="1104" w:firstLine="340"/>
        <w:rPr>
          <w:sz w:val="20"/>
        </w:rPr>
      </w:pPr>
      <w:r>
        <w:rPr>
          <w:sz w:val="20"/>
        </w:rPr>
        <w:t>Si</w:t>
      </w:r>
      <w:r>
        <w:rPr>
          <w:spacing w:val="80"/>
          <w:sz w:val="20"/>
        </w:rPr>
        <w:t xml:space="preserve"> </w:t>
      </w:r>
      <w:r>
        <w:rPr>
          <w:sz w:val="20"/>
        </w:rPr>
        <w:t>procede,</w:t>
      </w:r>
      <w:r>
        <w:rPr>
          <w:spacing w:val="80"/>
          <w:sz w:val="20"/>
        </w:rPr>
        <w:t xml:space="preserve"> </w:t>
      </w:r>
      <w:r>
        <w:rPr>
          <w:sz w:val="20"/>
        </w:rPr>
        <w:t>dirección</w:t>
      </w:r>
      <w:r>
        <w:rPr>
          <w:spacing w:val="80"/>
          <w:sz w:val="20"/>
        </w:rPr>
        <w:t xml:space="preserve"> </w:t>
      </w:r>
      <w:r>
        <w:rPr>
          <w:sz w:val="20"/>
        </w:rPr>
        <w:t>electrónica</w:t>
      </w:r>
      <w:r>
        <w:rPr>
          <w:spacing w:val="80"/>
          <w:sz w:val="20"/>
        </w:rPr>
        <w:t xml:space="preserve"> </w:t>
      </w:r>
      <w:r>
        <w:rPr>
          <w:sz w:val="20"/>
        </w:rPr>
        <w:t>o</w:t>
      </w:r>
      <w:r>
        <w:rPr>
          <w:spacing w:val="80"/>
          <w:sz w:val="20"/>
        </w:rPr>
        <w:t xml:space="preserve"> </w:t>
      </w:r>
      <w:r>
        <w:rPr>
          <w:sz w:val="20"/>
        </w:rPr>
        <w:t>de</w:t>
      </w:r>
      <w:r>
        <w:rPr>
          <w:spacing w:val="80"/>
          <w:sz w:val="20"/>
        </w:rPr>
        <w:t xml:space="preserve"> </w:t>
      </w:r>
      <w:r>
        <w:rPr>
          <w:sz w:val="20"/>
        </w:rPr>
        <w:t>internet</w:t>
      </w:r>
      <w:r>
        <w:rPr>
          <w:spacing w:val="80"/>
          <w:sz w:val="20"/>
        </w:rPr>
        <w:t xml:space="preserve"> </w:t>
      </w:r>
      <w:r>
        <w:rPr>
          <w:sz w:val="20"/>
        </w:rPr>
        <w:t>donde</w:t>
      </w:r>
      <w:r>
        <w:rPr>
          <w:spacing w:val="80"/>
          <w:sz w:val="20"/>
        </w:rPr>
        <w:t xml:space="preserve"> </w:t>
      </w:r>
      <w:r>
        <w:rPr>
          <w:sz w:val="20"/>
        </w:rPr>
        <w:t>estarán</w:t>
      </w:r>
      <w:r>
        <w:rPr>
          <w:spacing w:val="80"/>
          <w:sz w:val="20"/>
        </w:rPr>
        <w:t xml:space="preserve"> </w:t>
      </w:r>
      <w:r>
        <w:rPr>
          <w:sz w:val="20"/>
        </w:rPr>
        <w:t>disponibles</w:t>
      </w:r>
      <w:r>
        <w:rPr>
          <w:spacing w:val="80"/>
          <w:sz w:val="20"/>
        </w:rPr>
        <w:t xml:space="preserve"> </w:t>
      </w:r>
      <w:r>
        <w:rPr>
          <w:sz w:val="20"/>
        </w:rPr>
        <w:t>las especificaciones y posibles documentos adicionales.</w:t>
      </w:r>
    </w:p>
    <w:p w:rsidR="0092635B" w:rsidRDefault="00000000">
      <w:pPr>
        <w:pStyle w:val="Prrafodelista"/>
        <w:numPr>
          <w:ilvl w:val="0"/>
          <w:numId w:val="5"/>
        </w:numPr>
        <w:tabs>
          <w:tab w:val="left" w:pos="1668"/>
        </w:tabs>
        <w:spacing w:before="1"/>
        <w:ind w:left="1668" w:right="0" w:hanging="222"/>
        <w:rPr>
          <w:sz w:val="20"/>
        </w:rPr>
      </w:pPr>
      <w:r>
        <w:rPr>
          <w:sz w:val="20"/>
        </w:rPr>
        <w:t>Tipo</w:t>
      </w:r>
      <w:r>
        <w:rPr>
          <w:spacing w:val="-5"/>
          <w:sz w:val="20"/>
        </w:rPr>
        <w:t xml:space="preserve"> </w:t>
      </w:r>
      <w:r>
        <w:rPr>
          <w:sz w:val="20"/>
        </w:rPr>
        <w:t>de</w:t>
      </w:r>
      <w:r>
        <w:rPr>
          <w:spacing w:val="-4"/>
          <w:sz w:val="20"/>
        </w:rPr>
        <w:t xml:space="preserve"> </w:t>
      </w:r>
      <w:r>
        <w:rPr>
          <w:sz w:val="20"/>
        </w:rPr>
        <w:t>poder</w:t>
      </w:r>
      <w:r>
        <w:rPr>
          <w:spacing w:val="-5"/>
          <w:sz w:val="20"/>
        </w:rPr>
        <w:t xml:space="preserve"> </w:t>
      </w:r>
      <w:r>
        <w:rPr>
          <w:sz w:val="20"/>
        </w:rPr>
        <w:t>adjudicador</w:t>
      </w:r>
      <w:r>
        <w:rPr>
          <w:spacing w:val="-4"/>
          <w:sz w:val="20"/>
        </w:rPr>
        <w:t xml:space="preserve"> </w:t>
      </w:r>
      <w:r>
        <w:rPr>
          <w:sz w:val="20"/>
        </w:rPr>
        <w:t>o</w:t>
      </w:r>
      <w:r>
        <w:rPr>
          <w:spacing w:val="-4"/>
          <w:sz w:val="20"/>
        </w:rPr>
        <w:t xml:space="preserve"> </w:t>
      </w:r>
      <w:r>
        <w:rPr>
          <w:sz w:val="20"/>
        </w:rPr>
        <w:t>entidad</w:t>
      </w:r>
      <w:r>
        <w:rPr>
          <w:spacing w:val="-5"/>
          <w:sz w:val="20"/>
        </w:rPr>
        <w:t xml:space="preserve"> </w:t>
      </w:r>
      <w:r>
        <w:rPr>
          <w:sz w:val="20"/>
        </w:rPr>
        <w:t>adjudicadora</w:t>
      </w:r>
      <w:r>
        <w:rPr>
          <w:spacing w:val="-4"/>
          <w:sz w:val="20"/>
        </w:rPr>
        <w:t xml:space="preserve"> </w:t>
      </w:r>
      <w:r>
        <w:rPr>
          <w:sz w:val="20"/>
        </w:rPr>
        <w:t>y</w:t>
      </w:r>
      <w:r>
        <w:rPr>
          <w:spacing w:val="-5"/>
          <w:sz w:val="20"/>
        </w:rPr>
        <w:t xml:space="preserve"> </w:t>
      </w:r>
      <w:r>
        <w:rPr>
          <w:sz w:val="20"/>
        </w:rPr>
        <w:t>principal</w:t>
      </w:r>
      <w:r>
        <w:rPr>
          <w:spacing w:val="-4"/>
          <w:sz w:val="20"/>
        </w:rPr>
        <w:t xml:space="preserve"> </w:t>
      </w:r>
      <w:r>
        <w:rPr>
          <w:sz w:val="20"/>
        </w:rPr>
        <w:t>actividad</w:t>
      </w:r>
      <w:r>
        <w:rPr>
          <w:spacing w:val="-4"/>
          <w:sz w:val="20"/>
        </w:rPr>
        <w:t xml:space="preserve"> </w:t>
      </w:r>
      <w:r>
        <w:rPr>
          <w:spacing w:val="-2"/>
          <w:sz w:val="20"/>
        </w:rPr>
        <w:t>desarrollada.</w:t>
      </w:r>
    </w:p>
    <w:p w:rsidR="0092635B" w:rsidRDefault="00000000">
      <w:pPr>
        <w:pStyle w:val="Prrafodelista"/>
        <w:numPr>
          <w:ilvl w:val="0"/>
          <w:numId w:val="5"/>
        </w:numPr>
        <w:tabs>
          <w:tab w:val="left" w:pos="1669"/>
        </w:tabs>
        <w:spacing w:before="10" w:line="249" w:lineRule="auto"/>
        <w:ind w:right="1104" w:firstLine="340"/>
        <w:rPr>
          <w:sz w:val="20"/>
        </w:rPr>
      </w:pPr>
      <w:r>
        <w:rPr>
          <w:sz w:val="20"/>
        </w:rPr>
        <w:t>Códigos</w:t>
      </w:r>
      <w:r>
        <w:rPr>
          <w:spacing w:val="-2"/>
          <w:sz w:val="20"/>
        </w:rPr>
        <w:t xml:space="preserve"> </w:t>
      </w:r>
      <w:r>
        <w:rPr>
          <w:sz w:val="20"/>
        </w:rPr>
        <w:t>CPV;</w:t>
      </w:r>
      <w:r>
        <w:rPr>
          <w:spacing w:val="-2"/>
          <w:sz w:val="20"/>
        </w:rPr>
        <w:t xml:space="preserve"> </w:t>
      </w:r>
      <w:r>
        <w:rPr>
          <w:sz w:val="20"/>
        </w:rPr>
        <w:t>cuando</w:t>
      </w:r>
      <w:r>
        <w:rPr>
          <w:spacing w:val="-2"/>
          <w:sz w:val="20"/>
        </w:rPr>
        <w:t xml:space="preserve"> </w:t>
      </w:r>
      <w:r>
        <w:rPr>
          <w:sz w:val="20"/>
        </w:rPr>
        <w:t>la</w:t>
      </w:r>
      <w:r>
        <w:rPr>
          <w:spacing w:val="-2"/>
          <w:sz w:val="20"/>
        </w:rPr>
        <w:t xml:space="preserve"> </w:t>
      </w:r>
      <w:r>
        <w:rPr>
          <w:sz w:val="20"/>
        </w:rPr>
        <w:t>concesión</w:t>
      </w:r>
      <w:r>
        <w:rPr>
          <w:spacing w:val="-2"/>
          <w:sz w:val="20"/>
        </w:rPr>
        <w:t xml:space="preserve"> </w:t>
      </w:r>
      <w:r>
        <w:rPr>
          <w:sz w:val="20"/>
        </w:rPr>
        <w:t>esté</w:t>
      </w:r>
      <w:r>
        <w:rPr>
          <w:spacing w:val="-2"/>
          <w:sz w:val="20"/>
        </w:rPr>
        <w:t xml:space="preserve"> </w:t>
      </w:r>
      <w:r>
        <w:rPr>
          <w:sz w:val="20"/>
        </w:rPr>
        <w:t>dividida</w:t>
      </w:r>
      <w:r>
        <w:rPr>
          <w:spacing w:val="-2"/>
          <w:sz w:val="20"/>
        </w:rPr>
        <w:t xml:space="preserve"> </w:t>
      </w:r>
      <w:r>
        <w:rPr>
          <w:sz w:val="20"/>
        </w:rPr>
        <w:t>en</w:t>
      </w:r>
      <w:r>
        <w:rPr>
          <w:spacing w:val="-2"/>
          <w:sz w:val="20"/>
        </w:rPr>
        <w:t xml:space="preserve"> </w:t>
      </w:r>
      <w:r>
        <w:rPr>
          <w:sz w:val="20"/>
        </w:rPr>
        <w:t>lotes,</w:t>
      </w:r>
      <w:r>
        <w:rPr>
          <w:spacing w:val="-2"/>
          <w:sz w:val="20"/>
        </w:rPr>
        <w:t xml:space="preserve"> </w:t>
      </w:r>
      <w:r>
        <w:rPr>
          <w:sz w:val="20"/>
        </w:rPr>
        <w:t>esta</w:t>
      </w:r>
      <w:r>
        <w:rPr>
          <w:spacing w:val="-2"/>
          <w:sz w:val="20"/>
        </w:rPr>
        <w:t xml:space="preserve"> </w:t>
      </w:r>
      <w:r>
        <w:rPr>
          <w:sz w:val="20"/>
        </w:rPr>
        <w:t>información</w:t>
      </w:r>
      <w:r>
        <w:rPr>
          <w:spacing w:val="-2"/>
          <w:sz w:val="20"/>
        </w:rPr>
        <w:t xml:space="preserve"> </w:t>
      </w:r>
      <w:r>
        <w:rPr>
          <w:sz w:val="20"/>
        </w:rPr>
        <w:t>se</w:t>
      </w:r>
      <w:r>
        <w:rPr>
          <w:spacing w:val="-2"/>
          <w:sz w:val="20"/>
        </w:rPr>
        <w:t xml:space="preserve"> </w:t>
      </w:r>
      <w:r>
        <w:rPr>
          <w:sz w:val="20"/>
        </w:rPr>
        <w:t>facilitará para cada lote.</w:t>
      </w:r>
    </w:p>
    <w:p w:rsidR="0092635B" w:rsidRDefault="00000000">
      <w:pPr>
        <w:pStyle w:val="Prrafodelista"/>
        <w:numPr>
          <w:ilvl w:val="0"/>
          <w:numId w:val="5"/>
        </w:numPr>
        <w:tabs>
          <w:tab w:val="left" w:pos="1751"/>
        </w:tabs>
        <w:spacing w:line="249" w:lineRule="auto"/>
        <w:ind w:right="1105" w:firstLine="340"/>
        <w:rPr>
          <w:sz w:val="20"/>
        </w:rPr>
      </w:pPr>
      <w:r>
        <w:rPr>
          <w:sz w:val="20"/>
        </w:rPr>
        <w:t>Código</w:t>
      </w:r>
      <w:r>
        <w:rPr>
          <w:spacing w:val="80"/>
          <w:sz w:val="20"/>
        </w:rPr>
        <w:t xml:space="preserve"> </w:t>
      </w:r>
      <w:r>
        <w:rPr>
          <w:sz w:val="20"/>
        </w:rPr>
        <w:t>NUTS</w:t>
      </w:r>
      <w:r>
        <w:rPr>
          <w:spacing w:val="80"/>
          <w:sz w:val="20"/>
        </w:rPr>
        <w:t xml:space="preserve"> </w:t>
      </w:r>
      <w:r>
        <w:rPr>
          <w:sz w:val="20"/>
        </w:rPr>
        <w:t>del</w:t>
      </w:r>
      <w:r>
        <w:rPr>
          <w:spacing w:val="80"/>
          <w:sz w:val="20"/>
        </w:rPr>
        <w:t xml:space="preserve"> </w:t>
      </w:r>
      <w:r>
        <w:rPr>
          <w:sz w:val="20"/>
        </w:rPr>
        <w:t>emplazamiento</w:t>
      </w:r>
      <w:r>
        <w:rPr>
          <w:spacing w:val="80"/>
          <w:sz w:val="20"/>
        </w:rPr>
        <w:t xml:space="preserve"> </w:t>
      </w:r>
      <w:r>
        <w:rPr>
          <w:sz w:val="20"/>
        </w:rPr>
        <w:t>principal</w:t>
      </w:r>
      <w:r>
        <w:rPr>
          <w:spacing w:val="80"/>
          <w:sz w:val="20"/>
        </w:rPr>
        <w:t xml:space="preserve"> </w:t>
      </w:r>
      <w:r>
        <w:rPr>
          <w:sz w:val="20"/>
        </w:rPr>
        <w:t>de</w:t>
      </w:r>
      <w:r>
        <w:rPr>
          <w:spacing w:val="80"/>
          <w:sz w:val="20"/>
        </w:rPr>
        <w:t xml:space="preserve"> </w:t>
      </w:r>
      <w:r>
        <w:rPr>
          <w:sz w:val="20"/>
        </w:rPr>
        <w:t>realización</w:t>
      </w:r>
      <w:r>
        <w:rPr>
          <w:spacing w:val="80"/>
          <w:sz w:val="20"/>
        </w:rPr>
        <w:t xml:space="preserve"> </w:t>
      </w:r>
      <w:r>
        <w:rPr>
          <w:sz w:val="20"/>
        </w:rPr>
        <w:t>o</w:t>
      </w:r>
      <w:r>
        <w:rPr>
          <w:spacing w:val="80"/>
          <w:sz w:val="20"/>
        </w:rPr>
        <w:t xml:space="preserve"> </w:t>
      </w:r>
      <w:r>
        <w:rPr>
          <w:sz w:val="20"/>
        </w:rPr>
        <w:t>prestación</w:t>
      </w:r>
      <w:r>
        <w:rPr>
          <w:spacing w:val="80"/>
          <w:sz w:val="20"/>
        </w:rPr>
        <w:t xml:space="preserve"> </w:t>
      </w:r>
      <w:r>
        <w:rPr>
          <w:sz w:val="20"/>
        </w:rPr>
        <w:t>de</w:t>
      </w:r>
      <w:r>
        <w:rPr>
          <w:spacing w:val="80"/>
          <w:sz w:val="20"/>
        </w:rPr>
        <w:t xml:space="preserve"> </w:t>
      </w:r>
      <w:r>
        <w:rPr>
          <w:sz w:val="20"/>
        </w:rPr>
        <w:t>las concesiones de servicios.</w:t>
      </w:r>
    </w:p>
    <w:p w:rsidR="0092635B" w:rsidRDefault="00000000">
      <w:pPr>
        <w:pStyle w:val="Prrafodelista"/>
        <w:numPr>
          <w:ilvl w:val="0"/>
          <w:numId w:val="5"/>
        </w:numPr>
        <w:tabs>
          <w:tab w:val="left" w:pos="1668"/>
        </w:tabs>
        <w:ind w:left="1668" w:right="0" w:hanging="222"/>
        <w:rPr>
          <w:sz w:val="20"/>
        </w:rPr>
      </w:pPr>
      <w:r>
        <w:rPr>
          <w:sz w:val="20"/>
        </w:rPr>
        <w:t>Descripción</w:t>
      </w:r>
      <w:r>
        <w:rPr>
          <w:spacing w:val="-6"/>
          <w:sz w:val="20"/>
        </w:rPr>
        <w:t xml:space="preserve"> </w:t>
      </w:r>
      <w:r>
        <w:rPr>
          <w:sz w:val="20"/>
        </w:rPr>
        <w:t>de</w:t>
      </w:r>
      <w:r>
        <w:rPr>
          <w:spacing w:val="-4"/>
          <w:sz w:val="20"/>
        </w:rPr>
        <w:t xml:space="preserve"> </w:t>
      </w:r>
      <w:r>
        <w:rPr>
          <w:sz w:val="20"/>
        </w:rPr>
        <w:t>los</w:t>
      </w:r>
      <w:r>
        <w:rPr>
          <w:spacing w:val="-3"/>
          <w:sz w:val="20"/>
        </w:rPr>
        <w:t xml:space="preserve"> </w:t>
      </w:r>
      <w:r>
        <w:rPr>
          <w:sz w:val="20"/>
        </w:rPr>
        <w:t>servicios,</w:t>
      </w:r>
      <w:r>
        <w:rPr>
          <w:spacing w:val="-4"/>
          <w:sz w:val="20"/>
        </w:rPr>
        <w:t xml:space="preserve"> </w:t>
      </w:r>
      <w:r>
        <w:rPr>
          <w:sz w:val="20"/>
        </w:rPr>
        <w:t>orden</w:t>
      </w:r>
      <w:r>
        <w:rPr>
          <w:spacing w:val="-3"/>
          <w:sz w:val="20"/>
        </w:rPr>
        <w:t xml:space="preserve"> </w:t>
      </w:r>
      <w:r>
        <w:rPr>
          <w:sz w:val="20"/>
        </w:rPr>
        <w:t>indicativo</w:t>
      </w:r>
      <w:r>
        <w:rPr>
          <w:spacing w:val="-4"/>
          <w:sz w:val="20"/>
        </w:rPr>
        <w:t xml:space="preserve"> </w:t>
      </w:r>
      <w:r>
        <w:rPr>
          <w:sz w:val="20"/>
        </w:rPr>
        <w:t>de</w:t>
      </w:r>
      <w:r>
        <w:rPr>
          <w:spacing w:val="-3"/>
          <w:sz w:val="20"/>
        </w:rPr>
        <w:t xml:space="preserve"> </w:t>
      </w:r>
      <w:r>
        <w:rPr>
          <w:sz w:val="20"/>
        </w:rPr>
        <w:t>magnitud</w:t>
      </w:r>
      <w:r>
        <w:rPr>
          <w:spacing w:val="-4"/>
          <w:sz w:val="20"/>
        </w:rPr>
        <w:t xml:space="preserve"> </w:t>
      </w:r>
      <w:r>
        <w:rPr>
          <w:sz w:val="20"/>
        </w:rPr>
        <w:t>o</w:t>
      </w:r>
      <w:r>
        <w:rPr>
          <w:spacing w:val="-3"/>
          <w:sz w:val="20"/>
        </w:rPr>
        <w:t xml:space="preserve"> </w:t>
      </w:r>
      <w:r>
        <w:rPr>
          <w:spacing w:val="-2"/>
          <w:sz w:val="20"/>
        </w:rPr>
        <w:t>valor.</w:t>
      </w:r>
    </w:p>
    <w:p w:rsidR="0092635B" w:rsidRDefault="00000000">
      <w:pPr>
        <w:pStyle w:val="Prrafodelista"/>
        <w:numPr>
          <w:ilvl w:val="0"/>
          <w:numId w:val="5"/>
        </w:numPr>
        <w:tabs>
          <w:tab w:val="left" w:pos="1668"/>
        </w:tabs>
        <w:spacing w:before="10"/>
        <w:ind w:left="1668" w:right="0" w:hanging="222"/>
        <w:rPr>
          <w:sz w:val="20"/>
        </w:rPr>
      </w:pPr>
      <w:r>
        <w:rPr>
          <w:sz w:val="20"/>
        </w:rPr>
        <w:t>Condiciones</w:t>
      </w:r>
      <w:r>
        <w:rPr>
          <w:spacing w:val="-1"/>
          <w:sz w:val="20"/>
        </w:rPr>
        <w:t xml:space="preserve"> </w:t>
      </w:r>
      <w:r>
        <w:rPr>
          <w:sz w:val="20"/>
        </w:rPr>
        <w:t xml:space="preserve">de </w:t>
      </w:r>
      <w:r>
        <w:rPr>
          <w:spacing w:val="-2"/>
          <w:sz w:val="20"/>
        </w:rPr>
        <w:t>participación.</w:t>
      </w:r>
    </w:p>
    <w:p w:rsidR="0092635B" w:rsidRDefault="00000000">
      <w:pPr>
        <w:pStyle w:val="Prrafodelista"/>
        <w:numPr>
          <w:ilvl w:val="0"/>
          <w:numId w:val="5"/>
        </w:numPr>
        <w:tabs>
          <w:tab w:val="left" w:pos="1687"/>
        </w:tabs>
        <w:spacing w:before="10" w:line="249" w:lineRule="auto"/>
        <w:ind w:firstLine="340"/>
        <w:rPr>
          <w:sz w:val="20"/>
        </w:rPr>
      </w:pPr>
      <w:r>
        <w:rPr>
          <w:sz w:val="20"/>
        </w:rPr>
        <w:t>Si procede, plazo(s) para ponerse en contacto con el poder adjudicador o la entidad</w:t>
      </w:r>
      <w:r>
        <w:rPr>
          <w:spacing w:val="40"/>
          <w:sz w:val="20"/>
        </w:rPr>
        <w:t xml:space="preserve"> </w:t>
      </w:r>
      <w:r>
        <w:rPr>
          <w:sz w:val="20"/>
        </w:rPr>
        <w:t>adjudicadora, con vistas a participar.</w:t>
      </w:r>
    </w:p>
    <w:p w:rsidR="0092635B" w:rsidRDefault="00000000">
      <w:pPr>
        <w:pStyle w:val="Prrafodelista"/>
        <w:numPr>
          <w:ilvl w:val="0"/>
          <w:numId w:val="5"/>
        </w:numPr>
        <w:tabs>
          <w:tab w:val="left" w:pos="1688"/>
        </w:tabs>
        <w:spacing w:before="1" w:line="249" w:lineRule="auto"/>
        <w:ind w:right="1104" w:firstLine="340"/>
        <w:rPr>
          <w:sz w:val="20"/>
        </w:rPr>
      </w:pPr>
      <w:r>
        <w:rPr>
          <w:sz w:val="20"/>
        </w:rPr>
        <w:t xml:space="preserve">Si procede, descripción breve de las principales características del procedimiento de </w:t>
      </w:r>
      <w:r>
        <w:rPr>
          <w:spacing w:val="-2"/>
          <w:sz w:val="20"/>
        </w:rPr>
        <w:t>adjudicación.</w:t>
      </w:r>
    </w:p>
    <w:p w:rsidR="0092635B" w:rsidRDefault="00000000">
      <w:pPr>
        <w:pStyle w:val="Prrafodelista"/>
        <w:numPr>
          <w:ilvl w:val="0"/>
          <w:numId w:val="5"/>
        </w:numPr>
        <w:tabs>
          <w:tab w:val="left" w:pos="1779"/>
        </w:tabs>
        <w:ind w:left="1779" w:right="0" w:hanging="333"/>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05"/>
        <w:jc w:val="left"/>
      </w:pPr>
      <w:r>
        <w:t>Sección</w:t>
      </w:r>
      <w:r>
        <w:rPr>
          <w:spacing w:val="-1"/>
        </w:rPr>
        <w:t xml:space="preserve"> </w:t>
      </w:r>
      <w:r>
        <w:t>4.</w:t>
      </w:r>
      <w:r>
        <w:rPr>
          <w:spacing w:val="-1"/>
        </w:rPr>
        <w:t xml:space="preserve"> </w:t>
      </w:r>
      <w:r>
        <w:t>Información</w:t>
      </w:r>
      <w:r>
        <w:rPr>
          <w:spacing w:val="-1"/>
        </w:rPr>
        <w:t xml:space="preserve"> </w:t>
      </w:r>
      <w:r>
        <w:t>que</w:t>
      </w:r>
      <w:r>
        <w:rPr>
          <w:spacing w:val="-1"/>
        </w:rPr>
        <w:t xml:space="preserve"> </w:t>
      </w:r>
      <w:r>
        <w:t>debe</w:t>
      </w:r>
      <w:r>
        <w:rPr>
          <w:spacing w:val="-1"/>
        </w:rPr>
        <w:t xml:space="preserve"> </w:t>
      </w:r>
      <w:r>
        <w:t>figurar</w:t>
      </w:r>
      <w:r>
        <w:rPr>
          <w:spacing w:val="-1"/>
        </w:rPr>
        <w:t xml:space="preserve"> </w:t>
      </w:r>
      <w:r>
        <w:t>en</w:t>
      </w:r>
      <w:r>
        <w:rPr>
          <w:spacing w:val="-1"/>
        </w:rPr>
        <w:t xml:space="preserve"> </w:t>
      </w:r>
      <w:r>
        <w:t>los</w:t>
      </w:r>
      <w:r>
        <w:rPr>
          <w:spacing w:val="-1"/>
        </w:rPr>
        <w:t xml:space="preserve"> </w:t>
      </w:r>
      <w:r>
        <w:t>anuncios</w:t>
      </w:r>
      <w:r>
        <w:rPr>
          <w:spacing w:val="-1"/>
        </w:rPr>
        <w:t xml:space="preserve"> </w:t>
      </w:r>
      <w:r>
        <w:t>de</w:t>
      </w:r>
      <w:r>
        <w:rPr>
          <w:spacing w:val="-1"/>
        </w:rPr>
        <w:t xml:space="preserve"> </w:t>
      </w:r>
      <w:r>
        <w:t>modificación</w:t>
      </w:r>
      <w:r>
        <w:rPr>
          <w:spacing w:val="-1"/>
        </w:rPr>
        <w:t xml:space="preserve"> </w:t>
      </w:r>
      <w:r>
        <w:t>de</w:t>
      </w:r>
      <w:r>
        <w:rPr>
          <w:spacing w:val="-1"/>
        </w:rPr>
        <w:t xml:space="preserve"> </w:t>
      </w:r>
      <w:r>
        <w:t>los</w:t>
      </w:r>
      <w:r>
        <w:rPr>
          <w:spacing w:val="-1"/>
        </w:rPr>
        <w:t xml:space="preserve"> </w:t>
      </w:r>
      <w:r>
        <w:t>contratos de concesión de obras y de concesión de servicios:</w:t>
      </w:r>
    </w:p>
    <w:p w:rsidR="0092635B" w:rsidRDefault="00000000">
      <w:pPr>
        <w:pStyle w:val="Prrafodelista"/>
        <w:numPr>
          <w:ilvl w:val="0"/>
          <w:numId w:val="4"/>
        </w:numPr>
        <w:tabs>
          <w:tab w:val="left" w:pos="1699"/>
        </w:tabs>
        <w:spacing w:before="122" w:line="249" w:lineRule="auto"/>
        <w:ind w:right="1102" w:firstLine="340"/>
        <w:jc w:val="both"/>
        <w:rPr>
          <w:sz w:val="20"/>
        </w:rPr>
      </w:pPr>
      <w:r>
        <w:rPr>
          <w:sz w:val="20"/>
        </w:rPr>
        <w:t>Nombre, número de identificación (cuando esté previsto en la legislación nacional), dirección (incluido el código NUTS), número de teléfono y de fax, y dirección electrónica y de internet del poder adjudicador o de la entidad adjudicadora y, en caso de ser diferente, del servicio del que pueda obtenerse información complementaria.</w:t>
      </w:r>
    </w:p>
    <w:p w:rsidR="0092635B" w:rsidRDefault="00000000">
      <w:pPr>
        <w:pStyle w:val="Prrafodelista"/>
        <w:numPr>
          <w:ilvl w:val="0"/>
          <w:numId w:val="4"/>
        </w:numPr>
        <w:tabs>
          <w:tab w:val="left" w:pos="1668"/>
        </w:tabs>
        <w:spacing w:before="3"/>
        <w:ind w:left="1668" w:right="0" w:hanging="222"/>
        <w:rPr>
          <w:sz w:val="20"/>
        </w:rPr>
      </w:pPr>
      <w:r>
        <w:rPr>
          <w:sz w:val="20"/>
        </w:rPr>
        <w:t>Códigos</w:t>
      </w:r>
      <w:r>
        <w:rPr>
          <w:spacing w:val="-2"/>
          <w:sz w:val="20"/>
        </w:rPr>
        <w:t xml:space="preserve"> </w:t>
      </w:r>
      <w:r>
        <w:rPr>
          <w:spacing w:val="-4"/>
          <w:sz w:val="20"/>
        </w:rPr>
        <w:t>CPV.</w:t>
      </w:r>
    </w:p>
    <w:p w:rsidR="0092635B" w:rsidRDefault="00000000">
      <w:pPr>
        <w:pStyle w:val="Prrafodelista"/>
        <w:numPr>
          <w:ilvl w:val="0"/>
          <w:numId w:val="4"/>
        </w:numPr>
        <w:tabs>
          <w:tab w:val="left" w:pos="1669"/>
        </w:tabs>
        <w:spacing w:before="10" w:line="249" w:lineRule="auto"/>
        <w:ind w:right="1104" w:firstLine="340"/>
        <w:jc w:val="both"/>
        <w:rPr>
          <w:sz w:val="20"/>
        </w:rPr>
      </w:pPr>
      <w:r>
        <w:rPr>
          <w:sz w:val="20"/>
        </w:rPr>
        <w:t>Código</w:t>
      </w:r>
      <w:r>
        <w:rPr>
          <w:spacing w:val="-2"/>
          <w:sz w:val="20"/>
        </w:rPr>
        <w:t xml:space="preserve"> </w:t>
      </w:r>
      <w:r>
        <w:rPr>
          <w:sz w:val="20"/>
        </w:rPr>
        <w:t>NUTS</w:t>
      </w:r>
      <w:r>
        <w:rPr>
          <w:spacing w:val="-2"/>
          <w:sz w:val="20"/>
        </w:rPr>
        <w:t xml:space="preserve"> </w:t>
      </w:r>
      <w:r>
        <w:rPr>
          <w:sz w:val="20"/>
        </w:rPr>
        <w:t>del</w:t>
      </w:r>
      <w:r>
        <w:rPr>
          <w:spacing w:val="-2"/>
          <w:sz w:val="20"/>
        </w:rPr>
        <w:t xml:space="preserve"> </w:t>
      </w:r>
      <w:r>
        <w:rPr>
          <w:sz w:val="20"/>
        </w:rPr>
        <w:t>emplazamiento</w:t>
      </w:r>
      <w:r>
        <w:rPr>
          <w:spacing w:val="-2"/>
          <w:sz w:val="20"/>
        </w:rPr>
        <w:t xml:space="preserve"> </w:t>
      </w:r>
      <w:r>
        <w:rPr>
          <w:sz w:val="20"/>
        </w:rPr>
        <w:t>principal</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obras,</w:t>
      </w:r>
      <w:r>
        <w:rPr>
          <w:spacing w:val="-2"/>
          <w:sz w:val="20"/>
        </w:rPr>
        <w:t xml:space="preserve"> </w:t>
      </w:r>
      <w:r>
        <w:rPr>
          <w:sz w:val="20"/>
        </w:rPr>
        <w:t>tratándose</w:t>
      </w:r>
      <w:r>
        <w:rPr>
          <w:spacing w:val="-2"/>
          <w:sz w:val="20"/>
        </w:rPr>
        <w:t xml:space="preserve"> </w:t>
      </w:r>
      <w:r>
        <w:rPr>
          <w:sz w:val="20"/>
        </w:rPr>
        <w:t>de</w:t>
      </w:r>
      <w:r>
        <w:rPr>
          <w:spacing w:val="-2"/>
          <w:sz w:val="20"/>
        </w:rPr>
        <w:t xml:space="preserve"> </w:t>
      </w:r>
      <w:r>
        <w:rPr>
          <w:sz w:val="20"/>
        </w:rPr>
        <w:t>concesiones</w:t>
      </w:r>
      <w:r>
        <w:rPr>
          <w:spacing w:val="-2"/>
          <w:sz w:val="20"/>
        </w:rPr>
        <w:t xml:space="preserve"> </w:t>
      </w:r>
      <w:r>
        <w:rPr>
          <w:sz w:val="20"/>
        </w:rPr>
        <w:t xml:space="preserve">de obras, o código NUTS del lugar principal de prestación, tratándose de concesiones de </w:t>
      </w:r>
      <w:r>
        <w:rPr>
          <w:spacing w:val="-2"/>
          <w:sz w:val="20"/>
        </w:rPr>
        <w:t>servicios.</w:t>
      </w:r>
    </w:p>
    <w:p w:rsidR="0092635B" w:rsidRDefault="00000000">
      <w:pPr>
        <w:pStyle w:val="Prrafodelista"/>
        <w:numPr>
          <w:ilvl w:val="0"/>
          <w:numId w:val="4"/>
        </w:numPr>
        <w:tabs>
          <w:tab w:val="left" w:pos="1738"/>
        </w:tabs>
        <w:spacing w:line="249" w:lineRule="auto"/>
        <w:ind w:right="1105" w:firstLine="340"/>
        <w:jc w:val="both"/>
        <w:rPr>
          <w:sz w:val="20"/>
        </w:rPr>
      </w:pPr>
      <w:r>
        <w:rPr>
          <w:sz w:val="20"/>
        </w:rPr>
        <w:t>Descripción de la concesión antes y después de la modificación: naturaleza y magnitud de las obras, naturaleza y magnitud de los servicios.</w:t>
      </w:r>
    </w:p>
    <w:p w:rsidR="0092635B" w:rsidRDefault="00000000">
      <w:pPr>
        <w:pStyle w:val="Prrafodelista"/>
        <w:numPr>
          <w:ilvl w:val="0"/>
          <w:numId w:val="4"/>
        </w:numPr>
        <w:tabs>
          <w:tab w:val="left" w:pos="1747"/>
        </w:tabs>
        <w:spacing w:line="249" w:lineRule="auto"/>
        <w:ind w:right="1104" w:firstLine="340"/>
        <w:jc w:val="both"/>
        <w:rPr>
          <w:sz w:val="20"/>
        </w:rPr>
      </w:pPr>
      <w:r>
        <w:rPr>
          <w:sz w:val="20"/>
        </w:rPr>
        <w:t>Si procede, modificación del valor de la concesión, incluido el incremento de honorarios o precios causado por la modificación.</w:t>
      </w:r>
    </w:p>
    <w:p w:rsidR="0092635B" w:rsidRDefault="00000000">
      <w:pPr>
        <w:pStyle w:val="Prrafodelista"/>
        <w:numPr>
          <w:ilvl w:val="0"/>
          <w:numId w:val="4"/>
        </w:numPr>
        <w:tabs>
          <w:tab w:val="left" w:pos="1668"/>
        </w:tabs>
        <w:ind w:left="1668" w:right="0" w:hanging="222"/>
        <w:jc w:val="both"/>
        <w:rPr>
          <w:sz w:val="20"/>
        </w:rPr>
      </w:pPr>
      <w:r>
        <w:rPr>
          <w:sz w:val="20"/>
        </w:rPr>
        <w:t>Descripción</w:t>
      </w:r>
      <w:r>
        <w:rPr>
          <w:spacing w:val="-4"/>
          <w:sz w:val="20"/>
        </w:rPr>
        <w:t xml:space="preserve"> </w:t>
      </w:r>
      <w:r>
        <w:rPr>
          <w:sz w:val="20"/>
        </w:rPr>
        <w:t>de</w:t>
      </w:r>
      <w:r>
        <w:rPr>
          <w:spacing w:val="-3"/>
          <w:sz w:val="20"/>
        </w:rPr>
        <w:t xml:space="preserve"> </w:t>
      </w:r>
      <w:r>
        <w:rPr>
          <w:sz w:val="20"/>
        </w:rPr>
        <w:t>las</w:t>
      </w:r>
      <w:r>
        <w:rPr>
          <w:spacing w:val="-3"/>
          <w:sz w:val="20"/>
        </w:rPr>
        <w:t xml:space="preserve"> </w:t>
      </w:r>
      <w:r>
        <w:rPr>
          <w:sz w:val="20"/>
        </w:rPr>
        <w:t>circunstancias</w:t>
      </w:r>
      <w:r>
        <w:rPr>
          <w:spacing w:val="-3"/>
          <w:sz w:val="20"/>
        </w:rPr>
        <w:t xml:space="preserve"> </w:t>
      </w:r>
      <w:r>
        <w:rPr>
          <w:sz w:val="20"/>
        </w:rPr>
        <w:t>que</w:t>
      </w:r>
      <w:r>
        <w:rPr>
          <w:spacing w:val="-3"/>
          <w:sz w:val="20"/>
        </w:rPr>
        <w:t xml:space="preserve"> </w:t>
      </w:r>
      <w:r>
        <w:rPr>
          <w:sz w:val="20"/>
        </w:rPr>
        <w:t>han</w:t>
      </w:r>
      <w:r>
        <w:rPr>
          <w:spacing w:val="-3"/>
          <w:sz w:val="20"/>
        </w:rPr>
        <w:t xml:space="preserve"> </w:t>
      </w:r>
      <w:r>
        <w:rPr>
          <w:sz w:val="20"/>
        </w:rPr>
        <w:t>hecho</w:t>
      </w:r>
      <w:r>
        <w:rPr>
          <w:spacing w:val="-3"/>
          <w:sz w:val="20"/>
        </w:rPr>
        <w:t xml:space="preserve"> </w:t>
      </w:r>
      <w:r>
        <w:rPr>
          <w:sz w:val="20"/>
        </w:rPr>
        <w:t>necesaria</w:t>
      </w:r>
      <w:r>
        <w:rPr>
          <w:spacing w:val="-3"/>
          <w:sz w:val="20"/>
        </w:rPr>
        <w:t xml:space="preserve"> </w:t>
      </w:r>
      <w:r>
        <w:rPr>
          <w:sz w:val="20"/>
        </w:rPr>
        <w:t>la</w:t>
      </w:r>
      <w:r>
        <w:rPr>
          <w:spacing w:val="-3"/>
          <w:sz w:val="20"/>
        </w:rPr>
        <w:t xml:space="preserve"> </w:t>
      </w:r>
      <w:r>
        <w:rPr>
          <w:spacing w:val="-2"/>
          <w:sz w:val="20"/>
        </w:rPr>
        <w:t>modificación.</w:t>
      </w:r>
    </w:p>
    <w:p w:rsidR="0092635B" w:rsidRDefault="00000000">
      <w:pPr>
        <w:pStyle w:val="Prrafodelista"/>
        <w:numPr>
          <w:ilvl w:val="0"/>
          <w:numId w:val="4"/>
        </w:numPr>
        <w:tabs>
          <w:tab w:val="left" w:pos="1668"/>
        </w:tabs>
        <w:spacing w:before="10"/>
        <w:ind w:left="1668" w:right="0" w:hanging="222"/>
        <w:jc w:val="both"/>
        <w:rPr>
          <w:sz w:val="20"/>
        </w:rPr>
      </w:pPr>
      <w:r>
        <w:rPr>
          <w:sz w:val="20"/>
        </w:rPr>
        <w:t>Fecha</w:t>
      </w:r>
      <w:r>
        <w:rPr>
          <w:spacing w:val="-4"/>
          <w:sz w:val="20"/>
        </w:rPr>
        <w:t xml:space="preserve"> </w:t>
      </w:r>
      <w:r>
        <w:rPr>
          <w:sz w:val="20"/>
        </w:rPr>
        <w:t>de</w:t>
      </w:r>
      <w:r>
        <w:rPr>
          <w:spacing w:val="-4"/>
          <w:sz w:val="20"/>
        </w:rPr>
        <w:t xml:space="preserve"> </w:t>
      </w:r>
      <w:r>
        <w:rPr>
          <w:sz w:val="20"/>
        </w:rPr>
        <w:t>adjudicación</w:t>
      </w:r>
      <w:r>
        <w:rPr>
          <w:spacing w:val="-3"/>
          <w:sz w:val="20"/>
        </w:rPr>
        <w:t xml:space="preserve"> </w:t>
      </w:r>
      <w:r>
        <w:rPr>
          <w:sz w:val="20"/>
        </w:rPr>
        <w:t>de</w:t>
      </w:r>
      <w:r>
        <w:rPr>
          <w:spacing w:val="-4"/>
          <w:sz w:val="20"/>
        </w:rPr>
        <w:t xml:space="preserve"> </w:t>
      </w:r>
      <w:r>
        <w:rPr>
          <w:sz w:val="20"/>
        </w:rPr>
        <w:t>la</w:t>
      </w:r>
      <w:r>
        <w:rPr>
          <w:spacing w:val="-3"/>
          <w:sz w:val="20"/>
        </w:rPr>
        <w:t xml:space="preserve"> </w:t>
      </w:r>
      <w:r>
        <w:rPr>
          <w:spacing w:val="-2"/>
          <w:sz w:val="20"/>
        </w:rPr>
        <w:t>concesión.</w:t>
      </w:r>
    </w:p>
    <w:p w:rsidR="0092635B" w:rsidRDefault="00000000">
      <w:pPr>
        <w:pStyle w:val="Prrafodelista"/>
        <w:numPr>
          <w:ilvl w:val="0"/>
          <w:numId w:val="4"/>
        </w:numPr>
        <w:tabs>
          <w:tab w:val="left" w:pos="1684"/>
        </w:tabs>
        <w:spacing w:before="10" w:line="249" w:lineRule="auto"/>
        <w:ind w:right="1105" w:firstLine="340"/>
        <w:jc w:val="both"/>
        <w:rPr>
          <w:sz w:val="20"/>
        </w:rPr>
      </w:pPr>
      <w:r>
        <w:rPr>
          <w:sz w:val="20"/>
        </w:rPr>
        <w:t>Si procede, nombre y dirección (incluido el código NUTS), NIF, número de teléfono y de fax y dirección electrónica y de internet del nuevo operador u operadores económicos.</w:t>
      </w:r>
    </w:p>
    <w:p w:rsidR="0092635B" w:rsidRDefault="00000000">
      <w:pPr>
        <w:pStyle w:val="Prrafodelista"/>
        <w:numPr>
          <w:ilvl w:val="0"/>
          <w:numId w:val="4"/>
        </w:numPr>
        <w:tabs>
          <w:tab w:val="left" w:pos="1673"/>
        </w:tabs>
        <w:spacing w:before="1" w:line="249" w:lineRule="auto"/>
        <w:ind w:right="1106" w:firstLine="340"/>
        <w:jc w:val="both"/>
        <w:rPr>
          <w:sz w:val="20"/>
        </w:rPr>
      </w:pPr>
      <w:r>
        <w:rPr>
          <w:sz w:val="20"/>
        </w:rPr>
        <w:t>Información de si la concesión guarda relación con un proyecto o programa financiado por fondos de la Unión.</w:t>
      </w:r>
    </w:p>
    <w:p w:rsidR="0092635B" w:rsidRDefault="00000000">
      <w:pPr>
        <w:pStyle w:val="Prrafodelista"/>
        <w:numPr>
          <w:ilvl w:val="0"/>
          <w:numId w:val="4"/>
        </w:numPr>
        <w:tabs>
          <w:tab w:val="left" w:pos="1805"/>
        </w:tabs>
        <w:spacing w:line="249" w:lineRule="auto"/>
        <w:ind w:firstLine="340"/>
        <w:jc w:val="both"/>
        <w:rPr>
          <w:sz w:val="20"/>
        </w:rPr>
      </w:pPr>
      <w:r>
        <w:rPr>
          <w:sz w:val="20"/>
        </w:rPr>
        <w:t>Nombre y dirección del órgano responsable de los procedimientos de recurso y, si procede, de mediación. Indicación precisa del plazo de presentación de recursos o, en caso necesario, el nombre, dirección, números de teléfono y de fax y dirección electrónica del servicio del que pueda obtenerse dicha información.</w:t>
      </w:r>
    </w:p>
    <w:p w:rsidR="0092635B" w:rsidRDefault="00000000">
      <w:pPr>
        <w:pStyle w:val="Prrafodelista"/>
        <w:numPr>
          <w:ilvl w:val="0"/>
          <w:numId w:val="4"/>
        </w:numPr>
        <w:tabs>
          <w:tab w:val="left" w:pos="1796"/>
        </w:tabs>
        <w:spacing w:before="3" w:line="249" w:lineRule="auto"/>
        <w:ind w:right="1105" w:firstLine="340"/>
        <w:jc w:val="both"/>
        <w:rPr>
          <w:sz w:val="20"/>
        </w:rPr>
      </w:pPr>
      <w:r>
        <w:rPr>
          <w:sz w:val="20"/>
        </w:rPr>
        <w:t>Fechas y referencias de anteriores publicaciones en el «Diario Oficial de la Unión Europea» que guarden relación con la concesión o concesiones objeto del anuncio.</w:t>
      </w:r>
    </w:p>
    <w:p w:rsidR="0092635B" w:rsidRDefault="00000000">
      <w:pPr>
        <w:pStyle w:val="Prrafodelista"/>
        <w:numPr>
          <w:ilvl w:val="0"/>
          <w:numId w:val="4"/>
        </w:numPr>
        <w:tabs>
          <w:tab w:val="left" w:pos="1779"/>
        </w:tabs>
        <w:ind w:left="1779" w:right="0" w:hanging="333"/>
        <w:jc w:val="both"/>
        <w:rPr>
          <w:sz w:val="20"/>
        </w:rPr>
      </w:pPr>
      <w:r>
        <w:rPr>
          <w:sz w:val="20"/>
        </w:rPr>
        <w:t>Fecha</w:t>
      </w:r>
      <w:r>
        <w:rPr>
          <w:spacing w:val="-5"/>
          <w:sz w:val="20"/>
        </w:rPr>
        <w:t xml:space="preserve"> </w:t>
      </w:r>
      <w:r>
        <w:rPr>
          <w:sz w:val="20"/>
        </w:rPr>
        <w:t>de</w:t>
      </w:r>
      <w:r>
        <w:rPr>
          <w:spacing w:val="-3"/>
          <w:sz w:val="20"/>
        </w:rPr>
        <w:t xml:space="preserve"> </w:t>
      </w:r>
      <w:r>
        <w:rPr>
          <w:sz w:val="20"/>
        </w:rPr>
        <w:t>envío</w:t>
      </w:r>
      <w:r>
        <w:rPr>
          <w:spacing w:val="-3"/>
          <w:sz w:val="20"/>
        </w:rPr>
        <w:t xml:space="preserve"> </w:t>
      </w:r>
      <w:r>
        <w:rPr>
          <w:sz w:val="20"/>
        </w:rPr>
        <w:t>del</w:t>
      </w:r>
      <w:r>
        <w:rPr>
          <w:spacing w:val="-2"/>
          <w:sz w:val="20"/>
        </w:rPr>
        <w:t xml:space="preserve"> anuncio.</w:t>
      </w:r>
    </w:p>
    <w:p w:rsidR="0092635B" w:rsidRDefault="00000000">
      <w:pPr>
        <w:pStyle w:val="Prrafodelista"/>
        <w:numPr>
          <w:ilvl w:val="0"/>
          <w:numId w:val="4"/>
        </w:numPr>
        <w:tabs>
          <w:tab w:val="left" w:pos="1779"/>
        </w:tabs>
        <w:spacing w:before="10"/>
        <w:ind w:left="1779" w:right="0" w:hanging="333"/>
        <w:jc w:val="both"/>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000000">
      <w:pPr>
        <w:pStyle w:val="Textoindependiente"/>
        <w:spacing w:before="130" w:line="249" w:lineRule="auto"/>
        <w:ind w:right="1120"/>
        <w:jc w:val="left"/>
      </w:pPr>
      <w:r>
        <w:t>Sección</w:t>
      </w:r>
      <w:r>
        <w:rPr>
          <w:spacing w:val="80"/>
        </w:rPr>
        <w:t xml:space="preserve"> </w:t>
      </w:r>
      <w:r>
        <w:t>5.</w:t>
      </w:r>
      <w:r>
        <w:rPr>
          <w:spacing w:val="80"/>
        </w:rPr>
        <w:t xml:space="preserve"> </w:t>
      </w:r>
      <w:r>
        <w:t>Información</w:t>
      </w:r>
      <w:r>
        <w:rPr>
          <w:spacing w:val="80"/>
        </w:rPr>
        <w:t xml:space="preserve"> </w:t>
      </w:r>
      <w:r>
        <w:t>que</w:t>
      </w:r>
      <w:r>
        <w:rPr>
          <w:spacing w:val="80"/>
        </w:rPr>
        <w:t xml:space="preserve"> </w:t>
      </w:r>
      <w:r>
        <w:t>debe</w:t>
      </w:r>
      <w:r>
        <w:rPr>
          <w:spacing w:val="80"/>
        </w:rPr>
        <w:t xml:space="preserve"> </w:t>
      </w:r>
      <w:r>
        <w:t>figurar</w:t>
      </w:r>
      <w:r>
        <w:rPr>
          <w:spacing w:val="80"/>
        </w:rPr>
        <w:t xml:space="preserve"> </w:t>
      </w:r>
      <w:r>
        <w:t>en</w:t>
      </w:r>
      <w:r>
        <w:rPr>
          <w:spacing w:val="80"/>
        </w:rPr>
        <w:t xml:space="preserve"> </w:t>
      </w:r>
      <w:r>
        <w:t>los</w:t>
      </w:r>
      <w:r>
        <w:rPr>
          <w:spacing w:val="80"/>
        </w:rPr>
        <w:t xml:space="preserve"> </w:t>
      </w:r>
      <w:r>
        <w:t>anuncios</w:t>
      </w:r>
      <w:r>
        <w:rPr>
          <w:spacing w:val="80"/>
        </w:rPr>
        <w:t xml:space="preserve"> </w:t>
      </w:r>
      <w:r>
        <w:t>de</w:t>
      </w:r>
      <w:r>
        <w:rPr>
          <w:spacing w:val="80"/>
        </w:rPr>
        <w:t xml:space="preserve"> </w:t>
      </w:r>
      <w:r>
        <w:t>formalización</w:t>
      </w:r>
      <w:r>
        <w:rPr>
          <w:spacing w:val="80"/>
        </w:rPr>
        <w:t xml:space="preserve"> </w:t>
      </w:r>
      <w:r>
        <w:t>de</w:t>
      </w:r>
      <w:r>
        <w:rPr>
          <w:spacing w:val="40"/>
        </w:rPr>
        <w:t xml:space="preserve"> </w:t>
      </w:r>
      <w:r>
        <w:t>concesiones de servicios sociales del Anexo IV:</w:t>
      </w:r>
    </w:p>
    <w:p w:rsidR="0092635B" w:rsidRDefault="00000000">
      <w:pPr>
        <w:pStyle w:val="Prrafodelista"/>
        <w:numPr>
          <w:ilvl w:val="0"/>
          <w:numId w:val="3"/>
        </w:numPr>
        <w:tabs>
          <w:tab w:val="left" w:pos="1699"/>
        </w:tabs>
        <w:spacing w:before="122" w:line="249" w:lineRule="auto"/>
        <w:ind w:right="1105" w:firstLine="340"/>
        <w:jc w:val="both"/>
        <w:rPr>
          <w:sz w:val="20"/>
        </w:rPr>
      </w:pPr>
      <w:r>
        <w:rPr>
          <w:sz w:val="20"/>
        </w:rPr>
        <w:t>Nombre, número de identificación (cuando esté previsto en la legislación nacional), dirección (incluido el código NUTS), si procede, número de teléfono y de fax, y dirección electrónica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internet</w:t>
      </w:r>
      <w:r>
        <w:rPr>
          <w:spacing w:val="-1"/>
          <w:sz w:val="20"/>
        </w:rPr>
        <w:t xml:space="preserve"> </w:t>
      </w:r>
      <w:r>
        <w:rPr>
          <w:sz w:val="20"/>
        </w:rPr>
        <w:t>del</w:t>
      </w:r>
      <w:r>
        <w:rPr>
          <w:spacing w:val="-1"/>
          <w:sz w:val="20"/>
        </w:rPr>
        <w:t xml:space="preserve"> </w:t>
      </w:r>
      <w:r>
        <w:rPr>
          <w:sz w:val="20"/>
        </w:rPr>
        <w:t>poder</w:t>
      </w:r>
      <w:r>
        <w:rPr>
          <w:spacing w:val="-1"/>
          <w:sz w:val="20"/>
        </w:rPr>
        <w:t xml:space="preserve"> </w:t>
      </w:r>
      <w:r>
        <w:rPr>
          <w:sz w:val="20"/>
        </w:rPr>
        <w:t>adjudicador</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entidad</w:t>
      </w:r>
      <w:r>
        <w:rPr>
          <w:spacing w:val="-1"/>
          <w:sz w:val="20"/>
        </w:rPr>
        <w:t xml:space="preserve"> </w:t>
      </w:r>
      <w:r>
        <w:rPr>
          <w:sz w:val="20"/>
        </w:rPr>
        <w:t>adjudicadora</w:t>
      </w:r>
      <w:r>
        <w:rPr>
          <w:spacing w:val="-1"/>
          <w:sz w:val="20"/>
        </w:rPr>
        <w:t xml:space="preserve"> </w:t>
      </w:r>
      <w:r>
        <w:rPr>
          <w:sz w:val="20"/>
        </w:rPr>
        <w:t>y,</w:t>
      </w:r>
      <w:r>
        <w:rPr>
          <w:spacing w:val="-1"/>
          <w:sz w:val="20"/>
        </w:rPr>
        <w:t xml:space="preserve"> </w:t>
      </w: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ser diferente, del servicio del que pueda obtenerse información complementaria.</w:t>
      </w:r>
    </w:p>
    <w:p w:rsidR="0092635B" w:rsidRDefault="00000000">
      <w:pPr>
        <w:pStyle w:val="Prrafodelista"/>
        <w:numPr>
          <w:ilvl w:val="0"/>
          <w:numId w:val="3"/>
        </w:numPr>
        <w:tabs>
          <w:tab w:val="left" w:pos="1668"/>
        </w:tabs>
        <w:spacing w:before="3"/>
        <w:ind w:left="1668" w:right="0" w:hanging="222"/>
        <w:jc w:val="both"/>
        <w:rPr>
          <w:sz w:val="20"/>
        </w:rPr>
      </w:pPr>
      <w:r>
        <w:rPr>
          <w:sz w:val="20"/>
        </w:rPr>
        <w:t>Tipo</w:t>
      </w:r>
      <w:r>
        <w:rPr>
          <w:spacing w:val="-5"/>
          <w:sz w:val="20"/>
        </w:rPr>
        <w:t xml:space="preserve"> </w:t>
      </w:r>
      <w:r>
        <w:rPr>
          <w:sz w:val="20"/>
        </w:rPr>
        <w:t>de</w:t>
      </w:r>
      <w:r>
        <w:rPr>
          <w:spacing w:val="-4"/>
          <w:sz w:val="20"/>
        </w:rPr>
        <w:t xml:space="preserve"> </w:t>
      </w:r>
      <w:r>
        <w:rPr>
          <w:sz w:val="20"/>
        </w:rPr>
        <w:t>poder</w:t>
      </w:r>
      <w:r>
        <w:rPr>
          <w:spacing w:val="-5"/>
          <w:sz w:val="20"/>
        </w:rPr>
        <w:t xml:space="preserve"> </w:t>
      </w:r>
      <w:r>
        <w:rPr>
          <w:sz w:val="20"/>
        </w:rPr>
        <w:t>adjudicador</w:t>
      </w:r>
      <w:r>
        <w:rPr>
          <w:spacing w:val="-4"/>
          <w:sz w:val="20"/>
        </w:rPr>
        <w:t xml:space="preserve"> </w:t>
      </w:r>
      <w:r>
        <w:rPr>
          <w:sz w:val="20"/>
        </w:rPr>
        <w:t>o</w:t>
      </w:r>
      <w:r>
        <w:rPr>
          <w:spacing w:val="-4"/>
          <w:sz w:val="20"/>
        </w:rPr>
        <w:t xml:space="preserve"> </w:t>
      </w:r>
      <w:r>
        <w:rPr>
          <w:sz w:val="20"/>
        </w:rPr>
        <w:t>entidad</w:t>
      </w:r>
      <w:r>
        <w:rPr>
          <w:spacing w:val="-5"/>
          <w:sz w:val="20"/>
        </w:rPr>
        <w:t xml:space="preserve"> </w:t>
      </w:r>
      <w:r>
        <w:rPr>
          <w:sz w:val="20"/>
        </w:rPr>
        <w:t>adjudicadora</w:t>
      </w:r>
      <w:r>
        <w:rPr>
          <w:spacing w:val="-4"/>
          <w:sz w:val="20"/>
        </w:rPr>
        <w:t xml:space="preserve"> </w:t>
      </w:r>
      <w:r>
        <w:rPr>
          <w:sz w:val="20"/>
        </w:rPr>
        <w:t>y</w:t>
      </w:r>
      <w:r>
        <w:rPr>
          <w:spacing w:val="-5"/>
          <w:sz w:val="20"/>
        </w:rPr>
        <w:t xml:space="preserve"> </w:t>
      </w:r>
      <w:r>
        <w:rPr>
          <w:sz w:val="20"/>
        </w:rPr>
        <w:t>principal</w:t>
      </w:r>
      <w:r>
        <w:rPr>
          <w:spacing w:val="-4"/>
          <w:sz w:val="20"/>
        </w:rPr>
        <w:t xml:space="preserve"> </w:t>
      </w:r>
      <w:r>
        <w:rPr>
          <w:sz w:val="20"/>
        </w:rPr>
        <w:t>actividad</w:t>
      </w:r>
      <w:r>
        <w:rPr>
          <w:spacing w:val="-4"/>
          <w:sz w:val="20"/>
        </w:rPr>
        <w:t xml:space="preserve"> </w:t>
      </w:r>
      <w:r>
        <w:rPr>
          <w:spacing w:val="-2"/>
          <w:sz w:val="20"/>
        </w:rPr>
        <w:t>desarrollada.</w:t>
      </w:r>
    </w:p>
    <w:p w:rsidR="0092635B" w:rsidRDefault="00000000">
      <w:pPr>
        <w:pStyle w:val="Prrafodelista"/>
        <w:numPr>
          <w:ilvl w:val="0"/>
          <w:numId w:val="3"/>
        </w:numPr>
        <w:tabs>
          <w:tab w:val="left" w:pos="1669"/>
        </w:tabs>
        <w:spacing w:before="10" w:line="249" w:lineRule="auto"/>
        <w:ind w:right="1104" w:firstLine="340"/>
        <w:jc w:val="both"/>
        <w:rPr>
          <w:sz w:val="20"/>
        </w:rPr>
      </w:pPr>
      <w:r>
        <w:rPr>
          <w:sz w:val="20"/>
        </w:rPr>
        <w:t>Códigos</w:t>
      </w:r>
      <w:r>
        <w:rPr>
          <w:spacing w:val="-2"/>
          <w:sz w:val="20"/>
        </w:rPr>
        <w:t xml:space="preserve"> </w:t>
      </w:r>
      <w:r>
        <w:rPr>
          <w:sz w:val="20"/>
        </w:rPr>
        <w:t>CPV;</w:t>
      </w:r>
      <w:r>
        <w:rPr>
          <w:spacing w:val="-2"/>
          <w:sz w:val="20"/>
        </w:rPr>
        <w:t xml:space="preserve"> </w:t>
      </w:r>
      <w:r>
        <w:rPr>
          <w:sz w:val="20"/>
        </w:rPr>
        <w:t>cuando</w:t>
      </w:r>
      <w:r>
        <w:rPr>
          <w:spacing w:val="-2"/>
          <w:sz w:val="20"/>
        </w:rPr>
        <w:t xml:space="preserve"> </w:t>
      </w:r>
      <w:r>
        <w:rPr>
          <w:sz w:val="20"/>
        </w:rPr>
        <w:t>la</w:t>
      </w:r>
      <w:r>
        <w:rPr>
          <w:spacing w:val="-2"/>
          <w:sz w:val="20"/>
        </w:rPr>
        <w:t xml:space="preserve"> </w:t>
      </w:r>
      <w:r>
        <w:rPr>
          <w:sz w:val="20"/>
        </w:rPr>
        <w:t>concesión</w:t>
      </w:r>
      <w:r>
        <w:rPr>
          <w:spacing w:val="-2"/>
          <w:sz w:val="20"/>
        </w:rPr>
        <w:t xml:space="preserve"> </w:t>
      </w:r>
      <w:r>
        <w:rPr>
          <w:sz w:val="20"/>
        </w:rPr>
        <w:t>esté</w:t>
      </w:r>
      <w:r>
        <w:rPr>
          <w:spacing w:val="-2"/>
          <w:sz w:val="20"/>
        </w:rPr>
        <w:t xml:space="preserve"> </w:t>
      </w:r>
      <w:r>
        <w:rPr>
          <w:sz w:val="20"/>
        </w:rPr>
        <w:t>dividida</w:t>
      </w:r>
      <w:r>
        <w:rPr>
          <w:spacing w:val="-2"/>
          <w:sz w:val="20"/>
        </w:rPr>
        <w:t xml:space="preserve"> </w:t>
      </w:r>
      <w:r>
        <w:rPr>
          <w:sz w:val="20"/>
        </w:rPr>
        <w:t>en</w:t>
      </w:r>
      <w:r>
        <w:rPr>
          <w:spacing w:val="-2"/>
          <w:sz w:val="20"/>
        </w:rPr>
        <w:t xml:space="preserve"> </w:t>
      </w:r>
      <w:r>
        <w:rPr>
          <w:sz w:val="20"/>
        </w:rPr>
        <w:t>lotes,</w:t>
      </w:r>
      <w:r>
        <w:rPr>
          <w:spacing w:val="-2"/>
          <w:sz w:val="20"/>
        </w:rPr>
        <w:t xml:space="preserve"> </w:t>
      </w:r>
      <w:r>
        <w:rPr>
          <w:sz w:val="20"/>
        </w:rPr>
        <w:t>esta</w:t>
      </w:r>
      <w:r>
        <w:rPr>
          <w:spacing w:val="-2"/>
          <w:sz w:val="20"/>
        </w:rPr>
        <w:t xml:space="preserve"> </w:t>
      </w:r>
      <w:r>
        <w:rPr>
          <w:sz w:val="20"/>
        </w:rPr>
        <w:t>información</w:t>
      </w:r>
      <w:r>
        <w:rPr>
          <w:spacing w:val="-2"/>
          <w:sz w:val="20"/>
        </w:rPr>
        <w:t xml:space="preserve"> </w:t>
      </w:r>
      <w:r>
        <w:rPr>
          <w:sz w:val="20"/>
        </w:rPr>
        <w:t>se</w:t>
      </w:r>
      <w:r>
        <w:rPr>
          <w:spacing w:val="-2"/>
          <w:sz w:val="20"/>
        </w:rPr>
        <w:t xml:space="preserve"> </w:t>
      </w:r>
      <w:r>
        <w:rPr>
          <w:sz w:val="20"/>
        </w:rPr>
        <w:t>facilitará para cada lote.</w:t>
      </w:r>
    </w:p>
    <w:p w:rsidR="0092635B" w:rsidRDefault="00000000">
      <w:pPr>
        <w:pStyle w:val="Prrafodelista"/>
        <w:numPr>
          <w:ilvl w:val="0"/>
          <w:numId w:val="3"/>
        </w:numPr>
        <w:tabs>
          <w:tab w:val="left" w:pos="1668"/>
        </w:tabs>
        <w:spacing w:before="1"/>
        <w:ind w:left="1668" w:right="0" w:hanging="222"/>
        <w:rPr>
          <w:sz w:val="20"/>
        </w:rPr>
      </w:pPr>
      <w:r>
        <w:rPr>
          <w:sz w:val="20"/>
        </w:rPr>
        <w:t>Indicación</w:t>
      </w:r>
      <w:r>
        <w:rPr>
          <w:spacing w:val="-7"/>
          <w:sz w:val="20"/>
        </w:rPr>
        <w:t xml:space="preserve"> </w:t>
      </w:r>
      <w:r>
        <w:rPr>
          <w:sz w:val="20"/>
        </w:rPr>
        <w:t>resumida</w:t>
      </w:r>
      <w:r>
        <w:rPr>
          <w:spacing w:val="-4"/>
          <w:sz w:val="20"/>
        </w:rPr>
        <w:t xml:space="preserve"> </w:t>
      </w:r>
      <w:r>
        <w:rPr>
          <w:sz w:val="20"/>
        </w:rPr>
        <w:t>del</w:t>
      </w:r>
      <w:r>
        <w:rPr>
          <w:spacing w:val="-4"/>
          <w:sz w:val="20"/>
        </w:rPr>
        <w:t xml:space="preserve"> </w:t>
      </w:r>
      <w:r>
        <w:rPr>
          <w:sz w:val="20"/>
        </w:rPr>
        <w:t>objeto</w:t>
      </w:r>
      <w:r>
        <w:rPr>
          <w:spacing w:val="-4"/>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concesión.</w:t>
      </w:r>
    </w:p>
    <w:p w:rsidR="0092635B" w:rsidRDefault="00000000">
      <w:pPr>
        <w:pStyle w:val="Prrafodelista"/>
        <w:numPr>
          <w:ilvl w:val="0"/>
          <w:numId w:val="3"/>
        </w:numPr>
        <w:tabs>
          <w:tab w:val="left" w:pos="1668"/>
        </w:tabs>
        <w:spacing w:before="10"/>
        <w:ind w:left="1668" w:right="0" w:hanging="222"/>
        <w:rPr>
          <w:sz w:val="20"/>
        </w:rPr>
      </w:pPr>
      <w:r>
        <w:rPr>
          <w:sz w:val="20"/>
        </w:rPr>
        <w:t>Número</w:t>
      </w:r>
      <w:r>
        <w:rPr>
          <w:spacing w:val="-2"/>
          <w:sz w:val="20"/>
        </w:rPr>
        <w:t xml:space="preserve"> </w:t>
      </w:r>
      <w:r>
        <w:rPr>
          <w:sz w:val="20"/>
        </w:rPr>
        <w:t>de</w:t>
      </w:r>
      <w:r>
        <w:rPr>
          <w:spacing w:val="-2"/>
          <w:sz w:val="20"/>
        </w:rPr>
        <w:t xml:space="preserve"> </w:t>
      </w:r>
      <w:r>
        <w:rPr>
          <w:sz w:val="20"/>
        </w:rPr>
        <w:t>ofertas</w:t>
      </w:r>
      <w:r>
        <w:rPr>
          <w:spacing w:val="-2"/>
          <w:sz w:val="20"/>
        </w:rPr>
        <w:t xml:space="preserve"> recibidas.</w:t>
      </w:r>
    </w:p>
    <w:p w:rsidR="0092635B" w:rsidRDefault="00000000">
      <w:pPr>
        <w:pStyle w:val="Prrafodelista"/>
        <w:numPr>
          <w:ilvl w:val="0"/>
          <w:numId w:val="3"/>
        </w:numPr>
        <w:tabs>
          <w:tab w:val="left" w:pos="1668"/>
        </w:tabs>
        <w:spacing w:before="11"/>
        <w:ind w:left="1668" w:right="0" w:hanging="222"/>
        <w:rPr>
          <w:sz w:val="20"/>
        </w:rPr>
      </w:pPr>
      <w:r>
        <w:rPr>
          <w:sz w:val="20"/>
        </w:rPr>
        <w:t>Valor</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oferta</w:t>
      </w:r>
      <w:r>
        <w:rPr>
          <w:spacing w:val="-2"/>
          <w:sz w:val="20"/>
        </w:rPr>
        <w:t xml:space="preserve"> </w:t>
      </w:r>
      <w:r>
        <w:rPr>
          <w:sz w:val="20"/>
        </w:rPr>
        <w:t>adjudicada,</w:t>
      </w:r>
      <w:r>
        <w:rPr>
          <w:spacing w:val="-3"/>
          <w:sz w:val="20"/>
        </w:rPr>
        <w:t xml:space="preserve"> </w:t>
      </w:r>
      <w:r>
        <w:rPr>
          <w:sz w:val="20"/>
        </w:rPr>
        <w:t>incluidos</w:t>
      </w:r>
      <w:r>
        <w:rPr>
          <w:spacing w:val="-3"/>
          <w:sz w:val="20"/>
        </w:rPr>
        <w:t xml:space="preserve"> </w:t>
      </w:r>
      <w:r>
        <w:rPr>
          <w:sz w:val="20"/>
        </w:rPr>
        <w:t>honorarios</w:t>
      </w:r>
      <w:r>
        <w:rPr>
          <w:spacing w:val="-3"/>
          <w:sz w:val="20"/>
        </w:rPr>
        <w:t xml:space="preserve"> </w:t>
      </w:r>
      <w:r>
        <w:rPr>
          <w:sz w:val="20"/>
        </w:rPr>
        <w:t>y</w:t>
      </w:r>
      <w:r>
        <w:rPr>
          <w:spacing w:val="-2"/>
          <w:sz w:val="20"/>
        </w:rPr>
        <w:t xml:space="preserve"> precios.</w:t>
      </w:r>
    </w:p>
    <w:p w:rsidR="0092635B" w:rsidRDefault="00000000">
      <w:pPr>
        <w:pStyle w:val="Prrafodelista"/>
        <w:numPr>
          <w:ilvl w:val="0"/>
          <w:numId w:val="3"/>
        </w:numPr>
        <w:tabs>
          <w:tab w:val="left" w:pos="1679"/>
        </w:tabs>
        <w:spacing w:before="10" w:line="249" w:lineRule="auto"/>
        <w:ind w:right="1106" w:firstLine="340"/>
        <w:rPr>
          <w:sz w:val="20"/>
        </w:rPr>
      </w:pPr>
      <w:r>
        <w:rPr>
          <w:sz w:val="20"/>
        </w:rPr>
        <w:t>Nombre y dirección (incluido el código NUTS), número de teléfono y de fax, dirección electrónica y de internet del licitador o licitadores seleccionados.</w:t>
      </w:r>
    </w:p>
    <w:p w:rsidR="0092635B" w:rsidRDefault="0092635B">
      <w:pPr>
        <w:pStyle w:val="Prrafodelista"/>
        <w:spacing w:line="249" w:lineRule="auto"/>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3"/>
        </w:numPr>
        <w:tabs>
          <w:tab w:val="left" w:pos="1668"/>
        </w:tabs>
        <w:spacing w:before="1"/>
        <w:ind w:left="1668" w:right="0" w:hanging="222"/>
        <w:rPr>
          <w:sz w:val="20"/>
        </w:rPr>
      </w:pPr>
      <w:r>
        <w:rPr>
          <w:sz w:val="20"/>
        </w:rPr>
        <w:t>Si</w:t>
      </w:r>
      <w:r>
        <w:rPr>
          <w:spacing w:val="-1"/>
          <w:sz w:val="20"/>
        </w:rPr>
        <w:t xml:space="preserve"> </w:t>
      </w:r>
      <w:r>
        <w:rPr>
          <w:sz w:val="20"/>
        </w:rPr>
        <w:t xml:space="preserve">procede, otras </w:t>
      </w:r>
      <w:r>
        <w:rPr>
          <w:spacing w:val="-2"/>
          <w:sz w:val="20"/>
        </w:rPr>
        <w:t>informaciones.</w:t>
      </w:r>
    </w:p>
    <w:p w:rsidR="0092635B" w:rsidRDefault="0092635B">
      <w:pPr>
        <w:pStyle w:val="Textoindependiente"/>
        <w:spacing w:before="0"/>
        <w:ind w:left="0" w:firstLine="0"/>
        <w:jc w:val="left"/>
      </w:pPr>
    </w:p>
    <w:p w:rsidR="0092635B" w:rsidRDefault="0092635B">
      <w:pPr>
        <w:pStyle w:val="Textoindependiente"/>
        <w:spacing w:before="3"/>
        <w:ind w:left="0" w:firstLine="0"/>
        <w:jc w:val="left"/>
      </w:pPr>
    </w:p>
    <w:p w:rsidR="0092635B" w:rsidRDefault="00000000">
      <w:pPr>
        <w:pStyle w:val="Ttulo1"/>
      </w:pPr>
      <w:bookmarkStart w:id="681" w:name="ANEXO_IV._Servicios_especiales_a_que_se_"/>
      <w:bookmarkStart w:id="682" w:name="_bookmark128"/>
      <w:bookmarkEnd w:id="681"/>
      <w:bookmarkEnd w:id="682"/>
      <w:r>
        <w:t xml:space="preserve">ANEXO </w:t>
      </w:r>
      <w:r>
        <w:rPr>
          <w:spacing w:val="-5"/>
        </w:rPr>
        <w:t>IV</w:t>
      </w:r>
    </w:p>
    <w:p w:rsidR="0092635B" w:rsidRDefault="00000000">
      <w:pPr>
        <w:spacing w:before="124" w:line="249" w:lineRule="auto"/>
        <w:ind w:left="1446" w:right="1444"/>
        <w:jc w:val="center"/>
        <w:rPr>
          <w:rFonts w:ascii="Arial" w:hAnsi="Arial"/>
          <w:b/>
          <w:sz w:val="20"/>
        </w:rPr>
      </w:pPr>
      <w:r>
        <w:rPr>
          <w:rFonts w:ascii="Arial" w:hAnsi="Arial"/>
          <w:b/>
          <w:sz w:val="20"/>
        </w:rPr>
        <w:t>Servicios</w:t>
      </w:r>
      <w:r>
        <w:rPr>
          <w:rFonts w:ascii="Arial" w:hAnsi="Arial"/>
          <w:b/>
          <w:spacing w:val="80"/>
          <w:sz w:val="20"/>
        </w:rPr>
        <w:t xml:space="preserve"> </w:t>
      </w:r>
      <w:r>
        <w:rPr>
          <w:rFonts w:ascii="Arial" w:hAnsi="Arial"/>
          <w:b/>
          <w:sz w:val="20"/>
        </w:rPr>
        <w:t>especiales</w:t>
      </w:r>
      <w:r>
        <w:rPr>
          <w:rFonts w:ascii="Arial" w:hAnsi="Arial"/>
          <w:b/>
          <w:spacing w:val="80"/>
          <w:sz w:val="20"/>
        </w:rPr>
        <w:t xml:space="preserve"> </w:t>
      </w:r>
      <w:r>
        <w:rPr>
          <w:rFonts w:ascii="Arial" w:hAnsi="Arial"/>
          <w:b/>
          <w:sz w:val="20"/>
        </w:rPr>
        <w:t>a</w:t>
      </w:r>
      <w:r>
        <w:rPr>
          <w:rFonts w:ascii="Arial" w:hAnsi="Arial"/>
          <w:b/>
          <w:spacing w:val="80"/>
          <w:sz w:val="20"/>
        </w:rPr>
        <w:t xml:space="preserve"> </w:t>
      </w:r>
      <w:r>
        <w:rPr>
          <w:rFonts w:ascii="Arial" w:hAnsi="Arial"/>
          <w:b/>
          <w:sz w:val="20"/>
        </w:rPr>
        <w:t>que</w:t>
      </w:r>
      <w:r>
        <w:rPr>
          <w:rFonts w:ascii="Arial" w:hAnsi="Arial"/>
          <w:b/>
          <w:spacing w:val="80"/>
          <w:sz w:val="20"/>
        </w:rPr>
        <w:t xml:space="preserve"> </w:t>
      </w:r>
      <w:r>
        <w:rPr>
          <w:rFonts w:ascii="Arial" w:hAnsi="Arial"/>
          <w:b/>
          <w:sz w:val="20"/>
        </w:rPr>
        <w:t>se</w:t>
      </w:r>
      <w:r>
        <w:rPr>
          <w:rFonts w:ascii="Arial" w:hAnsi="Arial"/>
          <w:b/>
          <w:spacing w:val="80"/>
          <w:sz w:val="20"/>
        </w:rPr>
        <w:t xml:space="preserve"> </w:t>
      </w:r>
      <w:r>
        <w:rPr>
          <w:rFonts w:ascii="Arial" w:hAnsi="Arial"/>
          <w:b/>
          <w:sz w:val="20"/>
        </w:rPr>
        <w:t>refieren</w:t>
      </w:r>
      <w:r>
        <w:rPr>
          <w:rFonts w:ascii="Arial" w:hAnsi="Arial"/>
          <w:b/>
          <w:spacing w:val="80"/>
          <w:sz w:val="20"/>
        </w:rPr>
        <w:t xml:space="preserve"> </w:t>
      </w:r>
      <w:r>
        <w:rPr>
          <w:rFonts w:ascii="Arial" w:hAnsi="Arial"/>
          <w:b/>
          <w:sz w:val="20"/>
        </w:rPr>
        <w:t>los</w:t>
      </w:r>
      <w:r>
        <w:rPr>
          <w:rFonts w:ascii="Arial" w:hAnsi="Arial"/>
          <w:b/>
          <w:spacing w:val="80"/>
          <w:sz w:val="20"/>
        </w:rPr>
        <w:t xml:space="preserve"> </w:t>
      </w:r>
      <w:r>
        <w:rPr>
          <w:rFonts w:ascii="Arial" w:hAnsi="Arial"/>
          <w:b/>
          <w:sz w:val="20"/>
        </w:rPr>
        <w:t>artículos</w:t>
      </w:r>
      <w:r>
        <w:rPr>
          <w:rFonts w:ascii="Arial" w:hAnsi="Arial"/>
          <w:b/>
          <w:spacing w:val="80"/>
          <w:sz w:val="20"/>
        </w:rPr>
        <w:t xml:space="preserve"> </w:t>
      </w:r>
      <w:r>
        <w:rPr>
          <w:rFonts w:ascii="Arial" w:hAnsi="Arial"/>
          <w:b/>
          <w:sz w:val="20"/>
        </w:rPr>
        <w:t>22.1.C),</w:t>
      </w:r>
      <w:r>
        <w:rPr>
          <w:rFonts w:ascii="Arial" w:hAnsi="Arial"/>
          <w:b/>
          <w:spacing w:val="80"/>
          <w:sz w:val="20"/>
        </w:rPr>
        <w:t xml:space="preserve"> </w:t>
      </w:r>
      <w:r>
        <w:rPr>
          <w:rFonts w:ascii="Arial" w:hAnsi="Arial"/>
          <w:b/>
          <w:sz w:val="20"/>
        </w:rPr>
        <w:t>135.5</w:t>
      </w:r>
      <w:r>
        <w:rPr>
          <w:rFonts w:ascii="Arial" w:hAnsi="Arial"/>
          <w:b/>
          <w:spacing w:val="80"/>
          <w:sz w:val="20"/>
        </w:rPr>
        <w:t xml:space="preserve"> </w:t>
      </w:r>
      <w:r>
        <w:rPr>
          <w:rFonts w:ascii="Arial" w:hAnsi="Arial"/>
          <w:b/>
          <w:sz w:val="20"/>
        </w:rPr>
        <w:t>Y</w:t>
      </w:r>
      <w:r>
        <w:rPr>
          <w:rFonts w:ascii="Arial" w:hAnsi="Arial"/>
          <w:b/>
          <w:spacing w:val="80"/>
          <w:sz w:val="20"/>
        </w:rPr>
        <w:t xml:space="preserve"> </w:t>
      </w:r>
      <w:r>
        <w:rPr>
          <w:rFonts w:ascii="Arial" w:hAnsi="Arial"/>
          <w:b/>
          <w:sz w:val="20"/>
        </w:rPr>
        <w:t>la disposición adicional trigésima sexta</w:t>
      </w:r>
    </w:p>
    <w:p w:rsidR="0092635B" w:rsidRDefault="0092635B">
      <w:pPr>
        <w:pStyle w:val="Textoindependiente"/>
        <w:spacing w:before="107"/>
        <w:ind w:left="0" w:firstLine="0"/>
        <w:jc w:val="left"/>
        <w:rPr>
          <w:rFonts w:ascii="Arial"/>
          <w:b/>
        </w:rPr>
      </w:pPr>
    </w:p>
    <w:tbl>
      <w:tblPr>
        <w:tblStyle w:val="TableNormal"/>
        <w:tblW w:w="0" w:type="auto"/>
        <w:tblInd w:w="149"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7579"/>
        <w:gridCol w:w="2625"/>
      </w:tblGrid>
      <w:tr w:rsidR="0092635B">
        <w:trPr>
          <w:trHeight w:val="165"/>
        </w:trPr>
        <w:tc>
          <w:tcPr>
            <w:tcW w:w="7579" w:type="dxa"/>
            <w:shd w:val="clear" w:color="auto" w:fill="EDEDED"/>
          </w:tcPr>
          <w:p w:rsidR="0092635B" w:rsidRDefault="00000000">
            <w:pPr>
              <w:pStyle w:val="TableParagraph"/>
              <w:spacing w:line="145" w:lineRule="exact"/>
              <w:ind w:left="5"/>
              <w:jc w:val="center"/>
              <w:rPr>
                <w:rFonts w:ascii="Arial" w:hAnsi="Arial"/>
                <w:b/>
                <w:sz w:val="14"/>
              </w:rPr>
            </w:pPr>
            <w:r>
              <w:rPr>
                <w:rFonts w:ascii="Arial" w:hAnsi="Arial"/>
                <w:b/>
                <w:w w:val="85"/>
                <w:sz w:val="14"/>
              </w:rPr>
              <w:t>Código</w:t>
            </w:r>
            <w:r>
              <w:rPr>
                <w:rFonts w:ascii="Arial" w:hAnsi="Arial"/>
                <w:b/>
                <w:spacing w:val="4"/>
                <w:sz w:val="14"/>
              </w:rPr>
              <w:t xml:space="preserve"> </w:t>
            </w:r>
            <w:r>
              <w:rPr>
                <w:rFonts w:ascii="Arial" w:hAnsi="Arial"/>
                <w:b/>
                <w:spacing w:val="-5"/>
                <w:w w:val="95"/>
                <w:sz w:val="14"/>
              </w:rPr>
              <w:t>CPV</w:t>
            </w:r>
          </w:p>
        </w:tc>
        <w:tc>
          <w:tcPr>
            <w:tcW w:w="2625" w:type="dxa"/>
            <w:shd w:val="clear" w:color="auto" w:fill="EDEDED"/>
          </w:tcPr>
          <w:p w:rsidR="0092635B" w:rsidRDefault="00000000">
            <w:pPr>
              <w:pStyle w:val="TableParagraph"/>
              <w:spacing w:line="145" w:lineRule="exact"/>
              <w:ind w:left="6"/>
              <w:jc w:val="center"/>
              <w:rPr>
                <w:rFonts w:ascii="Arial" w:hAnsi="Arial"/>
                <w:b/>
                <w:sz w:val="14"/>
              </w:rPr>
            </w:pPr>
            <w:r>
              <w:rPr>
                <w:rFonts w:ascii="Arial" w:hAnsi="Arial"/>
                <w:b/>
                <w:spacing w:val="-2"/>
                <w:w w:val="95"/>
                <w:sz w:val="14"/>
              </w:rPr>
              <w:t>Descripción</w:t>
            </w:r>
          </w:p>
        </w:tc>
      </w:tr>
      <w:tr w:rsidR="0092635B">
        <w:trPr>
          <w:trHeight w:val="836"/>
        </w:trPr>
        <w:tc>
          <w:tcPr>
            <w:tcW w:w="7579" w:type="dxa"/>
            <w:tcBorders>
              <w:left w:val="single" w:sz="4" w:space="0" w:color="CCCCCC"/>
              <w:bottom w:val="single" w:sz="4" w:space="0" w:color="CCCCCC"/>
              <w:right w:val="single" w:sz="4" w:space="0" w:color="CCCCCC"/>
            </w:tcBorders>
          </w:tcPr>
          <w:p w:rsidR="0092635B" w:rsidRDefault="00000000">
            <w:pPr>
              <w:pStyle w:val="TableParagraph"/>
              <w:spacing w:line="249" w:lineRule="auto"/>
              <w:ind w:left="40" w:right="47"/>
              <w:rPr>
                <w:sz w:val="14"/>
              </w:rPr>
            </w:pPr>
            <w:r>
              <w:rPr>
                <w:w w:val="85"/>
                <w:sz w:val="14"/>
              </w:rPr>
              <w:t>75200000-8;</w:t>
            </w:r>
            <w:r>
              <w:rPr>
                <w:sz w:val="14"/>
              </w:rPr>
              <w:t xml:space="preserve"> </w:t>
            </w:r>
            <w:r>
              <w:rPr>
                <w:w w:val="85"/>
                <w:sz w:val="14"/>
              </w:rPr>
              <w:t>75231200-6;</w:t>
            </w:r>
            <w:r>
              <w:rPr>
                <w:sz w:val="14"/>
              </w:rPr>
              <w:t xml:space="preserve"> </w:t>
            </w:r>
            <w:r>
              <w:rPr>
                <w:w w:val="85"/>
                <w:sz w:val="14"/>
              </w:rPr>
              <w:t>75231240-8;</w:t>
            </w:r>
            <w:r>
              <w:rPr>
                <w:sz w:val="14"/>
              </w:rPr>
              <w:t xml:space="preserve"> </w:t>
            </w:r>
            <w:r>
              <w:rPr>
                <w:w w:val="85"/>
                <w:sz w:val="14"/>
              </w:rPr>
              <w:t>79611000-0;</w:t>
            </w:r>
            <w:r>
              <w:rPr>
                <w:sz w:val="14"/>
              </w:rPr>
              <w:t xml:space="preserve"> </w:t>
            </w:r>
            <w:r>
              <w:rPr>
                <w:w w:val="85"/>
                <w:sz w:val="14"/>
              </w:rPr>
              <w:t>79622000-0</w:t>
            </w:r>
            <w:r>
              <w:rPr>
                <w:sz w:val="14"/>
              </w:rPr>
              <w:t xml:space="preserve"> </w:t>
            </w:r>
            <w:r>
              <w:rPr>
                <w:w w:val="85"/>
                <w:sz w:val="14"/>
              </w:rPr>
              <w:t>[Servicios</w:t>
            </w:r>
            <w:r>
              <w:rPr>
                <w:sz w:val="14"/>
              </w:rPr>
              <w:t xml:space="preserve"> </w:t>
            </w:r>
            <w:r>
              <w:rPr>
                <w:w w:val="85"/>
                <w:sz w:val="14"/>
              </w:rPr>
              <w:t>de</w:t>
            </w:r>
            <w:r>
              <w:rPr>
                <w:sz w:val="14"/>
              </w:rPr>
              <w:t xml:space="preserve"> </w:t>
            </w:r>
            <w:r>
              <w:rPr>
                <w:w w:val="85"/>
                <w:sz w:val="14"/>
              </w:rPr>
              <w:t>suministro</w:t>
            </w:r>
            <w:r>
              <w:rPr>
                <w:sz w:val="14"/>
              </w:rPr>
              <w:t xml:space="preserve"> </w:t>
            </w:r>
            <w:r>
              <w:rPr>
                <w:w w:val="85"/>
                <w:sz w:val="14"/>
              </w:rPr>
              <w:t>de</w:t>
            </w:r>
            <w:r>
              <w:rPr>
                <w:sz w:val="14"/>
              </w:rPr>
              <w:t xml:space="preserve"> </w:t>
            </w:r>
            <w:r>
              <w:rPr>
                <w:w w:val="85"/>
                <w:sz w:val="14"/>
              </w:rPr>
              <w:t>personal</w:t>
            </w:r>
            <w:r>
              <w:rPr>
                <w:sz w:val="14"/>
              </w:rPr>
              <w:t xml:space="preserve"> </w:t>
            </w:r>
            <w:r>
              <w:rPr>
                <w:w w:val="85"/>
                <w:sz w:val="14"/>
              </w:rPr>
              <w:t>doméstico]</w:t>
            </w:r>
            <w:r>
              <w:rPr>
                <w:sz w:val="14"/>
              </w:rPr>
              <w:t xml:space="preserve"> </w:t>
            </w:r>
            <w:r>
              <w:rPr>
                <w:w w:val="85"/>
                <w:sz w:val="14"/>
              </w:rPr>
              <w:t>79624000-4</w:t>
            </w:r>
            <w:r>
              <w:rPr>
                <w:sz w:val="14"/>
              </w:rPr>
              <w:t xml:space="preserve"> </w:t>
            </w:r>
            <w:r>
              <w:rPr>
                <w:w w:val="85"/>
                <w:sz w:val="14"/>
              </w:rPr>
              <w:t>[Servicios</w:t>
            </w:r>
            <w:r>
              <w:rPr>
                <w:spacing w:val="80"/>
                <w:sz w:val="14"/>
              </w:rPr>
              <w:t xml:space="preserve"> </w:t>
            </w:r>
            <w:r>
              <w:rPr>
                <w:spacing w:val="-2"/>
                <w:w w:val="90"/>
                <w:sz w:val="14"/>
              </w:rPr>
              <w:t>de suministro de personal de enfermería] y 79625000-1 [Servicios de suministro de personal médico] de 85000000-9 a 85323000-9;</w:t>
            </w:r>
            <w:r>
              <w:rPr>
                <w:spacing w:val="40"/>
                <w:sz w:val="14"/>
              </w:rPr>
              <w:t xml:space="preserve"> </w:t>
            </w:r>
            <w:r>
              <w:rPr>
                <w:w w:val="85"/>
                <w:sz w:val="14"/>
              </w:rPr>
              <w:t>98133100-5,</w:t>
            </w:r>
            <w:r>
              <w:rPr>
                <w:sz w:val="14"/>
              </w:rPr>
              <w:t xml:space="preserve"> </w:t>
            </w:r>
            <w:r>
              <w:rPr>
                <w:w w:val="85"/>
                <w:sz w:val="14"/>
              </w:rPr>
              <w:t>98133000-4;</w:t>
            </w:r>
            <w:r>
              <w:rPr>
                <w:sz w:val="14"/>
              </w:rPr>
              <w:t xml:space="preserve"> </w:t>
            </w:r>
            <w:r>
              <w:rPr>
                <w:w w:val="85"/>
                <w:sz w:val="14"/>
              </w:rPr>
              <w:t>98200000-5;</w:t>
            </w:r>
            <w:r>
              <w:rPr>
                <w:sz w:val="14"/>
              </w:rPr>
              <w:t xml:space="preserve"> </w:t>
            </w:r>
            <w:r>
              <w:rPr>
                <w:w w:val="85"/>
                <w:sz w:val="14"/>
              </w:rPr>
              <w:t>98500000-8</w:t>
            </w:r>
            <w:r>
              <w:rPr>
                <w:sz w:val="14"/>
              </w:rPr>
              <w:t xml:space="preserve"> </w:t>
            </w:r>
            <w:r>
              <w:rPr>
                <w:w w:val="85"/>
                <w:sz w:val="14"/>
              </w:rPr>
              <w:t>[Casas</w:t>
            </w:r>
            <w:r>
              <w:rPr>
                <w:sz w:val="14"/>
              </w:rPr>
              <w:t xml:space="preserve"> </w:t>
            </w:r>
            <w:r>
              <w:rPr>
                <w:w w:val="85"/>
                <w:sz w:val="14"/>
              </w:rPr>
              <w:t>particulares</w:t>
            </w:r>
            <w:r>
              <w:rPr>
                <w:sz w:val="14"/>
              </w:rPr>
              <w:t xml:space="preserve"> </w:t>
            </w:r>
            <w:r>
              <w:rPr>
                <w:w w:val="85"/>
                <w:sz w:val="14"/>
              </w:rPr>
              <w:t>con</w:t>
            </w:r>
            <w:r>
              <w:rPr>
                <w:sz w:val="14"/>
              </w:rPr>
              <w:t xml:space="preserve"> </w:t>
            </w:r>
            <w:r>
              <w:rPr>
                <w:w w:val="85"/>
                <w:sz w:val="14"/>
              </w:rPr>
              <w:t>personas</w:t>
            </w:r>
            <w:r>
              <w:rPr>
                <w:sz w:val="14"/>
              </w:rPr>
              <w:t xml:space="preserve"> </w:t>
            </w:r>
            <w:r>
              <w:rPr>
                <w:w w:val="85"/>
                <w:sz w:val="14"/>
              </w:rPr>
              <w:t>empleadas]</w:t>
            </w:r>
            <w:r>
              <w:rPr>
                <w:sz w:val="14"/>
              </w:rPr>
              <w:t xml:space="preserve"> </w:t>
            </w:r>
            <w:r>
              <w:rPr>
                <w:w w:val="85"/>
                <w:sz w:val="14"/>
              </w:rPr>
              <w:t>y</w:t>
            </w:r>
            <w:r>
              <w:rPr>
                <w:sz w:val="14"/>
              </w:rPr>
              <w:t xml:space="preserve"> </w:t>
            </w:r>
            <w:r>
              <w:rPr>
                <w:w w:val="85"/>
                <w:sz w:val="14"/>
              </w:rPr>
              <w:t>98513000-2</w:t>
            </w:r>
            <w:r>
              <w:rPr>
                <w:sz w:val="14"/>
              </w:rPr>
              <w:t xml:space="preserve"> </w:t>
            </w:r>
            <w:r>
              <w:rPr>
                <w:w w:val="85"/>
                <w:sz w:val="14"/>
              </w:rPr>
              <w:t>a</w:t>
            </w:r>
            <w:r>
              <w:rPr>
                <w:sz w:val="14"/>
              </w:rPr>
              <w:t xml:space="preserve"> </w:t>
            </w:r>
            <w:r>
              <w:rPr>
                <w:w w:val="85"/>
                <w:sz w:val="14"/>
              </w:rPr>
              <w:t>98514000-9</w:t>
            </w:r>
            <w:r>
              <w:rPr>
                <w:sz w:val="14"/>
              </w:rPr>
              <w:t xml:space="preserve"> </w:t>
            </w:r>
            <w:r>
              <w:rPr>
                <w:w w:val="85"/>
                <w:sz w:val="14"/>
              </w:rPr>
              <w:t>[Servicios</w:t>
            </w:r>
            <w:r>
              <w:rPr>
                <w:spacing w:val="40"/>
                <w:sz w:val="14"/>
              </w:rPr>
              <w:t xml:space="preserve"> </w:t>
            </w:r>
            <w:r>
              <w:rPr>
                <w:spacing w:val="-2"/>
                <w:w w:val="90"/>
                <w:sz w:val="14"/>
              </w:rPr>
              <w:t>de mano de obra para particulares, Servicios de personal de agencia para particulares, Servicios de personal administrativo para</w:t>
            </w:r>
          </w:p>
          <w:p w:rsidR="0092635B" w:rsidRDefault="00000000">
            <w:pPr>
              <w:pStyle w:val="TableParagraph"/>
              <w:spacing w:before="2" w:line="145" w:lineRule="exact"/>
              <w:ind w:left="40"/>
              <w:rPr>
                <w:sz w:val="14"/>
              </w:rPr>
            </w:pPr>
            <w:r>
              <w:rPr>
                <w:w w:val="85"/>
                <w:sz w:val="14"/>
              </w:rPr>
              <w:t>particulares,</w:t>
            </w:r>
            <w:r>
              <w:rPr>
                <w:spacing w:val="2"/>
                <w:sz w:val="14"/>
              </w:rPr>
              <w:t xml:space="preserve"> </w:t>
            </w:r>
            <w:r>
              <w:rPr>
                <w:w w:val="85"/>
                <w:sz w:val="14"/>
              </w:rPr>
              <w:t>Personal</w:t>
            </w:r>
            <w:r>
              <w:rPr>
                <w:spacing w:val="2"/>
                <w:sz w:val="14"/>
              </w:rPr>
              <w:t xml:space="preserve"> </w:t>
            </w:r>
            <w:r>
              <w:rPr>
                <w:w w:val="85"/>
                <w:sz w:val="14"/>
              </w:rPr>
              <w:t>temporal</w:t>
            </w:r>
            <w:r>
              <w:rPr>
                <w:spacing w:val="2"/>
                <w:sz w:val="14"/>
              </w:rPr>
              <w:t xml:space="preserve"> </w:t>
            </w:r>
            <w:r>
              <w:rPr>
                <w:w w:val="85"/>
                <w:sz w:val="14"/>
              </w:rPr>
              <w:t>para</w:t>
            </w:r>
            <w:r>
              <w:rPr>
                <w:spacing w:val="3"/>
                <w:sz w:val="14"/>
              </w:rPr>
              <w:t xml:space="preserve"> </w:t>
            </w:r>
            <w:r>
              <w:rPr>
                <w:w w:val="85"/>
                <w:sz w:val="14"/>
              </w:rPr>
              <w:t>particulares,</w:t>
            </w:r>
            <w:r>
              <w:rPr>
                <w:spacing w:val="2"/>
                <w:sz w:val="14"/>
              </w:rPr>
              <w:t xml:space="preserve"> </w:t>
            </w:r>
            <w:r>
              <w:rPr>
                <w:w w:val="85"/>
                <w:sz w:val="14"/>
              </w:rPr>
              <w:t>Servicios</w:t>
            </w:r>
            <w:r>
              <w:rPr>
                <w:spacing w:val="2"/>
                <w:sz w:val="14"/>
              </w:rPr>
              <w:t xml:space="preserve"> </w:t>
            </w:r>
            <w:r>
              <w:rPr>
                <w:w w:val="85"/>
                <w:sz w:val="14"/>
              </w:rPr>
              <w:t>de</w:t>
            </w:r>
            <w:r>
              <w:rPr>
                <w:spacing w:val="3"/>
                <w:sz w:val="14"/>
              </w:rPr>
              <w:t xml:space="preserve"> </w:t>
            </w:r>
            <w:r>
              <w:rPr>
                <w:w w:val="85"/>
                <w:sz w:val="14"/>
              </w:rPr>
              <w:t>ayuda</w:t>
            </w:r>
            <w:r>
              <w:rPr>
                <w:spacing w:val="2"/>
                <w:sz w:val="14"/>
              </w:rPr>
              <w:t xml:space="preserve"> </w:t>
            </w:r>
            <w:r>
              <w:rPr>
                <w:w w:val="85"/>
                <w:sz w:val="14"/>
              </w:rPr>
              <w:t>en</w:t>
            </w:r>
            <w:r>
              <w:rPr>
                <w:spacing w:val="2"/>
                <w:sz w:val="14"/>
              </w:rPr>
              <w:t xml:space="preserve"> </w:t>
            </w:r>
            <w:r>
              <w:rPr>
                <w:w w:val="85"/>
                <w:sz w:val="14"/>
              </w:rPr>
              <w:t>tareas</w:t>
            </w:r>
            <w:r>
              <w:rPr>
                <w:spacing w:val="3"/>
                <w:sz w:val="14"/>
              </w:rPr>
              <w:t xml:space="preserve"> </w:t>
            </w:r>
            <w:r>
              <w:rPr>
                <w:w w:val="85"/>
                <w:sz w:val="14"/>
              </w:rPr>
              <w:t>domésticas</w:t>
            </w:r>
            <w:r>
              <w:rPr>
                <w:spacing w:val="2"/>
                <w:sz w:val="14"/>
              </w:rPr>
              <w:t xml:space="preserve"> </w:t>
            </w:r>
            <w:r>
              <w:rPr>
                <w:w w:val="85"/>
                <w:sz w:val="14"/>
              </w:rPr>
              <w:t>y</w:t>
            </w:r>
            <w:r>
              <w:rPr>
                <w:spacing w:val="2"/>
                <w:sz w:val="14"/>
              </w:rPr>
              <w:t xml:space="preserve"> </w:t>
            </w:r>
            <w:r>
              <w:rPr>
                <w:w w:val="85"/>
                <w:sz w:val="14"/>
              </w:rPr>
              <w:t>Servicios</w:t>
            </w:r>
            <w:r>
              <w:rPr>
                <w:spacing w:val="2"/>
                <w:sz w:val="14"/>
              </w:rPr>
              <w:t xml:space="preserve"> </w:t>
            </w:r>
            <w:r>
              <w:rPr>
                <w:spacing w:val="-2"/>
                <w:w w:val="85"/>
                <w:sz w:val="14"/>
              </w:rPr>
              <w:t>domésticos].</w:t>
            </w:r>
          </w:p>
        </w:tc>
        <w:tc>
          <w:tcPr>
            <w:tcW w:w="2625" w:type="dxa"/>
            <w:tcBorders>
              <w:left w:val="single" w:sz="4" w:space="0" w:color="CCCCCC"/>
              <w:bottom w:val="single" w:sz="4" w:space="0" w:color="CCCCCC"/>
              <w:right w:val="single" w:sz="4" w:space="0" w:color="CCCCCC"/>
            </w:tcBorders>
          </w:tcPr>
          <w:p w:rsidR="0092635B" w:rsidRDefault="0092635B">
            <w:pPr>
              <w:pStyle w:val="TableParagraph"/>
              <w:spacing w:before="90"/>
              <w:rPr>
                <w:rFonts w:ascii="Arial"/>
                <w:b/>
                <w:sz w:val="14"/>
              </w:rPr>
            </w:pPr>
          </w:p>
          <w:p w:rsidR="0092635B" w:rsidRDefault="00000000">
            <w:pPr>
              <w:pStyle w:val="TableParagraph"/>
              <w:spacing w:before="1" w:line="249" w:lineRule="auto"/>
              <w:ind w:left="40"/>
              <w:rPr>
                <w:sz w:val="14"/>
              </w:rPr>
            </w:pPr>
            <w:r>
              <w:rPr>
                <w:w w:val="85"/>
                <w:sz w:val="14"/>
              </w:rPr>
              <w:t>Servicios sociales y de salud y servicios</w:t>
            </w:r>
            <w:r>
              <w:rPr>
                <w:spacing w:val="40"/>
                <w:sz w:val="14"/>
              </w:rPr>
              <w:t xml:space="preserve"> </w:t>
            </w:r>
            <w:r>
              <w:rPr>
                <w:spacing w:val="-2"/>
                <w:w w:val="95"/>
                <w:sz w:val="14"/>
              </w:rPr>
              <w:t>conexos.</w:t>
            </w:r>
          </w:p>
        </w:tc>
      </w:tr>
      <w:tr w:rsidR="0092635B">
        <w:trPr>
          <w:trHeight w:val="1171"/>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0" w:right="396"/>
              <w:rPr>
                <w:sz w:val="14"/>
              </w:rPr>
            </w:pPr>
            <w:r>
              <w:rPr>
                <w:w w:val="85"/>
                <w:sz w:val="14"/>
              </w:rPr>
              <w:t>85321000-5 y 85322000-2, 75000000-6 [Servicios de administración pública, defensa y servicios de seguridad social], 75121000-0,</w:t>
            </w:r>
            <w:r>
              <w:rPr>
                <w:spacing w:val="40"/>
                <w:sz w:val="14"/>
              </w:rPr>
              <w:t xml:space="preserve"> </w:t>
            </w:r>
            <w:r>
              <w:rPr>
                <w:w w:val="90"/>
                <w:sz w:val="14"/>
              </w:rPr>
              <w:t>75122000-7,</w:t>
            </w:r>
            <w:r>
              <w:rPr>
                <w:spacing w:val="-6"/>
                <w:w w:val="90"/>
                <w:sz w:val="14"/>
              </w:rPr>
              <w:t xml:space="preserve"> </w:t>
            </w:r>
            <w:r>
              <w:rPr>
                <w:w w:val="90"/>
                <w:sz w:val="14"/>
              </w:rPr>
              <w:t>75124000-1;</w:t>
            </w:r>
            <w:r>
              <w:rPr>
                <w:spacing w:val="-6"/>
                <w:w w:val="90"/>
                <w:sz w:val="14"/>
              </w:rPr>
              <w:t xml:space="preserve"> </w:t>
            </w:r>
            <w:r>
              <w:rPr>
                <w:w w:val="90"/>
                <w:sz w:val="14"/>
              </w:rPr>
              <w:t>de</w:t>
            </w:r>
            <w:r>
              <w:rPr>
                <w:spacing w:val="-6"/>
                <w:w w:val="90"/>
                <w:sz w:val="14"/>
              </w:rPr>
              <w:t xml:space="preserve"> </w:t>
            </w:r>
            <w:r>
              <w:rPr>
                <w:w w:val="90"/>
                <w:sz w:val="14"/>
              </w:rPr>
              <w:t>79995000-5</w:t>
            </w:r>
            <w:r>
              <w:rPr>
                <w:spacing w:val="-6"/>
                <w:w w:val="90"/>
                <w:sz w:val="14"/>
              </w:rPr>
              <w:t xml:space="preserve"> </w:t>
            </w:r>
            <w:r>
              <w:rPr>
                <w:w w:val="90"/>
                <w:sz w:val="14"/>
              </w:rPr>
              <w:t>a</w:t>
            </w:r>
            <w:r>
              <w:rPr>
                <w:spacing w:val="-6"/>
                <w:w w:val="90"/>
                <w:sz w:val="14"/>
              </w:rPr>
              <w:t xml:space="preserve"> </w:t>
            </w:r>
            <w:r>
              <w:rPr>
                <w:w w:val="90"/>
                <w:sz w:val="14"/>
              </w:rPr>
              <w:t>79995200-7;</w:t>
            </w:r>
            <w:r>
              <w:rPr>
                <w:spacing w:val="-5"/>
                <w:w w:val="90"/>
                <w:sz w:val="14"/>
              </w:rPr>
              <w:t xml:space="preserve"> </w:t>
            </w:r>
            <w:r>
              <w:rPr>
                <w:w w:val="90"/>
                <w:sz w:val="14"/>
              </w:rPr>
              <w:t>de</w:t>
            </w:r>
            <w:r>
              <w:rPr>
                <w:spacing w:val="-6"/>
                <w:w w:val="90"/>
                <w:sz w:val="14"/>
              </w:rPr>
              <w:t xml:space="preserve"> </w:t>
            </w:r>
            <w:r>
              <w:rPr>
                <w:w w:val="90"/>
                <w:sz w:val="14"/>
              </w:rPr>
              <w:t>80000000-4</w:t>
            </w:r>
            <w:r>
              <w:rPr>
                <w:spacing w:val="-6"/>
                <w:w w:val="90"/>
                <w:sz w:val="14"/>
              </w:rPr>
              <w:t xml:space="preserve"> </w:t>
            </w:r>
            <w:r>
              <w:rPr>
                <w:w w:val="90"/>
                <w:sz w:val="14"/>
              </w:rPr>
              <w:t>Servicios</w:t>
            </w:r>
            <w:r>
              <w:rPr>
                <w:spacing w:val="-6"/>
                <w:w w:val="90"/>
                <w:sz w:val="14"/>
              </w:rPr>
              <w:t xml:space="preserve"> </w:t>
            </w:r>
            <w:r>
              <w:rPr>
                <w:w w:val="90"/>
                <w:sz w:val="14"/>
              </w:rPr>
              <w:t>educativos</w:t>
            </w:r>
            <w:r>
              <w:rPr>
                <w:spacing w:val="-6"/>
                <w:w w:val="90"/>
                <w:sz w:val="14"/>
              </w:rPr>
              <w:t xml:space="preserve"> </w:t>
            </w:r>
            <w:r>
              <w:rPr>
                <w:w w:val="90"/>
                <w:sz w:val="14"/>
              </w:rPr>
              <w:t>y</w:t>
            </w:r>
            <w:r>
              <w:rPr>
                <w:spacing w:val="-6"/>
                <w:w w:val="90"/>
                <w:sz w:val="14"/>
              </w:rPr>
              <w:t xml:space="preserve"> </w:t>
            </w:r>
            <w:r>
              <w:rPr>
                <w:w w:val="90"/>
                <w:sz w:val="14"/>
              </w:rPr>
              <w:t>de</w:t>
            </w:r>
            <w:r>
              <w:rPr>
                <w:spacing w:val="-6"/>
                <w:w w:val="90"/>
                <w:sz w:val="14"/>
              </w:rPr>
              <w:t xml:space="preserve"> </w:t>
            </w:r>
            <w:r>
              <w:rPr>
                <w:w w:val="90"/>
                <w:sz w:val="14"/>
              </w:rPr>
              <w:t>formación</w:t>
            </w:r>
            <w:r>
              <w:rPr>
                <w:spacing w:val="-5"/>
                <w:w w:val="90"/>
                <w:sz w:val="14"/>
              </w:rPr>
              <w:t xml:space="preserve"> </w:t>
            </w:r>
            <w:r>
              <w:rPr>
                <w:w w:val="90"/>
                <w:sz w:val="14"/>
              </w:rPr>
              <w:t>a</w:t>
            </w:r>
            <w:r>
              <w:rPr>
                <w:spacing w:val="-6"/>
                <w:w w:val="90"/>
                <w:sz w:val="14"/>
              </w:rPr>
              <w:t xml:space="preserve"> </w:t>
            </w:r>
            <w:r>
              <w:rPr>
                <w:w w:val="90"/>
                <w:sz w:val="14"/>
              </w:rPr>
              <w:t>80660000-8;</w:t>
            </w:r>
            <w:r>
              <w:rPr>
                <w:spacing w:val="-6"/>
                <w:w w:val="90"/>
                <w:sz w:val="14"/>
              </w:rPr>
              <w:t xml:space="preserve"> </w:t>
            </w:r>
            <w:r>
              <w:rPr>
                <w:w w:val="90"/>
                <w:sz w:val="14"/>
              </w:rPr>
              <w:t>de</w:t>
            </w:r>
          </w:p>
          <w:p w:rsidR="0092635B" w:rsidRDefault="00000000">
            <w:pPr>
              <w:pStyle w:val="TableParagraph"/>
              <w:ind w:left="40"/>
              <w:rPr>
                <w:sz w:val="14"/>
              </w:rPr>
            </w:pPr>
            <w:r>
              <w:rPr>
                <w:w w:val="85"/>
                <w:sz w:val="14"/>
              </w:rPr>
              <w:t>92000000-1</w:t>
            </w:r>
            <w:r>
              <w:rPr>
                <w:spacing w:val="2"/>
                <w:sz w:val="14"/>
              </w:rPr>
              <w:t xml:space="preserve"> </w:t>
            </w:r>
            <w:r>
              <w:rPr>
                <w:w w:val="85"/>
                <w:sz w:val="14"/>
              </w:rPr>
              <w:t>a</w:t>
            </w:r>
            <w:r>
              <w:rPr>
                <w:spacing w:val="3"/>
                <w:sz w:val="14"/>
              </w:rPr>
              <w:t xml:space="preserve"> </w:t>
            </w:r>
            <w:r>
              <w:rPr>
                <w:w w:val="85"/>
                <w:sz w:val="14"/>
              </w:rPr>
              <w:t>92342200-2;</w:t>
            </w:r>
            <w:r>
              <w:rPr>
                <w:spacing w:val="3"/>
                <w:sz w:val="14"/>
              </w:rPr>
              <w:t xml:space="preserve"> </w:t>
            </w:r>
            <w:r>
              <w:rPr>
                <w:w w:val="85"/>
                <w:sz w:val="14"/>
              </w:rPr>
              <w:t>de</w:t>
            </w:r>
            <w:r>
              <w:rPr>
                <w:spacing w:val="2"/>
                <w:sz w:val="14"/>
              </w:rPr>
              <w:t xml:space="preserve"> </w:t>
            </w:r>
            <w:r>
              <w:rPr>
                <w:w w:val="85"/>
                <w:sz w:val="14"/>
              </w:rPr>
              <w:t>92360000-2</w:t>
            </w:r>
            <w:r>
              <w:rPr>
                <w:spacing w:val="3"/>
                <w:sz w:val="14"/>
              </w:rPr>
              <w:t xml:space="preserve"> </w:t>
            </w:r>
            <w:r>
              <w:rPr>
                <w:w w:val="85"/>
                <w:sz w:val="14"/>
              </w:rPr>
              <w:t>a</w:t>
            </w:r>
            <w:r>
              <w:rPr>
                <w:spacing w:val="3"/>
                <w:sz w:val="14"/>
              </w:rPr>
              <w:t xml:space="preserve"> </w:t>
            </w:r>
            <w:r>
              <w:rPr>
                <w:w w:val="85"/>
                <w:sz w:val="14"/>
              </w:rPr>
              <w:t>92700000-</w:t>
            </w:r>
            <w:r>
              <w:rPr>
                <w:spacing w:val="-5"/>
                <w:w w:val="85"/>
                <w:sz w:val="14"/>
              </w:rPr>
              <w:t>8;</w:t>
            </w:r>
          </w:p>
          <w:p w:rsidR="0092635B" w:rsidRDefault="00000000">
            <w:pPr>
              <w:pStyle w:val="TableParagraph"/>
              <w:spacing w:before="7" w:line="160" w:lineRule="atLeast"/>
              <w:ind w:left="40" w:right="42"/>
              <w:rPr>
                <w:sz w:val="14"/>
              </w:rPr>
            </w:pPr>
            <w:r>
              <w:rPr>
                <w:spacing w:val="-2"/>
                <w:w w:val="90"/>
                <w:sz w:val="14"/>
              </w:rPr>
              <w:t>79950000-8 [Servicios de organización de exposiciones, ferias y congresos], 79951000-5 [Servicios de organización de seminarios],</w:t>
            </w:r>
            <w:r>
              <w:rPr>
                <w:spacing w:val="40"/>
                <w:sz w:val="14"/>
              </w:rPr>
              <w:t xml:space="preserve"> </w:t>
            </w:r>
            <w:r>
              <w:rPr>
                <w:w w:val="85"/>
                <w:sz w:val="14"/>
              </w:rPr>
              <w:t>79952000-2</w:t>
            </w:r>
            <w:r>
              <w:rPr>
                <w:sz w:val="14"/>
              </w:rPr>
              <w:t xml:space="preserve"> </w:t>
            </w:r>
            <w:r>
              <w:rPr>
                <w:w w:val="85"/>
                <w:sz w:val="14"/>
              </w:rPr>
              <w:t>[Servicios</w:t>
            </w:r>
            <w:r>
              <w:rPr>
                <w:sz w:val="14"/>
              </w:rPr>
              <w:t xml:space="preserve"> </w:t>
            </w:r>
            <w:r>
              <w:rPr>
                <w:w w:val="85"/>
                <w:sz w:val="14"/>
              </w:rPr>
              <w:t>de</w:t>
            </w:r>
            <w:r>
              <w:rPr>
                <w:sz w:val="14"/>
              </w:rPr>
              <w:t xml:space="preserve"> </w:t>
            </w:r>
            <w:r>
              <w:rPr>
                <w:w w:val="85"/>
                <w:sz w:val="14"/>
              </w:rPr>
              <w:t>eventos],</w:t>
            </w:r>
            <w:r>
              <w:rPr>
                <w:sz w:val="14"/>
              </w:rPr>
              <w:t xml:space="preserve"> </w:t>
            </w:r>
            <w:r>
              <w:rPr>
                <w:w w:val="85"/>
                <w:sz w:val="14"/>
              </w:rPr>
              <w:t>79952100-3</w:t>
            </w:r>
            <w:r>
              <w:rPr>
                <w:sz w:val="14"/>
              </w:rPr>
              <w:t xml:space="preserve"> </w:t>
            </w:r>
            <w:r>
              <w:rPr>
                <w:w w:val="85"/>
                <w:sz w:val="14"/>
              </w:rPr>
              <w:t>[Servicios</w:t>
            </w:r>
            <w:r>
              <w:rPr>
                <w:sz w:val="14"/>
              </w:rPr>
              <w:t xml:space="preserve"> </w:t>
            </w:r>
            <w:r>
              <w:rPr>
                <w:w w:val="85"/>
                <w:sz w:val="14"/>
              </w:rPr>
              <w:t>de</w:t>
            </w:r>
            <w:r>
              <w:rPr>
                <w:sz w:val="14"/>
              </w:rPr>
              <w:t xml:space="preserve"> </w:t>
            </w:r>
            <w:r>
              <w:rPr>
                <w:w w:val="85"/>
                <w:sz w:val="14"/>
              </w:rPr>
              <w:t>organización</w:t>
            </w:r>
            <w:r>
              <w:rPr>
                <w:sz w:val="14"/>
              </w:rPr>
              <w:t xml:space="preserve"> </w:t>
            </w:r>
            <w:r>
              <w:rPr>
                <w:w w:val="85"/>
                <w:sz w:val="14"/>
              </w:rPr>
              <w:t>de</w:t>
            </w:r>
            <w:r>
              <w:rPr>
                <w:sz w:val="14"/>
              </w:rPr>
              <w:t xml:space="preserve"> </w:t>
            </w:r>
            <w:r>
              <w:rPr>
                <w:w w:val="85"/>
                <w:sz w:val="14"/>
              </w:rPr>
              <w:t>eventos</w:t>
            </w:r>
            <w:r>
              <w:rPr>
                <w:sz w:val="14"/>
              </w:rPr>
              <w:t xml:space="preserve"> </w:t>
            </w:r>
            <w:r>
              <w:rPr>
                <w:w w:val="85"/>
                <w:sz w:val="14"/>
              </w:rPr>
              <w:t>culturales],</w:t>
            </w:r>
            <w:r>
              <w:rPr>
                <w:sz w:val="14"/>
              </w:rPr>
              <w:t xml:space="preserve"> </w:t>
            </w:r>
            <w:r>
              <w:rPr>
                <w:w w:val="85"/>
                <w:sz w:val="14"/>
              </w:rPr>
              <w:t>79953000-9</w:t>
            </w:r>
            <w:r>
              <w:rPr>
                <w:sz w:val="14"/>
              </w:rPr>
              <w:t xml:space="preserve"> </w:t>
            </w:r>
            <w:r>
              <w:rPr>
                <w:w w:val="85"/>
                <w:sz w:val="14"/>
              </w:rPr>
              <w:t>[Servicios</w:t>
            </w:r>
            <w:r>
              <w:rPr>
                <w:sz w:val="14"/>
              </w:rPr>
              <w:t xml:space="preserve"> </w:t>
            </w:r>
            <w:r>
              <w:rPr>
                <w:w w:val="85"/>
                <w:sz w:val="14"/>
              </w:rPr>
              <w:t>de</w:t>
            </w:r>
            <w:r>
              <w:rPr>
                <w:sz w:val="14"/>
              </w:rPr>
              <w:t xml:space="preserve"> </w:t>
            </w:r>
            <w:r>
              <w:rPr>
                <w:w w:val="85"/>
                <w:sz w:val="14"/>
              </w:rPr>
              <w:t>organización</w:t>
            </w:r>
            <w:r>
              <w:rPr>
                <w:spacing w:val="40"/>
                <w:sz w:val="14"/>
              </w:rPr>
              <w:t xml:space="preserve"> </w:t>
            </w:r>
            <w:r>
              <w:rPr>
                <w:spacing w:val="-2"/>
                <w:w w:val="90"/>
                <w:sz w:val="14"/>
              </w:rPr>
              <w:t>de festivales], 79954000-6 [Servicios de organización de fiestas], 79955000-3 [Servicios de organización de desfiles de modas],</w:t>
            </w:r>
            <w:r>
              <w:rPr>
                <w:spacing w:val="40"/>
                <w:sz w:val="14"/>
              </w:rPr>
              <w:t xml:space="preserve"> </w:t>
            </w:r>
            <w:r>
              <w:rPr>
                <w:w w:val="90"/>
                <w:sz w:val="14"/>
              </w:rPr>
              <w:t>79956000-0</w:t>
            </w:r>
            <w:r>
              <w:rPr>
                <w:spacing w:val="-1"/>
                <w:w w:val="90"/>
                <w:sz w:val="14"/>
              </w:rPr>
              <w:t xml:space="preserve"> </w:t>
            </w:r>
            <w:r>
              <w:rPr>
                <w:w w:val="90"/>
                <w:sz w:val="14"/>
              </w:rPr>
              <w:t>[Servicios</w:t>
            </w:r>
            <w:r>
              <w:rPr>
                <w:spacing w:val="-1"/>
                <w:w w:val="90"/>
                <w:sz w:val="14"/>
              </w:rPr>
              <w:t xml:space="preserve"> </w:t>
            </w:r>
            <w:r>
              <w:rPr>
                <w:w w:val="90"/>
                <w:sz w:val="14"/>
              </w:rPr>
              <w:t>de</w:t>
            </w:r>
            <w:r>
              <w:rPr>
                <w:spacing w:val="-1"/>
                <w:w w:val="90"/>
                <w:sz w:val="14"/>
              </w:rPr>
              <w:t xml:space="preserve"> </w:t>
            </w:r>
            <w:r>
              <w:rPr>
                <w:w w:val="90"/>
                <w:sz w:val="14"/>
              </w:rPr>
              <w:t>organización</w:t>
            </w:r>
            <w:r>
              <w:rPr>
                <w:spacing w:val="-1"/>
                <w:w w:val="90"/>
                <w:sz w:val="14"/>
              </w:rPr>
              <w:t xml:space="preserve"> </w:t>
            </w:r>
            <w:r>
              <w:rPr>
                <w:w w:val="90"/>
                <w:sz w:val="14"/>
              </w:rPr>
              <w:t>de</w:t>
            </w:r>
            <w:r>
              <w:rPr>
                <w:spacing w:val="-1"/>
                <w:w w:val="90"/>
                <w:sz w:val="14"/>
              </w:rPr>
              <w:t xml:space="preserve"> </w:t>
            </w:r>
            <w:r>
              <w:rPr>
                <w:w w:val="90"/>
                <w:sz w:val="14"/>
              </w:rPr>
              <w:t>ferias</w:t>
            </w:r>
            <w:r>
              <w:rPr>
                <w:spacing w:val="-1"/>
                <w:w w:val="90"/>
                <w:sz w:val="14"/>
              </w:rPr>
              <w:t xml:space="preserve"> </w:t>
            </w:r>
            <w:r>
              <w:rPr>
                <w:w w:val="90"/>
                <w:sz w:val="14"/>
              </w:rPr>
              <w:t>y</w:t>
            </w:r>
            <w:r>
              <w:rPr>
                <w:spacing w:val="-1"/>
                <w:w w:val="90"/>
                <w:sz w:val="14"/>
              </w:rPr>
              <w:t xml:space="preserve"> </w:t>
            </w:r>
            <w:r>
              <w:rPr>
                <w:w w:val="90"/>
                <w:sz w:val="14"/>
              </w:rPr>
              <w:t>exposiciones].</w:t>
            </w:r>
          </w:p>
        </w:tc>
        <w:tc>
          <w:tcPr>
            <w:tcW w:w="2625"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Arial"/>
                <w:b/>
                <w:sz w:val="14"/>
              </w:rPr>
            </w:pPr>
          </w:p>
          <w:p w:rsidR="0092635B" w:rsidRDefault="0092635B">
            <w:pPr>
              <w:pStyle w:val="TableParagraph"/>
              <w:spacing w:before="97"/>
              <w:rPr>
                <w:rFonts w:ascii="Arial"/>
                <w:b/>
                <w:sz w:val="14"/>
              </w:rPr>
            </w:pPr>
          </w:p>
          <w:p w:rsidR="0092635B" w:rsidRDefault="00000000">
            <w:pPr>
              <w:pStyle w:val="TableParagraph"/>
              <w:spacing w:line="249" w:lineRule="auto"/>
              <w:ind w:left="40"/>
              <w:rPr>
                <w:sz w:val="14"/>
              </w:rPr>
            </w:pPr>
            <w:r>
              <w:rPr>
                <w:w w:val="85"/>
                <w:sz w:val="14"/>
              </w:rPr>
              <w:t>Servicios administrativos sociales, educativos,</w:t>
            </w:r>
            <w:r>
              <w:rPr>
                <w:spacing w:val="40"/>
                <w:sz w:val="14"/>
              </w:rPr>
              <w:t xml:space="preserve"> </w:t>
            </w:r>
            <w:r>
              <w:rPr>
                <w:w w:val="95"/>
                <w:sz w:val="14"/>
              </w:rPr>
              <w:t>sanitarios y culturales.</w:t>
            </w:r>
          </w:p>
        </w:tc>
      </w:tr>
      <w:tr w:rsidR="0092635B">
        <w:trPr>
          <w:trHeight w:val="331"/>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40"/>
              <w:rPr>
                <w:sz w:val="14"/>
              </w:rPr>
            </w:pPr>
            <w:r>
              <w:rPr>
                <w:w w:val="85"/>
                <w:sz w:val="14"/>
              </w:rPr>
              <w:t>75300000-</w:t>
            </w:r>
            <w:r>
              <w:rPr>
                <w:spacing w:val="-5"/>
                <w:w w:val="95"/>
                <w:sz w:val="14"/>
              </w:rPr>
              <w:t>9.</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0"/>
              <w:rPr>
                <w:sz w:val="14"/>
              </w:rPr>
            </w:pPr>
            <w:r>
              <w:rPr>
                <w:w w:val="85"/>
                <w:sz w:val="14"/>
              </w:rPr>
              <w:t>Servicios</w:t>
            </w:r>
            <w:r>
              <w:rPr>
                <w:spacing w:val="-1"/>
                <w:sz w:val="14"/>
              </w:rPr>
              <w:t xml:space="preserve"> </w:t>
            </w:r>
            <w:r>
              <w:rPr>
                <w:w w:val="85"/>
                <w:sz w:val="14"/>
              </w:rPr>
              <w:t>de</w:t>
            </w:r>
            <w:r>
              <w:rPr>
                <w:spacing w:val="-1"/>
                <w:sz w:val="14"/>
              </w:rPr>
              <w:t xml:space="preserve"> </w:t>
            </w:r>
            <w:r>
              <w:rPr>
                <w:w w:val="85"/>
                <w:sz w:val="14"/>
              </w:rPr>
              <w:t>seguridad</w:t>
            </w:r>
            <w:r>
              <w:rPr>
                <w:sz w:val="14"/>
              </w:rPr>
              <w:t xml:space="preserve"> </w:t>
            </w:r>
            <w:r>
              <w:rPr>
                <w:w w:val="85"/>
                <w:sz w:val="14"/>
              </w:rPr>
              <w:t>social</w:t>
            </w:r>
            <w:r>
              <w:rPr>
                <w:spacing w:val="-1"/>
                <w:sz w:val="14"/>
              </w:rPr>
              <w:t xml:space="preserve"> </w:t>
            </w:r>
            <w:r>
              <w:rPr>
                <w:w w:val="85"/>
                <w:sz w:val="14"/>
              </w:rPr>
              <w:t>de</w:t>
            </w:r>
            <w:r>
              <w:rPr>
                <w:sz w:val="14"/>
              </w:rPr>
              <w:t xml:space="preserve"> </w:t>
            </w:r>
            <w:r>
              <w:rPr>
                <w:spacing w:val="-2"/>
                <w:w w:val="85"/>
                <w:sz w:val="14"/>
              </w:rPr>
              <w:t>afiliación</w:t>
            </w:r>
          </w:p>
          <w:p w:rsidR="0092635B" w:rsidRDefault="00000000">
            <w:pPr>
              <w:pStyle w:val="TableParagraph"/>
              <w:spacing w:before="7" w:line="145" w:lineRule="exact"/>
              <w:ind w:left="40"/>
              <w:rPr>
                <w:sz w:val="14"/>
              </w:rPr>
            </w:pPr>
            <w:r>
              <w:rPr>
                <w:spacing w:val="-2"/>
                <w:w w:val="95"/>
                <w:sz w:val="14"/>
              </w:rPr>
              <w:t>obligatoria.</w:t>
            </w:r>
          </w:p>
        </w:tc>
      </w:tr>
      <w:tr w:rsidR="0092635B">
        <w:trPr>
          <w:trHeight w:val="165"/>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75310000-2,</w:t>
            </w:r>
            <w:r>
              <w:rPr>
                <w:spacing w:val="10"/>
                <w:sz w:val="14"/>
              </w:rPr>
              <w:t xml:space="preserve"> </w:t>
            </w:r>
            <w:r>
              <w:rPr>
                <w:w w:val="85"/>
                <w:sz w:val="14"/>
              </w:rPr>
              <w:t>75311000-9,</w:t>
            </w:r>
            <w:r>
              <w:rPr>
                <w:spacing w:val="11"/>
                <w:sz w:val="14"/>
              </w:rPr>
              <w:t xml:space="preserve"> </w:t>
            </w:r>
            <w:r>
              <w:rPr>
                <w:w w:val="85"/>
                <w:sz w:val="14"/>
              </w:rPr>
              <w:t>75312000-6,</w:t>
            </w:r>
            <w:r>
              <w:rPr>
                <w:spacing w:val="11"/>
                <w:sz w:val="14"/>
              </w:rPr>
              <w:t xml:space="preserve"> </w:t>
            </w:r>
            <w:r>
              <w:rPr>
                <w:w w:val="85"/>
                <w:sz w:val="14"/>
              </w:rPr>
              <w:t>75313000-3,</w:t>
            </w:r>
            <w:r>
              <w:rPr>
                <w:spacing w:val="11"/>
                <w:sz w:val="14"/>
              </w:rPr>
              <w:t xml:space="preserve"> </w:t>
            </w:r>
            <w:r>
              <w:rPr>
                <w:w w:val="85"/>
                <w:sz w:val="14"/>
              </w:rPr>
              <w:t>75313100-4,</w:t>
            </w:r>
            <w:r>
              <w:rPr>
                <w:spacing w:val="10"/>
                <w:sz w:val="14"/>
              </w:rPr>
              <w:t xml:space="preserve"> </w:t>
            </w:r>
            <w:r>
              <w:rPr>
                <w:w w:val="85"/>
                <w:sz w:val="14"/>
              </w:rPr>
              <w:t>75314000-0,</w:t>
            </w:r>
            <w:r>
              <w:rPr>
                <w:spacing w:val="11"/>
                <w:sz w:val="14"/>
              </w:rPr>
              <w:t xml:space="preserve"> </w:t>
            </w:r>
            <w:r>
              <w:rPr>
                <w:w w:val="85"/>
                <w:sz w:val="14"/>
              </w:rPr>
              <w:t>75320000-5,</w:t>
            </w:r>
            <w:r>
              <w:rPr>
                <w:spacing w:val="11"/>
                <w:sz w:val="14"/>
              </w:rPr>
              <w:t xml:space="preserve"> </w:t>
            </w:r>
            <w:r>
              <w:rPr>
                <w:w w:val="85"/>
                <w:sz w:val="14"/>
              </w:rPr>
              <w:t>75330000-8,</w:t>
            </w:r>
            <w:r>
              <w:rPr>
                <w:spacing w:val="11"/>
                <w:sz w:val="14"/>
              </w:rPr>
              <w:t xml:space="preserve"> </w:t>
            </w:r>
            <w:r>
              <w:rPr>
                <w:w w:val="85"/>
                <w:sz w:val="14"/>
              </w:rPr>
              <w:t>75340000-</w:t>
            </w:r>
            <w:r>
              <w:rPr>
                <w:spacing w:val="-5"/>
                <w:w w:val="85"/>
                <w:sz w:val="14"/>
              </w:rPr>
              <w:t>1.</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Servicios</w:t>
            </w:r>
            <w:r>
              <w:rPr>
                <w:spacing w:val="4"/>
                <w:sz w:val="14"/>
              </w:rPr>
              <w:t xml:space="preserve"> </w:t>
            </w:r>
            <w:r>
              <w:rPr>
                <w:w w:val="85"/>
                <w:sz w:val="14"/>
              </w:rPr>
              <w:t>de</w:t>
            </w:r>
            <w:r>
              <w:rPr>
                <w:spacing w:val="5"/>
                <w:sz w:val="14"/>
              </w:rPr>
              <w:t xml:space="preserve"> </w:t>
            </w:r>
            <w:r>
              <w:rPr>
                <w:w w:val="85"/>
                <w:sz w:val="14"/>
              </w:rPr>
              <w:t>prestaciones</w:t>
            </w:r>
            <w:r>
              <w:rPr>
                <w:spacing w:val="5"/>
                <w:sz w:val="14"/>
              </w:rPr>
              <w:t xml:space="preserve"> </w:t>
            </w:r>
            <w:r>
              <w:rPr>
                <w:spacing w:val="-2"/>
                <w:w w:val="85"/>
                <w:sz w:val="14"/>
              </w:rPr>
              <w:t>sociales.</w:t>
            </w:r>
          </w:p>
        </w:tc>
      </w:tr>
      <w:tr w:rsidR="0092635B">
        <w:trPr>
          <w:trHeight w:val="835"/>
        </w:trPr>
        <w:tc>
          <w:tcPr>
            <w:tcW w:w="7579"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Arial"/>
                <w:b/>
                <w:sz w:val="14"/>
              </w:rPr>
            </w:pPr>
          </w:p>
          <w:p w:rsidR="0092635B" w:rsidRDefault="0092635B">
            <w:pPr>
              <w:pStyle w:val="TableParagraph"/>
              <w:spacing w:before="13"/>
              <w:rPr>
                <w:rFonts w:ascii="Arial"/>
                <w:b/>
                <w:sz w:val="14"/>
              </w:rPr>
            </w:pPr>
          </w:p>
          <w:p w:rsidR="0092635B" w:rsidRDefault="00000000">
            <w:pPr>
              <w:pStyle w:val="TableParagraph"/>
              <w:ind w:left="40"/>
              <w:rPr>
                <w:sz w:val="14"/>
              </w:rPr>
            </w:pPr>
            <w:r>
              <w:rPr>
                <w:w w:val="85"/>
                <w:sz w:val="14"/>
              </w:rPr>
              <w:t>98000000-3;</w:t>
            </w:r>
            <w:r>
              <w:rPr>
                <w:spacing w:val="6"/>
                <w:sz w:val="14"/>
              </w:rPr>
              <w:t xml:space="preserve"> </w:t>
            </w:r>
            <w:r>
              <w:rPr>
                <w:w w:val="85"/>
                <w:sz w:val="14"/>
              </w:rPr>
              <w:t>98120000-0;</w:t>
            </w:r>
            <w:r>
              <w:rPr>
                <w:spacing w:val="7"/>
                <w:sz w:val="14"/>
              </w:rPr>
              <w:t xml:space="preserve"> </w:t>
            </w:r>
            <w:r>
              <w:rPr>
                <w:w w:val="85"/>
                <w:sz w:val="14"/>
              </w:rPr>
              <w:t>98132000-7;</w:t>
            </w:r>
            <w:r>
              <w:rPr>
                <w:spacing w:val="7"/>
                <w:sz w:val="14"/>
              </w:rPr>
              <w:t xml:space="preserve"> </w:t>
            </w:r>
            <w:r>
              <w:rPr>
                <w:w w:val="85"/>
                <w:sz w:val="14"/>
              </w:rPr>
              <w:t>98133110-8</w:t>
            </w:r>
            <w:r>
              <w:rPr>
                <w:spacing w:val="7"/>
                <w:sz w:val="14"/>
              </w:rPr>
              <w:t xml:space="preserve"> </w:t>
            </w:r>
            <w:r>
              <w:rPr>
                <w:w w:val="85"/>
                <w:sz w:val="14"/>
              </w:rPr>
              <w:t>y</w:t>
            </w:r>
            <w:r>
              <w:rPr>
                <w:spacing w:val="6"/>
                <w:sz w:val="14"/>
              </w:rPr>
              <w:t xml:space="preserve"> </w:t>
            </w:r>
            <w:r>
              <w:rPr>
                <w:w w:val="85"/>
                <w:sz w:val="14"/>
              </w:rPr>
              <w:t>98130000-</w:t>
            </w:r>
            <w:r>
              <w:rPr>
                <w:spacing w:val="-5"/>
                <w:w w:val="85"/>
                <w:sz w:val="14"/>
              </w:rPr>
              <w:t>3.</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0" w:right="64"/>
              <w:rPr>
                <w:sz w:val="14"/>
              </w:rPr>
            </w:pPr>
            <w:r>
              <w:rPr>
                <w:spacing w:val="-2"/>
                <w:w w:val="95"/>
                <w:sz w:val="14"/>
              </w:rPr>
              <w:t>Otros servicios comunitarios, sociales y</w:t>
            </w:r>
            <w:r>
              <w:rPr>
                <w:spacing w:val="40"/>
                <w:sz w:val="14"/>
              </w:rPr>
              <w:t xml:space="preserve"> </w:t>
            </w:r>
            <w:r>
              <w:rPr>
                <w:w w:val="85"/>
                <w:sz w:val="14"/>
              </w:rPr>
              <w:t>personales, incluidos los servicios prestados</w:t>
            </w:r>
            <w:r>
              <w:rPr>
                <w:spacing w:val="40"/>
                <w:sz w:val="14"/>
              </w:rPr>
              <w:t xml:space="preserve"> </w:t>
            </w:r>
            <w:r>
              <w:rPr>
                <w:w w:val="90"/>
                <w:sz w:val="14"/>
              </w:rPr>
              <w:t>por sindicatos, organizaciones políticas,</w:t>
            </w:r>
            <w:r>
              <w:rPr>
                <w:spacing w:val="40"/>
                <w:sz w:val="14"/>
              </w:rPr>
              <w:t xml:space="preserve"> </w:t>
            </w:r>
            <w:r>
              <w:rPr>
                <w:spacing w:val="-2"/>
                <w:w w:val="95"/>
                <w:sz w:val="14"/>
              </w:rPr>
              <w:t>asociaciones juveniles y otros servicios</w:t>
            </w:r>
          </w:p>
          <w:p w:rsidR="0092635B" w:rsidRDefault="00000000">
            <w:pPr>
              <w:pStyle w:val="TableParagraph"/>
              <w:spacing w:before="1" w:line="145" w:lineRule="exact"/>
              <w:ind w:left="40"/>
              <w:rPr>
                <w:sz w:val="14"/>
              </w:rPr>
            </w:pPr>
            <w:r>
              <w:rPr>
                <w:w w:val="85"/>
                <w:sz w:val="14"/>
              </w:rPr>
              <w:t>prestados</w:t>
            </w:r>
            <w:r>
              <w:rPr>
                <w:spacing w:val="3"/>
                <w:sz w:val="14"/>
              </w:rPr>
              <w:t xml:space="preserve"> </w:t>
            </w:r>
            <w:r>
              <w:rPr>
                <w:w w:val="85"/>
                <w:sz w:val="14"/>
              </w:rPr>
              <w:t>por</w:t>
            </w:r>
            <w:r>
              <w:rPr>
                <w:spacing w:val="3"/>
                <w:sz w:val="14"/>
              </w:rPr>
              <w:t xml:space="preserve"> </w:t>
            </w:r>
            <w:r>
              <w:rPr>
                <w:spacing w:val="-2"/>
                <w:w w:val="85"/>
                <w:sz w:val="14"/>
              </w:rPr>
              <w:t>asociaciones.</w:t>
            </w:r>
          </w:p>
        </w:tc>
      </w:tr>
      <w:tr w:rsidR="0092635B">
        <w:trPr>
          <w:trHeight w:val="165"/>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98131000-</w:t>
            </w:r>
            <w:r>
              <w:rPr>
                <w:spacing w:val="-5"/>
                <w:w w:val="95"/>
                <w:sz w:val="14"/>
              </w:rPr>
              <w:t>0.</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Servicios</w:t>
            </w:r>
            <w:r>
              <w:rPr>
                <w:spacing w:val="6"/>
                <w:sz w:val="14"/>
              </w:rPr>
              <w:t xml:space="preserve"> </w:t>
            </w:r>
            <w:r>
              <w:rPr>
                <w:spacing w:val="-2"/>
                <w:w w:val="90"/>
                <w:sz w:val="14"/>
              </w:rPr>
              <w:t>religiosos.</w:t>
            </w:r>
          </w:p>
        </w:tc>
      </w:tr>
      <w:tr w:rsidR="0092635B">
        <w:trPr>
          <w:trHeight w:val="1171"/>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0" w:right="396"/>
              <w:rPr>
                <w:sz w:val="14"/>
              </w:rPr>
            </w:pPr>
            <w:r>
              <w:rPr>
                <w:w w:val="85"/>
                <w:sz w:val="14"/>
              </w:rPr>
              <w:t>55100000-1 a 55410000-7; 55521000-8 a 55521200-0 [55521000-8 Servicios de suministro de comidas para hogares, 55521100-9</w:t>
            </w:r>
            <w:r>
              <w:rPr>
                <w:spacing w:val="40"/>
                <w:sz w:val="14"/>
              </w:rPr>
              <w:t xml:space="preserve"> </w:t>
            </w:r>
            <w:r>
              <w:rPr>
                <w:w w:val="90"/>
                <w:sz w:val="14"/>
              </w:rPr>
              <w:t>Servicios</w:t>
            </w:r>
            <w:r>
              <w:rPr>
                <w:spacing w:val="-5"/>
                <w:w w:val="90"/>
                <w:sz w:val="14"/>
              </w:rPr>
              <w:t xml:space="preserve"> </w:t>
            </w:r>
            <w:r>
              <w:rPr>
                <w:w w:val="90"/>
                <w:sz w:val="14"/>
              </w:rPr>
              <w:t>de</w:t>
            </w:r>
            <w:r>
              <w:rPr>
                <w:spacing w:val="-5"/>
                <w:w w:val="90"/>
                <w:sz w:val="14"/>
              </w:rPr>
              <w:t xml:space="preserve"> </w:t>
            </w:r>
            <w:r>
              <w:rPr>
                <w:w w:val="90"/>
                <w:sz w:val="14"/>
              </w:rPr>
              <w:t>entrega</w:t>
            </w:r>
            <w:r>
              <w:rPr>
                <w:spacing w:val="-5"/>
                <w:w w:val="90"/>
                <w:sz w:val="14"/>
              </w:rPr>
              <w:t xml:space="preserve"> </w:t>
            </w:r>
            <w:r>
              <w:rPr>
                <w:w w:val="90"/>
                <w:sz w:val="14"/>
              </w:rPr>
              <w:t>de</w:t>
            </w:r>
            <w:r>
              <w:rPr>
                <w:spacing w:val="-5"/>
                <w:w w:val="90"/>
                <w:sz w:val="14"/>
              </w:rPr>
              <w:t xml:space="preserve"> </w:t>
            </w:r>
            <w:r>
              <w:rPr>
                <w:w w:val="90"/>
                <w:sz w:val="14"/>
              </w:rPr>
              <w:t>comidas</w:t>
            </w:r>
            <w:r>
              <w:rPr>
                <w:spacing w:val="-5"/>
                <w:w w:val="90"/>
                <w:sz w:val="14"/>
              </w:rPr>
              <w:t xml:space="preserve"> </w:t>
            </w:r>
            <w:r>
              <w:rPr>
                <w:w w:val="90"/>
                <w:sz w:val="14"/>
              </w:rPr>
              <w:t>a</w:t>
            </w:r>
            <w:r>
              <w:rPr>
                <w:spacing w:val="-5"/>
                <w:w w:val="90"/>
                <w:sz w:val="14"/>
              </w:rPr>
              <w:t xml:space="preserve"> </w:t>
            </w:r>
            <w:r>
              <w:rPr>
                <w:w w:val="90"/>
                <w:sz w:val="14"/>
              </w:rPr>
              <w:t>domicilio,</w:t>
            </w:r>
            <w:r>
              <w:rPr>
                <w:spacing w:val="-5"/>
                <w:w w:val="90"/>
                <w:sz w:val="14"/>
              </w:rPr>
              <w:t xml:space="preserve"> </w:t>
            </w:r>
            <w:r>
              <w:rPr>
                <w:w w:val="90"/>
                <w:sz w:val="14"/>
              </w:rPr>
              <w:t>55521200-0</w:t>
            </w:r>
            <w:r>
              <w:rPr>
                <w:spacing w:val="-5"/>
                <w:w w:val="90"/>
                <w:sz w:val="14"/>
              </w:rPr>
              <w:t xml:space="preserve"> </w:t>
            </w:r>
            <w:r>
              <w:rPr>
                <w:w w:val="90"/>
                <w:sz w:val="14"/>
              </w:rPr>
              <w:t>Servicios</w:t>
            </w:r>
            <w:r>
              <w:rPr>
                <w:spacing w:val="-5"/>
                <w:w w:val="90"/>
                <w:sz w:val="14"/>
              </w:rPr>
              <w:t xml:space="preserve"> </w:t>
            </w:r>
            <w:r>
              <w:rPr>
                <w:w w:val="90"/>
                <w:sz w:val="14"/>
              </w:rPr>
              <w:t>de</w:t>
            </w:r>
            <w:r>
              <w:rPr>
                <w:spacing w:val="-5"/>
                <w:w w:val="90"/>
                <w:sz w:val="14"/>
              </w:rPr>
              <w:t xml:space="preserve"> </w:t>
            </w:r>
            <w:r>
              <w:rPr>
                <w:w w:val="90"/>
                <w:sz w:val="14"/>
              </w:rPr>
              <w:t>entrega</w:t>
            </w:r>
            <w:r>
              <w:rPr>
                <w:spacing w:val="-5"/>
                <w:w w:val="90"/>
                <w:sz w:val="14"/>
              </w:rPr>
              <w:t xml:space="preserve"> </w:t>
            </w:r>
            <w:r>
              <w:rPr>
                <w:w w:val="90"/>
                <w:sz w:val="14"/>
              </w:rPr>
              <w:t>de</w:t>
            </w:r>
            <w:r>
              <w:rPr>
                <w:spacing w:val="-5"/>
                <w:w w:val="90"/>
                <w:sz w:val="14"/>
              </w:rPr>
              <w:t xml:space="preserve"> </w:t>
            </w:r>
            <w:r>
              <w:rPr>
                <w:w w:val="90"/>
                <w:sz w:val="14"/>
              </w:rPr>
              <w:t>comidas].</w:t>
            </w:r>
          </w:p>
          <w:p w:rsidR="0092635B" w:rsidRDefault="00000000">
            <w:pPr>
              <w:pStyle w:val="TableParagraph"/>
              <w:spacing w:line="249" w:lineRule="auto"/>
              <w:ind w:left="40" w:right="47"/>
              <w:rPr>
                <w:sz w:val="14"/>
              </w:rPr>
            </w:pPr>
            <w:r>
              <w:rPr>
                <w:spacing w:val="-2"/>
                <w:w w:val="90"/>
                <w:sz w:val="14"/>
              </w:rPr>
              <w:t>55520000-1 Servicios de suministro de comidas desde el exterior, 55522000-5 Servicios de suministro de comidas para empresas de</w:t>
            </w:r>
            <w:r>
              <w:rPr>
                <w:spacing w:val="40"/>
                <w:sz w:val="14"/>
              </w:rPr>
              <w:t xml:space="preserve"> </w:t>
            </w:r>
            <w:r>
              <w:rPr>
                <w:w w:val="85"/>
                <w:sz w:val="14"/>
              </w:rPr>
              <w:t>transporte, 55523000-2 Servicios de suministro de comidas para otras empresas e instituciones, 55524000-9 Servicios de suministro de</w:t>
            </w:r>
            <w:r>
              <w:rPr>
                <w:spacing w:val="40"/>
                <w:sz w:val="14"/>
              </w:rPr>
              <w:t xml:space="preserve"> </w:t>
            </w:r>
            <w:r>
              <w:rPr>
                <w:w w:val="95"/>
                <w:sz w:val="14"/>
              </w:rPr>
              <w:t>comidas para escuelas.</w:t>
            </w:r>
          </w:p>
          <w:p w:rsidR="0092635B" w:rsidRDefault="00000000">
            <w:pPr>
              <w:pStyle w:val="TableParagraph"/>
              <w:spacing w:before="2"/>
              <w:ind w:left="40"/>
              <w:rPr>
                <w:sz w:val="14"/>
              </w:rPr>
            </w:pPr>
            <w:r>
              <w:rPr>
                <w:w w:val="85"/>
                <w:sz w:val="14"/>
              </w:rPr>
              <w:t>55510000-8</w:t>
            </w:r>
            <w:r>
              <w:rPr>
                <w:sz w:val="14"/>
              </w:rPr>
              <w:t xml:space="preserve"> </w:t>
            </w:r>
            <w:r>
              <w:rPr>
                <w:w w:val="85"/>
                <w:sz w:val="14"/>
              </w:rPr>
              <w:t>Servicios</w:t>
            </w:r>
            <w:r>
              <w:rPr>
                <w:spacing w:val="1"/>
                <w:sz w:val="14"/>
              </w:rPr>
              <w:t xml:space="preserve"> </w:t>
            </w:r>
            <w:r>
              <w:rPr>
                <w:w w:val="85"/>
                <w:sz w:val="14"/>
              </w:rPr>
              <w:t>de</w:t>
            </w:r>
            <w:r>
              <w:rPr>
                <w:sz w:val="14"/>
              </w:rPr>
              <w:t xml:space="preserve"> </w:t>
            </w:r>
            <w:r>
              <w:rPr>
                <w:w w:val="85"/>
                <w:sz w:val="14"/>
              </w:rPr>
              <w:t>cantina,</w:t>
            </w:r>
            <w:r>
              <w:rPr>
                <w:spacing w:val="1"/>
                <w:sz w:val="14"/>
              </w:rPr>
              <w:t xml:space="preserve"> </w:t>
            </w:r>
            <w:r>
              <w:rPr>
                <w:w w:val="85"/>
                <w:sz w:val="14"/>
              </w:rPr>
              <w:t>55511000-5</w:t>
            </w:r>
            <w:r>
              <w:rPr>
                <w:sz w:val="14"/>
              </w:rPr>
              <w:t xml:space="preserve"> </w:t>
            </w:r>
            <w:r>
              <w:rPr>
                <w:w w:val="85"/>
                <w:sz w:val="14"/>
              </w:rPr>
              <w:t>Servicios</w:t>
            </w:r>
            <w:r>
              <w:rPr>
                <w:spacing w:val="1"/>
                <w:sz w:val="14"/>
              </w:rPr>
              <w:t xml:space="preserve"> </w:t>
            </w:r>
            <w:r>
              <w:rPr>
                <w:w w:val="85"/>
                <w:sz w:val="14"/>
              </w:rPr>
              <w:t>de</w:t>
            </w:r>
            <w:r>
              <w:rPr>
                <w:spacing w:val="1"/>
                <w:sz w:val="14"/>
              </w:rPr>
              <w:t xml:space="preserve"> </w:t>
            </w:r>
            <w:r>
              <w:rPr>
                <w:w w:val="85"/>
                <w:sz w:val="14"/>
              </w:rPr>
              <w:t>cantina</w:t>
            </w:r>
            <w:r>
              <w:rPr>
                <w:sz w:val="14"/>
              </w:rPr>
              <w:t xml:space="preserve"> </w:t>
            </w:r>
            <w:r>
              <w:rPr>
                <w:w w:val="85"/>
                <w:sz w:val="14"/>
              </w:rPr>
              <w:t>y</w:t>
            </w:r>
            <w:r>
              <w:rPr>
                <w:spacing w:val="1"/>
                <w:sz w:val="14"/>
              </w:rPr>
              <w:t xml:space="preserve"> </w:t>
            </w:r>
            <w:r>
              <w:rPr>
                <w:w w:val="85"/>
                <w:sz w:val="14"/>
              </w:rPr>
              <w:t>otros</w:t>
            </w:r>
            <w:r>
              <w:rPr>
                <w:sz w:val="14"/>
              </w:rPr>
              <w:t xml:space="preserve"> </w:t>
            </w:r>
            <w:r>
              <w:rPr>
                <w:w w:val="85"/>
                <w:sz w:val="14"/>
              </w:rPr>
              <w:t>servicios</w:t>
            </w:r>
            <w:r>
              <w:rPr>
                <w:spacing w:val="1"/>
                <w:sz w:val="14"/>
              </w:rPr>
              <w:t xml:space="preserve"> </w:t>
            </w:r>
            <w:r>
              <w:rPr>
                <w:w w:val="85"/>
                <w:sz w:val="14"/>
              </w:rPr>
              <w:t>de</w:t>
            </w:r>
            <w:r>
              <w:rPr>
                <w:spacing w:val="1"/>
                <w:sz w:val="14"/>
              </w:rPr>
              <w:t xml:space="preserve"> </w:t>
            </w:r>
            <w:r>
              <w:rPr>
                <w:w w:val="85"/>
                <w:sz w:val="14"/>
              </w:rPr>
              <w:t>cafetería</w:t>
            </w:r>
            <w:r>
              <w:rPr>
                <w:sz w:val="14"/>
              </w:rPr>
              <w:t xml:space="preserve"> </w:t>
            </w:r>
            <w:r>
              <w:rPr>
                <w:w w:val="85"/>
                <w:sz w:val="14"/>
              </w:rPr>
              <w:t>para</w:t>
            </w:r>
            <w:r>
              <w:rPr>
                <w:spacing w:val="1"/>
                <w:sz w:val="14"/>
              </w:rPr>
              <w:t xml:space="preserve"> </w:t>
            </w:r>
            <w:r>
              <w:rPr>
                <w:w w:val="85"/>
                <w:sz w:val="14"/>
              </w:rPr>
              <w:t>clientela</w:t>
            </w:r>
            <w:r>
              <w:rPr>
                <w:sz w:val="14"/>
              </w:rPr>
              <w:t xml:space="preserve"> </w:t>
            </w:r>
            <w:r>
              <w:rPr>
                <w:w w:val="85"/>
                <w:sz w:val="14"/>
              </w:rPr>
              <w:t>restringida,</w:t>
            </w:r>
            <w:r>
              <w:rPr>
                <w:spacing w:val="1"/>
                <w:sz w:val="14"/>
              </w:rPr>
              <w:t xml:space="preserve"> </w:t>
            </w:r>
            <w:r>
              <w:rPr>
                <w:w w:val="85"/>
                <w:sz w:val="14"/>
              </w:rPr>
              <w:t>55512000-</w:t>
            </w:r>
            <w:r>
              <w:rPr>
                <w:spacing w:val="-10"/>
                <w:w w:val="85"/>
                <w:sz w:val="14"/>
              </w:rPr>
              <w:t>2</w:t>
            </w:r>
          </w:p>
          <w:p w:rsidR="0092635B" w:rsidRDefault="00000000">
            <w:pPr>
              <w:pStyle w:val="TableParagraph"/>
              <w:spacing w:before="7" w:line="145" w:lineRule="exact"/>
              <w:ind w:left="40"/>
              <w:rPr>
                <w:sz w:val="14"/>
              </w:rPr>
            </w:pPr>
            <w:r>
              <w:rPr>
                <w:w w:val="85"/>
                <w:sz w:val="14"/>
              </w:rPr>
              <w:t>Servicios</w:t>
            </w:r>
            <w:r>
              <w:rPr>
                <w:spacing w:val="1"/>
                <w:sz w:val="14"/>
              </w:rPr>
              <w:t xml:space="preserve"> </w:t>
            </w:r>
            <w:r>
              <w:rPr>
                <w:w w:val="85"/>
                <w:sz w:val="14"/>
              </w:rPr>
              <w:t>de</w:t>
            </w:r>
            <w:r>
              <w:rPr>
                <w:spacing w:val="1"/>
                <w:sz w:val="14"/>
              </w:rPr>
              <w:t xml:space="preserve"> </w:t>
            </w:r>
            <w:r>
              <w:rPr>
                <w:w w:val="85"/>
                <w:sz w:val="14"/>
              </w:rPr>
              <w:t>gestión</w:t>
            </w:r>
            <w:r>
              <w:rPr>
                <w:spacing w:val="1"/>
                <w:sz w:val="14"/>
              </w:rPr>
              <w:t xml:space="preserve"> </w:t>
            </w:r>
            <w:r>
              <w:rPr>
                <w:w w:val="85"/>
                <w:sz w:val="14"/>
              </w:rPr>
              <w:t>de</w:t>
            </w:r>
            <w:r>
              <w:rPr>
                <w:spacing w:val="1"/>
                <w:sz w:val="14"/>
              </w:rPr>
              <w:t xml:space="preserve"> </w:t>
            </w:r>
            <w:r>
              <w:rPr>
                <w:w w:val="85"/>
                <w:sz w:val="14"/>
              </w:rPr>
              <w:t>cantina,</w:t>
            </w:r>
            <w:r>
              <w:rPr>
                <w:spacing w:val="1"/>
                <w:sz w:val="14"/>
              </w:rPr>
              <w:t xml:space="preserve"> </w:t>
            </w:r>
            <w:r>
              <w:rPr>
                <w:w w:val="85"/>
                <w:sz w:val="14"/>
              </w:rPr>
              <w:t>55523100-3</w:t>
            </w:r>
            <w:r>
              <w:rPr>
                <w:spacing w:val="1"/>
                <w:sz w:val="14"/>
              </w:rPr>
              <w:t xml:space="preserve"> </w:t>
            </w:r>
            <w:r>
              <w:rPr>
                <w:w w:val="85"/>
                <w:sz w:val="14"/>
              </w:rPr>
              <w:t>Servicios</w:t>
            </w:r>
            <w:r>
              <w:rPr>
                <w:spacing w:val="1"/>
                <w:sz w:val="14"/>
              </w:rPr>
              <w:t xml:space="preserve"> </w:t>
            </w:r>
            <w:r>
              <w:rPr>
                <w:w w:val="85"/>
                <w:sz w:val="14"/>
              </w:rPr>
              <w:t>de</w:t>
            </w:r>
            <w:r>
              <w:rPr>
                <w:spacing w:val="1"/>
                <w:sz w:val="14"/>
              </w:rPr>
              <w:t xml:space="preserve"> </w:t>
            </w:r>
            <w:r>
              <w:rPr>
                <w:w w:val="85"/>
                <w:sz w:val="14"/>
              </w:rPr>
              <w:t>comidas</w:t>
            </w:r>
            <w:r>
              <w:rPr>
                <w:spacing w:val="1"/>
                <w:sz w:val="14"/>
              </w:rPr>
              <w:t xml:space="preserve"> </w:t>
            </w:r>
            <w:r>
              <w:rPr>
                <w:w w:val="85"/>
                <w:sz w:val="14"/>
              </w:rPr>
              <w:t>para</w:t>
            </w:r>
            <w:r>
              <w:rPr>
                <w:spacing w:val="1"/>
                <w:sz w:val="14"/>
              </w:rPr>
              <w:t xml:space="preserve"> </w:t>
            </w:r>
            <w:r>
              <w:rPr>
                <w:spacing w:val="-2"/>
                <w:w w:val="85"/>
                <w:sz w:val="14"/>
              </w:rPr>
              <w:t>escuelas.</w:t>
            </w:r>
          </w:p>
        </w:tc>
        <w:tc>
          <w:tcPr>
            <w:tcW w:w="2625"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rPr>
                <w:rFonts w:ascii="Arial"/>
                <w:b/>
                <w:sz w:val="14"/>
              </w:rPr>
            </w:pPr>
          </w:p>
          <w:p w:rsidR="0092635B" w:rsidRDefault="0092635B">
            <w:pPr>
              <w:pStyle w:val="TableParagraph"/>
              <w:rPr>
                <w:rFonts w:ascii="Arial"/>
                <w:b/>
                <w:sz w:val="14"/>
              </w:rPr>
            </w:pPr>
          </w:p>
          <w:p w:rsidR="0092635B" w:rsidRDefault="0092635B">
            <w:pPr>
              <w:pStyle w:val="TableParagraph"/>
              <w:spacing w:before="20"/>
              <w:rPr>
                <w:rFonts w:ascii="Arial"/>
                <w:b/>
                <w:sz w:val="14"/>
              </w:rPr>
            </w:pPr>
          </w:p>
          <w:p w:rsidR="0092635B" w:rsidRDefault="00000000">
            <w:pPr>
              <w:pStyle w:val="TableParagraph"/>
              <w:ind w:left="40"/>
              <w:rPr>
                <w:sz w:val="14"/>
              </w:rPr>
            </w:pPr>
            <w:r>
              <w:rPr>
                <w:w w:val="85"/>
                <w:sz w:val="14"/>
              </w:rPr>
              <w:t>Servicios</w:t>
            </w:r>
            <w:r>
              <w:rPr>
                <w:spacing w:val="-1"/>
                <w:sz w:val="14"/>
              </w:rPr>
              <w:t xml:space="preserve"> </w:t>
            </w:r>
            <w:r>
              <w:rPr>
                <w:w w:val="85"/>
                <w:sz w:val="14"/>
              </w:rPr>
              <w:t>de</w:t>
            </w:r>
            <w:r>
              <w:rPr>
                <w:sz w:val="14"/>
              </w:rPr>
              <w:t xml:space="preserve"> </w:t>
            </w:r>
            <w:r>
              <w:rPr>
                <w:w w:val="85"/>
                <w:sz w:val="14"/>
              </w:rPr>
              <w:t>hostelería</w:t>
            </w:r>
            <w:r>
              <w:rPr>
                <w:spacing w:val="-1"/>
                <w:sz w:val="14"/>
              </w:rPr>
              <w:t xml:space="preserve"> </w:t>
            </w:r>
            <w:r>
              <w:rPr>
                <w:w w:val="85"/>
                <w:sz w:val="14"/>
              </w:rPr>
              <w:t>y</w:t>
            </w:r>
            <w:r>
              <w:rPr>
                <w:sz w:val="14"/>
              </w:rPr>
              <w:t xml:space="preserve"> </w:t>
            </w:r>
            <w:r>
              <w:rPr>
                <w:spacing w:val="-2"/>
                <w:w w:val="85"/>
                <w:sz w:val="14"/>
              </w:rPr>
              <w:t>restaurante.</w:t>
            </w:r>
          </w:p>
        </w:tc>
      </w:tr>
      <w:tr w:rsidR="0092635B">
        <w:trPr>
          <w:trHeight w:val="331"/>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40"/>
              <w:rPr>
                <w:sz w:val="14"/>
              </w:rPr>
            </w:pPr>
            <w:r>
              <w:rPr>
                <w:w w:val="85"/>
                <w:sz w:val="14"/>
              </w:rPr>
              <w:t>79100000-5</w:t>
            </w:r>
            <w:r>
              <w:rPr>
                <w:spacing w:val="2"/>
                <w:sz w:val="14"/>
              </w:rPr>
              <w:t xml:space="preserve"> </w:t>
            </w:r>
            <w:r>
              <w:rPr>
                <w:w w:val="85"/>
                <w:sz w:val="14"/>
              </w:rPr>
              <w:t>a</w:t>
            </w:r>
            <w:r>
              <w:rPr>
                <w:spacing w:val="3"/>
                <w:sz w:val="14"/>
              </w:rPr>
              <w:t xml:space="preserve"> </w:t>
            </w:r>
            <w:r>
              <w:rPr>
                <w:w w:val="85"/>
                <w:sz w:val="14"/>
              </w:rPr>
              <w:t>79140000-7;</w:t>
            </w:r>
            <w:r>
              <w:rPr>
                <w:spacing w:val="2"/>
                <w:sz w:val="14"/>
              </w:rPr>
              <w:t xml:space="preserve"> </w:t>
            </w:r>
            <w:r>
              <w:rPr>
                <w:w w:val="85"/>
                <w:sz w:val="14"/>
              </w:rPr>
              <w:t>75231100-</w:t>
            </w:r>
            <w:r>
              <w:rPr>
                <w:spacing w:val="-5"/>
                <w:w w:val="85"/>
                <w:sz w:val="14"/>
              </w:rPr>
              <w:t>5.</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0"/>
              <w:rPr>
                <w:sz w:val="14"/>
              </w:rPr>
            </w:pPr>
            <w:r>
              <w:rPr>
                <w:w w:val="85"/>
                <w:sz w:val="14"/>
              </w:rPr>
              <w:t>Servicios</w:t>
            </w:r>
            <w:r>
              <w:rPr>
                <w:spacing w:val="3"/>
                <w:sz w:val="14"/>
              </w:rPr>
              <w:t xml:space="preserve"> </w:t>
            </w:r>
            <w:r>
              <w:rPr>
                <w:w w:val="85"/>
                <w:sz w:val="14"/>
              </w:rPr>
              <w:t>jurídicos</w:t>
            </w:r>
            <w:r>
              <w:rPr>
                <w:spacing w:val="3"/>
                <w:sz w:val="14"/>
              </w:rPr>
              <w:t xml:space="preserve"> </w:t>
            </w:r>
            <w:r>
              <w:rPr>
                <w:w w:val="85"/>
                <w:sz w:val="14"/>
              </w:rPr>
              <w:t>distintos</w:t>
            </w:r>
            <w:r>
              <w:rPr>
                <w:spacing w:val="3"/>
                <w:sz w:val="14"/>
              </w:rPr>
              <w:t xml:space="preserve"> </w:t>
            </w:r>
            <w:r>
              <w:rPr>
                <w:w w:val="85"/>
                <w:sz w:val="14"/>
              </w:rPr>
              <w:t>de</w:t>
            </w:r>
            <w:r>
              <w:rPr>
                <w:spacing w:val="3"/>
                <w:sz w:val="14"/>
              </w:rPr>
              <w:t xml:space="preserve"> </w:t>
            </w:r>
            <w:r>
              <w:rPr>
                <w:w w:val="85"/>
                <w:sz w:val="14"/>
              </w:rPr>
              <w:t>los</w:t>
            </w:r>
            <w:r>
              <w:rPr>
                <w:spacing w:val="3"/>
                <w:sz w:val="14"/>
              </w:rPr>
              <w:t xml:space="preserve"> </w:t>
            </w:r>
            <w:r>
              <w:rPr>
                <w:w w:val="85"/>
                <w:sz w:val="14"/>
              </w:rPr>
              <w:t>referidos</w:t>
            </w:r>
            <w:r>
              <w:rPr>
                <w:spacing w:val="3"/>
                <w:sz w:val="14"/>
              </w:rPr>
              <w:t xml:space="preserve"> </w:t>
            </w:r>
            <w:r>
              <w:rPr>
                <w:spacing w:val="-7"/>
                <w:w w:val="85"/>
                <w:sz w:val="14"/>
              </w:rPr>
              <w:t>en</w:t>
            </w:r>
          </w:p>
          <w:p w:rsidR="0092635B" w:rsidRDefault="00000000">
            <w:pPr>
              <w:pStyle w:val="TableParagraph"/>
              <w:spacing w:before="7" w:line="145" w:lineRule="exact"/>
              <w:ind w:left="40"/>
              <w:rPr>
                <w:sz w:val="14"/>
              </w:rPr>
            </w:pPr>
            <w:r>
              <w:rPr>
                <w:w w:val="85"/>
                <w:sz w:val="14"/>
              </w:rPr>
              <w:t>el</w:t>
            </w:r>
            <w:r>
              <w:rPr>
                <w:spacing w:val="-4"/>
                <w:sz w:val="14"/>
              </w:rPr>
              <w:t xml:space="preserve"> </w:t>
            </w:r>
            <w:r>
              <w:rPr>
                <w:w w:val="85"/>
                <w:sz w:val="14"/>
              </w:rPr>
              <w:t>artículo</w:t>
            </w:r>
            <w:r>
              <w:rPr>
                <w:spacing w:val="-3"/>
                <w:sz w:val="14"/>
              </w:rPr>
              <w:t xml:space="preserve"> </w:t>
            </w:r>
            <w:r>
              <w:rPr>
                <w:spacing w:val="-2"/>
                <w:w w:val="85"/>
                <w:sz w:val="14"/>
              </w:rPr>
              <w:t>19.2.d).</w:t>
            </w:r>
          </w:p>
        </w:tc>
      </w:tr>
      <w:tr w:rsidR="0092635B">
        <w:trPr>
          <w:trHeight w:val="331"/>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40"/>
              <w:rPr>
                <w:sz w:val="14"/>
              </w:rPr>
            </w:pPr>
            <w:r>
              <w:rPr>
                <w:w w:val="85"/>
                <w:sz w:val="14"/>
              </w:rPr>
              <w:t>75100000-7</w:t>
            </w:r>
            <w:r>
              <w:rPr>
                <w:spacing w:val="4"/>
                <w:sz w:val="14"/>
              </w:rPr>
              <w:t xml:space="preserve"> </w:t>
            </w:r>
            <w:r>
              <w:rPr>
                <w:w w:val="85"/>
                <w:sz w:val="14"/>
              </w:rPr>
              <w:t>a</w:t>
            </w:r>
            <w:r>
              <w:rPr>
                <w:spacing w:val="5"/>
                <w:sz w:val="14"/>
              </w:rPr>
              <w:t xml:space="preserve"> </w:t>
            </w:r>
            <w:r>
              <w:rPr>
                <w:w w:val="85"/>
                <w:sz w:val="14"/>
              </w:rPr>
              <w:t>75120000-3;</w:t>
            </w:r>
            <w:r>
              <w:rPr>
                <w:spacing w:val="5"/>
                <w:sz w:val="14"/>
              </w:rPr>
              <w:t xml:space="preserve"> </w:t>
            </w:r>
            <w:r>
              <w:rPr>
                <w:w w:val="85"/>
                <w:sz w:val="14"/>
              </w:rPr>
              <w:t>75123000-4;</w:t>
            </w:r>
            <w:r>
              <w:rPr>
                <w:spacing w:val="5"/>
                <w:sz w:val="14"/>
              </w:rPr>
              <w:t xml:space="preserve"> </w:t>
            </w:r>
            <w:r>
              <w:rPr>
                <w:w w:val="85"/>
                <w:sz w:val="14"/>
              </w:rPr>
              <w:t>75125000-8</w:t>
            </w:r>
            <w:r>
              <w:rPr>
                <w:spacing w:val="5"/>
                <w:sz w:val="14"/>
              </w:rPr>
              <w:t xml:space="preserve"> </w:t>
            </w:r>
            <w:r>
              <w:rPr>
                <w:w w:val="85"/>
                <w:sz w:val="14"/>
              </w:rPr>
              <w:t>a</w:t>
            </w:r>
            <w:r>
              <w:rPr>
                <w:spacing w:val="5"/>
                <w:sz w:val="14"/>
              </w:rPr>
              <w:t xml:space="preserve"> </w:t>
            </w:r>
            <w:r>
              <w:rPr>
                <w:w w:val="85"/>
                <w:sz w:val="14"/>
              </w:rPr>
              <w:t>75131000-</w:t>
            </w:r>
            <w:r>
              <w:rPr>
                <w:spacing w:val="-5"/>
                <w:w w:val="85"/>
                <w:sz w:val="14"/>
              </w:rPr>
              <w:t>3.</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0"/>
              <w:rPr>
                <w:sz w:val="14"/>
              </w:rPr>
            </w:pPr>
            <w:r>
              <w:rPr>
                <w:w w:val="85"/>
                <w:sz w:val="14"/>
              </w:rPr>
              <w:t>Otros</w:t>
            </w:r>
            <w:r>
              <w:rPr>
                <w:spacing w:val="4"/>
                <w:sz w:val="14"/>
              </w:rPr>
              <w:t xml:space="preserve"> </w:t>
            </w:r>
            <w:r>
              <w:rPr>
                <w:w w:val="85"/>
                <w:sz w:val="14"/>
              </w:rPr>
              <w:t>servicios</w:t>
            </w:r>
            <w:r>
              <w:rPr>
                <w:spacing w:val="4"/>
                <w:sz w:val="14"/>
              </w:rPr>
              <w:t xml:space="preserve"> </w:t>
            </w:r>
            <w:r>
              <w:rPr>
                <w:w w:val="85"/>
                <w:sz w:val="14"/>
              </w:rPr>
              <w:t>administrativos</w:t>
            </w:r>
            <w:r>
              <w:rPr>
                <w:spacing w:val="5"/>
                <w:sz w:val="14"/>
              </w:rPr>
              <w:t xml:space="preserve"> </w:t>
            </w:r>
            <w:r>
              <w:rPr>
                <w:w w:val="85"/>
                <w:sz w:val="14"/>
              </w:rPr>
              <w:t>y</w:t>
            </w:r>
            <w:r>
              <w:rPr>
                <w:spacing w:val="4"/>
                <w:sz w:val="14"/>
              </w:rPr>
              <w:t xml:space="preserve"> </w:t>
            </w:r>
            <w:r>
              <w:rPr>
                <w:spacing w:val="-2"/>
                <w:w w:val="85"/>
                <w:sz w:val="14"/>
              </w:rPr>
              <w:t>servicios</w:t>
            </w:r>
          </w:p>
          <w:p w:rsidR="0092635B" w:rsidRDefault="00000000">
            <w:pPr>
              <w:pStyle w:val="TableParagraph"/>
              <w:spacing w:before="7" w:line="145" w:lineRule="exact"/>
              <w:ind w:left="40"/>
              <w:rPr>
                <w:sz w:val="14"/>
              </w:rPr>
            </w:pPr>
            <w:r>
              <w:rPr>
                <w:spacing w:val="-2"/>
                <w:w w:val="95"/>
                <w:sz w:val="14"/>
              </w:rPr>
              <w:t>gubernamentales.</w:t>
            </w:r>
          </w:p>
        </w:tc>
      </w:tr>
      <w:tr w:rsidR="0092635B">
        <w:trPr>
          <w:trHeight w:val="165"/>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75200000-8</w:t>
            </w:r>
            <w:r>
              <w:rPr>
                <w:spacing w:val="5"/>
                <w:sz w:val="14"/>
              </w:rPr>
              <w:t xml:space="preserve"> </w:t>
            </w:r>
            <w:r>
              <w:rPr>
                <w:w w:val="85"/>
                <w:sz w:val="14"/>
              </w:rPr>
              <w:t>a</w:t>
            </w:r>
            <w:r>
              <w:rPr>
                <w:spacing w:val="5"/>
                <w:sz w:val="14"/>
              </w:rPr>
              <w:t xml:space="preserve"> </w:t>
            </w:r>
            <w:r>
              <w:rPr>
                <w:w w:val="85"/>
                <w:sz w:val="14"/>
              </w:rPr>
              <w:t>75231000-</w:t>
            </w:r>
            <w:r>
              <w:rPr>
                <w:spacing w:val="-5"/>
                <w:w w:val="85"/>
                <w:sz w:val="14"/>
              </w:rPr>
              <w:t>4.</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Prestación</w:t>
            </w:r>
            <w:r>
              <w:rPr>
                <w:spacing w:val="-1"/>
                <w:sz w:val="14"/>
              </w:rPr>
              <w:t xml:space="preserve"> </w:t>
            </w:r>
            <w:r>
              <w:rPr>
                <w:w w:val="85"/>
                <w:sz w:val="14"/>
              </w:rPr>
              <w:t>de</w:t>
            </w:r>
            <w:r>
              <w:rPr>
                <w:spacing w:val="-1"/>
                <w:sz w:val="14"/>
              </w:rPr>
              <w:t xml:space="preserve"> </w:t>
            </w:r>
            <w:r>
              <w:rPr>
                <w:w w:val="85"/>
                <w:sz w:val="14"/>
              </w:rPr>
              <w:t>servicios</w:t>
            </w:r>
            <w:r>
              <w:rPr>
                <w:spacing w:val="-1"/>
                <w:sz w:val="14"/>
              </w:rPr>
              <w:t xml:space="preserve"> </w:t>
            </w:r>
            <w:r>
              <w:rPr>
                <w:w w:val="85"/>
                <w:sz w:val="14"/>
              </w:rPr>
              <w:t>para</w:t>
            </w:r>
            <w:r>
              <w:rPr>
                <w:spacing w:val="-1"/>
                <w:sz w:val="14"/>
              </w:rPr>
              <w:t xml:space="preserve"> </w:t>
            </w:r>
            <w:r>
              <w:rPr>
                <w:w w:val="85"/>
                <w:sz w:val="14"/>
              </w:rPr>
              <w:t>la</w:t>
            </w:r>
            <w:r>
              <w:rPr>
                <w:sz w:val="14"/>
              </w:rPr>
              <w:t xml:space="preserve"> </w:t>
            </w:r>
            <w:r>
              <w:rPr>
                <w:spacing w:val="-2"/>
                <w:w w:val="85"/>
                <w:sz w:val="14"/>
              </w:rPr>
              <w:t>comunidad.</w:t>
            </w:r>
          </w:p>
        </w:tc>
      </w:tr>
      <w:tr w:rsidR="0092635B">
        <w:trPr>
          <w:trHeight w:val="667"/>
        </w:trPr>
        <w:tc>
          <w:tcPr>
            <w:tcW w:w="7579"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rFonts w:ascii="Arial"/>
                <w:b/>
                <w:sz w:val="14"/>
              </w:rPr>
            </w:pPr>
          </w:p>
          <w:p w:rsidR="0092635B" w:rsidRDefault="00000000">
            <w:pPr>
              <w:pStyle w:val="TableParagraph"/>
              <w:ind w:left="40"/>
              <w:rPr>
                <w:sz w:val="14"/>
              </w:rPr>
            </w:pPr>
            <w:r>
              <w:rPr>
                <w:w w:val="85"/>
                <w:sz w:val="14"/>
              </w:rPr>
              <w:t>75231210-9</w:t>
            </w:r>
            <w:r>
              <w:rPr>
                <w:spacing w:val="4"/>
                <w:sz w:val="14"/>
              </w:rPr>
              <w:t xml:space="preserve"> </w:t>
            </w:r>
            <w:r>
              <w:rPr>
                <w:w w:val="85"/>
                <w:sz w:val="14"/>
              </w:rPr>
              <w:t>a</w:t>
            </w:r>
            <w:r>
              <w:rPr>
                <w:spacing w:val="4"/>
                <w:sz w:val="14"/>
              </w:rPr>
              <w:t xml:space="preserve"> </w:t>
            </w:r>
            <w:r>
              <w:rPr>
                <w:w w:val="85"/>
                <w:sz w:val="14"/>
              </w:rPr>
              <w:t>75231230-5;</w:t>
            </w:r>
            <w:r>
              <w:rPr>
                <w:spacing w:val="4"/>
                <w:sz w:val="14"/>
              </w:rPr>
              <w:t xml:space="preserve"> </w:t>
            </w:r>
            <w:r>
              <w:rPr>
                <w:w w:val="85"/>
                <w:sz w:val="14"/>
              </w:rPr>
              <w:t>75240000-0</w:t>
            </w:r>
            <w:r>
              <w:rPr>
                <w:spacing w:val="5"/>
                <w:sz w:val="14"/>
              </w:rPr>
              <w:t xml:space="preserve"> </w:t>
            </w:r>
            <w:r>
              <w:rPr>
                <w:w w:val="85"/>
                <w:sz w:val="14"/>
              </w:rPr>
              <w:t>a</w:t>
            </w:r>
            <w:r>
              <w:rPr>
                <w:spacing w:val="4"/>
                <w:sz w:val="14"/>
              </w:rPr>
              <w:t xml:space="preserve"> </w:t>
            </w:r>
            <w:r>
              <w:rPr>
                <w:w w:val="85"/>
                <w:sz w:val="14"/>
              </w:rPr>
              <w:t>75252000-7;</w:t>
            </w:r>
            <w:r>
              <w:rPr>
                <w:spacing w:val="4"/>
                <w:sz w:val="14"/>
              </w:rPr>
              <w:t xml:space="preserve"> </w:t>
            </w:r>
            <w:r>
              <w:rPr>
                <w:w w:val="85"/>
                <w:sz w:val="14"/>
              </w:rPr>
              <w:t>794300000-7;</w:t>
            </w:r>
            <w:r>
              <w:rPr>
                <w:spacing w:val="5"/>
                <w:sz w:val="14"/>
              </w:rPr>
              <w:t xml:space="preserve"> </w:t>
            </w:r>
            <w:r>
              <w:rPr>
                <w:w w:val="85"/>
                <w:sz w:val="14"/>
              </w:rPr>
              <w:t>98113100-</w:t>
            </w:r>
            <w:r>
              <w:rPr>
                <w:spacing w:val="-5"/>
                <w:w w:val="85"/>
                <w:sz w:val="14"/>
              </w:rPr>
              <w:t>9.</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0"/>
              <w:rPr>
                <w:sz w:val="14"/>
              </w:rPr>
            </w:pPr>
            <w:r>
              <w:rPr>
                <w:spacing w:val="-2"/>
                <w:w w:val="95"/>
                <w:sz w:val="14"/>
              </w:rPr>
              <w:t>Servicios relacionados con las prisiones,</w:t>
            </w:r>
            <w:r>
              <w:rPr>
                <w:spacing w:val="40"/>
                <w:sz w:val="14"/>
              </w:rPr>
              <w:t xml:space="preserve"> </w:t>
            </w:r>
            <w:r>
              <w:rPr>
                <w:w w:val="85"/>
                <w:sz w:val="14"/>
              </w:rPr>
              <w:t>servicios de seguridad pública y servicios de</w:t>
            </w:r>
            <w:r>
              <w:rPr>
                <w:spacing w:val="40"/>
                <w:sz w:val="14"/>
              </w:rPr>
              <w:t xml:space="preserve"> </w:t>
            </w:r>
            <w:r>
              <w:rPr>
                <w:spacing w:val="-2"/>
                <w:w w:val="95"/>
                <w:sz w:val="14"/>
              </w:rPr>
              <w:t>salvamento</w:t>
            </w:r>
            <w:r>
              <w:rPr>
                <w:spacing w:val="-4"/>
                <w:w w:val="95"/>
                <w:sz w:val="14"/>
              </w:rPr>
              <w:t xml:space="preserve"> </w:t>
            </w:r>
            <w:r>
              <w:rPr>
                <w:spacing w:val="-2"/>
                <w:w w:val="95"/>
                <w:sz w:val="14"/>
              </w:rPr>
              <w:t>distintos</w:t>
            </w:r>
            <w:r>
              <w:rPr>
                <w:spacing w:val="-4"/>
                <w:w w:val="95"/>
                <w:sz w:val="14"/>
              </w:rPr>
              <w:t xml:space="preserve"> </w:t>
            </w:r>
            <w:r>
              <w:rPr>
                <w:spacing w:val="-2"/>
                <w:w w:val="95"/>
                <w:sz w:val="14"/>
              </w:rPr>
              <w:t>de</w:t>
            </w:r>
            <w:r>
              <w:rPr>
                <w:spacing w:val="-4"/>
                <w:w w:val="95"/>
                <w:sz w:val="14"/>
              </w:rPr>
              <w:t xml:space="preserve"> </w:t>
            </w:r>
            <w:r>
              <w:rPr>
                <w:spacing w:val="-2"/>
                <w:w w:val="95"/>
                <w:sz w:val="14"/>
              </w:rPr>
              <w:t>los</w:t>
            </w:r>
            <w:r>
              <w:rPr>
                <w:spacing w:val="-4"/>
                <w:w w:val="95"/>
                <w:sz w:val="14"/>
              </w:rPr>
              <w:t xml:space="preserve"> </w:t>
            </w:r>
            <w:r>
              <w:rPr>
                <w:spacing w:val="-2"/>
                <w:w w:val="95"/>
                <w:sz w:val="14"/>
              </w:rPr>
              <w:t>referidos</w:t>
            </w:r>
            <w:r>
              <w:rPr>
                <w:spacing w:val="-4"/>
                <w:w w:val="95"/>
                <w:sz w:val="14"/>
              </w:rPr>
              <w:t xml:space="preserve"> </w:t>
            </w:r>
            <w:r>
              <w:rPr>
                <w:spacing w:val="-2"/>
                <w:w w:val="95"/>
                <w:sz w:val="14"/>
              </w:rPr>
              <w:t>en</w:t>
            </w:r>
            <w:r>
              <w:rPr>
                <w:spacing w:val="-4"/>
                <w:w w:val="95"/>
                <w:sz w:val="14"/>
              </w:rPr>
              <w:t xml:space="preserve"> </w:t>
            </w:r>
            <w:r>
              <w:rPr>
                <w:spacing w:val="-2"/>
                <w:w w:val="95"/>
                <w:sz w:val="14"/>
              </w:rPr>
              <w:t>el</w:t>
            </w:r>
          </w:p>
          <w:p w:rsidR="0092635B" w:rsidRDefault="00000000">
            <w:pPr>
              <w:pStyle w:val="TableParagraph"/>
              <w:spacing w:line="145" w:lineRule="exact"/>
              <w:ind w:left="40"/>
              <w:rPr>
                <w:sz w:val="14"/>
              </w:rPr>
            </w:pPr>
            <w:r>
              <w:rPr>
                <w:w w:val="85"/>
                <w:sz w:val="14"/>
              </w:rPr>
              <w:t>artículo</w:t>
            </w:r>
            <w:r>
              <w:rPr>
                <w:spacing w:val="-1"/>
                <w:w w:val="95"/>
                <w:sz w:val="14"/>
              </w:rPr>
              <w:t xml:space="preserve"> </w:t>
            </w:r>
            <w:r>
              <w:rPr>
                <w:spacing w:val="-2"/>
                <w:w w:val="95"/>
                <w:sz w:val="14"/>
              </w:rPr>
              <w:t>19.2.f).</w:t>
            </w:r>
          </w:p>
        </w:tc>
      </w:tr>
      <w:tr w:rsidR="0092635B">
        <w:trPr>
          <w:trHeight w:val="667"/>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0" w:right="47"/>
              <w:rPr>
                <w:sz w:val="14"/>
              </w:rPr>
            </w:pPr>
            <w:r>
              <w:rPr>
                <w:w w:val="85"/>
                <w:sz w:val="14"/>
              </w:rPr>
              <w:t>79700000-1 a 79721000-4 [Servicios de investigación y seguridad, Servicios de seguridad, Servicios de vigilancia de sistemas de alarma,</w:t>
            </w:r>
            <w:r>
              <w:rPr>
                <w:spacing w:val="40"/>
                <w:sz w:val="14"/>
              </w:rPr>
              <w:t xml:space="preserve"> </w:t>
            </w:r>
            <w:r>
              <w:rPr>
                <w:w w:val="85"/>
                <w:sz w:val="14"/>
              </w:rPr>
              <w:t>Servicios de vigilancia, Servicios relacionados con el sistema de localización, Servicios de búsqueda de prófugos, Servicios de patrullas,</w:t>
            </w:r>
            <w:r>
              <w:rPr>
                <w:spacing w:val="40"/>
                <w:sz w:val="14"/>
              </w:rPr>
              <w:t xml:space="preserve"> </w:t>
            </w:r>
            <w:r>
              <w:rPr>
                <w:spacing w:val="-2"/>
                <w:w w:val="90"/>
                <w:sz w:val="14"/>
              </w:rPr>
              <w:t>Servicios de expedición de distintivos de identificación, Servicios de investigación y Servicios de agencia de detectives] 79722000-1</w:t>
            </w:r>
          </w:p>
          <w:p w:rsidR="0092635B" w:rsidRDefault="00000000">
            <w:pPr>
              <w:pStyle w:val="TableParagraph"/>
              <w:spacing w:line="145" w:lineRule="exact"/>
              <w:ind w:left="40"/>
              <w:rPr>
                <w:sz w:val="14"/>
              </w:rPr>
            </w:pPr>
            <w:r>
              <w:rPr>
                <w:w w:val="85"/>
                <w:sz w:val="14"/>
              </w:rPr>
              <w:t>[Servicios</w:t>
            </w:r>
            <w:r>
              <w:rPr>
                <w:spacing w:val="2"/>
                <w:sz w:val="14"/>
              </w:rPr>
              <w:t xml:space="preserve"> </w:t>
            </w:r>
            <w:r>
              <w:rPr>
                <w:w w:val="85"/>
                <w:sz w:val="14"/>
              </w:rPr>
              <w:t>de</w:t>
            </w:r>
            <w:r>
              <w:rPr>
                <w:spacing w:val="2"/>
                <w:sz w:val="14"/>
              </w:rPr>
              <w:t xml:space="preserve"> </w:t>
            </w:r>
            <w:r>
              <w:rPr>
                <w:w w:val="85"/>
                <w:sz w:val="14"/>
              </w:rPr>
              <w:t>grafología],</w:t>
            </w:r>
            <w:r>
              <w:rPr>
                <w:spacing w:val="3"/>
                <w:sz w:val="14"/>
              </w:rPr>
              <w:t xml:space="preserve"> </w:t>
            </w:r>
            <w:r>
              <w:rPr>
                <w:w w:val="85"/>
                <w:sz w:val="14"/>
              </w:rPr>
              <w:t>79723000-8</w:t>
            </w:r>
            <w:r>
              <w:rPr>
                <w:spacing w:val="2"/>
                <w:sz w:val="14"/>
              </w:rPr>
              <w:t xml:space="preserve"> </w:t>
            </w:r>
            <w:r>
              <w:rPr>
                <w:w w:val="85"/>
                <w:sz w:val="14"/>
              </w:rPr>
              <w:t>[Servicios</w:t>
            </w:r>
            <w:r>
              <w:rPr>
                <w:spacing w:val="3"/>
                <w:sz w:val="14"/>
              </w:rPr>
              <w:t xml:space="preserve"> </w:t>
            </w:r>
            <w:r>
              <w:rPr>
                <w:w w:val="85"/>
                <w:sz w:val="14"/>
              </w:rPr>
              <w:t>de</w:t>
            </w:r>
            <w:r>
              <w:rPr>
                <w:spacing w:val="2"/>
                <w:sz w:val="14"/>
              </w:rPr>
              <w:t xml:space="preserve"> </w:t>
            </w:r>
            <w:r>
              <w:rPr>
                <w:w w:val="85"/>
                <w:sz w:val="14"/>
              </w:rPr>
              <w:t>análisis</w:t>
            </w:r>
            <w:r>
              <w:rPr>
                <w:spacing w:val="3"/>
                <w:sz w:val="14"/>
              </w:rPr>
              <w:t xml:space="preserve"> </w:t>
            </w:r>
            <w:r>
              <w:rPr>
                <w:w w:val="85"/>
                <w:sz w:val="14"/>
              </w:rPr>
              <w:t>de</w:t>
            </w:r>
            <w:r>
              <w:rPr>
                <w:spacing w:val="2"/>
                <w:sz w:val="14"/>
              </w:rPr>
              <w:t xml:space="preserve"> </w:t>
            </w:r>
            <w:r>
              <w:rPr>
                <w:spacing w:val="-2"/>
                <w:w w:val="85"/>
                <w:sz w:val="14"/>
              </w:rPr>
              <w:t>residuos].</w:t>
            </w:r>
          </w:p>
        </w:tc>
        <w:tc>
          <w:tcPr>
            <w:tcW w:w="2625"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rFonts w:ascii="Arial"/>
                <w:b/>
                <w:sz w:val="14"/>
              </w:rPr>
            </w:pPr>
          </w:p>
          <w:p w:rsidR="0092635B" w:rsidRDefault="00000000">
            <w:pPr>
              <w:pStyle w:val="TableParagraph"/>
              <w:ind w:left="40"/>
              <w:rPr>
                <w:sz w:val="14"/>
              </w:rPr>
            </w:pPr>
            <w:r>
              <w:rPr>
                <w:w w:val="85"/>
                <w:sz w:val="14"/>
              </w:rPr>
              <w:t>Servicios</w:t>
            </w:r>
            <w:r>
              <w:rPr>
                <w:spacing w:val="-1"/>
                <w:sz w:val="14"/>
              </w:rPr>
              <w:t xml:space="preserve"> </w:t>
            </w:r>
            <w:r>
              <w:rPr>
                <w:w w:val="85"/>
                <w:sz w:val="14"/>
              </w:rPr>
              <w:t>de</w:t>
            </w:r>
            <w:r>
              <w:rPr>
                <w:sz w:val="14"/>
              </w:rPr>
              <w:t xml:space="preserve"> </w:t>
            </w:r>
            <w:r>
              <w:rPr>
                <w:w w:val="85"/>
                <w:sz w:val="14"/>
              </w:rPr>
              <w:t>investigación</w:t>
            </w:r>
            <w:r>
              <w:rPr>
                <w:sz w:val="14"/>
              </w:rPr>
              <w:t xml:space="preserve"> </w:t>
            </w:r>
            <w:r>
              <w:rPr>
                <w:w w:val="85"/>
                <w:sz w:val="14"/>
              </w:rPr>
              <w:t>y</w:t>
            </w:r>
            <w:r>
              <w:rPr>
                <w:sz w:val="14"/>
              </w:rPr>
              <w:t xml:space="preserve"> </w:t>
            </w:r>
            <w:r>
              <w:rPr>
                <w:spacing w:val="-2"/>
                <w:w w:val="85"/>
                <w:sz w:val="14"/>
              </w:rPr>
              <w:t>seguridad.</w:t>
            </w:r>
          </w:p>
        </w:tc>
      </w:tr>
      <w:tr w:rsidR="0092635B">
        <w:trPr>
          <w:trHeight w:val="331"/>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60" w:lineRule="exact"/>
              <w:ind w:left="40"/>
              <w:rPr>
                <w:sz w:val="14"/>
              </w:rPr>
            </w:pPr>
            <w:r>
              <w:rPr>
                <w:w w:val="85"/>
                <w:sz w:val="14"/>
              </w:rPr>
              <w:t>98900000-2</w:t>
            </w:r>
            <w:r>
              <w:rPr>
                <w:spacing w:val="4"/>
                <w:sz w:val="14"/>
              </w:rPr>
              <w:t xml:space="preserve"> </w:t>
            </w:r>
            <w:r>
              <w:rPr>
                <w:w w:val="85"/>
                <w:sz w:val="14"/>
              </w:rPr>
              <w:t>[Servicios</w:t>
            </w:r>
            <w:r>
              <w:rPr>
                <w:spacing w:val="4"/>
                <w:sz w:val="14"/>
              </w:rPr>
              <w:t xml:space="preserve"> </w:t>
            </w:r>
            <w:r>
              <w:rPr>
                <w:w w:val="85"/>
                <w:sz w:val="14"/>
              </w:rPr>
              <w:t>prestados</w:t>
            </w:r>
            <w:r>
              <w:rPr>
                <w:spacing w:val="5"/>
                <w:sz w:val="14"/>
              </w:rPr>
              <w:t xml:space="preserve"> </w:t>
            </w:r>
            <w:r>
              <w:rPr>
                <w:w w:val="85"/>
                <w:sz w:val="14"/>
              </w:rPr>
              <w:t>por</w:t>
            </w:r>
            <w:r>
              <w:rPr>
                <w:spacing w:val="4"/>
                <w:sz w:val="14"/>
              </w:rPr>
              <w:t xml:space="preserve"> </w:t>
            </w:r>
            <w:r>
              <w:rPr>
                <w:w w:val="85"/>
                <w:sz w:val="14"/>
              </w:rPr>
              <w:t>organizaciones</w:t>
            </w:r>
            <w:r>
              <w:rPr>
                <w:spacing w:val="5"/>
                <w:sz w:val="14"/>
              </w:rPr>
              <w:t xml:space="preserve"> </w:t>
            </w:r>
            <w:r>
              <w:rPr>
                <w:w w:val="85"/>
                <w:sz w:val="14"/>
              </w:rPr>
              <w:t>y</w:t>
            </w:r>
            <w:r>
              <w:rPr>
                <w:spacing w:val="4"/>
                <w:sz w:val="14"/>
              </w:rPr>
              <w:t xml:space="preserve"> </w:t>
            </w:r>
            <w:r>
              <w:rPr>
                <w:w w:val="85"/>
                <w:sz w:val="14"/>
              </w:rPr>
              <w:t>entidades</w:t>
            </w:r>
            <w:r>
              <w:rPr>
                <w:spacing w:val="5"/>
                <w:sz w:val="14"/>
              </w:rPr>
              <w:t xml:space="preserve"> </w:t>
            </w:r>
            <w:r>
              <w:rPr>
                <w:w w:val="85"/>
                <w:sz w:val="14"/>
              </w:rPr>
              <w:t>extraterritoriales]</w:t>
            </w:r>
            <w:r>
              <w:rPr>
                <w:spacing w:val="4"/>
                <w:sz w:val="14"/>
              </w:rPr>
              <w:t xml:space="preserve"> </w:t>
            </w:r>
            <w:r>
              <w:rPr>
                <w:w w:val="85"/>
                <w:sz w:val="14"/>
              </w:rPr>
              <w:t>y</w:t>
            </w:r>
            <w:r>
              <w:rPr>
                <w:spacing w:val="5"/>
                <w:sz w:val="14"/>
              </w:rPr>
              <w:t xml:space="preserve"> </w:t>
            </w:r>
            <w:r>
              <w:rPr>
                <w:w w:val="85"/>
                <w:sz w:val="14"/>
              </w:rPr>
              <w:t>98910000-5</w:t>
            </w:r>
            <w:r>
              <w:rPr>
                <w:spacing w:val="4"/>
                <w:sz w:val="14"/>
              </w:rPr>
              <w:t xml:space="preserve"> </w:t>
            </w:r>
            <w:r>
              <w:rPr>
                <w:w w:val="85"/>
                <w:sz w:val="14"/>
              </w:rPr>
              <w:t>[Servicios</w:t>
            </w:r>
            <w:r>
              <w:rPr>
                <w:spacing w:val="5"/>
                <w:sz w:val="14"/>
              </w:rPr>
              <w:t xml:space="preserve"> </w:t>
            </w:r>
            <w:r>
              <w:rPr>
                <w:w w:val="85"/>
                <w:sz w:val="14"/>
              </w:rPr>
              <w:t>específicos</w:t>
            </w:r>
            <w:r>
              <w:rPr>
                <w:spacing w:val="4"/>
                <w:sz w:val="14"/>
              </w:rPr>
              <w:t xml:space="preserve"> </w:t>
            </w:r>
            <w:r>
              <w:rPr>
                <w:w w:val="85"/>
                <w:sz w:val="14"/>
              </w:rPr>
              <w:t>de</w:t>
            </w:r>
            <w:r>
              <w:rPr>
                <w:spacing w:val="5"/>
                <w:sz w:val="14"/>
              </w:rPr>
              <w:t xml:space="preserve"> </w:t>
            </w:r>
            <w:r>
              <w:rPr>
                <w:spacing w:val="-2"/>
                <w:w w:val="85"/>
                <w:sz w:val="14"/>
              </w:rPr>
              <w:t>organizaciones</w:t>
            </w:r>
          </w:p>
          <w:p w:rsidR="0092635B" w:rsidRDefault="00000000">
            <w:pPr>
              <w:pStyle w:val="TableParagraph"/>
              <w:spacing w:before="7" w:line="145" w:lineRule="exact"/>
              <w:ind w:left="40"/>
              <w:rPr>
                <w:sz w:val="14"/>
              </w:rPr>
            </w:pPr>
            <w:r>
              <w:rPr>
                <w:w w:val="85"/>
                <w:sz w:val="14"/>
              </w:rPr>
              <w:t>y</w:t>
            </w:r>
            <w:r>
              <w:rPr>
                <w:spacing w:val="1"/>
                <w:sz w:val="14"/>
              </w:rPr>
              <w:t xml:space="preserve"> </w:t>
            </w:r>
            <w:r>
              <w:rPr>
                <w:w w:val="85"/>
                <w:sz w:val="14"/>
              </w:rPr>
              <w:t>entidades</w:t>
            </w:r>
            <w:r>
              <w:rPr>
                <w:spacing w:val="2"/>
                <w:sz w:val="14"/>
              </w:rPr>
              <w:t xml:space="preserve"> </w:t>
            </w:r>
            <w:r>
              <w:rPr>
                <w:spacing w:val="-2"/>
                <w:w w:val="85"/>
                <w:sz w:val="14"/>
              </w:rPr>
              <w:t>extraterritoriales].</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before="83"/>
              <w:ind w:left="40"/>
              <w:rPr>
                <w:sz w:val="14"/>
              </w:rPr>
            </w:pPr>
            <w:r>
              <w:rPr>
                <w:w w:val="85"/>
                <w:sz w:val="14"/>
              </w:rPr>
              <w:t>Servicios</w:t>
            </w:r>
            <w:r>
              <w:rPr>
                <w:spacing w:val="6"/>
                <w:sz w:val="14"/>
              </w:rPr>
              <w:t xml:space="preserve"> </w:t>
            </w:r>
            <w:r>
              <w:rPr>
                <w:spacing w:val="-2"/>
                <w:w w:val="95"/>
                <w:sz w:val="14"/>
              </w:rPr>
              <w:t>internacionales.</w:t>
            </w:r>
          </w:p>
        </w:tc>
      </w:tr>
      <w:tr w:rsidR="0092635B">
        <w:trPr>
          <w:trHeight w:val="667"/>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249" w:lineRule="auto"/>
              <w:ind w:left="40" w:right="396"/>
              <w:rPr>
                <w:sz w:val="14"/>
              </w:rPr>
            </w:pPr>
            <w:r>
              <w:rPr>
                <w:w w:val="85"/>
                <w:sz w:val="14"/>
              </w:rPr>
              <w:t>64000000-6 [Servicios de correos y telecomunicaciones], 64100000-7 [Servicios postales y de correo rápido], 64110000-0 [Servicios</w:t>
            </w:r>
            <w:r>
              <w:rPr>
                <w:spacing w:val="40"/>
                <w:sz w:val="14"/>
              </w:rPr>
              <w:t xml:space="preserve"> </w:t>
            </w:r>
            <w:r>
              <w:rPr>
                <w:w w:val="85"/>
                <w:sz w:val="14"/>
              </w:rPr>
              <w:t>postales], 64111000-7 [Servicios postales relacionados con periódicos y revistas], 64112000-4 [Servicios postales relacionados con</w:t>
            </w:r>
            <w:r>
              <w:rPr>
                <w:spacing w:val="40"/>
                <w:sz w:val="14"/>
              </w:rPr>
              <w:t xml:space="preserve"> </w:t>
            </w:r>
            <w:r>
              <w:rPr>
                <w:spacing w:val="-2"/>
                <w:w w:val="90"/>
                <w:sz w:val="14"/>
              </w:rPr>
              <w:t>cartas], 64113000-1 [Servicios postales relacionados con paquetes], 64114000-8 [Servicios de ventanilla de correos], 64115000-5</w:t>
            </w:r>
          </w:p>
          <w:p w:rsidR="0092635B" w:rsidRDefault="00000000">
            <w:pPr>
              <w:pStyle w:val="TableParagraph"/>
              <w:spacing w:line="145" w:lineRule="exact"/>
              <w:ind w:left="40"/>
              <w:rPr>
                <w:sz w:val="14"/>
              </w:rPr>
            </w:pPr>
            <w:r>
              <w:rPr>
                <w:w w:val="85"/>
                <w:sz w:val="14"/>
              </w:rPr>
              <w:t>[Alquiler</w:t>
            </w:r>
            <w:r>
              <w:rPr>
                <w:sz w:val="14"/>
              </w:rPr>
              <w:t xml:space="preserve"> </w:t>
            </w:r>
            <w:r>
              <w:rPr>
                <w:w w:val="85"/>
                <w:sz w:val="14"/>
              </w:rPr>
              <w:t>de</w:t>
            </w:r>
            <w:r>
              <w:rPr>
                <w:spacing w:val="1"/>
                <w:sz w:val="14"/>
              </w:rPr>
              <w:t xml:space="preserve"> </w:t>
            </w:r>
            <w:r>
              <w:rPr>
                <w:w w:val="85"/>
                <w:sz w:val="14"/>
              </w:rPr>
              <w:t>apartados</w:t>
            </w:r>
            <w:r>
              <w:rPr>
                <w:spacing w:val="1"/>
                <w:sz w:val="14"/>
              </w:rPr>
              <w:t xml:space="preserve"> </w:t>
            </w:r>
            <w:r>
              <w:rPr>
                <w:w w:val="85"/>
                <w:sz w:val="14"/>
              </w:rPr>
              <w:t>de</w:t>
            </w:r>
            <w:r>
              <w:rPr>
                <w:sz w:val="14"/>
              </w:rPr>
              <w:t xml:space="preserve"> </w:t>
            </w:r>
            <w:r>
              <w:rPr>
                <w:w w:val="85"/>
                <w:sz w:val="14"/>
              </w:rPr>
              <w:t>correos],</w:t>
            </w:r>
            <w:r>
              <w:rPr>
                <w:spacing w:val="1"/>
                <w:sz w:val="14"/>
              </w:rPr>
              <w:t xml:space="preserve"> </w:t>
            </w:r>
            <w:r>
              <w:rPr>
                <w:w w:val="85"/>
                <w:sz w:val="14"/>
              </w:rPr>
              <w:t>64116000-2</w:t>
            </w:r>
            <w:r>
              <w:rPr>
                <w:spacing w:val="1"/>
                <w:sz w:val="14"/>
              </w:rPr>
              <w:t xml:space="preserve"> </w:t>
            </w:r>
            <w:r>
              <w:rPr>
                <w:w w:val="85"/>
                <w:sz w:val="14"/>
              </w:rPr>
              <w:t>[Servicios</w:t>
            </w:r>
            <w:r>
              <w:rPr>
                <w:spacing w:val="1"/>
                <w:sz w:val="14"/>
              </w:rPr>
              <w:t xml:space="preserve"> </w:t>
            </w:r>
            <w:r>
              <w:rPr>
                <w:w w:val="85"/>
                <w:sz w:val="14"/>
              </w:rPr>
              <w:t>de</w:t>
            </w:r>
            <w:r>
              <w:rPr>
                <w:sz w:val="14"/>
              </w:rPr>
              <w:t xml:space="preserve"> </w:t>
            </w:r>
            <w:r>
              <w:rPr>
                <w:w w:val="85"/>
                <w:sz w:val="14"/>
              </w:rPr>
              <w:t>lista</w:t>
            </w:r>
            <w:r>
              <w:rPr>
                <w:spacing w:val="1"/>
                <w:sz w:val="14"/>
              </w:rPr>
              <w:t xml:space="preserve"> </w:t>
            </w:r>
            <w:r>
              <w:rPr>
                <w:w w:val="85"/>
                <w:sz w:val="14"/>
              </w:rPr>
              <w:t>de</w:t>
            </w:r>
            <w:r>
              <w:rPr>
                <w:spacing w:val="1"/>
                <w:sz w:val="14"/>
              </w:rPr>
              <w:t xml:space="preserve"> </w:t>
            </w:r>
            <w:r>
              <w:rPr>
                <w:w w:val="85"/>
                <w:sz w:val="14"/>
              </w:rPr>
              <w:t>correos],</w:t>
            </w:r>
            <w:r>
              <w:rPr>
                <w:spacing w:val="1"/>
                <w:sz w:val="14"/>
              </w:rPr>
              <w:t xml:space="preserve"> </w:t>
            </w:r>
            <w:r>
              <w:rPr>
                <w:w w:val="85"/>
                <w:sz w:val="14"/>
              </w:rPr>
              <w:t>64122000-7</w:t>
            </w:r>
            <w:r>
              <w:rPr>
                <w:sz w:val="14"/>
              </w:rPr>
              <w:t xml:space="preserve"> </w:t>
            </w:r>
            <w:r>
              <w:rPr>
                <w:w w:val="85"/>
                <w:sz w:val="14"/>
              </w:rPr>
              <w:t>[Servicios</w:t>
            </w:r>
            <w:r>
              <w:rPr>
                <w:spacing w:val="1"/>
                <w:sz w:val="14"/>
              </w:rPr>
              <w:t xml:space="preserve"> </w:t>
            </w:r>
            <w:r>
              <w:rPr>
                <w:w w:val="85"/>
                <w:sz w:val="14"/>
              </w:rPr>
              <w:t>de</w:t>
            </w:r>
            <w:r>
              <w:rPr>
                <w:spacing w:val="1"/>
                <w:sz w:val="14"/>
              </w:rPr>
              <w:t xml:space="preserve"> </w:t>
            </w:r>
            <w:r>
              <w:rPr>
                <w:w w:val="85"/>
                <w:sz w:val="14"/>
              </w:rPr>
              <w:t>correo</w:t>
            </w:r>
            <w:r>
              <w:rPr>
                <w:spacing w:val="1"/>
                <w:sz w:val="14"/>
              </w:rPr>
              <w:t xml:space="preserve"> </w:t>
            </w:r>
            <w:r>
              <w:rPr>
                <w:spacing w:val="-2"/>
                <w:w w:val="85"/>
                <w:sz w:val="14"/>
              </w:rPr>
              <w:t>interno].</w:t>
            </w:r>
          </w:p>
        </w:tc>
        <w:tc>
          <w:tcPr>
            <w:tcW w:w="2625" w:type="dxa"/>
            <w:tcBorders>
              <w:top w:val="single" w:sz="4" w:space="0" w:color="CCCCCC"/>
              <w:left w:val="single" w:sz="4" w:space="0" w:color="CCCCCC"/>
              <w:bottom w:val="single" w:sz="4" w:space="0" w:color="CCCCCC"/>
              <w:right w:val="single" w:sz="4" w:space="0" w:color="CCCCCC"/>
            </w:tcBorders>
          </w:tcPr>
          <w:p w:rsidR="0092635B" w:rsidRDefault="0092635B">
            <w:pPr>
              <w:pStyle w:val="TableParagraph"/>
              <w:spacing w:before="90"/>
              <w:rPr>
                <w:rFonts w:ascii="Arial"/>
                <w:b/>
                <w:sz w:val="14"/>
              </w:rPr>
            </w:pPr>
          </w:p>
          <w:p w:rsidR="0092635B" w:rsidRDefault="00000000">
            <w:pPr>
              <w:pStyle w:val="TableParagraph"/>
              <w:ind w:left="40"/>
              <w:rPr>
                <w:sz w:val="14"/>
              </w:rPr>
            </w:pPr>
            <w:r>
              <w:rPr>
                <w:w w:val="85"/>
                <w:sz w:val="14"/>
              </w:rPr>
              <w:t>Servicios</w:t>
            </w:r>
            <w:r>
              <w:rPr>
                <w:spacing w:val="1"/>
                <w:sz w:val="14"/>
              </w:rPr>
              <w:t xml:space="preserve"> </w:t>
            </w:r>
            <w:r>
              <w:rPr>
                <w:w w:val="85"/>
                <w:sz w:val="14"/>
              </w:rPr>
              <w:t>de</w:t>
            </w:r>
            <w:r>
              <w:rPr>
                <w:spacing w:val="2"/>
                <w:sz w:val="14"/>
              </w:rPr>
              <w:t xml:space="preserve"> </w:t>
            </w:r>
            <w:r>
              <w:rPr>
                <w:spacing w:val="-2"/>
                <w:w w:val="85"/>
                <w:sz w:val="14"/>
              </w:rPr>
              <w:t>correos.</w:t>
            </w:r>
          </w:p>
        </w:tc>
      </w:tr>
      <w:tr w:rsidR="0092635B">
        <w:trPr>
          <w:trHeight w:val="165"/>
        </w:trPr>
        <w:tc>
          <w:tcPr>
            <w:tcW w:w="7579"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50116510-9</w:t>
            </w:r>
            <w:r>
              <w:rPr>
                <w:spacing w:val="1"/>
                <w:sz w:val="14"/>
              </w:rPr>
              <w:t xml:space="preserve"> </w:t>
            </w:r>
            <w:r>
              <w:rPr>
                <w:w w:val="85"/>
                <w:sz w:val="14"/>
              </w:rPr>
              <w:t>[Servicios</w:t>
            </w:r>
            <w:r>
              <w:rPr>
                <w:spacing w:val="1"/>
                <w:sz w:val="14"/>
              </w:rPr>
              <w:t xml:space="preserve"> </w:t>
            </w:r>
            <w:r>
              <w:rPr>
                <w:w w:val="85"/>
                <w:sz w:val="14"/>
              </w:rPr>
              <w:t>de</w:t>
            </w:r>
            <w:r>
              <w:rPr>
                <w:spacing w:val="1"/>
                <w:sz w:val="14"/>
              </w:rPr>
              <w:t xml:space="preserve"> </w:t>
            </w:r>
            <w:r>
              <w:rPr>
                <w:w w:val="85"/>
                <w:sz w:val="14"/>
              </w:rPr>
              <w:t>recauchutado</w:t>
            </w:r>
            <w:r>
              <w:rPr>
                <w:spacing w:val="1"/>
                <w:sz w:val="14"/>
              </w:rPr>
              <w:t xml:space="preserve"> </w:t>
            </w:r>
            <w:r>
              <w:rPr>
                <w:w w:val="85"/>
                <w:sz w:val="14"/>
              </w:rPr>
              <w:t>de</w:t>
            </w:r>
            <w:r>
              <w:rPr>
                <w:spacing w:val="1"/>
                <w:sz w:val="14"/>
              </w:rPr>
              <w:t xml:space="preserve"> </w:t>
            </w:r>
            <w:r>
              <w:rPr>
                <w:w w:val="85"/>
                <w:sz w:val="14"/>
              </w:rPr>
              <w:t>neumáticos],</w:t>
            </w:r>
            <w:r>
              <w:rPr>
                <w:spacing w:val="1"/>
                <w:sz w:val="14"/>
              </w:rPr>
              <w:t xml:space="preserve"> </w:t>
            </w:r>
            <w:r>
              <w:rPr>
                <w:w w:val="85"/>
                <w:sz w:val="14"/>
              </w:rPr>
              <w:t>71550000-8</w:t>
            </w:r>
            <w:r>
              <w:rPr>
                <w:spacing w:val="2"/>
                <w:sz w:val="14"/>
              </w:rPr>
              <w:t xml:space="preserve"> </w:t>
            </w:r>
            <w:r>
              <w:rPr>
                <w:w w:val="85"/>
                <w:sz w:val="14"/>
              </w:rPr>
              <w:t>[Servicios</w:t>
            </w:r>
            <w:r>
              <w:rPr>
                <w:spacing w:val="1"/>
                <w:sz w:val="14"/>
              </w:rPr>
              <w:t xml:space="preserve"> </w:t>
            </w:r>
            <w:r>
              <w:rPr>
                <w:w w:val="85"/>
                <w:sz w:val="14"/>
              </w:rPr>
              <w:t>de</w:t>
            </w:r>
            <w:r>
              <w:rPr>
                <w:spacing w:val="1"/>
                <w:sz w:val="14"/>
              </w:rPr>
              <w:t xml:space="preserve"> </w:t>
            </w:r>
            <w:r>
              <w:rPr>
                <w:spacing w:val="-2"/>
                <w:w w:val="85"/>
                <w:sz w:val="14"/>
              </w:rPr>
              <w:t>herrería].</w:t>
            </w:r>
          </w:p>
        </w:tc>
        <w:tc>
          <w:tcPr>
            <w:tcW w:w="2625" w:type="dxa"/>
            <w:tcBorders>
              <w:top w:val="single" w:sz="4" w:space="0" w:color="CCCCCC"/>
              <w:left w:val="single" w:sz="4" w:space="0" w:color="CCCCCC"/>
              <w:bottom w:val="single" w:sz="4" w:space="0" w:color="CCCCCC"/>
              <w:right w:val="single" w:sz="4" w:space="0" w:color="CCCCCC"/>
            </w:tcBorders>
          </w:tcPr>
          <w:p w:rsidR="0092635B" w:rsidRDefault="00000000">
            <w:pPr>
              <w:pStyle w:val="TableParagraph"/>
              <w:spacing w:line="146" w:lineRule="exact"/>
              <w:ind w:left="40"/>
              <w:rPr>
                <w:sz w:val="14"/>
              </w:rPr>
            </w:pPr>
            <w:r>
              <w:rPr>
                <w:w w:val="85"/>
                <w:sz w:val="14"/>
              </w:rPr>
              <w:t>Servicios</w:t>
            </w:r>
            <w:r>
              <w:rPr>
                <w:spacing w:val="6"/>
                <w:sz w:val="14"/>
              </w:rPr>
              <w:t xml:space="preserve"> </w:t>
            </w:r>
            <w:r>
              <w:rPr>
                <w:spacing w:val="-2"/>
                <w:w w:val="95"/>
                <w:sz w:val="14"/>
              </w:rPr>
              <w:t>diversos.</w:t>
            </w:r>
          </w:p>
        </w:tc>
      </w:tr>
    </w:tbl>
    <w:p w:rsidR="0092635B" w:rsidRDefault="0092635B">
      <w:pPr>
        <w:pStyle w:val="Textoindependiente"/>
        <w:spacing w:before="228"/>
        <w:ind w:left="0" w:firstLine="0"/>
        <w:jc w:val="left"/>
        <w:rPr>
          <w:rFonts w:ascii="Arial"/>
          <w:b/>
        </w:rPr>
      </w:pPr>
    </w:p>
    <w:p w:rsidR="0092635B" w:rsidRDefault="00000000">
      <w:pPr>
        <w:pStyle w:val="Ttulo1"/>
      </w:pPr>
      <w:bookmarkStart w:id="683" w:name="ANEXO_V._Listado_de_convenios_internacio"/>
      <w:bookmarkStart w:id="684" w:name="_bookmark129"/>
      <w:bookmarkEnd w:id="683"/>
      <w:bookmarkEnd w:id="684"/>
      <w:r>
        <w:t xml:space="preserve">ANEXO </w:t>
      </w:r>
      <w:r>
        <w:rPr>
          <w:spacing w:val="-10"/>
        </w:rPr>
        <w:t>V</w:t>
      </w:r>
    </w:p>
    <w:p w:rsidR="0092635B" w:rsidRDefault="00000000">
      <w:pPr>
        <w:pStyle w:val="Ttulo2"/>
        <w:spacing w:line="249" w:lineRule="auto"/>
        <w:ind w:left="1446" w:right="1444"/>
      </w:pPr>
      <w:r>
        <w:t>Listado de convenios internacionales en el ámbito social y medioambiental a</w:t>
      </w:r>
      <w:r>
        <w:rPr>
          <w:spacing w:val="40"/>
        </w:rPr>
        <w:t xml:space="preserve"> </w:t>
      </w:r>
      <w:r>
        <w:t>que se refiere el artículo 201</w:t>
      </w:r>
    </w:p>
    <w:p w:rsidR="0092635B" w:rsidRDefault="00000000">
      <w:pPr>
        <w:pStyle w:val="Prrafodelista"/>
        <w:numPr>
          <w:ilvl w:val="0"/>
          <w:numId w:val="2"/>
        </w:numPr>
        <w:tabs>
          <w:tab w:val="left" w:pos="1682"/>
        </w:tabs>
        <w:spacing w:before="122" w:line="249" w:lineRule="auto"/>
        <w:ind w:right="1104" w:firstLine="340"/>
        <w:jc w:val="left"/>
        <w:rPr>
          <w:sz w:val="20"/>
        </w:rPr>
      </w:pPr>
      <w:r>
        <w:rPr>
          <w:sz w:val="20"/>
        </w:rPr>
        <w:t>Convenio</w:t>
      </w:r>
      <w:r>
        <w:rPr>
          <w:spacing w:val="67"/>
          <w:sz w:val="20"/>
        </w:rPr>
        <w:t xml:space="preserve"> </w:t>
      </w:r>
      <w:r>
        <w:rPr>
          <w:sz w:val="20"/>
        </w:rPr>
        <w:t>OIT</w:t>
      </w:r>
      <w:r>
        <w:rPr>
          <w:spacing w:val="67"/>
          <w:sz w:val="20"/>
        </w:rPr>
        <w:t xml:space="preserve"> </w:t>
      </w:r>
      <w:r>
        <w:rPr>
          <w:sz w:val="20"/>
        </w:rPr>
        <w:t>n.º</w:t>
      </w:r>
      <w:r>
        <w:rPr>
          <w:spacing w:val="67"/>
          <w:sz w:val="20"/>
        </w:rPr>
        <w:t xml:space="preserve"> </w:t>
      </w:r>
      <w:r>
        <w:rPr>
          <w:sz w:val="20"/>
        </w:rPr>
        <w:t>87,</w:t>
      </w:r>
      <w:r>
        <w:rPr>
          <w:spacing w:val="67"/>
          <w:sz w:val="20"/>
        </w:rPr>
        <w:t xml:space="preserve"> </w:t>
      </w:r>
      <w:r>
        <w:rPr>
          <w:sz w:val="20"/>
        </w:rPr>
        <w:t>sobre</w:t>
      </w:r>
      <w:r>
        <w:rPr>
          <w:spacing w:val="67"/>
          <w:sz w:val="20"/>
        </w:rPr>
        <w:t xml:space="preserve"> </w:t>
      </w:r>
      <w:r>
        <w:rPr>
          <w:sz w:val="20"/>
        </w:rPr>
        <w:t>la</w:t>
      </w:r>
      <w:r>
        <w:rPr>
          <w:spacing w:val="67"/>
          <w:sz w:val="20"/>
        </w:rPr>
        <w:t xml:space="preserve"> </w:t>
      </w:r>
      <w:r>
        <w:rPr>
          <w:sz w:val="20"/>
        </w:rPr>
        <w:t>libertad</w:t>
      </w:r>
      <w:r>
        <w:rPr>
          <w:spacing w:val="67"/>
          <w:sz w:val="20"/>
        </w:rPr>
        <w:t xml:space="preserve"> </w:t>
      </w:r>
      <w:r>
        <w:rPr>
          <w:sz w:val="20"/>
        </w:rPr>
        <w:t>sindical</w:t>
      </w:r>
      <w:r>
        <w:rPr>
          <w:spacing w:val="67"/>
          <w:sz w:val="20"/>
        </w:rPr>
        <w:t xml:space="preserve"> </w:t>
      </w:r>
      <w:r>
        <w:rPr>
          <w:sz w:val="20"/>
        </w:rPr>
        <w:t>y</w:t>
      </w:r>
      <w:r>
        <w:rPr>
          <w:spacing w:val="67"/>
          <w:sz w:val="20"/>
        </w:rPr>
        <w:t xml:space="preserve"> </w:t>
      </w:r>
      <w:r>
        <w:rPr>
          <w:sz w:val="20"/>
        </w:rPr>
        <w:t>la</w:t>
      </w:r>
      <w:r>
        <w:rPr>
          <w:spacing w:val="67"/>
          <w:sz w:val="20"/>
        </w:rPr>
        <w:t xml:space="preserve"> </w:t>
      </w:r>
      <w:r>
        <w:rPr>
          <w:sz w:val="20"/>
        </w:rPr>
        <w:t>protección</w:t>
      </w:r>
      <w:r>
        <w:rPr>
          <w:spacing w:val="67"/>
          <w:sz w:val="20"/>
        </w:rPr>
        <w:t xml:space="preserve"> </w:t>
      </w:r>
      <w:r>
        <w:rPr>
          <w:sz w:val="20"/>
        </w:rPr>
        <w:t>del</w:t>
      </w:r>
      <w:r>
        <w:rPr>
          <w:spacing w:val="67"/>
          <w:sz w:val="20"/>
        </w:rPr>
        <w:t xml:space="preserve"> </w:t>
      </w:r>
      <w:r>
        <w:rPr>
          <w:sz w:val="20"/>
        </w:rPr>
        <w:t>derecho</w:t>
      </w:r>
      <w:r>
        <w:rPr>
          <w:spacing w:val="67"/>
          <w:sz w:val="20"/>
        </w:rPr>
        <w:t xml:space="preserve"> </w:t>
      </w:r>
      <w:r>
        <w:rPr>
          <w:sz w:val="20"/>
        </w:rPr>
        <w:t xml:space="preserve">de </w:t>
      </w:r>
      <w:r>
        <w:rPr>
          <w:spacing w:val="-2"/>
          <w:sz w:val="20"/>
        </w:rPr>
        <w:t>sindicación,</w:t>
      </w:r>
    </w:p>
    <w:p w:rsidR="0092635B" w:rsidRDefault="00000000">
      <w:pPr>
        <w:pStyle w:val="Prrafodelista"/>
        <w:numPr>
          <w:ilvl w:val="0"/>
          <w:numId w:val="2"/>
        </w:numPr>
        <w:tabs>
          <w:tab w:val="left" w:pos="1612"/>
        </w:tabs>
        <w:ind w:left="1612" w:right="0" w:hanging="166"/>
        <w:jc w:val="left"/>
        <w:rPr>
          <w:sz w:val="20"/>
        </w:rPr>
      </w:pPr>
      <w:r>
        <w:rPr>
          <w:sz w:val="20"/>
        </w:rPr>
        <w:t>Convenio</w:t>
      </w:r>
      <w:r>
        <w:rPr>
          <w:spacing w:val="-6"/>
          <w:sz w:val="20"/>
        </w:rPr>
        <w:t xml:space="preserve"> </w:t>
      </w:r>
      <w:r>
        <w:rPr>
          <w:sz w:val="20"/>
        </w:rPr>
        <w:t>OIT</w:t>
      </w:r>
      <w:r>
        <w:rPr>
          <w:spacing w:val="-4"/>
          <w:sz w:val="20"/>
        </w:rPr>
        <w:t xml:space="preserve"> </w:t>
      </w:r>
      <w:r>
        <w:rPr>
          <w:sz w:val="20"/>
        </w:rPr>
        <w:t>n.º</w:t>
      </w:r>
      <w:r>
        <w:rPr>
          <w:spacing w:val="-4"/>
          <w:sz w:val="20"/>
        </w:rPr>
        <w:t xml:space="preserve"> </w:t>
      </w:r>
      <w:r>
        <w:rPr>
          <w:sz w:val="20"/>
        </w:rPr>
        <w:t>98,</w:t>
      </w:r>
      <w:r>
        <w:rPr>
          <w:spacing w:val="-3"/>
          <w:sz w:val="20"/>
        </w:rPr>
        <w:t xml:space="preserve"> </w:t>
      </w:r>
      <w:r>
        <w:rPr>
          <w:sz w:val="20"/>
        </w:rPr>
        <w:t>sobre</w:t>
      </w:r>
      <w:r>
        <w:rPr>
          <w:spacing w:val="-4"/>
          <w:sz w:val="20"/>
        </w:rPr>
        <w:t xml:space="preserve"> </w:t>
      </w:r>
      <w:r>
        <w:rPr>
          <w:sz w:val="20"/>
        </w:rPr>
        <w:t>el</w:t>
      </w:r>
      <w:r>
        <w:rPr>
          <w:spacing w:val="-3"/>
          <w:sz w:val="20"/>
        </w:rPr>
        <w:t xml:space="preserve"> </w:t>
      </w:r>
      <w:r>
        <w:rPr>
          <w:sz w:val="20"/>
        </w:rPr>
        <w:t>derecho</w:t>
      </w:r>
      <w:r>
        <w:rPr>
          <w:spacing w:val="-4"/>
          <w:sz w:val="20"/>
        </w:rPr>
        <w:t xml:space="preserve"> </w:t>
      </w:r>
      <w:r>
        <w:rPr>
          <w:sz w:val="20"/>
        </w:rPr>
        <w:t>de</w:t>
      </w:r>
      <w:r>
        <w:rPr>
          <w:spacing w:val="-3"/>
          <w:sz w:val="20"/>
        </w:rPr>
        <w:t xml:space="preserve"> </w:t>
      </w:r>
      <w:r>
        <w:rPr>
          <w:sz w:val="20"/>
        </w:rPr>
        <w:t>sindicación</w:t>
      </w:r>
      <w:r>
        <w:rPr>
          <w:spacing w:val="-4"/>
          <w:sz w:val="20"/>
        </w:rPr>
        <w:t xml:space="preserve"> </w:t>
      </w:r>
      <w:r>
        <w:rPr>
          <w:sz w:val="20"/>
        </w:rPr>
        <w:t>y</w:t>
      </w:r>
      <w:r>
        <w:rPr>
          <w:spacing w:val="-3"/>
          <w:sz w:val="20"/>
        </w:rPr>
        <w:t xml:space="preserve"> </w:t>
      </w:r>
      <w:r>
        <w:rPr>
          <w:sz w:val="20"/>
        </w:rPr>
        <w:t>de</w:t>
      </w:r>
      <w:r>
        <w:rPr>
          <w:spacing w:val="-4"/>
          <w:sz w:val="20"/>
        </w:rPr>
        <w:t xml:space="preserve"> </w:t>
      </w:r>
      <w:r>
        <w:rPr>
          <w:sz w:val="20"/>
        </w:rPr>
        <w:t>negociación</w:t>
      </w:r>
      <w:r>
        <w:rPr>
          <w:spacing w:val="-3"/>
          <w:sz w:val="20"/>
        </w:rPr>
        <w:t xml:space="preserve"> </w:t>
      </w:r>
      <w:r>
        <w:rPr>
          <w:spacing w:val="-2"/>
          <w:sz w:val="20"/>
        </w:rPr>
        <w:t>colectiva,</w:t>
      </w:r>
    </w:p>
    <w:p w:rsidR="0092635B" w:rsidRDefault="00000000">
      <w:pPr>
        <w:pStyle w:val="Prrafodelista"/>
        <w:numPr>
          <w:ilvl w:val="0"/>
          <w:numId w:val="2"/>
        </w:numPr>
        <w:tabs>
          <w:tab w:val="left" w:pos="1612"/>
        </w:tabs>
        <w:spacing w:before="10"/>
        <w:ind w:left="1612" w:right="0" w:hanging="166"/>
        <w:jc w:val="left"/>
        <w:rPr>
          <w:sz w:val="20"/>
        </w:rPr>
      </w:pPr>
      <w:r>
        <w:rPr>
          <w:sz w:val="20"/>
        </w:rPr>
        <w:t>Convenio</w:t>
      </w:r>
      <w:r>
        <w:rPr>
          <w:spacing w:val="-3"/>
          <w:sz w:val="20"/>
        </w:rPr>
        <w:t xml:space="preserve"> </w:t>
      </w:r>
      <w:r>
        <w:rPr>
          <w:sz w:val="20"/>
        </w:rPr>
        <w:t>OIT</w:t>
      </w:r>
      <w:r>
        <w:rPr>
          <w:spacing w:val="-3"/>
          <w:sz w:val="20"/>
        </w:rPr>
        <w:t xml:space="preserve"> </w:t>
      </w:r>
      <w:r>
        <w:rPr>
          <w:sz w:val="20"/>
        </w:rPr>
        <w:t>n.º</w:t>
      </w:r>
      <w:r>
        <w:rPr>
          <w:spacing w:val="-4"/>
          <w:sz w:val="20"/>
        </w:rPr>
        <w:t xml:space="preserve"> </w:t>
      </w:r>
      <w:r>
        <w:rPr>
          <w:sz w:val="20"/>
        </w:rPr>
        <w:t>29,</w:t>
      </w:r>
      <w:r>
        <w:rPr>
          <w:spacing w:val="-3"/>
          <w:sz w:val="20"/>
        </w:rPr>
        <w:t xml:space="preserve"> </w:t>
      </w:r>
      <w:r>
        <w:rPr>
          <w:sz w:val="20"/>
        </w:rPr>
        <w:t>sobre</w:t>
      </w:r>
      <w:r>
        <w:rPr>
          <w:spacing w:val="-3"/>
          <w:sz w:val="20"/>
        </w:rPr>
        <w:t xml:space="preserve"> </w:t>
      </w:r>
      <w:r>
        <w:rPr>
          <w:sz w:val="20"/>
        </w:rPr>
        <w:t>el</w:t>
      </w:r>
      <w:r>
        <w:rPr>
          <w:spacing w:val="-3"/>
          <w:sz w:val="20"/>
        </w:rPr>
        <w:t xml:space="preserve"> </w:t>
      </w:r>
      <w:r>
        <w:rPr>
          <w:sz w:val="20"/>
        </w:rPr>
        <w:t>trabajo</w:t>
      </w:r>
      <w:r>
        <w:rPr>
          <w:spacing w:val="-2"/>
          <w:sz w:val="20"/>
        </w:rPr>
        <w:t xml:space="preserve"> forzoso,</w:t>
      </w:r>
    </w:p>
    <w:p w:rsidR="0092635B" w:rsidRDefault="00000000">
      <w:pPr>
        <w:pStyle w:val="Prrafodelista"/>
        <w:numPr>
          <w:ilvl w:val="0"/>
          <w:numId w:val="2"/>
        </w:numPr>
        <w:tabs>
          <w:tab w:val="left" w:pos="1612"/>
        </w:tabs>
        <w:spacing w:before="10"/>
        <w:ind w:left="1612" w:right="0" w:hanging="166"/>
        <w:jc w:val="left"/>
        <w:rPr>
          <w:sz w:val="20"/>
        </w:rPr>
      </w:pPr>
      <w:r>
        <w:rPr>
          <w:sz w:val="20"/>
        </w:rPr>
        <w:t>Convenio</w:t>
      </w:r>
      <w:r>
        <w:rPr>
          <w:spacing w:val="-4"/>
          <w:sz w:val="20"/>
        </w:rPr>
        <w:t xml:space="preserve"> </w:t>
      </w:r>
      <w:r>
        <w:rPr>
          <w:sz w:val="20"/>
        </w:rPr>
        <w:t>OIT</w:t>
      </w:r>
      <w:r>
        <w:rPr>
          <w:spacing w:val="-3"/>
          <w:sz w:val="20"/>
        </w:rPr>
        <w:t xml:space="preserve"> </w:t>
      </w:r>
      <w:r>
        <w:rPr>
          <w:sz w:val="20"/>
        </w:rPr>
        <w:t>n.º</w:t>
      </w:r>
      <w:r>
        <w:rPr>
          <w:spacing w:val="-4"/>
          <w:sz w:val="20"/>
        </w:rPr>
        <w:t xml:space="preserve"> </w:t>
      </w:r>
      <w:r>
        <w:rPr>
          <w:sz w:val="20"/>
        </w:rPr>
        <w:t>105,</w:t>
      </w:r>
      <w:r>
        <w:rPr>
          <w:spacing w:val="-4"/>
          <w:sz w:val="20"/>
        </w:rPr>
        <w:t xml:space="preserve"> </w:t>
      </w:r>
      <w:r>
        <w:rPr>
          <w:sz w:val="20"/>
        </w:rPr>
        <w:t>sobre</w:t>
      </w:r>
      <w:r>
        <w:rPr>
          <w:spacing w:val="-3"/>
          <w:sz w:val="20"/>
        </w:rPr>
        <w:t xml:space="preserve"> </w:t>
      </w:r>
      <w:r>
        <w:rPr>
          <w:sz w:val="20"/>
        </w:rPr>
        <w:t>la</w:t>
      </w:r>
      <w:r>
        <w:rPr>
          <w:spacing w:val="-3"/>
          <w:sz w:val="20"/>
        </w:rPr>
        <w:t xml:space="preserve"> </w:t>
      </w:r>
      <w:r>
        <w:rPr>
          <w:sz w:val="20"/>
        </w:rPr>
        <w:t>abolición</w:t>
      </w:r>
      <w:r>
        <w:rPr>
          <w:spacing w:val="-4"/>
          <w:sz w:val="20"/>
        </w:rPr>
        <w:t xml:space="preserve"> </w:t>
      </w:r>
      <w:r>
        <w:rPr>
          <w:sz w:val="20"/>
        </w:rPr>
        <w:t>del</w:t>
      </w:r>
      <w:r>
        <w:rPr>
          <w:spacing w:val="-3"/>
          <w:sz w:val="20"/>
        </w:rPr>
        <w:t xml:space="preserve"> </w:t>
      </w:r>
      <w:r>
        <w:rPr>
          <w:sz w:val="20"/>
        </w:rPr>
        <w:t>trabajo</w:t>
      </w:r>
      <w:r>
        <w:rPr>
          <w:spacing w:val="-3"/>
          <w:sz w:val="20"/>
        </w:rPr>
        <w:t xml:space="preserve"> </w:t>
      </w:r>
      <w:r>
        <w:rPr>
          <w:spacing w:val="-2"/>
          <w:sz w:val="20"/>
        </w:rPr>
        <w:t>forzoso,</w:t>
      </w:r>
    </w:p>
    <w:p w:rsidR="0092635B" w:rsidRDefault="00000000">
      <w:pPr>
        <w:pStyle w:val="Prrafodelista"/>
        <w:numPr>
          <w:ilvl w:val="0"/>
          <w:numId w:val="2"/>
        </w:numPr>
        <w:tabs>
          <w:tab w:val="left" w:pos="1612"/>
        </w:tabs>
        <w:spacing w:before="10"/>
        <w:ind w:left="1612" w:right="0" w:hanging="166"/>
        <w:jc w:val="left"/>
        <w:rPr>
          <w:sz w:val="20"/>
        </w:rPr>
      </w:pPr>
      <w:r>
        <w:rPr>
          <w:sz w:val="20"/>
        </w:rPr>
        <w:t>Convenio</w:t>
      </w:r>
      <w:r>
        <w:rPr>
          <w:spacing w:val="-5"/>
          <w:sz w:val="20"/>
        </w:rPr>
        <w:t xml:space="preserve"> </w:t>
      </w:r>
      <w:r>
        <w:rPr>
          <w:sz w:val="20"/>
        </w:rPr>
        <w:t>OIT</w:t>
      </w:r>
      <w:r>
        <w:rPr>
          <w:spacing w:val="-2"/>
          <w:sz w:val="20"/>
        </w:rPr>
        <w:t xml:space="preserve"> </w:t>
      </w:r>
      <w:r>
        <w:rPr>
          <w:sz w:val="20"/>
        </w:rPr>
        <w:t>n.º</w:t>
      </w:r>
      <w:r>
        <w:rPr>
          <w:spacing w:val="-4"/>
          <w:sz w:val="20"/>
        </w:rPr>
        <w:t xml:space="preserve"> </w:t>
      </w:r>
      <w:r>
        <w:rPr>
          <w:sz w:val="20"/>
        </w:rPr>
        <w:t>138,</w:t>
      </w:r>
      <w:r>
        <w:rPr>
          <w:spacing w:val="-2"/>
          <w:sz w:val="20"/>
        </w:rPr>
        <w:t xml:space="preserve"> </w:t>
      </w:r>
      <w:r>
        <w:rPr>
          <w:sz w:val="20"/>
        </w:rPr>
        <w:t>sobre</w:t>
      </w:r>
      <w:r>
        <w:rPr>
          <w:spacing w:val="-3"/>
          <w:sz w:val="20"/>
        </w:rPr>
        <w:t xml:space="preserve"> </w:t>
      </w:r>
      <w:r>
        <w:rPr>
          <w:sz w:val="20"/>
        </w:rPr>
        <w:t>la</w:t>
      </w:r>
      <w:r>
        <w:rPr>
          <w:spacing w:val="-2"/>
          <w:sz w:val="20"/>
        </w:rPr>
        <w:t xml:space="preserve"> </w:t>
      </w:r>
      <w:r>
        <w:rPr>
          <w:sz w:val="20"/>
        </w:rPr>
        <w:t>edad</w:t>
      </w:r>
      <w:r>
        <w:rPr>
          <w:spacing w:val="-2"/>
          <w:sz w:val="20"/>
        </w:rPr>
        <w:t xml:space="preserve"> mínima,</w:t>
      </w:r>
    </w:p>
    <w:p w:rsidR="0092635B" w:rsidRDefault="00000000">
      <w:pPr>
        <w:pStyle w:val="Prrafodelista"/>
        <w:numPr>
          <w:ilvl w:val="0"/>
          <w:numId w:val="2"/>
        </w:numPr>
        <w:tabs>
          <w:tab w:val="left" w:pos="1612"/>
        </w:tabs>
        <w:spacing w:before="10"/>
        <w:ind w:left="1612" w:right="0" w:hanging="166"/>
        <w:jc w:val="left"/>
        <w:rPr>
          <w:sz w:val="20"/>
        </w:rPr>
      </w:pPr>
      <w:r>
        <w:rPr>
          <w:sz w:val="20"/>
        </w:rPr>
        <w:t>Convenio</w:t>
      </w:r>
      <w:r>
        <w:rPr>
          <w:spacing w:val="-10"/>
          <w:sz w:val="20"/>
        </w:rPr>
        <w:t xml:space="preserve"> </w:t>
      </w:r>
      <w:r>
        <w:rPr>
          <w:sz w:val="20"/>
        </w:rPr>
        <w:t>OIT</w:t>
      </w:r>
      <w:r>
        <w:rPr>
          <w:spacing w:val="-7"/>
          <w:sz w:val="20"/>
        </w:rPr>
        <w:t xml:space="preserve"> </w:t>
      </w:r>
      <w:r>
        <w:rPr>
          <w:sz w:val="20"/>
        </w:rPr>
        <w:t>n.º</w:t>
      </w:r>
      <w:r>
        <w:rPr>
          <w:spacing w:val="-7"/>
          <w:sz w:val="20"/>
        </w:rPr>
        <w:t xml:space="preserve"> </w:t>
      </w:r>
      <w:r>
        <w:rPr>
          <w:sz w:val="20"/>
        </w:rPr>
        <w:t>111,</w:t>
      </w:r>
      <w:r>
        <w:rPr>
          <w:spacing w:val="-7"/>
          <w:sz w:val="20"/>
        </w:rPr>
        <w:t xml:space="preserve"> </w:t>
      </w:r>
      <w:r>
        <w:rPr>
          <w:sz w:val="20"/>
        </w:rPr>
        <w:t>sobre</w:t>
      </w:r>
      <w:r>
        <w:rPr>
          <w:spacing w:val="-7"/>
          <w:sz w:val="20"/>
        </w:rPr>
        <w:t xml:space="preserve"> </w:t>
      </w:r>
      <w:r>
        <w:rPr>
          <w:sz w:val="20"/>
        </w:rPr>
        <w:t>la</w:t>
      </w:r>
      <w:r>
        <w:rPr>
          <w:spacing w:val="-7"/>
          <w:sz w:val="20"/>
        </w:rPr>
        <w:t xml:space="preserve"> </w:t>
      </w:r>
      <w:r>
        <w:rPr>
          <w:sz w:val="20"/>
        </w:rPr>
        <w:t>discriminación</w:t>
      </w:r>
      <w:r>
        <w:rPr>
          <w:spacing w:val="-7"/>
          <w:sz w:val="20"/>
        </w:rPr>
        <w:t xml:space="preserve"> </w:t>
      </w:r>
      <w:r>
        <w:rPr>
          <w:sz w:val="20"/>
        </w:rPr>
        <w:t>(empleo</w:t>
      </w:r>
      <w:r>
        <w:rPr>
          <w:spacing w:val="-7"/>
          <w:sz w:val="20"/>
        </w:rPr>
        <w:t xml:space="preserve"> </w:t>
      </w:r>
      <w:r>
        <w:rPr>
          <w:sz w:val="20"/>
        </w:rPr>
        <w:t>y</w:t>
      </w:r>
      <w:r>
        <w:rPr>
          <w:spacing w:val="-7"/>
          <w:sz w:val="20"/>
        </w:rPr>
        <w:t xml:space="preserve"> </w:t>
      </w:r>
      <w:r>
        <w:rPr>
          <w:spacing w:val="-2"/>
          <w:sz w:val="20"/>
        </w:rPr>
        <w:t>ocupación),</w:t>
      </w:r>
    </w:p>
    <w:p w:rsidR="0092635B" w:rsidRDefault="00000000">
      <w:pPr>
        <w:pStyle w:val="Prrafodelista"/>
        <w:numPr>
          <w:ilvl w:val="0"/>
          <w:numId w:val="2"/>
        </w:numPr>
        <w:tabs>
          <w:tab w:val="left" w:pos="1612"/>
        </w:tabs>
        <w:spacing w:before="10"/>
        <w:ind w:left="1612" w:right="0" w:hanging="166"/>
        <w:jc w:val="left"/>
        <w:rPr>
          <w:sz w:val="20"/>
        </w:rPr>
      </w:pPr>
      <w:r>
        <w:rPr>
          <w:sz w:val="20"/>
        </w:rPr>
        <w:t>Convenio</w:t>
      </w:r>
      <w:r>
        <w:rPr>
          <w:spacing w:val="-3"/>
          <w:sz w:val="20"/>
        </w:rPr>
        <w:t xml:space="preserve"> </w:t>
      </w:r>
      <w:r>
        <w:rPr>
          <w:sz w:val="20"/>
        </w:rPr>
        <w:t>OIT</w:t>
      </w:r>
      <w:r>
        <w:rPr>
          <w:spacing w:val="-4"/>
          <w:sz w:val="20"/>
        </w:rPr>
        <w:t xml:space="preserve"> </w:t>
      </w:r>
      <w:r>
        <w:rPr>
          <w:sz w:val="20"/>
        </w:rPr>
        <w:t>n.º</w:t>
      </w:r>
      <w:r>
        <w:rPr>
          <w:spacing w:val="-3"/>
          <w:sz w:val="20"/>
        </w:rPr>
        <w:t xml:space="preserve"> </w:t>
      </w:r>
      <w:r>
        <w:rPr>
          <w:sz w:val="20"/>
        </w:rPr>
        <w:t>100,</w:t>
      </w:r>
      <w:r>
        <w:rPr>
          <w:spacing w:val="-3"/>
          <w:sz w:val="20"/>
        </w:rPr>
        <w:t xml:space="preserve"> </w:t>
      </w:r>
      <w:r>
        <w:rPr>
          <w:sz w:val="20"/>
        </w:rPr>
        <w:t>sobre</w:t>
      </w:r>
      <w:r>
        <w:rPr>
          <w:spacing w:val="-3"/>
          <w:sz w:val="20"/>
        </w:rPr>
        <w:t xml:space="preserve"> </w:t>
      </w:r>
      <w:r>
        <w:rPr>
          <w:sz w:val="20"/>
        </w:rPr>
        <w:t>igualdad</w:t>
      </w:r>
      <w:r>
        <w:rPr>
          <w:spacing w:val="-3"/>
          <w:sz w:val="20"/>
        </w:rPr>
        <w:t xml:space="preserve"> </w:t>
      </w:r>
      <w:r>
        <w:rPr>
          <w:sz w:val="20"/>
        </w:rPr>
        <w:t>de</w:t>
      </w:r>
      <w:r>
        <w:rPr>
          <w:spacing w:val="-3"/>
          <w:sz w:val="20"/>
        </w:rPr>
        <w:t xml:space="preserve"> </w:t>
      </w:r>
      <w:r>
        <w:rPr>
          <w:spacing w:val="-2"/>
          <w:sz w:val="20"/>
        </w:rPr>
        <w:t>remuneración,</w:t>
      </w:r>
    </w:p>
    <w:p w:rsidR="0092635B" w:rsidRDefault="00000000">
      <w:pPr>
        <w:pStyle w:val="Prrafodelista"/>
        <w:numPr>
          <w:ilvl w:val="0"/>
          <w:numId w:val="2"/>
        </w:numPr>
        <w:tabs>
          <w:tab w:val="left" w:pos="1612"/>
        </w:tabs>
        <w:spacing w:before="10"/>
        <w:ind w:left="1612" w:right="0" w:hanging="166"/>
        <w:jc w:val="left"/>
        <w:rPr>
          <w:sz w:val="20"/>
        </w:rPr>
      </w:pPr>
      <w:r>
        <w:rPr>
          <w:sz w:val="20"/>
        </w:rPr>
        <w:t>Convenio</w:t>
      </w:r>
      <w:r>
        <w:rPr>
          <w:spacing w:val="-2"/>
          <w:sz w:val="20"/>
        </w:rPr>
        <w:t xml:space="preserve"> </w:t>
      </w:r>
      <w:r>
        <w:rPr>
          <w:sz w:val="20"/>
        </w:rPr>
        <w:t>OIT</w:t>
      </w:r>
      <w:r>
        <w:rPr>
          <w:spacing w:val="-2"/>
          <w:sz w:val="20"/>
        </w:rPr>
        <w:t xml:space="preserve"> </w:t>
      </w:r>
      <w:r>
        <w:rPr>
          <w:sz w:val="20"/>
        </w:rPr>
        <w:t>n.º</w:t>
      </w:r>
      <w:r>
        <w:rPr>
          <w:spacing w:val="-3"/>
          <w:sz w:val="20"/>
        </w:rPr>
        <w:t xml:space="preserve"> </w:t>
      </w:r>
      <w:r>
        <w:rPr>
          <w:sz w:val="20"/>
        </w:rPr>
        <w:t>182,</w:t>
      </w:r>
      <w:r>
        <w:rPr>
          <w:spacing w:val="-2"/>
          <w:sz w:val="20"/>
        </w:rPr>
        <w:t xml:space="preserve"> </w:t>
      </w:r>
      <w:r>
        <w:rPr>
          <w:sz w:val="20"/>
        </w:rPr>
        <w:t>sobre</w:t>
      </w:r>
      <w:r>
        <w:rPr>
          <w:spacing w:val="-2"/>
          <w:sz w:val="20"/>
        </w:rPr>
        <w:t xml:space="preserve"> </w:t>
      </w:r>
      <w:r>
        <w:rPr>
          <w:sz w:val="20"/>
        </w:rPr>
        <w:t>las</w:t>
      </w:r>
      <w:r>
        <w:rPr>
          <w:spacing w:val="-2"/>
          <w:sz w:val="20"/>
        </w:rPr>
        <w:t xml:space="preserve"> </w:t>
      </w:r>
      <w:r>
        <w:rPr>
          <w:sz w:val="20"/>
        </w:rPr>
        <w:t>peores</w:t>
      </w:r>
      <w:r>
        <w:rPr>
          <w:spacing w:val="-2"/>
          <w:sz w:val="20"/>
        </w:rPr>
        <w:t xml:space="preserve"> </w:t>
      </w:r>
      <w:r>
        <w:rPr>
          <w:sz w:val="20"/>
        </w:rPr>
        <w:t>formas</w:t>
      </w:r>
      <w:r>
        <w:rPr>
          <w:spacing w:val="-2"/>
          <w:sz w:val="20"/>
        </w:rPr>
        <w:t xml:space="preserve"> </w:t>
      </w:r>
      <w:r>
        <w:rPr>
          <w:sz w:val="20"/>
        </w:rPr>
        <w:t>de</w:t>
      </w:r>
      <w:r>
        <w:rPr>
          <w:spacing w:val="-2"/>
          <w:sz w:val="20"/>
        </w:rPr>
        <w:t xml:space="preserve"> </w:t>
      </w:r>
      <w:r>
        <w:rPr>
          <w:sz w:val="20"/>
        </w:rPr>
        <w:t>trabajo</w:t>
      </w:r>
      <w:r>
        <w:rPr>
          <w:spacing w:val="-2"/>
          <w:sz w:val="20"/>
        </w:rPr>
        <w:t xml:space="preserve"> infantil,</w:t>
      </w:r>
    </w:p>
    <w:p w:rsidR="0092635B" w:rsidRDefault="0092635B">
      <w:pPr>
        <w:pStyle w:val="Prrafodelista"/>
        <w:jc w:val="left"/>
        <w:rPr>
          <w:sz w:val="20"/>
        </w:rPr>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26"/>
        <w:ind w:left="0" w:firstLine="0"/>
        <w:jc w:val="left"/>
      </w:pPr>
    </w:p>
    <w:p w:rsidR="0092635B" w:rsidRDefault="00000000">
      <w:pPr>
        <w:pStyle w:val="Prrafodelista"/>
        <w:numPr>
          <w:ilvl w:val="0"/>
          <w:numId w:val="2"/>
        </w:numPr>
        <w:tabs>
          <w:tab w:val="left" w:pos="1621"/>
        </w:tabs>
        <w:spacing w:before="1" w:line="249" w:lineRule="auto"/>
        <w:ind w:right="1105" w:firstLine="340"/>
        <w:rPr>
          <w:sz w:val="20"/>
        </w:rPr>
      </w:pPr>
      <w:r>
        <w:rPr>
          <w:sz w:val="20"/>
        </w:rPr>
        <w:t>Convenio de Viena para la protección de la capa de ozono y su Protocolo de Montreal relativo a las sustancias que agotan la capa de ozono,</w:t>
      </w:r>
    </w:p>
    <w:p w:rsidR="0092635B" w:rsidRDefault="00000000">
      <w:pPr>
        <w:pStyle w:val="Prrafodelista"/>
        <w:numPr>
          <w:ilvl w:val="0"/>
          <w:numId w:val="2"/>
        </w:numPr>
        <w:tabs>
          <w:tab w:val="left" w:pos="1635"/>
        </w:tabs>
        <w:spacing w:before="1" w:line="249" w:lineRule="auto"/>
        <w:ind w:right="1106" w:firstLine="340"/>
        <w:rPr>
          <w:sz w:val="20"/>
        </w:rPr>
      </w:pPr>
      <w:r>
        <w:rPr>
          <w:sz w:val="20"/>
        </w:rPr>
        <w:t>Convenio para el control de la eliminación y el transporte transfronterizo de residuos peligrosos (Convenio de Basilea),</w:t>
      </w:r>
    </w:p>
    <w:p w:rsidR="0092635B" w:rsidRDefault="00000000">
      <w:pPr>
        <w:pStyle w:val="Prrafodelista"/>
        <w:numPr>
          <w:ilvl w:val="0"/>
          <w:numId w:val="2"/>
        </w:numPr>
        <w:tabs>
          <w:tab w:val="left" w:pos="1612"/>
        </w:tabs>
        <w:ind w:left="1612" w:right="0" w:hanging="166"/>
        <w:rPr>
          <w:sz w:val="20"/>
        </w:rPr>
      </w:pPr>
      <w:r>
        <w:rPr>
          <w:sz w:val="20"/>
        </w:rPr>
        <w:t>Convenio</w:t>
      </w:r>
      <w:r>
        <w:rPr>
          <w:spacing w:val="-3"/>
          <w:sz w:val="20"/>
        </w:rPr>
        <w:t xml:space="preserve"> </w:t>
      </w:r>
      <w:r>
        <w:rPr>
          <w:sz w:val="20"/>
        </w:rPr>
        <w:t>de</w:t>
      </w:r>
      <w:r>
        <w:rPr>
          <w:spacing w:val="-3"/>
          <w:sz w:val="20"/>
        </w:rPr>
        <w:t xml:space="preserve"> </w:t>
      </w:r>
      <w:r>
        <w:rPr>
          <w:sz w:val="20"/>
        </w:rPr>
        <w:t>Estocolmo</w:t>
      </w:r>
      <w:r>
        <w:rPr>
          <w:spacing w:val="-3"/>
          <w:sz w:val="20"/>
        </w:rPr>
        <w:t xml:space="preserve"> </w:t>
      </w:r>
      <w:r>
        <w:rPr>
          <w:sz w:val="20"/>
        </w:rPr>
        <w:t>sobre</w:t>
      </w:r>
      <w:r>
        <w:rPr>
          <w:spacing w:val="-3"/>
          <w:sz w:val="20"/>
        </w:rPr>
        <w:t xml:space="preserve"> </w:t>
      </w:r>
      <w:r>
        <w:rPr>
          <w:sz w:val="20"/>
        </w:rPr>
        <w:t>contaminantes</w:t>
      </w:r>
      <w:r>
        <w:rPr>
          <w:spacing w:val="-3"/>
          <w:sz w:val="20"/>
        </w:rPr>
        <w:t xml:space="preserve"> </w:t>
      </w:r>
      <w:r>
        <w:rPr>
          <w:sz w:val="20"/>
        </w:rPr>
        <w:t>orgánicos</w:t>
      </w:r>
      <w:r>
        <w:rPr>
          <w:spacing w:val="-3"/>
          <w:sz w:val="20"/>
        </w:rPr>
        <w:t xml:space="preserve"> </w:t>
      </w:r>
      <w:r>
        <w:rPr>
          <w:sz w:val="20"/>
        </w:rPr>
        <w:t>persistentes</w:t>
      </w:r>
      <w:r>
        <w:rPr>
          <w:spacing w:val="-2"/>
          <w:sz w:val="20"/>
        </w:rPr>
        <w:t xml:space="preserve"> (COP),</w:t>
      </w:r>
    </w:p>
    <w:p w:rsidR="0092635B" w:rsidRDefault="00000000">
      <w:pPr>
        <w:pStyle w:val="Prrafodelista"/>
        <w:numPr>
          <w:ilvl w:val="0"/>
          <w:numId w:val="2"/>
        </w:numPr>
        <w:tabs>
          <w:tab w:val="left" w:pos="1675"/>
        </w:tabs>
        <w:spacing w:before="10" w:line="249" w:lineRule="auto"/>
        <w:ind w:right="1105" w:firstLine="340"/>
        <w:rPr>
          <w:sz w:val="20"/>
        </w:rPr>
      </w:pPr>
      <w:r>
        <w:rPr>
          <w:sz w:val="20"/>
        </w:rPr>
        <w:t>Convenio de Rotterdam sobre el procedimiento de consentimiento fundamentado previo aplicable a ciertos plaguicidas y productos químicos peligrosos objeto de comercio internacional (PNUMA/FAO) (Convenio PIC), Rotterdam, 10 de septiembre de 1998, y sus tres Protocolos regionales.</w:t>
      </w:r>
    </w:p>
    <w:p w:rsidR="0092635B" w:rsidRDefault="0092635B">
      <w:pPr>
        <w:pStyle w:val="Textoindependiente"/>
        <w:spacing w:before="227"/>
        <w:ind w:left="0" w:firstLine="0"/>
        <w:jc w:val="left"/>
      </w:pPr>
    </w:p>
    <w:p w:rsidR="0092635B" w:rsidRDefault="00000000">
      <w:pPr>
        <w:pStyle w:val="Ttulo1"/>
      </w:pPr>
      <w:bookmarkStart w:id="685" w:name="ANEXO_VI._Códigos_CPV_de_los_servicios_y"/>
      <w:bookmarkStart w:id="686" w:name="_bookmark130"/>
      <w:bookmarkEnd w:id="685"/>
      <w:bookmarkEnd w:id="686"/>
      <w:r>
        <w:t xml:space="preserve">ANEXO </w:t>
      </w:r>
      <w:r>
        <w:rPr>
          <w:spacing w:val="-5"/>
        </w:rPr>
        <w:t>VI</w:t>
      </w:r>
    </w:p>
    <w:p w:rsidR="0092635B" w:rsidRDefault="00000000">
      <w:pPr>
        <w:pStyle w:val="Ttulo2"/>
        <w:spacing w:line="249" w:lineRule="auto"/>
        <w:ind w:left="1446" w:right="1445"/>
      </w:pPr>
      <w:r>
        <w:t>Códigos CPV de los servicios y suministros a los que se refiere la disposición adicional cuarta relativa a los contratos reservados</w:t>
      </w:r>
    </w:p>
    <w:p w:rsidR="0092635B" w:rsidRDefault="00000000">
      <w:pPr>
        <w:pStyle w:val="Textoindependiente"/>
        <w:spacing w:before="122"/>
        <w:ind w:left="1446" w:firstLine="0"/>
      </w:pPr>
      <w:r>
        <w:t>Servicios</w:t>
      </w:r>
      <w:r>
        <w:rPr>
          <w:spacing w:val="-1"/>
        </w:rPr>
        <w:t xml:space="preserve"> </w:t>
      </w:r>
      <w:r>
        <w:t xml:space="preserve">de </w:t>
      </w:r>
      <w:r>
        <w:rPr>
          <w:spacing w:val="-2"/>
        </w:rPr>
        <w:t>limpieza:</w:t>
      </w:r>
    </w:p>
    <w:p w:rsidR="0092635B" w:rsidRDefault="00000000">
      <w:pPr>
        <w:pStyle w:val="Textoindependiente"/>
        <w:tabs>
          <w:tab w:val="left" w:pos="2818"/>
          <w:tab w:val="left" w:pos="4175"/>
          <w:tab w:val="left" w:pos="5532"/>
          <w:tab w:val="left" w:pos="6904"/>
          <w:tab w:val="left" w:pos="8261"/>
        </w:tabs>
        <w:spacing w:before="130"/>
        <w:ind w:left="1446" w:firstLine="0"/>
        <w:jc w:val="left"/>
      </w:pPr>
      <w:r>
        <w:t>90610000-</w:t>
      </w:r>
      <w:r>
        <w:rPr>
          <w:spacing w:val="-5"/>
        </w:rPr>
        <w:t>6,</w:t>
      </w:r>
      <w:r>
        <w:tab/>
      </w:r>
      <w:r>
        <w:rPr>
          <w:spacing w:val="-2"/>
        </w:rPr>
        <w:t>90611000-</w:t>
      </w:r>
      <w:r>
        <w:rPr>
          <w:spacing w:val="-5"/>
        </w:rPr>
        <w:t>3,</w:t>
      </w:r>
      <w:r>
        <w:tab/>
      </w:r>
      <w:r>
        <w:rPr>
          <w:spacing w:val="-2"/>
        </w:rPr>
        <w:t>77211500-</w:t>
      </w:r>
      <w:r>
        <w:rPr>
          <w:spacing w:val="-5"/>
        </w:rPr>
        <w:t>7,</w:t>
      </w:r>
      <w:r>
        <w:tab/>
        <w:t>77310000-</w:t>
      </w:r>
      <w:r>
        <w:rPr>
          <w:spacing w:val="-5"/>
        </w:rPr>
        <w:t>6,</w:t>
      </w:r>
      <w:r>
        <w:tab/>
      </w:r>
      <w:r>
        <w:rPr>
          <w:spacing w:val="-2"/>
        </w:rPr>
        <w:t>77311000-</w:t>
      </w:r>
      <w:r>
        <w:rPr>
          <w:spacing w:val="-5"/>
        </w:rPr>
        <w:t>3,</w:t>
      </w:r>
      <w:r>
        <w:tab/>
        <w:t>77313000-</w:t>
      </w:r>
      <w:r>
        <w:rPr>
          <w:spacing w:val="-5"/>
        </w:rPr>
        <w:t>7,</w:t>
      </w:r>
    </w:p>
    <w:p w:rsidR="0092635B" w:rsidRDefault="00000000">
      <w:pPr>
        <w:pStyle w:val="Textoindependiente"/>
        <w:spacing w:before="10"/>
        <w:ind w:firstLine="0"/>
        <w:jc w:val="left"/>
      </w:pPr>
      <w:r>
        <w:t>77314000-4,</w:t>
      </w:r>
      <w:r>
        <w:rPr>
          <w:spacing w:val="-6"/>
        </w:rPr>
        <w:t xml:space="preserve"> </w:t>
      </w:r>
      <w:r>
        <w:t>90917000-8,</w:t>
      </w:r>
      <w:r>
        <w:rPr>
          <w:spacing w:val="-6"/>
        </w:rPr>
        <w:t xml:space="preserve"> </w:t>
      </w:r>
      <w:r>
        <w:t>77211400-6,</w:t>
      </w:r>
      <w:r>
        <w:rPr>
          <w:spacing w:val="-6"/>
        </w:rPr>
        <w:t xml:space="preserve"> </w:t>
      </w:r>
      <w:r>
        <w:t>90910000-9,</w:t>
      </w:r>
      <w:r>
        <w:rPr>
          <w:spacing w:val="-6"/>
        </w:rPr>
        <w:t xml:space="preserve"> </w:t>
      </w:r>
      <w:r>
        <w:t>90911300-9,</w:t>
      </w:r>
      <w:r>
        <w:rPr>
          <w:spacing w:val="-6"/>
        </w:rPr>
        <w:t xml:space="preserve"> </w:t>
      </w:r>
      <w:r>
        <w:t>90919200-4,</w:t>
      </w:r>
      <w:r>
        <w:rPr>
          <w:spacing w:val="-6"/>
        </w:rPr>
        <w:t xml:space="preserve"> </w:t>
      </w:r>
      <w:r>
        <w:t>90690000-</w:t>
      </w:r>
      <w:r>
        <w:rPr>
          <w:spacing w:val="-5"/>
        </w:rPr>
        <w:t>0.</w:t>
      </w:r>
    </w:p>
    <w:p w:rsidR="0092635B" w:rsidRDefault="00000000">
      <w:pPr>
        <w:pStyle w:val="Textoindependiente"/>
        <w:spacing w:before="130"/>
        <w:ind w:left="1446" w:firstLine="0"/>
        <w:jc w:val="left"/>
      </w:pPr>
      <w:r>
        <w:t>Servicio</w:t>
      </w:r>
      <w:r>
        <w:rPr>
          <w:spacing w:val="-4"/>
        </w:rPr>
        <w:t xml:space="preserve"> </w:t>
      </w:r>
      <w:r>
        <w:t>de</w:t>
      </w:r>
      <w:r>
        <w:rPr>
          <w:spacing w:val="-4"/>
        </w:rPr>
        <w:t xml:space="preserve"> </w:t>
      </w:r>
      <w:r>
        <w:t>recogida</w:t>
      </w:r>
      <w:r>
        <w:rPr>
          <w:spacing w:val="-4"/>
        </w:rPr>
        <w:t xml:space="preserve"> </w:t>
      </w:r>
      <w:r>
        <w:t>y</w:t>
      </w:r>
      <w:r>
        <w:rPr>
          <w:spacing w:val="-3"/>
        </w:rPr>
        <w:t xml:space="preserve"> </w:t>
      </w:r>
      <w:r>
        <w:rPr>
          <w:spacing w:val="-2"/>
        </w:rPr>
        <w:t>reciclaje:</w:t>
      </w:r>
    </w:p>
    <w:p w:rsidR="0092635B" w:rsidRDefault="00000000">
      <w:pPr>
        <w:pStyle w:val="Textoindependiente"/>
        <w:spacing w:before="130"/>
        <w:ind w:left="1446" w:firstLine="0"/>
        <w:jc w:val="left"/>
      </w:pPr>
      <w:r>
        <w:rPr>
          <w:spacing w:val="-2"/>
        </w:rPr>
        <w:t>90511300-5,</w:t>
      </w:r>
      <w:r>
        <w:rPr>
          <w:spacing w:val="13"/>
        </w:rPr>
        <w:t xml:space="preserve"> </w:t>
      </w:r>
      <w:r>
        <w:rPr>
          <w:spacing w:val="-2"/>
        </w:rPr>
        <w:t>90511400-6,</w:t>
      </w:r>
      <w:r>
        <w:rPr>
          <w:spacing w:val="13"/>
        </w:rPr>
        <w:t xml:space="preserve"> </w:t>
      </w:r>
      <w:r>
        <w:rPr>
          <w:spacing w:val="-2"/>
        </w:rPr>
        <w:t>90531000-</w:t>
      </w:r>
      <w:r>
        <w:rPr>
          <w:spacing w:val="-5"/>
        </w:rPr>
        <w:t>8.</w:t>
      </w:r>
    </w:p>
    <w:p w:rsidR="0092635B" w:rsidRDefault="00000000">
      <w:pPr>
        <w:pStyle w:val="Textoindependiente"/>
        <w:spacing w:before="130"/>
        <w:ind w:left="1446" w:firstLine="0"/>
        <w:jc w:val="left"/>
      </w:pPr>
      <w:r>
        <w:t xml:space="preserve">Servicios </w:t>
      </w:r>
      <w:r>
        <w:rPr>
          <w:spacing w:val="-2"/>
        </w:rPr>
        <w:t>forestales:</w:t>
      </w:r>
    </w:p>
    <w:p w:rsidR="0092635B" w:rsidRDefault="00000000">
      <w:pPr>
        <w:pStyle w:val="Textoindependiente"/>
        <w:spacing w:before="130"/>
        <w:ind w:left="1446" w:firstLine="0"/>
        <w:jc w:val="left"/>
      </w:pPr>
      <w:r>
        <w:t>77200000-2, 77231000-8, 77231800-6, 77312000-0, 77312100-1, 79930000-</w:t>
      </w:r>
      <w:r>
        <w:rPr>
          <w:spacing w:val="-5"/>
        </w:rPr>
        <w:t>2.</w:t>
      </w:r>
    </w:p>
    <w:p w:rsidR="0092635B" w:rsidRDefault="00000000">
      <w:pPr>
        <w:pStyle w:val="Textoindependiente"/>
        <w:spacing w:before="130"/>
        <w:ind w:left="1446" w:firstLine="0"/>
        <w:jc w:val="left"/>
      </w:pPr>
      <w:r>
        <w:t>Servicios</w:t>
      </w:r>
      <w:r>
        <w:rPr>
          <w:spacing w:val="-1"/>
        </w:rPr>
        <w:t xml:space="preserve"> </w:t>
      </w:r>
      <w:r>
        <w:t xml:space="preserve">de </w:t>
      </w:r>
      <w:r>
        <w:rPr>
          <w:spacing w:val="-2"/>
        </w:rPr>
        <w:t>lavandería:</w:t>
      </w:r>
    </w:p>
    <w:p w:rsidR="0092635B" w:rsidRDefault="00000000">
      <w:pPr>
        <w:pStyle w:val="Textoindependiente"/>
        <w:spacing w:before="130"/>
        <w:ind w:left="1446" w:firstLine="0"/>
        <w:jc w:val="left"/>
      </w:pPr>
      <w:r>
        <w:rPr>
          <w:spacing w:val="-2"/>
        </w:rPr>
        <w:t>98311100-7,</w:t>
      </w:r>
      <w:r>
        <w:rPr>
          <w:spacing w:val="9"/>
        </w:rPr>
        <w:t xml:space="preserve"> </w:t>
      </w:r>
      <w:r>
        <w:rPr>
          <w:spacing w:val="-2"/>
        </w:rPr>
        <w:t>98311200-8,</w:t>
      </w:r>
      <w:r>
        <w:rPr>
          <w:spacing w:val="12"/>
        </w:rPr>
        <w:t xml:space="preserve"> </w:t>
      </w:r>
      <w:r>
        <w:rPr>
          <w:spacing w:val="-2"/>
        </w:rPr>
        <w:t>98312100-4,</w:t>
      </w:r>
      <w:r>
        <w:rPr>
          <w:spacing w:val="11"/>
        </w:rPr>
        <w:t xml:space="preserve"> </w:t>
      </w:r>
      <w:r>
        <w:rPr>
          <w:spacing w:val="-2"/>
        </w:rPr>
        <w:t>98314000-7,</w:t>
      </w:r>
      <w:r>
        <w:rPr>
          <w:spacing w:val="12"/>
        </w:rPr>
        <w:t xml:space="preserve"> </w:t>
      </w:r>
      <w:r>
        <w:rPr>
          <w:spacing w:val="-2"/>
        </w:rPr>
        <w:t>98315000-4,</w:t>
      </w:r>
      <w:r>
        <w:rPr>
          <w:spacing w:val="12"/>
        </w:rPr>
        <w:t xml:space="preserve"> </w:t>
      </w:r>
      <w:r>
        <w:rPr>
          <w:spacing w:val="-2"/>
        </w:rPr>
        <w:t>98311000-</w:t>
      </w:r>
      <w:r>
        <w:rPr>
          <w:spacing w:val="-5"/>
        </w:rPr>
        <w:t>6.</w:t>
      </w:r>
    </w:p>
    <w:p w:rsidR="0092635B" w:rsidRDefault="00000000">
      <w:pPr>
        <w:pStyle w:val="Textoindependiente"/>
        <w:spacing w:before="130"/>
        <w:ind w:left="1446" w:firstLine="0"/>
        <w:jc w:val="left"/>
      </w:pPr>
      <w:r>
        <w:t>Servicio</w:t>
      </w:r>
      <w:r>
        <w:rPr>
          <w:spacing w:val="-5"/>
        </w:rPr>
        <w:t xml:space="preserve"> </w:t>
      </w:r>
      <w:r>
        <w:t>de</w:t>
      </w:r>
      <w:r>
        <w:rPr>
          <w:spacing w:val="-4"/>
        </w:rPr>
        <w:t xml:space="preserve"> </w:t>
      </w:r>
      <w:r>
        <w:t>hostelería</w:t>
      </w:r>
      <w:r>
        <w:rPr>
          <w:spacing w:val="-4"/>
        </w:rPr>
        <w:t xml:space="preserve"> </w:t>
      </w:r>
      <w:r>
        <w:t>y</w:t>
      </w:r>
      <w:r>
        <w:rPr>
          <w:spacing w:val="-4"/>
        </w:rPr>
        <w:t xml:space="preserve"> </w:t>
      </w:r>
      <w:r>
        <w:rPr>
          <w:spacing w:val="-2"/>
        </w:rPr>
        <w:t>catering:</w:t>
      </w:r>
    </w:p>
    <w:p w:rsidR="0092635B" w:rsidRDefault="00000000">
      <w:pPr>
        <w:pStyle w:val="Textoindependiente"/>
        <w:tabs>
          <w:tab w:val="left" w:pos="2809"/>
          <w:tab w:val="left" w:pos="4172"/>
          <w:tab w:val="left" w:pos="5535"/>
          <w:tab w:val="left" w:pos="6899"/>
          <w:tab w:val="left" w:pos="8262"/>
        </w:tabs>
        <w:spacing w:before="130"/>
        <w:ind w:left="1446" w:firstLine="0"/>
        <w:jc w:val="left"/>
      </w:pPr>
      <w:r>
        <w:t>79952000-</w:t>
      </w:r>
      <w:r>
        <w:rPr>
          <w:spacing w:val="-5"/>
        </w:rPr>
        <w:t>2,</w:t>
      </w:r>
      <w:r>
        <w:tab/>
        <w:t>55130000-</w:t>
      </w:r>
      <w:r>
        <w:rPr>
          <w:spacing w:val="-5"/>
        </w:rPr>
        <w:t>0,</w:t>
      </w:r>
      <w:r>
        <w:tab/>
        <w:t>79952100-</w:t>
      </w:r>
      <w:r>
        <w:rPr>
          <w:spacing w:val="-5"/>
        </w:rPr>
        <w:t>3,</w:t>
      </w:r>
      <w:r>
        <w:tab/>
        <w:t>55120000-</w:t>
      </w:r>
      <w:r>
        <w:rPr>
          <w:spacing w:val="-5"/>
        </w:rPr>
        <w:t>7,</w:t>
      </w:r>
      <w:r>
        <w:tab/>
        <w:t>79950000-</w:t>
      </w:r>
      <w:r>
        <w:rPr>
          <w:spacing w:val="-5"/>
        </w:rPr>
        <w:t>8,</w:t>
      </w:r>
      <w:r>
        <w:tab/>
        <w:t>55512000-</w:t>
      </w:r>
      <w:r>
        <w:rPr>
          <w:spacing w:val="-5"/>
        </w:rPr>
        <w:t>2,</w:t>
      </w:r>
    </w:p>
    <w:p w:rsidR="0092635B" w:rsidRDefault="00000000">
      <w:pPr>
        <w:pStyle w:val="Textoindependiente"/>
        <w:spacing w:before="10"/>
        <w:ind w:firstLine="0"/>
        <w:jc w:val="left"/>
      </w:pPr>
      <w:r>
        <w:t>55330000-2, 55400000-4, 55410000-</w:t>
      </w:r>
      <w:r>
        <w:rPr>
          <w:spacing w:val="-5"/>
        </w:rPr>
        <w:t>7.</w:t>
      </w:r>
    </w:p>
    <w:p w:rsidR="0092635B" w:rsidRDefault="00000000">
      <w:pPr>
        <w:pStyle w:val="Textoindependiente"/>
        <w:spacing w:before="130"/>
        <w:ind w:left="1446" w:firstLine="0"/>
        <w:jc w:val="left"/>
      </w:pPr>
      <w:r>
        <w:t>Servicios</w:t>
      </w:r>
      <w:r>
        <w:rPr>
          <w:spacing w:val="-1"/>
        </w:rPr>
        <w:t xml:space="preserve"> </w:t>
      </w:r>
      <w:r>
        <w:t xml:space="preserve">de </w:t>
      </w:r>
      <w:r>
        <w:rPr>
          <w:spacing w:val="-2"/>
        </w:rPr>
        <w:t>transporte:</w:t>
      </w:r>
    </w:p>
    <w:p w:rsidR="0092635B" w:rsidRDefault="00000000">
      <w:pPr>
        <w:pStyle w:val="Textoindependiente"/>
        <w:spacing w:before="130"/>
        <w:ind w:left="1446" w:firstLine="0"/>
        <w:jc w:val="left"/>
      </w:pPr>
      <w:r>
        <w:rPr>
          <w:spacing w:val="-2"/>
        </w:rPr>
        <w:t>60112000-</w:t>
      </w:r>
      <w:r>
        <w:rPr>
          <w:spacing w:val="-5"/>
        </w:rPr>
        <w:t>6.</w:t>
      </w:r>
    </w:p>
    <w:p w:rsidR="0092635B" w:rsidRDefault="00000000">
      <w:pPr>
        <w:pStyle w:val="Textoindependiente"/>
        <w:spacing w:before="130"/>
        <w:ind w:left="1446" w:firstLine="0"/>
        <w:jc w:val="left"/>
      </w:pPr>
      <w:r>
        <w:t>Servicios</w:t>
      </w:r>
      <w:r>
        <w:rPr>
          <w:spacing w:val="-1"/>
        </w:rPr>
        <w:t xml:space="preserve"> </w:t>
      </w:r>
      <w:r>
        <w:t xml:space="preserve">de </w:t>
      </w:r>
      <w:r>
        <w:rPr>
          <w:spacing w:val="-2"/>
        </w:rPr>
        <w:t>imprenta:</w:t>
      </w:r>
    </w:p>
    <w:p w:rsidR="0092635B" w:rsidRDefault="00000000">
      <w:pPr>
        <w:pStyle w:val="Textoindependiente"/>
        <w:tabs>
          <w:tab w:val="left" w:pos="2809"/>
          <w:tab w:val="left" w:pos="4172"/>
          <w:tab w:val="left" w:pos="5535"/>
          <w:tab w:val="left" w:pos="6899"/>
          <w:tab w:val="left" w:pos="8262"/>
        </w:tabs>
        <w:spacing w:before="130"/>
        <w:ind w:left="1446" w:firstLine="0"/>
        <w:jc w:val="left"/>
      </w:pPr>
      <w:r>
        <w:t>79824000-</w:t>
      </w:r>
      <w:r>
        <w:rPr>
          <w:spacing w:val="-5"/>
        </w:rPr>
        <w:t>6,</w:t>
      </w:r>
      <w:r>
        <w:tab/>
        <w:t>79821000-</w:t>
      </w:r>
      <w:r>
        <w:rPr>
          <w:spacing w:val="-5"/>
        </w:rPr>
        <w:t>5,</w:t>
      </w:r>
      <w:r>
        <w:tab/>
        <w:t>79820000-</w:t>
      </w:r>
      <w:r>
        <w:rPr>
          <w:spacing w:val="-5"/>
        </w:rPr>
        <w:t>8,</w:t>
      </w:r>
      <w:r>
        <w:tab/>
        <w:t>79800000-</w:t>
      </w:r>
      <w:r>
        <w:rPr>
          <w:spacing w:val="-5"/>
        </w:rPr>
        <w:t>2,</w:t>
      </w:r>
      <w:r>
        <w:tab/>
        <w:t>79810000-</w:t>
      </w:r>
      <w:r>
        <w:rPr>
          <w:spacing w:val="-5"/>
        </w:rPr>
        <w:t>5,</w:t>
      </w:r>
      <w:r>
        <w:tab/>
        <w:t>79823000-</w:t>
      </w:r>
      <w:r>
        <w:rPr>
          <w:spacing w:val="-5"/>
        </w:rPr>
        <w:t>9,</w:t>
      </w:r>
    </w:p>
    <w:p w:rsidR="0092635B" w:rsidRDefault="00000000">
      <w:pPr>
        <w:pStyle w:val="Textoindependiente"/>
        <w:spacing w:before="10"/>
        <w:ind w:firstLine="0"/>
        <w:jc w:val="left"/>
      </w:pPr>
      <w:r>
        <w:t>79971000-1,</w:t>
      </w:r>
      <w:r>
        <w:rPr>
          <w:spacing w:val="-10"/>
        </w:rPr>
        <w:t xml:space="preserve"> </w:t>
      </w:r>
      <w:r>
        <w:t>79971200-3,</w:t>
      </w:r>
      <w:r>
        <w:rPr>
          <w:spacing w:val="-9"/>
        </w:rPr>
        <w:t xml:space="preserve"> </w:t>
      </w:r>
      <w:r>
        <w:t>79971100-</w:t>
      </w:r>
      <w:r>
        <w:rPr>
          <w:spacing w:val="-5"/>
        </w:rPr>
        <w:t>2.</w:t>
      </w:r>
    </w:p>
    <w:p w:rsidR="0092635B" w:rsidRDefault="00000000">
      <w:pPr>
        <w:pStyle w:val="Textoindependiente"/>
        <w:spacing w:before="130"/>
        <w:ind w:left="1446" w:firstLine="0"/>
        <w:jc w:val="left"/>
      </w:pPr>
      <w:r>
        <w:t xml:space="preserve">Servicios </w:t>
      </w:r>
      <w:r>
        <w:rPr>
          <w:spacing w:val="-2"/>
        </w:rPr>
        <w:t>sociales:</w:t>
      </w:r>
    </w:p>
    <w:p w:rsidR="0092635B" w:rsidRDefault="00000000">
      <w:pPr>
        <w:pStyle w:val="Textoindependiente"/>
        <w:spacing w:before="130"/>
        <w:ind w:left="1446" w:firstLine="0"/>
        <w:jc w:val="left"/>
      </w:pPr>
      <w:r>
        <w:t>85320000-8, 85312000-9, 85300000-2, 85310000-</w:t>
      </w:r>
      <w:r>
        <w:rPr>
          <w:spacing w:val="-5"/>
        </w:rPr>
        <w:t>5.</w:t>
      </w:r>
    </w:p>
    <w:p w:rsidR="0092635B" w:rsidRDefault="00000000">
      <w:pPr>
        <w:pStyle w:val="Textoindependiente"/>
        <w:spacing w:before="130"/>
        <w:ind w:left="1446" w:firstLine="0"/>
        <w:jc w:val="left"/>
      </w:pPr>
      <w:r>
        <w:t>Servicios</w:t>
      </w:r>
      <w:r>
        <w:rPr>
          <w:spacing w:val="-4"/>
        </w:rPr>
        <w:t xml:space="preserve"> </w:t>
      </w:r>
      <w:r>
        <w:t>de</w:t>
      </w:r>
      <w:r>
        <w:rPr>
          <w:spacing w:val="-3"/>
        </w:rPr>
        <w:t xml:space="preserve"> </w:t>
      </w:r>
      <w:r>
        <w:t>almacenamiento</w:t>
      </w:r>
      <w:r>
        <w:rPr>
          <w:spacing w:val="-4"/>
        </w:rPr>
        <w:t xml:space="preserve"> </w:t>
      </w:r>
      <w:r>
        <w:t>y</w:t>
      </w:r>
      <w:r>
        <w:rPr>
          <w:spacing w:val="-3"/>
        </w:rPr>
        <w:t xml:space="preserve"> </w:t>
      </w:r>
      <w:r>
        <w:rPr>
          <w:spacing w:val="-2"/>
        </w:rPr>
        <w:t>reparto:</w:t>
      </w:r>
    </w:p>
    <w:p w:rsidR="0092635B" w:rsidRDefault="00000000">
      <w:pPr>
        <w:pStyle w:val="Textoindependiente"/>
        <w:spacing w:before="130"/>
        <w:ind w:left="1446" w:firstLine="0"/>
        <w:jc w:val="left"/>
      </w:pPr>
      <w:r>
        <w:t>63100000-0,</w:t>
      </w:r>
      <w:r>
        <w:rPr>
          <w:spacing w:val="-10"/>
        </w:rPr>
        <w:t xml:space="preserve"> </w:t>
      </w:r>
      <w:r>
        <w:t>63120000-6,</w:t>
      </w:r>
      <w:r>
        <w:rPr>
          <w:spacing w:val="-9"/>
        </w:rPr>
        <w:t xml:space="preserve"> </w:t>
      </w:r>
      <w:r>
        <w:t>63121100-</w:t>
      </w:r>
      <w:r>
        <w:rPr>
          <w:spacing w:val="-5"/>
        </w:rPr>
        <w:t>4.</w:t>
      </w:r>
    </w:p>
    <w:p w:rsidR="0092635B" w:rsidRDefault="00000000">
      <w:pPr>
        <w:pStyle w:val="Textoindependiente"/>
        <w:spacing w:before="130"/>
        <w:ind w:left="1446" w:firstLine="0"/>
        <w:jc w:val="left"/>
      </w:pPr>
      <w:r>
        <w:t>Servicios</w:t>
      </w:r>
      <w:r>
        <w:rPr>
          <w:spacing w:val="-3"/>
        </w:rPr>
        <w:t xml:space="preserve"> </w:t>
      </w:r>
      <w:r>
        <w:t>de</w:t>
      </w:r>
      <w:r>
        <w:rPr>
          <w:spacing w:val="-3"/>
        </w:rPr>
        <w:t xml:space="preserve"> </w:t>
      </w:r>
      <w:r>
        <w:t>hospedaje</w:t>
      </w:r>
      <w:r>
        <w:rPr>
          <w:spacing w:val="-3"/>
        </w:rPr>
        <w:t xml:space="preserve"> </w:t>
      </w:r>
      <w:r>
        <w:t>y</w:t>
      </w:r>
      <w:r>
        <w:rPr>
          <w:spacing w:val="-3"/>
        </w:rPr>
        <w:t xml:space="preserve"> </w:t>
      </w:r>
      <w:r>
        <w:t>turismo</w:t>
      </w:r>
      <w:r>
        <w:rPr>
          <w:spacing w:val="-3"/>
        </w:rPr>
        <w:t xml:space="preserve"> </w:t>
      </w:r>
      <w:r>
        <w:rPr>
          <w:spacing w:val="-2"/>
        </w:rPr>
        <w:t>rural:</w:t>
      </w:r>
    </w:p>
    <w:p w:rsidR="0092635B" w:rsidRDefault="00000000">
      <w:pPr>
        <w:pStyle w:val="Textoindependiente"/>
        <w:spacing w:before="130"/>
        <w:ind w:left="1446" w:firstLine="0"/>
        <w:jc w:val="left"/>
      </w:pPr>
      <w:r>
        <w:t>63500000-4, 75125000-</w:t>
      </w:r>
      <w:r>
        <w:rPr>
          <w:spacing w:val="-5"/>
        </w:rPr>
        <w:t>8.</w:t>
      </w:r>
    </w:p>
    <w:p w:rsidR="0092635B" w:rsidRDefault="00000000">
      <w:pPr>
        <w:pStyle w:val="Textoindependiente"/>
        <w:spacing w:before="130"/>
        <w:ind w:left="1446" w:firstLine="0"/>
        <w:jc w:val="left"/>
      </w:pPr>
      <w:r>
        <w:t>Servicios</w:t>
      </w:r>
      <w:r>
        <w:rPr>
          <w:spacing w:val="-3"/>
        </w:rPr>
        <w:t xml:space="preserve"> </w:t>
      </w:r>
      <w:r>
        <w:t xml:space="preserve">de trabajos </w:t>
      </w:r>
      <w:r>
        <w:rPr>
          <w:spacing w:val="-2"/>
        </w:rPr>
        <w:t>administrativos:</w:t>
      </w:r>
    </w:p>
    <w:p w:rsidR="0092635B" w:rsidRDefault="00000000">
      <w:pPr>
        <w:pStyle w:val="Textoindependiente"/>
        <w:tabs>
          <w:tab w:val="left" w:pos="2815"/>
          <w:tab w:val="left" w:pos="4184"/>
          <w:tab w:val="left" w:pos="5538"/>
          <w:tab w:val="left" w:pos="6907"/>
          <w:tab w:val="left" w:pos="8276"/>
        </w:tabs>
        <w:spacing w:before="130"/>
        <w:ind w:left="1446" w:firstLine="0"/>
        <w:jc w:val="left"/>
      </w:pPr>
      <w:r>
        <w:t>92500000-</w:t>
      </w:r>
      <w:r>
        <w:rPr>
          <w:spacing w:val="-5"/>
        </w:rPr>
        <w:t>6,</w:t>
      </w:r>
      <w:r>
        <w:tab/>
        <w:t>92510000-</w:t>
      </w:r>
      <w:r>
        <w:rPr>
          <w:spacing w:val="-5"/>
        </w:rPr>
        <w:t>9,</w:t>
      </w:r>
      <w:r>
        <w:tab/>
      </w:r>
      <w:r>
        <w:rPr>
          <w:spacing w:val="-2"/>
        </w:rPr>
        <w:t>92511000-</w:t>
      </w:r>
      <w:r>
        <w:rPr>
          <w:spacing w:val="-5"/>
        </w:rPr>
        <w:t>6,</w:t>
      </w:r>
      <w:r>
        <w:tab/>
        <w:t>92512000-</w:t>
      </w:r>
      <w:r>
        <w:rPr>
          <w:spacing w:val="-5"/>
        </w:rPr>
        <w:t>3,</w:t>
      </w:r>
      <w:r>
        <w:tab/>
        <w:t>79500000-</w:t>
      </w:r>
      <w:r>
        <w:rPr>
          <w:spacing w:val="-5"/>
        </w:rPr>
        <w:t>9,</w:t>
      </w:r>
      <w:r>
        <w:tab/>
      </w:r>
      <w:r>
        <w:rPr>
          <w:spacing w:val="-4"/>
        </w:rPr>
        <w:t>98341120-</w:t>
      </w:r>
      <w:r>
        <w:rPr>
          <w:spacing w:val="-5"/>
        </w:rPr>
        <w:t>2,</w:t>
      </w:r>
    </w:p>
    <w:p w:rsidR="0092635B" w:rsidRDefault="00000000">
      <w:pPr>
        <w:pStyle w:val="Textoindependiente"/>
        <w:spacing w:before="10"/>
        <w:ind w:firstLine="0"/>
        <w:jc w:val="left"/>
      </w:pPr>
      <w:r>
        <w:t>98341130-5,</w:t>
      </w:r>
      <w:r>
        <w:rPr>
          <w:spacing w:val="-12"/>
        </w:rPr>
        <w:t xml:space="preserve"> </w:t>
      </w:r>
      <w:r>
        <w:t>79511000-9,</w:t>
      </w:r>
      <w:r>
        <w:rPr>
          <w:spacing w:val="-11"/>
        </w:rPr>
        <w:t xml:space="preserve"> </w:t>
      </w:r>
      <w:r>
        <w:t>92520000-2,</w:t>
      </w:r>
      <w:r>
        <w:rPr>
          <w:spacing w:val="-12"/>
        </w:rPr>
        <w:t xml:space="preserve"> </w:t>
      </w:r>
      <w:r>
        <w:t>92521000-9,</w:t>
      </w:r>
      <w:r>
        <w:rPr>
          <w:spacing w:val="-11"/>
        </w:rPr>
        <w:t xml:space="preserve"> </w:t>
      </w:r>
      <w:r>
        <w:t>92521100-0,</w:t>
      </w:r>
      <w:r>
        <w:rPr>
          <w:spacing w:val="-11"/>
        </w:rPr>
        <w:t xml:space="preserve"> </w:t>
      </w:r>
      <w:r>
        <w:t>72312000-</w:t>
      </w:r>
      <w:r>
        <w:rPr>
          <w:spacing w:val="-5"/>
        </w:rPr>
        <w:t>5.</w:t>
      </w:r>
    </w:p>
    <w:p w:rsidR="0092635B" w:rsidRDefault="00000000">
      <w:pPr>
        <w:pStyle w:val="Textoindependiente"/>
        <w:spacing w:before="130"/>
        <w:ind w:left="1446" w:firstLine="0"/>
        <w:jc w:val="left"/>
      </w:pPr>
      <w:r>
        <w:t>Servicios</w:t>
      </w:r>
      <w:r>
        <w:rPr>
          <w:spacing w:val="-2"/>
        </w:rPr>
        <w:t xml:space="preserve"> </w:t>
      </w:r>
      <w:r>
        <w:t>de</w:t>
      </w:r>
      <w:r>
        <w:rPr>
          <w:spacing w:val="-1"/>
        </w:rPr>
        <w:t xml:space="preserve"> </w:t>
      </w:r>
      <w:r>
        <w:t>gestión</w:t>
      </w:r>
      <w:r>
        <w:rPr>
          <w:spacing w:val="-2"/>
        </w:rPr>
        <w:t xml:space="preserve"> </w:t>
      </w:r>
      <w:r>
        <w:t>y</w:t>
      </w:r>
      <w:r>
        <w:rPr>
          <w:spacing w:val="-1"/>
        </w:rPr>
        <w:t xml:space="preserve"> </w:t>
      </w:r>
      <w:r>
        <w:t>trabajos</w:t>
      </w:r>
      <w:r>
        <w:rPr>
          <w:spacing w:val="-1"/>
        </w:rPr>
        <w:t xml:space="preserve"> </w:t>
      </w:r>
      <w:r>
        <w:rPr>
          <w:spacing w:val="-2"/>
        </w:rPr>
        <w:t>auxiliares:</w:t>
      </w:r>
    </w:p>
    <w:p w:rsidR="0092635B" w:rsidRDefault="00000000">
      <w:pPr>
        <w:pStyle w:val="Textoindependiente"/>
        <w:spacing w:before="130"/>
        <w:ind w:left="1446" w:firstLine="0"/>
        <w:jc w:val="left"/>
      </w:pPr>
      <w:r>
        <w:t>45233294-6, 45316000-5, 79993100-2, 79993000-</w:t>
      </w:r>
      <w:r>
        <w:rPr>
          <w:spacing w:val="-5"/>
        </w:rPr>
        <w:t>1.</w:t>
      </w:r>
    </w:p>
    <w:p w:rsidR="0092635B" w:rsidRDefault="00000000">
      <w:pPr>
        <w:pStyle w:val="Textoindependiente"/>
        <w:spacing w:before="130"/>
        <w:ind w:left="1446" w:firstLine="0"/>
        <w:jc w:val="left"/>
      </w:pPr>
      <w:r>
        <w:t>Servicios</w:t>
      </w:r>
      <w:r>
        <w:rPr>
          <w:spacing w:val="-4"/>
        </w:rPr>
        <w:t xml:space="preserve"> </w:t>
      </w:r>
      <w:r>
        <w:t>de</w:t>
      </w:r>
      <w:r>
        <w:rPr>
          <w:spacing w:val="-1"/>
        </w:rPr>
        <w:t xml:space="preserve"> </w:t>
      </w:r>
      <w:r>
        <w:t>correo</w:t>
      </w:r>
      <w:r>
        <w:rPr>
          <w:spacing w:val="-2"/>
        </w:rPr>
        <w:t xml:space="preserve"> </w:t>
      </w:r>
      <w:r>
        <w:t>y</w:t>
      </w:r>
      <w:r>
        <w:rPr>
          <w:spacing w:val="-1"/>
        </w:rPr>
        <w:t xml:space="preserve"> </w:t>
      </w:r>
      <w:r>
        <w:rPr>
          <w:spacing w:val="-2"/>
        </w:rPr>
        <w:t>publicidad:</w:t>
      </w:r>
    </w:p>
    <w:p w:rsidR="0092635B" w:rsidRDefault="0092635B">
      <w:pPr>
        <w:pStyle w:val="Textoindependiente"/>
        <w:jc w:val="left"/>
        <w:sectPr w:rsidR="0092635B">
          <w:pgSz w:w="11910" w:h="16840"/>
          <w:pgMar w:top="1200" w:right="708" w:bottom="760" w:left="708" w:header="589" w:footer="570" w:gutter="0"/>
          <w:cols w:space="720"/>
        </w:sectPr>
      </w:pPr>
    </w:p>
    <w:p w:rsidR="0092635B" w:rsidRDefault="0092635B">
      <w:pPr>
        <w:pStyle w:val="Textoindependiente"/>
        <w:spacing w:before="0"/>
        <w:ind w:left="0" w:firstLine="0"/>
        <w:jc w:val="left"/>
      </w:pPr>
    </w:p>
    <w:p w:rsidR="0092635B" w:rsidRDefault="0092635B">
      <w:pPr>
        <w:pStyle w:val="Textoindependiente"/>
        <w:spacing w:before="146"/>
        <w:ind w:left="0" w:firstLine="0"/>
        <w:jc w:val="left"/>
      </w:pPr>
    </w:p>
    <w:p w:rsidR="0092635B" w:rsidRDefault="00000000">
      <w:pPr>
        <w:pStyle w:val="Textoindependiente"/>
        <w:tabs>
          <w:tab w:val="left" w:pos="2812"/>
          <w:tab w:val="left" w:pos="4178"/>
          <w:tab w:val="left" w:pos="5544"/>
          <w:tab w:val="left" w:pos="6895"/>
          <w:tab w:val="left" w:pos="8262"/>
        </w:tabs>
        <w:spacing w:before="1"/>
        <w:ind w:left="1446" w:firstLine="0"/>
        <w:jc w:val="left"/>
      </w:pPr>
      <w:r>
        <w:t>79571000-</w:t>
      </w:r>
      <w:r>
        <w:rPr>
          <w:spacing w:val="-5"/>
        </w:rPr>
        <w:t>7,</w:t>
      </w:r>
      <w:r>
        <w:tab/>
        <w:t>79340000-</w:t>
      </w:r>
      <w:r>
        <w:rPr>
          <w:spacing w:val="-5"/>
        </w:rPr>
        <w:t>9,</w:t>
      </w:r>
      <w:r>
        <w:tab/>
        <w:t>79341000-</w:t>
      </w:r>
      <w:r>
        <w:rPr>
          <w:spacing w:val="-5"/>
        </w:rPr>
        <w:t>6,</w:t>
      </w:r>
      <w:r>
        <w:tab/>
      </w:r>
      <w:r>
        <w:rPr>
          <w:spacing w:val="-4"/>
        </w:rPr>
        <w:t>64121100-</w:t>
      </w:r>
      <w:r>
        <w:rPr>
          <w:spacing w:val="-7"/>
        </w:rPr>
        <w:t>1,</w:t>
      </w:r>
      <w:r>
        <w:tab/>
        <w:t>64121200-</w:t>
      </w:r>
      <w:r>
        <w:rPr>
          <w:spacing w:val="-5"/>
        </w:rPr>
        <w:t>2,</w:t>
      </w:r>
      <w:r>
        <w:tab/>
        <w:t>79520000-</w:t>
      </w:r>
      <w:r>
        <w:rPr>
          <w:spacing w:val="-5"/>
        </w:rPr>
        <w:t>5,</w:t>
      </w:r>
    </w:p>
    <w:p w:rsidR="0092635B" w:rsidRDefault="00000000">
      <w:pPr>
        <w:pStyle w:val="Textoindependiente"/>
        <w:spacing w:before="10"/>
        <w:ind w:firstLine="0"/>
        <w:jc w:val="left"/>
      </w:pPr>
      <w:r>
        <w:t>79920000-9, 79921000-</w:t>
      </w:r>
      <w:r>
        <w:rPr>
          <w:spacing w:val="-5"/>
        </w:rPr>
        <w:t>6.</w:t>
      </w:r>
    </w:p>
    <w:p w:rsidR="0092635B" w:rsidRDefault="00000000">
      <w:pPr>
        <w:pStyle w:val="Textoindependiente"/>
        <w:spacing w:before="130"/>
        <w:ind w:left="1446" w:firstLine="0"/>
        <w:jc w:val="left"/>
      </w:pPr>
      <w:r>
        <w:t>Servicios</w:t>
      </w:r>
      <w:r>
        <w:rPr>
          <w:spacing w:val="-4"/>
        </w:rPr>
        <w:t xml:space="preserve"> </w:t>
      </w:r>
      <w:r>
        <w:t>de</w:t>
      </w:r>
      <w:r>
        <w:rPr>
          <w:spacing w:val="-3"/>
        </w:rPr>
        <w:t xml:space="preserve"> </w:t>
      </w:r>
      <w:r>
        <w:t>mantenimiento</w:t>
      </w:r>
      <w:r>
        <w:rPr>
          <w:spacing w:val="-3"/>
        </w:rPr>
        <w:t xml:space="preserve"> </w:t>
      </w:r>
      <w:r>
        <w:t>y</w:t>
      </w:r>
      <w:r>
        <w:rPr>
          <w:spacing w:val="-3"/>
        </w:rPr>
        <w:t xml:space="preserve"> </w:t>
      </w:r>
      <w:r>
        <w:rPr>
          <w:spacing w:val="-2"/>
        </w:rPr>
        <w:t>reparación:</w:t>
      </w:r>
    </w:p>
    <w:p w:rsidR="0092635B" w:rsidRDefault="00000000">
      <w:pPr>
        <w:pStyle w:val="Textoindependiente"/>
        <w:tabs>
          <w:tab w:val="left" w:pos="1363"/>
          <w:tab w:val="left" w:pos="2726"/>
          <w:tab w:val="left" w:pos="4089"/>
          <w:tab w:val="left" w:pos="5452"/>
          <w:tab w:val="left" w:pos="6815"/>
        </w:tabs>
        <w:spacing w:before="130"/>
        <w:ind w:left="0" w:right="1101" w:firstLine="0"/>
        <w:jc w:val="right"/>
      </w:pPr>
      <w:r>
        <w:t>45422000-</w:t>
      </w:r>
      <w:r>
        <w:rPr>
          <w:spacing w:val="-5"/>
        </w:rPr>
        <w:t>1,</w:t>
      </w:r>
      <w:r>
        <w:tab/>
        <w:t>45420000-</w:t>
      </w:r>
      <w:r>
        <w:rPr>
          <w:spacing w:val="-5"/>
        </w:rPr>
        <w:t>7,</w:t>
      </w:r>
      <w:r>
        <w:tab/>
        <w:t>50850000-</w:t>
      </w:r>
      <w:r>
        <w:rPr>
          <w:spacing w:val="-5"/>
        </w:rPr>
        <w:t>8,</w:t>
      </w:r>
      <w:r>
        <w:tab/>
        <w:t>45262500-</w:t>
      </w:r>
      <w:r>
        <w:rPr>
          <w:spacing w:val="-5"/>
        </w:rPr>
        <w:t>6,</w:t>
      </w:r>
      <w:r>
        <w:tab/>
        <w:t>45262520-</w:t>
      </w:r>
      <w:r>
        <w:rPr>
          <w:spacing w:val="-5"/>
        </w:rPr>
        <w:t>2,</w:t>
      </w:r>
      <w:r>
        <w:tab/>
        <w:t>50000000-</w:t>
      </w:r>
      <w:r>
        <w:rPr>
          <w:spacing w:val="-5"/>
        </w:rPr>
        <w:t>5,</w:t>
      </w:r>
    </w:p>
    <w:p w:rsidR="0092635B" w:rsidRDefault="00000000">
      <w:pPr>
        <w:pStyle w:val="Textoindependiente"/>
        <w:spacing w:before="10"/>
        <w:ind w:left="851" w:right="1197" w:firstLine="0"/>
        <w:jc w:val="right"/>
      </w:pPr>
      <w:r>
        <w:t>71314100-3,</w:t>
      </w:r>
      <w:r>
        <w:rPr>
          <w:spacing w:val="-3"/>
        </w:rPr>
        <w:t xml:space="preserve"> </w:t>
      </w:r>
      <w:r>
        <w:t>45330000-9,</w:t>
      </w:r>
      <w:r>
        <w:rPr>
          <w:spacing w:val="-3"/>
        </w:rPr>
        <w:t xml:space="preserve"> </w:t>
      </w:r>
      <w:r>
        <w:t>45442100-8,</w:t>
      </w:r>
      <w:r>
        <w:rPr>
          <w:spacing w:val="-3"/>
        </w:rPr>
        <w:t xml:space="preserve"> </w:t>
      </w:r>
      <w:r>
        <w:t>50232200-2,</w:t>
      </w:r>
      <w:r>
        <w:rPr>
          <w:spacing w:val="-3"/>
        </w:rPr>
        <w:t xml:space="preserve"> </w:t>
      </w:r>
      <w:r>
        <w:t>45262680-1,</w:t>
      </w:r>
      <w:r>
        <w:rPr>
          <w:spacing w:val="-3"/>
        </w:rPr>
        <w:t xml:space="preserve"> </w:t>
      </w:r>
      <w:r>
        <w:t>45259000-7,</w:t>
      </w:r>
      <w:r>
        <w:rPr>
          <w:spacing w:val="-2"/>
        </w:rPr>
        <w:t xml:space="preserve"> </w:t>
      </w:r>
      <w:r>
        <w:t>50115000-</w:t>
      </w:r>
      <w:r>
        <w:rPr>
          <w:spacing w:val="-5"/>
        </w:rPr>
        <w:t>4.</w:t>
      </w:r>
    </w:p>
    <w:p w:rsidR="0092635B" w:rsidRDefault="00000000">
      <w:pPr>
        <w:pStyle w:val="Textoindependiente"/>
        <w:spacing w:before="130" w:line="249" w:lineRule="auto"/>
        <w:ind w:right="1120"/>
        <w:jc w:val="left"/>
      </w:pPr>
      <w:r>
        <w:t>Producción</w:t>
      </w:r>
      <w:r>
        <w:rPr>
          <w:spacing w:val="40"/>
        </w:rPr>
        <w:t xml:space="preserve"> </w:t>
      </w:r>
      <w:r>
        <w:t>y</w:t>
      </w:r>
      <w:r>
        <w:rPr>
          <w:spacing w:val="40"/>
        </w:rPr>
        <w:t xml:space="preserve"> </w:t>
      </w:r>
      <w:r>
        <w:t>venta</w:t>
      </w:r>
      <w:r>
        <w:rPr>
          <w:spacing w:val="40"/>
        </w:rPr>
        <w:t xml:space="preserve"> </w:t>
      </w:r>
      <w:r>
        <w:t>de</w:t>
      </w:r>
      <w:r>
        <w:rPr>
          <w:spacing w:val="40"/>
        </w:rPr>
        <w:t xml:space="preserve"> </w:t>
      </w:r>
      <w:r>
        <w:t>plantas</w:t>
      </w:r>
      <w:r>
        <w:rPr>
          <w:spacing w:val="40"/>
        </w:rPr>
        <w:t xml:space="preserve"> </w:t>
      </w:r>
      <w:r>
        <w:t>de</w:t>
      </w:r>
      <w:r>
        <w:rPr>
          <w:spacing w:val="40"/>
        </w:rPr>
        <w:t xml:space="preserve"> </w:t>
      </w:r>
      <w:r>
        <w:t>temporada,</w:t>
      </w:r>
      <w:r>
        <w:rPr>
          <w:spacing w:val="40"/>
        </w:rPr>
        <w:t xml:space="preserve"> </w:t>
      </w:r>
      <w:r>
        <w:t>de</w:t>
      </w:r>
      <w:r>
        <w:rPr>
          <w:spacing w:val="40"/>
        </w:rPr>
        <w:t xml:space="preserve"> </w:t>
      </w:r>
      <w:r>
        <w:t>compost,</w:t>
      </w:r>
      <w:r>
        <w:rPr>
          <w:spacing w:val="40"/>
        </w:rPr>
        <w:t xml:space="preserve"> </w:t>
      </w:r>
      <w:r>
        <w:t>de</w:t>
      </w:r>
      <w:r>
        <w:rPr>
          <w:spacing w:val="40"/>
        </w:rPr>
        <w:t xml:space="preserve"> </w:t>
      </w:r>
      <w:r>
        <w:t>planta</w:t>
      </w:r>
      <w:r>
        <w:rPr>
          <w:spacing w:val="40"/>
        </w:rPr>
        <w:t xml:space="preserve"> </w:t>
      </w:r>
      <w:r>
        <w:t>y</w:t>
      </w:r>
      <w:r>
        <w:rPr>
          <w:spacing w:val="40"/>
        </w:rPr>
        <w:t xml:space="preserve"> </w:t>
      </w:r>
      <w:r>
        <w:t>arbusto,</w:t>
      </w:r>
      <w:r>
        <w:rPr>
          <w:spacing w:val="40"/>
        </w:rPr>
        <w:t xml:space="preserve"> </w:t>
      </w:r>
      <w:r>
        <w:t>de mobiliario de jardín…</w:t>
      </w:r>
    </w:p>
    <w:p w:rsidR="0092635B" w:rsidRDefault="00000000">
      <w:pPr>
        <w:pStyle w:val="Textoindependiente"/>
        <w:spacing w:before="121"/>
        <w:ind w:left="1446" w:firstLine="0"/>
        <w:jc w:val="left"/>
      </w:pPr>
      <w:r>
        <w:t>03121100-6,</w:t>
      </w:r>
      <w:r>
        <w:rPr>
          <w:spacing w:val="-13"/>
        </w:rPr>
        <w:t xml:space="preserve"> </w:t>
      </w:r>
      <w:r>
        <w:t>03451300-9,</w:t>
      </w:r>
      <w:r>
        <w:rPr>
          <w:spacing w:val="-12"/>
        </w:rPr>
        <w:t xml:space="preserve"> </w:t>
      </w:r>
      <w:r>
        <w:t>39142000-9,</w:t>
      </w:r>
      <w:r>
        <w:rPr>
          <w:spacing w:val="-12"/>
        </w:rPr>
        <w:t xml:space="preserve"> </w:t>
      </w:r>
      <w:r>
        <w:t>03110000-</w:t>
      </w:r>
      <w:r>
        <w:rPr>
          <w:spacing w:val="-5"/>
        </w:rPr>
        <w:t>5.</w:t>
      </w:r>
    </w:p>
    <w:p w:rsidR="0092635B" w:rsidRDefault="00000000">
      <w:pPr>
        <w:pStyle w:val="Textoindependiente"/>
        <w:spacing w:before="130"/>
        <w:ind w:left="1446" w:firstLine="0"/>
        <w:jc w:val="left"/>
      </w:pPr>
      <w:r>
        <w:t>Producción</w:t>
      </w:r>
      <w:r>
        <w:rPr>
          <w:spacing w:val="-3"/>
        </w:rPr>
        <w:t xml:space="preserve"> </w:t>
      </w:r>
      <w:r>
        <w:t>y</w:t>
      </w:r>
      <w:r>
        <w:rPr>
          <w:spacing w:val="-2"/>
        </w:rPr>
        <w:t xml:space="preserve"> </w:t>
      </w:r>
      <w:r>
        <w:t>venta</w:t>
      </w:r>
      <w:r>
        <w:rPr>
          <w:spacing w:val="-3"/>
        </w:rPr>
        <w:t xml:space="preserve"> </w:t>
      </w:r>
      <w:r>
        <w:t>de</w:t>
      </w:r>
      <w:r>
        <w:rPr>
          <w:spacing w:val="-2"/>
        </w:rPr>
        <w:t xml:space="preserve"> </w:t>
      </w:r>
      <w:r>
        <w:t>jabones</w:t>
      </w:r>
      <w:r>
        <w:rPr>
          <w:spacing w:val="-3"/>
        </w:rPr>
        <w:t xml:space="preserve"> </w:t>
      </w:r>
      <w:r>
        <w:t>de</w:t>
      </w:r>
      <w:r>
        <w:rPr>
          <w:spacing w:val="-2"/>
        </w:rPr>
        <w:t xml:space="preserve"> mano:</w:t>
      </w:r>
    </w:p>
    <w:p w:rsidR="0092635B" w:rsidRDefault="00000000">
      <w:pPr>
        <w:pStyle w:val="Textoindependiente"/>
        <w:spacing w:before="130"/>
        <w:ind w:left="1446" w:firstLine="0"/>
        <w:jc w:val="left"/>
      </w:pPr>
      <w:r>
        <w:rPr>
          <w:spacing w:val="-2"/>
        </w:rPr>
        <w:t>33711900-6,</w:t>
      </w:r>
      <w:r>
        <w:rPr>
          <w:spacing w:val="12"/>
        </w:rPr>
        <w:t xml:space="preserve"> </w:t>
      </w:r>
      <w:r>
        <w:rPr>
          <w:spacing w:val="-2"/>
        </w:rPr>
        <w:t>33741100-7,</w:t>
      </w:r>
      <w:r>
        <w:rPr>
          <w:spacing w:val="12"/>
        </w:rPr>
        <w:t xml:space="preserve"> </w:t>
      </w:r>
      <w:r>
        <w:rPr>
          <w:spacing w:val="-2"/>
        </w:rPr>
        <w:t>39831700-</w:t>
      </w:r>
      <w:r>
        <w:rPr>
          <w:spacing w:val="-5"/>
        </w:rPr>
        <w:t>3.</w:t>
      </w:r>
    </w:p>
    <w:p w:rsidR="0092635B" w:rsidRDefault="00000000">
      <w:pPr>
        <w:pStyle w:val="Textoindependiente"/>
        <w:spacing w:before="130"/>
        <w:ind w:left="1446" w:firstLine="0"/>
        <w:jc w:val="left"/>
      </w:pPr>
      <w:r>
        <w:t>Producción</w:t>
      </w:r>
      <w:r>
        <w:rPr>
          <w:spacing w:val="-3"/>
        </w:rPr>
        <w:t xml:space="preserve"> </w:t>
      </w:r>
      <w:r>
        <w:t>y</w:t>
      </w:r>
      <w:r>
        <w:rPr>
          <w:spacing w:val="-3"/>
        </w:rPr>
        <w:t xml:space="preserve"> </w:t>
      </w:r>
      <w:r>
        <w:t>venta</w:t>
      </w:r>
      <w:r>
        <w:rPr>
          <w:spacing w:val="-2"/>
        </w:rPr>
        <w:t xml:space="preserve"> </w:t>
      </w:r>
      <w:r>
        <w:t>de</w:t>
      </w:r>
      <w:r>
        <w:rPr>
          <w:spacing w:val="-3"/>
        </w:rPr>
        <w:t xml:space="preserve"> </w:t>
      </w:r>
      <w:r>
        <w:t>herramientas</w:t>
      </w:r>
      <w:r>
        <w:rPr>
          <w:spacing w:val="-3"/>
        </w:rPr>
        <w:t xml:space="preserve"> </w:t>
      </w:r>
      <w:r>
        <w:t>de</w:t>
      </w:r>
      <w:r>
        <w:rPr>
          <w:spacing w:val="-2"/>
        </w:rPr>
        <w:t xml:space="preserve"> </w:t>
      </w:r>
      <w:r>
        <w:t>cocina</w:t>
      </w:r>
      <w:r>
        <w:rPr>
          <w:spacing w:val="-3"/>
        </w:rPr>
        <w:t xml:space="preserve"> </w:t>
      </w:r>
      <w:r>
        <w:t>de</w:t>
      </w:r>
      <w:r>
        <w:rPr>
          <w:spacing w:val="-2"/>
        </w:rPr>
        <w:t xml:space="preserve"> madera:</w:t>
      </w:r>
    </w:p>
    <w:p w:rsidR="0092635B" w:rsidRDefault="00000000">
      <w:pPr>
        <w:pStyle w:val="Textoindependiente"/>
        <w:spacing w:before="130"/>
        <w:ind w:left="1446" w:firstLine="0"/>
        <w:jc w:val="left"/>
      </w:pPr>
      <w:r>
        <w:t>39220000-0,</w:t>
      </w:r>
      <w:r>
        <w:rPr>
          <w:spacing w:val="-10"/>
        </w:rPr>
        <w:t xml:space="preserve"> </w:t>
      </w:r>
      <w:r>
        <w:t>44410000-7,</w:t>
      </w:r>
      <w:r>
        <w:rPr>
          <w:spacing w:val="-10"/>
        </w:rPr>
        <w:t xml:space="preserve"> </w:t>
      </w:r>
      <w:r>
        <w:t>39221100-8,</w:t>
      </w:r>
      <w:r>
        <w:rPr>
          <w:spacing w:val="-10"/>
        </w:rPr>
        <w:t xml:space="preserve"> </w:t>
      </w:r>
      <w:r>
        <w:t>39221180-2,</w:t>
      </w:r>
      <w:r>
        <w:rPr>
          <w:spacing w:val="-9"/>
        </w:rPr>
        <w:t xml:space="preserve"> </w:t>
      </w:r>
      <w:r>
        <w:t>39141000-</w:t>
      </w:r>
      <w:r>
        <w:rPr>
          <w:spacing w:val="-5"/>
        </w:rPr>
        <w:t>2.</w:t>
      </w:r>
    </w:p>
    <w:p w:rsidR="0092635B" w:rsidRDefault="00000000">
      <w:pPr>
        <w:pStyle w:val="Textoindependiente"/>
        <w:spacing w:before="130"/>
        <w:ind w:left="1446" w:firstLine="0"/>
        <w:jc w:val="left"/>
      </w:pPr>
      <w:r>
        <w:t>Producción</w:t>
      </w:r>
      <w:r>
        <w:rPr>
          <w:spacing w:val="-4"/>
        </w:rPr>
        <w:t xml:space="preserve"> </w:t>
      </w:r>
      <w:r>
        <w:t>y</w:t>
      </w:r>
      <w:r>
        <w:rPr>
          <w:spacing w:val="-4"/>
        </w:rPr>
        <w:t xml:space="preserve"> </w:t>
      </w:r>
      <w:r>
        <w:t>venta</w:t>
      </w:r>
      <w:r>
        <w:rPr>
          <w:spacing w:val="-4"/>
        </w:rPr>
        <w:t xml:space="preserve"> </w:t>
      </w:r>
      <w:r>
        <w:t>de</w:t>
      </w:r>
      <w:r>
        <w:rPr>
          <w:spacing w:val="-4"/>
        </w:rPr>
        <w:t xml:space="preserve"> </w:t>
      </w:r>
      <w:r>
        <w:t>mobiliario</w:t>
      </w:r>
      <w:r>
        <w:rPr>
          <w:spacing w:val="-4"/>
        </w:rPr>
        <w:t xml:space="preserve"> </w:t>
      </w:r>
      <w:r>
        <w:t>de</w:t>
      </w:r>
      <w:r>
        <w:rPr>
          <w:spacing w:val="-4"/>
        </w:rPr>
        <w:t xml:space="preserve"> </w:t>
      </w:r>
      <w:r>
        <w:rPr>
          <w:spacing w:val="-2"/>
        </w:rPr>
        <w:t>carpintería:</w:t>
      </w:r>
    </w:p>
    <w:p w:rsidR="0092635B" w:rsidRDefault="00000000">
      <w:pPr>
        <w:pStyle w:val="Textoindependiente"/>
        <w:spacing w:before="130"/>
        <w:ind w:left="1446" w:firstLine="0"/>
        <w:jc w:val="left"/>
      </w:pPr>
      <w:r>
        <w:t>39100000-3, 03419100-1, 37800000-6, 37810000-</w:t>
      </w:r>
      <w:r>
        <w:rPr>
          <w:spacing w:val="-5"/>
        </w:rPr>
        <w:t>9.</w:t>
      </w:r>
    </w:p>
    <w:p w:rsidR="0092635B" w:rsidRDefault="00000000">
      <w:pPr>
        <w:pStyle w:val="Textoindependiente"/>
        <w:spacing w:before="131"/>
        <w:ind w:left="1446" w:firstLine="0"/>
        <w:jc w:val="left"/>
      </w:pPr>
      <w:r>
        <w:t>Venta</w:t>
      </w:r>
      <w:r>
        <w:rPr>
          <w:spacing w:val="-8"/>
        </w:rPr>
        <w:t xml:space="preserve"> </w:t>
      </w:r>
      <w:r>
        <w:t>y</w:t>
      </w:r>
      <w:r>
        <w:rPr>
          <w:spacing w:val="-7"/>
        </w:rPr>
        <w:t xml:space="preserve"> </w:t>
      </w:r>
      <w:r>
        <w:rPr>
          <w:spacing w:val="-2"/>
        </w:rPr>
        <w:t>distribución:</w:t>
      </w:r>
    </w:p>
    <w:p w:rsidR="0092635B" w:rsidRDefault="00000000">
      <w:pPr>
        <w:pStyle w:val="Textoindependiente"/>
        <w:spacing w:before="130"/>
        <w:ind w:left="1446" w:firstLine="0"/>
        <w:jc w:val="left"/>
      </w:pPr>
      <w:r>
        <w:t>30199000-0, 39000000-</w:t>
      </w:r>
      <w:r>
        <w:rPr>
          <w:spacing w:val="-5"/>
        </w:rPr>
        <w:t>2.</w:t>
      </w:r>
    </w:p>
    <w:p w:rsidR="0092635B" w:rsidRDefault="00000000">
      <w:pPr>
        <w:pStyle w:val="Textoindependiente"/>
        <w:spacing w:before="130"/>
        <w:ind w:left="1446" w:firstLine="0"/>
        <w:jc w:val="left"/>
      </w:pPr>
      <w:r>
        <w:t>Artículos</w:t>
      </w:r>
      <w:r>
        <w:rPr>
          <w:spacing w:val="-2"/>
        </w:rPr>
        <w:t xml:space="preserve"> </w:t>
      </w:r>
      <w:r>
        <w:t>para</w:t>
      </w:r>
      <w:r>
        <w:rPr>
          <w:spacing w:val="-1"/>
        </w:rPr>
        <w:t xml:space="preserve"> </w:t>
      </w:r>
      <w:r>
        <w:rPr>
          <w:spacing w:val="-2"/>
        </w:rPr>
        <w:t>eventos:</w:t>
      </w:r>
    </w:p>
    <w:p w:rsidR="0092635B" w:rsidRDefault="00000000">
      <w:pPr>
        <w:pStyle w:val="Textoindependiente"/>
        <w:spacing w:before="130"/>
        <w:ind w:left="1446" w:firstLine="0"/>
        <w:jc w:val="left"/>
      </w:pPr>
      <w:r>
        <w:t>18530000-</w:t>
      </w:r>
      <w:r>
        <w:rPr>
          <w:spacing w:val="-5"/>
        </w:rPr>
        <w:t>3.</w:t>
      </w:r>
    </w:p>
    <w:p w:rsidR="0092635B" w:rsidRDefault="00000000">
      <w:pPr>
        <w:pStyle w:val="Textoindependiente"/>
        <w:spacing w:before="130"/>
        <w:ind w:left="1446" w:firstLine="0"/>
        <w:jc w:val="left"/>
      </w:pPr>
      <w:r>
        <w:t>Regalos</w:t>
      </w:r>
      <w:r>
        <w:rPr>
          <w:spacing w:val="-3"/>
        </w:rPr>
        <w:t xml:space="preserve"> </w:t>
      </w:r>
      <w:r>
        <w:t xml:space="preserve">y obsequios de </w:t>
      </w:r>
      <w:r>
        <w:rPr>
          <w:spacing w:val="-2"/>
        </w:rPr>
        <w:t>empresa:</w:t>
      </w:r>
    </w:p>
    <w:p w:rsidR="0092635B" w:rsidRDefault="00000000">
      <w:pPr>
        <w:pStyle w:val="Textoindependiente"/>
        <w:tabs>
          <w:tab w:val="left" w:pos="2812"/>
          <w:tab w:val="left" w:pos="4178"/>
          <w:tab w:val="left" w:pos="5529"/>
          <w:tab w:val="left" w:pos="6895"/>
          <w:tab w:val="left" w:pos="8262"/>
        </w:tabs>
        <w:spacing w:before="130"/>
        <w:ind w:left="1446" w:firstLine="0"/>
        <w:jc w:val="left"/>
      </w:pPr>
      <w:r>
        <w:t>39516000-</w:t>
      </w:r>
      <w:r>
        <w:rPr>
          <w:spacing w:val="-5"/>
        </w:rPr>
        <w:t>2,</w:t>
      </w:r>
      <w:r>
        <w:tab/>
        <w:t>39295500-</w:t>
      </w:r>
      <w:r>
        <w:rPr>
          <w:spacing w:val="-5"/>
        </w:rPr>
        <w:t>1,</w:t>
      </w:r>
      <w:r>
        <w:tab/>
      </w:r>
      <w:r>
        <w:rPr>
          <w:spacing w:val="-4"/>
        </w:rPr>
        <w:t>39561140-</w:t>
      </w:r>
      <w:r>
        <w:rPr>
          <w:spacing w:val="-5"/>
        </w:rPr>
        <w:t>5,</w:t>
      </w:r>
      <w:r>
        <w:tab/>
        <w:t>39200000-</w:t>
      </w:r>
      <w:r>
        <w:rPr>
          <w:spacing w:val="-5"/>
        </w:rPr>
        <w:t>4,</w:t>
      </w:r>
      <w:r>
        <w:tab/>
        <w:t>39290000-</w:t>
      </w:r>
      <w:r>
        <w:rPr>
          <w:spacing w:val="-5"/>
        </w:rPr>
        <w:t>1,</w:t>
      </w:r>
      <w:r>
        <w:tab/>
        <w:t>39170000-</w:t>
      </w:r>
      <w:r>
        <w:rPr>
          <w:spacing w:val="-5"/>
        </w:rPr>
        <w:t>4,</w:t>
      </w:r>
    </w:p>
    <w:p w:rsidR="0092635B" w:rsidRDefault="00000000">
      <w:pPr>
        <w:pStyle w:val="Textoindependiente"/>
        <w:spacing w:before="10"/>
        <w:ind w:firstLine="0"/>
        <w:jc w:val="left"/>
      </w:pPr>
      <w:r>
        <w:rPr>
          <w:spacing w:val="-2"/>
        </w:rPr>
        <w:t>44111300-4,</w:t>
      </w:r>
      <w:r>
        <w:rPr>
          <w:spacing w:val="15"/>
        </w:rPr>
        <w:t xml:space="preserve"> </w:t>
      </w:r>
      <w:r>
        <w:rPr>
          <w:spacing w:val="-2"/>
        </w:rPr>
        <w:t>39298900-6,</w:t>
      </w:r>
      <w:r>
        <w:rPr>
          <w:spacing w:val="15"/>
        </w:rPr>
        <w:t xml:space="preserve"> </w:t>
      </w:r>
      <w:r>
        <w:rPr>
          <w:spacing w:val="-2"/>
        </w:rPr>
        <w:t>44812400-</w:t>
      </w:r>
      <w:r>
        <w:rPr>
          <w:spacing w:val="-5"/>
        </w:rPr>
        <w:t>9.</w:t>
      </w:r>
    </w:p>
    <w:p w:rsidR="0092635B" w:rsidRDefault="00000000">
      <w:pPr>
        <w:pStyle w:val="Textoindependiente"/>
        <w:spacing w:before="174"/>
        <w:ind w:left="0" w:firstLine="0"/>
        <w:jc w:val="left"/>
      </w:pPr>
      <w:r>
        <w:rPr>
          <w:noProof/>
        </w:rPr>
        <mc:AlternateContent>
          <mc:Choice Requires="wps">
            <w:drawing>
              <wp:anchor distT="0" distB="0" distL="0" distR="0" simplePos="0" relativeHeight="487598592" behindDoc="1" locked="0" layoutInCell="1" allowOverlap="1">
                <wp:simplePos x="0" y="0"/>
                <wp:positionH relativeFrom="page">
                  <wp:posOffset>1153800</wp:posOffset>
                </wp:positionH>
                <wp:positionV relativeFrom="paragraph">
                  <wp:posOffset>273717</wp:posOffset>
                </wp:positionV>
                <wp:extent cx="5252720" cy="410209"/>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2720" cy="410209"/>
                        </a:xfrm>
                        <a:prstGeom prst="rect">
                          <a:avLst/>
                        </a:prstGeom>
                        <a:ln w="3599">
                          <a:solidFill>
                            <a:srgbClr val="004479"/>
                          </a:solidFill>
                          <a:prstDash val="solid"/>
                        </a:ln>
                      </wps:spPr>
                      <wps:txbx>
                        <w:txbxContent>
                          <w:p w:rsidR="0092635B" w:rsidRDefault="00000000">
                            <w:pPr>
                              <w:pStyle w:val="Textoindependiente"/>
                              <w:spacing w:before="201"/>
                              <w:ind w:left="300" w:firstLine="0"/>
                              <w:jc w:val="left"/>
                            </w:pPr>
                            <w:r>
                              <w:rPr>
                                <w:color w:val="004479"/>
                              </w:rPr>
                              <w:t>Este</w:t>
                            </w:r>
                            <w:r>
                              <w:rPr>
                                <w:color w:val="004479"/>
                                <w:spacing w:val="-3"/>
                              </w:rPr>
                              <w:t xml:space="preserve"> </w:t>
                            </w:r>
                            <w:r>
                              <w:rPr>
                                <w:color w:val="004479"/>
                              </w:rPr>
                              <w:t>documento</w:t>
                            </w:r>
                            <w:r>
                              <w:rPr>
                                <w:color w:val="004479"/>
                                <w:spacing w:val="-3"/>
                              </w:rPr>
                              <w:t xml:space="preserve"> </w:t>
                            </w:r>
                            <w:r>
                              <w:rPr>
                                <w:color w:val="004479"/>
                              </w:rPr>
                              <w:t>es</w:t>
                            </w:r>
                            <w:r>
                              <w:rPr>
                                <w:color w:val="004479"/>
                                <w:spacing w:val="-3"/>
                              </w:rPr>
                              <w:t xml:space="preserve"> </w:t>
                            </w:r>
                            <w:r>
                              <w:rPr>
                                <w:color w:val="004479"/>
                              </w:rPr>
                              <w:t>de</w:t>
                            </w:r>
                            <w:r>
                              <w:rPr>
                                <w:color w:val="004479"/>
                                <w:spacing w:val="-2"/>
                              </w:rPr>
                              <w:t xml:space="preserve"> </w:t>
                            </w:r>
                            <w:r>
                              <w:rPr>
                                <w:color w:val="004479"/>
                              </w:rPr>
                              <w:t>carácter</w:t>
                            </w:r>
                            <w:r>
                              <w:rPr>
                                <w:color w:val="004479"/>
                                <w:spacing w:val="-3"/>
                              </w:rPr>
                              <w:t xml:space="preserve"> </w:t>
                            </w:r>
                            <w:r>
                              <w:rPr>
                                <w:color w:val="004479"/>
                              </w:rPr>
                              <w:t>informativo</w:t>
                            </w:r>
                            <w:r>
                              <w:rPr>
                                <w:color w:val="004479"/>
                                <w:spacing w:val="-3"/>
                              </w:rPr>
                              <w:t xml:space="preserve"> </w:t>
                            </w:r>
                            <w:r>
                              <w:rPr>
                                <w:color w:val="004479"/>
                              </w:rPr>
                              <w:t>y</w:t>
                            </w:r>
                            <w:r>
                              <w:rPr>
                                <w:color w:val="004479"/>
                                <w:spacing w:val="-2"/>
                              </w:rPr>
                              <w:t xml:space="preserve"> </w:t>
                            </w:r>
                            <w:r>
                              <w:rPr>
                                <w:color w:val="004479"/>
                              </w:rPr>
                              <w:t>no</w:t>
                            </w:r>
                            <w:r>
                              <w:rPr>
                                <w:color w:val="004479"/>
                                <w:spacing w:val="-3"/>
                              </w:rPr>
                              <w:t xml:space="preserve"> </w:t>
                            </w:r>
                            <w:r>
                              <w:rPr>
                                <w:color w:val="004479"/>
                              </w:rPr>
                              <w:t>tiene</w:t>
                            </w:r>
                            <w:r>
                              <w:rPr>
                                <w:color w:val="004479"/>
                                <w:spacing w:val="-3"/>
                              </w:rPr>
                              <w:t xml:space="preserve"> </w:t>
                            </w:r>
                            <w:r>
                              <w:rPr>
                                <w:color w:val="004479"/>
                              </w:rPr>
                              <w:t>valor</w:t>
                            </w:r>
                            <w:r>
                              <w:rPr>
                                <w:color w:val="004479"/>
                                <w:spacing w:val="-2"/>
                              </w:rPr>
                              <w:t xml:space="preserve"> jurídico.</w:t>
                            </w:r>
                          </w:p>
                        </w:txbxContent>
                      </wps:txbx>
                      <wps:bodyPr wrap="square" lIns="0" tIns="0" rIns="0" bIns="0" rtlCol="0">
                        <a:noAutofit/>
                      </wps:bodyPr>
                    </wps:wsp>
                  </a:graphicData>
                </a:graphic>
              </wp:anchor>
            </w:drawing>
          </mc:Choice>
          <mc:Fallback>
            <w:pict>
              <v:shape id="Textbox 29" o:spid="_x0000_s1044" type="#_x0000_t202" style="position:absolute;margin-left:90.85pt;margin-top:21.55pt;width:413.6pt;height:32.3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" filled="f" strokecolor="#004479" strokeweight=".09997mm">
                <v:path arrowok="t"/>
                <v:textbox inset="0,0,0,0">
                  <w:txbxContent>
                    <w:p w:rsidR="0092635B" w:rsidRDefault="00000000">
                      <w:pPr>
                        <w:pStyle w:val="Textoindependiente"/>
                        <w:spacing w:before="201"/>
                        <w:ind w:left="300" w:firstLine="0"/>
                        <w:jc w:val="left"/>
                      </w:pPr>
                      <w:r>
                        <w:rPr>
                          <w:color w:val="004479"/>
                        </w:rPr>
                        <w:t>Este</w:t>
                      </w:r>
                      <w:r>
                        <w:rPr>
                          <w:color w:val="004479"/>
                          <w:spacing w:val="-3"/>
                        </w:rPr>
                        <w:t xml:space="preserve"> </w:t>
                      </w:r>
                      <w:r>
                        <w:rPr>
                          <w:color w:val="004479"/>
                        </w:rPr>
                        <w:t>documento</w:t>
                      </w:r>
                      <w:r>
                        <w:rPr>
                          <w:color w:val="004479"/>
                          <w:spacing w:val="-3"/>
                        </w:rPr>
                        <w:t xml:space="preserve"> </w:t>
                      </w:r>
                      <w:r>
                        <w:rPr>
                          <w:color w:val="004479"/>
                        </w:rPr>
                        <w:t>es</w:t>
                      </w:r>
                      <w:r>
                        <w:rPr>
                          <w:color w:val="004479"/>
                          <w:spacing w:val="-3"/>
                        </w:rPr>
                        <w:t xml:space="preserve"> </w:t>
                      </w:r>
                      <w:r>
                        <w:rPr>
                          <w:color w:val="004479"/>
                        </w:rPr>
                        <w:t>de</w:t>
                      </w:r>
                      <w:r>
                        <w:rPr>
                          <w:color w:val="004479"/>
                          <w:spacing w:val="-2"/>
                        </w:rPr>
                        <w:t xml:space="preserve"> </w:t>
                      </w:r>
                      <w:r>
                        <w:rPr>
                          <w:color w:val="004479"/>
                        </w:rPr>
                        <w:t>carácter</w:t>
                      </w:r>
                      <w:r>
                        <w:rPr>
                          <w:color w:val="004479"/>
                          <w:spacing w:val="-3"/>
                        </w:rPr>
                        <w:t xml:space="preserve"> </w:t>
                      </w:r>
                      <w:r>
                        <w:rPr>
                          <w:color w:val="004479"/>
                        </w:rPr>
                        <w:t>informativo</w:t>
                      </w:r>
                      <w:r>
                        <w:rPr>
                          <w:color w:val="004479"/>
                          <w:spacing w:val="-3"/>
                        </w:rPr>
                        <w:t xml:space="preserve"> </w:t>
                      </w:r>
                      <w:r>
                        <w:rPr>
                          <w:color w:val="004479"/>
                        </w:rPr>
                        <w:t>y</w:t>
                      </w:r>
                      <w:r>
                        <w:rPr>
                          <w:color w:val="004479"/>
                          <w:spacing w:val="-2"/>
                        </w:rPr>
                        <w:t xml:space="preserve"> </w:t>
                      </w:r>
                      <w:r>
                        <w:rPr>
                          <w:color w:val="004479"/>
                        </w:rPr>
                        <w:t>no</w:t>
                      </w:r>
                      <w:r>
                        <w:rPr>
                          <w:color w:val="004479"/>
                          <w:spacing w:val="-3"/>
                        </w:rPr>
                        <w:t xml:space="preserve"> </w:t>
                      </w:r>
                      <w:r>
                        <w:rPr>
                          <w:color w:val="004479"/>
                        </w:rPr>
                        <w:t>tiene</w:t>
                      </w:r>
                      <w:r>
                        <w:rPr>
                          <w:color w:val="004479"/>
                          <w:spacing w:val="-3"/>
                        </w:rPr>
                        <w:t xml:space="preserve"> </w:t>
                      </w:r>
                      <w:r>
                        <w:rPr>
                          <w:color w:val="004479"/>
                        </w:rPr>
                        <w:t>valor</w:t>
                      </w:r>
                      <w:r>
                        <w:rPr>
                          <w:color w:val="004479"/>
                          <w:spacing w:val="-2"/>
                        </w:rPr>
                        <w:t xml:space="preserve"> jurídico.</w:t>
                      </w:r>
                    </w:p>
                  </w:txbxContent>
                </v:textbox>
                <w10:wrap type="topAndBottom" anchorx="page"/>
              </v:shape>
            </w:pict>
          </mc:Fallback>
        </mc:AlternateContent>
      </w:r>
    </w:p>
    <w:sectPr w:rsidR="0092635B">
      <w:pgSz w:w="11910" w:h="16840"/>
      <w:pgMar w:top="1200" w:right="708" w:bottom="760" w:left="708" w:header="589"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3C4B" w:rsidRDefault="00D33C4B">
      <w:r>
        <w:separator/>
      </w:r>
    </w:p>
  </w:endnote>
  <w:endnote w:type="continuationSeparator" w:id="0">
    <w:p w:rsidR="00D33C4B" w:rsidRDefault="00D3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635B" w:rsidRDefault="00000000">
    <w:pPr>
      <w:pStyle w:val="Textoindependiente"/>
      <w:spacing w:before="0" w:line="14" w:lineRule="auto"/>
      <w:ind w:left="0" w:firstLine="0"/>
      <w:jc w:val="left"/>
    </w:pPr>
    <w:r>
      <w:rPr>
        <w:noProof/>
      </w:rPr>
      <mc:AlternateContent>
        <mc:Choice Requires="wps">
          <w:drawing>
            <wp:anchor distT="0" distB="0" distL="0" distR="0" simplePos="0" relativeHeight="482736128" behindDoc="1" locked="0" layoutInCell="1" allowOverlap="1">
              <wp:simplePos x="0" y="0"/>
              <wp:positionH relativeFrom="page">
                <wp:posOffset>360000</wp:posOffset>
              </wp:positionH>
              <wp:positionV relativeFrom="page">
                <wp:posOffset>10158350</wp:posOffset>
              </wp:positionV>
              <wp:extent cx="68402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3FA98BFF" id="Graphic 1" o:spid="_x0000_s1026" style="position:absolute;margin-left:28.35pt;margin-top:799.85pt;width:538.6pt;height:.1pt;z-index:-20580352;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IkIdwThAAAAEgEAAA8AAAAAAAAAAAAAAAAAbwQAAGRycy9kb3ducmV2LnhtbFBLBQYA&#13;&#10;AAAABAAEAPMAAAB9BQAAAAA=&#13;&#10;" path="m,l6840001,e" filled="f" strokecolor="#004479" strokeweight="1pt">
              <v:path arrowok="t"/>
              <w10:wrap anchorx="page" anchory="page"/>
            </v:shape>
          </w:pict>
        </mc:Fallback>
      </mc:AlternateContent>
    </w:r>
    <w:r>
      <w:rPr>
        <w:noProof/>
      </w:rPr>
      <mc:AlternateContent>
        <mc:Choice Requires="wps">
          <w:drawing>
            <wp:anchor distT="0" distB="0" distL="0" distR="0" simplePos="0" relativeHeight="482736640" behindDoc="1" locked="0" layoutInCell="1" allowOverlap="1">
              <wp:simplePos x="0" y="0"/>
              <wp:positionH relativeFrom="page">
                <wp:posOffset>3541641</wp:posOffset>
              </wp:positionH>
              <wp:positionV relativeFrom="page">
                <wp:posOffset>10192733</wp:posOffset>
              </wp:positionV>
              <wp:extent cx="514984"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4" cy="153670"/>
                      </a:xfrm>
                      <a:prstGeom prst="rect">
                        <a:avLst/>
                      </a:prstGeom>
                    </wps:spPr>
                    <wps:txbx>
                      <w:txbxContent>
                        <w:p w:rsidR="0092635B" w:rsidRDefault="00000000">
                          <w:pPr>
                            <w:spacing w:before="14"/>
                            <w:ind w:left="20"/>
                            <w:rPr>
                              <w:sz w:val="18"/>
                            </w:rPr>
                          </w:pPr>
                          <w:r>
                            <w:rPr>
                              <w:color w:val="004479"/>
                              <w:sz w:val="18"/>
                            </w:rPr>
                            <w:t>Página</w:t>
                          </w:r>
                          <w:r>
                            <w:rPr>
                              <w:color w:val="004479"/>
                              <w:spacing w:val="-5"/>
                              <w:sz w:val="18"/>
                            </w:rPr>
                            <w:t xml:space="preserve"> </w:t>
                          </w:r>
                          <w:r>
                            <w:rPr>
                              <w:color w:val="004479"/>
                              <w:spacing w:val="-10"/>
                              <w:sz w:val="18"/>
                            </w:rPr>
                            <w:fldChar w:fldCharType="begin"/>
                          </w:r>
                          <w:r>
                            <w:rPr>
                              <w:color w:val="004479"/>
                              <w:spacing w:val="-10"/>
                              <w:sz w:val="18"/>
                            </w:rPr>
                            <w:instrText xml:space="preserve"> PAGE </w:instrText>
                          </w:r>
                          <w:r>
                            <w:rPr>
                              <w:color w:val="004479"/>
                              <w:spacing w:val="-10"/>
                              <w:sz w:val="18"/>
                            </w:rPr>
                            <w:fldChar w:fldCharType="separate"/>
                          </w:r>
                          <w:r>
                            <w:rPr>
                              <w:color w:val="004479"/>
                              <w:spacing w:val="-10"/>
                              <w:sz w:val="18"/>
                            </w:rPr>
                            <w:t>1</w:t>
                          </w:r>
                          <w:r>
                            <w:rPr>
                              <w:color w:val="004479"/>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5" type="#_x0000_t202" style="position:absolute;margin-left:278.85pt;margin-top:802.6pt;width:40.55pt;height:12.1pt;z-index:-205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" filled="f" stroked="f">
              <v:textbox inset="0,0,0,0">
                <w:txbxContent>
                  <w:p w:rsidR="0092635B" w:rsidRDefault="00000000">
                    <w:pPr>
                      <w:spacing w:before="14"/>
                      <w:ind w:left="20"/>
                      <w:rPr>
                        <w:sz w:val="18"/>
                      </w:rPr>
                    </w:pPr>
                    <w:r>
                      <w:rPr>
                        <w:color w:val="004479"/>
                        <w:sz w:val="18"/>
                      </w:rPr>
                      <w:t>Página</w:t>
                    </w:r>
                    <w:r>
                      <w:rPr>
                        <w:color w:val="004479"/>
                        <w:spacing w:val="-5"/>
                        <w:sz w:val="18"/>
                      </w:rPr>
                      <w:t xml:space="preserve"> </w:t>
                    </w:r>
                    <w:r>
                      <w:rPr>
                        <w:color w:val="004479"/>
                        <w:spacing w:val="-10"/>
                        <w:sz w:val="18"/>
                      </w:rPr>
                      <w:fldChar w:fldCharType="begin"/>
                    </w:r>
                    <w:r>
                      <w:rPr>
                        <w:color w:val="004479"/>
                        <w:spacing w:val="-10"/>
                        <w:sz w:val="18"/>
                      </w:rPr>
                      <w:instrText xml:space="preserve"> PAGE </w:instrText>
                    </w:r>
                    <w:r>
                      <w:rPr>
                        <w:color w:val="004479"/>
                        <w:spacing w:val="-10"/>
                        <w:sz w:val="18"/>
                      </w:rPr>
                      <w:fldChar w:fldCharType="separate"/>
                    </w:r>
                    <w:r>
                      <w:rPr>
                        <w:color w:val="004479"/>
                        <w:spacing w:val="-10"/>
                        <w:sz w:val="18"/>
                      </w:rPr>
                      <w:t>1</w:t>
                    </w:r>
                    <w:r>
                      <w:rPr>
                        <w:color w:val="004479"/>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635B" w:rsidRDefault="00000000">
    <w:pPr>
      <w:pStyle w:val="Textoindependiente"/>
      <w:spacing w:before="0" w:line="14" w:lineRule="auto"/>
      <w:ind w:left="0" w:firstLine="0"/>
      <w:jc w:val="left"/>
    </w:pPr>
    <w:r>
      <w:rPr>
        <w:noProof/>
      </w:rPr>
      <mc:AlternateContent>
        <mc:Choice Requires="wps">
          <w:drawing>
            <wp:anchor distT="0" distB="0" distL="0" distR="0" simplePos="0" relativeHeight="482738176" behindDoc="1" locked="0" layoutInCell="1" allowOverlap="1">
              <wp:simplePos x="0" y="0"/>
              <wp:positionH relativeFrom="page">
                <wp:posOffset>360000</wp:posOffset>
              </wp:positionH>
              <wp:positionV relativeFrom="page">
                <wp:posOffset>10158350</wp:posOffset>
              </wp:positionV>
              <wp:extent cx="684022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732A5E4A" id="Graphic 9" o:spid="_x0000_s1026" style="position:absolute;margin-left:28.35pt;margin-top:799.85pt;width:538.6pt;height:.1pt;z-index:-20578304;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IkIdwThAAAAEgEAAA8AAAAAAAAAAAAAAAAAbwQAAGRycy9kb3ducmV2LnhtbFBLBQYA&#13;&#10;AAAABAAEAPMAAAB9BQAAAAA=&#13;&#10;" path="m,l6840001,e" filled="f" strokecolor="#004479" strokeweight="1pt">
              <v:path arrowok="t"/>
              <w10:wrap anchorx="page" anchory="page"/>
            </v:shape>
          </w:pict>
        </mc:Fallback>
      </mc:AlternateContent>
    </w:r>
    <w:r>
      <w:rPr>
        <w:noProof/>
      </w:rPr>
      <mc:AlternateContent>
        <mc:Choice Requires="wps">
          <w:drawing>
            <wp:anchor distT="0" distB="0" distL="0" distR="0" simplePos="0" relativeHeight="482738688" behindDoc="1" locked="0" layoutInCell="1" allowOverlap="1">
              <wp:simplePos x="0" y="0"/>
              <wp:positionH relativeFrom="page">
                <wp:posOffset>3478091</wp:posOffset>
              </wp:positionH>
              <wp:positionV relativeFrom="page">
                <wp:posOffset>10192733</wp:posOffset>
              </wp:positionV>
              <wp:extent cx="603885"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 cy="153670"/>
                      </a:xfrm>
                      <a:prstGeom prst="rect">
                        <a:avLst/>
                      </a:prstGeom>
                    </wps:spPr>
                    <wps:txbx>
                      <w:txbxContent>
                        <w:p w:rsidR="0092635B" w:rsidRDefault="00000000">
                          <w:pPr>
                            <w:spacing w:before="14"/>
                            <w:ind w:left="20"/>
                            <w:rPr>
                              <w:sz w:val="18"/>
                            </w:rPr>
                          </w:pPr>
                          <w:r>
                            <w:rPr>
                              <w:color w:val="004479"/>
                              <w:sz w:val="18"/>
                            </w:rPr>
                            <w:t>Página</w:t>
                          </w:r>
                          <w:r>
                            <w:rPr>
                              <w:color w:val="004479"/>
                              <w:spacing w:val="-5"/>
                              <w:sz w:val="18"/>
                            </w:rPr>
                            <w:t xml:space="preserve"> </w:t>
                          </w:r>
                          <w:r>
                            <w:rPr>
                              <w:color w:val="004479"/>
                              <w:spacing w:val="-5"/>
                              <w:sz w:val="18"/>
                            </w:rPr>
                            <w:fldChar w:fldCharType="begin"/>
                          </w:r>
                          <w:r>
                            <w:rPr>
                              <w:color w:val="004479"/>
                              <w:spacing w:val="-5"/>
                              <w:sz w:val="18"/>
                            </w:rPr>
                            <w:instrText xml:space="preserve"> PAGE </w:instrText>
                          </w:r>
                          <w:r>
                            <w:rPr>
                              <w:color w:val="004479"/>
                              <w:spacing w:val="-5"/>
                              <w:sz w:val="18"/>
                            </w:rPr>
                            <w:fldChar w:fldCharType="separate"/>
                          </w:r>
                          <w:r>
                            <w:rPr>
                              <w:color w:val="004479"/>
                              <w:spacing w:val="-5"/>
                              <w:sz w:val="18"/>
                            </w:rPr>
                            <w:t>100</w:t>
                          </w:r>
                          <w:r>
                            <w:rPr>
                              <w:color w:val="004479"/>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47" type="#_x0000_t202" style="position:absolute;margin-left:273.85pt;margin-top:802.6pt;width:47.55pt;height:12.1pt;z-index:-205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" filled="f" stroked="f">
              <v:textbox inset="0,0,0,0">
                <w:txbxContent>
                  <w:p w:rsidR="0092635B" w:rsidRDefault="00000000">
                    <w:pPr>
                      <w:spacing w:before="14"/>
                      <w:ind w:left="20"/>
                      <w:rPr>
                        <w:sz w:val="18"/>
                      </w:rPr>
                    </w:pPr>
                    <w:r>
                      <w:rPr>
                        <w:color w:val="004479"/>
                        <w:sz w:val="18"/>
                      </w:rPr>
                      <w:t>Página</w:t>
                    </w:r>
                    <w:r>
                      <w:rPr>
                        <w:color w:val="004479"/>
                        <w:spacing w:val="-5"/>
                        <w:sz w:val="18"/>
                      </w:rPr>
                      <w:t xml:space="preserve"> </w:t>
                    </w:r>
                    <w:r>
                      <w:rPr>
                        <w:color w:val="004479"/>
                        <w:spacing w:val="-5"/>
                        <w:sz w:val="18"/>
                      </w:rPr>
                      <w:fldChar w:fldCharType="begin"/>
                    </w:r>
                    <w:r>
                      <w:rPr>
                        <w:color w:val="004479"/>
                        <w:spacing w:val="-5"/>
                        <w:sz w:val="18"/>
                      </w:rPr>
                      <w:instrText xml:space="preserve"> PAGE </w:instrText>
                    </w:r>
                    <w:r>
                      <w:rPr>
                        <w:color w:val="004479"/>
                        <w:spacing w:val="-5"/>
                        <w:sz w:val="18"/>
                      </w:rPr>
                      <w:fldChar w:fldCharType="separate"/>
                    </w:r>
                    <w:r>
                      <w:rPr>
                        <w:color w:val="004479"/>
                        <w:spacing w:val="-5"/>
                        <w:sz w:val="18"/>
                      </w:rPr>
                      <w:t>100</w:t>
                    </w:r>
                    <w:r>
                      <w:rPr>
                        <w:color w:val="004479"/>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3C4B" w:rsidRDefault="00D33C4B">
      <w:r>
        <w:separator/>
      </w:r>
    </w:p>
  </w:footnote>
  <w:footnote w:type="continuationSeparator" w:id="0">
    <w:p w:rsidR="00D33C4B" w:rsidRDefault="00D33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635B" w:rsidRDefault="00000000">
    <w:pPr>
      <w:pStyle w:val="Textoindependiente"/>
      <w:spacing w:before="0" w:line="14" w:lineRule="auto"/>
      <w:ind w:left="0" w:firstLine="0"/>
      <w:jc w:val="left"/>
    </w:pPr>
    <w:r>
      <w:rPr>
        <w:noProof/>
      </w:rPr>
      <mc:AlternateContent>
        <mc:Choice Requires="wps">
          <w:drawing>
            <wp:anchor distT="0" distB="0" distL="0" distR="0" simplePos="0" relativeHeight="482737152" behindDoc="1" locked="0" layoutInCell="1" allowOverlap="1">
              <wp:simplePos x="0" y="0"/>
              <wp:positionH relativeFrom="page">
                <wp:posOffset>360000</wp:posOffset>
              </wp:positionH>
              <wp:positionV relativeFrom="page">
                <wp:posOffset>765570</wp:posOffset>
              </wp:positionV>
              <wp:extent cx="684022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47B34578" id="Graphic 7" o:spid="_x0000_s1026" style="position:absolute;margin-left:28.35pt;margin-top:60.3pt;width:538.6pt;height:.1pt;z-index:-20579328;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" path="m6840001,l,e" filled="f" strokecolor="#004479" strokeweight="1pt">
              <v:path arrowok="t"/>
              <w10:wrap anchorx="page" anchory="page"/>
            </v:shape>
          </w:pict>
        </mc:Fallback>
      </mc:AlternateContent>
    </w:r>
    <w:r>
      <w:rPr>
        <w:noProof/>
      </w:rPr>
      <mc:AlternateContent>
        <mc:Choice Requires="wps">
          <w:drawing>
            <wp:anchor distT="0" distB="0" distL="0" distR="0" simplePos="0" relativeHeight="482737664" behindDoc="1" locked="0" layoutInCell="1" allowOverlap="1">
              <wp:simplePos x="0" y="0"/>
              <wp:positionH relativeFrom="page">
                <wp:posOffset>2625527</wp:posOffset>
              </wp:positionH>
              <wp:positionV relativeFrom="page">
                <wp:posOffset>361230</wp:posOffset>
              </wp:positionV>
              <wp:extent cx="2308860" cy="3632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8860" cy="363220"/>
                      </a:xfrm>
                      <a:prstGeom prst="rect">
                        <a:avLst/>
                      </a:prstGeom>
                    </wps:spPr>
                    <wps:txbx>
                      <w:txbxContent>
                        <w:p w:rsidR="0092635B" w:rsidRDefault="00000000">
                          <w:pPr>
                            <w:spacing w:before="12"/>
                            <w:jc w:val="center"/>
                            <w:rPr>
                              <w:sz w:val="24"/>
                            </w:rPr>
                          </w:pPr>
                          <w:r>
                            <w:rPr>
                              <w:color w:val="004479"/>
                              <w:sz w:val="24"/>
                            </w:rPr>
                            <w:t>BOLETÍN</w:t>
                          </w:r>
                          <w:r>
                            <w:rPr>
                              <w:color w:val="004479"/>
                              <w:spacing w:val="-5"/>
                              <w:sz w:val="24"/>
                            </w:rPr>
                            <w:t xml:space="preserve"> </w:t>
                          </w:r>
                          <w:r>
                            <w:rPr>
                              <w:color w:val="004479"/>
                              <w:sz w:val="24"/>
                            </w:rPr>
                            <w:t>OFICIAL</w:t>
                          </w:r>
                          <w:r>
                            <w:rPr>
                              <w:color w:val="004479"/>
                              <w:spacing w:val="-5"/>
                              <w:sz w:val="24"/>
                            </w:rPr>
                            <w:t xml:space="preserve"> </w:t>
                          </w:r>
                          <w:r>
                            <w:rPr>
                              <w:color w:val="004479"/>
                              <w:sz w:val="24"/>
                            </w:rPr>
                            <w:t>DEL</w:t>
                          </w:r>
                          <w:r>
                            <w:rPr>
                              <w:color w:val="004479"/>
                              <w:spacing w:val="-4"/>
                              <w:sz w:val="24"/>
                            </w:rPr>
                            <w:t xml:space="preserve"> </w:t>
                          </w:r>
                          <w:r>
                            <w:rPr>
                              <w:color w:val="004479"/>
                              <w:spacing w:val="-2"/>
                              <w:sz w:val="24"/>
                            </w:rPr>
                            <w:t>ESTADO</w:t>
                          </w:r>
                        </w:p>
                        <w:p w:rsidR="0092635B" w:rsidRDefault="00000000">
                          <w:pPr>
                            <w:pStyle w:val="Textoindependiente"/>
                            <w:spacing w:before="34"/>
                            <w:ind w:left="0" w:firstLine="0"/>
                            <w:jc w:val="center"/>
                          </w:pPr>
                          <w:r>
                            <w:rPr>
                              <w:color w:val="004479"/>
                            </w:rPr>
                            <w:t>LEGISLACIÓN</w:t>
                          </w:r>
                          <w:r>
                            <w:rPr>
                              <w:color w:val="004479"/>
                              <w:spacing w:val="-10"/>
                            </w:rPr>
                            <w:t xml:space="preserve"> </w:t>
                          </w:r>
                          <w:r>
                            <w:rPr>
                              <w:color w:val="004479"/>
                              <w:spacing w:val="-2"/>
                            </w:rPr>
                            <w:t>CONSOLIDADA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46" type="#_x0000_t202" style="position:absolute;margin-left:206.75pt;margin-top:28.45pt;width:181.8pt;height:28.6pt;z-index:-205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" filled="f" stroked="f">
              <v:textbox inset="0,0,0,0">
                <w:txbxContent>
                  <w:p w:rsidR="0092635B" w:rsidRDefault="00000000">
                    <w:pPr>
                      <w:spacing w:before="12"/>
                      <w:jc w:val="center"/>
                      <w:rPr>
                        <w:sz w:val="24"/>
                      </w:rPr>
                    </w:pPr>
                    <w:r>
                      <w:rPr>
                        <w:color w:val="004479"/>
                        <w:sz w:val="24"/>
                      </w:rPr>
                      <w:t>BOLETÍN</w:t>
                    </w:r>
                    <w:r>
                      <w:rPr>
                        <w:color w:val="004479"/>
                        <w:spacing w:val="-5"/>
                        <w:sz w:val="24"/>
                      </w:rPr>
                      <w:t xml:space="preserve"> </w:t>
                    </w:r>
                    <w:r>
                      <w:rPr>
                        <w:color w:val="004479"/>
                        <w:sz w:val="24"/>
                      </w:rPr>
                      <w:t>OFICIAL</w:t>
                    </w:r>
                    <w:r>
                      <w:rPr>
                        <w:color w:val="004479"/>
                        <w:spacing w:val="-5"/>
                        <w:sz w:val="24"/>
                      </w:rPr>
                      <w:t xml:space="preserve"> </w:t>
                    </w:r>
                    <w:r>
                      <w:rPr>
                        <w:color w:val="004479"/>
                        <w:sz w:val="24"/>
                      </w:rPr>
                      <w:t>DEL</w:t>
                    </w:r>
                    <w:r>
                      <w:rPr>
                        <w:color w:val="004479"/>
                        <w:spacing w:val="-4"/>
                        <w:sz w:val="24"/>
                      </w:rPr>
                      <w:t xml:space="preserve"> </w:t>
                    </w:r>
                    <w:r>
                      <w:rPr>
                        <w:color w:val="004479"/>
                        <w:spacing w:val="-2"/>
                        <w:sz w:val="24"/>
                      </w:rPr>
                      <w:t>ESTADO</w:t>
                    </w:r>
                  </w:p>
                  <w:p w:rsidR="0092635B" w:rsidRDefault="00000000">
                    <w:pPr>
                      <w:pStyle w:val="Textoindependiente"/>
                      <w:spacing w:before="34"/>
                      <w:ind w:left="0" w:firstLine="0"/>
                      <w:jc w:val="center"/>
                    </w:pPr>
                    <w:r>
                      <w:rPr>
                        <w:color w:val="004479"/>
                      </w:rPr>
                      <w:t>LEGISLACIÓN</w:t>
                    </w:r>
                    <w:r>
                      <w:rPr>
                        <w:color w:val="004479"/>
                        <w:spacing w:val="-10"/>
                      </w:rPr>
                      <w:t xml:space="preserve"> </w:t>
                    </w:r>
                    <w:r>
                      <w:rPr>
                        <w:color w:val="004479"/>
                        <w:spacing w:val="-2"/>
                      </w:rPr>
                      <w:t>CONSOLIDADA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017"/>
    <w:multiLevelType w:val="hybridMultilevel"/>
    <w:tmpl w:val="61020F22"/>
    <w:lvl w:ilvl="0" w:tplc="E280E02E">
      <w:start w:val="1"/>
      <w:numFmt w:val="decimal"/>
      <w:lvlText w:val="%1."/>
      <w:lvlJc w:val="left"/>
      <w:pPr>
        <w:ind w:left="1106" w:hanging="253"/>
        <w:jc w:val="left"/>
      </w:pPr>
      <w:rPr>
        <w:rFonts w:ascii="Arial MT" w:eastAsia="Arial MT" w:hAnsi="Arial MT" w:cs="Arial MT" w:hint="default"/>
        <w:b w:val="0"/>
        <w:bCs w:val="0"/>
        <w:i w:val="0"/>
        <w:iCs w:val="0"/>
        <w:spacing w:val="0"/>
        <w:w w:val="100"/>
        <w:sz w:val="20"/>
        <w:szCs w:val="20"/>
        <w:lang w:val="es-ES" w:eastAsia="en-US" w:bidi="ar-SA"/>
      </w:rPr>
    </w:lvl>
    <w:lvl w:ilvl="1" w:tplc="F9025078">
      <w:start w:val="1"/>
      <w:numFmt w:val="lowerLetter"/>
      <w:lvlText w:val="%2)"/>
      <w:lvlJc w:val="left"/>
      <w:pPr>
        <w:ind w:left="1106" w:hanging="297"/>
        <w:jc w:val="left"/>
      </w:pPr>
      <w:rPr>
        <w:rFonts w:ascii="Arial MT" w:eastAsia="Arial MT" w:hAnsi="Arial MT" w:cs="Arial MT" w:hint="default"/>
        <w:b w:val="0"/>
        <w:bCs w:val="0"/>
        <w:i w:val="0"/>
        <w:iCs w:val="0"/>
        <w:spacing w:val="0"/>
        <w:w w:val="100"/>
        <w:sz w:val="20"/>
        <w:szCs w:val="20"/>
        <w:lang w:val="es-ES" w:eastAsia="en-US" w:bidi="ar-SA"/>
      </w:rPr>
    </w:lvl>
    <w:lvl w:ilvl="2" w:tplc="5DD4178A">
      <w:numFmt w:val="bullet"/>
      <w:lvlText w:val="•"/>
      <w:lvlJc w:val="left"/>
      <w:pPr>
        <w:ind w:left="2977" w:hanging="297"/>
      </w:pPr>
      <w:rPr>
        <w:rFonts w:hint="default"/>
        <w:lang w:val="es-ES" w:eastAsia="en-US" w:bidi="ar-SA"/>
      </w:rPr>
    </w:lvl>
    <w:lvl w:ilvl="3" w:tplc="4CD27112">
      <w:numFmt w:val="bullet"/>
      <w:lvlText w:val="•"/>
      <w:lvlJc w:val="left"/>
      <w:pPr>
        <w:ind w:left="3916" w:hanging="297"/>
      </w:pPr>
      <w:rPr>
        <w:rFonts w:hint="default"/>
        <w:lang w:val="es-ES" w:eastAsia="en-US" w:bidi="ar-SA"/>
      </w:rPr>
    </w:lvl>
    <w:lvl w:ilvl="4" w:tplc="2E2A88F0">
      <w:numFmt w:val="bullet"/>
      <w:lvlText w:val="•"/>
      <w:lvlJc w:val="left"/>
      <w:pPr>
        <w:ind w:left="4855" w:hanging="297"/>
      </w:pPr>
      <w:rPr>
        <w:rFonts w:hint="default"/>
        <w:lang w:val="es-ES" w:eastAsia="en-US" w:bidi="ar-SA"/>
      </w:rPr>
    </w:lvl>
    <w:lvl w:ilvl="5" w:tplc="04A6951E">
      <w:numFmt w:val="bullet"/>
      <w:lvlText w:val="•"/>
      <w:lvlJc w:val="left"/>
      <w:pPr>
        <w:ind w:left="5794" w:hanging="297"/>
      </w:pPr>
      <w:rPr>
        <w:rFonts w:hint="default"/>
        <w:lang w:val="es-ES" w:eastAsia="en-US" w:bidi="ar-SA"/>
      </w:rPr>
    </w:lvl>
    <w:lvl w:ilvl="6" w:tplc="255E12A0">
      <w:numFmt w:val="bullet"/>
      <w:lvlText w:val="•"/>
      <w:lvlJc w:val="left"/>
      <w:pPr>
        <w:ind w:left="6733" w:hanging="297"/>
      </w:pPr>
      <w:rPr>
        <w:rFonts w:hint="default"/>
        <w:lang w:val="es-ES" w:eastAsia="en-US" w:bidi="ar-SA"/>
      </w:rPr>
    </w:lvl>
    <w:lvl w:ilvl="7" w:tplc="C5669164">
      <w:numFmt w:val="bullet"/>
      <w:lvlText w:val="•"/>
      <w:lvlJc w:val="left"/>
      <w:pPr>
        <w:ind w:left="7672" w:hanging="297"/>
      </w:pPr>
      <w:rPr>
        <w:rFonts w:hint="default"/>
        <w:lang w:val="es-ES" w:eastAsia="en-US" w:bidi="ar-SA"/>
      </w:rPr>
    </w:lvl>
    <w:lvl w:ilvl="8" w:tplc="3836EEAE">
      <w:numFmt w:val="bullet"/>
      <w:lvlText w:val="•"/>
      <w:lvlJc w:val="left"/>
      <w:pPr>
        <w:ind w:left="8611" w:hanging="297"/>
      </w:pPr>
      <w:rPr>
        <w:rFonts w:hint="default"/>
        <w:lang w:val="es-ES" w:eastAsia="en-US" w:bidi="ar-SA"/>
      </w:rPr>
    </w:lvl>
  </w:abstractNum>
  <w:abstractNum w:abstractNumId="1" w15:restartNumberingAfterBreak="0">
    <w:nsid w:val="02146A31"/>
    <w:multiLevelType w:val="hybridMultilevel"/>
    <w:tmpl w:val="2FF06D18"/>
    <w:lvl w:ilvl="0" w:tplc="C778E668">
      <w:start w:val="1"/>
      <w:numFmt w:val="decimal"/>
      <w:lvlText w:val="%1."/>
      <w:lvlJc w:val="left"/>
      <w:pPr>
        <w:ind w:left="1106" w:hanging="286"/>
        <w:jc w:val="left"/>
      </w:pPr>
      <w:rPr>
        <w:rFonts w:ascii="Arial MT" w:eastAsia="Arial MT" w:hAnsi="Arial MT" w:cs="Arial MT" w:hint="default"/>
        <w:b w:val="0"/>
        <w:bCs w:val="0"/>
        <w:i w:val="0"/>
        <w:iCs w:val="0"/>
        <w:spacing w:val="0"/>
        <w:w w:val="100"/>
        <w:sz w:val="20"/>
        <w:szCs w:val="20"/>
        <w:lang w:val="es-ES" w:eastAsia="en-US" w:bidi="ar-SA"/>
      </w:rPr>
    </w:lvl>
    <w:lvl w:ilvl="1" w:tplc="A6881AE6">
      <w:numFmt w:val="bullet"/>
      <w:lvlText w:val="•"/>
      <w:lvlJc w:val="left"/>
      <w:pPr>
        <w:ind w:left="2038" w:hanging="286"/>
      </w:pPr>
      <w:rPr>
        <w:rFonts w:hint="default"/>
        <w:lang w:val="es-ES" w:eastAsia="en-US" w:bidi="ar-SA"/>
      </w:rPr>
    </w:lvl>
    <w:lvl w:ilvl="2" w:tplc="4998DFB6">
      <w:numFmt w:val="bullet"/>
      <w:lvlText w:val="•"/>
      <w:lvlJc w:val="left"/>
      <w:pPr>
        <w:ind w:left="2977" w:hanging="286"/>
      </w:pPr>
      <w:rPr>
        <w:rFonts w:hint="default"/>
        <w:lang w:val="es-ES" w:eastAsia="en-US" w:bidi="ar-SA"/>
      </w:rPr>
    </w:lvl>
    <w:lvl w:ilvl="3" w:tplc="CB7A91C2">
      <w:numFmt w:val="bullet"/>
      <w:lvlText w:val="•"/>
      <w:lvlJc w:val="left"/>
      <w:pPr>
        <w:ind w:left="3916" w:hanging="286"/>
      </w:pPr>
      <w:rPr>
        <w:rFonts w:hint="default"/>
        <w:lang w:val="es-ES" w:eastAsia="en-US" w:bidi="ar-SA"/>
      </w:rPr>
    </w:lvl>
    <w:lvl w:ilvl="4" w:tplc="27789F84">
      <w:numFmt w:val="bullet"/>
      <w:lvlText w:val="•"/>
      <w:lvlJc w:val="left"/>
      <w:pPr>
        <w:ind w:left="4855" w:hanging="286"/>
      </w:pPr>
      <w:rPr>
        <w:rFonts w:hint="default"/>
        <w:lang w:val="es-ES" w:eastAsia="en-US" w:bidi="ar-SA"/>
      </w:rPr>
    </w:lvl>
    <w:lvl w:ilvl="5" w:tplc="0FF6B852">
      <w:numFmt w:val="bullet"/>
      <w:lvlText w:val="•"/>
      <w:lvlJc w:val="left"/>
      <w:pPr>
        <w:ind w:left="5794" w:hanging="286"/>
      </w:pPr>
      <w:rPr>
        <w:rFonts w:hint="default"/>
        <w:lang w:val="es-ES" w:eastAsia="en-US" w:bidi="ar-SA"/>
      </w:rPr>
    </w:lvl>
    <w:lvl w:ilvl="6" w:tplc="9650E1AE">
      <w:numFmt w:val="bullet"/>
      <w:lvlText w:val="•"/>
      <w:lvlJc w:val="left"/>
      <w:pPr>
        <w:ind w:left="6733" w:hanging="286"/>
      </w:pPr>
      <w:rPr>
        <w:rFonts w:hint="default"/>
        <w:lang w:val="es-ES" w:eastAsia="en-US" w:bidi="ar-SA"/>
      </w:rPr>
    </w:lvl>
    <w:lvl w:ilvl="7" w:tplc="7512D822">
      <w:numFmt w:val="bullet"/>
      <w:lvlText w:val="•"/>
      <w:lvlJc w:val="left"/>
      <w:pPr>
        <w:ind w:left="7672" w:hanging="286"/>
      </w:pPr>
      <w:rPr>
        <w:rFonts w:hint="default"/>
        <w:lang w:val="es-ES" w:eastAsia="en-US" w:bidi="ar-SA"/>
      </w:rPr>
    </w:lvl>
    <w:lvl w:ilvl="8" w:tplc="1848E02A">
      <w:numFmt w:val="bullet"/>
      <w:lvlText w:val="•"/>
      <w:lvlJc w:val="left"/>
      <w:pPr>
        <w:ind w:left="8611" w:hanging="286"/>
      </w:pPr>
      <w:rPr>
        <w:rFonts w:hint="default"/>
        <w:lang w:val="es-ES" w:eastAsia="en-US" w:bidi="ar-SA"/>
      </w:rPr>
    </w:lvl>
  </w:abstractNum>
  <w:abstractNum w:abstractNumId="2" w15:restartNumberingAfterBreak="0">
    <w:nsid w:val="027A2923"/>
    <w:multiLevelType w:val="hybridMultilevel"/>
    <w:tmpl w:val="A8C8A560"/>
    <w:lvl w:ilvl="0" w:tplc="E8464828">
      <w:start w:val="1"/>
      <w:numFmt w:val="decimal"/>
      <w:lvlText w:val="%1."/>
      <w:lvlJc w:val="left"/>
      <w:pPr>
        <w:ind w:left="1106" w:hanging="301"/>
        <w:jc w:val="left"/>
      </w:pPr>
      <w:rPr>
        <w:rFonts w:ascii="Arial MT" w:eastAsia="Arial MT" w:hAnsi="Arial MT" w:cs="Arial MT" w:hint="default"/>
        <w:b w:val="0"/>
        <w:bCs w:val="0"/>
        <w:i w:val="0"/>
        <w:iCs w:val="0"/>
        <w:spacing w:val="0"/>
        <w:w w:val="100"/>
        <w:sz w:val="20"/>
        <w:szCs w:val="20"/>
        <w:lang w:val="es-ES" w:eastAsia="en-US" w:bidi="ar-SA"/>
      </w:rPr>
    </w:lvl>
    <w:lvl w:ilvl="1" w:tplc="B2FCDBF0">
      <w:start w:val="1"/>
      <w:numFmt w:val="lowerLetter"/>
      <w:lvlText w:val="%2)"/>
      <w:lvlJc w:val="left"/>
      <w:pPr>
        <w:ind w:left="1106" w:hanging="306"/>
        <w:jc w:val="left"/>
      </w:pPr>
      <w:rPr>
        <w:rFonts w:ascii="Arial MT" w:eastAsia="Arial MT" w:hAnsi="Arial MT" w:cs="Arial MT" w:hint="default"/>
        <w:b w:val="0"/>
        <w:bCs w:val="0"/>
        <w:i w:val="0"/>
        <w:iCs w:val="0"/>
        <w:spacing w:val="0"/>
        <w:w w:val="100"/>
        <w:sz w:val="20"/>
        <w:szCs w:val="20"/>
        <w:lang w:val="es-ES" w:eastAsia="en-US" w:bidi="ar-SA"/>
      </w:rPr>
    </w:lvl>
    <w:lvl w:ilvl="2" w:tplc="2940D7F8">
      <w:numFmt w:val="bullet"/>
      <w:lvlText w:val="•"/>
      <w:lvlJc w:val="left"/>
      <w:pPr>
        <w:ind w:left="2977" w:hanging="306"/>
      </w:pPr>
      <w:rPr>
        <w:rFonts w:hint="default"/>
        <w:lang w:val="es-ES" w:eastAsia="en-US" w:bidi="ar-SA"/>
      </w:rPr>
    </w:lvl>
    <w:lvl w:ilvl="3" w:tplc="F2E24B24">
      <w:numFmt w:val="bullet"/>
      <w:lvlText w:val="•"/>
      <w:lvlJc w:val="left"/>
      <w:pPr>
        <w:ind w:left="3916" w:hanging="306"/>
      </w:pPr>
      <w:rPr>
        <w:rFonts w:hint="default"/>
        <w:lang w:val="es-ES" w:eastAsia="en-US" w:bidi="ar-SA"/>
      </w:rPr>
    </w:lvl>
    <w:lvl w:ilvl="4" w:tplc="27927D3C">
      <w:numFmt w:val="bullet"/>
      <w:lvlText w:val="•"/>
      <w:lvlJc w:val="left"/>
      <w:pPr>
        <w:ind w:left="4855" w:hanging="306"/>
      </w:pPr>
      <w:rPr>
        <w:rFonts w:hint="default"/>
        <w:lang w:val="es-ES" w:eastAsia="en-US" w:bidi="ar-SA"/>
      </w:rPr>
    </w:lvl>
    <w:lvl w:ilvl="5" w:tplc="C8EC7AA8">
      <w:numFmt w:val="bullet"/>
      <w:lvlText w:val="•"/>
      <w:lvlJc w:val="left"/>
      <w:pPr>
        <w:ind w:left="5794" w:hanging="306"/>
      </w:pPr>
      <w:rPr>
        <w:rFonts w:hint="default"/>
        <w:lang w:val="es-ES" w:eastAsia="en-US" w:bidi="ar-SA"/>
      </w:rPr>
    </w:lvl>
    <w:lvl w:ilvl="6" w:tplc="FF3C5110">
      <w:numFmt w:val="bullet"/>
      <w:lvlText w:val="•"/>
      <w:lvlJc w:val="left"/>
      <w:pPr>
        <w:ind w:left="6733" w:hanging="306"/>
      </w:pPr>
      <w:rPr>
        <w:rFonts w:hint="default"/>
        <w:lang w:val="es-ES" w:eastAsia="en-US" w:bidi="ar-SA"/>
      </w:rPr>
    </w:lvl>
    <w:lvl w:ilvl="7" w:tplc="6C92A820">
      <w:numFmt w:val="bullet"/>
      <w:lvlText w:val="•"/>
      <w:lvlJc w:val="left"/>
      <w:pPr>
        <w:ind w:left="7672" w:hanging="306"/>
      </w:pPr>
      <w:rPr>
        <w:rFonts w:hint="default"/>
        <w:lang w:val="es-ES" w:eastAsia="en-US" w:bidi="ar-SA"/>
      </w:rPr>
    </w:lvl>
    <w:lvl w:ilvl="8" w:tplc="4F226522">
      <w:numFmt w:val="bullet"/>
      <w:lvlText w:val="•"/>
      <w:lvlJc w:val="left"/>
      <w:pPr>
        <w:ind w:left="8611" w:hanging="306"/>
      </w:pPr>
      <w:rPr>
        <w:rFonts w:hint="default"/>
        <w:lang w:val="es-ES" w:eastAsia="en-US" w:bidi="ar-SA"/>
      </w:rPr>
    </w:lvl>
  </w:abstractNum>
  <w:abstractNum w:abstractNumId="3" w15:restartNumberingAfterBreak="0">
    <w:nsid w:val="02941138"/>
    <w:multiLevelType w:val="hybridMultilevel"/>
    <w:tmpl w:val="6E8C6A5C"/>
    <w:lvl w:ilvl="0" w:tplc="EE086FA2">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1D78FD62">
      <w:numFmt w:val="bullet"/>
      <w:lvlText w:val="•"/>
      <w:lvlJc w:val="left"/>
      <w:pPr>
        <w:ind w:left="2038" w:hanging="229"/>
      </w:pPr>
      <w:rPr>
        <w:rFonts w:hint="default"/>
        <w:lang w:val="es-ES" w:eastAsia="en-US" w:bidi="ar-SA"/>
      </w:rPr>
    </w:lvl>
    <w:lvl w:ilvl="2" w:tplc="317238C8">
      <w:numFmt w:val="bullet"/>
      <w:lvlText w:val="•"/>
      <w:lvlJc w:val="left"/>
      <w:pPr>
        <w:ind w:left="2977" w:hanging="229"/>
      </w:pPr>
      <w:rPr>
        <w:rFonts w:hint="default"/>
        <w:lang w:val="es-ES" w:eastAsia="en-US" w:bidi="ar-SA"/>
      </w:rPr>
    </w:lvl>
    <w:lvl w:ilvl="3" w:tplc="9C6C858A">
      <w:numFmt w:val="bullet"/>
      <w:lvlText w:val="•"/>
      <w:lvlJc w:val="left"/>
      <w:pPr>
        <w:ind w:left="3916" w:hanging="229"/>
      </w:pPr>
      <w:rPr>
        <w:rFonts w:hint="default"/>
        <w:lang w:val="es-ES" w:eastAsia="en-US" w:bidi="ar-SA"/>
      </w:rPr>
    </w:lvl>
    <w:lvl w:ilvl="4" w:tplc="906E30A0">
      <w:numFmt w:val="bullet"/>
      <w:lvlText w:val="•"/>
      <w:lvlJc w:val="left"/>
      <w:pPr>
        <w:ind w:left="4855" w:hanging="229"/>
      </w:pPr>
      <w:rPr>
        <w:rFonts w:hint="default"/>
        <w:lang w:val="es-ES" w:eastAsia="en-US" w:bidi="ar-SA"/>
      </w:rPr>
    </w:lvl>
    <w:lvl w:ilvl="5" w:tplc="F836FB6A">
      <w:numFmt w:val="bullet"/>
      <w:lvlText w:val="•"/>
      <w:lvlJc w:val="left"/>
      <w:pPr>
        <w:ind w:left="5794" w:hanging="229"/>
      </w:pPr>
      <w:rPr>
        <w:rFonts w:hint="default"/>
        <w:lang w:val="es-ES" w:eastAsia="en-US" w:bidi="ar-SA"/>
      </w:rPr>
    </w:lvl>
    <w:lvl w:ilvl="6" w:tplc="DE0C165E">
      <w:numFmt w:val="bullet"/>
      <w:lvlText w:val="•"/>
      <w:lvlJc w:val="left"/>
      <w:pPr>
        <w:ind w:left="6733" w:hanging="229"/>
      </w:pPr>
      <w:rPr>
        <w:rFonts w:hint="default"/>
        <w:lang w:val="es-ES" w:eastAsia="en-US" w:bidi="ar-SA"/>
      </w:rPr>
    </w:lvl>
    <w:lvl w:ilvl="7" w:tplc="8D5EC2B4">
      <w:numFmt w:val="bullet"/>
      <w:lvlText w:val="•"/>
      <w:lvlJc w:val="left"/>
      <w:pPr>
        <w:ind w:left="7672" w:hanging="229"/>
      </w:pPr>
      <w:rPr>
        <w:rFonts w:hint="default"/>
        <w:lang w:val="es-ES" w:eastAsia="en-US" w:bidi="ar-SA"/>
      </w:rPr>
    </w:lvl>
    <w:lvl w:ilvl="8" w:tplc="2C426BC4">
      <w:numFmt w:val="bullet"/>
      <w:lvlText w:val="•"/>
      <w:lvlJc w:val="left"/>
      <w:pPr>
        <w:ind w:left="8611" w:hanging="229"/>
      </w:pPr>
      <w:rPr>
        <w:rFonts w:hint="default"/>
        <w:lang w:val="es-ES" w:eastAsia="en-US" w:bidi="ar-SA"/>
      </w:rPr>
    </w:lvl>
  </w:abstractNum>
  <w:abstractNum w:abstractNumId="4" w15:restartNumberingAfterBreak="0">
    <w:nsid w:val="033D74F2"/>
    <w:multiLevelType w:val="hybridMultilevel"/>
    <w:tmpl w:val="6E32DB10"/>
    <w:lvl w:ilvl="0" w:tplc="A5680CB6">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F01C003E">
      <w:numFmt w:val="bullet"/>
      <w:lvlText w:val="•"/>
      <w:lvlJc w:val="left"/>
      <w:pPr>
        <w:ind w:left="2038" w:hanging="245"/>
      </w:pPr>
      <w:rPr>
        <w:rFonts w:hint="default"/>
        <w:lang w:val="es-ES" w:eastAsia="en-US" w:bidi="ar-SA"/>
      </w:rPr>
    </w:lvl>
    <w:lvl w:ilvl="2" w:tplc="980C771A">
      <w:numFmt w:val="bullet"/>
      <w:lvlText w:val="•"/>
      <w:lvlJc w:val="left"/>
      <w:pPr>
        <w:ind w:left="2977" w:hanging="245"/>
      </w:pPr>
      <w:rPr>
        <w:rFonts w:hint="default"/>
        <w:lang w:val="es-ES" w:eastAsia="en-US" w:bidi="ar-SA"/>
      </w:rPr>
    </w:lvl>
    <w:lvl w:ilvl="3" w:tplc="C6E84F3E">
      <w:numFmt w:val="bullet"/>
      <w:lvlText w:val="•"/>
      <w:lvlJc w:val="left"/>
      <w:pPr>
        <w:ind w:left="3916" w:hanging="245"/>
      </w:pPr>
      <w:rPr>
        <w:rFonts w:hint="default"/>
        <w:lang w:val="es-ES" w:eastAsia="en-US" w:bidi="ar-SA"/>
      </w:rPr>
    </w:lvl>
    <w:lvl w:ilvl="4" w:tplc="5C9C6B38">
      <w:numFmt w:val="bullet"/>
      <w:lvlText w:val="•"/>
      <w:lvlJc w:val="left"/>
      <w:pPr>
        <w:ind w:left="4855" w:hanging="245"/>
      </w:pPr>
      <w:rPr>
        <w:rFonts w:hint="default"/>
        <w:lang w:val="es-ES" w:eastAsia="en-US" w:bidi="ar-SA"/>
      </w:rPr>
    </w:lvl>
    <w:lvl w:ilvl="5" w:tplc="C1B24EDE">
      <w:numFmt w:val="bullet"/>
      <w:lvlText w:val="•"/>
      <w:lvlJc w:val="left"/>
      <w:pPr>
        <w:ind w:left="5794" w:hanging="245"/>
      </w:pPr>
      <w:rPr>
        <w:rFonts w:hint="default"/>
        <w:lang w:val="es-ES" w:eastAsia="en-US" w:bidi="ar-SA"/>
      </w:rPr>
    </w:lvl>
    <w:lvl w:ilvl="6" w:tplc="1054A4AC">
      <w:numFmt w:val="bullet"/>
      <w:lvlText w:val="•"/>
      <w:lvlJc w:val="left"/>
      <w:pPr>
        <w:ind w:left="6733" w:hanging="245"/>
      </w:pPr>
      <w:rPr>
        <w:rFonts w:hint="default"/>
        <w:lang w:val="es-ES" w:eastAsia="en-US" w:bidi="ar-SA"/>
      </w:rPr>
    </w:lvl>
    <w:lvl w:ilvl="7" w:tplc="DFBA9B92">
      <w:numFmt w:val="bullet"/>
      <w:lvlText w:val="•"/>
      <w:lvlJc w:val="left"/>
      <w:pPr>
        <w:ind w:left="7672" w:hanging="245"/>
      </w:pPr>
      <w:rPr>
        <w:rFonts w:hint="default"/>
        <w:lang w:val="es-ES" w:eastAsia="en-US" w:bidi="ar-SA"/>
      </w:rPr>
    </w:lvl>
    <w:lvl w:ilvl="8" w:tplc="A63E2E20">
      <w:numFmt w:val="bullet"/>
      <w:lvlText w:val="•"/>
      <w:lvlJc w:val="left"/>
      <w:pPr>
        <w:ind w:left="8611" w:hanging="245"/>
      </w:pPr>
      <w:rPr>
        <w:rFonts w:hint="default"/>
        <w:lang w:val="es-ES" w:eastAsia="en-US" w:bidi="ar-SA"/>
      </w:rPr>
    </w:lvl>
  </w:abstractNum>
  <w:abstractNum w:abstractNumId="5" w15:restartNumberingAfterBreak="0">
    <w:nsid w:val="04322C41"/>
    <w:multiLevelType w:val="hybridMultilevel"/>
    <w:tmpl w:val="0590BA6A"/>
    <w:lvl w:ilvl="0" w:tplc="22A699AE">
      <w:start w:val="1"/>
      <w:numFmt w:val="decimal"/>
      <w:lvlText w:val="%1."/>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1" w:tplc="465A4DFE">
      <w:numFmt w:val="bullet"/>
      <w:lvlText w:val="•"/>
      <w:lvlJc w:val="left"/>
      <w:pPr>
        <w:ind w:left="2038" w:hanging="241"/>
      </w:pPr>
      <w:rPr>
        <w:rFonts w:hint="default"/>
        <w:lang w:val="es-ES" w:eastAsia="en-US" w:bidi="ar-SA"/>
      </w:rPr>
    </w:lvl>
    <w:lvl w:ilvl="2" w:tplc="83C46158">
      <w:numFmt w:val="bullet"/>
      <w:lvlText w:val="•"/>
      <w:lvlJc w:val="left"/>
      <w:pPr>
        <w:ind w:left="2977" w:hanging="241"/>
      </w:pPr>
      <w:rPr>
        <w:rFonts w:hint="default"/>
        <w:lang w:val="es-ES" w:eastAsia="en-US" w:bidi="ar-SA"/>
      </w:rPr>
    </w:lvl>
    <w:lvl w:ilvl="3" w:tplc="FDB801D6">
      <w:numFmt w:val="bullet"/>
      <w:lvlText w:val="•"/>
      <w:lvlJc w:val="left"/>
      <w:pPr>
        <w:ind w:left="3916" w:hanging="241"/>
      </w:pPr>
      <w:rPr>
        <w:rFonts w:hint="default"/>
        <w:lang w:val="es-ES" w:eastAsia="en-US" w:bidi="ar-SA"/>
      </w:rPr>
    </w:lvl>
    <w:lvl w:ilvl="4" w:tplc="EF043592">
      <w:numFmt w:val="bullet"/>
      <w:lvlText w:val="•"/>
      <w:lvlJc w:val="left"/>
      <w:pPr>
        <w:ind w:left="4855" w:hanging="241"/>
      </w:pPr>
      <w:rPr>
        <w:rFonts w:hint="default"/>
        <w:lang w:val="es-ES" w:eastAsia="en-US" w:bidi="ar-SA"/>
      </w:rPr>
    </w:lvl>
    <w:lvl w:ilvl="5" w:tplc="B4AA5A90">
      <w:numFmt w:val="bullet"/>
      <w:lvlText w:val="•"/>
      <w:lvlJc w:val="left"/>
      <w:pPr>
        <w:ind w:left="5794" w:hanging="241"/>
      </w:pPr>
      <w:rPr>
        <w:rFonts w:hint="default"/>
        <w:lang w:val="es-ES" w:eastAsia="en-US" w:bidi="ar-SA"/>
      </w:rPr>
    </w:lvl>
    <w:lvl w:ilvl="6" w:tplc="CDB64D8C">
      <w:numFmt w:val="bullet"/>
      <w:lvlText w:val="•"/>
      <w:lvlJc w:val="left"/>
      <w:pPr>
        <w:ind w:left="6733" w:hanging="241"/>
      </w:pPr>
      <w:rPr>
        <w:rFonts w:hint="default"/>
        <w:lang w:val="es-ES" w:eastAsia="en-US" w:bidi="ar-SA"/>
      </w:rPr>
    </w:lvl>
    <w:lvl w:ilvl="7" w:tplc="5D40CE6C">
      <w:numFmt w:val="bullet"/>
      <w:lvlText w:val="•"/>
      <w:lvlJc w:val="left"/>
      <w:pPr>
        <w:ind w:left="7672" w:hanging="241"/>
      </w:pPr>
      <w:rPr>
        <w:rFonts w:hint="default"/>
        <w:lang w:val="es-ES" w:eastAsia="en-US" w:bidi="ar-SA"/>
      </w:rPr>
    </w:lvl>
    <w:lvl w:ilvl="8" w:tplc="BD26F868">
      <w:numFmt w:val="bullet"/>
      <w:lvlText w:val="•"/>
      <w:lvlJc w:val="left"/>
      <w:pPr>
        <w:ind w:left="8611" w:hanging="241"/>
      </w:pPr>
      <w:rPr>
        <w:rFonts w:hint="default"/>
        <w:lang w:val="es-ES" w:eastAsia="en-US" w:bidi="ar-SA"/>
      </w:rPr>
    </w:lvl>
  </w:abstractNum>
  <w:abstractNum w:abstractNumId="6" w15:restartNumberingAfterBreak="0">
    <w:nsid w:val="046A0B7B"/>
    <w:multiLevelType w:val="hybridMultilevel"/>
    <w:tmpl w:val="4522857A"/>
    <w:lvl w:ilvl="0" w:tplc="25C2F338">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51FA61E0">
      <w:start w:val="1"/>
      <w:numFmt w:val="lowerLetter"/>
      <w:lvlText w:val="%2)"/>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2" w:tplc="3502188A">
      <w:numFmt w:val="bullet"/>
      <w:lvlText w:val="•"/>
      <w:lvlJc w:val="left"/>
      <w:pPr>
        <w:ind w:left="2977" w:hanging="251"/>
      </w:pPr>
      <w:rPr>
        <w:rFonts w:hint="default"/>
        <w:lang w:val="es-ES" w:eastAsia="en-US" w:bidi="ar-SA"/>
      </w:rPr>
    </w:lvl>
    <w:lvl w:ilvl="3" w:tplc="BEB26512">
      <w:numFmt w:val="bullet"/>
      <w:lvlText w:val="•"/>
      <w:lvlJc w:val="left"/>
      <w:pPr>
        <w:ind w:left="3916" w:hanging="251"/>
      </w:pPr>
      <w:rPr>
        <w:rFonts w:hint="default"/>
        <w:lang w:val="es-ES" w:eastAsia="en-US" w:bidi="ar-SA"/>
      </w:rPr>
    </w:lvl>
    <w:lvl w:ilvl="4" w:tplc="D9040E18">
      <w:numFmt w:val="bullet"/>
      <w:lvlText w:val="•"/>
      <w:lvlJc w:val="left"/>
      <w:pPr>
        <w:ind w:left="4855" w:hanging="251"/>
      </w:pPr>
      <w:rPr>
        <w:rFonts w:hint="default"/>
        <w:lang w:val="es-ES" w:eastAsia="en-US" w:bidi="ar-SA"/>
      </w:rPr>
    </w:lvl>
    <w:lvl w:ilvl="5" w:tplc="EBB2A0B6">
      <w:numFmt w:val="bullet"/>
      <w:lvlText w:val="•"/>
      <w:lvlJc w:val="left"/>
      <w:pPr>
        <w:ind w:left="5794" w:hanging="251"/>
      </w:pPr>
      <w:rPr>
        <w:rFonts w:hint="default"/>
        <w:lang w:val="es-ES" w:eastAsia="en-US" w:bidi="ar-SA"/>
      </w:rPr>
    </w:lvl>
    <w:lvl w:ilvl="6" w:tplc="03DEC278">
      <w:numFmt w:val="bullet"/>
      <w:lvlText w:val="•"/>
      <w:lvlJc w:val="left"/>
      <w:pPr>
        <w:ind w:left="6733" w:hanging="251"/>
      </w:pPr>
      <w:rPr>
        <w:rFonts w:hint="default"/>
        <w:lang w:val="es-ES" w:eastAsia="en-US" w:bidi="ar-SA"/>
      </w:rPr>
    </w:lvl>
    <w:lvl w:ilvl="7" w:tplc="0A98B60C">
      <w:numFmt w:val="bullet"/>
      <w:lvlText w:val="•"/>
      <w:lvlJc w:val="left"/>
      <w:pPr>
        <w:ind w:left="7672" w:hanging="251"/>
      </w:pPr>
      <w:rPr>
        <w:rFonts w:hint="default"/>
        <w:lang w:val="es-ES" w:eastAsia="en-US" w:bidi="ar-SA"/>
      </w:rPr>
    </w:lvl>
    <w:lvl w:ilvl="8" w:tplc="5C047CF8">
      <w:numFmt w:val="bullet"/>
      <w:lvlText w:val="•"/>
      <w:lvlJc w:val="left"/>
      <w:pPr>
        <w:ind w:left="8611" w:hanging="251"/>
      </w:pPr>
      <w:rPr>
        <w:rFonts w:hint="default"/>
        <w:lang w:val="es-ES" w:eastAsia="en-US" w:bidi="ar-SA"/>
      </w:rPr>
    </w:lvl>
  </w:abstractNum>
  <w:abstractNum w:abstractNumId="7" w15:restartNumberingAfterBreak="0">
    <w:nsid w:val="04EC730A"/>
    <w:multiLevelType w:val="hybridMultilevel"/>
    <w:tmpl w:val="42F4E148"/>
    <w:lvl w:ilvl="0" w:tplc="1F38E814">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DCCAD1DA">
      <w:numFmt w:val="bullet"/>
      <w:lvlText w:val="•"/>
      <w:lvlJc w:val="left"/>
      <w:pPr>
        <w:ind w:left="2038" w:hanging="237"/>
      </w:pPr>
      <w:rPr>
        <w:rFonts w:hint="default"/>
        <w:lang w:val="es-ES" w:eastAsia="en-US" w:bidi="ar-SA"/>
      </w:rPr>
    </w:lvl>
    <w:lvl w:ilvl="2" w:tplc="44586930">
      <w:numFmt w:val="bullet"/>
      <w:lvlText w:val="•"/>
      <w:lvlJc w:val="left"/>
      <w:pPr>
        <w:ind w:left="2977" w:hanging="237"/>
      </w:pPr>
      <w:rPr>
        <w:rFonts w:hint="default"/>
        <w:lang w:val="es-ES" w:eastAsia="en-US" w:bidi="ar-SA"/>
      </w:rPr>
    </w:lvl>
    <w:lvl w:ilvl="3" w:tplc="DC9CE51E">
      <w:numFmt w:val="bullet"/>
      <w:lvlText w:val="•"/>
      <w:lvlJc w:val="left"/>
      <w:pPr>
        <w:ind w:left="3916" w:hanging="237"/>
      </w:pPr>
      <w:rPr>
        <w:rFonts w:hint="default"/>
        <w:lang w:val="es-ES" w:eastAsia="en-US" w:bidi="ar-SA"/>
      </w:rPr>
    </w:lvl>
    <w:lvl w:ilvl="4" w:tplc="53485CFE">
      <w:numFmt w:val="bullet"/>
      <w:lvlText w:val="•"/>
      <w:lvlJc w:val="left"/>
      <w:pPr>
        <w:ind w:left="4855" w:hanging="237"/>
      </w:pPr>
      <w:rPr>
        <w:rFonts w:hint="default"/>
        <w:lang w:val="es-ES" w:eastAsia="en-US" w:bidi="ar-SA"/>
      </w:rPr>
    </w:lvl>
    <w:lvl w:ilvl="5" w:tplc="E6AE2720">
      <w:numFmt w:val="bullet"/>
      <w:lvlText w:val="•"/>
      <w:lvlJc w:val="left"/>
      <w:pPr>
        <w:ind w:left="5794" w:hanging="237"/>
      </w:pPr>
      <w:rPr>
        <w:rFonts w:hint="default"/>
        <w:lang w:val="es-ES" w:eastAsia="en-US" w:bidi="ar-SA"/>
      </w:rPr>
    </w:lvl>
    <w:lvl w:ilvl="6" w:tplc="720E089E">
      <w:numFmt w:val="bullet"/>
      <w:lvlText w:val="•"/>
      <w:lvlJc w:val="left"/>
      <w:pPr>
        <w:ind w:left="6733" w:hanging="237"/>
      </w:pPr>
      <w:rPr>
        <w:rFonts w:hint="default"/>
        <w:lang w:val="es-ES" w:eastAsia="en-US" w:bidi="ar-SA"/>
      </w:rPr>
    </w:lvl>
    <w:lvl w:ilvl="7" w:tplc="F9083F60">
      <w:numFmt w:val="bullet"/>
      <w:lvlText w:val="•"/>
      <w:lvlJc w:val="left"/>
      <w:pPr>
        <w:ind w:left="7672" w:hanging="237"/>
      </w:pPr>
      <w:rPr>
        <w:rFonts w:hint="default"/>
        <w:lang w:val="es-ES" w:eastAsia="en-US" w:bidi="ar-SA"/>
      </w:rPr>
    </w:lvl>
    <w:lvl w:ilvl="8" w:tplc="94AAA226">
      <w:numFmt w:val="bullet"/>
      <w:lvlText w:val="•"/>
      <w:lvlJc w:val="left"/>
      <w:pPr>
        <w:ind w:left="8611" w:hanging="237"/>
      </w:pPr>
      <w:rPr>
        <w:rFonts w:hint="default"/>
        <w:lang w:val="es-ES" w:eastAsia="en-US" w:bidi="ar-SA"/>
      </w:rPr>
    </w:lvl>
  </w:abstractNum>
  <w:abstractNum w:abstractNumId="8" w15:restartNumberingAfterBreak="0">
    <w:nsid w:val="053E4B30"/>
    <w:multiLevelType w:val="hybridMultilevel"/>
    <w:tmpl w:val="80885D66"/>
    <w:lvl w:ilvl="0" w:tplc="6DF8202C">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BE264014">
      <w:start w:val="1"/>
      <w:numFmt w:val="lowerLetter"/>
      <w:lvlText w:val="%2)"/>
      <w:lvlJc w:val="left"/>
      <w:pPr>
        <w:ind w:left="1106" w:hanging="254"/>
        <w:jc w:val="left"/>
      </w:pPr>
      <w:rPr>
        <w:rFonts w:ascii="Arial MT" w:eastAsia="Arial MT" w:hAnsi="Arial MT" w:cs="Arial MT" w:hint="default"/>
        <w:b w:val="0"/>
        <w:bCs w:val="0"/>
        <w:i w:val="0"/>
        <w:iCs w:val="0"/>
        <w:spacing w:val="0"/>
        <w:w w:val="100"/>
        <w:sz w:val="20"/>
        <w:szCs w:val="20"/>
        <w:lang w:val="es-ES" w:eastAsia="en-US" w:bidi="ar-SA"/>
      </w:rPr>
    </w:lvl>
    <w:lvl w:ilvl="2" w:tplc="A6688C42">
      <w:numFmt w:val="bullet"/>
      <w:lvlText w:val="•"/>
      <w:lvlJc w:val="left"/>
      <w:pPr>
        <w:ind w:left="2977" w:hanging="254"/>
      </w:pPr>
      <w:rPr>
        <w:rFonts w:hint="default"/>
        <w:lang w:val="es-ES" w:eastAsia="en-US" w:bidi="ar-SA"/>
      </w:rPr>
    </w:lvl>
    <w:lvl w:ilvl="3" w:tplc="2384F010">
      <w:numFmt w:val="bullet"/>
      <w:lvlText w:val="•"/>
      <w:lvlJc w:val="left"/>
      <w:pPr>
        <w:ind w:left="3916" w:hanging="254"/>
      </w:pPr>
      <w:rPr>
        <w:rFonts w:hint="default"/>
        <w:lang w:val="es-ES" w:eastAsia="en-US" w:bidi="ar-SA"/>
      </w:rPr>
    </w:lvl>
    <w:lvl w:ilvl="4" w:tplc="2D78AF2E">
      <w:numFmt w:val="bullet"/>
      <w:lvlText w:val="•"/>
      <w:lvlJc w:val="left"/>
      <w:pPr>
        <w:ind w:left="4855" w:hanging="254"/>
      </w:pPr>
      <w:rPr>
        <w:rFonts w:hint="default"/>
        <w:lang w:val="es-ES" w:eastAsia="en-US" w:bidi="ar-SA"/>
      </w:rPr>
    </w:lvl>
    <w:lvl w:ilvl="5" w:tplc="1A4C471C">
      <w:numFmt w:val="bullet"/>
      <w:lvlText w:val="•"/>
      <w:lvlJc w:val="left"/>
      <w:pPr>
        <w:ind w:left="5794" w:hanging="254"/>
      </w:pPr>
      <w:rPr>
        <w:rFonts w:hint="default"/>
        <w:lang w:val="es-ES" w:eastAsia="en-US" w:bidi="ar-SA"/>
      </w:rPr>
    </w:lvl>
    <w:lvl w:ilvl="6" w:tplc="6B52C730">
      <w:numFmt w:val="bullet"/>
      <w:lvlText w:val="•"/>
      <w:lvlJc w:val="left"/>
      <w:pPr>
        <w:ind w:left="6733" w:hanging="254"/>
      </w:pPr>
      <w:rPr>
        <w:rFonts w:hint="default"/>
        <w:lang w:val="es-ES" w:eastAsia="en-US" w:bidi="ar-SA"/>
      </w:rPr>
    </w:lvl>
    <w:lvl w:ilvl="7" w:tplc="1A325F4E">
      <w:numFmt w:val="bullet"/>
      <w:lvlText w:val="•"/>
      <w:lvlJc w:val="left"/>
      <w:pPr>
        <w:ind w:left="7672" w:hanging="254"/>
      </w:pPr>
      <w:rPr>
        <w:rFonts w:hint="default"/>
        <w:lang w:val="es-ES" w:eastAsia="en-US" w:bidi="ar-SA"/>
      </w:rPr>
    </w:lvl>
    <w:lvl w:ilvl="8" w:tplc="B23AC972">
      <w:numFmt w:val="bullet"/>
      <w:lvlText w:val="•"/>
      <w:lvlJc w:val="left"/>
      <w:pPr>
        <w:ind w:left="8611" w:hanging="254"/>
      </w:pPr>
      <w:rPr>
        <w:rFonts w:hint="default"/>
        <w:lang w:val="es-ES" w:eastAsia="en-US" w:bidi="ar-SA"/>
      </w:rPr>
    </w:lvl>
  </w:abstractNum>
  <w:abstractNum w:abstractNumId="9" w15:restartNumberingAfterBreak="0">
    <w:nsid w:val="05CB706B"/>
    <w:multiLevelType w:val="hybridMultilevel"/>
    <w:tmpl w:val="EC06688C"/>
    <w:lvl w:ilvl="0" w:tplc="443E8FEC">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C96E3DF6">
      <w:numFmt w:val="bullet"/>
      <w:lvlText w:val="•"/>
      <w:lvlJc w:val="left"/>
      <w:pPr>
        <w:ind w:left="2038" w:hanging="229"/>
      </w:pPr>
      <w:rPr>
        <w:rFonts w:hint="default"/>
        <w:lang w:val="es-ES" w:eastAsia="en-US" w:bidi="ar-SA"/>
      </w:rPr>
    </w:lvl>
    <w:lvl w:ilvl="2" w:tplc="84E6CF7A">
      <w:numFmt w:val="bullet"/>
      <w:lvlText w:val="•"/>
      <w:lvlJc w:val="left"/>
      <w:pPr>
        <w:ind w:left="2977" w:hanging="229"/>
      </w:pPr>
      <w:rPr>
        <w:rFonts w:hint="default"/>
        <w:lang w:val="es-ES" w:eastAsia="en-US" w:bidi="ar-SA"/>
      </w:rPr>
    </w:lvl>
    <w:lvl w:ilvl="3" w:tplc="1B40BAA0">
      <w:numFmt w:val="bullet"/>
      <w:lvlText w:val="•"/>
      <w:lvlJc w:val="left"/>
      <w:pPr>
        <w:ind w:left="3916" w:hanging="229"/>
      </w:pPr>
      <w:rPr>
        <w:rFonts w:hint="default"/>
        <w:lang w:val="es-ES" w:eastAsia="en-US" w:bidi="ar-SA"/>
      </w:rPr>
    </w:lvl>
    <w:lvl w:ilvl="4" w:tplc="0360EC9C">
      <w:numFmt w:val="bullet"/>
      <w:lvlText w:val="•"/>
      <w:lvlJc w:val="left"/>
      <w:pPr>
        <w:ind w:left="4855" w:hanging="229"/>
      </w:pPr>
      <w:rPr>
        <w:rFonts w:hint="default"/>
        <w:lang w:val="es-ES" w:eastAsia="en-US" w:bidi="ar-SA"/>
      </w:rPr>
    </w:lvl>
    <w:lvl w:ilvl="5" w:tplc="ACD4B198">
      <w:numFmt w:val="bullet"/>
      <w:lvlText w:val="•"/>
      <w:lvlJc w:val="left"/>
      <w:pPr>
        <w:ind w:left="5794" w:hanging="229"/>
      </w:pPr>
      <w:rPr>
        <w:rFonts w:hint="default"/>
        <w:lang w:val="es-ES" w:eastAsia="en-US" w:bidi="ar-SA"/>
      </w:rPr>
    </w:lvl>
    <w:lvl w:ilvl="6" w:tplc="C43CA4EA">
      <w:numFmt w:val="bullet"/>
      <w:lvlText w:val="•"/>
      <w:lvlJc w:val="left"/>
      <w:pPr>
        <w:ind w:left="6733" w:hanging="229"/>
      </w:pPr>
      <w:rPr>
        <w:rFonts w:hint="default"/>
        <w:lang w:val="es-ES" w:eastAsia="en-US" w:bidi="ar-SA"/>
      </w:rPr>
    </w:lvl>
    <w:lvl w:ilvl="7" w:tplc="1174CE34">
      <w:numFmt w:val="bullet"/>
      <w:lvlText w:val="•"/>
      <w:lvlJc w:val="left"/>
      <w:pPr>
        <w:ind w:left="7672" w:hanging="229"/>
      </w:pPr>
      <w:rPr>
        <w:rFonts w:hint="default"/>
        <w:lang w:val="es-ES" w:eastAsia="en-US" w:bidi="ar-SA"/>
      </w:rPr>
    </w:lvl>
    <w:lvl w:ilvl="8" w:tplc="5E382854">
      <w:numFmt w:val="bullet"/>
      <w:lvlText w:val="•"/>
      <w:lvlJc w:val="left"/>
      <w:pPr>
        <w:ind w:left="8611" w:hanging="229"/>
      </w:pPr>
      <w:rPr>
        <w:rFonts w:hint="default"/>
        <w:lang w:val="es-ES" w:eastAsia="en-US" w:bidi="ar-SA"/>
      </w:rPr>
    </w:lvl>
  </w:abstractNum>
  <w:abstractNum w:abstractNumId="10" w15:restartNumberingAfterBreak="0">
    <w:nsid w:val="0631345C"/>
    <w:multiLevelType w:val="hybridMultilevel"/>
    <w:tmpl w:val="D3482D80"/>
    <w:lvl w:ilvl="0" w:tplc="0D8406A8">
      <w:start w:val="1"/>
      <w:numFmt w:val="decimal"/>
      <w:lvlText w:val="%1."/>
      <w:lvlJc w:val="left"/>
      <w:pPr>
        <w:ind w:left="1680" w:hanging="235"/>
        <w:jc w:val="left"/>
      </w:pPr>
      <w:rPr>
        <w:rFonts w:ascii="Arial MT" w:eastAsia="Arial MT" w:hAnsi="Arial MT" w:cs="Arial MT" w:hint="default"/>
        <w:b w:val="0"/>
        <w:bCs w:val="0"/>
        <w:i w:val="0"/>
        <w:iCs w:val="0"/>
        <w:spacing w:val="0"/>
        <w:w w:val="100"/>
        <w:sz w:val="20"/>
        <w:szCs w:val="20"/>
        <w:lang w:val="es-ES" w:eastAsia="en-US" w:bidi="ar-SA"/>
      </w:rPr>
    </w:lvl>
    <w:lvl w:ilvl="1" w:tplc="A3A0A31A">
      <w:start w:val="1"/>
      <w:numFmt w:val="lowerLetter"/>
      <w:lvlText w:val="%2)"/>
      <w:lvlJc w:val="left"/>
      <w:pPr>
        <w:ind w:left="1106" w:hanging="256"/>
        <w:jc w:val="left"/>
      </w:pPr>
      <w:rPr>
        <w:rFonts w:ascii="Arial MT" w:eastAsia="Arial MT" w:hAnsi="Arial MT" w:cs="Arial MT" w:hint="default"/>
        <w:b w:val="0"/>
        <w:bCs w:val="0"/>
        <w:i w:val="0"/>
        <w:iCs w:val="0"/>
        <w:spacing w:val="0"/>
        <w:w w:val="100"/>
        <w:sz w:val="20"/>
        <w:szCs w:val="20"/>
        <w:lang w:val="es-ES" w:eastAsia="en-US" w:bidi="ar-SA"/>
      </w:rPr>
    </w:lvl>
    <w:lvl w:ilvl="2" w:tplc="AF5E329A">
      <w:numFmt w:val="bullet"/>
      <w:lvlText w:val="•"/>
      <w:lvlJc w:val="left"/>
      <w:pPr>
        <w:ind w:left="2658" w:hanging="256"/>
      </w:pPr>
      <w:rPr>
        <w:rFonts w:hint="default"/>
        <w:lang w:val="es-ES" w:eastAsia="en-US" w:bidi="ar-SA"/>
      </w:rPr>
    </w:lvl>
    <w:lvl w:ilvl="3" w:tplc="BBF43A2A">
      <w:numFmt w:val="bullet"/>
      <w:lvlText w:val="•"/>
      <w:lvlJc w:val="left"/>
      <w:pPr>
        <w:ind w:left="3637" w:hanging="256"/>
      </w:pPr>
      <w:rPr>
        <w:rFonts w:hint="default"/>
        <w:lang w:val="es-ES" w:eastAsia="en-US" w:bidi="ar-SA"/>
      </w:rPr>
    </w:lvl>
    <w:lvl w:ilvl="4" w:tplc="E5AC8EAC">
      <w:numFmt w:val="bullet"/>
      <w:lvlText w:val="•"/>
      <w:lvlJc w:val="left"/>
      <w:pPr>
        <w:ind w:left="4616" w:hanging="256"/>
      </w:pPr>
      <w:rPr>
        <w:rFonts w:hint="default"/>
        <w:lang w:val="es-ES" w:eastAsia="en-US" w:bidi="ar-SA"/>
      </w:rPr>
    </w:lvl>
    <w:lvl w:ilvl="5" w:tplc="C002B79A">
      <w:numFmt w:val="bullet"/>
      <w:lvlText w:val="•"/>
      <w:lvlJc w:val="left"/>
      <w:pPr>
        <w:ind w:left="5595" w:hanging="256"/>
      </w:pPr>
      <w:rPr>
        <w:rFonts w:hint="default"/>
        <w:lang w:val="es-ES" w:eastAsia="en-US" w:bidi="ar-SA"/>
      </w:rPr>
    </w:lvl>
    <w:lvl w:ilvl="6" w:tplc="15888352">
      <w:numFmt w:val="bullet"/>
      <w:lvlText w:val="•"/>
      <w:lvlJc w:val="left"/>
      <w:pPr>
        <w:ind w:left="6574" w:hanging="256"/>
      </w:pPr>
      <w:rPr>
        <w:rFonts w:hint="default"/>
        <w:lang w:val="es-ES" w:eastAsia="en-US" w:bidi="ar-SA"/>
      </w:rPr>
    </w:lvl>
    <w:lvl w:ilvl="7" w:tplc="8820CE2C">
      <w:numFmt w:val="bullet"/>
      <w:lvlText w:val="•"/>
      <w:lvlJc w:val="left"/>
      <w:pPr>
        <w:ind w:left="7553" w:hanging="256"/>
      </w:pPr>
      <w:rPr>
        <w:rFonts w:hint="default"/>
        <w:lang w:val="es-ES" w:eastAsia="en-US" w:bidi="ar-SA"/>
      </w:rPr>
    </w:lvl>
    <w:lvl w:ilvl="8" w:tplc="0610E984">
      <w:numFmt w:val="bullet"/>
      <w:lvlText w:val="•"/>
      <w:lvlJc w:val="left"/>
      <w:pPr>
        <w:ind w:left="8531" w:hanging="256"/>
      </w:pPr>
      <w:rPr>
        <w:rFonts w:hint="default"/>
        <w:lang w:val="es-ES" w:eastAsia="en-US" w:bidi="ar-SA"/>
      </w:rPr>
    </w:lvl>
  </w:abstractNum>
  <w:abstractNum w:abstractNumId="11" w15:restartNumberingAfterBreak="0">
    <w:nsid w:val="06464CEC"/>
    <w:multiLevelType w:val="hybridMultilevel"/>
    <w:tmpl w:val="698A302C"/>
    <w:lvl w:ilvl="0" w:tplc="5DB681E0">
      <w:start w:val="3"/>
      <w:numFmt w:val="lowerLetter"/>
      <w:lvlText w:val="%1)"/>
      <w:lvlJc w:val="left"/>
      <w:pPr>
        <w:ind w:left="1328" w:hanging="223"/>
        <w:jc w:val="left"/>
      </w:pPr>
      <w:rPr>
        <w:rFonts w:ascii="Arial MT" w:eastAsia="Arial MT" w:hAnsi="Arial MT" w:cs="Arial MT" w:hint="default"/>
        <w:b w:val="0"/>
        <w:bCs w:val="0"/>
        <w:i w:val="0"/>
        <w:iCs w:val="0"/>
        <w:spacing w:val="0"/>
        <w:w w:val="100"/>
        <w:sz w:val="20"/>
        <w:szCs w:val="20"/>
        <w:lang w:val="es-ES" w:eastAsia="en-US" w:bidi="ar-SA"/>
      </w:rPr>
    </w:lvl>
    <w:lvl w:ilvl="1" w:tplc="07C459F6">
      <w:start w:val="1"/>
      <w:numFmt w:val="decimal"/>
      <w:lvlText w:val="%2."/>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2" w:tplc="C99C01F8">
      <w:start w:val="1"/>
      <w:numFmt w:val="lowerLetter"/>
      <w:lvlText w:val="%3)"/>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3" w:tplc="F01029CC">
      <w:numFmt w:val="bullet"/>
      <w:lvlText w:val="•"/>
      <w:lvlJc w:val="left"/>
      <w:pPr>
        <w:ind w:left="3357" w:hanging="247"/>
      </w:pPr>
      <w:rPr>
        <w:rFonts w:hint="default"/>
        <w:lang w:val="es-ES" w:eastAsia="en-US" w:bidi="ar-SA"/>
      </w:rPr>
    </w:lvl>
    <w:lvl w:ilvl="4" w:tplc="E0A24D64">
      <w:numFmt w:val="bullet"/>
      <w:lvlText w:val="•"/>
      <w:lvlJc w:val="left"/>
      <w:pPr>
        <w:ind w:left="4376" w:hanging="247"/>
      </w:pPr>
      <w:rPr>
        <w:rFonts w:hint="default"/>
        <w:lang w:val="es-ES" w:eastAsia="en-US" w:bidi="ar-SA"/>
      </w:rPr>
    </w:lvl>
    <w:lvl w:ilvl="5" w:tplc="7E74C582">
      <w:numFmt w:val="bullet"/>
      <w:lvlText w:val="•"/>
      <w:lvlJc w:val="left"/>
      <w:pPr>
        <w:ind w:left="5395" w:hanging="247"/>
      </w:pPr>
      <w:rPr>
        <w:rFonts w:hint="default"/>
        <w:lang w:val="es-ES" w:eastAsia="en-US" w:bidi="ar-SA"/>
      </w:rPr>
    </w:lvl>
    <w:lvl w:ilvl="6" w:tplc="9998E44C">
      <w:numFmt w:val="bullet"/>
      <w:lvlText w:val="•"/>
      <w:lvlJc w:val="left"/>
      <w:pPr>
        <w:ind w:left="6414" w:hanging="247"/>
      </w:pPr>
      <w:rPr>
        <w:rFonts w:hint="default"/>
        <w:lang w:val="es-ES" w:eastAsia="en-US" w:bidi="ar-SA"/>
      </w:rPr>
    </w:lvl>
    <w:lvl w:ilvl="7" w:tplc="C602C7B8">
      <w:numFmt w:val="bullet"/>
      <w:lvlText w:val="•"/>
      <w:lvlJc w:val="left"/>
      <w:pPr>
        <w:ind w:left="7433" w:hanging="247"/>
      </w:pPr>
      <w:rPr>
        <w:rFonts w:hint="default"/>
        <w:lang w:val="es-ES" w:eastAsia="en-US" w:bidi="ar-SA"/>
      </w:rPr>
    </w:lvl>
    <w:lvl w:ilvl="8" w:tplc="5D8C1B80">
      <w:numFmt w:val="bullet"/>
      <w:lvlText w:val="•"/>
      <w:lvlJc w:val="left"/>
      <w:pPr>
        <w:ind w:left="8451" w:hanging="247"/>
      </w:pPr>
      <w:rPr>
        <w:rFonts w:hint="default"/>
        <w:lang w:val="es-ES" w:eastAsia="en-US" w:bidi="ar-SA"/>
      </w:rPr>
    </w:lvl>
  </w:abstractNum>
  <w:abstractNum w:abstractNumId="12" w15:restartNumberingAfterBreak="0">
    <w:nsid w:val="066F7819"/>
    <w:multiLevelType w:val="hybridMultilevel"/>
    <w:tmpl w:val="6520EDF8"/>
    <w:lvl w:ilvl="0" w:tplc="E97A78EC">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56C887F0">
      <w:start w:val="1"/>
      <w:numFmt w:val="lowerLetter"/>
      <w:lvlText w:val="%2)"/>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2" w:tplc="6E6217CA">
      <w:numFmt w:val="bullet"/>
      <w:lvlText w:val="•"/>
      <w:lvlJc w:val="left"/>
      <w:pPr>
        <w:ind w:left="2977" w:hanging="249"/>
      </w:pPr>
      <w:rPr>
        <w:rFonts w:hint="default"/>
        <w:lang w:val="es-ES" w:eastAsia="en-US" w:bidi="ar-SA"/>
      </w:rPr>
    </w:lvl>
    <w:lvl w:ilvl="3" w:tplc="0DB07E4C">
      <w:numFmt w:val="bullet"/>
      <w:lvlText w:val="•"/>
      <w:lvlJc w:val="left"/>
      <w:pPr>
        <w:ind w:left="3916" w:hanging="249"/>
      </w:pPr>
      <w:rPr>
        <w:rFonts w:hint="default"/>
        <w:lang w:val="es-ES" w:eastAsia="en-US" w:bidi="ar-SA"/>
      </w:rPr>
    </w:lvl>
    <w:lvl w:ilvl="4" w:tplc="92DCAE46">
      <w:numFmt w:val="bullet"/>
      <w:lvlText w:val="•"/>
      <w:lvlJc w:val="left"/>
      <w:pPr>
        <w:ind w:left="4855" w:hanging="249"/>
      </w:pPr>
      <w:rPr>
        <w:rFonts w:hint="default"/>
        <w:lang w:val="es-ES" w:eastAsia="en-US" w:bidi="ar-SA"/>
      </w:rPr>
    </w:lvl>
    <w:lvl w:ilvl="5" w:tplc="6526C278">
      <w:numFmt w:val="bullet"/>
      <w:lvlText w:val="•"/>
      <w:lvlJc w:val="left"/>
      <w:pPr>
        <w:ind w:left="5794" w:hanging="249"/>
      </w:pPr>
      <w:rPr>
        <w:rFonts w:hint="default"/>
        <w:lang w:val="es-ES" w:eastAsia="en-US" w:bidi="ar-SA"/>
      </w:rPr>
    </w:lvl>
    <w:lvl w:ilvl="6" w:tplc="32401742">
      <w:numFmt w:val="bullet"/>
      <w:lvlText w:val="•"/>
      <w:lvlJc w:val="left"/>
      <w:pPr>
        <w:ind w:left="6733" w:hanging="249"/>
      </w:pPr>
      <w:rPr>
        <w:rFonts w:hint="default"/>
        <w:lang w:val="es-ES" w:eastAsia="en-US" w:bidi="ar-SA"/>
      </w:rPr>
    </w:lvl>
    <w:lvl w:ilvl="7" w:tplc="8E3879E4">
      <w:numFmt w:val="bullet"/>
      <w:lvlText w:val="•"/>
      <w:lvlJc w:val="left"/>
      <w:pPr>
        <w:ind w:left="7672" w:hanging="249"/>
      </w:pPr>
      <w:rPr>
        <w:rFonts w:hint="default"/>
        <w:lang w:val="es-ES" w:eastAsia="en-US" w:bidi="ar-SA"/>
      </w:rPr>
    </w:lvl>
    <w:lvl w:ilvl="8" w:tplc="8C38BE24">
      <w:numFmt w:val="bullet"/>
      <w:lvlText w:val="•"/>
      <w:lvlJc w:val="left"/>
      <w:pPr>
        <w:ind w:left="8611" w:hanging="249"/>
      </w:pPr>
      <w:rPr>
        <w:rFonts w:hint="default"/>
        <w:lang w:val="es-ES" w:eastAsia="en-US" w:bidi="ar-SA"/>
      </w:rPr>
    </w:lvl>
  </w:abstractNum>
  <w:abstractNum w:abstractNumId="13" w15:restartNumberingAfterBreak="0">
    <w:nsid w:val="06872249"/>
    <w:multiLevelType w:val="hybridMultilevel"/>
    <w:tmpl w:val="E5B60726"/>
    <w:lvl w:ilvl="0" w:tplc="BE10F77E">
      <w:start w:val="1"/>
      <w:numFmt w:val="decimal"/>
      <w:lvlText w:val="%1."/>
      <w:lvlJc w:val="left"/>
      <w:pPr>
        <w:ind w:left="1106" w:hanging="286"/>
        <w:jc w:val="left"/>
      </w:pPr>
      <w:rPr>
        <w:rFonts w:ascii="Arial MT" w:eastAsia="Arial MT" w:hAnsi="Arial MT" w:cs="Arial MT" w:hint="default"/>
        <w:b w:val="0"/>
        <w:bCs w:val="0"/>
        <w:i w:val="0"/>
        <w:iCs w:val="0"/>
        <w:spacing w:val="0"/>
        <w:w w:val="100"/>
        <w:sz w:val="20"/>
        <w:szCs w:val="20"/>
        <w:lang w:val="es-ES" w:eastAsia="en-US" w:bidi="ar-SA"/>
      </w:rPr>
    </w:lvl>
    <w:lvl w:ilvl="1" w:tplc="4E989884">
      <w:start w:val="1"/>
      <w:numFmt w:val="lowerLetter"/>
      <w:lvlText w:val="%2)"/>
      <w:lvlJc w:val="left"/>
      <w:pPr>
        <w:ind w:left="1106" w:hanging="257"/>
        <w:jc w:val="left"/>
      </w:pPr>
      <w:rPr>
        <w:rFonts w:ascii="Arial MT" w:eastAsia="Arial MT" w:hAnsi="Arial MT" w:cs="Arial MT" w:hint="default"/>
        <w:b w:val="0"/>
        <w:bCs w:val="0"/>
        <w:i w:val="0"/>
        <w:iCs w:val="0"/>
        <w:spacing w:val="0"/>
        <w:w w:val="100"/>
        <w:sz w:val="20"/>
        <w:szCs w:val="20"/>
        <w:lang w:val="es-ES" w:eastAsia="en-US" w:bidi="ar-SA"/>
      </w:rPr>
    </w:lvl>
    <w:lvl w:ilvl="2" w:tplc="7E86648E">
      <w:numFmt w:val="bullet"/>
      <w:lvlText w:val="•"/>
      <w:lvlJc w:val="left"/>
      <w:pPr>
        <w:ind w:left="2977" w:hanging="257"/>
      </w:pPr>
      <w:rPr>
        <w:rFonts w:hint="default"/>
        <w:lang w:val="es-ES" w:eastAsia="en-US" w:bidi="ar-SA"/>
      </w:rPr>
    </w:lvl>
    <w:lvl w:ilvl="3" w:tplc="332C80F8">
      <w:numFmt w:val="bullet"/>
      <w:lvlText w:val="•"/>
      <w:lvlJc w:val="left"/>
      <w:pPr>
        <w:ind w:left="3916" w:hanging="257"/>
      </w:pPr>
      <w:rPr>
        <w:rFonts w:hint="default"/>
        <w:lang w:val="es-ES" w:eastAsia="en-US" w:bidi="ar-SA"/>
      </w:rPr>
    </w:lvl>
    <w:lvl w:ilvl="4" w:tplc="42788A8C">
      <w:numFmt w:val="bullet"/>
      <w:lvlText w:val="•"/>
      <w:lvlJc w:val="left"/>
      <w:pPr>
        <w:ind w:left="4855" w:hanging="257"/>
      </w:pPr>
      <w:rPr>
        <w:rFonts w:hint="default"/>
        <w:lang w:val="es-ES" w:eastAsia="en-US" w:bidi="ar-SA"/>
      </w:rPr>
    </w:lvl>
    <w:lvl w:ilvl="5" w:tplc="7DD83DF0">
      <w:numFmt w:val="bullet"/>
      <w:lvlText w:val="•"/>
      <w:lvlJc w:val="left"/>
      <w:pPr>
        <w:ind w:left="5794" w:hanging="257"/>
      </w:pPr>
      <w:rPr>
        <w:rFonts w:hint="default"/>
        <w:lang w:val="es-ES" w:eastAsia="en-US" w:bidi="ar-SA"/>
      </w:rPr>
    </w:lvl>
    <w:lvl w:ilvl="6" w:tplc="6D6C40DA">
      <w:numFmt w:val="bullet"/>
      <w:lvlText w:val="•"/>
      <w:lvlJc w:val="left"/>
      <w:pPr>
        <w:ind w:left="6733" w:hanging="257"/>
      </w:pPr>
      <w:rPr>
        <w:rFonts w:hint="default"/>
        <w:lang w:val="es-ES" w:eastAsia="en-US" w:bidi="ar-SA"/>
      </w:rPr>
    </w:lvl>
    <w:lvl w:ilvl="7" w:tplc="39CCC522">
      <w:numFmt w:val="bullet"/>
      <w:lvlText w:val="•"/>
      <w:lvlJc w:val="left"/>
      <w:pPr>
        <w:ind w:left="7672" w:hanging="257"/>
      </w:pPr>
      <w:rPr>
        <w:rFonts w:hint="default"/>
        <w:lang w:val="es-ES" w:eastAsia="en-US" w:bidi="ar-SA"/>
      </w:rPr>
    </w:lvl>
    <w:lvl w:ilvl="8" w:tplc="24645D60">
      <w:numFmt w:val="bullet"/>
      <w:lvlText w:val="•"/>
      <w:lvlJc w:val="left"/>
      <w:pPr>
        <w:ind w:left="8611" w:hanging="257"/>
      </w:pPr>
      <w:rPr>
        <w:rFonts w:hint="default"/>
        <w:lang w:val="es-ES" w:eastAsia="en-US" w:bidi="ar-SA"/>
      </w:rPr>
    </w:lvl>
  </w:abstractNum>
  <w:abstractNum w:abstractNumId="14" w15:restartNumberingAfterBreak="0">
    <w:nsid w:val="06883644"/>
    <w:multiLevelType w:val="hybridMultilevel"/>
    <w:tmpl w:val="11761E44"/>
    <w:lvl w:ilvl="0" w:tplc="952C206E">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A712020A">
      <w:numFmt w:val="bullet"/>
      <w:lvlText w:val="•"/>
      <w:lvlJc w:val="left"/>
      <w:pPr>
        <w:ind w:left="661" w:hanging="103"/>
      </w:pPr>
      <w:rPr>
        <w:rFonts w:hint="default"/>
        <w:lang w:val="es-ES" w:eastAsia="en-US" w:bidi="ar-SA"/>
      </w:rPr>
    </w:lvl>
    <w:lvl w:ilvl="2" w:tplc="AEF8E4DC">
      <w:numFmt w:val="bullet"/>
      <w:lvlText w:val="•"/>
      <w:lvlJc w:val="left"/>
      <w:pPr>
        <w:ind w:left="1283" w:hanging="103"/>
      </w:pPr>
      <w:rPr>
        <w:rFonts w:hint="default"/>
        <w:lang w:val="es-ES" w:eastAsia="en-US" w:bidi="ar-SA"/>
      </w:rPr>
    </w:lvl>
    <w:lvl w:ilvl="3" w:tplc="7F9C25FE">
      <w:numFmt w:val="bullet"/>
      <w:lvlText w:val="•"/>
      <w:lvlJc w:val="left"/>
      <w:pPr>
        <w:ind w:left="1905" w:hanging="103"/>
      </w:pPr>
      <w:rPr>
        <w:rFonts w:hint="default"/>
        <w:lang w:val="es-ES" w:eastAsia="en-US" w:bidi="ar-SA"/>
      </w:rPr>
    </w:lvl>
    <w:lvl w:ilvl="4" w:tplc="D84EA252">
      <w:numFmt w:val="bullet"/>
      <w:lvlText w:val="•"/>
      <w:lvlJc w:val="left"/>
      <w:pPr>
        <w:ind w:left="2526" w:hanging="103"/>
      </w:pPr>
      <w:rPr>
        <w:rFonts w:hint="default"/>
        <w:lang w:val="es-ES" w:eastAsia="en-US" w:bidi="ar-SA"/>
      </w:rPr>
    </w:lvl>
    <w:lvl w:ilvl="5" w:tplc="B1626A10">
      <w:numFmt w:val="bullet"/>
      <w:lvlText w:val="•"/>
      <w:lvlJc w:val="left"/>
      <w:pPr>
        <w:ind w:left="3148" w:hanging="103"/>
      </w:pPr>
      <w:rPr>
        <w:rFonts w:hint="default"/>
        <w:lang w:val="es-ES" w:eastAsia="en-US" w:bidi="ar-SA"/>
      </w:rPr>
    </w:lvl>
    <w:lvl w:ilvl="6" w:tplc="534E2AE4">
      <w:numFmt w:val="bullet"/>
      <w:lvlText w:val="•"/>
      <w:lvlJc w:val="left"/>
      <w:pPr>
        <w:ind w:left="3770" w:hanging="103"/>
      </w:pPr>
      <w:rPr>
        <w:rFonts w:hint="default"/>
        <w:lang w:val="es-ES" w:eastAsia="en-US" w:bidi="ar-SA"/>
      </w:rPr>
    </w:lvl>
    <w:lvl w:ilvl="7" w:tplc="EF82D206">
      <w:numFmt w:val="bullet"/>
      <w:lvlText w:val="•"/>
      <w:lvlJc w:val="left"/>
      <w:pPr>
        <w:ind w:left="4391" w:hanging="103"/>
      </w:pPr>
      <w:rPr>
        <w:rFonts w:hint="default"/>
        <w:lang w:val="es-ES" w:eastAsia="en-US" w:bidi="ar-SA"/>
      </w:rPr>
    </w:lvl>
    <w:lvl w:ilvl="8" w:tplc="AC02438E">
      <w:numFmt w:val="bullet"/>
      <w:lvlText w:val="•"/>
      <w:lvlJc w:val="left"/>
      <w:pPr>
        <w:ind w:left="5013" w:hanging="103"/>
      </w:pPr>
      <w:rPr>
        <w:rFonts w:hint="default"/>
        <w:lang w:val="es-ES" w:eastAsia="en-US" w:bidi="ar-SA"/>
      </w:rPr>
    </w:lvl>
  </w:abstractNum>
  <w:abstractNum w:abstractNumId="15" w15:restartNumberingAfterBreak="0">
    <w:nsid w:val="069411F1"/>
    <w:multiLevelType w:val="hybridMultilevel"/>
    <w:tmpl w:val="E8500310"/>
    <w:lvl w:ilvl="0" w:tplc="EC3A1704">
      <w:start w:val="1"/>
      <w:numFmt w:val="decimal"/>
      <w:lvlText w:val="%1."/>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1" w:tplc="32A0AA38">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C4CAF666">
      <w:numFmt w:val="bullet"/>
      <w:lvlText w:val="•"/>
      <w:lvlJc w:val="left"/>
      <w:pPr>
        <w:ind w:left="2658" w:hanging="234"/>
      </w:pPr>
      <w:rPr>
        <w:rFonts w:hint="default"/>
        <w:lang w:val="es-ES" w:eastAsia="en-US" w:bidi="ar-SA"/>
      </w:rPr>
    </w:lvl>
    <w:lvl w:ilvl="3" w:tplc="6CEC3ACC">
      <w:numFmt w:val="bullet"/>
      <w:lvlText w:val="•"/>
      <w:lvlJc w:val="left"/>
      <w:pPr>
        <w:ind w:left="3637" w:hanging="234"/>
      </w:pPr>
      <w:rPr>
        <w:rFonts w:hint="default"/>
        <w:lang w:val="es-ES" w:eastAsia="en-US" w:bidi="ar-SA"/>
      </w:rPr>
    </w:lvl>
    <w:lvl w:ilvl="4" w:tplc="FC0C14B2">
      <w:numFmt w:val="bullet"/>
      <w:lvlText w:val="•"/>
      <w:lvlJc w:val="left"/>
      <w:pPr>
        <w:ind w:left="4616" w:hanging="234"/>
      </w:pPr>
      <w:rPr>
        <w:rFonts w:hint="default"/>
        <w:lang w:val="es-ES" w:eastAsia="en-US" w:bidi="ar-SA"/>
      </w:rPr>
    </w:lvl>
    <w:lvl w:ilvl="5" w:tplc="47F04A04">
      <w:numFmt w:val="bullet"/>
      <w:lvlText w:val="•"/>
      <w:lvlJc w:val="left"/>
      <w:pPr>
        <w:ind w:left="5595" w:hanging="234"/>
      </w:pPr>
      <w:rPr>
        <w:rFonts w:hint="default"/>
        <w:lang w:val="es-ES" w:eastAsia="en-US" w:bidi="ar-SA"/>
      </w:rPr>
    </w:lvl>
    <w:lvl w:ilvl="6" w:tplc="FA4AA284">
      <w:numFmt w:val="bullet"/>
      <w:lvlText w:val="•"/>
      <w:lvlJc w:val="left"/>
      <w:pPr>
        <w:ind w:left="6574" w:hanging="234"/>
      </w:pPr>
      <w:rPr>
        <w:rFonts w:hint="default"/>
        <w:lang w:val="es-ES" w:eastAsia="en-US" w:bidi="ar-SA"/>
      </w:rPr>
    </w:lvl>
    <w:lvl w:ilvl="7" w:tplc="2F52D952">
      <w:numFmt w:val="bullet"/>
      <w:lvlText w:val="•"/>
      <w:lvlJc w:val="left"/>
      <w:pPr>
        <w:ind w:left="7553" w:hanging="234"/>
      </w:pPr>
      <w:rPr>
        <w:rFonts w:hint="default"/>
        <w:lang w:val="es-ES" w:eastAsia="en-US" w:bidi="ar-SA"/>
      </w:rPr>
    </w:lvl>
    <w:lvl w:ilvl="8" w:tplc="D44AC5E8">
      <w:numFmt w:val="bullet"/>
      <w:lvlText w:val="•"/>
      <w:lvlJc w:val="left"/>
      <w:pPr>
        <w:ind w:left="8531" w:hanging="234"/>
      </w:pPr>
      <w:rPr>
        <w:rFonts w:hint="default"/>
        <w:lang w:val="es-ES" w:eastAsia="en-US" w:bidi="ar-SA"/>
      </w:rPr>
    </w:lvl>
  </w:abstractNum>
  <w:abstractNum w:abstractNumId="16" w15:restartNumberingAfterBreak="0">
    <w:nsid w:val="088B6C66"/>
    <w:multiLevelType w:val="hybridMultilevel"/>
    <w:tmpl w:val="94C030DC"/>
    <w:lvl w:ilvl="0" w:tplc="B7001332">
      <w:start w:val="1"/>
      <w:numFmt w:val="decimal"/>
      <w:lvlText w:val="%1."/>
      <w:lvlJc w:val="left"/>
      <w:pPr>
        <w:ind w:left="1106" w:hanging="272"/>
        <w:jc w:val="left"/>
      </w:pPr>
      <w:rPr>
        <w:rFonts w:ascii="Arial MT" w:eastAsia="Arial MT" w:hAnsi="Arial MT" w:cs="Arial MT" w:hint="default"/>
        <w:b w:val="0"/>
        <w:bCs w:val="0"/>
        <w:i w:val="0"/>
        <w:iCs w:val="0"/>
        <w:spacing w:val="0"/>
        <w:w w:val="100"/>
        <w:sz w:val="20"/>
        <w:szCs w:val="20"/>
        <w:lang w:val="es-ES" w:eastAsia="en-US" w:bidi="ar-SA"/>
      </w:rPr>
    </w:lvl>
    <w:lvl w:ilvl="1" w:tplc="D6A62EEA">
      <w:numFmt w:val="bullet"/>
      <w:lvlText w:val="•"/>
      <w:lvlJc w:val="left"/>
      <w:pPr>
        <w:ind w:left="2038" w:hanging="272"/>
      </w:pPr>
      <w:rPr>
        <w:rFonts w:hint="default"/>
        <w:lang w:val="es-ES" w:eastAsia="en-US" w:bidi="ar-SA"/>
      </w:rPr>
    </w:lvl>
    <w:lvl w:ilvl="2" w:tplc="1CAC4EBE">
      <w:numFmt w:val="bullet"/>
      <w:lvlText w:val="•"/>
      <w:lvlJc w:val="left"/>
      <w:pPr>
        <w:ind w:left="2977" w:hanging="272"/>
      </w:pPr>
      <w:rPr>
        <w:rFonts w:hint="default"/>
        <w:lang w:val="es-ES" w:eastAsia="en-US" w:bidi="ar-SA"/>
      </w:rPr>
    </w:lvl>
    <w:lvl w:ilvl="3" w:tplc="2A36ADD2">
      <w:numFmt w:val="bullet"/>
      <w:lvlText w:val="•"/>
      <w:lvlJc w:val="left"/>
      <w:pPr>
        <w:ind w:left="3916" w:hanging="272"/>
      </w:pPr>
      <w:rPr>
        <w:rFonts w:hint="default"/>
        <w:lang w:val="es-ES" w:eastAsia="en-US" w:bidi="ar-SA"/>
      </w:rPr>
    </w:lvl>
    <w:lvl w:ilvl="4" w:tplc="DE866536">
      <w:numFmt w:val="bullet"/>
      <w:lvlText w:val="•"/>
      <w:lvlJc w:val="left"/>
      <w:pPr>
        <w:ind w:left="4855" w:hanging="272"/>
      </w:pPr>
      <w:rPr>
        <w:rFonts w:hint="default"/>
        <w:lang w:val="es-ES" w:eastAsia="en-US" w:bidi="ar-SA"/>
      </w:rPr>
    </w:lvl>
    <w:lvl w:ilvl="5" w:tplc="5C269740">
      <w:numFmt w:val="bullet"/>
      <w:lvlText w:val="•"/>
      <w:lvlJc w:val="left"/>
      <w:pPr>
        <w:ind w:left="5794" w:hanging="272"/>
      </w:pPr>
      <w:rPr>
        <w:rFonts w:hint="default"/>
        <w:lang w:val="es-ES" w:eastAsia="en-US" w:bidi="ar-SA"/>
      </w:rPr>
    </w:lvl>
    <w:lvl w:ilvl="6" w:tplc="EEEA359E">
      <w:numFmt w:val="bullet"/>
      <w:lvlText w:val="•"/>
      <w:lvlJc w:val="left"/>
      <w:pPr>
        <w:ind w:left="6733" w:hanging="272"/>
      </w:pPr>
      <w:rPr>
        <w:rFonts w:hint="default"/>
        <w:lang w:val="es-ES" w:eastAsia="en-US" w:bidi="ar-SA"/>
      </w:rPr>
    </w:lvl>
    <w:lvl w:ilvl="7" w:tplc="47F6151E">
      <w:numFmt w:val="bullet"/>
      <w:lvlText w:val="•"/>
      <w:lvlJc w:val="left"/>
      <w:pPr>
        <w:ind w:left="7672" w:hanging="272"/>
      </w:pPr>
      <w:rPr>
        <w:rFonts w:hint="default"/>
        <w:lang w:val="es-ES" w:eastAsia="en-US" w:bidi="ar-SA"/>
      </w:rPr>
    </w:lvl>
    <w:lvl w:ilvl="8" w:tplc="83503420">
      <w:numFmt w:val="bullet"/>
      <w:lvlText w:val="•"/>
      <w:lvlJc w:val="left"/>
      <w:pPr>
        <w:ind w:left="8611" w:hanging="272"/>
      </w:pPr>
      <w:rPr>
        <w:rFonts w:hint="default"/>
        <w:lang w:val="es-ES" w:eastAsia="en-US" w:bidi="ar-SA"/>
      </w:rPr>
    </w:lvl>
  </w:abstractNum>
  <w:abstractNum w:abstractNumId="17" w15:restartNumberingAfterBreak="0">
    <w:nsid w:val="08974BD9"/>
    <w:multiLevelType w:val="hybridMultilevel"/>
    <w:tmpl w:val="EC784E5C"/>
    <w:lvl w:ilvl="0" w:tplc="A718B646">
      <w:start w:val="1"/>
      <w:numFmt w:val="decimal"/>
      <w:lvlText w:val="%1."/>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1" w:tplc="3BD81E00">
      <w:numFmt w:val="bullet"/>
      <w:lvlText w:val="•"/>
      <w:lvlJc w:val="left"/>
      <w:pPr>
        <w:ind w:left="2038" w:hanging="239"/>
      </w:pPr>
      <w:rPr>
        <w:rFonts w:hint="default"/>
        <w:lang w:val="es-ES" w:eastAsia="en-US" w:bidi="ar-SA"/>
      </w:rPr>
    </w:lvl>
    <w:lvl w:ilvl="2" w:tplc="4FCE1726">
      <w:numFmt w:val="bullet"/>
      <w:lvlText w:val="•"/>
      <w:lvlJc w:val="left"/>
      <w:pPr>
        <w:ind w:left="2977" w:hanging="239"/>
      </w:pPr>
      <w:rPr>
        <w:rFonts w:hint="default"/>
        <w:lang w:val="es-ES" w:eastAsia="en-US" w:bidi="ar-SA"/>
      </w:rPr>
    </w:lvl>
    <w:lvl w:ilvl="3" w:tplc="8B5024A8">
      <w:numFmt w:val="bullet"/>
      <w:lvlText w:val="•"/>
      <w:lvlJc w:val="left"/>
      <w:pPr>
        <w:ind w:left="3916" w:hanging="239"/>
      </w:pPr>
      <w:rPr>
        <w:rFonts w:hint="default"/>
        <w:lang w:val="es-ES" w:eastAsia="en-US" w:bidi="ar-SA"/>
      </w:rPr>
    </w:lvl>
    <w:lvl w:ilvl="4" w:tplc="C4D00AF6">
      <w:numFmt w:val="bullet"/>
      <w:lvlText w:val="•"/>
      <w:lvlJc w:val="left"/>
      <w:pPr>
        <w:ind w:left="4855" w:hanging="239"/>
      </w:pPr>
      <w:rPr>
        <w:rFonts w:hint="default"/>
        <w:lang w:val="es-ES" w:eastAsia="en-US" w:bidi="ar-SA"/>
      </w:rPr>
    </w:lvl>
    <w:lvl w:ilvl="5" w:tplc="E78A307E">
      <w:numFmt w:val="bullet"/>
      <w:lvlText w:val="•"/>
      <w:lvlJc w:val="left"/>
      <w:pPr>
        <w:ind w:left="5794" w:hanging="239"/>
      </w:pPr>
      <w:rPr>
        <w:rFonts w:hint="default"/>
        <w:lang w:val="es-ES" w:eastAsia="en-US" w:bidi="ar-SA"/>
      </w:rPr>
    </w:lvl>
    <w:lvl w:ilvl="6" w:tplc="AFD64810">
      <w:numFmt w:val="bullet"/>
      <w:lvlText w:val="•"/>
      <w:lvlJc w:val="left"/>
      <w:pPr>
        <w:ind w:left="6733" w:hanging="239"/>
      </w:pPr>
      <w:rPr>
        <w:rFonts w:hint="default"/>
        <w:lang w:val="es-ES" w:eastAsia="en-US" w:bidi="ar-SA"/>
      </w:rPr>
    </w:lvl>
    <w:lvl w:ilvl="7" w:tplc="1F320BF8">
      <w:numFmt w:val="bullet"/>
      <w:lvlText w:val="•"/>
      <w:lvlJc w:val="left"/>
      <w:pPr>
        <w:ind w:left="7672" w:hanging="239"/>
      </w:pPr>
      <w:rPr>
        <w:rFonts w:hint="default"/>
        <w:lang w:val="es-ES" w:eastAsia="en-US" w:bidi="ar-SA"/>
      </w:rPr>
    </w:lvl>
    <w:lvl w:ilvl="8" w:tplc="A1C466E6">
      <w:numFmt w:val="bullet"/>
      <w:lvlText w:val="•"/>
      <w:lvlJc w:val="left"/>
      <w:pPr>
        <w:ind w:left="8611" w:hanging="239"/>
      </w:pPr>
      <w:rPr>
        <w:rFonts w:hint="default"/>
        <w:lang w:val="es-ES" w:eastAsia="en-US" w:bidi="ar-SA"/>
      </w:rPr>
    </w:lvl>
  </w:abstractNum>
  <w:abstractNum w:abstractNumId="18" w15:restartNumberingAfterBreak="0">
    <w:nsid w:val="08C47591"/>
    <w:multiLevelType w:val="hybridMultilevel"/>
    <w:tmpl w:val="0C9651C8"/>
    <w:lvl w:ilvl="0" w:tplc="E76EE978">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25966320">
      <w:numFmt w:val="bullet"/>
      <w:lvlText w:val="•"/>
      <w:lvlJc w:val="left"/>
      <w:pPr>
        <w:ind w:left="2038" w:hanging="294"/>
      </w:pPr>
      <w:rPr>
        <w:rFonts w:hint="default"/>
        <w:lang w:val="es-ES" w:eastAsia="en-US" w:bidi="ar-SA"/>
      </w:rPr>
    </w:lvl>
    <w:lvl w:ilvl="2" w:tplc="353236C4">
      <w:numFmt w:val="bullet"/>
      <w:lvlText w:val="•"/>
      <w:lvlJc w:val="left"/>
      <w:pPr>
        <w:ind w:left="2977" w:hanging="294"/>
      </w:pPr>
      <w:rPr>
        <w:rFonts w:hint="default"/>
        <w:lang w:val="es-ES" w:eastAsia="en-US" w:bidi="ar-SA"/>
      </w:rPr>
    </w:lvl>
    <w:lvl w:ilvl="3" w:tplc="717E48DE">
      <w:numFmt w:val="bullet"/>
      <w:lvlText w:val="•"/>
      <w:lvlJc w:val="left"/>
      <w:pPr>
        <w:ind w:left="3916" w:hanging="294"/>
      </w:pPr>
      <w:rPr>
        <w:rFonts w:hint="default"/>
        <w:lang w:val="es-ES" w:eastAsia="en-US" w:bidi="ar-SA"/>
      </w:rPr>
    </w:lvl>
    <w:lvl w:ilvl="4" w:tplc="C9868F76">
      <w:numFmt w:val="bullet"/>
      <w:lvlText w:val="•"/>
      <w:lvlJc w:val="left"/>
      <w:pPr>
        <w:ind w:left="4855" w:hanging="294"/>
      </w:pPr>
      <w:rPr>
        <w:rFonts w:hint="default"/>
        <w:lang w:val="es-ES" w:eastAsia="en-US" w:bidi="ar-SA"/>
      </w:rPr>
    </w:lvl>
    <w:lvl w:ilvl="5" w:tplc="467A3C22">
      <w:numFmt w:val="bullet"/>
      <w:lvlText w:val="•"/>
      <w:lvlJc w:val="left"/>
      <w:pPr>
        <w:ind w:left="5794" w:hanging="294"/>
      </w:pPr>
      <w:rPr>
        <w:rFonts w:hint="default"/>
        <w:lang w:val="es-ES" w:eastAsia="en-US" w:bidi="ar-SA"/>
      </w:rPr>
    </w:lvl>
    <w:lvl w:ilvl="6" w:tplc="534AD42E">
      <w:numFmt w:val="bullet"/>
      <w:lvlText w:val="•"/>
      <w:lvlJc w:val="left"/>
      <w:pPr>
        <w:ind w:left="6733" w:hanging="294"/>
      </w:pPr>
      <w:rPr>
        <w:rFonts w:hint="default"/>
        <w:lang w:val="es-ES" w:eastAsia="en-US" w:bidi="ar-SA"/>
      </w:rPr>
    </w:lvl>
    <w:lvl w:ilvl="7" w:tplc="A1D4EA0C">
      <w:numFmt w:val="bullet"/>
      <w:lvlText w:val="•"/>
      <w:lvlJc w:val="left"/>
      <w:pPr>
        <w:ind w:left="7672" w:hanging="294"/>
      </w:pPr>
      <w:rPr>
        <w:rFonts w:hint="default"/>
        <w:lang w:val="es-ES" w:eastAsia="en-US" w:bidi="ar-SA"/>
      </w:rPr>
    </w:lvl>
    <w:lvl w:ilvl="8" w:tplc="89701E72">
      <w:numFmt w:val="bullet"/>
      <w:lvlText w:val="•"/>
      <w:lvlJc w:val="left"/>
      <w:pPr>
        <w:ind w:left="8611" w:hanging="294"/>
      </w:pPr>
      <w:rPr>
        <w:rFonts w:hint="default"/>
        <w:lang w:val="es-ES" w:eastAsia="en-US" w:bidi="ar-SA"/>
      </w:rPr>
    </w:lvl>
  </w:abstractNum>
  <w:abstractNum w:abstractNumId="19" w15:restartNumberingAfterBreak="0">
    <w:nsid w:val="0979102B"/>
    <w:multiLevelType w:val="hybridMultilevel"/>
    <w:tmpl w:val="F6BE59BC"/>
    <w:lvl w:ilvl="0" w:tplc="D7683620">
      <w:start w:val="1"/>
      <w:numFmt w:val="decimal"/>
      <w:lvlText w:val="%1."/>
      <w:lvlJc w:val="left"/>
      <w:pPr>
        <w:ind w:left="1106" w:hanging="256"/>
        <w:jc w:val="left"/>
      </w:pPr>
      <w:rPr>
        <w:rFonts w:ascii="Arial MT" w:eastAsia="Arial MT" w:hAnsi="Arial MT" w:cs="Arial MT" w:hint="default"/>
        <w:b w:val="0"/>
        <w:bCs w:val="0"/>
        <w:i w:val="0"/>
        <w:iCs w:val="0"/>
        <w:spacing w:val="0"/>
        <w:w w:val="100"/>
        <w:sz w:val="20"/>
        <w:szCs w:val="20"/>
        <w:lang w:val="es-ES" w:eastAsia="en-US" w:bidi="ar-SA"/>
      </w:rPr>
    </w:lvl>
    <w:lvl w:ilvl="1" w:tplc="FA0C2F68">
      <w:numFmt w:val="bullet"/>
      <w:lvlText w:val="•"/>
      <w:lvlJc w:val="left"/>
      <w:pPr>
        <w:ind w:left="2038" w:hanging="256"/>
      </w:pPr>
      <w:rPr>
        <w:rFonts w:hint="default"/>
        <w:lang w:val="es-ES" w:eastAsia="en-US" w:bidi="ar-SA"/>
      </w:rPr>
    </w:lvl>
    <w:lvl w:ilvl="2" w:tplc="1EF2ABA4">
      <w:numFmt w:val="bullet"/>
      <w:lvlText w:val="•"/>
      <w:lvlJc w:val="left"/>
      <w:pPr>
        <w:ind w:left="2977" w:hanging="256"/>
      </w:pPr>
      <w:rPr>
        <w:rFonts w:hint="default"/>
        <w:lang w:val="es-ES" w:eastAsia="en-US" w:bidi="ar-SA"/>
      </w:rPr>
    </w:lvl>
    <w:lvl w:ilvl="3" w:tplc="22380C22">
      <w:numFmt w:val="bullet"/>
      <w:lvlText w:val="•"/>
      <w:lvlJc w:val="left"/>
      <w:pPr>
        <w:ind w:left="3916" w:hanging="256"/>
      </w:pPr>
      <w:rPr>
        <w:rFonts w:hint="default"/>
        <w:lang w:val="es-ES" w:eastAsia="en-US" w:bidi="ar-SA"/>
      </w:rPr>
    </w:lvl>
    <w:lvl w:ilvl="4" w:tplc="ED881140">
      <w:numFmt w:val="bullet"/>
      <w:lvlText w:val="•"/>
      <w:lvlJc w:val="left"/>
      <w:pPr>
        <w:ind w:left="4855" w:hanging="256"/>
      </w:pPr>
      <w:rPr>
        <w:rFonts w:hint="default"/>
        <w:lang w:val="es-ES" w:eastAsia="en-US" w:bidi="ar-SA"/>
      </w:rPr>
    </w:lvl>
    <w:lvl w:ilvl="5" w:tplc="23D63C9C">
      <w:numFmt w:val="bullet"/>
      <w:lvlText w:val="•"/>
      <w:lvlJc w:val="left"/>
      <w:pPr>
        <w:ind w:left="5794" w:hanging="256"/>
      </w:pPr>
      <w:rPr>
        <w:rFonts w:hint="default"/>
        <w:lang w:val="es-ES" w:eastAsia="en-US" w:bidi="ar-SA"/>
      </w:rPr>
    </w:lvl>
    <w:lvl w:ilvl="6" w:tplc="BDECAD7A">
      <w:numFmt w:val="bullet"/>
      <w:lvlText w:val="•"/>
      <w:lvlJc w:val="left"/>
      <w:pPr>
        <w:ind w:left="6733" w:hanging="256"/>
      </w:pPr>
      <w:rPr>
        <w:rFonts w:hint="default"/>
        <w:lang w:val="es-ES" w:eastAsia="en-US" w:bidi="ar-SA"/>
      </w:rPr>
    </w:lvl>
    <w:lvl w:ilvl="7" w:tplc="D5584DAE">
      <w:numFmt w:val="bullet"/>
      <w:lvlText w:val="•"/>
      <w:lvlJc w:val="left"/>
      <w:pPr>
        <w:ind w:left="7672" w:hanging="256"/>
      </w:pPr>
      <w:rPr>
        <w:rFonts w:hint="default"/>
        <w:lang w:val="es-ES" w:eastAsia="en-US" w:bidi="ar-SA"/>
      </w:rPr>
    </w:lvl>
    <w:lvl w:ilvl="8" w:tplc="6812FC84">
      <w:numFmt w:val="bullet"/>
      <w:lvlText w:val="•"/>
      <w:lvlJc w:val="left"/>
      <w:pPr>
        <w:ind w:left="8611" w:hanging="256"/>
      </w:pPr>
      <w:rPr>
        <w:rFonts w:hint="default"/>
        <w:lang w:val="es-ES" w:eastAsia="en-US" w:bidi="ar-SA"/>
      </w:rPr>
    </w:lvl>
  </w:abstractNum>
  <w:abstractNum w:abstractNumId="20" w15:restartNumberingAfterBreak="0">
    <w:nsid w:val="09B94198"/>
    <w:multiLevelType w:val="hybridMultilevel"/>
    <w:tmpl w:val="479EF89E"/>
    <w:lvl w:ilvl="0" w:tplc="809ED4B4">
      <w:start w:val="4"/>
      <w:numFmt w:val="lowerLetter"/>
      <w:lvlText w:val="%1)"/>
      <w:lvlJc w:val="left"/>
      <w:pPr>
        <w:ind w:left="1339" w:hanging="234"/>
        <w:jc w:val="left"/>
      </w:pPr>
      <w:rPr>
        <w:rFonts w:ascii="Arial MT" w:eastAsia="Arial MT" w:hAnsi="Arial MT" w:cs="Arial MT" w:hint="default"/>
        <w:b w:val="0"/>
        <w:bCs w:val="0"/>
        <w:i w:val="0"/>
        <w:iCs w:val="0"/>
        <w:spacing w:val="0"/>
        <w:w w:val="100"/>
        <w:sz w:val="20"/>
        <w:szCs w:val="20"/>
        <w:lang w:val="es-ES" w:eastAsia="en-US" w:bidi="ar-SA"/>
      </w:rPr>
    </w:lvl>
    <w:lvl w:ilvl="1" w:tplc="99B4F5B0">
      <w:start w:val="1"/>
      <w:numFmt w:val="decimal"/>
      <w:lvlText w:val="%2."/>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2" w:tplc="2B70BEEE">
      <w:start w:val="1"/>
      <w:numFmt w:val="lowerLetter"/>
      <w:lvlText w:val="%3)"/>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3" w:tplc="304E926A">
      <w:numFmt w:val="bullet"/>
      <w:lvlText w:val="•"/>
      <w:lvlJc w:val="left"/>
      <w:pPr>
        <w:ind w:left="3373" w:hanging="271"/>
      </w:pPr>
      <w:rPr>
        <w:rFonts w:hint="default"/>
        <w:lang w:val="es-ES" w:eastAsia="en-US" w:bidi="ar-SA"/>
      </w:rPr>
    </w:lvl>
    <w:lvl w:ilvl="4" w:tplc="59C0A98E">
      <w:numFmt w:val="bullet"/>
      <w:lvlText w:val="•"/>
      <w:lvlJc w:val="left"/>
      <w:pPr>
        <w:ind w:left="4389" w:hanging="271"/>
      </w:pPr>
      <w:rPr>
        <w:rFonts w:hint="default"/>
        <w:lang w:val="es-ES" w:eastAsia="en-US" w:bidi="ar-SA"/>
      </w:rPr>
    </w:lvl>
    <w:lvl w:ilvl="5" w:tplc="4F6C759E">
      <w:numFmt w:val="bullet"/>
      <w:lvlText w:val="•"/>
      <w:lvlJc w:val="left"/>
      <w:pPr>
        <w:ind w:left="5406" w:hanging="271"/>
      </w:pPr>
      <w:rPr>
        <w:rFonts w:hint="default"/>
        <w:lang w:val="es-ES" w:eastAsia="en-US" w:bidi="ar-SA"/>
      </w:rPr>
    </w:lvl>
    <w:lvl w:ilvl="6" w:tplc="9D02C21A">
      <w:numFmt w:val="bullet"/>
      <w:lvlText w:val="•"/>
      <w:lvlJc w:val="left"/>
      <w:pPr>
        <w:ind w:left="6423" w:hanging="271"/>
      </w:pPr>
      <w:rPr>
        <w:rFonts w:hint="default"/>
        <w:lang w:val="es-ES" w:eastAsia="en-US" w:bidi="ar-SA"/>
      </w:rPr>
    </w:lvl>
    <w:lvl w:ilvl="7" w:tplc="13923AA0">
      <w:numFmt w:val="bullet"/>
      <w:lvlText w:val="•"/>
      <w:lvlJc w:val="left"/>
      <w:pPr>
        <w:ind w:left="7439" w:hanging="271"/>
      </w:pPr>
      <w:rPr>
        <w:rFonts w:hint="default"/>
        <w:lang w:val="es-ES" w:eastAsia="en-US" w:bidi="ar-SA"/>
      </w:rPr>
    </w:lvl>
    <w:lvl w:ilvl="8" w:tplc="5CD495CE">
      <w:numFmt w:val="bullet"/>
      <w:lvlText w:val="•"/>
      <w:lvlJc w:val="left"/>
      <w:pPr>
        <w:ind w:left="8456" w:hanging="271"/>
      </w:pPr>
      <w:rPr>
        <w:rFonts w:hint="default"/>
        <w:lang w:val="es-ES" w:eastAsia="en-US" w:bidi="ar-SA"/>
      </w:rPr>
    </w:lvl>
  </w:abstractNum>
  <w:abstractNum w:abstractNumId="21" w15:restartNumberingAfterBreak="0">
    <w:nsid w:val="09D608A1"/>
    <w:multiLevelType w:val="hybridMultilevel"/>
    <w:tmpl w:val="61987B5A"/>
    <w:lvl w:ilvl="0" w:tplc="9B16154C">
      <w:start w:val="1"/>
      <w:numFmt w:val="decimal"/>
      <w:lvlText w:val="%1."/>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1" w:tplc="72B4DF9E">
      <w:numFmt w:val="bullet"/>
      <w:lvlText w:val="•"/>
      <w:lvlJc w:val="left"/>
      <w:pPr>
        <w:ind w:left="2038" w:hanging="247"/>
      </w:pPr>
      <w:rPr>
        <w:rFonts w:hint="default"/>
        <w:lang w:val="es-ES" w:eastAsia="en-US" w:bidi="ar-SA"/>
      </w:rPr>
    </w:lvl>
    <w:lvl w:ilvl="2" w:tplc="2F86926A">
      <w:numFmt w:val="bullet"/>
      <w:lvlText w:val="•"/>
      <w:lvlJc w:val="left"/>
      <w:pPr>
        <w:ind w:left="2977" w:hanging="247"/>
      </w:pPr>
      <w:rPr>
        <w:rFonts w:hint="default"/>
        <w:lang w:val="es-ES" w:eastAsia="en-US" w:bidi="ar-SA"/>
      </w:rPr>
    </w:lvl>
    <w:lvl w:ilvl="3" w:tplc="8FF8A94A">
      <w:numFmt w:val="bullet"/>
      <w:lvlText w:val="•"/>
      <w:lvlJc w:val="left"/>
      <w:pPr>
        <w:ind w:left="3916" w:hanging="247"/>
      </w:pPr>
      <w:rPr>
        <w:rFonts w:hint="default"/>
        <w:lang w:val="es-ES" w:eastAsia="en-US" w:bidi="ar-SA"/>
      </w:rPr>
    </w:lvl>
    <w:lvl w:ilvl="4" w:tplc="F0C8D06E">
      <w:numFmt w:val="bullet"/>
      <w:lvlText w:val="•"/>
      <w:lvlJc w:val="left"/>
      <w:pPr>
        <w:ind w:left="4855" w:hanging="247"/>
      </w:pPr>
      <w:rPr>
        <w:rFonts w:hint="default"/>
        <w:lang w:val="es-ES" w:eastAsia="en-US" w:bidi="ar-SA"/>
      </w:rPr>
    </w:lvl>
    <w:lvl w:ilvl="5" w:tplc="8598B6D0">
      <w:numFmt w:val="bullet"/>
      <w:lvlText w:val="•"/>
      <w:lvlJc w:val="left"/>
      <w:pPr>
        <w:ind w:left="5794" w:hanging="247"/>
      </w:pPr>
      <w:rPr>
        <w:rFonts w:hint="default"/>
        <w:lang w:val="es-ES" w:eastAsia="en-US" w:bidi="ar-SA"/>
      </w:rPr>
    </w:lvl>
    <w:lvl w:ilvl="6" w:tplc="B9DEE89A">
      <w:numFmt w:val="bullet"/>
      <w:lvlText w:val="•"/>
      <w:lvlJc w:val="left"/>
      <w:pPr>
        <w:ind w:left="6733" w:hanging="247"/>
      </w:pPr>
      <w:rPr>
        <w:rFonts w:hint="default"/>
        <w:lang w:val="es-ES" w:eastAsia="en-US" w:bidi="ar-SA"/>
      </w:rPr>
    </w:lvl>
    <w:lvl w:ilvl="7" w:tplc="FEE2CB16">
      <w:numFmt w:val="bullet"/>
      <w:lvlText w:val="•"/>
      <w:lvlJc w:val="left"/>
      <w:pPr>
        <w:ind w:left="7672" w:hanging="247"/>
      </w:pPr>
      <w:rPr>
        <w:rFonts w:hint="default"/>
        <w:lang w:val="es-ES" w:eastAsia="en-US" w:bidi="ar-SA"/>
      </w:rPr>
    </w:lvl>
    <w:lvl w:ilvl="8" w:tplc="C608DAAA">
      <w:numFmt w:val="bullet"/>
      <w:lvlText w:val="•"/>
      <w:lvlJc w:val="left"/>
      <w:pPr>
        <w:ind w:left="8611" w:hanging="247"/>
      </w:pPr>
      <w:rPr>
        <w:rFonts w:hint="default"/>
        <w:lang w:val="es-ES" w:eastAsia="en-US" w:bidi="ar-SA"/>
      </w:rPr>
    </w:lvl>
  </w:abstractNum>
  <w:abstractNum w:abstractNumId="22" w15:restartNumberingAfterBreak="0">
    <w:nsid w:val="0A051EA9"/>
    <w:multiLevelType w:val="hybridMultilevel"/>
    <w:tmpl w:val="EDA0947E"/>
    <w:lvl w:ilvl="0" w:tplc="147C2A10">
      <w:start w:val="1"/>
      <w:numFmt w:val="decimal"/>
      <w:lvlText w:val="%1."/>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1" w:tplc="ECE49772">
      <w:numFmt w:val="bullet"/>
      <w:lvlText w:val="•"/>
      <w:lvlJc w:val="left"/>
      <w:pPr>
        <w:ind w:left="2038" w:hanging="248"/>
      </w:pPr>
      <w:rPr>
        <w:rFonts w:hint="default"/>
        <w:lang w:val="es-ES" w:eastAsia="en-US" w:bidi="ar-SA"/>
      </w:rPr>
    </w:lvl>
    <w:lvl w:ilvl="2" w:tplc="565EB88A">
      <w:numFmt w:val="bullet"/>
      <w:lvlText w:val="•"/>
      <w:lvlJc w:val="left"/>
      <w:pPr>
        <w:ind w:left="2977" w:hanging="248"/>
      </w:pPr>
      <w:rPr>
        <w:rFonts w:hint="default"/>
        <w:lang w:val="es-ES" w:eastAsia="en-US" w:bidi="ar-SA"/>
      </w:rPr>
    </w:lvl>
    <w:lvl w:ilvl="3" w:tplc="FD74E102">
      <w:numFmt w:val="bullet"/>
      <w:lvlText w:val="•"/>
      <w:lvlJc w:val="left"/>
      <w:pPr>
        <w:ind w:left="3916" w:hanging="248"/>
      </w:pPr>
      <w:rPr>
        <w:rFonts w:hint="default"/>
        <w:lang w:val="es-ES" w:eastAsia="en-US" w:bidi="ar-SA"/>
      </w:rPr>
    </w:lvl>
    <w:lvl w:ilvl="4" w:tplc="BA8AC12A">
      <w:numFmt w:val="bullet"/>
      <w:lvlText w:val="•"/>
      <w:lvlJc w:val="left"/>
      <w:pPr>
        <w:ind w:left="4855" w:hanging="248"/>
      </w:pPr>
      <w:rPr>
        <w:rFonts w:hint="default"/>
        <w:lang w:val="es-ES" w:eastAsia="en-US" w:bidi="ar-SA"/>
      </w:rPr>
    </w:lvl>
    <w:lvl w:ilvl="5" w:tplc="FBE068A2">
      <w:numFmt w:val="bullet"/>
      <w:lvlText w:val="•"/>
      <w:lvlJc w:val="left"/>
      <w:pPr>
        <w:ind w:left="5794" w:hanging="248"/>
      </w:pPr>
      <w:rPr>
        <w:rFonts w:hint="default"/>
        <w:lang w:val="es-ES" w:eastAsia="en-US" w:bidi="ar-SA"/>
      </w:rPr>
    </w:lvl>
    <w:lvl w:ilvl="6" w:tplc="6BC28736">
      <w:numFmt w:val="bullet"/>
      <w:lvlText w:val="•"/>
      <w:lvlJc w:val="left"/>
      <w:pPr>
        <w:ind w:left="6733" w:hanging="248"/>
      </w:pPr>
      <w:rPr>
        <w:rFonts w:hint="default"/>
        <w:lang w:val="es-ES" w:eastAsia="en-US" w:bidi="ar-SA"/>
      </w:rPr>
    </w:lvl>
    <w:lvl w:ilvl="7" w:tplc="8DDCD12C">
      <w:numFmt w:val="bullet"/>
      <w:lvlText w:val="•"/>
      <w:lvlJc w:val="left"/>
      <w:pPr>
        <w:ind w:left="7672" w:hanging="248"/>
      </w:pPr>
      <w:rPr>
        <w:rFonts w:hint="default"/>
        <w:lang w:val="es-ES" w:eastAsia="en-US" w:bidi="ar-SA"/>
      </w:rPr>
    </w:lvl>
    <w:lvl w:ilvl="8" w:tplc="082CD52E">
      <w:numFmt w:val="bullet"/>
      <w:lvlText w:val="•"/>
      <w:lvlJc w:val="left"/>
      <w:pPr>
        <w:ind w:left="8611" w:hanging="248"/>
      </w:pPr>
      <w:rPr>
        <w:rFonts w:hint="default"/>
        <w:lang w:val="es-ES" w:eastAsia="en-US" w:bidi="ar-SA"/>
      </w:rPr>
    </w:lvl>
  </w:abstractNum>
  <w:abstractNum w:abstractNumId="23" w15:restartNumberingAfterBreak="0">
    <w:nsid w:val="0A5222F5"/>
    <w:multiLevelType w:val="hybridMultilevel"/>
    <w:tmpl w:val="9D52E638"/>
    <w:lvl w:ilvl="0" w:tplc="6F161ACE">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A16C3F3A">
      <w:numFmt w:val="bullet"/>
      <w:lvlText w:val="•"/>
      <w:lvlJc w:val="left"/>
      <w:pPr>
        <w:ind w:left="2038" w:hanging="229"/>
      </w:pPr>
      <w:rPr>
        <w:rFonts w:hint="default"/>
        <w:lang w:val="es-ES" w:eastAsia="en-US" w:bidi="ar-SA"/>
      </w:rPr>
    </w:lvl>
    <w:lvl w:ilvl="2" w:tplc="DF32083E">
      <w:numFmt w:val="bullet"/>
      <w:lvlText w:val="•"/>
      <w:lvlJc w:val="left"/>
      <w:pPr>
        <w:ind w:left="2977" w:hanging="229"/>
      </w:pPr>
      <w:rPr>
        <w:rFonts w:hint="default"/>
        <w:lang w:val="es-ES" w:eastAsia="en-US" w:bidi="ar-SA"/>
      </w:rPr>
    </w:lvl>
    <w:lvl w:ilvl="3" w:tplc="A32426FA">
      <w:numFmt w:val="bullet"/>
      <w:lvlText w:val="•"/>
      <w:lvlJc w:val="left"/>
      <w:pPr>
        <w:ind w:left="3916" w:hanging="229"/>
      </w:pPr>
      <w:rPr>
        <w:rFonts w:hint="default"/>
        <w:lang w:val="es-ES" w:eastAsia="en-US" w:bidi="ar-SA"/>
      </w:rPr>
    </w:lvl>
    <w:lvl w:ilvl="4" w:tplc="8E20EC50">
      <w:numFmt w:val="bullet"/>
      <w:lvlText w:val="•"/>
      <w:lvlJc w:val="left"/>
      <w:pPr>
        <w:ind w:left="4855" w:hanging="229"/>
      </w:pPr>
      <w:rPr>
        <w:rFonts w:hint="default"/>
        <w:lang w:val="es-ES" w:eastAsia="en-US" w:bidi="ar-SA"/>
      </w:rPr>
    </w:lvl>
    <w:lvl w:ilvl="5" w:tplc="4C42F2DC">
      <w:numFmt w:val="bullet"/>
      <w:lvlText w:val="•"/>
      <w:lvlJc w:val="left"/>
      <w:pPr>
        <w:ind w:left="5794" w:hanging="229"/>
      </w:pPr>
      <w:rPr>
        <w:rFonts w:hint="default"/>
        <w:lang w:val="es-ES" w:eastAsia="en-US" w:bidi="ar-SA"/>
      </w:rPr>
    </w:lvl>
    <w:lvl w:ilvl="6" w:tplc="6778DC86">
      <w:numFmt w:val="bullet"/>
      <w:lvlText w:val="•"/>
      <w:lvlJc w:val="left"/>
      <w:pPr>
        <w:ind w:left="6733" w:hanging="229"/>
      </w:pPr>
      <w:rPr>
        <w:rFonts w:hint="default"/>
        <w:lang w:val="es-ES" w:eastAsia="en-US" w:bidi="ar-SA"/>
      </w:rPr>
    </w:lvl>
    <w:lvl w:ilvl="7" w:tplc="A29CAE8E">
      <w:numFmt w:val="bullet"/>
      <w:lvlText w:val="•"/>
      <w:lvlJc w:val="left"/>
      <w:pPr>
        <w:ind w:left="7672" w:hanging="229"/>
      </w:pPr>
      <w:rPr>
        <w:rFonts w:hint="default"/>
        <w:lang w:val="es-ES" w:eastAsia="en-US" w:bidi="ar-SA"/>
      </w:rPr>
    </w:lvl>
    <w:lvl w:ilvl="8" w:tplc="3320DB32">
      <w:numFmt w:val="bullet"/>
      <w:lvlText w:val="•"/>
      <w:lvlJc w:val="left"/>
      <w:pPr>
        <w:ind w:left="8611" w:hanging="229"/>
      </w:pPr>
      <w:rPr>
        <w:rFonts w:hint="default"/>
        <w:lang w:val="es-ES" w:eastAsia="en-US" w:bidi="ar-SA"/>
      </w:rPr>
    </w:lvl>
  </w:abstractNum>
  <w:abstractNum w:abstractNumId="24" w15:restartNumberingAfterBreak="0">
    <w:nsid w:val="0A63261F"/>
    <w:multiLevelType w:val="hybridMultilevel"/>
    <w:tmpl w:val="68BC5EC4"/>
    <w:lvl w:ilvl="0" w:tplc="E49AA164">
      <w:start w:val="1"/>
      <w:numFmt w:val="decimal"/>
      <w:lvlText w:val="%1."/>
      <w:lvlJc w:val="left"/>
      <w:pPr>
        <w:ind w:left="1106" w:hanging="258"/>
        <w:jc w:val="left"/>
      </w:pPr>
      <w:rPr>
        <w:rFonts w:ascii="Arial MT" w:eastAsia="Arial MT" w:hAnsi="Arial MT" w:cs="Arial MT" w:hint="default"/>
        <w:b w:val="0"/>
        <w:bCs w:val="0"/>
        <w:i w:val="0"/>
        <w:iCs w:val="0"/>
        <w:spacing w:val="0"/>
        <w:w w:val="100"/>
        <w:sz w:val="20"/>
        <w:szCs w:val="20"/>
        <w:lang w:val="es-ES" w:eastAsia="en-US" w:bidi="ar-SA"/>
      </w:rPr>
    </w:lvl>
    <w:lvl w:ilvl="1" w:tplc="261A1A4E">
      <w:start w:val="1"/>
      <w:numFmt w:val="lowerLetter"/>
      <w:lvlText w:val="%2)"/>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2" w:tplc="8A14B238">
      <w:numFmt w:val="bullet"/>
      <w:lvlText w:val="•"/>
      <w:lvlJc w:val="left"/>
      <w:pPr>
        <w:ind w:left="2977" w:hanging="251"/>
      </w:pPr>
      <w:rPr>
        <w:rFonts w:hint="default"/>
        <w:lang w:val="es-ES" w:eastAsia="en-US" w:bidi="ar-SA"/>
      </w:rPr>
    </w:lvl>
    <w:lvl w:ilvl="3" w:tplc="AB9C07AC">
      <w:numFmt w:val="bullet"/>
      <w:lvlText w:val="•"/>
      <w:lvlJc w:val="left"/>
      <w:pPr>
        <w:ind w:left="3916" w:hanging="251"/>
      </w:pPr>
      <w:rPr>
        <w:rFonts w:hint="default"/>
        <w:lang w:val="es-ES" w:eastAsia="en-US" w:bidi="ar-SA"/>
      </w:rPr>
    </w:lvl>
    <w:lvl w:ilvl="4" w:tplc="AE1E4BD2">
      <w:numFmt w:val="bullet"/>
      <w:lvlText w:val="•"/>
      <w:lvlJc w:val="left"/>
      <w:pPr>
        <w:ind w:left="4855" w:hanging="251"/>
      </w:pPr>
      <w:rPr>
        <w:rFonts w:hint="default"/>
        <w:lang w:val="es-ES" w:eastAsia="en-US" w:bidi="ar-SA"/>
      </w:rPr>
    </w:lvl>
    <w:lvl w:ilvl="5" w:tplc="3FEEE006">
      <w:numFmt w:val="bullet"/>
      <w:lvlText w:val="•"/>
      <w:lvlJc w:val="left"/>
      <w:pPr>
        <w:ind w:left="5794" w:hanging="251"/>
      </w:pPr>
      <w:rPr>
        <w:rFonts w:hint="default"/>
        <w:lang w:val="es-ES" w:eastAsia="en-US" w:bidi="ar-SA"/>
      </w:rPr>
    </w:lvl>
    <w:lvl w:ilvl="6" w:tplc="08D4F83A">
      <w:numFmt w:val="bullet"/>
      <w:lvlText w:val="•"/>
      <w:lvlJc w:val="left"/>
      <w:pPr>
        <w:ind w:left="6733" w:hanging="251"/>
      </w:pPr>
      <w:rPr>
        <w:rFonts w:hint="default"/>
        <w:lang w:val="es-ES" w:eastAsia="en-US" w:bidi="ar-SA"/>
      </w:rPr>
    </w:lvl>
    <w:lvl w:ilvl="7" w:tplc="5DB8E610">
      <w:numFmt w:val="bullet"/>
      <w:lvlText w:val="•"/>
      <w:lvlJc w:val="left"/>
      <w:pPr>
        <w:ind w:left="7672" w:hanging="251"/>
      </w:pPr>
      <w:rPr>
        <w:rFonts w:hint="default"/>
        <w:lang w:val="es-ES" w:eastAsia="en-US" w:bidi="ar-SA"/>
      </w:rPr>
    </w:lvl>
    <w:lvl w:ilvl="8" w:tplc="A4ACE1E0">
      <w:numFmt w:val="bullet"/>
      <w:lvlText w:val="•"/>
      <w:lvlJc w:val="left"/>
      <w:pPr>
        <w:ind w:left="8611" w:hanging="251"/>
      </w:pPr>
      <w:rPr>
        <w:rFonts w:hint="default"/>
        <w:lang w:val="es-ES" w:eastAsia="en-US" w:bidi="ar-SA"/>
      </w:rPr>
    </w:lvl>
  </w:abstractNum>
  <w:abstractNum w:abstractNumId="25" w15:restartNumberingAfterBreak="0">
    <w:nsid w:val="0AD82833"/>
    <w:multiLevelType w:val="hybridMultilevel"/>
    <w:tmpl w:val="EF2CF72A"/>
    <w:lvl w:ilvl="0" w:tplc="8E5E1BEE">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FF8C5D4A">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3552163C">
      <w:start w:val="1"/>
      <w:numFmt w:val="lowerRoman"/>
      <w:lvlText w:val="%3."/>
      <w:lvlJc w:val="left"/>
      <w:pPr>
        <w:ind w:left="1106" w:hanging="195"/>
        <w:jc w:val="left"/>
      </w:pPr>
      <w:rPr>
        <w:rFonts w:ascii="Arial MT" w:eastAsia="Arial MT" w:hAnsi="Arial MT" w:cs="Arial MT" w:hint="default"/>
        <w:b w:val="0"/>
        <w:bCs w:val="0"/>
        <w:i w:val="0"/>
        <w:iCs w:val="0"/>
        <w:spacing w:val="0"/>
        <w:w w:val="100"/>
        <w:sz w:val="20"/>
        <w:szCs w:val="20"/>
        <w:lang w:val="es-ES" w:eastAsia="en-US" w:bidi="ar-SA"/>
      </w:rPr>
    </w:lvl>
    <w:lvl w:ilvl="3" w:tplc="7CC056F4">
      <w:numFmt w:val="bullet"/>
      <w:lvlText w:val="•"/>
      <w:lvlJc w:val="left"/>
      <w:pPr>
        <w:ind w:left="3637" w:hanging="195"/>
      </w:pPr>
      <w:rPr>
        <w:rFonts w:hint="default"/>
        <w:lang w:val="es-ES" w:eastAsia="en-US" w:bidi="ar-SA"/>
      </w:rPr>
    </w:lvl>
    <w:lvl w:ilvl="4" w:tplc="570005A4">
      <w:numFmt w:val="bullet"/>
      <w:lvlText w:val="•"/>
      <w:lvlJc w:val="left"/>
      <w:pPr>
        <w:ind w:left="4616" w:hanging="195"/>
      </w:pPr>
      <w:rPr>
        <w:rFonts w:hint="default"/>
        <w:lang w:val="es-ES" w:eastAsia="en-US" w:bidi="ar-SA"/>
      </w:rPr>
    </w:lvl>
    <w:lvl w:ilvl="5" w:tplc="A8322500">
      <w:numFmt w:val="bullet"/>
      <w:lvlText w:val="•"/>
      <w:lvlJc w:val="left"/>
      <w:pPr>
        <w:ind w:left="5595" w:hanging="195"/>
      </w:pPr>
      <w:rPr>
        <w:rFonts w:hint="default"/>
        <w:lang w:val="es-ES" w:eastAsia="en-US" w:bidi="ar-SA"/>
      </w:rPr>
    </w:lvl>
    <w:lvl w:ilvl="6" w:tplc="E34EE5FE">
      <w:numFmt w:val="bullet"/>
      <w:lvlText w:val="•"/>
      <w:lvlJc w:val="left"/>
      <w:pPr>
        <w:ind w:left="6574" w:hanging="195"/>
      </w:pPr>
      <w:rPr>
        <w:rFonts w:hint="default"/>
        <w:lang w:val="es-ES" w:eastAsia="en-US" w:bidi="ar-SA"/>
      </w:rPr>
    </w:lvl>
    <w:lvl w:ilvl="7" w:tplc="08D41670">
      <w:numFmt w:val="bullet"/>
      <w:lvlText w:val="•"/>
      <w:lvlJc w:val="left"/>
      <w:pPr>
        <w:ind w:left="7553" w:hanging="195"/>
      </w:pPr>
      <w:rPr>
        <w:rFonts w:hint="default"/>
        <w:lang w:val="es-ES" w:eastAsia="en-US" w:bidi="ar-SA"/>
      </w:rPr>
    </w:lvl>
    <w:lvl w:ilvl="8" w:tplc="19C63BE4">
      <w:numFmt w:val="bullet"/>
      <w:lvlText w:val="•"/>
      <w:lvlJc w:val="left"/>
      <w:pPr>
        <w:ind w:left="8531" w:hanging="195"/>
      </w:pPr>
      <w:rPr>
        <w:rFonts w:hint="default"/>
        <w:lang w:val="es-ES" w:eastAsia="en-US" w:bidi="ar-SA"/>
      </w:rPr>
    </w:lvl>
  </w:abstractNum>
  <w:abstractNum w:abstractNumId="26" w15:restartNumberingAfterBreak="0">
    <w:nsid w:val="0B0F7555"/>
    <w:multiLevelType w:val="hybridMultilevel"/>
    <w:tmpl w:val="00EE0FEE"/>
    <w:lvl w:ilvl="0" w:tplc="96A01936">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AA3C589E">
      <w:start w:val="1"/>
      <w:numFmt w:val="lowerLetter"/>
      <w:lvlText w:val="%2)"/>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2" w:tplc="02523EB4">
      <w:numFmt w:val="bullet"/>
      <w:lvlText w:val="•"/>
      <w:lvlJc w:val="left"/>
      <w:pPr>
        <w:ind w:left="2977" w:hanging="241"/>
      </w:pPr>
      <w:rPr>
        <w:rFonts w:hint="default"/>
        <w:lang w:val="es-ES" w:eastAsia="en-US" w:bidi="ar-SA"/>
      </w:rPr>
    </w:lvl>
    <w:lvl w:ilvl="3" w:tplc="E808FEB2">
      <w:numFmt w:val="bullet"/>
      <w:lvlText w:val="•"/>
      <w:lvlJc w:val="left"/>
      <w:pPr>
        <w:ind w:left="3916" w:hanging="241"/>
      </w:pPr>
      <w:rPr>
        <w:rFonts w:hint="default"/>
        <w:lang w:val="es-ES" w:eastAsia="en-US" w:bidi="ar-SA"/>
      </w:rPr>
    </w:lvl>
    <w:lvl w:ilvl="4" w:tplc="B47EC772">
      <w:numFmt w:val="bullet"/>
      <w:lvlText w:val="•"/>
      <w:lvlJc w:val="left"/>
      <w:pPr>
        <w:ind w:left="4855" w:hanging="241"/>
      </w:pPr>
      <w:rPr>
        <w:rFonts w:hint="default"/>
        <w:lang w:val="es-ES" w:eastAsia="en-US" w:bidi="ar-SA"/>
      </w:rPr>
    </w:lvl>
    <w:lvl w:ilvl="5" w:tplc="E2381C8E">
      <w:numFmt w:val="bullet"/>
      <w:lvlText w:val="•"/>
      <w:lvlJc w:val="left"/>
      <w:pPr>
        <w:ind w:left="5794" w:hanging="241"/>
      </w:pPr>
      <w:rPr>
        <w:rFonts w:hint="default"/>
        <w:lang w:val="es-ES" w:eastAsia="en-US" w:bidi="ar-SA"/>
      </w:rPr>
    </w:lvl>
    <w:lvl w:ilvl="6" w:tplc="F67EC442">
      <w:numFmt w:val="bullet"/>
      <w:lvlText w:val="•"/>
      <w:lvlJc w:val="left"/>
      <w:pPr>
        <w:ind w:left="6733" w:hanging="241"/>
      </w:pPr>
      <w:rPr>
        <w:rFonts w:hint="default"/>
        <w:lang w:val="es-ES" w:eastAsia="en-US" w:bidi="ar-SA"/>
      </w:rPr>
    </w:lvl>
    <w:lvl w:ilvl="7" w:tplc="8E7CB7AC">
      <w:numFmt w:val="bullet"/>
      <w:lvlText w:val="•"/>
      <w:lvlJc w:val="left"/>
      <w:pPr>
        <w:ind w:left="7672" w:hanging="241"/>
      </w:pPr>
      <w:rPr>
        <w:rFonts w:hint="default"/>
        <w:lang w:val="es-ES" w:eastAsia="en-US" w:bidi="ar-SA"/>
      </w:rPr>
    </w:lvl>
    <w:lvl w:ilvl="8" w:tplc="EF564440">
      <w:numFmt w:val="bullet"/>
      <w:lvlText w:val="•"/>
      <w:lvlJc w:val="left"/>
      <w:pPr>
        <w:ind w:left="8611" w:hanging="241"/>
      </w:pPr>
      <w:rPr>
        <w:rFonts w:hint="default"/>
        <w:lang w:val="es-ES" w:eastAsia="en-US" w:bidi="ar-SA"/>
      </w:rPr>
    </w:lvl>
  </w:abstractNum>
  <w:abstractNum w:abstractNumId="27" w15:restartNumberingAfterBreak="0">
    <w:nsid w:val="0B167EE5"/>
    <w:multiLevelType w:val="hybridMultilevel"/>
    <w:tmpl w:val="BC885E3E"/>
    <w:lvl w:ilvl="0" w:tplc="0742CF78">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AD6ED5EE">
      <w:start w:val="1"/>
      <w:numFmt w:val="lowerLetter"/>
      <w:lvlText w:val="%2)"/>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2" w:tplc="CAAA76C8">
      <w:numFmt w:val="bullet"/>
      <w:lvlText w:val="•"/>
      <w:lvlJc w:val="left"/>
      <w:pPr>
        <w:ind w:left="2977" w:hanging="245"/>
      </w:pPr>
      <w:rPr>
        <w:rFonts w:hint="default"/>
        <w:lang w:val="es-ES" w:eastAsia="en-US" w:bidi="ar-SA"/>
      </w:rPr>
    </w:lvl>
    <w:lvl w:ilvl="3" w:tplc="314CAA7A">
      <w:numFmt w:val="bullet"/>
      <w:lvlText w:val="•"/>
      <w:lvlJc w:val="left"/>
      <w:pPr>
        <w:ind w:left="3916" w:hanging="245"/>
      </w:pPr>
      <w:rPr>
        <w:rFonts w:hint="default"/>
        <w:lang w:val="es-ES" w:eastAsia="en-US" w:bidi="ar-SA"/>
      </w:rPr>
    </w:lvl>
    <w:lvl w:ilvl="4" w:tplc="78ACF964">
      <w:numFmt w:val="bullet"/>
      <w:lvlText w:val="•"/>
      <w:lvlJc w:val="left"/>
      <w:pPr>
        <w:ind w:left="4855" w:hanging="245"/>
      </w:pPr>
      <w:rPr>
        <w:rFonts w:hint="default"/>
        <w:lang w:val="es-ES" w:eastAsia="en-US" w:bidi="ar-SA"/>
      </w:rPr>
    </w:lvl>
    <w:lvl w:ilvl="5" w:tplc="F8462D78">
      <w:numFmt w:val="bullet"/>
      <w:lvlText w:val="•"/>
      <w:lvlJc w:val="left"/>
      <w:pPr>
        <w:ind w:left="5794" w:hanging="245"/>
      </w:pPr>
      <w:rPr>
        <w:rFonts w:hint="default"/>
        <w:lang w:val="es-ES" w:eastAsia="en-US" w:bidi="ar-SA"/>
      </w:rPr>
    </w:lvl>
    <w:lvl w:ilvl="6" w:tplc="AC1E9380">
      <w:numFmt w:val="bullet"/>
      <w:lvlText w:val="•"/>
      <w:lvlJc w:val="left"/>
      <w:pPr>
        <w:ind w:left="6733" w:hanging="245"/>
      </w:pPr>
      <w:rPr>
        <w:rFonts w:hint="default"/>
        <w:lang w:val="es-ES" w:eastAsia="en-US" w:bidi="ar-SA"/>
      </w:rPr>
    </w:lvl>
    <w:lvl w:ilvl="7" w:tplc="F8C8D666">
      <w:numFmt w:val="bullet"/>
      <w:lvlText w:val="•"/>
      <w:lvlJc w:val="left"/>
      <w:pPr>
        <w:ind w:left="7672" w:hanging="245"/>
      </w:pPr>
      <w:rPr>
        <w:rFonts w:hint="default"/>
        <w:lang w:val="es-ES" w:eastAsia="en-US" w:bidi="ar-SA"/>
      </w:rPr>
    </w:lvl>
    <w:lvl w:ilvl="8" w:tplc="BF9E8BC8">
      <w:numFmt w:val="bullet"/>
      <w:lvlText w:val="•"/>
      <w:lvlJc w:val="left"/>
      <w:pPr>
        <w:ind w:left="8611" w:hanging="245"/>
      </w:pPr>
      <w:rPr>
        <w:rFonts w:hint="default"/>
        <w:lang w:val="es-ES" w:eastAsia="en-US" w:bidi="ar-SA"/>
      </w:rPr>
    </w:lvl>
  </w:abstractNum>
  <w:abstractNum w:abstractNumId="28" w15:restartNumberingAfterBreak="0">
    <w:nsid w:val="0B5A240C"/>
    <w:multiLevelType w:val="hybridMultilevel"/>
    <w:tmpl w:val="3B6E686E"/>
    <w:lvl w:ilvl="0" w:tplc="DF0E9ECE">
      <w:start w:val="1"/>
      <w:numFmt w:val="decimal"/>
      <w:lvlText w:val="%1."/>
      <w:lvlJc w:val="left"/>
      <w:pPr>
        <w:ind w:left="1106" w:hanging="286"/>
        <w:jc w:val="left"/>
      </w:pPr>
      <w:rPr>
        <w:rFonts w:ascii="Arial MT" w:eastAsia="Arial MT" w:hAnsi="Arial MT" w:cs="Arial MT" w:hint="default"/>
        <w:b w:val="0"/>
        <w:bCs w:val="0"/>
        <w:i w:val="0"/>
        <w:iCs w:val="0"/>
        <w:spacing w:val="0"/>
        <w:w w:val="100"/>
        <w:sz w:val="20"/>
        <w:szCs w:val="20"/>
        <w:lang w:val="es-ES" w:eastAsia="en-US" w:bidi="ar-SA"/>
      </w:rPr>
    </w:lvl>
    <w:lvl w:ilvl="1" w:tplc="B0786A62">
      <w:start w:val="1"/>
      <w:numFmt w:val="lowerLetter"/>
      <w:lvlText w:val="%2)"/>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2" w:tplc="B12C8860">
      <w:numFmt w:val="bullet"/>
      <w:lvlText w:val="•"/>
      <w:lvlJc w:val="left"/>
      <w:pPr>
        <w:ind w:left="2977" w:hanging="237"/>
      </w:pPr>
      <w:rPr>
        <w:rFonts w:hint="default"/>
        <w:lang w:val="es-ES" w:eastAsia="en-US" w:bidi="ar-SA"/>
      </w:rPr>
    </w:lvl>
    <w:lvl w:ilvl="3" w:tplc="58C4B89A">
      <w:numFmt w:val="bullet"/>
      <w:lvlText w:val="•"/>
      <w:lvlJc w:val="left"/>
      <w:pPr>
        <w:ind w:left="3916" w:hanging="237"/>
      </w:pPr>
      <w:rPr>
        <w:rFonts w:hint="default"/>
        <w:lang w:val="es-ES" w:eastAsia="en-US" w:bidi="ar-SA"/>
      </w:rPr>
    </w:lvl>
    <w:lvl w:ilvl="4" w:tplc="9F0C0F18">
      <w:numFmt w:val="bullet"/>
      <w:lvlText w:val="•"/>
      <w:lvlJc w:val="left"/>
      <w:pPr>
        <w:ind w:left="4855" w:hanging="237"/>
      </w:pPr>
      <w:rPr>
        <w:rFonts w:hint="default"/>
        <w:lang w:val="es-ES" w:eastAsia="en-US" w:bidi="ar-SA"/>
      </w:rPr>
    </w:lvl>
    <w:lvl w:ilvl="5" w:tplc="7DC2088C">
      <w:numFmt w:val="bullet"/>
      <w:lvlText w:val="•"/>
      <w:lvlJc w:val="left"/>
      <w:pPr>
        <w:ind w:left="5794" w:hanging="237"/>
      </w:pPr>
      <w:rPr>
        <w:rFonts w:hint="default"/>
        <w:lang w:val="es-ES" w:eastAsia="en-US" w:bidi="ar-SA"/>
      </w:rPr>
    </w:lvl>
    <w:lvl w:ilvl="6" w:tplc="318AD04E">
      <w:numFmt w:val="bullet"/>
      <w:lvlText w:val="•"/>
      <w:lvlJc w:val="left"/>
      <w:pPr>
        <w:ind w:left="6733" w:hanging="237"/>
      </w:pPr>
      <w:rPr>
        <w:rFonts w:hint="default"/>
        <w:lang w:val="es-ES" w:eastAsia="en-US" w:bidi="ar-SA"/>
      </w:rPr>
    </w:lvl>
    <w:lvl w:ilvl="7" w:tplc="D1287AE6">
      <w:numFmt w:val="bullet"/>
      <w:lvlText w:val="•"/>
      <w:lvlJc w:val="left"/>
      <w:pPr>
        <w:ind w:left="7672" w:hanging="237"/>
      </w:pPr>
      <w:rPr>
        <w:rFonts w:hint="default"/>
        <w:lang w:val="es-ES" w:eastAsia="en-US" w:bidi="ar-SA"/>
      </w:rPr>
    </w:lvl>
    <w:lvl w:ilvl="8" w:tplc="6700D612">
      <w:numFmt w:val="bullet"/>
      <w:lvlText w:val="•"/>
      <w:lvlJc w:val="left"/>
      <w:pPr>
        <w:ind w:left="8611" w:hanging="237"/>
      </w:pPr>
      <w:rPr>
        <w:rFonts w:hint="default"/>
        <w:lang w:val="es-ES" w:eastAsia="en-US" w:bidi="ar-SA"/>
      </w:rPr>
    </w:lvl>
  </w:abstractNum>
  <w:abstractNum w:abstractNumId="29" w15:restartNumberingAfterBreak="0">
    <w:nsid w:val="0B7237A0"/>
    <w:multiLevelType w:val="hybridMultilevel"/>
    <w:tmpl w:val="47027542"/>
    <w:lvl w:ilvl="0" w:tplc="E7DEABB6">
      <w:start w:val="1"/>
      <w:numFmt w:val="decimal"/>
      <w:lvlText w:val="%1."/>
      <w:lvlJc w:val="left"/>
      <w:pPr>
        <w:ind w:left="1106" w:hanging="275"/>
        <w:jc w:val="left"/>
      </w:pPr>
      <w:rPr>
        <w:rFonts w:ascii="Arial MT" w:eastAsia="Arial MT" w:hAnsi="Arial MT" w:cs="Arial MT" w:hint="default"/>
        <w:b w:val="0"/>
        <w:bCs w:val="0"/>
        <w:i w:val="0"/>
        <w:iCs w:val="0"/>
        <w:spacing w:val="0"/>
        <w:w w:val="100"/>
        <w:sz w:val="20"/>
        <w:szCs w:val="20"/>
        <w:lang w:val="es-ES" w:eastAsia="en-US" w:bidi="ar-SA"/>
      </w:rPr>
    </w:lvl>
    <w:lvl w:ilvl="1" w:tplc="0CD6D53C">
      <w:start w:val="1"/>
      <w:numFmt w:val="lowerLetter"/>
      <w:lvlText w:val="%2)"/>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2" w:tplc="FC9A2F3C">
      <w:numFmt w:val="bullet"/>
      <w:lvlText w:val="•"/>
      <w:lvlJc w:val="left"/>
      <w:pPr>
        <w:ind w:left="2977" w:hanging="243"/>
      </w:pPr>
      <w:rPr>
        <w:rFonts w:hint="default"/>
        <w:lang w:val="es-ES" w:eastAsia="en-US" w:bidi="ar-SA"/>
      </w:rPr>
    </w:lvl>
    <w:lvl w:ilvl="3" w:tplc="6CD82A74">
      <w:numFmt w:val="bullet"/>
      <w:lvlText w:val="•"/>
      <w:lvlJc w:val="left"/>
      <w:pPr>
        <w:ind w:left="3916" w:hanging="243"/>
      </w:pPr>
      <w:rPr>
        <w:rFonts w:hint="default"/>
        <w:lang w:val="es-ES" w:eastAsia="en-US" w:bidi="ar-SA"/>
      </w:rPr>
    </w:lvl>
    <w:lvl w:ilvl="4" w:tplc="21B6A3B6">
      <w:numFmt w:val="bullet"/>
      <w:lvlText w:val="•"/>
      <w:lvlJc w:val="left"/>
      <w:pPr>
        <w:ind w:left="4855" w:hanging="243"/>
      </w:pPr>
      <w:rPr>
        <w:rFonts w:hint="default"/>
        <w:lang w:val="es-ES" w:eastAsia="en-US" w:bidi="ar-SA"/>
      </w:rPr>
    </w:lvl>
    <w:lvl w:ilvl="5" w:tplc="266E8FFC">
      <w:numFmt w:val="bullet"/>
      <w:lvlText w:val="•"/>
      <w:lvlJc w:val="left"/>
      <w:pPr>
        <w:ind w:left="5794" w:hanging="243"/>
      </w:pPr>
      <w:rPr>
        <w:rFonts w:hint="default"/>
        <w:lang w:val="es-ES" w:eastAsia="en-US" w:bidi="ar-SA"/>
      </w:rPr>
    </w:lvl>
    <w:lvl w:ilvl="6" w:tplc="397E1446">
      <w:numFmt w:val="bullet"/>
      <w:lvlText w:val="•"/>
      <w:lvlJc w:val="left"/>
      <w:pPr>
        <w:ind w:left="6733" w:hanging="243"/>
      </w:pPr>
      <w:rPr>
        <w:rFonts w:hint="default"/>
        <w:lang w:val="es-ES" w:eastAsia="en-US" w:bidi="ar-SA"/>
      </w:rPr>
    </w:lvl>
    <w:lvl w:ilvl="7" w:tplc="3A065DE8">
      <w:numFmt w:val="bullet"/>
      <w:lvlText w:val="•"/>
      <w:lvlJc w:val="left"/>
      <w:pPr>
        <w:ind w:left="7672" w:hanging="243"/>
      </w:pPr>
      <w:rPr>
        <w:rFonts w:hint="default"/>
        <w:lang w:val="es-ES" w:eastAsia="en-US" w:bidi="ar-SA"/>
      </w:rPr>
    </w:lvl>
    <w:lvl w:ilvl="8" w:tplc="176A816C">
      <w:numFmt w:val="bullet"/>
      <w:lvlText w:val="•"/>
      <w:lvlJc w:val="left"/>
      <w:pPr>
        <w:ind w:left="8611" w:hanging="243"/>
      </w:pPr>
      <w:rPr>
        <w:rFonts w:hint="default"/>
        <w:lang w:val="es-ES" w:eastAsia="en-US" w:bidi="ar-SA"/>
      </w:rPr>
    </w:lvl>
  </w:abstractNum>
  <w:abstractNum w:abstractNumId="30" w15:restartNumberingAfterBreak="0">
    <w:nsid w:val="0B987A32"/>
    <w:multiLevelType w:val="hybridMultilevel"/>
    <w:tmpl w:val="6916E944"/>
    <w:lvl w:ilvl="0" w:tplc="57CA3AC8">
      <w:start w:val="1"/>
      <w:numFmt w:val="decimal"/>
      <w:lvlText w:val="%1."/>
      <w:lvlJc w:val="left"/>
      <w:pPr>
        <w:ind w:left="1668" w:hanging="223"/>
        <w:jc w:val="left"/>
      </w:pPr>
      <w:rPr>
        <w:rFonts w:ascii="Arial MT" w:eastAsia="Arial MT" w:hAnsi="Arial MT" w:cs="Arial MT" w:hint="default"/>
        <w:b w:val="0"/>
        <w:bCs w:val="0"/>
        <w:i w:val="0"/>
        <w:iCs w:val="0"/>
        <w:spacing w:val="0"/>
        <w:w w:val="100"/>
        <w:sz w:val="20"/>
        <w:szCs w:val="20"/>
        <w:lang w:val="es-ES" w:eastAsia="en-US" w:bidi="ar-SA"/>
      </w:rPr>
    </w:lvl>
    <w:lvl w:ilvl="1" w:tplc="98464546">
      <w:start w:val="1"/>
      <w:numFmt w:val="lowerLetter"/>
      <w:lvlText w:val="%2)"/>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2" w:tplc="1A6AAB08">
      <w:numFmt w:val="bullet"/>
      <w:lvlText w:val="•"/>
      <w:lvlJc w:val="left"/>
      <w:pPr>
        <w:ind w:left="2641" w:hanging="270"/>
      </w:pPr>
      <w:rPr>
        <w:rFonts w:hint="default"/>
        <w:lang w:val="es-ES" w:eastAsia="en-US" w:bidi="ar-SA"/>
      </w:rPr>
    </w:lvl>
    <w:lvl w:ilvl="3" w:tplc="CC6E2996">
      <w:numFmt w:val="bullet"/>
      <w:lvlText w:val="•"/>
      <w:lvlJc w:val="left"/>
      <w:pPr>
        <w:ind w:left="3622" w:hanging="270"/>
      </w:pPr>
      <w:rPr>
        <w:rFonts w:hint="default"/>
        <w:lang w:val="es-ES" w:eastAsia="en-US" w:bidi="ar-SA"/>
      </w:rPr>
    </w:lvl>
    <w:lvl w:ilvl="4" w:tplc="DB8C4686">
      <w:numFmt w:val="bullet"/>
      <w:lvlText w:val="•"/>
      <w:lvlJc w:val="left"/>
      <w:pPr>
        <w:ind w:left="4603" w:hanging="270"/>
      </w:pPr>
      <w:rPr>
        <w:rFonts w:hint="default"/>
        <w:lang w:val="es-ES" w:eastAsia="en-US" w:bidi="ar-SA"/>
      </w:rPr>
    </w:lvl>
    <w:lvl w:ilvl="5" w:tplc="D75EAAE4">
      <w:numFmt w:val="bullet"/>
      <w:lvlText w:val="•"/>
      <w:lvlJc w:val="left"/>
      <w:pPr>
        <w:ind w:left="5584" w:hanging="270"/>
      </w:pPr>
      <w:rPr>
        <w:rFonts w:hint="default"/>
        <w:lang w:val="es-ES" w:eastAsia="en-US" w:bidi="ar-SA"/>
      </w:rPr>
    </w:lvl>
    <w:lvl w:ilvl="6" w:tplc="61CC5DF2">
      <w:numFmt w:val="bullet"/>
      <w:lvlText w:val="•"/>
      <w:lvlJc w:val="left"/>
      <w:pPr>
        <w:ind w:left="6565" w:hanging="270"/>
      </w:pPr>
      <w:rPr>
        <w:rFonts w:hint="default"/>
        <w:lang w:val="es-ES" w:eastAsia="en-US" w:bidi="ar-SA"/>
      </w:rPr>
    </w:lvl>
    <w:lvl w:ilvl="7" w:tplc="9236AC36">
      <w:numFmt w:val="bullet"/>
      <w:lvlText w:val="•"/>
      <w:lvlJc w:val="left"/>
      <w:pPr>
        <w:ind w:left="7546" w:hanging="270"/>
      </w:pPr>
      <w:rPr>
        <w:rFonts w:hint="default"/>
        <w:lang w:val="es-ES" w:eastAsia="en-US" w:bidi="ar-SA"/>
      </w:rPr>
    </w:lvl>
    <w:lvl w:ilvl="8" w:tplc="40709924">
      <w:numFmt w:val="bullet"/>
      <w:lvlText w:val="•"/>
      <w:lvlJc w:val="left"/>
      <w:pPr>
        <w:ind w:left="8527" w:hanging="270"/>
      </w:pPr>
      <w:rPr>
        <w:rFonts w:hint="default"/>
        <w:lang w:val="es-ES" w:eastAsia="en-US" w:bidi="ar-SA"/>
      </w:rPr>
    </w:lvl>
  </w:abstractNum>
  <w:abstractNum w:abstractNumId="31" w15:restartNumberingAfterBreak="0">
    <w:nsid w:val="0BDC2C0A"/>
    <w:multiLevelType w:val="hybridMultilevel"/>
    <w:tmpl w:val="66CC067A"/>
    <w:lvl w:ilvl="0" w:tplc="E4D6A39A">
      <w:start w:val="1"/>
      <w:numFmt w:val="decimal"/>
      <w:lvlText w:val="%1."/>
      <w:lvlJc w:val="left"/>
      <w:pPr>
        <w:ind w:left="1106" w:hanging="299"/>
        <w:jc w:val="left"/>
      </w:pPr>
      <w:rPr>
        <w:rFonts w:ascii="Arial MT" w:eastAsia="Arial MT" w:hAnsi="Arial MT" w:cs="Arial MT" w:hint="default"/>
        <w:b w:val="0"/>
        <w:bCs w:val="0"/>
        <w:i w:val="0"/>
        <w:iCs w:val="0"/>
        <w:spacing w:val="0"/>
        <w:w w:val="100"/>
        <w:sz w:val="20"/>
        <w:szCs w:val="20"/>
        <w:lang w:val="es-ES" w:eastAsia="en-US" w:bidi="ar-SA"/>
      </w:rPr>
    </w:lvl>
    <w:lvl w:ilvl="1" w:tplc="C5D61EA6">
      <w:start w:val="1"/>
      <w:numFmt w:val="lowerLetter"/>
      <w:lvlText w:val="%2)"/>
      <w:lvlJc w:val="left"/>
      <w:pPr>
        <w:ind w:left="1106" w:hanging="285"/>
        <w:jc w:val="left"/>
      </w:pPr>
      <w:rPr>
        <w:rFonts w:ascii="Arial MT" w:eastAsia="Arial MT" w:hAnsi="Arial MT" w:cs="Arial MT" w:hint="default"/>
        <w:b w:val="0"/>
        <w:bCs w:val="0"/>
        <w:i w:val="0"/>
        <w:iCs w:val="0"/>
        <w:spacing w:val="0"/>
        <w:w w:val="100"/>
        <w:sz w:val="20"/>
        <w:szCs w:val="20"/>
        <w:lang w:val="es-ES" w:eastAsia="en-US" w:bidi="ar-SA"/>
      </w:rPr>
    </w:lvl>
    <w:lvl w:ilvl="2" w:tplc="2E909A9A">
      <w:numFmt w:val="bullet"/>
      <w:lvlText w:val="•"/>
      <w:lvlJc w:val="left"/>
      <w:pPr>
        <w:ind w:left="2977" w:hanging="285"/>
      </w:pPr>
      <w:rPr>
        <w:rFonts w:hint="default"/>
        <w:lang w:val="es-ES" w:eastAsia="en-US" w:bidi="ar-SA"/>
      </w:rPr>
    </w:lvl>
    <w:lvl w:ilvl="3" w:tplc="7FD8FEA2">
      <w:numFmt w:val="bullet"/>
      <w:lvlText w:val="•"/>
      <w:lvlJc w:val="left"/>
      <w:pPr>
        <w:ind w:left="3916" w:hanging="285"/>
      </w:pPr>
      <w:rPr>
        <w:rFonts w:hint="default"/>
        <w:lang w:val="es-ES" w:eastAsia="en-US" w:bidi="ar-SA"/>
      </w:rPr>
    </w:lvl>
    <w:lvl w:ilvl="4" w:tplc="28BE7416">
      <w:numFmt w:val="bullet"/>
      <w:lvlText w:val="•"/>
      <w:lvlJc w:val="left"/>
      <w:pPr>
        <w:ind w:left="4855" w:hanging="285"/>
      </w:pPr>
      <w:rPr>
        <w:rFonts w:hint="default"/>
        <w:lang w:val="es-ES" w:eastAsia="en-US" w:bidi="ar-SA"/>
      </w:rPr>
    </w:lvl>
    <w:lvl w:ilvl="5" w:tplc="CC5A4686">
      <w:numFmt w:val="bullet"/>
      <w:lvlText w:val="•"/>
      <w:lvlJc w:val="left"/>
      <w:pPr>
        <w:ind w:left="5794" w:hanging="285"/>
      </w:pPr>
      <w:rPr>
        <w:rFonts w:hint="default"/>
        <w:lang w:val="es-ES" w:eastAsia="en-US" w:bidi="ar-SA"/>
      </w:rPr>
    </w:lvl>
    <w:lvl w:ilvl="6" w:tplc="0CD224CA">
      <w:numFmt w:val="bullet"/>
      <w:lvlText w:val="•"/>
      <w:lvlJc w:val="left"/>
      <w:pPr>
        <w:ind w:left="6733" w:hanging="285"/>
      </w:pPr>
      <w:rPr>
        <w:rFonts w:hint="default"/>
        <w:lang w:val="es-ES" w:eastAsia="en-US" w:bidi="ar-SA"/>
      </w:rPr>
    </w:lvl>
    <w:lvl w:ilvl="7" w:tplc="BE741E34">
      <w:numFmt w:val="bullet"/>
      <w:lvlText w:val="•"/>
      <w:lvlJc w:val="left"/>
      <w:pPr>
        <w:ind w:left="7672" w:hanging="285"/>
      </w:pPr>
      <w:rPr>
        <w:rFonts w:hint="default"/>
        <w:lang w:val="es-ES" w:eastAsia="en-US" w:bidi="ar-SA"/>
      </w:rPr>
    </w:lvl>
    <w:lvl w:ilvl="8" w:tplc="2DFC9AA4">
      <w:numFmt w:val="bullet"/>
      <w:lvlText w:val="•"/>
      <w:lvlJc w:val="left"/>
      <w:pPr>
        <w:ind w:left="8611" w:hanging="285"/>
      </w:pPr>
      <w:rPr>
        <w:rFonts w:hint="default"/>
        <w:lang w:val="es-ES" w:eastAsia="en-US" w:bidi="ar-SA"/>
      </w:rPr>
    </w:lvl>
  </w:abstractNum>
  <w:abstractNum w:abstractNumId="32" w15:restartNumberingAfterBreak="0">
    <w:nsid w:val="0BEE493F"/>
    <w:multiLevelType w:val="hybridMultilevel"/>
    <w:tmpl w:val="6D9EB63C"/>
    <w:lvl w:ilvl="0" w:tplc="AB3A52BA">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2B40C362">
      <w:start w:val="1"/>
      <w:numFmt w:val="lowerLetter"/>
      <w:lvlText w:val="%2)"/>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2" w:tplc="1CB2512C">
      <w:numFmt w:val="bullet"/>
      <w:lvlText w:val="•"/>
      <w:lvlJc w:val="left"/>
      <w:pPr>
        <w:ind w:left="2977" w:hanging="261"/>
      </w:pPr>
      <w:rPr>
        <w:rFonts w:hint="default"/>
        <w:lang w:val="es-ES" w:eastAsia="en-US" w:bidi="ar-SA"/>
      </w:rPr>
    </w:lvl>
    <w:lvl w:ilvl="3" w:tplc="5CCEB258">
      <w:numFmt w:val="bullet"/>
      <w:lvlText w:val="•"/>
      <w:lvlJc w:val="left"/>
      <w:pPr>
        <w:ind w:left="3916" w:hanging="261"/>
      </w:pPr>
      <w:rPr>
        <w:rFonts w:hint="default"/>
        <w:lang w:val="es-ES" w:eastAsia="en-US" w:bidi="ar-SA"/>
      </w:rPr>
    </w:lvl>
    <w:lvl w:ilvl="4" w:tplc="81A65C00">
      <w:numFmt w:val="bullet"/>
      <w:lvlText w:val="•"/>
      <w:lvlJc w:val="left"/>
      <w:pPr>
        <w:ind w:left="4855" w:hanging="261"/>
      </w:pPr>
      <w:rPr>
        <w:rFonts w:hint="default"/>
        <w:lang w:val="es-ES" w:eastAsia="en-US" w:bidi="ar-SA"/>
      </w:rPr>
    </w:lvl>
    <w:lvl w:ilvl="5" w:tplc="E474F218">
      <w:numFmt w:val="bullet"/>
      <w:lvlText w:val="•"/>
      <w:lvlJc w:val="left"/>
      <w:pPr>
        <w:ind w:left="5794" w:hanging="261"/>
      </w:pPr>
      <w:rPr>
        <w:rFonts w:hint="default"/>
        <w:lang w:val="es-ES" w:eastAsia="en-US" w:bidi="ar-SA"/>
      </w:rPr>
    </w:lvl>
    <w:lvl w:ilvl="6" w:tplc="33743C24">
      <w:numFmt w:val="bullet"/>
      <w:lvlText w:val="•"/>
      <w:lvlJc w:val="left"/>
      <w:pPr>
        <w:ind w:left="6733" w:hanging="261"/>
      </w:pPr>
      <w:rPr>
        <w:rFonts w:hint="default"/>
        <w:lang w:val="es-ES" w:eastAsia="en-US" w:bidi="ar-SA"/>
      </w:rPr>
    </w:lvl>
    <w:lvl w:ilvl="7" w:tplc="8EA60DB4">
      <w:numFmt w:val="bullet"/>
      <w:lvlText w:val="•"/>
      <w:lvlJc w:val="left"/>
      <w:pPr>
        <w:ind w:left="7672" w:hanging="261"/>
      </w:pPr>
      <w:rPr>
        <w:rFonts w:hint="default"/>
        <w:lang w:val="es-ES" w:eastAsia="en-US" w:bidi="ar-SA"/>
      </w:rPr>
    </w:lvl>
    <w:lvl w:ilvl="8" w:tplc="011A8CC4">
      <w:numFmt w:val="bullet"/>
      <w:lvlText w:val="•"/>
      <w:lvlJc w:val="left"/>
      <w:pPr>
        <w:ind w:left="8611" w:hanging="261"/>
      </w:pPr>
      <w:rPr>
        <w:rFonts w:hint="default"/>
        <w:lang w:val="es-ES" w:eastAsia="en-US" w:bidi="ar-SA"/>
      </w:rPr>
    </w:lvl>
  </w:abstractNum>
  <w:abstractNum w:abstractNumId="33" w15:restartNumberingAfterBreak="0">
    <w:nsid w:val="0C2C31F2"/>
    <w:multiLevelType w:val="hybridMultilevel"/>
    <w:tmpl w:val="C26645B0"/>
    <w:lvl w:ilvl="0" w:tplc="D90E8EA2">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4E1E5F14">
      <w:start w:val="1"/>
      <w:numFmt w:val="lowerLetter"/>
      <w:lvlText w:val="%2)"/>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2" w:tplc="F294D566">
      <w:numFmt w:val="bullet"/>
      <w:lvlText w:val="•"/>
      <w:lvlJc w:val="left"/>
      <w:pPr>
        <w:ind w:left="2977" w:hanging="247"/>
      </w:pPr>
      <w:rPr>
        <w:rFonts w:hint="default"/>
        <w:lang w:val="es-ES" w:eastAsia="en-US" w:bidi="ar-SA"/>
      </w:rPr>
    </w:lvl>
    <w:lvl w:ilvl="3" w:tplc="26F4D44A">
      <w:numFmt w:val="bullet"/>
      <w:lvlText w:val="•"/>
      <w:lvlJc w:val="left"/>
      <w:pPr>
        <w:ind w:left="3916" w:hanging="247"/>
      </w:pPr>
      <w:rPr>
        <w:rFonts w:hint="default"/>
        <w:lang w:val="es-ES" w:eastAsia="en-US" w:bidi="ar-SA"/>
      </w:rPr>
    </w:lvl>
    <w:lvl w:ilvl="4" w:tplc="D472C53E">
      <w:numFmt w:val="bullet"/>
      <w:lvlText w:val="•"/>
      <w:lvlJc w:val="left"/>
      <w:pPr>
        <w:ind w:left="4855" w:hanging="247"/>
      </w:pPr>
      <w:rPr>
        <w:rFonts w:hint="default"/>
        <w:lang w:val="es-ES" w:eastAsia="en-US" w:bidi="ar-SA"/>
      </w:rPr>
    </w:lvl>
    <w:lvl w:ilvl="5" w:tplc="5600BB28">
      <w:numFmt w:val="bullet"/>
      <w:lvlText w:val="•"/>
      <w:lvlJc w:val="left"/>
      <w:pPr>
        <w:ind w:left="5794" w:hanging="247"/>
      </w:pPr>
      <w:rPr>
        <w:rFonts w:hint="default"/>
        <w:lang w:val="es-ES" w:eastAsia="en-US" w:bidi="ar-SA"/>
      </w:rPr>
    </w:lvl>
    <w:lvl w:ilvl="6" w:tplc="7846B76A">
      <w:numFmt w:val="bullet"/>
      <w:lvlText w:val="•"/>
      <w:lvlJc w:val="left"/>
      <w:pPr>
        <w:ind w:left="6733" w:hanging="247"/>
      </w:pPr>
      <w:rPr>
        <w:rFonts w:hint="default"/>
        <w:lang w:val="es-ES" w:eastAsia="en-US" w:bidi="ar-SA"/>
      </w:rPr>
    </w:lvl>
    <w:lvl w:ilvl="7" w:tplc="06E49888">
      <w:numFmt w:val="bullet"/>
      <w:lvlText w:val="•"/>
      <w:lvlJc w:val="left"/>
      <w:pPr>
        <w:ind w:left="7672" w:hanging="247"/>
      </w:pPr>
      <w:rPr>
        <w:rFonts w:hint="default"/>
        <w:lang w:val="es-ES" w:eastAsia="en-US" w:bidi="ar-SA"/>
      </w:rPr>
    </w:lvl>
    <w:lvl w:ilvl="8" w:tplc="24A8A32C">
      <w:numFmt w:val="bullet"/>
      <w:lvlText w:val="•"/>
      <w:lvlJc w:val="left"/>
      <w:pPr>
        <w:ind w:left="8611" w:hanging="247"/>
      </w:pPr>
      <w:rPr>
        <w:rFonts w:hint="default"/>
        <w:lang w:val="es-ES" w:eastAsia="en-US" w:bidi="ar-SA"/>
      </w:rPr>
    </w:lvl>
  </w:abstractNum>
  <w:abstractNum w:abstractNumId="34" w15:restartNumberingAfterBreak="0">
    <w:nsid w:val="0C96047D"/>
    <w:multiLevelType w:val="hybridMultilevel"/>
    <w:tmpl w:val="C9E88338"/>
    <w:lvl w:ilvl="0" w:tplc="A07070E0">
      <w:start w:val="1"/>
      <w:numFmt w:val="decimal"/>
      <w:lvlText w:val="%1."/>
      <w:lvlJc w:val="left"/>
      <w:pPr>
        <w:ind w:left="1668" w:hanging="223"/>
        <w:jc w:val="left"/>
      </w:pPr>
      <w:rPr>
        <w:rFonts w:ascii="Arial MT" w:eastAsia="Arial MT" w:hAnsi="Arial MT" w:cs="Arial MT" w:hint="default"/>
        <w:b w:val="0"/>
        <w:bCs w:val="0"/>
        <w:i w:val="0"/>
        <w:iCs w:val="0"/>
        <w:spacing w:val="0"/>
        <w:w w:val="100"/>
        <w:sz w:val="20"/>
        <w:szCs w:val="20"/>
        <w:lang w:val="es-ES" w:eastAsia="en-US" w:bidi="ar-SA"/>
      </w:rPr>
    </w:lvl>
    <w:lvl w:ilvl="1" w:tplc="B4E8B0B4">
      <w:start w:val="1"/>
      <w:numFmt w:val="lowerLetter"/>
      <w:lvlText w:val="%2)"/>
      <w:lvlJc w:val="left"/>
      <w:pPr>
        <w:ind w:left="1106" w:hanging="295"/>
        <w:jc w:val="left"/>
      </w:pPr>
      <w:rPr>
        <w:rFonts w:ascii="Arial MT" w:eastAsia="Arial MT" w:hAnsi="Arial MT" w:cs="Arial MT" w:hint="default"/>
        <w:b w:val="0"/>
        <w:bCs w:val="0"/>
        <w:i w:val="0"/>
        <w:iCs w:val="0"/>
        <w:spacing w:val="0"/>
        <w:w w:val="100"/>
        <w:sz w:val="20"/>
        <w:szCs w:val="20"/>
        <w:lang w:val="es-ES" w:eastAsia="en-US" w:bidi="ar-SA"/>
      </w:rPr>
    </w:lvl>
    <w:lvl w:ilvl="2" w:tplc="80222E70">
      <w:numFmt w:val="bullet"/>
      <w:lvlText w:val="•"/>
      <w:lvlJc w:val="left"/>
      <w:pPr>
        <w:ind w:left="2641" w:hanging="295"/>
      </w:pPr>
      <w:rPr>
        <w:rFonts w:hint="default"/>
        <w:lang w:val="es-ES" w:eastAsia="en-US" w:bidi="ar-SA"/>
      </w:rPr>
    </w:lvl>
    <w:lvl w:ilvl="3" w:tplc="E6002802">
      <w:numFmt w:val="bullet"/>
      <w:lvlText w:val="•"/>
      <w:lvlJc w:val="left"/>
      <w:pPr>
        <w:ind w:left="3622" w:hanging="295"/>
      </w:pPr>
      <w:rPr>
        <w:rFonts w:hint="default"/>
        <w:lang w:val="es-ES" w:eastAsia="en-US" w:bidi="ar-SA"/>
      </w:rPr>
    </w:lvl>
    <w:lvl w:ilvl="4" w:tplc="49CEB076">
      <w:numFmt w:val="bullet"/>
      <w:lvlText w:val="•"/>
      <w:lvlJc w:val="left"/>
      <w:pPr>
        <w:ind w:left="4603" w:hanging="295"/>
      </w:pPr>
      <w:rPr>
        <w:rFonts w:hint="default"/>
        <w:lang w:val="es-ES" w:eastAsia="en-US" w:bidi="ar-SA"/>
      </w:rPr>
    </w:lvl>
    <w:lvl w:ilvl="5" w:tplc="16C86370">
      <w:numFmt w:val="bullet"/>
      <w:lvlText w:val="•"/>
      <w:lvlJc w:val="left"/>
      <w:pPr>
        <w:ind w:left="5584" w:hanging="295"/>
      </w:pPr>
      <w:rPr>
        <w:rFonts w:hint="default"/>
        <w:lang w:val="es-ES" w:eastAsia="en-US" w:bidi="ar-SA"/>
      </w:rPr>
    </w:lvl>
    <w:lvl w:ilvl="6" w:tplc="5D3883A8">
      <w:numFmt w:val="bullet"/>
      <w:lvlText w:val="•"/>
      <w:lvlJc w:val="left"/>
      <w:pPr>
        <w:ind w:left="6565" w:hanging="295"/>
      </w:pPr>
      <w:rPr>
        <w:rFonts w:hint="default"/>
        <w:lang w:val="es-ES" w:eastAsia="en-US" w:bidi="ar-SA"/>
      </w:rPr>
    </w:lvl>
    <w:lvl w:ilvl="7" w:tplc="41F4A472">
      <w:numFmt w:val="bullet"/>
      <w:lvlText w:val="•"/>
      <w:lvlJc w:val="left"/>
      <w:pPr>
        <w:ind w:left="7546" w:hanging="295"/>
      </w:pPr>
      <w:rPr>
        <w:rFonts w:hint="default"/>
        <w:lang w:val="es-ES" w:eastAsia="en-US" w:bidi="ar-SA"/>
      </w:rPr>
    </w:lvl>
    <w:lvl w:ilvl="8" w:tplc="45BA4CAC">
      <w:numFmt w:val="bullet"/>
      <w:lvlText w:val="•"/>
      <w:lvlJc w:val="left"/>
      <w:pPr>
        <w:ind w:left="8527" w:hanging="295"/>
      </w:pPr>
      <w:rPr>
        <w:rFonts w:hint="default"/>
        <w:lang w:val="es-ES" w:eastAsia="en-US" w:bidi="ar-SA"/>
      </w:rPr>
    </w:lvl>
  </w:abstractNum>
  <w:abstractNum w:abstractNumId="35" w15:restartNumberingAfterBreak="0">
    <w:nsid w:val="0CE449EC"/>
    <w:multiLevelType w:val="hybridMultilevel"/>
    <w:tmpl w:val="64A6C628"/>
    <w:lvl w:ilvl="0" w:tplc="7BC26282">
      <w:start w:val="1"/>
      <w:numFmt w:val="decimal"/>
      <w:lvlText w:val="%1."/>
      <w:lvlJc w:val="left"/>
      <w:pPr>
        <w:ind w:left="1106" w:hanging="238"/>
        <w:jc w:val="left"/>
      </w:pPr>
      <w:rPr>
        <w:rFonts w:ascii="Arial MT" w:eastAsia="Arial MT" w:hAnsi="Arial MT" w:cs="Arial MT" w:hint="default"/>
        <w:b w:val="0"/>
        <w:bCs w:val="0"/>
        <w:i w:val="0"/>
        <w:iCs w:val="0"/>
        <w:spacing w:val="0"/>
        <w:w w:val="100"/>
        <w:sz w:val="20"/>
        <w:szCs w:val="20"/>
        <w:lang w:val="es-ES" w:eastAsia="en-US" w:bidi="ar-SA"/>
      </w:rPr>
    </w:lvl>
    <w:lvl w:ilvl="1" w:tplc="9C18B24A">
      <w:numFmt w:val="bullet"/>
      <w:lvlText w:val="•"/>
      <w:lvlJc w:val="left"/>
      <w:pPr>
        <w:ind w:left="2038" w:hanging="238"/>
      </w:pPr>
      <w:rPr>
        <w:rFonts w:hint="default"/>
        <w:lang w:val="es-ES" w:eastAsia="en-US" w:bidi="ar-SA"/>
      </w:rPr>
    </w:lvl>
    <w:lvl w:ilvl="2" w:tplc="3278AEC4">
      <w:numFmt w:val="bullet"/>
      <w:lvlText w:val="•"/>
      <w:lvlJc w:val="left"/>
      <w:pPr>
        <w:ind w:left="2977" w:hanging="238"/>
      </w:pPr>
      <w:rPr>
        <w:rFonts w:hint="default"/>
        <w:lang w:val="es-ES" w:eastAsia="en-US" w:bidi="ar-SA"/>
      </w:rPr>
    </w:lvl>
    <w:lvl w:ilvl="3" w:tplc="3F96C2AE">
      <w:numFmt w:val="bullet"/>
      <w:lvlText w:val="•"/>
      <w:lvlJc w:val="left"/>
      <w:pPr>
        <w:ind w:left="3916" w:hanging="238"/>
      </w:pPr>
      <w:rPr>
        <w:rFonts w:hint="default"/>
        <w:lang w:val="es-ES" w:eastAsia="en-US" w:bidi="ar-SA"/>
      </w:rPr>
    </w:lvl>
    <w:lvl w:ilvl="4" w:tplc="16E014D2">
      <w:numFmt w:val="bullet"/>
      <w:lvlText w:val="•"/>
      <w:lvlJc w:val="left"/>
      <w:pPr>
        <w:ind w:left="4855" w:hanging="238"/>
      </w:pPr>
      <w:rPr>
        <w:rFonts w:hint="default"/>
        <w:lang w:val="es-ES" w:eastAsia="en-US" w:bidi="ar-SA"/>
      </w:rPr>
    </w:lvl>
    <w:lvl w:ilvl="5" w:tplc="1F0A475E">
      <w:numFmt w:val="bullet"/>
      <w:lvlText w:val="•"/>
      <w:lvlJc w:val="left"/>
      <w:pPr>
        <w:ind w:left="5794" w:hanging="238"/>
      </w:pPr>
      <w:rPr>
        <w:rFonts w:hint="default"/>
        <w:lang w:val="es-ES" w:eastAsia="en-US" w:bidi="ar-SA"/>
      </w:rPr>
    </w:lvl>
    <w:lvl w:ilvl="6" w:tplc="3FF63DC0">
      <w:numFmt w:val="bullet"/>
      <w:lvlText w:val="•"/>
      <w:lvlJc w:val="left"/>
      <w:pPr>
        <w:ind w:left="6733" w:hanging="238"/>
      </w:pPr>
      <w:rPr>
        <w:rFonts w:hint="default"/>
        <w:lang w:val="es-ES" w:eastAsia="en-US" w:bidi="ar-SA"/>
      </w:rPr>
    </w:lvl>
    <w:lvl w:ilvl="7" w:tplc="3F868680">
      <w:numFmt w:val="bullet"/>
      <w:lvlText w:val="•"/>
      <w:lvlJc w:val="left"/>
      <w:pPr>
        <w:ind w:left="7672" w:hanging="238"/>
      </w:pPr>
      <w:rPr>
        <w:rFonts w:hint="default"/>
        <w:lang w:val="es-ES" w:eastAsia="en-US" w:bidi="ar-SA"/>
      </w:rPr>
    </w:lvl>
    <w:lvl w:ilvl="8" w:tplc="77CAF486">
      <w:numFmt w:val="bullet"/>
      <w:lvlText w:val="•"/>
      <w:lvlJc w:val="left"/>
      <w:pPr>
        <w:ind w:left="8611" w:hanging="238"/>
      </w:pPr>
      <w:rPr>
        <w:rFonts w:hint="default"/>
        <w:lang w:val="es-ES" w:eastAsia="en-US" w:bidi="ar-SA"/>
      </w:rPr>
    </w:lvl>
  </w:abstractNum>
  <w:abstractNum w:abstractNumId="36" w15:restartNumberingAfterBreak="0">
    <w:nsid w:val="0D3569A7"/>
    <w:multiLevelType w:val="hybridMultilevel"/>
    <w:tmpl w:val="0C36E338"/>
    <w:lvl w:ilvl="0" w:tplc="65525934">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896EC922">
      <w:numFmt w:val="bullet"/>
      <w:lvlText w:val="•"/>
      <w:lvlJc w:val="left"/>
      <w:pPr>
        <w:ind w:left="2038" w:hanging="240"/>
      </w:pPr>
      <w:rPr>
        <w:rFonts w:hint="default"/>
        <w:lang w:val="es-ES" w:eastAsia="en-US" w:bidi="ar-SA"/>
      </w:rPr>
    </w:lvl>
    <w:lvl w:ilvl="2" w:tplc="AE9E8B20">
      <w:numFmt w:val="bullet"/>
      <w:lvlText w:val="•"/>
      <w:lvlJc w:val="left"/>
      <w:pPr>
        <w:ind w:left="2977" w:hanging="240"/>
      </w:pPr>
      <w:rPr>
        <w:rFonts w:hint="default"/>
        <w:lang w:val="es-ES" w:eastAsia="en-US" w:bidi="ar-SA"/>
      </w:rPr>
    </w:lvl>
    <w:lvl w:ilvl="3" w:tplc="F70C2320">
      <w:numFmt w:val="bullet"/>
      <w:lvlText w:val="•"/>
      <w:lvlJc w:val="left"/>
      <w:pPr>
        <w:ind w:left="3916" w:hanging="240"/>
      </w:pPr>
      <w:rPr>
        <w:rFonts w:hint="default"/>
        <w:lang w:val="es-ES" w:eastAsia="en-US" w:bidi="ar-SA"/>
      </w:rPr>
    </w:lvl>
    <w:lvl w:ilvl="4" w:tplc="05945BC8">
      <w:numFmt w:val="bullet"/>
      <w:lvlText w:val="•"/>
      <w:lvlJc w:val="left"/>
      <w:pPr>
        <w:ind w:left="4855" w:hanging="240"/>
      </w:pPr>
      <w:rPr>
        <w:rFonts w:hint="default"/>
        <w:lang w:val="es-ES" w:eastAsia="en-US" w:bidi="ar-SA"/>
      </w:rPr>
    </w:lvl>
    <w:lvl w:ilvl="5" w:tplc="6D70BCCE">
      <w:numFmt w:val="bullet"/>
      <w:lvlText w:val="•"/>
      <w:lvlJc w:val="left"/>
      <w:pPr>
        <w:ind w:left="5794" w:hanging="240"/>
      </w:pPr>
      <w:rPr>
        <w:rFonts w:hint="default"/>
        <w:lang w:val="es-ES" w:eastAsia="en-US" w:bidi="ar-SA"/>
      </w:rPr>
    </w:lvl>
    <w:lvl w:ilvl="6" w:tplc="CA14E2AE">
      <w:numFmt w:val="bullet"/>
      <w:lvlText w:val="•"/>
      <w:lvlJc w:val="left"/>
      <w:pPr>
        <w:ind w:left="6733" w:hanging="240"/>
      </w:pPr>
      <w:rPr>
        <w:rFonts w:hint="default"/>
        <w:lang w:val="es-ES" w:eastAsia="en-US" w:bidi="ar-SA"/>
      </w:rPr>
    </w:lvl>
    <w:lvl w:ilvl="7" w:tplc="DDF236CC">
      <w:numFmt w:val="bullet"/>
      <w:lvlText w:val="•"/>
      <w:lvlJc w:val="left"/>
      <w:pPr>
        <w:ind w:left="7672" w:hanging="240"/>
      </w:pPr>
      <w:rPr>
        <w:rFonts w:hint="default"/>
        <w:lang w:val="es-ES" w:eastAsia="en-US" w:bidi="ar-SA"/>
      </w:rPr>
    </w:lvl>
    <w:lvl w:ilvl="8" w:tplc="ADECA652">
      <w:numFmt w:val="bullet"/>
      <w:lvlText w:val="•"/>
      <w:lvlJc w:val="left"/>
      <w:pPr>
        <w:ind w:left="8611" w:hanging="240"/>
      </w:pPr>
      <w:rPr>
        <w:rFonts w:hint="default"/>
        <w:lang w:val="es-ES" w:eastAsia="en-US" w:bidi="ar-SA"/>
      </w:rPr>
    </w:lvl>
  </w:abstractNum>
  <w:abstractNum w:abstractNumId="37" w15:restartNumberingAfterBreak="0">
    <w:nsid w:val="0F1A0F2C"/>
    <w:multiLevelType w:val="hybridMultilevel"/>
    <w:tmpl w:val="754C71AC"/>
    <w:lvl w:ilvl="0" w:tplc="4934D2EC">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32681922">
      <w:numFmt w:val="bullet"/>
      <w:lvlText w:val="•"/>
      <w:lvlJc w:val="left"/>
      <w:pPr>
        <w:ind w:left="661" w:hanging="103"/>
      </w:pPr>
      <w:rPr>
        <w:rFonts w:hint="default"/>
        <w:lang w:val="es-ES" w:eastAsia="en-US" w:bidi="ar-SA"/>
      </w:rPr>
    </w:lvl>
    <w:lvl w:ilvl="2" w:tplc="96E4365E">
      <w:numFmt w:val="bullet"/>
      <w:lvlText w:val="•"/>
      <w:lvlJc w:val="left"/>
      <w:pPr>
        <w:ind w:left="1283" w:hanging="103"/>
      </w:pPr>
      <w:rPr>
        <w:rFonts w:hint="default"/>
        <w:lang w:val="es-ES" w:eastAsia="en-US" w:bidi="ar-SA"/>
      </w:rPr>
    </w:lvl>
    <w:lvl w:ilvl="3" w:tplc="45C026EE">
      <w:numFmt w:val="bullet"/>
      <w:lvlText w:val="•"/>
      <w:lvlJc w:val="left"/>
      <w:pPr>
        <w:ind w:left="1905" w:hanging="103"/>
      </w:pPr>
      <w:rPr>
        <w:rFonts w:hint="default"/>
        <w:lang w:val="es-ES" w:eastAsia="en-US" w:bidi="ar-SA"/>
      </w:rPr>
    </w:lvl>
    <w:lvl w:ilvl="4" w:tplc="CEB47050">
      <w:numFmt w:val="bullet"/>
      <w:lvlText w:val="•"/>
      <w:lvlJc w:val="left"/>
      <w:pPr>
        <w:ind w:left="2526" w:hanging="103"/>
      </w:pPr>
      <w:rPr>
        <w:rFonts w:hint="default"/>
        <w:lang w:val="es-ES" w:eastAsia="en-US" w:bidi="ar-SA"/>
      </w:rPr>
    </w:lvl>
    <w:lvl w:ilvl="5" w:tplc="06D807B6">
      <w:numFmt w:val="bullet"/>
      <w:lvlText w:val="•"/>
      <w:lvlJc w:val="left"/>
      <w:pPr>
        <w:ind w:left="3148" w:hanging="103"/>
      </w:pPr>
      <w:rPr>
        <w:rFonts w:hint="default"/>
        <w:lang w:val="es-ES" w:eastAsia="en-US" w:bidi="ar-SA"/>
      </w:rPr>
    </w:lvl>
    <w:lvl w:ilvl="6" w:tplc="158E4D3C">
      <w:numFmt w:val="bullet"/>
      <w:lvlText w:val="•"/>
      <w:lvlJc w:val="left"/>
      <w:pPr>
        <w:ind w:left="3770" w:hanging="103"/>
      </w:pPr>
      <w:rPr>
        <w:rFonts w:hint="default"/>
        <w:lang w:val="es-ES" w:eastAsia="en-US" w:bidi="ar-SA"/>
      </w:rPr>
    </w:lvl>
    <w:lvl w:ilvl="7" w:tplc="6F348EC4">
      <w:numFmt w:val="bullet"/>
      <w:lvlText w:val="•"/>
      <w:lvlJc w:val="left"/>
      <w:pPr>
        <w:ind w:left="4391" w:hanging="103"/>
      </w:pPr>
      <w:rPr>
        <w:rFonts w:hint="default"/>
        <w:lang w:val="es-ES" w:eastAsia="en-US" w:bidi="ar-SA"/>
      </w:rPr>
    </w:lvl>
    <w:lvl w:ilvl="8" w:tplc="796EF8F4">
      <w:numFmt w:val="bullet"/>
      <w:lvlText w:val="•"/>
      <w:lvlJc w:val="left"/>
      <w:pPr>
        <w:ind w:left="5013" w:hanging="103"/>
      </w:pPr>
      <w:rPr>
        <w:rFonts w:hint="default"/>
        <w:lang w:val="es-ES" w:eastAsia="en-US" w:bidi="ar-SA"/>
      </w:rPr>
    </w:lvl>
  </w:abstractNum>
  <w:abstractNum w:abstractNumId="38" w15:restartNumberingAfterBreak="0">
    <w:nsid w:val="103858D9"/>
    <w:multiLevelType w:val="hybridMultilevel"/>
    <w:tmpl w:val="9F3A192A"/>
    <w:lvl w:ilvl="0" w:tplc="A6EAE3BC">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2CA2CB4E">
      <w:numFmt w:val="bullet"/>
      <w:lvlText w:val="•"/>
      <w:lvlJc w:val="left"/>
      <w:pPr>
        <w:ind w:left="661" w:hanging="103"/>
      </w:pPr>
      <w:rPr>
        <w:rFonts w:hint="default"/>
        <w:lang w:val="es-ES" w:eastAsia="en-US" w:bidi="ar-SA"/>
      </w:rPr>
    </w:lvl>
    <w:lvl w:ilvl="2" w:tplc="0F64F31E">
      <w:numFmt w:val="bullet"/>
      <w:lvlText w:val="•"/>
      <w:lvlJc w:val="left"/>
      <w:pPr>
        <w:ind w:left="1283" w:hanging="103"/>
      </w:pPr>
      <w:rPr>
        <w:rFonts w:hint="default"/>
        <w:lang w:val="es-ES" w:eastAsia="en-US" w:bidi="ar-SA"/>
      </w:rPr>
    </w:lvl>
    <w:lvl w:ilvl="3" w:tplc="4BEAC100">
      <w:numFmt w:val="bullet"/>
      <w:lvlText w:val="•"/>
      <w:lvlJc w:val="left"/>
      <w:pPr>
        <w:ind w:left="1905" w:hanging="103"/>
      </w:pPr>
      <w:rPr>
        <w:rFonts w:hint="default"/>
        <w:lang w:val="es-ES" w:eastAsia="en-US" w:bidi="ar-SA"/>
      </w:rPr>
    </w:lvl>
    <w:lvl w:ilvl="4" w:tplc="9C82C966">
      <w:numFmt w:val="bullet"/>
      <w:lvlText w:val="•"/>
      <w:lvlJc w:val="left"/>
      <w:pPr>
        <w:ind w:left="2526" w:hanging="103"/>
      </w:pPr>
      <w:rPr>
        <w:rFonts w:hint="default"/>
        <w:lang w:val="es-ES" w:eastAsia="en-US" w:bidi="ar-SA"/>
      </w:rPr>
    </w:lvl>
    <w:lvl w:ilvl="5" w:tplc="EC14578A">
      <w:numFmt w:val="bullet"/>
      <w:lvlText w:val="•"/>
      <w:lvlJc w:val="left"/>
      <w:pPr>
        <w:ind w:left="3148" w:hanging="103"/>
      </w:pPr>
      <w:rPr>
        <w:rFonts w:hint="default"/>
        <w:lang w:val="es-ES" w:eastAsia="en-US" w:bidi="ar-SA"/>
      </w:rPr>
    </w:lvl>
    <w:lvl w:ilvl="6" w:tplc="A5923C9C">
      <w:numFmt w:val="bullet"/>
      <w:lvlText w:val="•"/>
      <w:lvlJc w:val="left"/>
      <w:pPr>
        <w:ind w:left="3770" w:hanging="103"/>
      </w:pPr>
      <w:rPr>
        <w:rFonts w:hint="default"/>
        <w:lang w:val="es-ES" w:eastAsia="en-US" w:bidi="ar-SA"/>
      </w:rPr>
    </w:lvl>
    <w:lvl w:ilvl="7" w:tplc="AD74AC90">
      <w:numFmt w:val="bullet"/>
      <w:lvlText w:val="•"/>
      <w:lvlJc w:val="left"/>
      <w:pPr>
        <w:ind w:left="4391" w:hanging="103"/>
      </w:pPr>
      <w:rPr>
        <w:rFonts w:hint="default"/>
        <w:lang w:val="es-ES" w:eastAsia="en-US" w:bidi="ar-SA"/>
      </w:rPr>
    </w:lvl>
    <w:lvl w:ilvl="8" w:tplc="A5788B92">
      <w:numFmt w:val="bullet"/>
      <w:lvlText w:val="•"/>
      <w:lvlJc w:val="left"/>
      <w:pPr>
        <w:ind w:left="5013" w:hanging="103"/>
      </w:pPr>
      <w:rPr>
        <w:rFonts w:hint="default"/>
        <w:lang w:val="es-ES" w:eastAsia="en-US" w:bidi="ar-SA"/>
      </w:rPr>
    </w:lvl>
  </w:abstractNum>
  <w:abstractNum w:abstractNumId="39" w15:restartNumberingAfterBreak="0">
    <w:nsid w:val="1044266C"/>
    <w:multiLevelType w:val="hybridMultilevel"/>
    <w:tmpl w:val="6B1C9BDE"/>
    <w:lvl w:ilvl="0" w:tplc="12C8C3B2">
      <w:start w:val="1"/>
      <w:numFmt w:val="decimal"/>
      <w:lvlText w:val="%1."/>
      <w:lvlJc w:val="left"/>
      <w:pPr>
        <w:ind w:left="1106" w:hanging="254"/>
        <w:jc w:val="left"/>
      </w:pPr>
      <w:rPr>
        <w:rFonts w:ascii="Arial MT" w:eastAsia="Arial MT" w:hAnsi="Arial MT" w:cs="Arial MT" w:hint="default"/>
        <w:b w:val="0"/>
        <w:bCs w:val="0"/>
        <w:i w:val="0"/>
        <w:iCs w:val="0"/>
        <w:spacing w:val="0"/>
        <w:w w:val="100"/>
        <w:sz w:val="20"/>
        <w:szCs w:val="20"/>
        <w:lang w:val="es-ES" w:eastAsia="en-US" w:bidi="ar-SA"/>
      </w:rPr>
    </w:lvl>
    <w:lvl w:ilvl="1" w:tplc="37644B9C">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004A90FE">
      <w:numFmt w:val="bullet"/>
      <w:lvlText w:val="•"/>
      <w:lvlJc w:val="left"/>
      <w:pPr>
        <w:ind w:left="2977" w:hanging="252"/>
      </w:pPr>
      <w:rPr>
        <w:rFonts w:hint="default"/>
        <w:lang w:val="es-ES" w:eastAsia="en-US" w:bidi="ar-SA"/>
      </w:rPr>
    </w:lvl>
    <w:lvl w:ilvl="3" w:tplc="C3BEEA14">
      <w:numFmt w:val="bullet"/>
      <w:lvlText w:val="•"/>
      <w:lvlJc w:val="left"/>
      <w:pPr>
        <w:ind w:left="3916" w:hanging="252"/>
      </w:pPr>
      <w:rPr>
        <w:rFonts w:hint="default"/>
        <w:lang w:val="es-ES" w:eastAsia="en-US" w:bidi="ar-SA"/>
      </w:rPr>
    </w:lvl>
    <w:lvl w:ilvl="4" w:tplc="B91048AE">
      <w:numFmt w:val="bullet"/>
      <w:lvlText w:val="•"/>
      <w:lvlJc w:val="left"/>
      <w:pPr>
        <w:ind w:left="4855" w:hanging="252"/>
      </w:pPr>
      <w:rPr>
        <w:rFonts w:hint="default"/>
        <w:lang w:val="es-ES" w:eastAsia="en-US" w:bidi="ar-SA"/>
      </w:rPr>
    </w:lvl>
    <w:lvl w:ilvl="5" w:tplc="9B269028">
      <w:numFmt w:val="bullet"/>
      <w:lvlText w:val="•"/>
      <w:lvlJc w:val="left"/>
      <w:pPr>
        <w:ind w:left="5794" w:hanging="252"/>
      </w:pPr>
      <w:rPr>
        <w:rFonts w:hint="default"/>
        <w:lang w:val="es-ES" w:eastAsia="en-US" w:bidi="ar-SA"/>
      </w:rPr>
    </w:lvl>
    <w:lvl w:ilvl="6" w:tplc="F9A03BA0">
      <w:numFmt w:val="bullet"/>
      <w:lvlText w:val="•"/>
      <w:lvlJc w:val="left"/>
      <w:pPr>
        <w:ind w:left="6733" w:hanging="252"/>
      </w:pPr>
      <w:rPr>
        <w:rFonts w:hint="default"/>
        <w:lang w:val="es-ES" w:eastAsia="en-US" w:bidi="ar-SA"/>
      </w:rPr>
    </w:lvl>
    <w:lvl w:ilvl="7" w:tplc="DE7CE860">
      <w:numFmt w:val="bullet"/>
      <w:lvlText w:val="•"/>
      <w:lvlJc w:val="left"/>
      <w:pPr>
        <w:ind w:left="7672" w:hanging="252"/>
      </w:pPr>
      <w:rPr>
        <w:rFonts w:hint="default"/>
        <w:lang w:val="es-ES" w:eastAsia="en-US" w:bidi="ar-SA"/>
      </w:rPr>
    </w:lvl>
    <w:lvl w:ilvl="8" w:tplc="57A023D2">
      <w:numFmt w:val="bullet"/>
      <w:lvlText w:val="•"/>
      <w:lvlJc w:val="left"/>
      <w:pPr>
        <w:ind w:left="8611" w:hanging="252"/>
      </w:pPr>
      <w:rPr>
        <w:rFonts w:hint="default"/>
        <w:lang w:val="es-ES" w:eastAsia="en-US" w:bidi="ar-SA"/>
      </w:rPr>
    </w:lvl>
  </w:abstractNum>
  <w:abstractNum w:abstractNumId="40" w15:restartNumberingAfterBreak="0">
    <w:nsid w:val="10EA11D1"/>
    <w:multiLevelType w:val="hybridMultilevel"/>
    <w:tmpl w:val="4F2E1730"/>
    <w:lvl w:ilvl="0" w:tplc="D5385340">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39FE3B6C">
      <w:start w:val="1"/>
      <w:numFmt w:val="lowerLetter"/>
      <w:lvlText w:val="%2)"/>
      <w:lvlJc w:val="left"/>
      <w:pPr>
        <w:ind w:left="1106" w:hanging="254"/>
        <w:jc w:val="left"/>
      </w:pPr>
      <w:rPr>
        <w:rFonts w:ascii="Arial MT" w:eastAsia="Arial MT" w:hAnsi="Arial MT" w:cs="Arial MT" w:hint="default"/>
        <w:b w:val="0"/>
        <w:bCs w:val="0"/>
        <w:i w:val="0"/>
        <w:iCs w:val="0"/>
        <w:spacing w:val="0"/>
        <w:w w:val="100"/>
        <w:sz w:val="20"/>
        <w:szCs w:val="20"/>
        <w:lang w:val="es-ES" w:eastAsia="en-US" w:bidi="ar-SA"/>
      </w:rPr>
    </w:lvl>
    <w:lvl w:ilvl="2" w:tplc="FC98D5D8">
      <w:numFmt w:val="bullet"/>
      <w:lvlText w:val="•"/>
      <w:lvlJc w:val="left"/>
      <w:pPr>
        <w:ind w:left="2977" w:hanging="254"/>
      </w:pPr>
      <w:rPr>
        <w:rFonts w:hint="default"/>
        <w:lang w:val="es-ES" w:eastAsia="en-US" w:bidi="ar-SA"/>
      </w:rPr>
    </w:lvl>
    <w:lvl w:ilvl="3" w:tplc="65C47D2A">
      <w:numFmt w:val="bullet"/>
      <w:lvlText w:val="•"/>
      <w:lvlJc w:val="left"/>
      <w:pPr>
        <w:ind w:left="3916" w:hanging="254"/>
      </w:pPr>
      <w:rPr>
        <w:rFonts w:hint="default"/>
        <w:lang w:val="es-ES" w:eastAsia="en-US" w:bidi="ar-SA"/>
      </w:rPr>
    </w:lvl>
    <w:lvl w:ilvl="4" w:tplc="192E4C3C">
      <w:numFmt w:val="bullet"/>
      <w:lvlText w:val="•"/>
      <w:lvlJc w:val="left"/>
      <w:pPr>
        <w:ind w:left="4855" w:hanging="254"/>
      </w:pPr>
      <w:rPr>
        <w:rFonts w:hint="default"/>
        <w:lang w:val="es-ES" w:eastAsia="en-US" w:bidi="ar-SA"/>
      </w:rPr>
    </w:lvl>
    <w:lvl w:ilvl="5" w:tplc="F31287E8">
      <w:numFmt w:val="bullet"/>
      <w:lvlText w:val="•"/>
      <w:lvlJc w:val="left"/>
      <w:pPr>
        <w:ind w:left="5794" w:hanging="254"/>
      </w:pPr>
      <w:rPr>
        <w:rFonts w:hint="default"/>
        <w:lang w:val="es-ES" w:eastAsia="en-US" w:bidi="ar-SA"/>
      </w:rPr>
    </w:lvl>
    <w:lvl w:ilvl="6" w:tplc="6ABE93EC">
      <w:numFmt w:val="bullet"/>
      <w:lvlText w:val="•"/>
      <w:lvlJc w:val="left"/>
      <w:pPr>
        <w:ind w:left="6733" w:hanging="254"/>
      </w:pPr>
      <w:rPr>
        <w:rFonts w:hint="default"/>
        <w:lang w:val="es-ES" w:eastAsia="en-US" w:bidi="ar-SA"/>
      </w:rPr>
    </w:lvl>
    <w:lvl w:ilvl="7" w:tplc="4D763970">
      <w:numFmt w:val="bullet"/>
      <w:lvlText w:val="•"/>
      <w:lvlJc w:val="left"/>
      <w:pPr>
        <w:ind w:left="7672" w:hanging="254"/>
      </w:pPr>
      <w:rPr>
        <w:rFonts w:hint="default"/>
        <w:lang w:val="es-ES" w:eastAsia="en-US" w:bidi="ar-SA"/>
      </w:rPr>
    </w:lvl>
    <w:lvl w:ilvl="8" w:tplc="FB08F2AE">
      <w:numFmt w:val="bullet"/>
      <w:lvlText w:val="•"/>
      <w:lvlJc w:val="left"/>
      <w:pPr>
        <w:ind w:left="8611" w:hanging="254"/>
      </w:pPr>
      <w:rPr>
        <w:rFonts w:hint="default"/>
        <w:lang w:val="es-ES" w:eastAsia="en-US" w:bidi="ar-SA"/>
      </w:rPr>
    </w:lvl>
  </w:abstractNum>
  <w:abstractNum w:abstractNumId="41" w15:restartNumberingAfterBreak="0">
    <w:nsid w:val="117B5287"/>
    <w:multiLevelType w:val="hybridMultilevel"/>
    <w:tmpl w:val="78C0FE00"/>
    <w:lvl w:ilvl="0" w:tplc="D3D8C4EE">
      <w:start w:val="1"/>
      <w:numFmt w:val="decimal"/>
      <w:lvlText w:val="%1."/>
      <w:lvlJc w:val="left"/>
      <w:pPr>
        <w:ind w:left="1106" w:hanging="256"/>
        <w:jc w:val="left"/>
      </w:pPr>
      <w:rPr>
        <w:rFonts w:ascii="Arial MT" w:eastAsia="Arial MT" w:hAnsi="Arial MT" w:cs="Arial MT" w:hint="default"/>
        <w:b w:val="0"/>
        <w:bCs w:val="0"/>
        <w:i w:val="0"/>
        <w:iCs w:val="0"/>
        <w:spacing w:val="0"/>
        <w:w w:val="100"/>
        <w:sz w:val="20"/>
        <w:szCs w:val="20"/>
        <w:lang w:val="es-ES" w:eastAsia="en-US" w:bidi="ar-SA"/>
      </w:rPr>
    </w:lvl>
    <w:lvl w:ilvl="1" w:tplc="9A623024">
      <w:start w:val="1"/>
      <w:numFmt w:val="lowerLetter"/>
      <w:lvlText w:val="%2)"/>
      <w:lvlJc w:val="left"/>
      <w:pPr>
        <w:ind w:left="1106" w:hanging="300"/>
        <w:jc w:val="left"/>
      </w:pPr>
      <w:rPr>
        <w:rFonts w:ascii="Arial MT" w:eastAsia="Arial MT" w:hAnsi="Arial MT" w:cs="Arial MT" w:hint="default"/>
        <w:b w:val="0"/>
        <w:bCs w:val="0"/>
        <w:i w:val="0"/>
        <w:iCs w:val="0"/>
        <w:spacing w:val="0"/>
        <w:w w:val="100"/>
        <w:sz w:val="20"/>
        <w:szCs w:val="20"/>
        <w:lang w:val="es-ES" w:eastAsia="en-US" w:bidi="ar-SA"/>
      </w:rPr>
    </w:lvl>
    <w:lvl w:ilvl="2" w:tplc="3EEEAE08">
      <w:numFmt w:val="bullet"/>
      <w:lvlText w:val="•"/>
      <w:lvlJc w:val="left"/>
      <w:pPr>
        <w:ind w:left="2977" w:hanging="300"/>
      </w:pPr>
      <w:rPr>
        <w:rFonts w:hint="default"/>
        <w:lang w:val="es-ES" w:eastAsia="en-US" w:bidi="ar-SA"/>
      </w:rPr>
    </w:lvl>
    <w:lvl w:ilvl="3" w:tplc="096CC268">
      <w:numFmt w:val="bullet"/>
      <w:lvlText w:val="•"/>
      <w:lvlJc w:val="left"/>
      <w:pPr>
        <w:ind w:left="3916" w:hanging="300"/>
      </w:pPr>
      <w:rPr>
        <w:rFonts w:hint="default"/>
        <w:lang w:val="es-ES" w:eastAsia="en-US" w:bidi="ar-SA"/>
      </w:rPr>
    </w:lvl>
    <w:lvl w:ilvl="4" w:tplc="B25C26A6">
      <w:numFmt w:val="bullet"/>
      <w:lvlText w:val="•"/>
      <w:lvlJc w:val="left"/>
      <w:pPr>
        <w:ind w:left="4855" w:hanging="300"/>
      </w:pPr>
      <w:rPr>
        <w:rFonts w:hint="default"/>
        <w:lang w:val="es-ES" w:eastAsia="en-US" w:bidi="ar-SA"/>
      </w:rPr>
    </w:lvl>
    <w:lvl w:ilvl="5" w:tplc="F5E62F68">
      <w:numFmt w:val="bullet"/>
      <w:lvlText w:val="•"/>
      <w:lvlJc w:val="left"/>
      <w:pPr>
        <w:ind w:left="5794" w:hanging="300"/>
      </w:pPr>
      <w:rPr>
        <w:rFonts w:hint="default"/>
        <w:lang w:val="es-ES" w:eastAsia="en-US" w:bidi="ar-SA"/>
      </w:rPr>
    </w:lvl>
    <w:lvl w:ilvl="6" w:tplc="1F2C3886">
      <w:numFmt w:val="bullet"/>
      <w:lvlText w:val="•"/>
      <w:lvlJc w:val="left"/>
      <w:pPr>
        <w:ind w:left="6733" w:hanging="300"/>
      </w:pPr>
      <w:rPr>
        <w:rFonts w:hint="default"/>
        <w:lang w:val="es-ES" w:eastAsia="en-US" w:bidi="ar-SA"/>
      </w:rPr>
    </w:lvl>
    <w:lvl w:ilvl="7" w:tplc="DD187F82">
      <w:numFmt w:val="bullet"/>
      <w:lvlText w:val="•"/>
      <w:lvlJc w:val="left"/>
      <w:pPr>
        <w:ind w:left="7672" w:hanging="300"/>
      </w:pPr>
      <w:rPr>
        <w:rFonts w:hint="default"/>
        <w:lang w:val="es-ES" w:eastAsia="en-US" w:bidi="ar-SA"/>
      </w:rPr>
    </w:lvl>
    <w:lvl w:ilvl="8" w:tplc="43AA1FB8">
      <w:numFmt w:val="bullet"/>
      <w:lvlText w:val="•"/>
      <w:lvlJc w:val="left"/>
      <w:pPr>
        <w:ind w:left="8611" w:hanging="300"/>
      </w:pPr>
      <w:rPr>
        <w:rFonts w:hint="default"/>
        <w:lang w:val="es-ES" w:eastAsia="en-US" w:bidi="ar-SA"/>
      </w:rPr>
    </w:lvl>
  </w:abstractNum>
  <w:abstractNum w:abstractNumId="42" w15:restartNumberingAfterBreak="0">
    <w:nsid w:val="13107A6E"/>
    <w:multiLevelType w:val="hybridMultilevel"/>
    <w:tmpl w:val="1F4C13DA"/>
    <w:lvl w:ilvl="0" w:tplc="FC54C182">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54887246">
      <w:start w:val="1"/>
      <w:numFmt w:val="lowerLetter"/>
      <w:lvlText w:val="%2)"/>
      <w:lvlJc w:val="left"/>
      <w:pPr>
        <w:ind w:left="1106" w:hanging="238"/>
        <w:jc w:val="left"/>
      </w:pPr>
      <w:rPr>
        <w:rFonts w:ascii="Arial MT" w:eastAsia="Arial MT" w:hAnsi="Arial MT" w:cs="Arial MT" w:hint="default"/>
        <w:b w:val="0"/>
        <w:bCs w:val="0"/>
        <w:i w:val="0"/>
        <w:iCs w:val="0"/>
        <w:spacing w:val="0"/>
        <w:w w:val="100"/>
        <w:sz w:val="20"/>
        <w:szCs w:val="20"/>
        <w:lang w:val="es-ES" w:eastAsia="en-US" w:bidi="ar-SA"/>
      </w:rPr>
    </w:lvl>
    <w:lvl w:ilvl="2" w:tplc="581827FA">
      <w:numFmt w:val="bullet"/>
      <w:lvlText w:val="•"/>
      <w:lvlJc w:val="left"/>
      <w:pPr>
        <w:ind w:left="2977" w:hanging="238"/>
      </w:pPr>
      <w:rPr>
        <w:rFonts w:hint="default"/>
        <w:lang w:val="es-ES" w:eastAsia="en-US" w:bidi="ar-SA"/>
      </w:rPr>
    </w:lvl>
    <w:lvl w:ilvl="3" w:tplc="F40616CE">
      <w:numFmt w:val="bullet"/>
      <w:lvlText w:val="•"/>
      <w:lvlJc w:val="left"/>
      <w:pPr>
        <w:ind w:left="3916" w:hanging="238"/>
      </w:pPr>
      <w:rPr>
        <w:rFonts w:hint="default"/>
        <w:lang w:val="es-ES" w:eastAsia="en-US" w:bidi="ar-SA"/>
      </w:rPr>
    </w:lvl>
    <w:lvl w:ilvl="4" w:tplc="60841ED8">
      <w:numFmt w:val="bullet"/>
      <w:lvlText w:val="•"/>
      <w:lvlJc w:val="left"/>
      <w:pPr>
        <w:ind w:left="4855" w:hanging="238"/>
      </w:pPr>
      <w:rPr>
        <w:rFonts w:hint="default"/>
        <w:lang w:val="es-ES" w:eastAsia="en-US" w:bidi="ar-SA"/>
      </w:rPr>
    </w:lvl>
    <w:lvl w:ilvl="5" w:tplc="A29A7CE4">
      <w:numFmt w:val="bullet"/>
      <w:lvlText w:val="•"/>
      <w:lvlJc w:val="left"/>
      <w:pPr>
        <w:ind w:left="5794" w:hanging="238"/>
      </w:pPr>
      <w:rPr>
        <w:rFonts w:hint="default"/>
        <w:lang w:val="es-ES" w:eastAsia="en-US" w:bidi="ar-SA"/>
      </w:rPr>
    </w:lvl>
    <w:lvl w:ilvl="6" w:tplc="AF3AC52C">
      <w:numFmt w:val="bullet"/>
      <w:lvlText w:val="•"/>
      <w:lvlJc w:val="left"/>
      <w:pPr>
        <w:ind w:left="6733" w:hanging="238"/>
      </w:pPr>
      <w:rPr>
        <w:rFonts w:hint="default"/>
        <w:lang w:val="es-ES" w:eastAsia="en-US" w:bidi="ar-SA"/>
      </w:rPr>
    </w:lvl>
    <w:lvl w:ilvl="7" w:tplc="B5BA0EF6">
      <w:numFmt w:val="bullet"/>
      <w:lvlText w:val="•"/>
      <w:lvlJc w:val="left"/>
      <w:pPr>
        <w:ind w:left="7672" w:hanging="238"/>
      </w:pPr>
      <w:rPr>
        <w:rFonts w:hint="default"/>
        <w:lang w:val="es-ES" w:eastAsia="en-US" w:bidi="ar-SA"/>
      </w:rPr>
    </w:lvl>
    <w:lvl w:ilvl="8" w:tplc="677EBFF6">
      <w:numFmt w:val="bullet"/>
      <w:lvlText w:val="•"/>
      <w:lvlJc w:val="left"/>
      <w:pPr>
        <w:ind w:left="8611" w:hanging="238"/>
      </w:pPr>
      <w:rPr>
        <w:rFonts w:hint="default"/>
        <w:lang w:val="es-ES" w:eastAsia="en-US" w:bidi="ar-SA"/>
      </w:rPr>
    </w:lvl>
  </w:abstractNum>
  <w:abstractNum w:abstractNumId="43" w15:restartNumberingAfterBreak="0">
    <w:nsid w:val="13782322"/>
    <w:multiLevelType w:val="hybridMultilevel"/>
    <w:tmpl w:val="018A5C6C"/>
    <w:lvl w:ilvl="0" w:tplc="2D8CD2D2">
      <w:start w:val="1"/>
      <w:numFmt w:val="decimal"/>
      <w:lvlText w:val="%1."/>
      <w:lvlJc w:val="left"/>
      <w:pPr>
        <w:ind w:left="1106" w:hanging="291"/>
        <w:jc w:val="left"/>
      </w:pPr>
      <w:rPr>
        <w:rFonts w:ascii="Arial MT" w:eastAsia="Arial MT" w:hAnsi="Arial MT" w:cs="Arial MT" w:hint="default"/>
        <w:b w:val="0"/>
        <w:bCs w:val="0"/>
        <w:i w:val="0"/>
        <w:iCs w:val="0"/>
        <w:spacing w:val="0"/>
        <w:w w:val="100"/>
        <w:sz w:val="20"/>
        <w:szCs w:val="20"/>
        <w:lang w:val="es-ES" w:eastAsia="en-US" w:bidi="ar-SA"/>
      </w:rPr>
    </w:lvl>
    <w:lvl w:ilvl="1" w:tplc="4C781C74">
      <w:numFmt w:val="bullet"/>
      <w:lvlText w:val="•"/>
      <w:lvlJc w:val="left"/>
      <w:pPr>
        <w:ind w:left="2038" w:hanging="291"/>
      </w:pPr>
      <w:rPr>
        <w:rFonts w:hint="default"/>
        <w:lang w:val="es-ES" w:eastAsia="en-US" w:bidi="ar-SA"/>
      </w:rPr>
    </w:lvl>
    <w:lvl w:ilvl="2" w:tplc="E9FE6868">
      <w:numFmt w:val="bullet"/>
      <w:lvlText w:val="•"/>
      <w:lvlJc w:val="left"/>
      <w:pPr>
        <w:ind w:left="2977" w:hanging="291"/>
      </w:pPr>
      <w:rPr>
        <w:rFonts w:hint="default"/>
        <w:lang w:val="es-ES" w:eastAsia="en-US" w:bidi="ar-SA"/>
      </w:rPr>
    </w:lvl>
    <w:lvl w:ilvl="3" w:tplc="BD5E5344">
      <w:numFmt w:val="bullet"/>
      <w:lvlText w:val="•"/>
      <w:lvlJc w:val="left"/>
      <w:pPr>
        <w:ind w:left="3916" w:hanging="291"/>
      </w:pPr>
      <w:rPr>
        <w:rFonts w:hint="default"/>
        <w:lang w:val="es-ES" w:eastAsia="en-US" w:bidi="ar-SA"/>
      </w:rPr>
    </w:lvl>
    <w:lvl w:ilvl="4" w:tplc="D7A8ED46">
      <w:numFmt w:val="bullet"/>
      <w:lvlText w:val="•"/>
      <w:lvlJc w:val="left"/>
      <w:pPr>
        <w:ind w:left="4855" w:hanging="291"/>
      </w:pPr>
      <w:rPr>
        <w:rFonts w:hint="default"/>
        <w:lang w:val="es-ES" w:eastAsia="en-US" w:bidi="ar-SA"/>
      </w:rPr>
    </w:lvl>
    <w:lvl w:ilvl="5" w:tplc="41D28BD4">
      <w:numFmt w:val="bullet"/>
      <w:lvlText w:val="•"/>
      <w:lvlJc w:val="left"/>
      <w:pPr>
        <w:ind w:left="5794" w:hanging="291"/>
      </w:pPr>
      <w:rPr>
        <w:rFonts w:hint="default"/>
        <w:lang w:val="es-ES" w:eastAsia="en-US" w:bidi="ar-SA"/>
      </w:rPr>
    </w:lvl>
    <w:lvl w:ilvl="6" w:tplc="B72C8116">
      <w:numFmt w:val="bullet"/>
      <w:lvlText w:val="•"/>
      <w:lvlJc w:val="left"/>
      <w:pPr>
        <w:ind w:left="6733" w:hanging="291"/>
      </w:pPr>
      <w:rPr>
        <w:rFonts w:hint="default"/>
        <w:lang w:val="es-ES" w:eastAsia="en-US" w:bidi="ar-SA"/>
      </w:rPr>
    </w:lvl>
    <w:lvl w:ilvl="7" w:tplc="9E5A8C46">
      <w:numFmt w:val="bullet"/>
      <w:lvlText w:val="•"/>
      <w:lvlJc w:val="left"/>
      <w:pPr>
        <w:ind w:left="7672" w:hanging="291"/>
      </w:pPr>
      <w:rPr>
        <w:rFonts w:hint="default"/>
        <w:lang w:val="es-ES" w:eastAsia="en-US" w:bidi="ar-SA"/>
      </w:rPr>
    </w:lvl>
    <w:lvl w:ilvl="8" w:tplc="0312058C">
      <w:numFmt w:val="bullet"/>
      <w:lvlText w:val="•"/>
      <w:lvlJc w:val="left"/>
      <w:pPr>
        <w:ind w:left="8611" w:hanging="291"/>
      </w:pPr>
      <w:rPr>
        <w:rFonts w:hint="default"/>
        <w:lang w:val="es-ES" w:eastAsia="en-US" w:bidi="ar-SA"/>
      </w:rPr>
    </w:lvl>
  </w:abstractNum>
  <w:abstractNum w:abstractNumId="44" w15:restartNumberingAfterBreak="0">
    <w:nsid w:val="13F301B3"/>
    <w:multiLevelType w:val="hybridMultilevel"/>
    <w:tmpl w:val="A23C5488"/>
    <w:lvl w:ilvl="0" w:tplc="55D2D5C0">
      <w:start w:val="1"/>
      <w:numFmt w:val="decimal"/>
      <w:lvlText w:val="%1."/>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1" w:tplc="DF568E8C">
      <w:numFmt w:val="bullet"/>
      <w:lvlText w:val="•"/>
      <w:lvlJc w:val="left"/>
      <w:pPr>
        <w:ind w:left="2038" w:hanging="236"/>
      </w:pPr>
      <w:rPr>
        <w:rFonts w:hint="default"/>
        <w:lang w:val="es-ES" w:eastAsia="en-US" w:bidi="ar-SA"/>
      </w:rPr>
    </w:lvl>
    <w:lvl w:ilvl="2" w:tplc="FE360860">
      <w:numFmt w:val="bullet"/>
      <w:lvlText w:val="•"/>
      <w:lvlJc w:val="left"/>
      <w:pPr>
        <w:ind w:left="2977" w:hanging="236"/>
      </w:pPr>
      <w:rPr>
        <w:rFonts w:hint="default"/>
        <w:lang w:val="es-ES" w:eastAsia="en-US" w:bidi="ar-SA"/>
      </w:rPr>
    </w:lvl>
    <w:lvl w:ilvl="3" w:tplc="CDAA84F6">
      <w:numFmt w:val="bullet"/>
      <w:lvlText w:val="•"/>
      <w:lvlJc w:val="left"/>
      <w:pPr>
        <w:ind w:left="3916" w:hanging="236"/>
      </w:pPr>
      <w:rPr>
        <w:rFonts w:hint="default"/>
        <w:lang w:val="es-ES" w:eastAsia="en-US" w:bidi="ar-SA"/>
      </w:rPr>
    </w:lvl>
    <w:lvl w:ilvl="4" w:tplc="614CF9DE">
      <w:numFmt w:val="bullet"/>
      <w:lvlText w:val="•"/>
      <w:lvlJc w:val="left"/>
      <w:pPr>
        <w:ind w:left="4855" w:hanging="236"/>
      </w:pPr>
      <w:rPr>
        <w:rFonts w:hint="default"/>
        <w:lang w:val="es-ES" w:eastAsia="en-US" w:bidi="ar-SA"/>
      </w:rPr>
    </w:lvl>
    <w:lvl w:ilvl="5" w:tplc="426E0434">
      <w:numFmt w:val="bullet"/>
      <w:lvlText w:val="•"/>
      <w:lvlJc w:val="left"/>
      <w:pPr>
        <w:ind w:left="5794" w:hanging="236"/>
      </w:pPr>
      <w:rPr>
        <w:rFonts w:hint="default"/>
        <w:lang w:val="es-ES" w:eastAsia="en-US" w:bidi="ar-SA"/>
      </w:rPr>
    </w:lvl>
    <w:lvl w:ilvl="6" w:tplc="BBB6D23A">
      <w:numFmt w:val="bullet"/>
      <w:lvlText w:val="•"/>
      <w:lvlJc w:val="left"/>
      <w:pPr>
        <w:ind w:left="6733" w:hanging="236"/>
      </w:pPr>
      <w:rPr>
        <w:rFonts w:hint="default"/>
        <w:lang w:val="es-ES" w:eastAsia="en-US" w:bidi="ar-SA"/>
      </w:rPr>
    </w:lvl>
    <w:lvl w:ilvl="7" w:tplc="8E12D426">
      <w:numFmt w:val="bullet"/>
      <w:lvlText w:val="•"/>
      <w:lvlJc w:val="left"/>
      <w:pPr>
        <w:ind w:left="7672" w:hanging="236"/>
      </w:pPr>
      <w:rPr>
        <w:rFonts w:hint="default"/>
        <w:lang w:val="es-ES" w:eastAsia="en-US" w:bidi="ar-SA"/>
      </w:rPr>
    </w:lvl>
    <w:lvl w:ilvl="8" w:tplc="2F566236">
      <w:numFmt w:val="bullet"/>
      <w:lvlText w:val="•"/>
      <w:lvlJc w:val="left"/>
      <w:pPr>
        <w:ind w:left="8611" w:hanging="236"/>
      </w:pPr>
      <w:rPr>
        <w:rFonts w:hint="default"/>
        <w:lang w:val="es-ES" w:eastAsia="en-US" w:bidi="ar-SA"/>
      </w:rPr>
    </w:lvl>
  </w:abstractNum>
  <w:abstractNum w:abstractNumId="45" w15:restartNumberingAfterBreak="0">
    <w:nsid w:val="143F5DF5"/>
    <w:multiLevelType w:val="hybridMultilevel"/>
    <w:tmpl w:val="B3FEBB5E"/>
    <w:lvl w:ilvl="0" w:tplc="8BDE6DAE">
      <w:start w:val="1"/>
      <w:numFmt w:val="decimal"/>
      <w:lvlText w:val="%1."/>
      <w:lvlJc w:val="left"/>
      <w:pPr>
        <w:ind w:left="1106" w:hanging="264"/>
        <w:jc w:val="left"/>
      </w:pPr>
      <w:rPr>
        <w:rFonts w:ascii="Arial MT" w:eastAsia="Arial MT" w:hAnsi="Arial MT" w:cs="Arial MT" w:hint="default"/>
        <w:b w:val="0"/>
        <w:bCs w:val="0"/>
        <w:i w:val="0"/>
        <w:iCs w:val="0"/>
        <w:spacing w:val="0"/>
        <w:w w:val="100"/>
        <w:sz w:val="20"/>
        <w:szCs w:val="20"/>
        <w:lang w:val="es-ES" w:eastAsia="en-US" w:bidi="ar-SA"/>
      </w:rPr>
    </w:lvl>
    <w:lvl w:ilvl="1" w:tplc="357E7B2E">
      <w:start w:val="1"/>
      <w:numFmt w:val="lowerLetter"/>
      <w:lvlText w:val="%2)"/>
      <w:lvlJc w:val="left"/>
      <w:pPr>
        <w:ind w:left="1106" w:hanging="333"/>
        <w:jc w:val="left"/>
      </w:pPr>
      <w:rPr>
        <w:rFonts w:ascii="Arial MT" w:eastAsia="Arial MT" w:hAnsi="Arial MT" w:cs="Arial MT" w:hint="default"/>
        <w:b w:val="0"/>
        <w:bCs w:val="0"/>
        <w:i w:val="0"/>
        <w:iCs w:val="0"/>
        <w:spacing w:val="0"/>
        <w:w w:val="100"/>
        <w:sz w:val="20"/>
        <w:szCs w:val="20"/>
        <w:lang w:val="es-ES" w:eastAsia="en-US" w:bidi="ar-SA"/>
      </w:rPr>
    </w:lvl>
    <w:lvl w:ilvl="2" w:tplc="F38A912A">
      <w:numFmt w:val="bullet"/>
      <w:lvlText w:val="•"/>
      <w:lvlJc w:val="left"/>
      <w:pPr>
        <w:ind w:left="2977" w:hanging="333"/>
      </w:pPr>
      <w:rPr>
        <w:rFonts w:hint="default"/>
        <w:lang w:val="es-ES" w:eastAsia="en-US" w:bidi="ar-SA"/>
      </w:rPr>
    </w:lvl>
    <w:lvl w:ilvl="3" w:tplc="73B20914">
      <w:numFmt w:val="bullet"/>
      <w:lvlText w:val="•"/>
      <w:lvlJc w:val="left"/>
      <w:pPr>
        <w:ind w:left="3916" w:hanging="333"/>
      </w:pPr>
      <w:rPr>
        <w:rFonts w:hint="default"/>
        <w:lang w:val="es-ES" w:eastAsia="en-US" w:bidi="ar-SA"/>
      </w:rPr>
    </w:lvl>
    <w:lvl w:ilvl="4" w:tplc="C7DE1A42">
      <w:numFmt w:val="bullet"/>
      <w:lvlText w:val="•"/>
      <w:lvlJc w:val="left"/>
      <w:pPr>
        <w:ind w:left="4855" w:hanging="333"/>
      </w:pPr>
      <w:rPr>
        <w:rFonts w:hint="default"/>
        <w:lang w:val="es-ES" w:eastAsia="en-US" w:bidi="ar-SA"/>
      </w:rPr>
    </w:lvl>
    <w:lvl w:ilvl="5" w:tplc="A606BBD0">
      <w:numFmt w:val="bullet"/>
      <w:lvlText w:val="•"/>
      <w:lvlJc w:val="left"/>
      <w:pPr>
        <w:ind w:left="5794" w:hanging="333"/>
      </w:pPr>
      <w:rPr>
        <w:rFonts w:hint="default"/>
        <w:lang w:val="es-ES" w:eastAsia="en-US" w:bidi="ar-SA"/>
      </w:rPr>
    </w:lvl>
    <w:lvl w:ilvl="6" w:tplc="9D3EEBAA">
      <w:numFmt w:val="bullet"/>
      <w:lvlText w:val="•"/>
      <w:lvlJc w:val="left"/>
      <w:pPr>
        <w:ind w:left="6733" w:hanging="333"/>
      </w:pPr>
      <w:rPr>
        <w:rFonts w:hint="default"/>
        <w:lang w:val="es-ES" w:eastAsia="en-US" w:bidi="ar-SA"/>
      </w:rPr>
    </w:lvl>
    <w:lvl w:ilvl="7" w:tplc="6B04E060">
      <w:numFmt w:val="bullet"/>
      <w:lvlText w:val="•"/>
      <w:lvlJc w:val="left"/>
      <w:pPr>
        <w:ind w:left="7672" w:hanging="333"/>
      </w:pPr>
      <w:rPr>
        <w:rFonts w:hint="default"/>
        <w:lang w:val="es-ES" w:eastAsia="en-US" w:bidi="ar-SA"/>
      </w:rPr>
    </w:lvl>
    <w:lvl w:ilvl="8" w:tplc="6480F3D0">
      <w:numFmt w:val="bullet"/>
      <w:lvlText w:val="•"/>
      <w:lvlJc w:val="left"/>
      <w:pPr>
        <w:ind w:left="8611" w:hanging="333"/>
      </w:pPr>
      <w:rPr>
        <w:rFonts w:hint="default"/>
        <w:lang w:val="es-ES" w:eastAsia="en-US" w:bidi="ar-SA"/>
      </w:rPr>
    </w:lvl>
  </w:abstractNum>
  <w:abstractNum w:abstractNumId="46" w15:restartNumberingAfterBreak="0">
    <w:nsid w:val="14524BEC"/>
    <w:multiLevelType w:val="hybridMultilevel"/>
    <w:tmpl w:val="D26ACA32"/>
    <w:lvl w:ilvl="0" w:tplc="75608390">
      <w:start w:val="1"/>
      <w:numFmt w:val="lowerLetter"/>
      <w:lvlText w:val="%1)"/>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1" w:tplc="ABE01EF2">
      <w:numFmt w:val="bullet"/>
      <w:lvlText w:val="•"/>
      <w:lvlJc w:val="left"/>
      <w:pPr>
        <w:ind w:left="2560" w:hanging="234"/>
      </w:pPr>
      <w:rPr>
        <w:rFonts w:hint="default"/>
        <w:lang w:val="es-ES" w:eastAsia="en-US" w:bidi="ar-SA"/>
      </w:rPr>
    </w:lvl>
    <w:lvl w:ilvl="2" w:tplc="906E6DD0">
      <w:numFmt w:val="bullet"/>
      <w:lvlText w:val="•"/>
      <w:lvlJc w:val="left"/>
      <w:pPr>
        <w:ind w:left="3441" w:hanging="234"/>
      </w:pPr>
      <w:rPr>
        <w:rFonts w:hint="default"/>
        <w:lang w:val="es-ES" w:eastAsia="en-US" w:bidi="ar-SA"/>
      </w:rPr>
    </w:lvl>
    <w:lvl w:ilvl="3" w:tplc="300EEDEE">
      <w:numFmt w:val="bullet"/>
      <w:lvlText w:val="•"/>
      <w:lvlJc w:val="left"/>
      <w:pPr>
        <w:ind w:left="4322" w:hanging="234"/>
      </w:pPr>
      <w:rPr>
        <w:rFonts w:hint="default"/>
        <w:lang w:val="es-ES" w:eastAsia="en-US" w:bidi="ar-SA"/>
      </w:rPr>
    </w:lvl>
    <w:lvl w:ilvl="4" w:tplc="61D8F8D8">
      <w:numFmt w:val="bullet"/>
      <w:lvlText w:val="•"/>
      <w:lvlJc w:val="left"/>
      <w:pPr>
        <w:ind w:left="5203" w:hanging="234"/>
      </w:pPr>
      <w:rPr>
        <w:rFonts w:hint="default"/>
        <w:lang w:val="es-ES" w:eastAsia="en-US" w:bidi="ar-SA"/>
      </w:rPr>
    </w:lvl>
    <w:lvl w:ilvl="5" w:tplc="04580506">
      <w:numFmt w:val="bullet"/>
      <w:lvlText w:val="•"/>
      <w:lvlJc w:val="left"/>
      <w:pPr>
        <w:ind w:left="6084" w:hanging="234"/>
      </w:pPr>
      <w:rPr>
        <w:rFonts w:hint="default"/>
        <w:lang w:val="es-ES" w:eastAsia="en-US" w:bidi="ar-SA"/>
      </w:rPr>
    </w:lvl>
    <w:lvl w:ilvl="6" w:tplc="FDC068CE">
      <w:numFmt w:val="bullet"/>
      <w:lvlText w:val="•"/>
      <w:lvlJc w:val="left"/>
      <w:pPr>
        <w:ind w:left="6965" w:hanging="234"/>
      </w:pPr>
      <w:rPr>
        <w:rFonts w:hint="default"/>
        <w:lang w:val="es-ES" w:eastAsia="en-US" w:bidi="ar-SA"/>
      </w:rPr>
    </w:lvl>
    <w:lvl w:ilvl="7" w:tplc="26AC1E22">
      <w:numFmt w:val="bullet"/>
      <w:lvlText w:val="•"/>
      <w:lvlJc w:val="left"/>
      <w:pPr>
        <w:ind w:left="7846" w:hanging="234"/>
      </w:pPr>
      <w:rPr>
        <w:rFonts w:hint="default"/>
        <w:lang w:val="es-ES" w:eastAsia="en-US" w:bidi="ar-SA"/>
      </w:rPr>
    </w:lvl>
    <w:lvl w:ilvl="8" w:tplc="71067C3C">
      <w:numFmt w:val="bullet"/>
      <w:lvlText w:val="•"/>
      <w:lvlJc w:val="left"/>
      <w:pPr>
        <w:ind w:left="8727" w:hanging="234"/>
      </w:pPr>
      <w:rPr>
        <w:rFonts w:hint="default"/>
        <w:lang w:val="es-ES" w:eastAsia="en-US" w:bidi="ar-SA"/>
      </w:rPr>
    </w:lvl>
  </w:abstractNum>
  <w:abstractNum w:abstractNumId="47" w15:restartNumberingAfterBreak="0">
    <w:nsid w:val="14E30DD6"/>
    <w:multiLevelType w:val="hybridMultilevel"/>
    <w:tmpl w:val="FE6E5AB4"/>
    <w:lvl w:ilvl="0" w:tplc="07300D42">
      <w:start w:val="1"/>
      <w:numFmt w:val="decimal"/>
      <w:lvlText w:val="%1."/>
      <w:lvlJc w:val="left"/>
      <w:pPr>
        <w:ind w:left="1668" w:hanging="223"/>
        <w:jc w:val="left"/>
      </w:pPr>
      <w:rPr>
        <w:rFonts w:ascii="Arial MT" w:eastAsia="Arial MT" w:hAnsi="Arial MT" w:cs="Arial MT" w:hint="default"/>
        <w:b w:val="0"/>
        <w:bCs w:val="0"/>
        <w:i w:val="0"/>
        <w:iCs w:val="0"/>
        <w:spacing w:val="0"/>
        <w:w w:val="100"/>
        <w:sz w:val="20"/>
        <w:szCs w:val="20"/>
        <w:lang w:val="es-ES" w:eastAsia="en-US" w:bidi="ar-SA"/>
      </w:rPr>
    </w:lvl>
    <w:lvl w:ilvl="1" w:tplc="FFE6DCB2">
      <w:start w:val="1"/>
      <w:numFmt w:val="lowerLetter"/>
      <w:lvlText w:val="%2)"/>
      <w:lvlJc w:val="left"/>
      <w:pPr>
        <w:ind w:left="1106" w:hanging="300"/>
        <w:jc w:val="left"/>
      </w:pPr>
      <w:rPr>
        <w:rFonts w:ascii="Arial MT" w:eastAsia="Arial MT" w:hAnsi="Arial MT" w:cs="Arial MT" w:hint="default"/>
        <w:b w:val="0"/>
        <w:bCs w:val="0"/>
        <w:i w:val="0"/>
        <w:iCs w:val="0"/>
        <w:spacing w:val="0"/>
        <w:w w:val="100"/>
        <w:sz w:val="20"/>
        <w:szCs w:val="20"/>
        <w:lang w:val="es-ES" w:eastAsia="en-US" w:bidi="ar-SA"/>
      </w:rPr>
    </w:lvl>
    <w:lvl w:ilvl="2" w:tplc="4F7254FA">
      <w:numFmt w:val="bullet"/>
      <w:lvlText w:val="•"/>
      <w:lvlJc w:val="left"/>
      <w:pPr>
        <w:ind w:left="2641" w:hanging="300"/>
      </w:pPr>
      <w:rPr>
        <w:rFonts w:hint="default"/>
        <w:lang w:val="es-ES" w:eastAsia="en-US" w:bidi="ar-SA"/>
      </w:rPr>
    </w:lvl>
    <w:lvl w:ilvl="3" w:tplc="6E3C819C">
      <w:numFmt w:val="bullet"/>
      <w:lvlText w:val="•"/>
      <w:lvlJc w:val="left"/>
      <w:pPr>
        <w:ind w:left="3622" w:hanging="300"/>
      </w:pPr>
      <w:rPr>
        <w:rFonts w:hint="default"/>
        <w:lang w:val="es-ES" w:eastAsia="en-US" w:bidi="ar-SA"/>
      </w:rPr>
    </w:lvl>
    <w:lvl w:ilvl="4" w:tplc="CC428C38">
      <w:numFmt w:val="bullet"/>
      <w:lvlText w:val="•"/>
      <w:lvlJc w:val="left"/>
      <w:pPr>
        <w:ind w:left="4603" w:hanging="300"/>
      </w:pPr>
      <w:rPr>
        <w:rFonts w:hint="default"/>
        <w:lang w:val="es-ES" w:eastAsia="en-US" w:bidi="ar-SA"/>
      </w:rPr>
    </w:lvl>
    <w:lvl w:ilvl="5" w:tplc="BD90CE98">
      <w:numFmt w:val="bullet"/>
      <w:lvlText w:val="•"/>
      <w:lvlJc w:val="left"/>
      <w:pPr>
        <w:ind w:left="5584" w:hanging="300"/>
      </w:pPr>
      <w:rPr>
        <w:rFonts w:hint="default"/>
        <w:lang w:val="es-ES" w:eastAsia="en-US" w:bidi="ar-SA"/>
      </w:rPr>
    </w:lvl>
    <w:lvl w:ilvl="6" w:tplc="42A897F6">
      <w:numFmt w:val="bullet"/>
      <w:lvlText w:val="•"/>
      <w:lvlJc w:val="left"/>
      <w:pPr>
        <w:ind w:left="6565" w:hanging="300"/>
      </w:pPr>
      <w:rPr>
        <w:rFonts w:hint="default"/>
        <w:lang w:val="es-ES" w:eastAsia="en-US" w:bidi="ar-SA"/>
      </w:rPr>
    </w:lvl>
    <w:lvl w:ilvl="7" w:tplc="61F0A566">
      <w:numFmt w:val="bullet"/>
      <w:lvlText w:val="•"/>
      <w:lvlJc w:val="left"/>
      <w:pPr>
        <w:ind w:left="7546" w:hanging="300"/>
      </w:pPr>
      <w:rPr>
        <w:rFonts w:hint="default"/>
        <w:lang w:val="es-ES" w:eastAsia="en-US" w:bidi="ar-SA"/>
      </w:rPr>
    </w:lvl>
    <w:lvl w:ilvl="8" w:tplc="CC02E518">
      <w:numFmt w:val="bullet"/>
      <w:lvlText w:val="•"/>
      <w:lvlJc w:val="left"/>
      <w:pPr>
        <w:ind w:left="8527" w:hanging="300"/>
      </w:pPr>
      <w:rPr>
        <w:rFonts w:hint="default"/>
        <w:lang w:val="es-ES" w:eastAsia="en-US" w:bidi="ar-SA"/>
      </w:rPr>
    </w:lvl>
  </w:abstractNum>
  <w:abstractNum w:abstractNumId="48" w15:restartNumberingAfterBreak="0">
    <w:nsid w:val="154D6BD0"/>
    <w:multiLevelType w:val="hybridMultilevel"/>
    <w:tmpl w:val="D04C73CA"/>
    <w:lvl w:ilvl="0" w:tplc="8146BBB2">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539A9C9E">
      <w:numFmt w:val="bullet"/>
      <w:lvlText w:val="•"/>
      <w:lvlJc w:val="left"/>
      <w:pPr>
        <w:ind w:left="2038" w:hanging="225"/>
      </w:pPr>
      <w:rPr>
        <w:rFonts w:hint="default"/>
        <w:lang w:val="es-ES" w:eastAsia="en-US" w:bidi="ar-SA"/>
      </w:rPr>
    </w:lvl>
    <w:lvl w:ilvl="2" w:tplc="D7BA72D0">
      <w:numFmt w:val="bullet"/>
      <w:lvlText w:val="•"/>
      <w:lvlJc w:val="left"/>
      <w:pPr>
        <w:ind w:left="2977" w:hanging="225"/>
      </w:pPr>
      <w:rPr>
        <w:rFonts w:hint="default"/>
        <w:lang w:val="es-ES" w:eastAsia="en-US" w:bidi="ar-SA"/>
      </w:rPr>
    </w:lvl>
    <w:lvl w:ilvl="3" w:tplc="FF4E09F0">
      <w:numFmt w:val="bullet"/>
      <w:lvlText w:val="•"/>
      <w:lvlJc w:val="left"/>
      <w:pPr>
        <w:ind w:left="3916" w:hanging="225"/>
      </w:pPr>
      <w:rPr>
        <w:rFonts w:hint="default"/>
        <w:lang w:val="es-ES" w:eastAsia="en-US" w:bidi="ar-SA"/>
      </w:rPr>
    </w:lvl>
    <w:lvl w:ilvl="4" w:tplc="B6CC5B4C">
      <w:numFmt w:val="bullet"/>
      <w:lvlText w:val="•"/>
      <w:lvlJc w:val="left"/>
      <w:pPr>
        <w:ind w:left="4855" w:hanging="225"/>
      </w:pPr>
      <w:rPr>
        <w:rFonts w:hint="default"/>
        <w:lang w:val="es-ES" w:eastAsia="en-US" w:bidi="ar-SA"/>
      </w:rPr>
    </w:lvl>
    <w:lvl w:ilvl="5" w:tplc="06C4CD4A">
      <w:numFmt w:val="bullet"/>
      <w:lvlText w:val="•"/>
      <w:lvlJc w:val="left"/>
      <w:pPr>
        <w:ind w:left="5794" w:hanging="225"/>
      </w:pPr>
      <w:rPr>
        <w:rFonts w:hint="default"/>
        <w:lang w:val="es-ES" w:eastAsia="en-US" w:bidi="ar-SA"/>
      </w:rPr>
    </w:lvl>
    <w:lvl w:ilvl="6" w:tplc="2FE6D660">
      <w:numFmt w:val="bullet"/>
      <w:lvlText w:val="•"/>
      <w:lvlJc w:val="left"/>
      <w:pPr>
        <w:ind w:left="6733" w:hanging="225"/>
      </w:pPr>
      <w:rPr>
        <w:rFonts w:hint="default"/>
        <w:lang w:val="es-ES" w:eastAsia="en-US" w:bidi="ar-SA"/>
      </w:rPr>
    </w:lvl>
    <w:lvl w:ilvl="7" w:tplc="E17E632A">
      <w:numFmt w:val="bullet"/>
      <w:lvlText w:val="•"/>
      <w:lvlJc w:val="left"/>
      <w:pPr>
        <w:ind w:left="7672" w:hanging="225"/>
      </w:pPr>
      <w:rPr>
        <w:rFonts w:hint="default"/>
        <w:lang w:val="es-ES" w:eastAsia="en-US" w:bidi="ar-SA"/>
      </w:rPr>
    </w:lvl>
    <w:lvl w:ilvl="8" w:tplc="D96C90CA">
      <w:numFmt w:val="bullet"/>
      <w:lvlText w:val="•"/>
      <w:lvlJc w:val="left"/>
      <w:pPr>
        <w:ind w:left="8611" w:hanging="225"/>
      </w:pPr>
      <w:rPr>
        <w:rFonts w:hint="default"/>
        <w:lang w:val="es-ES" w:eastAsia="en-US" w:bidi="ar-SA"/>
      </w:rPr>
    </w:lvl>
  </w:abstractNum>
  <w:abstractNum w:abstractNumId="49" w15:restartNumberingAfterBreak="0">
    <w:nsid w:val="15662C0C"/>
    <w:multiLevelType w:val="hybridMultilevel"/>
    <w:tmpl w:val="0B260D88"/>
    <w:lvl w:ilvl="0" w:tplc="5F00E66E">
      <w:numFmt w:val="bullet"/>
      <w:lvlText w:val="–"/>
      <w:lvlJc w:val="left"/>
      <w:pPr>
        <w:ind w:left="143" w:hanging="103"/>
      </w:pPr>
      <w:rPr>
        <w:rFonts w:ascii="Arial MT" w:eastAsia="Arial MT" w:hAnsi="Arial MT" w:cs="Arial MT" w:hint="default"/>
        <w:b w:val="0"/>
        <w:bCs w:val="0"/>
        <w:i w:val="0"/>
        <w:iCs w:val="0"/>
        <w:spacing w:val="0"/>
        <w:w w:val="87"/>
        <w:sz w:val="14"/>
        <w:szCs w:val="14"/>
        <w:lang w:val="es-ES" w:eastAsia="en-US" w:bidi="ar-SA"/>
      </w:rPr>
    </w:lvl>
    <w:lvl w:ilvl="1" w:tplc="BC7A1464">
      <w:numFmt w:val="bullet"/>
      <w:lvlText w:val="•"/>
      <w:lvlJc w:val="left"/>
      <w:pPr>
        <w:ind w:left="751" w:hanging="103"/>
      </w:pPr>
      <w:rPr>
        <w:rFonts w:hint="default"/>
        <w:lang w:val="es-ES" w:eastAsia="en-US" w:bidi="ar-SA"/>
      </w:rPr>
    </w:lvl>
    <w:lvl w:ilvl="2" w:tplc="C1207B76">
      <w:numFmt w:val="bullet"/>
      <w:lvlText w:val="•"/>
      <w:lvlJc w:val="left"/>
      <w:pPr>
        <w:ind w:left="1363" w:hanging="103"/>
      </w:pPr>
      <w:rPr>
        <w:rFonts w:hint="default"/>
        <w:lang w:val="es-ES" w:eastAsia="en-US" w:bidi="ar-SA"/>
      </w:rPr>
    </w:lvl>
    <w:lvl w:ilvl="3" w:tplc="D9D094CE">
      <w:numFmt w:val="bullet"/>
      <w:lvlText w:val="•"/>
      <w:lvlJc w:val="left"/>
      <w:pPr>
        <w:ind w:left="1975" w:hanging="103"/>
      </w:pPr>
      <w:rPr>
        <w:rFonts w:hint="default"/>
        <w:lang w:val="es-ES" w:eastAsia="en-US" w:bidi="ar-SA"/>
      </w:rPr>
    </w:lvl>
    <w:lvl w:ilvl="4" w:tplc="49DCCC48">
      <w:numFmt w:val="bullet"/>
      <w:lvlText w:val="•"/>
      <w:lvlJc w:val="left"/>
      <w:pPr>
        <w:ind w:left="2586" w:hanging="103"/>
      </w:pPr>
      <w:rPr>
        <w:rFonts w:hint="default"/>
        <w:lang w:val="es-ES" w:eastAsia="en-US" w:bidi="ar-SA"/>
      </w:rPr>
    </w:lvl>
    <w:lvl w:ilvl="5" w:tplc="8FF678F0">
      <w:numFmt w:val="bullet"/>
      <w:lvlText w:val="•"/>
      <w:lvlJc w:val="left"/>
      <w:pPr>
        <w:ind w:left="3198" w:hanging="103"/>
      </w:pPr>
      <w:rPr>
        <w:rFonts w:hint="default"/>
        <w:lang w:val="es-ES" w:eastAsia="en-US" w:bidi="ar-SA"/>
      </w:rPr>
    </w:lvl>
    <w:lvl w:ilvl="6" w:tplc="02721EBC">
      <w:numFmt w:val="bullet"/>
      <w:lvlText w:val="•"/>
      <w:lvlJc w:val="left"/>
      <w:pPr>
        <w:ind w:left="3810" w:hanging="103"/>
      </w:pPr>
      <w:rPr>
        <w:rFonts w:hint="default"/>
        <w:lang w:val="es-ES" w:eastAsia="en-US" w:bidi="ar-SA"/>
      </w:rPr>
    </w:lvl>
    <w:lvl w:ilvl="7" w:tplc="6B3E8176">
      <w:numFmt w:val="bullet"/>
      <w:lvlText w:val="•"/>
      <w:lvlJc w:val="left"/>
      <w:pPr>
        <w:ind w:left="4421" w:hanging="103"/>
      </w:pPr>
      <w:rPr>
        <w:rFonts w:hint="default"/>
        <w:lang w:val="es-ES" w:eastAsia="en-US" w:bidi="ar-SA"/>
      </w:rPr>
    </w:lvl>
    <w:lvl w:ilvl="8" w:tplc="1E9A5116">
      <w:numFmt w:val="bullet"/>
      <w:lvlText w:val="•"/>
      <w:lvlJc w:val="left"/>
      <w:pPr>
        <w:ind w:left="5033" w:hanging="103"/>
      </w:pPr>
      <w:rPr>
        <w:rFonts w:hint="default"/>
        <w:lang w:val="es-ES" w:eastAsia="en-US" w:bidi="ar-SA"/>
      </w:rPr>
    </w:lvl>
  </w:abstractNum>
  <w:abstractNum w:abstractNumId="50" w15:restartNumberingAfterBreak="0">
    <w:nsid w:val="15DD6999"/>
    <w:multiLevelType w:val="hybridMultilevel"/>
    <w:tmpl w:val="AC941EC6"/>
    <w:lvl w:ilvl="0" w:tplc="D4925D9C">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9AD8FADA">
      <w:numFmt w:val="bullet"/>
      <w:lvlText w:val="•"/>
      <w:lvlJc w:val="left"/>
      <w:pPr>
        <w:ind w:left="2038" w:hanging="224"/>
      </w:pPr>
      <w:rPr>
        <w:rFonts w:hint="default"/>
        <w:lang w:val="es-ES" w:eastAsia="en-US" w:bidi="ar-SA"/>
      </w:rPr>
    </w:lvl>
    <w:lvl w:ilvl="2" w:tplc="1C82F2F0">
      <w:numFmt w:val="bullet"/>
      <w:lvlText w:val="•"/>
      <w:lvlJc w:val="left"/>
      <w:pPr>
        <w:ind w:left="2977" w:hanging="224"/>
      </w:pPr>
      <w:rPr>
        <w:rFonts w:hint="default"/>
        <w:lang w:val="es-ES" w:eastAsia="en-US" w:bidi="ar-SA"/>
      </w:rPr>
    </w:lvl>
    <w:lvl w:ilvl="3" w:tplc="8C1A6190">
      <w:numFmt w:val="bullet"/>
      <w:lvlText w:val="•"/>
      <w:lvlJc w:val="left"/>
      <w:pPr>
        <w:ind w:left="3916" w:hanging="224"/>
      </w:pPr>
      <w:rPr>
        <w:rFonts w:hint="default"/>
        <w:lang w:val="es-ES" w:eastAsia="en-US" w:bidi="ar-SA"/>
      </w:rPr>
    </w:lvl>
    <w:lvl w:ilvl="4" w:tplc="68F60E42">
      <w:numFmt w:val="bullet"/>
      <w:lvlText w:val="•"/>
      <w:lvlJc w:val="left"/>
      <w:pPr>
        <w:ind w:left="4855" w:hanging="224"/>
      </w:pPr>
      <w:rPr>
        <w:rFonts w:hint="default"/>
        <w:lang w:val="es-ES" w:eastAsia="en-US" w:bidi="ar-SA"/>
      </w:rPr>
    </w:lvl>
    <w:lvl w:ilvl="5" w:tplc="48741614">
      <w:numFmt w:val="bullet"/>
      <w:lvlText w:val="•"/>
      <w:lvlJc w:val="left"/>
      <w:pPr>
        <w:ind w:left="5794" w:hanging="224"/>
      </w:pPr>
      <w:rPr>
        <w:rFonts w:hint="default"/>
        <w:lang w:val="es-ES" w:eastAsia="en-US" w:bidi="ar-SA"/>
      </w:rPr>
    </w:lvl>
    <w:lvl w:ilvl="6" w:tplc="7C5C5530">
      <w:numFmt w:val="bullet"/>
      <w:lvlText w:val="•"/>
      <w:lvlJc w:val="left"/>
      <w:pPr>
        <w:ind w:left="6733" w:hanging="224"/>
      </w:pPr>
      <w:rPr>
        <w:rFonts w:hint="default"/>
        <w:lang w:val="es-ES" w:eastAsia="en-US" w:bidi="ar-SA"/>
      </w:rPr>
    </w:lvl>
    <w:lvl w:ilvl="7" w:tplc="9D6A9808">
      <w:numFmt w:val="bullet"/>
      <w:lvlText w:val="•"/>
      <w:lvlJc w:val="left"/>
      <w:pPr>
        <w:ind w:left="7672" w:hanging="224"/>
      </w:pPr>
      <w:rPr>
        <w:rFonts w:hint="default"/>
        <w:lang w:val="es-ES" w:eastAsia="en-US" w:bidi="ar-SA"/>
      </w:rPr>
    </w:lvl>
    <w:lvl w:ilvl="8" w:tplc="CFDCA7BE">
      <w:numFmt w:val="bullet"/>
      <w:lvlText w:val="•"/>
      <w:lvlJc w:val="left"/>
      <w:pPr>
        <w:ind w:left="8611" w:hanging="224"/>
      </w:pPr>
      <w:rPr>
        <w:rFonts w:hint="default"/>
        <w:lang w:val="es-ES" w:eastAsia="en-US" w:bidi="ar-SA"/>
      </w:rPr>
    </w:lvl>
  </w:abstractNum>
  <w:abstractNum w:abstractNumId="51" w15:restartNumberingAfterBreak="0">
    <w:nsid w:val="16545182"/>
    <w:multiLevelType w:val="hybridMultilevel"/>
    <w:tmpl w:val="593248FA"/>
    <w:lvl w:ilvl="0" w:tplc="F9722432">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127A3F9E">
      <w:numFmt w:val="bullet"/>
      <w:lvlText w:val="•"/>
      <w:lvlJc w:val="left"/>
      <w:pPr>
        <w:ind w:left="2038" w:hanging="234"/>
      </w:pPr>
      <w:rPr>
        <w:rFonts w:hint="default"/>
        <w:lang w:val="es-ES" w:eastAsia="en-US" w:bidi="ar-SA"/>
      </w:rPr>
    </w:lvl>
    <w:lvl w:ilvl="2" w:tplc="E48A3736">
      <w:numFmt w:val="bullet"/>
      <w:lvlText w:val="•"/>
      <w:lvlJc w:val="left"/>
      <w:pPr>
        <w:ind w:left="2977" w:hanging="234"/>
      </w:pPr>
      <w:rPr>
        <w:rFonts w:hint="default"/>
        <w:lang w:val="es-ES" w:eastAsia="en-US" w:bidi="ar-SA"/>
      </w:rPr>
    </w:lvl>
    <w:lvl w:ilvl="3" w:tplc="60121DE4">
      <w:numFmt w:val="bullet"/>
      <w:lvlText w:val="•"/>
      <w:lvlJc w:val="left"/>
      <w:pPr>
        <w:ind w:left="3916" w:hanging="234"/>
      </w:pPr>
      <w:rPr>
        <w:rFonts w:hint="default"/>
        <w:lang w:val="es-ES" w:eastAsia="en-US" w:bidi="ar-SA"/>
      </w:rPr>
    </w:lvl>
    <w:lvl w:ilvl="4" w:tplc="F8E4DFC0">
      <w:numFmt w:val="bullet"/>
      <w:lvlText w:val="•"/>
      <w:lvlJc w:val="left"/>
      <w:pPr>
        <w:ind w:left="4855" w:hanging="234"/>
      </w:pPr>
      <w:rPr>
        <w:rFonts w:hint="default"/>
        <w:lang w:val="es-ES" w:eastAsia="en-US" w:bidi="ar-SA"/>
      </w:rPr>
    </w:lvl>
    <w:lvl w:ilvl="5" w:tplc="60306BE4">
      <w:numFmt w:val="bullet"/>
      <w:lvlText w:val="•"/>
      <w:lvlJc w:val="left"/>
      <w:pPr>
        <w:ind w:left="5794" w:hanging="234"/>
      </w:pPr>
      <w:rPr>
        <w:rFonts w:hint="default"/>
        <w:lang w:val="es-ES" w:eastAsia="en-US" w:bidi="ar-SA"/>
      </w:rPr>
    </w:lvl>
    <w:lvl w:ilvl="6" w:tplc="6F78D06C">
      <w:numFmt w:val="bullet"/>
      <w:lvlText w:val="•"/>
      <w:lvlJc w:val="left"/>
      <w:pPr>
        <w:ind w:left="6733" w:hanging="234"/>
      </w:pPr>
      <w:rPr>
        <w:rFonts w:hint="default"/>
        <w:lang w:val="es-ES" w:eastAsia="en-US" w:bidi="ar-SA"/>
      </w:rPr>
    </w:lvl>
    <w:lvl w:ilvl="7" w:tplc="5D1EA0F2">
      <w:numFmt w:val="bullet"/>
      <w:lvlText w:val="•"/>
      <w:lvlJc w:val="left"/>
      <w:pPr>
        <w:ind w:left="7672" w:hanging="234"/>
      </w:pPr>
      <w:rPr>
        <w:rFonts w:hint="default"/>
        <w:lang w:val="es-ES" w:eastAsia="en-US" w:bidi="ar-SA"/>
      </w:rPr>
    </w:lvl>
    <w:lvl w:ilvl="8" w:tplc="1338A882">
      <w:numFmt w:val="bullet"/>
      <w:lvlText w:val="•"/>
      <w:lvlJc w:val="left"/>
      <w:pPr>
        <w:ind w:left="8611" w:hanging="234"/>
      </w:pPr>
      <w:rPr>
        <w:rFonts w:hint="default"/>
        <w:lang w:val="es-ES" w:eastAsia="en-US" w:bidi="ar-SA"/>
      </w:rPr>
    </w:lvl>
  </w:abstractNum>
  <w:abstractNum w:abstractNumId="52" w15:restartNumberingAfterBreak="0">
    <w:nsid w:val="1676711E"/>
    <w:multiLevelType w:val="hybridMultilevel"/>
    <w:tmpl w:val="B2B2DB38"/>
    <w:lvl w:ilvl="0" w:tplc="9740043C">
      <w:start w:val="1"/>
      <w:numFmt w:val="decimal"/>
      <w:lvlText w:val="%1."/>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1" w:tplc="E5D268A0">
      <w:numFmt w:val="bullet"/>
      <w:lvlText w:val="•"/>
      <w:lvlJc w:val="left"/>
      <w:pPr>
        <w:ind w:left="2038" w:hanging="263"/>
      </w:pPr>
      <w:rPr>
        <w:rFonts w:hint="default"/>
        <w:lang w:val="es-ES" w:eastAsia="en-US" w:bidi="ar-SA"/>
      </w:rPr>
    </w:lvl>
    <w:lvl w:ilvl="2" w:tplc="3E2CA44A">
      <w:numFmt w:val="bullet"/>
      <w:lvlText w:val="•"/>
      <w:lvlJc w:val="left"/>
      <w:pPr>
        <w:ind w:left="2977" w:hanging="263"/>
      </w:pPr>
      <w:rPr>
        <w:rFonts w:hint="default"/>
        <w:lang w:val="es-ES" w:eastAsia="en-US" w:bidi="ar-SA"/>
      </w:rPr>
    </w:lvl>
    <w:lvl w:ilvl="3" w:tplc="2B98C206">
      <w:numFmt w:val="bullet"/>
      <w:lvlText w:val="•"/>
      <w:lvlJc w:val="left"/>
      <w:pPr>
        <w:ind w:left="3916" w:hanging="263"/>
      </w:pPr>
      <w:rPr>
        <w:rFonts w:hint="default"/>
        <w:lang w:val="es-ES" w:eastAsia="en-US" w:bidi="ar-SA"/>
      </w:rPr>
    </w:lvl>
    <w:lvl w:ilvl="4" w:tplc="F6E41802">
      <w:numFmt w:val="bullet"/>
      <w:lvlText w:val="•"/>
      <w:lvlJc w:val="left"/>
      <w:pPr>
        <w:ind w:left="4855" w:hanging="263"/>
      </w:pPr>
      <w:rPr>
        <w:rFonts w:hint="default"/>
        <w:lang w:val="es-ES" w:eastAsia="en-US" w:bidi="ar-SA"/>
      </w:rPr>
    </w:lvl>
    <w:lvl w:ilvl="5" w:tplc="5D6A3ABC">
      <w:numFmt w:val="bullet"/>
      <w:lvlText w:val="•"/>
      <w:lvlJc w:val="left"/>
      <w:pPr>
        <w:ind w:left="5794" w:hanging="263"/>
      </w:pPr>
      <w:rPr>
        <w:rFonts w:hint="default"/>
        <w:lang w:val="es-ES" w:eastAsia="en-US" w:bidi="ar-SA"/>
      </w:rPr>
    </w:lvl>
    <w:lvl w:ilvl="6" w:tplc="A478128E">
      <w:numFmt w:val="bullet"/>
      <w:lvlText w:val="•"/>
      <w:lvlJc w:val="left"/>
      <w:pPr>
        <w:ind w:left="6733" w:hanging="263"/>
      </w:pPr>
      <w:rPr>
        <w:rFonts w:hint="default"/>
        <w:lang w:val="es-ES" w:eastAsia="en-US" w:bidi="ar-SA"/>
      </w:rPr>
    </w:lvl>
    <w:lvl w:ilvl="7" w:tplc="348AF918">
      <w:numFmt w:val="bullet"/>
      <w:lvlText w:val="•"/>
      <w:lvlJc w:val="left"/>
      <w:pPr>
        <w:ind w:left="7672" w:hanging="263"/>
      </w:pPr>
      <w:rPr>
        <w:rFonts w:hint="default"/>
        <w:lang w:val="es-ES" w:eastAsia="en-US" w:bidi="ar-SA"/>
      </w:rPr>
    </w:lvl>
    <w:lvl w:ilvl="8" w:tplc="9640BF18">
      <w:numFmt w:val="bullet"/>
      <w:lvlText w:val="•"/>
      <w:lvlJc w:val="left"/>
      <w:pPr>
        <w:ind w:left="8611" w:hanging="263"/>
      </w:pPr>
      <w:rPr>
        <w:rFonts w:hint="default"/>
        <w:lang w:val="es-ES" w:eastAsia="en-US" w:bidi="ar-SA"/>
      </w:rPr>
    </w:lvl>
  </w:abstractNum>
  <w:abstractNum w:abstractNumId="53" w15:restartNumberingAfterBreak="0">
    <w:nsid w:val="16F90D67"/>
    <w:multiLevelType w:val="hybridMultilevel"/>
    <w:tmpl w:val="BBFEB1E8"/>
    <w:lvl w:ilvl="0" w:tplc="9A0435AC">
      <w:start w:val="1"/>
      <w:numFmt w:val="decimal"/>
      <w:lvlText w:val="%1."/>
      <w:lvlJc w:val="left"/>
      <w:pPr>
        <w:ind w:left="1106" w:hanging="288"/>
        <w:jc w:val="left"/>
      </w:pPr>
      <w:rPr>
        <w:rFonts w:ascii="Arial MT" w:eastAsia="Arial MT" w:hAnsi="Arial MT" w:cs="Arial MT" w:hint="default"/>
        <w:b w:val="0"/>
        <w:bCs w:val="0"/>
        <w:i w:val="0"/>
        <w:iCs w:val="0"/>
        <w:spacing w:val="0"/>
        <w:w w:val="100"/>
        <w:sz w:val="20"/>
        <w:szCs w:val="20"/>
        <w:lang w:val="es-ES" w:eastAsia="en-US" w:bidi="ar-SA"/>
      </w:rPr>
    </w:lvl>
    <w:lvl w:ilvl="1" w:tplc="5C2220A8">
      <w:start w:val="1"/>
      <w:numFmt w:val="lowerLetter"/>
      <w:lvlText w:val="%2)"/>
      <w:lvlJc w:val="left"/>
      <w:pPr>
        <w:ind w:left="1106" w:hanging="276"/>
        <w:jc w:val="left"/>
      </w:pPr>
      <w:rPr>
        <w:rFonts w:ascii="Arial MT" w:eastAsia="Arial MT" w:hAnsi="Arial MT" w:cs="Arial MT" w:hint="default"/>
        <w:b w:val="0"/>
        <w:bCs w:val="0"/>
        <w:i w:val="0"/>
        <w:iCs w:val="0"/>
        <w:spacing w:val="0"/>
        <w:w w:val="100"/>
        <w:sz w:val="20"/>
        <w:szCs w:val="20"/>
        <w:lang w:val="es-ES" w:eastAsia="en-US" w:bidi="ar-SA"/>
      </w:rPr>
    </w:lvl>
    <w:lvl w:ilvl="2" w:tplc="36B062A2">
      <w:numFmt w:val="bullet"/>
      <w:lvlText w:val="•"/>
      <w:lvlJc w:val="left"/>
      <w:pPr>
        <w:ind w:left="2977" w:hanging="276"/>
      </w:pPr>
      <w:rPr>
        <w:rFonts w:hint="default"/>
        <w:lang w:val="es-ES" w:eastAsia="en-US" w:bidi="ar-SA"/>
      </w:rPr>
    </w:lvl>
    <w:lvl w:ilvl="3" w:tplc="3B22D75E">
      <w:numFmt w:val="bullet"/>
      <w:lvlText w:val="•"/>
      <w:lvlJc w:val="left"/>
      <w:pPr>
        <w:ind w:left="3916" w:hanging="276"/>
      </w:pPr>
      <w:rPr>
        <w:rFonts w:hint="default"/>
        <w:lang w:val="es-ES" w:eastAsia="en-US" w:bidi="ar-SA"/>
      </w:rPr>
    </w:lvl>
    <w:lvl w:ilvl="4" w:tplc="D624AEDA">
      <w:numFmt w:val="bullet"/>
      <w:lvlText w:val="•"/>
      <w:lvlJc w:val="left"/>
      <w:pPr>
        <w:ind w:left="4855" w:hanging="276"/>
      </w:pPr>
      <w:rPr>
        <w:rFonts w:hint="default"/>
        <w:lang w:val="es-ES" w:eastAsia="en-US" w:bidi="ar-SA"/>
      </w:rPr>
    </w:lvl>
    <w:lvl w:ilvl="5" w:tplc="702838FC">
      <w:numFmt w:val="bullet"/>
      <w:lvlText w:val="•"/>
      <w:lvlJc w:val="left"/>
      <w:pPr>
        <w:ind w:left="5794" w:hanging="276"/>
      </w:pPr>
      <w:rPr>
        <w:rFonts w:hint="default"/>
        <w:lang w:val="es-ES" w:eastAsia="en-US" w:bidi="ar-SA"/>
      </w:rPr>
    </w:lvl>
    <w:lvl w:ilvl="6" w:tplc="77963D24">
      <w:numFmt w:val="bullet"/>
      <w:lvlText w:val="•"/>
      <w:lvlJc w:val="left"/>
      <w:pPr>
        <w:ind w:left="6733" w:hanging="276"/>
      </w:pPr>
      <w:rPr>
        <w:rFonts w:hint="default"/>
        <w:lang w:val="es-ES" w:eastAsia="en-US" w:bidi="ar-SA"/>
      </w:rPr>
    </w:lvl>
    <w:lvl w:ilvl="7" w:tplc="DEA63F12">
      <w:numFmt w:val="bullet"/>
      <w:lvlText w:val="•"/>
      <w:lvlJc w:val="left"/>
      <w:pPr>
        <w:ind w:left="7672" w:hanging="276"/>
      </w:pPr>
      <w:rPr>
        <w:rFonts w:hint="default"/>
        <w:lang w:val="es-ES" w:eastAsia="en-US" w:bidi="ar-SA"/>
      </w:rPr>
    </w:lvl>
    <w:lvl w:ilvl="8" w:tplc="0548F170">
      <w:numFmt w:val="bullet"/>
      <w:lvlText w:val="•"/>
      <w:lvlJc w:val="left"/>
      <w:pPr>
        <w:ind w:left="8611" w:hanging="276"/>
      </w:pPr>
      <w:rPr>
        <w:rFonts w:hint="default"/>
        <w:lang w:val="es-ES" w:eastAsia="en-US" w:bidi="ar-SA"/>
      </w:rPr>
    </w:lvl>
  </w:abstractNum>
  <w:abstractNum w:abstractNumId="54" w15:restartNumberingAfterBreak="0">
    <w:nsid w:val="176234C4"/>
    <w:multiLevelType w:val="hybridMultilevel"/>
    <w:tmpl w:val="F37EC85A"/>
    <w:lvl w:ilvl="0" w:tplc="DC0EBB22">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BB6CB67A">
      <w:numFmt w:val="bullet"/>
      <w:lvlText w:val="•"/>
      <w:lvlJc w:val="left"/>
      <w:pPr>
        <w:ind w:left="2038" w:hanging="245"/>
      </w:pPr>
      <w:rPr>
        <w:rFonts w:hint="default"/>
        <w:lang w:val="es-ES" w:eastAsia="en-US" w:bidi="ar-SA"/>
      </w:rPr>
    </w:lvl>
    <w:lvl w:ilvl="2" w:tplc="0C2A1882">
      <w:numFmt w:val="bullet"/>
      <w:lvlText w:val="•"/>
      <w:lvlJc w:val="left"/>
      <w:pPr>
        <w:ind w:left="2977" w:hanging="245"/>
      </w:pPr>
      <w:rPr>
        <w:rFonts w:hint="default"/>
        <w:lang w:val="es-ES" w:eastAsia="en-US" w:bidi="ar-SA"/>
      </w:rPr>
    </w:lvl>
    <w:lvl w:ilvl="3" w:tplc="72A0FB82">
      <w:numFmt w:val="bullet"/>
      <w:lvlText w:val="•"/>
      <w:lvlJc w:val="left"/>
      <w:pPr>
        <w:ind w:left="3916" w:hanging="245"/>
      </w:pPr>
      <w:rPr>
        <w:rFonts w:hint="default"/>
        <w:lang w:val="es-ES" w:eastAsia="en-US" w:bidi="ar-SA"/>
      </w:rPr>
    </w:lvl>
    <w:lvl w:ilvl="4" w:tplc="2C46F74E">
      <w:numFmt w:val="bullet"/>
      <w:lvlText w:val="•"/>
      <w:lvlJc w:val="left"/>
      <w:pPr>
        <w:ind w:left="4855" w:hanging="245"/>
      </w:pPr>
      <w:rPr>
        <w:rFonts w:hint="default"/>
        <w:lang w:val="es-ES" w:eastAsia="en-US" w:bidi="ar-SA"/>
      </w:rPr>
    </w:lvl>
    <w:lvl w:ilvl="5" w:tplc="2F368398">
      <w:numFmt w:val="bullet"/>
      <w:lvlText w:val="•"/>
      <w:lvlJc w:val="left"/>
      <w:pPr>
        <w:ind w:left="5794" w:hanging="245"/>
      </w:pPr>
      <w:rPr>
        <w:rFonts w:hint="default"/>
        <w:lang w:val="es-ES" w:eastAsia="en-US" w:bidi="ar-SA"/>
      </w:rPr>
    </w:lvl>
    <w:lvl w:ilvl="6" w:tplc="BFC20EBC">
      <w:numFmt w:val="bullet"/>
      <w:lvlText w:val="•"/>
      <w:lvlJc w:val="left"/>
      <w:pPr>
        <w:ind w:left="6733" w:hanging="245"/>
      </w:pPr>
      <w:rPr>
        <w:rFonts w:hint="default"/>
        <w:lang w:val="es-ES" w:eastAsia="en-US" w:bidi="ar-SA"/>
      </w:rPr>
    </w:lvl>
    <w:lvl w:ilvl="7" w:tplc="C310B42A">
      <w:numFmt w:val="bullet"/>
      <w:lvlText w:val="•"/>
      <w:lvlJc w:val="left"/>
      <w:pPr>
        <w:ind w:left="7672" w:hanging="245"/>
      </w:pPr>
      <w:rPr>
        <w:rFonts w:hint="default"/>
        <w:lang w:val="es-ES" w:eastAsia="en-US" w:bidi="ar-SA"/>
      </w:rPr>
    </w:lvl>
    <w:lvl w:ilvl="8" w:tplc="6672B544">
      <w:numFmt w:val="bullet"/>
      <w:lvlText w:val="•"/>
      <w:lvlJc w:val="left"/>
      <w:pPr>
        <w:ind w:left="8611" w:hanging="245"/>
      </w:pPr>
      <w:rPr>
        <w:rFonts w:hint="default"/>
        <w:lang w:val="es-ES" w:eastAsia="en-US" w:bidi="ar-SA"/>
      </w:rPr>
    </w:lvl>
  </w:abstractNum>
  <w:abstractNum w:abstractNumId="55" w15:restartNumberingAfterBreak="0">
    <w:nsid w:val="17961BD9"/>
    <w:multiLevelType w:val="hybridMultilevel"/>
    <w:tmpl w:val="228EE598"/>
    <w:lvl w:ilvl="0" w:tplc="7DD00844">
      <w:start w:val="1"/>
      <w:numFmt w:val="decimal"/>
      <w:lvlText w:val="%1."/>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1" w:tplc="5674207A">
      <w:numFmt w:val="bullet"/>
      <w:lvlText w:val="•"/>
      <w:lvlJc w:val="left"/>
      <w:pPr>
        <w:ind w:left="2038" w:hanging="241"/>
      </w:pPr>
      <w:rPr>
        <w:rFonts w:hint="default"/>
        <w:lang w:val="es-ES" w:eastAsia="en-US" w:bidi="ar-SA"/>
      </w:rPr>
    </w:lvl>
    <w:lvl w:ilvl="2" w:tplc="5D36405C">
      <w:numFmt w:val="bullet"/>
      <w:lvlText w:val="•"/>
      <w:lvlJc w:val="left"/>
      <w:pPr>
        <w:ind w:left="2977" w:hanging="241"/>
      </w:pPr>
      <w:rPr>
        <w:rFonts w:hint="default"/>
        <w:lang w:val="es-ES" w:eastAsia="en-US" w:bidi="ar-SA"/>
      </w:rPr>
    </w:lvl>
    <w:lvl w:ilvl="3" w:tplc="9DA0A7C2">
      <w:numFmt w:val="bullet"/>
      <w:lvlText w:val="•"/>
      <w:lvlJc w:val="left"/>
      <w:pPr>
        <w:ind w:left="3916" w:hanging="241"/>
      </w:pPr>
      <w:rPr>
        <w:rFonts w:hint="default"/>
        <w:lang w:val="es-ES" w:eastAsia="en-US" w:bidi="ar-SA"/>
      </w:rPr>
    </w:lvl>
    <w:lvl w:ilvl="4" w:tplc="7138D9AC">
      <w:numFmt w:val="bullet"/>
      <w:lvlText w:val="•"/>
      <w:lvlJc w:val="left"/>
      <w:pPr>
        <w:ind w:left="4855" w:hanging="241"/>
      </w:pPr>
      <w:rPr>
        <w:rFonts w:hint="default"/>
        <w:lang w:val="es-ES" w:eastAsia="en-US" w:bidi="ar-SA"/>
      </w:rPr>
    </w:lvl>
    <w:lvl w:ilvl="5" w:tplc="16BA4446">
      <w:numFmt w:val="bullet"/>
      <w:lvlText w:val="•"/>
      <w:lvlJc w:val="left"/>
      <w:pPr>
        <w:ind w:left="5794" w:hanging="241"/>
      </w:pPr>
      <w:rPr>
        <w:rFonts w:hint="default"/>
        <w:lang w:val="es-ES" w:eastAsia="en-US" w:bidi="ar-SA"/>
      </w:rPr>
    </w:lvl>
    <w:lvl w:ilvl="6" w:tplc="BAE2E52C">
      <w:numFmt w:val="bullet"/>
      <w:lvlText w:val="•"/>
      <w:lvlJc w:val="left"/>
      <w:pPr>
        <w:ind w:left="6733" w:hanging="241"/>
      </w:pPr>
      <w:rPr>
        <w:rFonts w:hint="default"/>
        <w:lang w:val="es-ES" w:eastAsia="en-US" w:bidi="ar-SA"/>
      </w:rPr>
    </w:lvl>
    <w:lvl w:ilvl="7" w:tplc="7FC08DCC">
      <w:numFmt w:val="bullet"/>
      <w:lvlText w:val="•"/>
      <w:lvlJc w:val="left"/>
      <w:pPr>
        <w:ind w:left="7672" w:hanging="241"/>
      </w:pPr>
      <w:rPr>
        <w:rFonts w:hint="default"/>
        <w:lang w:val="es-ES" w:eastAsia="en-US" w:bidi="ar-SA"/>
      </w:rPr>
    </w:lvl>
    <w:lvl w:ilvl="8" w:tplc="2D56ACB2">
      <w:numFmt w:val="bullet"/>
      <w:lvlText w:val="•"/>
      <w:lvlJc w:val="left"/>
      <w:pPr>
        <w:ind w:left="8611" w:hanging="241"/>
      </w:pPr>
      <w:rPr>
        <w:rFonts w:hint="default"/>
        <w:lang w:val="es-ES" w:eastAsia="en-US" w:bidi="ar-SA"/>
      </w:rPr>
    </w:lvl>
  </w:abstractNum>
  <w:abstractNum w:abstractNumId="56" w15:restartNumberingAfterBreak="0">
    <w:nsid w:val="17D03A00"/>
    <w:multiLevelType w:val="hybridMultilevel"/>
    <w:tmpl w:val="9CC84240"/>
    <w:lvl w:ilvl="0" w:tplc="FA5664A0">
      <w:start w:val="1"/>
      <w:numFmt w:val="decimal"/>
      <w:lvlText w:val="%1."/>
      <w:lvlJc w:val="left"/>
      <w:pPr>
        <w:ind w:left="1106" w:hanging="288"/>
        <w:jc w:val="left"/>
      </w:pPr>
      <w:rPr>
        <w:rFonts w:ascii="Arial MT" w:eastAsia="Arial MT" w:hAnsi="Arial MT" w:cs="Arial MT" w:hint="default"/>
        <w:b w:val="0"/>
        <w:bCs w:val="0"/>
        <w:i w:val="0"/>
        <w:iCs w:val="0"/>
        <w:spacing w:val="0"/>
        <w:w w:val="100"/>
        <w:sz w:val="20"/>
        <w:szCs w:val="20"/>
        <w:lang w:val="es-ES" w:eastAsia="en-US" w:bidi="ar-SA"/>
      </w:rPr>
    </w:lvl>
    <w:lvl w:ilvl="1" w:tplc="AD94ACA0">
      <w:numFmt w:val="bullet"/>
      <w:lvlText w:val="•"/>
      <w:lvlJc w:val="left"/>
      <w:pPr>
        <w:ind w:left="2038" w:hanging="288"/>
      </w:pPr>
      <w:rPr>
        <w:rFonts w:hint="default"/>
        <w:lang w:val="es-ES" w:eastAsia="en-US" w:bidi="ar-SA"/>
      </w:rPr>
    </w:lvl>
    <w:lvl w:ilvl="2" w:tplc="180E29A6">
      <w:numFmt w:val="bullet"/>
      <w:lvlText w:val="•"/>
      <w:lvlJc w:val="left"/>
      <w:pPr>
        <w:ind w:left="2977" w:hanging="288"/>
      </w:pPr>
      <w:rPr>
        <w:rFonts w:hint="default"/>
        <w:lang w:val="es-ES" w:eastAsia="en-US" w:bidi="ar-SA"/>
      </w:rPr>
    </w:lvl>
    <w:lvl w:ilvl="3" w:tplc="1A1C21C2">
      <w:numFmt w:val="bullet"/>
      <w:lvlText w:val="•"/>
      <w:lvlJc w:val="left"/>
      <w:pPr>
        <w:ind w:left="3916" w:hanging="288"/>
      </w:pPr>
      <w:rPr>
        <w:rFonts w:hint="default"/>
        <w:lang w:val="es-ES" w:eastAsia="en-US" w:bidi="ar-SA"/>
      </w:rPr>
    </w:lvl>
    <w:lvl w:ilvl="4" w:tplc="5FE69382">
      <w:numFmt w:val="bullet"/>
      <w:lvlText w:val="•"/>
      <w:lvlJc w:val="left"/>
      <w:pPr>
        <w:ind w:left="4855" w:hanging="288"/>
      </w:pPr>
      <w:rPr>
        <w:rFonts w:hint="default"/>
        <w:lang w:val="es-ES" w:eastAsia="en-US" w:bidi="ar-SA"/>
      </w:rPr>
    </w:lvl>
    <w:lvl w:ilvl="5" w:tplc="52B20574">
      <w:numFmt w:val="bullet"/>
      <w:lvlText w:val="•"/>
      <w:lvlJc w:val="left"/>
      <w:pPr>
        <w:ind w:left="5794" w:hanging="288"/>
      </w:pPr>
      <w:rPr>
        <w:rFonts w:hint="default"/>
        <w:lang w:val="es-ES" w:eastAsia="en-US" w:bidi="ar-SA"/>
      </w:rPr>
    </w:lvl>
    <w:lvl w:ilvl="6" w:tplc="9F74CFCE">
      <w:numFmt w:val="bullet"/>
      <w:lvlText w:val="•"/>
      <w:lvlJc w:val="left"/>
      <w:pPr>
        <w:ind w:left="6733" w:hanging="288"/>
      </w:pPr>
      <w:rPr>
        <w:rFonts w:hint="default"/>
        <w:lang w:val="es-ES" w:eastAsia="en-US" w:bidi="ar-SA"/>
      </w:rPr>
    </w:lvl>
    <w:lvl w:ilvl="7" w:tplc="993067EC">
      <w:numFmt w:val="bullet"/>
      <w:lvlText w:val="•"/>
      <w:lvlJc w:val="left"/>
      <w:pPr>
        <w:ind w:left="7672" w:hanging="288"/>
      </w:pPr>
      <w:rPr>
        <w:rFonts w:hint="default"/>
        <w:lang w:val="es-ES" w:eastAsia="en-US" w:bidi="ar-SA"/>
      </w:rPr>
    </w:lvl>
    <w:lvl w:ilvl="8" w:tplc="4952222C">
      <w:numFmt w:val="bullet"/>
      <w:lvlText w:val="•"/>
      <w:lvlJc w:val="left"/>
      <w:pPr>
        <w:ind w:left="8611" w:hanging="288"/>
      </w:pPr>
      <w:rPr>
        <w:rFonts w:hint="default"/>
        <w:lang w:val="es-ES" w:eastAsia="en-US" w:bidi="ar-SA"/>
      </w:rPr>
    </w:lvl>
  </w:abstractNum>
  <w:abstractNum w:abstractNumId="57" w15:restartNumberingAfterBreak="0">
    <w:nsid w:val="181E59A6"/>
    <w:multiLevelType w:val="hybridMultilevel"/>
    <w:tmpl w:val="E9AC0426"/>
    <w:lvl w:ilvl="0" w:tplc="6B46E7B8">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0D387EE8">
      <w:numFmt w:val="bullet"/>
      <w:lvlText w:val="•"/>
      <w:lvlJc w:val="left"/>
      <w:pPr>
        <w:ind w:left="2038" w:hanging="245"/>
      </w:pPr>
      <w:rPr>
        <w:rFonts w:hint="default"/>
        <w:lang w:val="es-ES" w:eastAsia="en-US" w:bidi="ar-SA"/>
      </w:rPr>
    </w:lvl>
    <w:lvl w:ilvl="2" w:tplc="EB78D828">
      <w:numFmt w:val="bullet"/>
      <w:lvlText w:val="•"/>
      <w:lvlJc w:val="left"/>
      <w:pPr>
        <w:ind w:left="2977" w:hanging="245"/>
      </w:pPr>
      <w:rPr>
        <w:rFonts w:hint="default"/>
        <w:lang w:val="es-ES" w:eastAsia="en-US" w:bidi="ar-SA"/>
      </w:rPr>
    </w:lvl>
    <w:lvl w:ilvl="3" w:tplc="341EC9CC">
      <w:numFmt w:val="bullet"/>
      <w:lvlText w:val="•"/>
      <w:lvlJc w:val="left"/>
      <w:pPr>
        <w:ind w:left="3916" w:hanging="245"/>
      </w:pPr>
      <w:rPr>
        <w:rFonts w:hint="default"/>
        <w:lang w:val="es-ES" w:eastAsia="en-US" w:bidi="ar-SA"/>
      </w:rPr>
    </w:lvl>
    <w:lvl w:ilvl="4" w:tplc="44783B1A">
      <w:numFmt w:val="bullet"/>
      <w:lvlText w:val="•"/>
      <w:lvlJc w:val="left"/>
      <w:pPr>
        <w:ind w:left="4855" w:hanging="245"/>
      </w:pPr>
      <w:rPr>
        <w:rFonts w:hint="default"/>
        <w:lang w:val="es-ES" w:eastAsia="en-US" w:bidi="ar-SA"/>
      </w:rPr>
    </w:lvl>
    <w:lvl w:ilvl="5" w:tplc="C3EE16C8">
      <w:numFmt w:val="bullet"/>
      <w:lvlText w:val="•"/>
      <w:lvlJc w:val="left"/>
      <w:pPr>
        <w:ind w:left="5794" w:hanging="245"/>
      </w:pPr>
      <w:rPr>
        <w:rFonts w:hint="default"/>
        <w:lang w:val="es-ES" w:eastAsia="en-US" w:bidi="ar-SA"/>
      </w:rPr>
    </w:lvl>
    <w:lvl w:ilvl="6" w:tplc="390C101A">
      <w:numFmt w:val="bullet"/>
      <w:lvlText w:val="•"/>
      <w:lvlJc w:val="left"/>
      <w:pPr>
        <w:ind w:left="6733" w:hanging="245"/>
      </w:pPr>
      <w:rPr>
        <w:rFonts w:hint="default"/>
        <w:lang w:val="es-ES" w:eastAsia="en-US" w:bidi="ar-SA"/>
      </w:rPr>
    </w:lvl>
    <w:lvl w:ilvl="7" w:tplc="1226A00E">
      <w:numFmt w:val="bullet"/>
      <w:lvlText w:val="•"/>
      <w:lvlJc w:val="left"/>
      <w:pPr>
        <w:ind w:left="7672" w:hanging="245"/>
      </w:pPr>
      <w:rPr>
        <w:rFonts w:hint="default"/>
        <w:lang w:val="es-ES" w:eastAsia="en-US" w:bidi="ar-SA"/>
      </w:rPr>
    </w:lvl>
    <w:lvl w:ilvl="8" w:tplc="C0422D4C">
      <w:numFmt w:val="bullet"/>
      <w:lvlText w:val="•"/>
      <w:lvlJc w:val="left"/>
      <w:pPr>
        <w:ind w:left="8611" w:hanging="245"/>
      </w:pPr>
      <w:rPr>
        <w:rFonts w:hint="default"/>
        <w:lang w:val="es-ES" w:eastAsia="en-US" w:bidi="ar-SA"/>
      </w:rPr>
    </w:lvl>
  </w:abstractNum>
  <w:abstractNum w:abstractNumId="58" w15:restartNumberingAfterBreak="0">
    <w:nsid w:val="187150F1"/>
    <w:multiLevelType w:val="hybridMultilevel"/>
    <w:tmpl w:val="0A26CA06"/>
    <w:lvl w:ilvl="0" w:tplc="FDC62B06">
      <w:start w:val="1"/>
      <w:numFmt w:val="decimal"/>
      <w:lvlText w:val="%1."/>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1" w:tplc="D3200A54">
      <w:start w:val="1"/>
      <w:numFmt w:val="lowerLetter"/>
      <w:lvlText w:val="%2)"/>
      <w:lvlJc w:val="left"/>
      <w:pPr>
        <w:ind w:left="1106" w:hanging="282"/>
        <w:jc w:val="left"/>
      </w:pPr>
      <w:rPr>
        <w:rFonts w:ascii="Arial MT" w:eastAsia="Arial MT" w:hAnsi="Arial MT" w:cs="Arial MT" w:hint="default"/>
        <w:b w:val="0"/>
        <w:bCs w:val="0"/>
        <w:i w:val="0"/>
        <w:iCs w:val="0"/>
        <w:spacing w:val="0"/>
        <w:w w:val="100"/>
        <w:sz w:val="20"/>
        <w:szCs w:val="20"/>
        <w:lang w:val="es-ES" w:eastAsia="en-US" w:bidi="ar-SA"/>
      </w:rPr>
    </w:lvl>
    <w:lvl w:ilvl="2" w:tplc="A2BEE59E">
      <w:numFmt w:val="bullet"/>
      <w:lvlText w:val="•"/>
      <w:lvlJc w:val="left"/>
      <w:pPr>
        <w:ind w:left="2977" w:hanging="282"/>
      </w:pPr>
      <w:rPr>
        <w:rFonts w:hint="default"/>
        <w:lang w:val="es-ES" w:eastAsia="en-US" w:bidi="ar-SA"/>
      </w:rPr>
    </w:lvl>
    <w:lvl w:ilvl="3" w:tplc="8312EE40">
      <w:numFmt w:val="bullet"/>
      <w:lvlText w:val="•"/>
      <w:lvlJc w:val="left"/>
      <w:pPr>
        <w:ind w:left="3916" w:hanging="282"/>
      </w:pPr>
      <w:rPr>
        <w:rFonts w:hint="default"/>
        <w:lang w:val="es-ES" w:eastAsia="en-US" w:bidi="ar-SA"/>
      </w:rPr>
    </w:lvl>
    <w:lvl w:ilvl="4" w:tplc="BF1AD9A0">
      <w:numFmt w:val="bullet"/>
      <w:lvlText w:val="•"/>
      <w:lvlJc w:val="left"/>
      <w:pPr>
        <w:ind w:left="4855" w:hanging="282"/>
      </w:pPr>
      <w:rPr>
        <w:rFonts w:hint="default"/>
        <w:lang w:val="es-ES" w:eastAsia="en-US" w:bidi="ar-SA"/>
      </w:rPr>
    </w:lvl>
    <w:lvl w:ilvl="5" w:tplc="7272026C">
      <w:numFmt w:val="bullet"/>
      <w:lvlText w:val="•"/>
      <w:lvlJc w:val="left"/>
      <w:pPr>
        <w:ind w:left="5794" w:hanging="282"/>
      </w:pPr>
      <w:rPr>
        <w:rFonts w:hint="default"/>
        <w:lang w:val="es-ES" w:eastAsia="en-US" w:bidi="ar-SA"/>
      </w:rPr>
    </w:lvl>
    <w:lvl w:ilvl="6" w:tplc="4CE44138">
      <w:numFmt w:val="bullet"/>
      <w:lvlText w:val="•"/>
      <w:lvlJc w:val="left"/>
      <w:pPr>
        <w:ind w:left="6733" w:hanging="282"/>
      </w:pPr>
      <w:rPr>
        <w:rFonts w:hint="default"/>
        <w:lang w:val="es-ES" w:eastAsia="en-US" w:bidi="ar-SA"/>
      </w:rPr>
    </w:lvl>
    <w:lvl w:ilvl="7" w:tplc="57E435AE">
      <w:numFmt w:val="bullet"/>
      <w:lvlText w:val="•"/>
      <w:lvlJc w:val="left"/>
      <w:pPr>
        <w:ind w:left="7672" w:hanging="282"/>
      </w:pPr>
      <w:rPr>
        <w:rFonts w:hint="default"/>
        <w:lang w:val="es-ES" w:eastAsia="en-US" w:bidi="ar-SA"/>
      </w:rPr>
    </w:lvl>
    <w:lvl w:ilvl="8" w:tplc="D2A0C644">
      <w:numFmt w:val="bullet"/>
      <w:lvlText w:val="•"/>
      <w:lvlJc w:val="left"/>
      <w:pPr>
        <w:ind w:left="8611" w:hanging="282"/>
      </w:pPr>
      <w:rPr>
        <w:rFonts w:hint="default"/>
        <w:lang w:val="es-ES" w:eastAsia="en-US" w:bidi="ar-SA"/>
      </w:rPr>
    </w:lvl>
  </w:abstractNum>
  <w:abstractNum w:abstractNumId="59" w15:restartNumberingAfterBreak="0">
    <w:nsid w:val="18BB7309"/>
    <w:multiLevelType w:val="hybridMultilevel"/>
    <w:tmpl w:val="C7FEE74A"/>
    <w:lvl w:ilvl="0" w:tplc="AC523388">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537AE920">
      <w:numFmt w:val="bullet"/>
      <w:lvlText w:val="•"/>
      <w:lvlJc w:val="left"/>
      <w:pPr>
        <w:ind w:left="2038" w:hanging="234"/>
      </w:pPr>
      <w:rPr>
        <w:rFonts w:hint="default"/>
        <w:lang w:val="es-ES" w:eastAsia="en-US" w:bidi="ar-SA"/>
      </w:rPr>
    </w:lvl>
    <w:lvl w:ilvl="2" w:tplc="173CAA3E">
      <w:numFmt w:val="bullet"/>
      <w:lvlText w:val="•"/>
      <w:lvlJc w:val="left"/>
      <w:pPr>
        <w:ind w:left="2977" w:hanging="234"/>
      </w:pPr>
      <w:rPr>
        <w:rFonts w:hint="default"/>
        <w:lang w:val="es-ES" w:eastAsia="en-US" w:bidi="ar-SA"/>
      </w:rPr>
    </w:lvl>
    <w:lvl w:ilvl="3" w:tplc="A770EBDE">
      <w:numFmt w:val="bullet"/>
      <w:lvlText w:val="•"/>
      <w:lvlJc w:val="left"/>
      <w:pPr>
        <w:ind w:left="3916" w:hanging="234"/>
      </w:pPr>
      <w:rPr>
        <w:rFonts w:hint="default"/>
        <w:lang w:val="es-ES" w:eastAsia="en-US" w:bidi="ar-SA"/>
      </w:rPr>
    </w:lvl>
    <w:lvl w:ilvl="4" w:tplc="2710F92C">
      <w:numFmt w:val="bullet"/>
      <w:lvlText w:val="•"/>
      <w:lvlJc w:val="left"/>
      <w:pPr>
        <w:ind w:left="4855" w:hanging="234"/>
      </w:pPr>
      <w:rPr>
        <w:rFonts w:hint="default"/>
        <w:lang w:val="es-ES" w:eastAsia="en-US" w:bidi="ar-SA"/>
      </w:rPr>
    </w:lvl>
    <w:lvl w:ilvl="5" w:tplc="D56C1284">
      <w:numFmt w:val="bullet"/>
      <w:lvlText w:val="•"/>
      <w:lvlJc w:val="left"/>
      <w:pPr>
        <w:ind w:left="5794" w:hanging="234"/>
      </w:pPr>
      <w:rPr>
        <w:rFonts w:hint="default"/>
        <w:lang w:val="es-ES" w:eastAsia="en-US" w:bidi="ar-SA"/>
      </w:rPr>
    </w:lvl>
    <w:lvl w:ilvl="6" w:tplc="CD969290">
      <w:numFmt w:val="bullet"/>
      <w:lvlText w:val="•"/>
      <w:lvlJc w:val="left"/>
      <w:pPr>
        <w:ind w:left="6733" w:hanging="234"/>
      </w:pPr>
      <w:rPr>
        <w:rFonts w:hint="default"/>
        <w:lang w:val="es-ES" w:eastAsia="en-US" w:bidi="ar-SA"/>
      </w:rPr>
    </w:lvl>
    <w:lvl w:ilvl="7" w:tplc="2286D550">
      <w:numFmt w:val="bullet"/>
      <w:lvlText w:val="•"/>
      <w:lvlJc w:val="left"/>
      <w:pPr>
        <w:ind w:left="7672" w:hanging="234"/>
      </w:pPr>
      <w:rPr>
        <w:rFonts w:hint="default"/>
        <w:lang w:val="es-ES" w:eastAsia="en-US" w:bidi="ar-SA"/>
      </w:rPr>
    </w:lvl>
    <w:lvl w:ilvl="8" w:tplc="D8D0349E">
      <w:numFmt w:val="bullet"/>
      <w:lvlText w:val="•"/>
      <w:lvlJc w:val="left"/>
      <w:pPr>
        <w:ind w:left="8611" w:hanging="234"/>
      </w:pPr>
      <w:rPr>
        <w:rFonts w:hint="default"/>
        <w:lang w:val="es-ES" w:eastAsia="en-US" w:bidi="ar-SA"/>
      </w:rPr>
    </w:lvl>
  </w:abstractNum>
  <w:abstractNum w:abstractNumId="60" w15:restartNumberingAfterBreak="0">
    <w:nsid w:val="193F36BF"/>
    <w:multiLevelType w:val="hybridMultilevel"/>
    <w:tmpl w:val="EA8EE5FA"/>
    <w:lvl w:ilvl="0" w:tplc="372AD47E">
      <w:start w:val="1"/>
      <w:numFmt w:val="decimal"/>
      <w:lvlText w:val="%1."/>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1" w:tplc="6F30F6CA">
      <w:numFmt w:val="bullet"/>
      <w:lvlText w:val="•"/>
      <w:lvlJc w:val="left"/>
      <w:pPr>
        <w:ind w:left="2038" w:hanging="236"/>
      </w:pPr>
      <w:rPr>
        <w:rFonts w:hint="default"/>
        <w:lang w:val="es-ES" w:eastAsia="en-US" w:bidi="ar-SA"/>
      </w:rPr>
    </w:lvl>
    <w:lvl w:ilvl="2" w:tplc="68D08A88">
      <w:numFmt w:val="bullet"/>
      <w:lvlText w:val="•"/>
      <w:lvlJc w:val="left"/>
      <w:pPr>
        <w:ind w:left="2977" w:hanging="236"/>
      </w:pPr>
      <w:rPr>
        <w:rFonts w:hint="default"/>
        <w:lang w:val="es-ES" w:eastAsia="en-US" w:bidi="ar-SA"/>
      </w:rPr>
    </w:lvl>
    <w:lvl w:ilvl="3" w:tplc="EF1A519A">
      <w:numFmt w:val="bullet"/>
      <w:lvlText w:val="•"/>
      <w:lvlJc w:val="left"/>
      <w:pPr>
        <w:ind w:left="3916" w:hanging="236"/>
      </w:pPr>
      <w:rPr>
        <w:rFonts w:hint="default"/>
        <w:lang w:val="es-ES" w:eastAsia="en-US" w:bidi="ar-SA"/>
      </w:rPr>
    </w:lvl>
    <w:lvl w:ilvl="4" w:tplc="11B2570E">
      <w:numFmt w:val="bullet"/>
      <w:lvlText w:val="•"/>
      <w:lvlJc w:val="left"/>
      <w:pPr>
        <w:ind w:left="4855" w:hanging="236"/>
      </w:pPr>
      <w:rPr>
        <w:rFonts w:hint="default"/>
        <w:lang w:val="es-ES" w:eastAsia="en-US" w:bidi="ar-SA"/>
      </w:rPr>
    </w:lvl>
    <w:lvl w:ilvl="5" w:tplc="39A00B18">
      <w:numFmt w:val="bullet"/>
      <w:lvlText w:val="•"/>
      <w:lvlJc w:val="left"/>
      <w:pPr>
        <w:ind w:left="5794" w:hanging="236"/>
      </w:pPr>
      <w:rPr>
        <w:rFonts w:hint="default"/>
        <w:lang w:val="es-ES" w:eastAsia="en-US" w:bidi="ar-SA"/>
      </w:rPr>
    </w:lvl>
    <w:lvl w:ilvl="6" w:tplc="E7F2C4F8">
      <w:numFmt w:val="bullet"/>
      <w:lvlText w:val="•"/>
      <w:lvlJc w:val="left"/>
      <w:pPr>
        <w:ind w:left="6733" w:hanging="236"/>
      </w:pPr>
      <w:rPr>
        <w:rFonts w:hint="default"/>
        <w:lang w:val="es-ES" w:eastAsia="en-US" w:bidi="ar-SA"/>
      </w:rPr>
    </w:lvl>
    <w:lvl w:ilvl="7" w:tplc="DF10F588">
      <w:numFmt w:val="bullet"/>
      <w:lvlText w:val="•"/>
      <w:lvlJc w:val="left"/>
      <w:pPr>
        <w:ind w:left="7672" w:hanging="236"/>
      </w:pPr>
      <w:rPr>
        <w:rFonts w:hint="default"/>
        <w:lang w:val="es-ES" w:eastAsia="en-US" w:bidi="ar-SA"/>
      </w:rPr>
    </w:lvl>
    <w:lvl w:ilvl="8" w:tplc="07D602B6">
      <w:numFmt w:val="bullet"/>
      <w:lvlText w:val="•"/>
      <w:lvlJc w:val="left"/>
      <w:pPr>
        <w:ind w:left="8611" w:hanging="236"/>
      </w:pPr>
      <w:rPr>
        <w:rFonts w:hint="default"/>
        <w:lang w:val="es-ES" w:eastAsia="en-US" w:bidi="ar-SA"/>
      </w:rPr>
    </w:lvl>
  </w:abstractNum>
  <w:abstractNum w:abstractNumId="61" w15:restartNumberingAfterBreak="0">
    <w:nsid w:val="196B541D"/>
    <w:multiLevelType w:val="hybridMultilevel"/>
    <w:tmpl w:val="3B847F9E"/>
    <w:lvl w:ilvl="0" w:tplc="717057EA">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236E92E0">
      <w:numFmt w:val="bullet"/>
      <w:lvlText w:val="•"/>
      <w:lvlJc w:val="left"/>
      <w:pPr>
        <w:ind w:left="2038" w:hanging="245"/>
      </w:pPr>
      <w:rPr>
        <w:rFonts w:hint="default"/>
        <w:lang w:val="es-ES" w:eastAsia="en-US" w:bidi="ar-SA"/>
      </w:rPr>
    </w:lvl>
    <w:lvl w:ilvl="2" w:tplc="0B0A0498">
      <w:numFmt w:val="bullet"/>
      <w:lvlText w:val="•"/>
      <w:lvlJc w:val="left"/>
      <w:pPr>
        <w:ind w:left="2977" w:hanging="245"/>
      </w:pPr>
      <w:rPr>
        <w:rFonts w:hint="default"/>
        <w:lang w:val="es-ES" w:eastAsia="en-US" w:bidi="ar-SA"/>
      </w:rPr>
    </w:lvl>
    <w:lvl w:ilvl="3" w:tplc="9C1C8958">
      <w:numFmt w:val="bullet"/>
      <w:lvlText w:val="•"/>
      <w:lvlJc w:val="left"/>
      <w:pPr>
        <w:ind w:left="3916" w:hanging="245"/>
      </w:pPr>
      <w:rPr>
        <w:rFonts w:hint="default"/>
        <w:lang w:val="es-ES" w:eastAsia="en-US" w:bidi="ar-SA"/>
      </w:rPr>
    </w:lvl>
    <w:lvl w:ilvl="4" w:tplc="90F0D34E">
      <w:numFmt w:val="bullet"/>
      <w:lvlText w:val="•"/>
      <w:lvlJc w:val="left"/>
      <w:pPr>
        <w:ind w:left="4855" w:hanging="245"/>
      </w:pPr>
      <w:rPr>
        <w:rFonts w:hint="default"/>
        <w:lang w:val="es-ES" w:eastAsia="en-US" w:bidi="ar-SA"/>
      </w:rPr>
    </w:lvl>
    <w:lvl w:ilvl="5" w:tplc="FABEF99A">
      <w:numFmt w:val="bullet"/>
      <w:lvlText w:val="•"/>
      <w:lvlJc w:val="left"/>
      <w:pPr>
        <w:ind w:left="5794" w:hanging="245"/>
      </w:pPr>
      <w:rPr>
        <w:rFonts w:hint="default"/>
        <w:lang w:val="es-ES" w:eastAsia="en-US" w:bidi="ar-SA"/>
      </w:rPr>
    </w:lvl>
    <w:lvl w:ilvl="6" w:tplc="1F1CBEB0">
      <w:numFmt w:val="bullet"/>
      <w:lvlText w:val="•"/>
      <w:lvlJc w:val="left"/>
      <w:pPr>
        <w:ind w:left="6733" w:hanging="245"/>
      </w:pPr>
      <w:rPr>
        <w:rFonts w:hint="default"/>
        <w:lang w:val="es-ES" w:eastAsia="en-US" w:bidi="ar-SA"/>
      </w:rPr>
    </w:lvl>
    <w:lvl w:ilvl="7" w:tplc="DC52BDDA">
      <w:numFmt w:val="bullet"/>
      <w:lvlText w:val="•"/>
      <w:lvlJc w:val="left"/>
      <w:pPr>
        <w:ind w:left="7672" w:hanging="245"/>
      </w:pPr>
      <w:rPr>
        <w:rFonts w:hint="default"/>
        <w:lang w:val="es-ES" w:eastAsia="en-US" w:bidi="ar-SA"/>
      </w:rPr>
    </w:lvl>
    <w:lvl w:ilvl="8" w:tplc="CFB0334E">
      <w:numFmt w:val="bullet"/>
      <w:lvlText w:val="•"/>
      <w:lvlJc w:val="left"/>
      <w:pPr>
        <w:ind w:left="8611" w:hanging="245"/>
      </w:pPr>
      <w:rPr>
        <w:rFonts w:hint="default"/>
        <w:lang w:val="es-ES" w:eastAsia="en-US" w:bidi="ar-SA"/>
      </w:rPr>
    </w:lvl>
  </w:abstractNum>
  <w:abstractNum w:abstractNumId="62" w15:restartNumberingAfterBreak="0">
    <w:nsid w:val="1A167EA7"/>
    <w:multiLevelType w:val="hybridMultilevel"/>
    <w:tmpl w:val="3378DD7C"/>
    <w:lvl w:ilvl="0" w:tplc="9BAE0008">
      <w:start w:val="1"/>
      <w:numFmt w:val="decimal"/>
      <w:lvlText w:val="%1."/>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1" w:tplc="A95472FC">
      <w:start w:val="1"/>
      <w:numFmt w:val="lowerLetter"/>
      <w:lvlText w:val="%2)"/>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2" w:tplc="955A188A">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C5365456">
      <w:numFmt w:val="bullet"/>
      <w:lvlText w:val="•"/>
      <w:lvlJc w:val="left"/>
      <w:pPr>
        <w:ind w:left="3916" w:hanging="168"/>
      </w:pPr>
      <w:rPr>
        <w:rFonts w:hint="default"/>
        <w:lang w:val="es-ES" w:eastAsia="en-US" w:bidi="ar-SA"/>
      </w:rPr>
    </w:lvl>
    <w:lvl w:ilvl="4" w:tplc="F3604EAC">
      <w:numFmt w:val="bullet"/>
      <w:lvlText w:val="•"/>
      <w:lvlJc w:val="left"/>
      <w:pPr>
        <w:ind w:left="4855" w:hanging="168"/>
      </w:pPr>
      <w:rPr>
        <w:rFonts w:hint="default"/>
        <w:lang w:val="es-ES" w:eastAsia="en-US" w:bidi="ar-SA"/>
      </w:rPr>
    </w:lvl>
    <w:lvl w:ilvl="5" w:tplc="AF94582A">
      <w:numFmt w:val="bullet"/>
      <w:lvlText w:val="•"/>
      <w:lvlJc w:val="left"/>
      <w:pPr>
        <w:ind w:left="5794" w:hanging="168"/>
      </w:pPr>
      <w:rPr>
        <w:rFonts w:hint="default"/>
        <w:lang w:val="es-ES" w:eastAsia="en-US" w:bidi="ar-SA"/>
      </w:rPr>
    </w:lvl>
    <w:lvl w:ilvl="6" w:tplc="982EC5CA">
      <w:numFmt w:val="bullet"/>
      <w:lvlText w:val="•"/>
      <w:lvlJc w:val="left"/>
      <w:pPr>
        <w:ind w:left="6733" w:hanging="168"/>
      </w:pPr>
      <w:rPr>
        <w:rFonts w:hint="default"/>
        <w:lang w:val="es-ES" w:eastAsia="en-US" w:bidi="ar-SA"/>
      </w:rPr>
    </w:lvl>
    <w:lvl w:ilvl="7" w:tplc="6A7212A4">
      <w:numFmt w:val="bullet"/>
      <w:lvlText w:val="•"/>
      <w:lvlJc w:val="left"/>
      <w:pPr>
        <w:ind w:left="7672" w:hanging="168"/>
      </w:pPr>
      <w:rPr>
        <w:rFonts w:hint="default"/>
        <w:lang w:val="es-ES" w:eastAsia="en-US" w:bidi="ar-SA"/>
      </w:rPr>
    </w:lvl>
    <w:lvl w:ilvl="8" w:tplc="7AF8EB88">
      <w:numFmt w:val="bullet"/>
      <w:lvlText w:val="•"/>
      <w:lvlJc w:val="left"/>
      <w:pPr>
        <w:ind w:left="8611" w:hanging="168"/>
      </w:pPr>
      <w:rPr>
        <w:rFonts w:hint="default"/>
        <w:lang w:val="es-ES" w:eastAsia="en-US" w:bidi="ar-SA"/>
      </w:rPr>
    </w:lvl>
  </w:abstractNum>
  <w:abstractNum w:abstractNumId="63" w15:restartNumberingAfterBreak="0">
    <w:nsid w:val="1ABF4C37"/>
    <w:multiLevelType w:val="hybridMultilevel"/>
    <w:tmpl w:val="42EA858C"/>
    <w:lvl w:ilvl="0" w:tplc="DE4831A6">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31501F04">
      <w:numFmt w:val="bullet"/>
      <w:lvlText w:val="•"/>
      <w:lvlJc w:val="left"/>
      <w:pPr>
        <w:ind w:left="2038" w:hanging="270"/>
      </w:pPr>
      <w:rPr>
        <w:rFonts w:hint="default"/>
        <w:lang w:val="es-ES" w:eastAsia="en-US" w:bidi="ar-SA"/>
      </w:rPr>
    </w:lvl>
    <w:lvl w:ilvl="2" w:tplc="3C40C6F2">
      <w:numFmt w:val="bullet"/>
      <w:lvlText w:val="•"/>
      <w:lvlJc w:val="left"/>
      <w:pPr>
        <w:ind w:left="2977" w:hanging="270"/>
      </w:pPr>
      <w:rPr>
        <w:rFonts w:hint="default"/>
        <w:lang w:val="es-ES" w:eastAsia="en-US" w:bidi="ar-SA"/>
      </w:rPr>
    </w:lvl>
    <w:lvl w:ilvl="3" w:tplc="B0E61F46">
      <w:numFmt w:val="bullet"/>
      <w:lvlText w:val="•"/>
      <w:lvlJc w:val="left"/>
      <w:pPr>
        <w:ind w:left="3916" w:hanging="270"/>
      </w:pPr>
      <w:rPr>
        <w:rFonts w:hint="default"/>
        <w:lang w:val="es-ES" w:eastAsia="en-US" w:bidi="ar-SA"/>
      </w:rPr>
    </w:lvl>
    <w:lvl w:ilvl="4" w:tplc="27600914">
      <w:numFmt w:val="bullet"/>
      <w:lvlText w:val="•"/>
      <w:lvlJc w:val="left"/>
      <w:pPr>
        <w:ind w:left="4855" w:hanging="270"/>
      </w:pPr>
      <w:rPr>
        <w:rFonts w:hint="default"/>
        <w:lang w:val="es-ES" w:eastAsia="en-US" w:bidi="ar-SA"/>
      </w:rPr>
    </w:lvl>
    <w:lvl w:ilvl="5" w:tplc="AB207DBC">
      <w:numFmt w:val="bullet"/>
      <w:lvlText w:val="•"/>
      <w:lvlJc w:val="left"/>
      <w:pPr>
        <w:ind w:left="5794" w:hanging="270"/>
      </w:pPr>
      <w:rPr>
        <w:rFonts w:hint="default"/>
        <w:lang w:val="es-ES" w:eastAsia="en-US" w:bidi="ar-SA"/>
      </w:rPr>
    </w:lvl>
    <w:lvl w:ilvl="6" w:tplc="0B5E50F8">
      <w:numFmt w:val="bullet"/>
      <w:lvlText w:val="•"/>
      <w:lvlJc w:val="left"/>
      <w:pPr>
        <w:ind w:left="6733" w:hanging="270"/>
      </w:pPr>
      <w:rPr>
        <w:rFonts w:hint="default"/>
        <w:lang w:val="es-ES" w:eastAsia="en-US" w:bidi="ar-SA"/>
      </w:rPr>
    </w:lvl>
    <w:lvl w:ilvl="7" w:tplc="BF8E2F3E">
      <w:numFmt w:val="bullet"/>
      <w:lvlText w:val="•"/>
      <w:lvlJc w:val="left"/>
      <w:pPr>
        <w:ind w:left="7672" w:hanging="270"/>
      </w:pPr>
      <w:rPr>
        <w:rFonts w:hint="default"/>
        <w:lang w:val="es-ES" w:eastAsia="en-US" w:bidi="ar-SA"/>
      </w:rPr>
    </w:lvl>
    <w:lvl w:ilvl="8" w:tplc="DB5E4DA2">
      <w:numFmt w:val="bullet"/>
      <w:lvlText w:val="•"/>
      <w:lvlJc w:val="left"/>
      <w:pPr>
        <w:ind w:left="8611" w:hanging="270"/>
      </w:pPr>
      <w:rPr>
        <w:rFonts w:hint="default"/>
        <w:lang w:val="es-ES" w:eastAsia="en-US" w:bidi="ar-SA"/>
      </w:rPr>
    </w:lvl>
  </w:abstractNum>
  <w:abstractNum w:abstractNumId="64" w15:restartNumberingAfterBreak="0">
    <w:nsid w:val="1B106D8D"/>
    <w:multiLevelType w:val="hybridMultilevel"/>
    <w:tmpl w:val="045A328E"/>
    <w:lvl w:ilvl="0" w:tplc="BD5ABBE0">
      <w:start w:val="1"/>
      <w:numFmt w:val="decimal"/>
      <w:lvlText w:val="%1."/>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1" w:tplc="3B4C2BF8">
      <w:numFmt w:val="bullet"/>
      <w:lvlText w:val="•"/>
      <w:lvlJc w:val="left"/>
      <w:pPr>
        <w:ind w:left="2038" w:hanging="261"/>
      </w:pPr>
      <w:rPr>
        <w:rFonts w:hint="default"/>
        <w:lang w:val="es-ES" w:eastAsia="en-US" w:bidi="ar-SA"/>
      </w:rPr>
    </w:lvl>
    <w:lvl w:ilvl="2" w:tplc="1FAC59B2">
      <w:numFmt w:val="bullet"/>
      <w:lvlText w:val="•"/>
      <w:lvlJc w:val="left"/>
      <w:pPr>
        <w:ind w:left="2977" w:hanging="261"/>
      </w:pPr>
      <w:rPr>
        <w:rFonts w:hint="default"/>
        <w:lang w:val="es-ES" w:eastAsia="en-US" w:bidi="ar-SA"/>
      </w:rPr>
    </w:lvl>
    <w:lvl w:ilvl="3" w:tplc="894E01EA">
      <w:numFmt w:val="bullet"/>
      <w:lvlText w:val="•"/>
      <w:lvlJc w:val="left"/>
      <w:pPr>
        <w:ind w:left="3916" w:hanging="261"/>
      </w:pPr>
      <w:rPr>
        <w:rFonts w:hint="default"/>
        <w:lang w:val="es-ES" w:eastAsia="en-US" w:bidi="ar-SA"/>
      </w:rPr>
    </w:lvl>
    <w:lvl w:ilvl="4" w:tplc="B3C8AFF8">
      <w:numFmt w:val="bullet"/>
      <w:lvlText w:val="•"/>
      <w:lvlJc w:val="left"/>
      <w:pPr>
        <w:ind w:left="4855" w:hanging="261"/>
      </w:pPr>
      <w:rPr>
        <w:rFonts w:hint="default"/>
        <w:lang w:val="es-ES" w:eastAsia="en-US" w:bidi="ar-SA"/>
      </w:rPr>
    </w:lvl>
    <w:lvl w:ilvl="5" w:tplc="41384D22">
      <w:numFmt w:val="bullet"/>
      <w:lvlText w:val="•"/>
      <w:lvlJc w:val="left"/>
      <w:pPr>
        <w:ind w:left="5794" w:hanging="261"/>
      </w:pPr>
      <w:rPr>
        <w:rFonts w:hint="default"/>
        <w:lang w:val="es-ES" w:eastAsia="en-US" w:bidi="ar-SA"/>
      </w:rPr>
    </w:lvl>
    <w:lvl w:ilvl="6" w:tplc="7FD0E32C">
      <w:numFmt w:val="bullet"/>
      <w:lvlText w:val="•"/>
      <w:lvlJc w:val="left"/>
      <w:pPr>
        <w:ind w:left="6733" w:hanging="261"/>
      </w:pPr>
      <w:rPr>
        <w:rFonts w:hint="default"/>
        <w:lang w:val="es-ES" w:eastAsia="en-US" w:bidi="ar-SA"/>
      </w:rPr>
    </w:lvl>
    <w:lvl w:ilvl="7" w:tplc="9438CF02">
      <w:numFmt w:val="bullet"/>
      <w:lvlText w:val="•"/>
      <w:lvlJc w:val="left"/>
      <w:pPr>
        <w:ind w:left="7672" w:hanging="261"/>
      </w:pPr>
      <w:rPr>
        <w:rFonts w:hint="default"/>
        <w:lang w:val="es-ES" w:eastAsia="en-US" w:bidi="ar-SA"/>
      </w:rPr>
    </w:lvl>
    <w:lvl w:ilvl="8" w:tplc="0A325BFA">
      <w:numFmt w:val="bullet"/>
      <w:lvlText w:val="•"/>
      <w:lvlJc w:val="left"/>
      <w:pPr>
        <w:ind w:left="8611" w:hanging="261"/>
      </w:pPr>
      <w:rPr>
        <w:rFonts w:hint="default"/>
        <w:lang w:val="es-ES" w:eastAsia="en-US" w:bidi="ar-SA"/>
      </w:rPr>
    </w:lvl>
  </w:abstractNum>
  <w:abstractNum w:abstractNumId="65" w15:restartNumberingAfterBreak="0">
    <w:nsid w:val="1B1B1AF3"/>
    <w:multiLevelType w:val="hybridMultilevel"/>
    <w:tmpl w:val="0D7E0802"/>
    <w:lvl w:ilvl="0" w:tplc="73F62214">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A768D4C6">
      <w:numFmt w:val="bullet"/>
      <w:lvlText w:val="•"/>
      <w:lvlJc w:val="left"/>
      <w:pPr>
        <w:ind w:left="2038" w:hanging="232"/>
      </w:pPr>
      <w:rPr>
        <w:rFonts w:hint="default"/>
        <w:lang w:val="es-ES" w:eastAsia="en-US" w:bidi="ar-SA"/>
      </w:rPr>
    </w:lvl>
    <w:lvl w:ilvl="2" w:tplc="4E9ACFE4">
      <w:numFmt w:val="bullet"/>
      <w:lvlText w:val="•"/>
      <w:lvlJc w:val="left"/>
      <w:pPr>
        <w:ind w:left="2977" w:hanging="232"/>
      </w:pPr>
      <w:rPr>
        <w:rFonts w:hint="default"/>
        <w:lang w:val="es-ES" w:eastAsia="en-US" w:bidi="ar-SA"/>
      </w:rPr>
    </w:lvl>
    <w:lvl w:ilvl="3" w:tplc="0DD89A48">
      <w:numFmt w:val="bullet"/>
      <w:lvlText w:val="•"/>
      <w:lvlJc w:val="left"/>
      <w:pPr>
        <w:ind w:left="3916" w:hanging="232"/>
      </w:pPr>
      <w:rPr>
        <w:rFonts w:hint="default"/>
        <w:lang w:val="es-ES" w:eastAsia="en-US" w:bidi="ar-SA"/>
      </w:rPr>
    </w:lvl>
    <w:lvl w:ilvl="4" w:tplc="3D762100">
      <w:numFmt w:val="bullet"/>
      <w:lvlText w:val="•"/>
      <w:lvlJc w:val="left"/>
      <w:pPr>
        <w:ind w:left="4855" w:hanging="232"/>
      </w:pPr>
      <w:rPr>
        <w:rFonts w:hint="default"/>
        <w:lang w:val="es-ES" w:eastAsia="en-US" w:bidi="ar-SA"/>
      </w:rPr>
    </w:lvl>
    <w:lvl w:ilvl="5" w:tplc="6CEC3C32">
      <w:numFmt w:val="bullet"/>
      <w:lvlText w:val="•"/>
      <w:lvlJc w:val="left"/>
      <w:pPr>
        <w:ind w:left="5794" w:hanging="232"/>
      </w:pPr>
      <w:rPr>
        <w:rFonts w:hint="default"/>
        <w:lang w:val="es-ES" w:eastAsia="en-US" w:bidi="ar-SA"/>
      </w:rPr>
    </w:lvl>
    <w:lvl w:ilvl="6" w:tplc="C03C4022">
      <w:numFmt w:val="bullet"/>
      <w:lvlText w:val="•"/>
      <w:lvlJc w:val="left"/>
      <w:pPr>
        <w:ind w:left="6733" w:hanging="232"/>
      </w:pPr>
      <w:rPr>
        <w:rFonts w:hint="default"/>
        <w:lang w:val="es-ES" w:eastAsia="en-US" w:bidi="ar-SA"/>
      </w:rPr>
    </w:lvl>
    <w:lvl w:ilvl="7" w:tplc="D7300FA4">
      <w:numFmt w:val="bullet"/>
      <w:lvlText w:val="•"/>
      <w:lvlJc w:val="left"/>
      <w:pPr>
        <w:ind w:left="7672" w:hanging="232"/>
      </w:pPr>
      <w:rPr>
        <w:rFonts w:hint="default"/>
        <w:lang w:val="es-ES" w:eastAsia="en-US" w:bidi="ar-SA"/>
      </w:rPr>
    </w:lvl>
    <w:lvl w:ilvl="8" w:tplc="7040D3C0">
      <w:numFmt w:val="bullet"/>
      <w:lvlText w:val="•"/>
      <w:lvlJc w:val="left"/>
      <w:pPr>
        <w:ind w:left="8611" w:hanging="232"/>
      </w:pPr>
      <w:rPr>
        <w:rFonts w:hint="default"/>
        <w:lang w:val="es-ES" w:eastAsia="en-US" w:bidi="ar-SA"/>
      </w:rPr>
    </w:lvl>
  </w:abstractNum>
  <w:abstractNum w:abstractNumId="66" w15:restartNumberingAfterBreak="0">
    <w:nsid w:val="1B472C29"/>
    <w:multiLevelType w:val="hybridMultilevel"/>
    <w:tmpl w:val="D7CE7D12"/>
    <w:lvl w:ilvl="0" w:tplc="C180D59A">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04FA4C20">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D4205CCC">
      <w:numFmt w:val="bullet"/>
      <w:lvlText w:val="•"/>
      <w:lvlJc w:val="left"/>
      <w:pPr>
        <w:ind w:left="2977" w:hanging="252"/>
      </w:pPr>
      <w:rPr>
        <w:rFonts w:hint="default"/>
        <w:lang w:val="es-ES" w:eastAsia="en-US" w:bidi="ar-SA"/>
      </w:rPr>
    </w:lvl>
    <w:lvl w:ilvl="3" w:tplc="6ECABA88">
      <w:numFmt w:val="bullet"/>
      <w:lvlText w:val="•"/>
      <w:lvlJc w:val="left"/>
      <w:pPr>
        <w:ind w:left="3916" w:hanging="252"/>
      </w:pPr>
      <w:rPr>
        <w:rFonts w:hint="default"/>
        <w:lang w:val="es-ES" w:eastAsia="en-US" w:bidi="ar-SA"/>
      </w:rPr>
    </w:lvl>
    <w:lvl w:ilvl="4" w:tplc="9942E24C">
      <w:numFmt w:val="bullet"/>
      <w:lvlText w:val="•"/>
      <w:lvlJc w:val="left"/>
      <w:pPr>
        <w:ind w:left="4855" w:hanging="252"/>
      </w:pPr>
      <w:rPr>
        <w:rFonts w:hint="default"/>
        <w:lang w:val="es-ES" w:eastAsia="en-US" w:bidi="ar-SA"/>
      </w:rPr>
    </w:lvl>
    <w:lvl w:ilvl="5" w:tplc="2C6EDFB0">
      <w:numFmt w:val="bullet"/>
      <w:lvlText w:val="•"/>
      <w:lvlJc w:val="left"/>
      <w:pPr>
        <w:ind w:left="5794" w:hanging="252"/>
      </w:pPr>
      <w:rPr>
        <w:rFonts w:hint="default"/>
        <w:lang w:val="es-ES" w:eastAsia="en-US" w:bidi="ar-SA"/>
      </w:rPr>
    </w:lvl>
    <w:lvl w:ilvl="6" w:tplc="DF64A91C">
      <w:numFmt w:val="bullet"/>
      <w:lvlText w:val="•"/>
      <w:lvlJc w:val="left"/>
      <w:pPr>
        <w:ind w:left="6733" w:hanging="252"/>
      </w:pPr>
      <w:rPr>
        <w:rFonts w:hint="default"/>
        <w:lang w:val="es-ES" w:eastAsia="en-US" w:bidi="ar-SA"/>
      </w:rPr>
    </w:lvl>
    <w:lvl w:ilvl="7" w:tplc="1DB29174">
      <w:numFmt w:val="bullet"/>
      <w:lvlText w:val="•"/>
      <w:lvlJc w:val="left"/>
      <w:pPr>
        <w:ind w:left="7672" w:hanging="252"/>
      </w:pPr>
      <w:rPr>
        <w:rFonts w:hint="default"/>
        <w:lang w:val="es-ES" w:eastAsia="en-US" w:bidi="ar-SA"/>
      </w:rPr>
    </w:lvl>
    <w:lvl w:ilvl="8" w:tplc="AE4669EC">
      <w:numFmt w:val="bullet"/>
      <w:lvlText w:val="•"/>
      <w:lvlJc w:val="left"/>
      <w:pPr>
        <w:ind w:left="8611" w:hanging="252"/>
      </w:pPr>
      <w:rPr>
        <w:rFonts w:hint="default"/>
        <w:lang w:val="es-ES" w:eastAsia="en-US" w:bidi="ar-SA"/>
      </w:rPr>
    </w:lvl>
  </w:abstractNum>
  <w:abstractNum w:abstractNumId="67" w15:restartNumberingAfterBreak="0">
    <w:nsid w:val="1BE029ED"/>
    <w:multiLevelType w:val="hybridMultilevel"/>
    <w:tmpl w:val="280CCF86"/>
    <w:lvl w:ilvl="0" w:tplc="F006ABBC">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C372A25C">
      <w:numFmt w:val="bullet"/>
      <w:lvlText w:val="•"/>
      <w:lvlJc w:val="left"/>
      <w:pPr>
        <w:ind w:left="2038" w:hanging="234"/>
      </w:pPr>
      <w:rPr>
        <w:rFonts w:hint="default"/>
        <w:lang w:val="es-ES" w:eastAsia="en-US" w:bidi="ar-SA"/>
      </w:rPr>
    </w:lvl>
    <w:lvl w:ilvl="2" w:tplc="46A6C546">
      <w:numFmt w:val="bullet"/>
      <w:lvlText w:val="•"/>
      <w:lvlJc w:val="left"/>
      <w:pPr>
        <w:ind w:left="2977" w:hanging="234"/>
      </w:pPr>
      <w:rPr>
        <w:rFonts w:hint="default"/>
        <w:lang w:val="es-ES" w:eastAsia="en-US" w:bidi="ar-SA"/>
      </w:rPr>
    </w:lvl>
    <w:lvl w:ilvl="3" w:tplc="B3D8D888">
      <w:numFmt w:val="bullet"/>
      <w:lvlText w:val="•"/>
      <w:lvlJc w:val="left"/>
      <w:pPr>
        <w:ind w:left="3916" w:hanging="234"/>
      </w:pPr>
      <w:rPr>
        <w:rFonts w:hint="default"/>
        <w:lang w:val="es-ES" w:eastAsia="en-US" w:bidi="ar-SA"/>
      </w:rPr>
    </w:lvl>
    <w:lvl w:ilvl="4" w:tplc="5D006312">
      <w:numFmt w:val="bullet"/>
      <w:lvlText w:val="•"/>
      <w:lvlJc w:val="left"/>
      <w:pPr>
        <w:ind w:left="4855" w:hanging="234"/>
      </w:pPr>
      <w:rPr>
        <w:rFonts w:hint="default"/>
        <w:lang w:val="es-ES" w:eastAsia="en-US" w:bidi="ar-SA"/>
      </w:rPr>
    </w:lvl>
    <w:lvl w:ilvl="5" w:tplc="16A057A4">
      <w:numFmt w:val="bullet"/>
      <w:lvlText w:val="•"/>
      <w:lvlJc w:val="left"/>
      <w:pPr>
        <w:ind w:left="5794" w:hanging="234"/>
      </w:pPr>
      <w:rPr>
        <w:rFonts w:hint="default"/>
        <w:lang w:val="es-ES" w:eastAsia="en-US" w:bidi="ar-SA"/>
      </w:rPr>
    </w:lvl>
    <w:lvl w:ilvl="6" w:tplc="9E4C77CE">
      <w:numFmt w:val="bullet"/>
      <w:lvlText w:val="•"/>
      <w:lvlJc w:val="left"/>
      <w:pPr>
        <w:ind w:left="6733" w:hanging="234"/>
      </w:pPr>
      <w:rPr>
        <w:rFonts w:hint="default"/>
        <w:lang w:val="es-ES" w:eastAsia="en-US" w:bidi="ar-SA"/>
      </w:rPr>
    </w:lvl>
    <w:lvl w:ilvl="7" w:tplc="A214706A">
      <w:numFmt w:val="bullet"/>
      <w:lvlText w:val="•"/>
      <w:lvlJc w:val="left"/>
      <w:pPr>
        <w:ind w:left="7672" w:hanging="234"/>
      </w:pPr>
      <w:rPr>
        <w:rFonts w:hint="default"/>
        <w:lang w:val="es-ES" w:eastAsia="en-US" w:bidi="ar-SA"/>
      </w:rPr>
    </w:lvl>
    <w:lvl w:ilvl="8" w:tplc="EA5A3E1C">
      <w:numFmt w:val="bullet"/>
      <w:lvlText w:val="•"/>
      <w:lvlJc w:val="left"/>
      <w:pPr>
        <w:ind w:left="8611" w:hanging="234"/>
      </w:pPr>
      <w:rPr>
        <w:rFonts w:hint="default"/>
        <w:lang w:val="es-ES" w:eastAsia="en-US" w:bidi="ar-SA"/>
      </w:rPr>
    </w:lvl>
  </w:abstractNum>
  <w:abstractNum w:abstractNumId="68" w15:restartNumberingAfterBreak="0">
    <w:nsid w:val="1C46689F"/>
    <w:multiLevelType w:val="hybridMultilevel"/>
    <w:tmpl w:val="B59251C8"/>
    <w:lvl w:ilvl="0" w:tplc="004CDB3A">
      <w:start w:val="1"/>
      <w:numFmt w:val="decimal"/>
      <w:lvlText w:val="%1."/>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1" w:tplc="D0B67608">
      <w:numFmt w:val="bullet"/>
      <w:lvlText w:val="•"/>
      <w:lvlJc w:val="left"/>
      <w:pPr>
        <w:ind w:left="2038" w:hanging="235"/>
      </w:pPr>
      <w:rPr>
        <w:rFonts w:hint="default"/>
        <w:lang w:val="es-ES" w:eastAsia="en-US" w:bidi="ar-SA"/>
      </w:rPr>
    </w:lvl>
    <w:lvl w:ilvl="2" w:tplc="AEE0555E">
      <w:numFmt w:val="bullet"/>
      <w:lvlText w:val="•"/>
      <w:lvlJc w:val="left"/>
      <w:pPr>
        <w:ind w:left="2977" w:hanging="235"/>
      </w:pPr>
      <w:rPr>
        <w:rFonts w:hint="default"/>
        <w:lang w:val="es-ES" w:eastAsia="en-US" w:bidi="ar-SA"/>
      </w:rPr>
    </w:lvl>
    <w:lvl w:ilvl="3" w:tplc="7284BD00">
      <w:numFmt w:val="bullet"/>
      <w:lvlText w:val="•"/>
      <w:lvlJc w:val="left"/>
      <w:pPr>
        <w:ind w:left="3916" w:hanging="235"/>
      </w:pPr>
      <w:rPr>
        <w:rFonts w:hint="default"/>
        <w:lang w:val="es-ES" w:eastAsia="en-US" w:bidi="ar-SA"/>
      </w:rPr>
    </w:lvl>
    <w:lvl w:ilvl="4" w:tplc="378202CA">
      <w:numFmt w:val="bullet"/>
      <w:lvlText w:val="•"/>
      <w:lvlJc w:val="left"/>
      <w:pPr>
        <w:ind w:left="4855" w:hanging="235"/>
      </w:pPr>
      <w:rPr>
        <w:rFonts w:hint="default"/>
        <w:lang w:val="es-ES" w:eastAsia="en-US" w:bidi="ar-SA"/>
      </w:rPr>
    </w:lvl>
    <w:lvl w:ilvl="5" w:tplc="43488DE6">
      <w:numFmt w:val="bullet"/>
      <w:lvlText w:val="•"/>
      <w:lvlJc w:val="left"/>
      <w:pPr>
        <w:ind w:left="5794" w:hanging="235"/>
      </w:pPr>
      <w:rPr>
        <w:rFonts w:hint="default"/>
        <w:lang w:val="es-ES" w:eastAsia="en-US" w:bidi="ar-SA"/>
      </w:rPr>
    </w:lvl>
    <w:lvl w:ilvl="6" w:tplc="2BC69392">
      <w:numFmt w:val="bullet"/>
      <w:lvlText w:val="•"/>
      <w:lvlJc w:val="left"/>
      <w:pPr>
        <w:ind w:left="6733" w:hanging="235"/>
      </w:pPr>
      <w:rPr>
        <w:rFonts w:hint="default"/>
        <w:lang w:val="es-ES" w:eastAsia="en-US" w:bidi="ar-SA"/>
      </w:rPr>
    </w:lvl>
    <w:lvl w:ilvl="7" w:tplc="CB0C1F1E">
      <w:numFmt w:val="bullet"/>
      <w:lvlText w:val="•"/>
      <w:lvlJc w:val="left"/>
      <w:pPr>
        <w:ind w:left="7672" w:hanging="235"/>
      </w:pPr>
      <w:rPr>
        <w:rFonts w:hint="default"/>
        <w:lang w:val="es-ES" w:eastAsia="en-US" w:bidi="ar-SA"/>
      </w:rPr>
    </w:lvl>
    <w:lvl w:ilvl="8" w:tplc="492C7412">
      <w:numFmt w:val="bullet"/>
      <w:lvlText w:val="•"/>
      <w:lvlJc w:val="left"/>
      <w:pPr>
        <w:ind w:left="8611" w:hanging="235"/>
      </w:pPr>
      <w:rPr>
        <w:rFonts w:hint="default"/>
        <w:lang w:val="es-ES" w:eastAsia="en-US" w:bidi="ar-SA"/>
      </w:rPr>
    </w:lvl>
  </w:abstractNum>
  <w:abstractNum w:abstractNumId="69" w15:restartNumberingAfterBreak="0">
    <w:nsid w:val="1CA224B5"/>
    <w:multiLevelType w:val="hybridMultilevel"/>
    <w:tmpl w:val="E8A0D37C"/>
    <w:lvl w:ilvl="0" w:tplc="D618F750">
      <w:start w:val="1"/>
      <w:numFmt w:val="decimal"/>
      <w:lvlText w:val="%1."/>
      <w:lvlJc w:val="left"/>
      <w:pPr>
        <w:ind w:left="1106" w:hanging="325"/>
        <w:jc w:val="left"/>
      </w:pPr>
      <w:rPr>
        <w:rFonts w:ascii="Arial MT" w:eastAsia="Arial MT" w:hAnsi="Arial MT" w:cs="Arial MT" w:hint="default"/>
        <w:b w:val="0"/>
        <w:bCs w:val="0"/>
        <w:i w:val="0"/>
        <w:iCs w:val="0"/>
        <w:spacing w:val="0"/>
        <w:w w:val="100"/>
        <w:sz w:val="20"/>
        <w:szCs w:val="20"/>
        <w:lang w:val="es-ES" w:eastAsia="en-US" w:bidi="ar-SA"/>
      </w:rPr>
    </w:lvl>
    <w:lvl w:ilvl="1" w:tplc="3F6A3E3C">
      <w:numFmt w:val="bullet"/>
      <w:lvlText w:val="•"/>
      <w:lvlJc w:val="left"/>
      <w:pPr>
        <w:ind w:left="2038" w:hanging="325"/>
      </w:pPr>
      <w:rPr>
        <w:rFonts w:hint="default"/>
        <w:lang w:val="es-ES" w:eastAsia="en-US" w:bidi="ar-SA"/>
      </w:rPr>
    </w:lvl>
    <w:lvl w:ilvl="2" w:tplc="F46EC9C0">
      <w:numFmt w:val="bullet"/>
      <w:lvlText w:val="•"/>
      <w:lvlJc w:val="left"/>
      <w:pPr>
        <w:ind w:left="2977" w:hanging="325"/>
      </w:pPr>
      <w:rPr>
        <w:rFonts w:hint="default"/>
        <w:lang w:val="es-ES" w:eastAsia="en-US" w:bidi="ar-SA"/>
      </w:rPr>
    </w:lvl>
    <w:lvl w:ilvl="3" w:tplc="4BEAB6E4">
      <w:numFmt w:val="bullet"/>
      <w:lvlText w:val="•"/>
      <w:lvlJc w:val="left"/>
      <w:pPr>
        <w:ind w:left="3916" w:hanging="325"/>
      </w:pPr>
      <w:rPr>
        <w:rFonts w:hint="default"/>
        <w:lang w:val="es-ES" w:eastAsia="en-US" w:bidi="ar-SA"/>
      </w:rPr>
    </w:lvl>
    <w:lvl w:ilvl="4" w:tplc="C428CD90">
      <w:numFmt w:val="bullet"/>
      <w:lvlText w:val="•"/>
      <w:lvlJc w:val="left"/>
      <w:pPr>
        <w:ind w:left="4855" w:hanging="325"/>
      </w:pPr>
      <w:rPr>
        <w:rFonts w:hint="default"/>
        <w:lang w:val="es-ES" w:eastAsia="en-US" w:bidi="ar-SA"/>
      </w:rPr>
    </w:lvl>
    <w:lvl w:ilvl="5" w:tplc="CD54B8D4">
      <w:numFmt w:val="bullet"/>
      <w:lvlText w:val="•"/>
      <w:lvlJc w:val="left"/>
      <w:pPr>
        <w:ind w:left="5794" w:hanging="325"/>
      </w:pPr>
      <w:rPr>
        <w:rFonts w:hint="default"/>
        <w:lang w:val="es-ES" w:eastAsia="en-US" w:bidi="ar-SA"/>
      </w:rPr>
    </w:lvl>
    <w:lvl w:ilvl="6" w:tplc="34FC2CEC">
      <w:numFmt w:val="bullet"/>
      <w:lvlText w:val="•"/>
      <w:lvlJc w:val="left"/>
      <w:pPr>
        <w:ind w:left="6733" w:hanging="325"/>
      </w:pPr>
      <w:rPr>
        <w:rFonts w:hint="default"/>
        <w:lang w:val="es-ES" w:eastAsia="en-US" w:bidi="ar-SA"/>
      </w:rPr>
    </w:lvl>
    <w:lvl w:ilvl="7" w:tplc="A5CABE86">
      <w:numFmt w:val="bullet"/>
      <w:lvlText w:val="•"/>
      <w:lvlJc w:val="left"/>
      <w:pPr>
        <w:ind w:left="7672" w:hanging="325"/>
      </w:pPr>
      <w:rPr>
        <w:rFonts w:hint="default"/>
        <w:lang w:val="es-ES" w:eastAsia="en-US" w:bidi="ar-SA"/>
      </w:rPr>
    </w:lvl>
    <w:lvl w:ilvl="8" w:tplc="C19608EE">
      <w:numFmt w:val="bullet"/>
      <w:lvlText w:val="•"/>
      <w:lvlJc w:val="left"/>
      <w:pPr>
        <w:ind w:left="8611" w:hanging="325"/>
      </w:pPr>
      <w:rPr>
        <w:rFonts w:hint="default"/>
        <w:lang w:val="es-ES" w:eastAsia="en-US" w:bidi="ar-SA"/>
      </w:rPr>
    </w:lvl>
  </w:abstractNum>
  <w:abstractNum w:abstractNumId="70" w15:restartNumberingAfterBreak="0">
    <w:nsid w:val="1CEE045A"/>
    <w:multiLevelType w:val="hybridMultilevel"/>
    <w:tmpl w:val="32AA0BD0"/>
    <w:lvl w:ilvl="0" w:tplc="98767A72">
      <w:start w:val="1"/>
      <w:numFmt w:val="decimal"/>
      <w:lvlText w:val="%1."/>
      <w:lvlJc w:val="left"/>
      <w:pPr>
        <w:ind w:left="1106" w:hanging="291"/>
        <w:jc w:val="left"/>
      </w:pPr>
      <w:rPr>
        <w:rFonts w:ascii="Arial MT" w:eastAsia="Arial MT" w:hAnsi="Arial MT" w:cs="Arial MT" w:hint="default"/>
        <w:b w:val="0"/>
        <w:bCs w:val="0"/>
        <w:i w:val="0"/>
        <w:iCs w:val="0"/>
        <w:spacing w:val="0"/>
        <w:w w:val="100"/>
        <w:sz w:val="20"/>
        <w:szCs w:val="20"/>
        <w:lang w:val="es-ES" w:eastAsia="en-US" w:bidi="ar-SA"/>
      </w:rPr>
    </w:lvl>
    <w:lvl w:ilvl="1" w:tplc="0CDEE602">
      <w:numFmt w:val="bullet"/>
      <w:lvlText w:val="•"/>
      <w:lvlJc w:val="left"/>
      <w:pPr>
        <w:ind w:left="2038" w:hanging="291"/>
      </w:pPr>
      <w:rPr>
        <w:rFonts w:hint="default"/>
        <w:lang w:val="es-ES" w:eastAsia="en-US" w:bidi="ar-SA"/>
      </w:rPr>
    </w:lvl>
    <w:lvl w:ilvl="2" w:tplc="7CDEBB92">
      <w:numFmt w:val="bullet"/>
      <w:lvlText w:val="•"/>
      <w:lvlJc w:val="left"/>
      <w:pPr>
        <w:ind w:left="2977" w:hanging="291"/>
      </w:pPr>
      <w:rPr>
        <w:rFonts w:hint="default"/>
        <w:lang w:val="es-ES" w:eastAsia="en-US" w:bidi="ar-SA"/>
      </w:rPr>
    </w:lvl>
    <w:lvl w:ilvl="3" w:tplc="5D423F0A">
      <w:numFmt w:val="bullet"/>
      <w:lvlText w:val="•"/>
      <w:lvlJc w:val="left"/>
      <w:pPr>
        <w:ind w:left="3916" w:hanging="291"/>
      </w:pPr>
      <w:rPr>
        <w:rFonts w:hint="default"/>
        <w:lang w:val="es-ES" w:eastAsia="en-US" w:bidi="ar-SA"/>
      </w:rPr>
    </w:lvl>
    <w:lvl w:ilvl="4" w:tplc="C666EB52">
      <w:numFmt w:val="bullet"/>
      <w:lvlText w:val="•"/>
      <w:lvlJc w:val="left"/>
      <w:pPr>
        <w:ind w:left="4855" w:hanging="291"/>
      </w:pPr>
      <w:rPr>
        <w:rFonts w:hint="default"/>
        <w:lang w:val="es-ES" w:eastAsia="en-US" w:bidi="ar-SA"/>
      </w:rPr>
    </w:lvl>
    <w:lvl w:ilvl="5" w:tplc="61D8238C">
      <w:numFmt w:val="bullet"/>
      <w:lvlText w:val="•"/>
      <w:lvlJc w:val="left"/>
      <w:pPr>
        <w:ind w:left="5794" w:hanging="291"/>
      </w:pPr>
      <w:rPr>
        <w:rFonts w:hint="default"/>
        <w:lang w:val="es-ES" w:eastAsia="en-US" w:bidi="ar-SA"/>
      </w:rPr>
    </w:lvl>
    <w:lvl w:ilvl="6" w:tplc="225447AE">
      <w:numFmt w:val="bullet"/>
      <w:lvlText w:val="•"/>
      <w:lvlJc w:val="left"/>
      <w:pPr>
        <w:ind w:left="6733" w:hanging="291"/>
      </w:pPr>
      <w:rPr>
        <w:rFonts w:hint="default"/>
        <w:lang w:val="es-ES" w:eastAsia="en-US" w:bidi="ar-SA"/>
      </w:rPr>
    </w:lvl>
    <w:lvl w:ilvl="7" w:tplc="410A9B30">
      <w:numFmt w:val="bullet"/>
      <w:lvlText w:val="•"/>
      <w:lvlJc w:val="left"/>
      <w:pPr>
        <w:ind w:left="7672" w:hanging="291"/>
      </w:pPr>
      <w:rPr>
        <w:rFonts w:hint="default"/>
        <w:lang w:val="es-ES" w:eastAsia="en-US" w:bidi="ar-SA"/>
      </w:rPr>
    </w:lvl>
    <w:lvl w:ilvl="8" w:tplc="05EC8716">
      <w:numFmt w:val="bullet"/>
      <w:lvlText w:val="•"/>
      <w:lvlJc w:val="left"/>
      <w:pPr>
        <w:ind w:left="8611" w:hanging="291"/>
      </w:pPr>
      <w:rPr>
        <w:rFonts w:hint="default"/>
        <w:lang w:val="es-ES" w:eastAsia="en-US" w:bidi="ar-SA"/>
      </w:rPr>
    </w:lvl>
  </w:abstractNum>
  <w:abstractNum w:abstractNumId="71" w15:restartNumberingAfterBreak="0">
    <w:nsid w:val="1CEE1DA3"/>
    <w:multiLevelType w:val="hybridMultilevel"/>
    <w:tmpl w:val="421A5D3C"/>
    <w:lvl w:ilvl="0" w:tplc="5D064C44">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217A8CE0">
      <w:numFmt w:val="bullet"/>
      <w:lvlText w:val="•"/>
      <w:lvlJc w:val="left"/>
      <w:pPr>
        <w:ind w:left="2038" w:hanging="294"/>
      </w:pPr>
      <w:rPr>
        <w:rFonts w:hint="default"/>
        <w:lang w:val="es-ES" w:eastAsia="en-US" w:bidi="ar-SA"/>
      </w:rPr>
    </w:lvl>
    <w:lvl w:ilvl="2" w:tplc="13AE4A6A">
      <w:numFmt w:val="bullet"/>
      <w:lvlText w:val="•"/>
      <w:lvlJc w:val="left"/>
      <w:pPr>
        <w:ind w:left="2977" w:hanging="294"/>
      </w:pPr>
      <w:rPr>
        <w:rFonts w:hint="default"/>
        <w:lang w:val="es-ES" w:eastAsia="en-US" w:bidi="ar-SA"/>
      </w:rPr>
    </w:lvl>
    <w:lvl w:ilvl="3" w:tplc="23561EB2">
      <w:numFmt w:val="bullet"/>
      <w:lvlText w:val="•"/>
      <w:lvlJc w:val="left"/>
      <w:pPr>
        <w:ind w:left="3916" w:hanging="294"/>
      </w:pPr>
      <w:rPr>
        <w:rFonts w:hint="default"/>
        <w:lang w:val="es-ES" w:eastAsia="en-US" w:bidi="ar-SA"/>
      </w:rPr>
    </w:lvl>
    <w:lvl w:ilvl="4" w:tplc="DAEA04EC">
      <w:numFmt w:val="bullet"/>
      <w:lvlText w:val="•"/>
      <w:lvlJc w:val="left"/>
      <w:pPr>
        <w:ind w:left="4855" w:hanging="294"/>
      </w:pPr>
      <w:rPr>
        <w:rFonts w:hint="default"/>
        <w:lang w:val="es-ES" w:eastAsia="en-US" w:bidi="ar-SA"/>
      </w:rPr>
    </w:lvl>
    <w:lvl w:ilvl="5" w:tplc="3FE20F5C">
      <w:numFmt w:val="bullet"/>
      <w:lvlText w:val="•"/>
      <w:lvlJc w:val="left"/>
      <w:pPr>
        <w:ind w:left="5794" w:hanging="294"/>
      </w:pPr>
      <w:rPr>
        <w:rFonts w:hint="default"/>
        <w:lang w:val="es-ES" w:eastAsia="en-US" w:bidi="ar-SA"/>
      </w:rPr>
    </w:lvl>
    <w:lvl w:ilvl="6" w:tplc="87EE1730">
      <w:numFmt w:val="bullet"/>
      <w:lvlText w:val="•"/>
      <w:lvlJc w:val="left"/>
      <w:pPr>
        <w:ind w:left="6733" w:hanging="294"/>
      </w:pPr>
      <w:rPr>
        <w:rFonts w:hint="default"/>
        <w:lang w:val="es-ES" w:eastAsia="en-US" w:bidi="ar-SA"/>
      </w:rPr>
    </w:lvl>
    <w:lvl w:ilvl="7" w:tplc="D7F68876">
      <w:numFmt w:val="bullet"/>
      <w:lvlText w:val="•"/>
      <w:lvlJc w:val="left"/>
      <w:pPr>
        <w:ind w:left="7672" w:hanging="294"/>
      </w:pPr>
      <w:rPr>
        <w:rFonts w:hint="default"/>
        <w:lang w:val="es-ES" w:eastAsia="en-US" w:bidi="ar-SA"/>
      </w:rPr>
    </w:lvl>
    <w:lvl w:ilvl="8" w:tplc="75F47D86">
      <w:numFmt w:val="bullet"/>
      <w:lvlText w:val="•"/>
      <w:lvlJc w:val="left"/>
      <w:pPr>
        <w:ind w:left="8611" w:hanging="294"/>
      </w:pPr>
      <w:rPr>
        <w:rFonts w:hint="default"/>
        <w:lang w:val="es-ES" w:eastAsia="en-US" w:bidi="ar-SA"/>
      </w:rPr>
    </w:lvl>
  </w:abstractNum>
  <w:abstractNum w:abstractNumId="72" w15:restartNumberingAfterBreak="0">
    <w:nsid w:val="1CF234B1"/>
    <w:multiLevelType w:val="hybridMultilevel"/>
    <w:tmpl w:val="4BF430F0"/>
    <w:lvl w:ilvl="0" w:tplc="B0B6D772">
      <w:start w:val="1"/>
      <w:numFmt w:val="lowerLetter"/>
      <w:lvlText w:val="%1)"/>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1" w:tplc="C682F8E6">
      <w:numFmt w:val="bullet"/>
      <w:lvlText w:val="•"/>
      <w:lvlJc w:val="left"/>
      <w:pPr>
        <w:ind w:left="2560" w:hanging="234"/>
      </w:pPr>
      <w:rPr>
        <w:rFonts w:hint="default"/>
        <w:lang w:val="es-ES" w:eastAsia="en-US" w:bidi="ar-SA"/>
      </w:rPr>
    </w:lvl>
    <w:lvl w:ilvl="2" w:tplc="58DED3C8">
      <w:numFmt w:val="bullet"/>
      <w:lvlText w:val="•"/>
      <w:lvlJc w:val="left"/>
      <w:pPr>
        <w:ind w:left="3441" w:hanging="234"/>
      </w:pPr>
      <w:rPr>
        <w:rFonts w:hint="default"/>
        <w:lang w:val="es-ES" w:eastAsia="en-US" w:bidi="ar-SA"/>
      </w:rPr>
    </w:lvl>
    <w:lvl w:ilvl="3" w:tplc="527CDDA8">
      <w:numFmt w:val="bullet"/>
      <w:lvlText w:val="•"/>
      <w:lvlJc w:val="left"/>
      <w:pPr>
        <w:ind w:left="4322" w:hanging="234"/>
      </w:pPr>
      <w:rPr>
        <w:rFonts w:hint="default"/>
        <w:lang w:val="es-ES" w:eastAsia="en-US" w:bidi="ar-SA"/>
      </w:rPr>
    </w:lvl>
    <w:lvl w:ilvl="4" w:tplc="FFDC4562">
      <w:numFmt w:val="bullet"/>
      <w:lvlText w:val="•"/>
      <w:lvlJc w:val="left"/>
      <w:pPr>
        <w:ind w:left="5203" w:hanging="234"/>
      </w:pPr>
      <w:rPr>
        <w:rFonts w:hint="default"/>
        <w:lang w:val="es-ES" w:eastAsia="en-US" w:bidi="ar-SA"/>
      </w:rPr>
    </w:lvl>
    <w:lvl w:ilvl="5" w:tplc="3A18109C">
      <w:numFmt w:val="bullet"/>
      <w:lvlText w:val="•"/>
      <w:lvlJc w:val="left"/>
      <w:pPr>
        <w:ind w:left="6084" w:hanging="234"/>
      </w:pPr>
      <w:rPr>
        <w:rFonts w:hint="default"/>
        <w:lang w:val="es-ES" w:eastAsia="en-US" w:bidi="ar-SA"/>
      </w:rPr>
    </w:lvl>
    <w:lvl w:ilvl="6" w:tplc="6E9CE4DA">
      <w:numFmt w:val="bullet"/>
      <w:lvlText w:val="•"/>
      <w:lvlJc w:val="left"/>
      <w:pPr>
        <w:ind w:left="6965" w:hanging="234"/>
      </w:pPr>
      <w:rPr>
        <w:rFonts w:hint="default"/>
        <w:lang w:val="es-ES" w:eastAsia="en-US" w:bidi="ar-SA"/>
      </w:rPr>
    </w:lvl>
    <w:lvl w:ilvl="7" w:tplc="11FA2912">
      <w:numFmt w:val="bullet"/>
      <w:lvlText w:val="•"/>
      <w:lvlJc w:val="left"/>
      <w:pPr>
        <w:ind w:left="7846" w:hanging="234"/>
      </w:pPr>
      <w:rPr>
        <w:rFonts w:hint="default"/>
        <w:lang w:val="es-ES" w:eastAsia="en-US" w:bidi="ar-SA"/>
      </w:rPr>
    </w:lvl>
    <w:lvl w:ilvl="8" w:tplc="0EDE976C">
      <w:numFmt w:val="bullet"/>
      <w:lvlText w:val="•"/>
      <w:lvlJc w:val="left"/>
      <w:pPr>
        <w:ind w:left="8727" w:hanging="234"/>
      </w:pPr>
      <w:rPr>
        <w:rFonts w:hint="default"/>
        <w:lang w:val="es-ES" w:eastAsia="en-US" w:bidi="ar-SA"/>
      </w:rPr>
    </w:lvl>
  </w:abstractNum>
  <w:abstractNum w:abstractNumId="73" w15:restartNumberingAfterBreak="0">
    <w:nsid w:val="1D3F2ED6"/>
    <w:multiLevelType w:val="hybridMultilevel"/>
    <w:tmpl w:val="E6980008"/>
    <w:lvl w:ilvl="0" w:tplc="7EA63AF0">
      <w:start w:val="1"/>
      <w:numFmt w:val="decimal"/>
      <w:lvlText w:val="%1."/>
      <w:lvlJc w:val="left"/>
      <w:pPr>
        <w:ind w:left="1106" w:hanging="310"/>
        <w:jc w:val="left"/>
      </w:pPr>
      <w:rPr>
        <w:rFonts w:ascii="Arial MT" w:eastAsia="Arial MT" w:hAnsi="Arial MT" w:cs="Arial MT" w:hint="default"/>
        <w:b w:val="0"/>
        <w:bCs w:val="0"/>
        <w:i w:val="0"/>
        <w:iCs w:val="0"/>
        <w:spacing w:val="0"/>
        <w:w w:val="100"/>
        <w:sz w:val="20"/>
        <w:szCs w:val="20"/>
        <w:lang w:val="es-ES" w:eastAsia="en-US" w:bidi="ar-SA"/>
      </w:rPr>
    </w:lvl>
    <w:lvl w:ilvl="1" w:tplc="773CA7AC">
      <w:numFmt w:val="bullet"/>
      <w:lvlText w:val="•"/>
      <w:lvlJc w:val="left"/>
      <w:pPr>
        <w:ind w:left="2038" w:hanging="310"/>
      </w:pPr>
      <w:rPr>
        <w:rFonts w:hint="default"/>
        <w:lang w:val="es-ES" w:eastAsia="en-US" w:bidi="ar-SA"/>
      </w:rPr>
    </w:lvl>
    <w:lvl w:ilvl="2" w:tplc="0FC8C51E">
      <w:numFmt w:val="bullet"/>
      <w:lvlText w:val="•"/>
      <w:lvlJc w:val="left"/>
      <w:pPr>
        <w:ind w:left="2977" w:hanging="310"/>
      </w:pPr>
      <w:rPr>
        <w:rFonts w:hint="default"/>
        <w:lang w:val="es-ES" w:eastAsia="en-US" w:bidi="ar-SA"/>
      </w:rPr>
    </w:lvl>
    <w:lvl w:ilvl="3" w:tplc="86A861F4">
      <w:numFmt w:val="bullet"/>
      <w:lvlText w:val="•"/>
      <w:lvlJc w:val="left"/>
      <w:pPr>
        <w:ind w:left="3916" w:hanging="310"/>
      </w:pPr>
      <w:rPr>
        <w:rFonts w:hint="default"/>
        <w:lang w:val="es-ES" w:eastAsia="en-US" w:bidi="ar-SA"/>
      </w:rPr>
    </w:lvl>
    <w:lvl w:ilvl="4" w:tplc="439A014E">
      <w:numFmt w:val="bullet"/>
      <w:lvlText w:val="•"/>
      <w:lvlJc w:val="left"/>
      <w:pPr>
        <w:ind w:left="4855" w:hanging="310"/>
      </w:pPr>
      <w:rPr>
        <w:rFonts w:hint="default"/>
        <w:lang w:val="es-ES" w:eastAsia="en-US" w:bidi="ar-SA"/>
      </w:rPr>
    </w:lvl>
    <w:lvl w:ilvl="5" w:tplc="597070E8">
      <w:numFmt w:val="bullet"/>
      <w:lvlText w:val="•"/>
      <w:lvlJc w:val="left"/>
      <w:pPr>
        <w:ind w:left="5794" w:hanging="310"/>
      </w:pPr>
      <w:rPr>
        <w:rFonts w:hint="default"/>
        <w:lang w:val="es-ES" w:eastAsia="en-US" w:bidi="ar-SA"/>
      </w:rPr>
    </w:lvl>
    <w:lvl w:ilvl="6" w:tplc="18165932">
      <w:numFmt w:val="bullet"/>
      <w:lvlText w:val="•"/>
      <w:lvlJc w:val="left"/>
      <w:pPr>
        <w:ind w:left="6733" w:hanging="310"/>
      </w:pPr>
      <w:rPr>
        <w:rFonts w:hint="default"/>
        <w:lang w:val="es-ES" w:eastAsia="en-US" w:bidi="ar-SA"/>
      </w:rPr>
    </w:lvl>
    <w:lvl w:ilvl="7" w:tplc="29D0989E">
      <w:numFmt w:val="bullet"/>
      <w:lvlText w:val="•"/>
      <w:lvlJc w:val="left"/>
      <w:pPr>
        <w:ind w:left="7672" w:hanging="310"/>
      </w:pPr>
      <w:rPr>
        <w:rFonts w:hint="default"/>
        <w:lang w:val="es-ES" w:eastAsia="en-US" w:bidi="ar-SA"/>
      </w:rPr>
    </w:lvl>
    <w:lvl w:ilvl="8" w:tplc="56C8A37C">
      <w:numFmt w:val="bullet"/>
      <w:lvlText w:val="•"/>
      <w:lvlJc w:val="left"/>
      <w:pPr>
        <w:ind w:left="8611" w:hanging="310"/>
      </w:pPr>
      <w:rPr>
        <w:rFonts w:hint="default"/>
        <w:lang w:val="es-ES" w:eastAsia="en-US" w:bidi="ar-SA"/>
      </w:rPr>
    </w:lvl>
  </w:abstractNum>
  <w:abstractNum w:abstractNumId="74" w15:restartNumberingAfterBreak="0">
    <w:nsid w:val="1DB1502A"/>
    <w:multiLevelType w:val="hybridMultilevel"/>
    <w:tmpl w:val="24BED3A8"/>
    <w:lvl w:ilvl="0" w:tplc="956861C6">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48728D8A">
      <w:numFmt w:val="bullet"/>
      <w:lvlText w:val="•"/>
      <w:lvlJc w:val="left"/>
      <w:pPr>
        <w:ind w:left="2038" w:hanging="237"/>
      </w:pPr>
      <w:rPr>
        <w:rFonts w:hint="default"/>
        <w:lang w:val="es-ES" w:eastAsia="en-US" w:bidi="ar-SA"/>
      </w:rPr>
    </w:lvl>
    <w:lvl w:ilvl="2" w:tplc="758C0542">
      <w:numFmt w:val="bullet"/>
      <w:lvlText w:val="•"/>
      <w:lvlJc w:val="left"/>
      <w:pPr>
        <w:ind w:left="2977" w:hanging="237"/>
      </w:pPr>
      <w:rPr>
        <w:rFonts w:hint="default"/>
        <w:lang w:val="es-ES" w:eastAsia="en-US" w:bidi="ar-SA"/>
      </w:rPr>
    </w:lvl>
    <w:lvl w:ilvl="3" w:tplc="0E984CFE">
      <w:numFmt w:val="bullet"/>
      <w:lvlText w:val="•"/>
      <w:lvlJc w:val="left"/>
      <w:pPr>
        <w:ind w:left="3916" w:hanging="237"/>
      </w:pPr>
      <w:rPr>
        <w:rFonts w:hint="default"/>
        <w:lang w:val="es-ES" w:eastAsia="en-US" w:bidi="ar-SA"/>
      </w:rPr>
    </w:lvl>
    <w:lvl w:ilvl="4" w:tplc="3422710E">
      <w:numFmt w:val="bullet"/>
      <w:lvlText w:val="•"/>
      <w:lvlJc w:val="left"/>
      <w:pPr>
        <w:ind w:left="4855" w:hanging="237"/>
      </w:pPr>
      <w:rPr>
        <w:rFonts w:hint="default"/>
        <w:lang w:val="es-ES" w:eastAsia="en-US" w:bidi="ar-SA"/>
      </w:rPr>
    </w:lvl>
    <w:lvl w:ilvl="5" w:tplc="99E2ED3E">
      <w:numFmt w:val="bullet"/>
      <w:lvlText w:val="•"/>
      <w:lvlJc w:val="left"/>
      <w:pPr>
        <w:ind w:left="5794" w:hanging="237"/>
      </w:pPr>
      <w:rPr>
        <w:rFonts w:hint="default"/>
        <w:lang w:val="es-ES" w:eastAsia="en-US" w:bidi="ar-SA"/>
      </w:rPr>
    </w:lvl>
    <w:lvl w:ilvl="6" w:tplc="0002A886">
      <w:numFmt w:val="bullet"/>
      <w:lvlText w:val="•"/>
      <w:lvlJc w:val="left"/>
      <w:pPr>
        <w:ind w:left="6733" w:hanging="237"/>
      </w:pPr>
      <w:rPr>
        <w:rFonts w:hint="default"/>
        <w:lang w:val="es-ES" w:eastAsia="en-US" w:bidi="ar-SA"/>
      </w:rPr>
    </w:lvl>
    <w:lvl w:ilvl="7" w:tplc="CD40B414">
      <w:numFmt w:val="bullet"/>
      <w:lvlText w:val="•"/>
      <w:lvlJc w:val="left"/>
      <w:pPr>
        <w:ind w:left="7672" w:hanging="237"/>
      </w:pPr>
      <w:rPr>
        <w:rFonts w:hint="default"/>
        <w:lang w:val="es-ES" w:eastAsia="en-US" w:bidi="ar-SA"/>
      </w:rPr>
    </w:lvl>
    <w:lvl w:ilvl="8" w:tplc="15BAD074">
      <w:numFmt w:val="bullet"/>
      <w:lvlText w:val="•"/>
      <w:lvlJc w:val="left"/>
      <w:pPr>
        <w:ind w:left="8611" w:hanging="237"/>
      </w:pPr>
      <w:rPr>
        <w:rFonts w:hint="default"/>
        <w:lang w:val="es-ES" w:eastAsia="en-US" w:bidi="ar-SA"/>
      </w:rPr>
    </w:lvl>
  </w:abstractNum>
  <w:abstractNum w:abstractNumId="75" w15:restartNumberingAfterBreak="0">
    <w:nsid w:val="1DE5184D"/>
    <w:multiLevelType w:val="hybridMultilevel"/>
    <w:tmpl w:val="CB864FB8"/>
    <w:lvl w:ilvl="0" w:tplc="D154F970">
      <w:start w:val="1"/>
      <w:numFmt w:val="decimal"/>
      <w:lvlText w:val="%1."/>
      <w:lvlJc w:val="left"/>
      <w:pPr>
        <w:ind w:left="1106" w:hanging="253"/>
        <w:jc w:val="left"/>
      </w:pPr>
      <w:rPr>
        <w:rFonts w:ascii="Arial MT" w:eastAsia="Arial MT" w:hAnsi="Arial MT" w:cs="Arial MT" w:hint="default"/>
        <w:b w:val="0"/>
        <w:bCs w:val="0"/>
        <w:i w:val="0"/>
        <w:iCs w:val="0"/>
        <w:spacing w:val="0"/>
        <w:w w:val="100"/>
        <w:sz w:val="20"/>
        <w:szCs w:val="20"/>
        <w:lang w:val="es-ES" w:eastAsia="en-US" w:bidi="ar-SA"/>
      </w:rPr>
    </w:lvl>
    <w:lvl w:ilvl="1" w:tplc="F2507262">
      <w:numFmt w:val="bullet"/>
      <w:lvlText w:val="•"/>
      <w:lvlJc w:val="left"/>
      <w:pPr>
        <w:ind w:left="2038" w:hanging="253"/>
      </w:pPr>
      <w:rPr>
        <w:rFonts w:hint="default"/>
        <w:lang w:val="es-ES" w:eastAsia="en-US" w:bidi="ar-SA"/>
      </w:rPr>
    </w:lvl>
    <w:lvl w:ilvl="2" w:tplc="8F289CE8">
      <w:numFmt w:val="bullet"/>
      <w:lvlText w:val="•"/>
      <w:lvlJc w:val="left"/>
      <w:pPr>
        <w:ind w:left="2977" w:hanging="253"/>
      </w:pPr>
      <w:rPr>
        <w:rFonts w:hint="default"/>
        <w:lang w:val="es-ES" w:eastAsia="en-US" w:bidi="ar-SA"/>
      </w:rPr>
    </w:lvl>
    <w:lvl w:ilvl="3" w:tplc="14E87E80">
      <w:numFmt w:val="bullet"/>
      <w:lvlText w:val="•"/>
      <w:lvlJc w:val="left"/>
      <w:pPr>
        <w:ind w:left="3916" w:hanging="253"/>
      </w:pPr>
      <w:rPr>
        <w:rFonts w:hint="default"/>
        <w:lang w:val="es-ES" w:eastAsia="en-US" w:bidi="ar-SA"/>
      </w:rPr>
    </w:lvl>
    <w:lvl w:ilvl="4" w:tplc="8BA0DA50">
      <w:numFmt w:val="bullet"/>
      <w:lvlText w:val="•"/>
      <w:lvlJc w:val="left"/>
      <w:pPr>
        <w:ind w:left="4855" w:hanging="253"/>
      </w:pPr>
      <w:rPr>
        <w:rFonts w:hint="default"/>
        <w:lang w:val="es-ES" w:eastAsia="en-US" w:bidi="ar-SA"/>
      </w:rPr>
    </w:lvl>
    <w:lvl w:ilvl="5" w:tplc="B27832BC">
      <w:numFmt w:val="bullet"/>
      <w:lvlText w:val="•"/>
      <w:lvlJc w:val="left"/>
      <w:pPr>
        <w:ind w:left="5794" w:hanging="253"/>
      </w:pPr>
      <w:rPr>
        <w:rFonts w:hint="default"/>
        <w:lang w:val="es-ES" w:eastAsia="en-US" w:bidi="ar-SA"/>
      </w:rPr>
    </w:lvl>
    <w:lvl w:ilvl="6" w:tplc="E708A180">
      <w:numFmt w:val="bullet"/>
      <w:lvlText w:val="•"/>
      <w:lvlJc w:val="left"/>
      <w:pPr>
        <w:ind w:left="6733" w:hanging="253"/>
      </w:pPr>
      <w:rPr>
        <w:rFonts w:hint="default"/>
        <w:lang w:val="es-ES" w:eastAsia="en-US" w:bidi="ar-SA"/>
      </w:rPr>
    </w:lvl>
    <w:lvl w:ilvl="7" w:tplc="2C3E929A">
      <w:numFmt w:val="bullet"/>
      <w:lvlText w:val="•"/>
      <w:lvlJc w:val="left"/>
      <w:pPr>
        <w:ind w:left="7672" w:hanging="253"/>
      </w:pPr>
      <w:rPr>
        <w:rFonts w:hint="default"/>
        <w:lang w:val="es-ES" w:eastAsia="en-US" w:bidi="ar-SA"/>
      </w:rPr>
    </w:lvl>
    <w:lvl w:ilvl="8" w:tplc="9DA0A162">
      <w:numFmt w:val="bullet"/>
      <w:lvlText w:val="•"/>
      <w:lvlJc w:val="left"/>
      <w:pPr>
        <w:ind w:left="8611" w:hanging="253"/>
      </w:pPr>
      <w:rPr>
        <w:rFonts w:hint="default"/>
        <w:lang w:val="es-ES" w:eastAsia="en-US" w:bidi="ar-SA"/>
      </w:rPr>
    </w:lvl>
  </w:abstractNum>
  <w:abstractNum w:abstractNumId="76" w15:restartNumberingAfterBreak="0">
    <w:nsid w:val="1E12544C"/>
    <w:multiLevelType w:val="hybridMultilevel"/>
    <w:tmpl w:val="844853FE"/>
    <w:lvl w:ilvl="0" w:tplc="C83AECF2">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AB4AE6F2">
      <w:start w:val="1"/>
      <w:numFmt w:val="lowerLetter"/>
      <w:lvlText w:val="%2)"/>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2" w:tplc="6C34A9D4">
      <w:numFmt w:val="bullet"/>
      <w:lvlText w:val="•"/>
      <w:lvlJc w:val="left"/>
      <w:pPr>
        <w:ind w:left="2977" w:hanging="273"/>
      </w:pPr>
      <w:rPr>
        <w:rFonts w:hint="default"/>
        <w:lang w:val="es-ES" w:eastAsia="en-US" w:bidi="ar-SA"/>
      </w:rPr>
    </w:lvl>
    <w:lvl w:ilvl="3" w:tplc="B6820EE6">
      <w:numFmt w:val="bullet"/>
      <w:lvlText w:val="•"/>
      <w:lvlJc w:val="left"/>
      <w:pPr>
        <w:ind w:left="3916" w:hanging="273"/>
      </w:pPr>
      <w:rPr>
        <w:rFonts w:hint="default"/>
        <w:lang w:val="es-ES" w:eastAsia="en-US" w:bidi="ar-SA"/>
      </w:rPr>
    </w:lvl>
    <w:lvl w:ilvl="4" w:tplc="FD4E4D68">
      <w:numFmt w:val="bullet"/>
      <w:lvlText w:val="•"/>
      <w:lvlJc w:val="left"/>
      <w:pPr>
        <w:ind w:left="4855" w:hanging="273"/>
      </w:pPr>
      <w:rPr>
        <w:rFonts w:hint="default"/>
        <w:lang w:val="es-ES" w:eastAsia="en-US" w:bidi="ar-SA"/>
      </w:rPr>
    </w:lvl>
    <w:lvl w:ilvl="5" w:tplc="14427B28">
      <w:numFmt w:val="bullet"/>
      <w:lvlText w:val="•"/>
      <w:lvlJc w:val="left"/>
      <w:pPr>
        <w:ind w:left="5794" w:hanging="273"/>
      </w:pPr>
      <w:rPr>
        <w:rFonts w:hint="default"/>
        <w:lang w:val="es-ES" w:eastAsia="en-US" w:bidi="ar-SA"/>
      </w:rPr>
    </w:lvl>
    <w:lvl w:ilvl="6" w:tplc="248EC176">
      <w:numFmt w:val="bullet"/>
      <w:lvlText w:val="•"/>
      <w:lvlJc w:val="left"/>
      <w:pPr>
        <w:ind w:left="6733" w:hanging="273"/>
      </w:pPr>
      <w:rPr>
        <w:rFonts w:hint="default"/>
        <w:lang w:val="es-ES" w:eastAsia="en-US" w:bidi="ar-SA"/>
      </w:rPr>
    </w:lvl>
    <w:lvl w:ilvl="7" w:tplc="632ADF26">
      <w:numFmt w:val="bullet"/>
      <w:lvlText w:val="•"/>
      <w:lvlJc w:val="left"/>
      <w:pPr>
        <w:ind w:left="7672" w:hanging="273"/>
      </w:pPr>
      <w:rPr>
        <w:rFonts w:hint="default"/>
        <w:lang w:val="es-ES" w:eastAsia="en-US" w:bidi="ar-SA"/>
      </w:rPr>
    </w:lvl>
    <w:lvl w:ilvl="8" w:tplc="6CC4160E">
      <w:numFmt w:val="bullet"/>
      <w:lvlText w:val="•"/>
      <w:lvlJc w:val="left"/>
      <w:pPr>
        <w:ind w:left="8611" w:hanging="273"/>
      </w:pPr>
      <w:rPr>
        <w:rFonts w:hint="default"/>
        <w:lang w:val="es-ES" w:eastAsia="en-US" w:bidi="ar-SA"/>
      </w:rPr>
    </w:lvl>
  </w:abstractNum>
  <w:abstractNum w:abstractNumId="77" w15:restartNumberingAfterBreak="0">
    <w:nsid w:val="1E281302"/>
    <w:multiLevelType w:val="hybridMultilevel"/>
    <w:tmpl w:val="C4883D88"/>
    <w:lvl w:ilvl="0" w:tplc="D812B1A8">
      <w:start w:val="1"/>
      <w:numFmt w:val="decimal"/>
      <w:lvlText w:val="%1."/>
      <w:lvlJc w:val="left"/>
      <w:pPr>
        <w:ind w:left="1106" w:hanging="226"/>
        <w:jc w:val="left"/>
      </w:pPr>
      <w:rPr>
        <w:rFonts w:ascii="Arial MT" w:eastAsia="Arial MT" w:hAnsi="Arial MT" w:cs="Arial MT" w:hint="default"/>
        <w:b w:val="0"/>
        <w:bCs w:val="0"/>
        <w:i w:val="0"/>
        <w:iCs w:val="0"/>
        <w:spacing w:val="0"/>
        <w:w w:val="100"/>
        <w:sz w:val="20"/>
        <w:szCs w:val="20"/>
        <w:lang w:val="es-ES" w:eastAsia="en-US" w:bidi="ar-SA"/>
      </w:rPr>
    </w:lvl>
    <w:lvl w:ilvl="1" w:tplc="0B4E14B2">
      <w:start w:val="1"/>
      <w:numFmt w:val="lowerLetter"/>
      <w:lvlText w:val="%2)"/>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2" w:tplc="5B44C35E">
      <w:numFmt w:val="bullet"/>
      <w:lvlText w:val="•"/>
      <w:lvlJc w:val="left"/>
      <w:pPr>
        <w:ind w:left="2977" w:hanging="239"/>
      </w:pPr>
      <w:rPr>
        <w:rFonts w:hint="default"/>
        <w:lang w:val="es-ES" w:eastAsia="en-US" w:bidi="ar-SA"/>
      </w:rPr>
    </w:lvl>
    <w:lvl w:ilvl="3" w:tplc="90E8B124">
      <w:numFmt w:val="bullet"/>
      <w:lvlText w:val="•"/>
      <w:lvlJc w:val="left"/>
      <w:pPr>
        <w:ind w:left="3916" w:hanging="239"/>
      </w:pPr>
      <w:rPr>
        <w:rFonts w:hint="default"/>
        <w:lang w:val="es-ES" w:eastAsia="en-US" w:bidi="ar-SA"/>
      </w:rPr>
    </w:lvl>
    <w:lvl w:ilvl="4" w:tplc="469C58F2">
      <w:numFmt w:val="bullet"/>
      <w:lvlText w:val="•"/>
      <w:lvlJc w:val="left"/>
      <w:pPr>
        <w:ind w:left="4855" w:hanging="239"/>
      </w:pPr>
      <w:rPr>
        <w:rFonts w:hint="default"/>
        <w:lang w:val="es-ES" w:eastAsia="en-US" w:bidi="ar-SA"/>
      </w:rPr>
    </w:lvl>
    <w:lvl w:ilvl="5" w:tplc="8DEE8B96">
      <w:numFmt w:val="bullet"/>
      <w:lvlText w:val="•"/>
      <w:lvlJc w:val="left"/>
      <w:pPr>
        <w:ind w:left="5794" w:hanging="239"/>
      </w:pPr>
      <w:rPr>
        <w:rFonts w:hint="default"/>
        <w:lang w:val="es-ES" w:eastAsia="en-US" w:bidi="ar-SA"/>
      </w:rPr>
    </w:lvl>
    <w:lvl w:ilvl="6" w:tplc="5B0EA00C">
      <w:numFmt w:val="bullet"/>
      <w:lvlText w:val="•"/>
      <w:lvlJc w:val="left"/>
      <w:pPr>
        <w:ind w:left="6733" w:hanging="239"/>
      </w:pPr>
      <w:rPr>
        <w:rFonts w:hint="default"/>
        <w:lang w:val="es-ES" w:eastAsia="en-US" w:bidi="ar-SA"/>
      </w:rPr>
    </w:lvl>
    <w:lvl w:ilvl="7" w:tplc="55CE5166">
      <w:numFmt w:val="bullet"/>
      <w:lvlText w:val="•"/>
      <w:lvlJc w:val="left"/>
      <w:pPr>
        <w:ind w:left="7672" w:hanging="239"/>
      </w:pPr>
      <w:rPr>
        <w:rFonts w:hint="default"/>
        <w:lang w:val="es-ES" w:eastAsia="en-US" w:bidi="ar-SA"/>
      </w:rPr>
    </w:lvl>
    <w:lvl w:ilvl="8" w:tplc="50F8A92E">
      <w:numFmt w:val="bullet"/>
      <w:lvlText w:val="•"/>
      <w:lvlJc w:val="left"/>
      <w:pPr>
        <w:ind w:left="8611" w:hanging="239"/>
      </w:pPr>
      <w:rPr>
        <w:rFonts w:hint="default"/>
        <w:lang w:val="es-ES" w:eastAsia="en-US" w:bidi="ar-SA"/>
      </w:rPr>
    </w:lvl>
  </w:abstractNum>
  <w:abstractNum w:abstractNumId="78" w15:restartNumberingAfterBreak="0">
    <w:nsid w:val="1E2E0BB9"/>
    <w:multiLevelType w:val="hybridMultilevel"/>
    <w:tmpl w:val="DC9266D2"/>
    <w:lvl w:ilvl="0" w:tplc="DF9637AE">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9386029E">
      <w:numFmt w:val="bullet"/>
      <w:lvlText w:val="•"/>
      <w:lvlJc w:val="left"/>
      <w:pPr>
        <w:ind w:left="2038" w:hanging="240"/>
      </w:pPr>
      <w:rPr>
        <w:rFonts w:hint="default"/>
        <w:lang w:val="es-ES" w:eastAsia="en-US" w:bidi="ar-SA"/>
      </w:rPr>
    </w:lvl>
    <w:lvl w:ilvl="2" w:tplc="BE52DC44">
      <w:numFmt w:val="bullet"/>
      <w:lvlText w:val="•"/>
      <w:lvlJc w:val="left"/>
      <w:pPr>
        <w:ind w:left="2977" w:hanging="240"/>
      </w:pPr>
      <w:rPr>
        <w:rFonts w:hint="default"/>
        <w:lang w:val="es-ES" w:eastAsia="en-US" w:bidi="ar-SA"/>
      </w:rPr>
    </w:lvl>
    <w:lvl w:ilvl="3" w:tplc="A08CAB72">
      <w:numFmt w:val="bullet"/>
      <w:lvlText w:val="•"/>
      <w:lvlJc w:val="left"/>
      <w:pPr>
        <w:ind w:left="3916" w:hanging="240"/>
      </w:pPr>
      <w:rPr>
        <w:rFonts w:hint="default"/>
        <w:lang w:val="es-ES" w:eastAsia="en-US" w:bidi="ar-SA"/>
      </w:rPr>
    </w:lvl>
    <w:lvl w:ilvl="4" w:tplc="BCD25CDC">
      <w:numFmt w:val="bullet"/>
      <w:lvlText w:val="•"/>
      <w:lvlJc w:val="left"/>
      <w:pPr>
        <w:ind w:left="4855" w:hanging="240"/>
      </w:pPr>
      <w:rPr>
        <w:rFonts w:hint="default"/>
        <w:lang w:val="es-ES" w:eastAsia="en-US" w:bidi="ar-SA"/>
      </w:rPr>
    </w:lvl>
    <w:lvl w:ilvl="5" w:tplc="CCCEB924">
      <w:numFmt w:val="bullet"/>
      <w:lvlText w:val="•"/>
      <w:lvlJc w:val="left"/>
      <w:pPr>
        <w:ind w:left="5794" w:hanging="240"/>
      </w:pPr>
      <w:rPr>
        <w:rFonts w:hint="default"/>
        <w:lang w:val="es-ES" w:eastAsia="en-US" w:bidi="ar-SA"/>
      </w:rPr>
    </w:lvl>
    <w:lvl w:ilvl="6" w:tplc="19646AFE">
      <w:numFmt w:val="bullet"/>
      <w:lvlText w:val="•"/>
      <w:lvlJc w:val="left"/>
      <w:pPr>
        <w:ind w:left="6733" w:hanging="240"/>
      </w:pPr>
      <w:rPr>
        <w:rFonts w:hint="default"/>
        <w:lang w:val="es-ES" w:eastAsia="en-US" w:bidi="ar-SA"/>
      </w:rPr>
    </w:lvl>
    <w:lvl w:ilvl="7" w:tplc="F9245F96">
      <w:numFmt w:val="bullet"/>
      <w:lvlText w:val="•"/>
      <w:lvlJc w:val="left"/>
      <w:pPr>
        <w:ind w:left="7672" w:hanging="240"/>
      </w:pPr>
      <w:rPr>
        <w:rFonts w:hint="default"/>
        <w:lang w:val="es-ES" w:eastAsia="en-US" w:bidi="ar-SA"/>
      </w:rPr>
    </w:lvl>
    <w:lvl w:ilvl="8" w:tplc="8348D4F0">
      <w:numFmt w:val="bullet"/>
      <w:lvlText w:val="•"/>
      <w:lvlJc w:val="left"/>
      <w:pPr>
        <w:ind w:left="8611" w:hanging="240"/>
      </w:pPr>
      <w:rPr>
        <w:rFonts w:hint="default"/>
        <w:lang w:val="es-ES" w:eastAsia="en-US" w:bidi="ar-SA"/>
      </w:rPr>
    </w:lvl>
  </w:abstractNum>
  <w:abstractNum w:abstractNumId="79" w15:restartNumberingAfterBreak="0">
    <w:nsid w:val="1E3053C5"/>
    <w:multiLevelType w:val="hybridMultilevel"/>
    <w:tmpl w:val="FC8ACA48"/>
    <w:lvl w:ilvl="0" w:tplc="C6E23DD8">
      <w:start w:val="1"/>
      <w:numFmt w:val="decimal"/>
      <w:lvlText w:val="%1."/>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1" w:tplc="19BEF738">
      <w:numFmt w:val="bullet"/>
      <w:lvlText w:val="•"/>
      <w:lvlJc w:val="left"/>
      <w:pPr>
        <w:ind w:left="2038" w:hanging="248"/>
      </w:pPr>
      <w:rPr>
        <w:rFonts w:hint="default"/>
        <w:lang w:val="es-ES" w:eastAsia="en-US" w:bidi="ar-SA"/>
      </w:rPr>
    </w:lvl>
    <w:lvl w:ilvl="2" w:tplc="D59C38A0">
      <w:numFmt w:val="bullet"/>
      <w:lvlText w:val="•"/>
      <w:lvlJc w:val="left"/>
      <w:pPr>
        <w:ind w:left="2977" w:hanging="248"/>
      </w:pPr>
      <w:rPr>
        <w:rFonts w:hint="default"/>
        <w:lang w:val="es-ES" w:eastAsia="en-US" w:bidi="ar-SA"/>
      </w:rPr>
    </w:lvl>
    <w:lvl w:ilvl="3" w:tplc="AAD41152">
      <w:numFmt w:val="bullet"/>
      <w:lvlText w:val="•"/>
      <w:lvlJc w:val="left"/>
      <w:pPr>
        <w:ind w:left="3916" w:hanging="248"/>
      </w:pPr>
      <w:rPr>
        <w:rFonts w:hint="default"/>
        <w:lang w:val="es-ES" w:eastAsia="en-US" w:bidi="ar-SA"/>
      </w:rPr>
    </w:lvl>
    <w:lvl w:ilvl="4" w:tplc="D5F4B0CC">
      <w:numFmt w:val="bullet"/>
      <w:lvlText w:val="•"/>
      <w:lvlJc w:val="left"/>
      <w:pPr>
        <w:ind w:left="4855" w:hanging="248"/>
      </w:pPr>
      <w:rPr>
        <w:rFonts w:hint="default"/>
        <w:lang w:val="es-ES" w:eastAsia="en-US" w:bidi="ar-SA"/>
      </w:rPr>
    </w:lvl>
    <w:lvl w:ilvl="5" w:tplc="EDC68C9A">
      <w:numFmt w:val="bullet"/>
      <w:lvlText w:val="•"/>
      <w:lvlJc w:val="left"/>
      <w:pPr>
        <w:ind w:left="5794" w:hanging="248"/>
      </w:pPr>
      <w:rPr>
        <w:rFonts w:hint="default"/>
        <w:lang w:val="es-ES" w:eastAsia="en-US" w:bidi="ar-SA"/>
      </w:rPr>
    </w:lvl>
    <w:lvl w:ilvl="6" w:tplc="928A2DB0">
      <w:numFmt w:val="bullet"/>
      <w:lvlText w:val="•"/>
      <w:lvlJc w:val="left"/>
      <w:pPr>
        <w:ind w:left="6733" w:hanging="248"/>
      </w:pPr>
      <w:rPr>
        <w:rFonts w:hint="default"/>
        <w:lang w:val="es-ES" w:eastAsia="en-US" w:bidi="ar-SA"/>
      </w:rPr>
    </w:lvl>
    <w:lvl w:ilvl="7" w:tplc="052CAEE2">
      <w:numFmt w:val="bullet"/>
      <w:lvlText w:val="•"/>
      <w:lvlJc w:val="left"/>
      <w:pPr>
        <w:ind w:left="7672" w:hanging="248"/>
      </w:pPr>
      <w:rPr>
        <w:rFonts w:hint="default"/>
        <w:lang w:val="es-ES" w:eastAsia="en-US" w:bidi="ar-SA"/>
      </w:rPr>
    </w:lvl>
    <w:lvl w:ilvl="8" w:tplc="AB12488E">
      <w:numFmt w:val="bullet"/>
      <w:lvlText w:val="•"/>
      <w:lvlJc w:val="left"/>
      <w:pPr>
        <w:ind w:left="8611" w:hanging="248"/>
      </w:pPr>
      <w:rPr>
        <w:rFonts w:hint="default"/>
        <w:lang w:val="es-ES" w:eastAsia="en-US" w:bidi="ar-SA"/>
      </w:rPr>
    </w:lvl>
  </w:abstractNum>
  <w:abstractNum w:abstractNumId="80" w15:restartNumberingAfterBreak="0">
    <w:nsid w:val="1E40357B"/>
    <w:multiLevelType w:val="hybridMultilevel"/>
    <w:tmpl w:val="C45A3CF6"/>
    <w:lvl w:ilvl="0" w:tplc="FA704426">
      <w:start w:val="1"/>
      <w:numFmt w:val="decimal"/>
      <w:lvlText w:val="%1."/>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1" w:tplc="E926DFA6">
      <w:numFmt w:val="bullet"/>
      <w:lvlText w:val="•"/>
      <w:lvlJc w:val="left"/>
      <w:pPr>
        <w:ind w:left="2038" w:hanging="168"/>
      </w:pPr>
      <w:rPr>
        <w:rFonts w:hint="default"/>
        <w:lang w:val="es-ES" w:eastAsia="en-US" w:bidi="ar-SA"/>
      </w:rPr>
    </w:lvl>
    <w:lvl w:ilvl="2" w:tplc="930E14EC">
      <w:numFmt w:val="bullet"/>
      <w:lvlText w:val="•"/>
      <w:lvlJc w:val="left"/>
      <w:pPr>
        <w:ind w:left="2977" w:hanging="168"/>
      </w:pPr>
      <w:rPr>
        <w:rFonts w:hint="default"/>
        <w:lang w:val="es-ES" w:eastAsia="en-US" w:bidi="ar-SA"/>
      </w:rPr>
    </w:lvl>
    <w:lvl w:ilvl="3" w:tplc="FEE07262">
      <w:numFmt w:val="bullet"/>
      <w:lvlText w:val="•"/>
      <w:lvlJc w:val="left"/>
      <w:pPr>
        <w:ind w:left="3916" w:hanging="168"/>
      </w:pPr>
      <w:rPr>
        <w:rFonts w:hint="default"/>
        <w:lang w:val="es-ES" w:eastAsia="en-US" w:bidi="ar-SA"/>
      </w:rPr>
    </w:lvl>
    <w:lvl w:ilvl="4" w:tplc="A9664EC8">
      <w:numFmt w:val="bullet"/>
      <w:lvlText w:val="•"/>
      <w:lvlJc w:val="left"/>
      <w:pPr>
        <w:ind w:left="4855" w:hanging="168"/>
      </w:pPr>
      <w:rPr>
        <w:rFonts w:hint="default"/>
        <w:lang w:val="es-ES" w:eastAsia="en-US" w:bidi="ar-SA"/>
      </w:rPr>
    </w:lvl>
    <w:lvl w:ilvl="5" w:tplc="9CB0BA20">
      <w:numFmt w:val="bullet"/>
      <w:lvlText w:val="•"/>
      <w:lvlJc w:val="left"/>
      <w:pPr>
        <w:ind w:left="5794" w:hanging="168"/>
      </w:pPr>
      <w:rPr>
        <w:rFonts w:hint="default"/>
        <w:lang w:val="es-ES" w:eastAsia="en-US" w:bidi="ar-SA"/>
      </w:rPr>
    </w:lvl>
    <w:lvl w:ilvl="6" w:tplc="EED650B2">
      <w:numFmt w:val="bullet"/>
      <w:lvlText w:val="•"/>
      <w:lvlJc w:val="left"/>
      <w:pPr>
        <w:ind w:left="6733" w:hanging="168"/>
      </w:pPr>
      <w:rPr>
        <w:rFonts w:hint="default"/>
        <w:lang w:val="es-ES" w:eastAsia="en-US" w:bidi="ar-SA"/>
      </w:rPr>
    </w:lvl>
    <w:lvl w:ilvl="7" w:tplc="1946F59A">
      <w:numFmt w:val="bullet"/>
      <w:lvlText w:val="•"/>
      <w:lvlJc w:val="left"/>
      <w:pPr>
        <w:ind w:left="7672" w:hanging="168"/>
      </w:pPr>
      <w:rPr>
        <w:rFonts w:hint="default"/>
        <w:lang w:val="es-ES" w:eastAsia="en-US" w:bidi="ar-SA"/>
      </w:rPr>
    </w:lvl>
    <w:lvl w:ilvl="8" w:tplc="CB006F44">
      <w:numFmt w:val="bullet"/>
      <w:lvlText w:val="•"/>
      <w:lvlJc w:val="left"/>
      <w:pPr>
        <w:ind w:left="8611" w:hanging="168"/>
      </w:pPr>
      <w:rPr>
        <w:rFonts w:hint="default"/>
        <w:lang w:val="es-ES" w:eastAsia="en-US" w:bidi="ar-SA"/>
      </w:rPr>
    </w:lvl>
  </w:abstractNum>
  <w:abstractNum w:abstractNumId="81" w15:restartNumberingAfterBreak="0">
    <w:nsid w:val="1F3330EB"/>
    <w:multiLevelType w:val="hybridMultilevel"/>
    <w:tmpl w:val="C99E286C"/>
    <w:lvl w:ilvl="0" w:tplc="42BA3D90">
      <w:start w:val="1"/>
      <w:numFmt w:val="lowerLetter"/>
      <w:lvlText w:val="%1)"/>
      <w:lvlJc w:val="left"/>
      <w:pPr>
        <w:ind w:left="1106" w:hanging="374"/>
        <w:jc w:val="left"/>
      </w:pPr>
      <w:rPr>
        <w:rFonts w:ascii="Arial MT" w:eastAsia="Arial MT" w:hAnsi="Arial MT" w:cs="Arial MT" w:hint="default"/>
        <w:b w:val="0"/>
        <w:bCs w:val="0"/>
        <w:i w:val="0"/>
        <w:iCs w:val="0"/>
        <w:spacing w:val="0"/>
        <w:w w:val="100"/>
        <w:sz w:val="20"/>
        <w:szCs w:val="20"/>
        <w:lang w:val="es-ES" w:eastAsia="en-US" w:bidi="ar-SA"/>
      </w:rPr>
    </w:lvl>
    <w:lvl w:ilvl="1" w:tplc="46023E2E">
      <w:numFmt w:val="bullet"/>
      <w:lvlText w:val="•"/>
      <w:lvlJc w:val="left"/>
      <w:pPr>
        <w:ind w:left="2038" w:hanging="374"/>
      </w:pPr>
      <w:rPr>
        <w:rFonts w:hint="default"/>
        <w:lang w:val="es-ES" w:eastAsia="en-US" w:bidi="ar-SA"/>
      </w:rPr>
    </w:lvl>
    <w:lvl w:ilvl="2" w:tplc="EF7618EE">
      <w:numFmt w:val="bullet"/>
      <w:lvlText w:val="•"/>
      <w:lvlJc w:val="left"/>
      <w:pPr>
        <w:ind w:left="2977" w:hanging="374"/>
      </w:pPr>
      <w:rPr>
        <w:rFonts w:hint="default"/>
        <w:lang w:val="es-ES" w:eastAsia="en-US" w:bidi="ar-SA"/>
      </w:rPr>
    </w:lvl>
    <w:lvl w:ilvl="3" w:tplc="E256C33A">
      <w:numFmt w:val="bullet"/>
      <w:lvlText w:val="•"/>
      <w:lvlJc w:val="left"/>
      <w:pPr>
        <w:ind w:left="3916" w:hanging="374"/>
      </w:pPr>
      <w:rPr>
        <w:rFonts w:hint="default"/>
        <w:lang w:val="es-ES" w:eastAsia="en-US" w:bidi="ar-SA"/>
      </w:rPr>
    </w:lvl>
    <w:lvl w:ilvl="4" w:tplc="35428D30">
      <w:numFmt w:val="bullet"/>
      <w:lvlText w:val="•"/>
      <w:lvlJc w:val="left"/>
      <w:pPr>
        <w:ind w:left="4855" w:hanging="374"/>
      </w:pPr>
      <w:rPr>
        <w:rFonts w:hint="default"/>
        <w:lang w:val="es-ES" w:eastAsia="en-US" w:bidi="ar-SA"/>
      </w:rPr>
    </w:lvl>
    <w:lvl w:ilvl="5" w:tplc="D18EBF2A">
      <w:numFmt w:val="bullet"/>
      <w:lvlText w:val="•"/>
      <w:lvlJc w:val="left"/>
      <w:pPr>
        <w:ind w:left="5794" w:hanging="374"/>
      </w:pPr>
      <w:rPr>
        <w:rFonts w:hint="default"/>
        <w:lang w:val="es-ES" w:eastAsia="en-US" w:bidi="ar-SA"/>
      </w:rPr>
    </w:lvl>
    <w:lvl w:ilvl="6" w:tplc="3648C15C">
      <w:numFmt w:val="bullet"/>
      <w:lvlText w:val="•"/>
      <w:lvlJc w:val="left"/>
      <w:pPr>
        <w:ind w:left="6733" w:hanging="374"/>
      </w:pPr>
      <w:rPr>
        <w:rFonts w:hint="default"/>
        <w:lang w:val="es-ES" w:eastAsia="en-US" w:bidi="ar-SA"/>
      </w:rPr>
    </w:lvl>
    <w:lvl w:ilvl="7" w:tplc="6C0682AA">
      <w:numFmt w:val="bullet"/>
      <w:lvlText w:val="•"/>
      <w:lvlJc w:val="left"/>
      <w:pPr>
        <w:ind w:left="7672" w:hanging="374"/>
      </w:pPr>
      <w:rPr>
        <w:rFonts w:hint="default"/>
        <w:lang w:val="es-ES" w:eastAsia="en-US" w:bidi="ar-SA"/>
      </w:rPr>
    </w:lvl>
    <w:lvl w:ilvl="8" w:tplc="1E1C645A">
      <w:numFmt w:val="bullet"/>
      <w:lvlText w:val="•"/>
      <w:lvlJc w:val="left"/>
      <w:pPr>
        <w:ind w:left="8611" w:hanging="374"/>
      </w:pPr>
      <w:rPr>
        <w:rFonts w:hint="default"/>
        <w:lang w:val="es-ES" w:eastAsia="en-US" w:bidi="ar-SA"/>
      </w:rPr>
    </w:lvl>
  </w:abstractNum>
  <w:abstractNum w:abstractNumId="82" w15:restartNumberingAfterBreak="0">
    <w:nsid w:val="1F5F264B"/>
    <w:multiLevelType w:val="hybridMultilevel"/>
    <w:tmpl w:val="9D9016BA"/>
    <w:lvl w:ilvl="0" w:tplc="4DD44AB8">
      <w:start w:val="1"/>
      <w:numFmt w:val="decimal"/>
      <w:lvlText w:val="%1."/>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1" w:tplc="F62A2D0C">
      <w:start w:val="1"/>
      <w:numFmt w:val="lowerLetter"/>
      <w:lvlText w:val="%2)"/>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2" w:tplc="76DEB4BE">
      <w:numFmt w:val="bullet"/>
      <w:lvlText w:val="•"/>
      <w:lvlJc w:val="left"/>
      <w:pPr>
        <w:ind w:left="2977" w:hanging="255"/>
      </w:pPr>
      <w:rPr>
        <w:rFonts w:hint="default"/>
        <w:lang w:val="es-ES" w:eastAsia="en-US" w:bidi="ar-SA"/>
      </w:rPr>
    </w:lvl>
    <w:lvl w:ilvl="3" w:tplc="4CCECB6E">
      <w:numFmt w:val="bullet"/>
      <w:lvlText w:val="•"/>
      <w:lvlJc w:val="left"/>
      <w:pPr>
        <w:ind w:left="3916" w:hanging="255"/>
      </w:pPr>
      <w:rPr>
        <w:rFonts w:hint="default"/>
        <w:lang w:val="es-ES" w:eastAsia="en-US" w:bidi="ar-SA"/>
      </w:rPr>
    </w:lvl>
    <w:lvl w:ilvl="4" w:tplc="F6CEC98E">
      <w:numFmt w:val="bullet"/>
      <w:lvlText w:val="•"/>
      <w:lvlJc w:val="left"/>
      <w:pPr>
        <w:ind w:left="4855" w:hanging="255"/>
      </w:pPr>
      <w:rPr>
        <w:rFonts w:hint="default"/>
        <w:lang w:val="es-ES" w:eastAsia="en-US" w:bidi="ar-SA"/>
      </w:rPr>
    </w:lvl>
    <w:lvl w:ilvl="5" w:tplc="C3EE109A">
      <w:numFmt w:val="bullet"/>
      <w:lvlText w:val="•"/>
      <w:lvlJc w:val="left"/>
      <w:pPr>
        <w:ind w:left="5794" w:hanging="255"/>
      </w:pPr>
      <w:rPr>
        <w:rFonts w:hint="default"/>
        <w:lang w:val="es-ES" w:eastAsia="en-US" w:bidi="ar-SA"/>
      </w:rPr>
    </w:lvl>
    <w:lvl w:ilvl="6" w:tplc="592EA198">
      <w:numFmt w:val="bullet"/>
      <w:lvlText w:val="•"/>
      <w:lvlJc w:val="left"/>
      <w:pPr>
        <w:ind w:left="6733" w:hanging="255"/>
      </w:pPr>
      <w:rPr>
        <w:rFonts w:hint="default"/>
        <w:lang w:val="es-ES" w:eastAsia="en-US" w:bidi="ar-SA"/>
      </w:rPr>
    </w:lvl>
    <w:lvl w:ilvl="7" w:tplc="EB7462B2">
      <w:numFmt w:val="bullet"/>
      <w:lvlText w:val="•"/>
      <w:lvlJc w:val="left"/>
      <w:pPr>
        <w:ind w:left="7672" w:hanging="255"/>
      </w:pPr>
      <w:rPr>
        <w:rFonts w:hint="default"/>
        <w:lang w:val="es-ES" w:eastAsia="en-US" w:bidi="ar-SA"/>
      </w:rPr>
    </w:lvl>
    <w:lvl w:ilvl="8" w:tplc="A7866404">
      <w:numFmt w:val="bullet"/>
      <w:lvlText w:val="•"/>
      <w:lvlJc w:val="left"/>
      <w:pPr>
        <w:ind w:left="8611" w:hanging="255"/>
      </w:pPr>
      <w:rPr>
        <w:rFonts w:hint="default"/>
        <w:lang w:val="es-ES" w:eastAsia="en-US" w:bidi="ar-SA"/>
      </w:rPr>
    </w:lvl>
  </w:abstractNum>
  <w:abstractNum w:abstractNumId="83" w15:restartNumberingAfterBreak="0">
    <w:nsid w:val="1F676ED1"/>
    <w:multiLevelType w:val="hybridMultilevel"/>
    <w:tmpl w:val="4F54B55A"/>
    <w:lvl w:ilvl="0" w:tplc="CA5269B8">
      <w:start w:val="1"/>
      <w:numFmt w:val="decimal"/>
      <w:lvlText w:val="%1."/>
      <w:lvlJc w:val="left"/>
      <w:pPr>
        <w:ind w:left="1106" w:hanging="262"/>
        <w:jc w:val="left"/>
      </w:pPr>
      <w:rPr>
        <w:rFonts w:ascii="Arial MT" w:eastAsia="Arial MT" w:hAnsi="Arial MT" w:cs="Arial MT" w:hint="default"/>
        <w:b w:val="0"/>
        <w:bCs w:val="0"/>
        <w:i w:val="0"/>
        <w:iCs w:val="0"/>
        <w:spacing w:val="0"/>
        <w:w w:val="100"/>
        <w:sz w:val="20"/>
        <w:szCs w:val="20"/>
        <w:lang w:val="es-ES" w:eastAsia="en-US" w:bidi="ar-SA"/>
      </w:rPr>
    </w:lvl>
    <w:lvl w:ilvl="1" w:tplc="50761AB8">
      <w:numFmt w:val="bullet"/>
      <w:lvlText w:val="•"/>
      <w:lvlJc w:val="left"/>
      <w:pPr>
        <w:ind w:left="2038" w:hanging="262"/>
      </w:pPr>
      <w:rPr>
        <w:rFonts w:hint="default"/>
        <w:lang w:val="es-ES" w:eastAsia="en-US" w:bidi="ar-SA"/>
      </w:rPr>
    </w:lvl>
    <w:lvl w:ilvl="2" w:tplc="7B3408D2">
      <w:numFmt w:val="bullet"/>
      <w:lvlText w:val="•"/>
      <w:lvlJc w:val="left"/>
      <w:pPr>
        <w:ind w:left="2977" w:hanging="262"/>
      </w:pPr>
      <w:rPr>
        <w:rFonts w:hint="default"/>
        <w:lang w:val="es-ES" w:eastAsia="en-US" w:bidi="ar-SA"/>
      </w:rPr>
    </w:lvl>
    <w:lvl w:ilvl="3" w:tplc="DD96553A">
      <w:numFmt w:val="bullet"/>
      <w:lvlText w:val="•"/>
      <w:lvlJc w:val="left"/>
      <w:pPr>
        <w:ind w:left="3916" w:hanging="262"/>
      </w:pPr>
      <w:rPr>
        <w:rFonts w:hint="default"/>
        <w:lang w:val="es-ES" w:eastAsia="en-US" w:bidi="ar-SA"/>
      </w:rPr>
    </w:lvl>
    <w:lvl w:ilvl="4" w:tplc="0F9C2154">
      <w:numFmt w:val="bullet"/>
      <w:lvlText w:val="•"/>
      <w:lvlJc w:val="left"/>
      <w:pPr>
        <w:ind w:left="4855" w:hanging="262"/>
      </w:pPr>
      <w:rPr>
        <w:rFonts w:hint="default"/>
        <w:lang w:val="es-ES" w:eastAsia="en-US" w:bidi="ar-SA"/>
      </w:rPr>
    </w:lvl>
    <w:lvl w:ilvl="5" w:tplc="F63E46CE">
      <w:numFmt w:val="bullet"/>
      <w:lvlText w:val="•"/>
      <w:lvlJc w:val="left"/>
      <w:pPr>
        <w:ind w:left="5794" w:hanging="262"/>
      </w:pPr>
      <w:rPr>
        <w:rFonts w:hint="default"/>
        <w:lang w:val="es-ES" w:eastAsia="en-US" w:bidi="ar-SA"/>
      </w:rPr>
    </w:lvl>
    <w:lvl w:ilvl="6" w:tplc="D9EEF952">
      <w:numFmt w:val="bullet"/>
      <w:lvlText w:val="•"/>
      <w:lvlJc w:val="left"/>
      <w:pPr>
        <w:ind w:left="6733" w:hanging="262"/>
      </w:pPr>
      <w:rPr>
        <w:rFonts w:hint="default"/>
        <w:lang w:val="es-ES" w:eastAsia="en-US" w:bidi="ar-SA"/>
      </w:rPr>
    </w:lvl>
    <w:lvl w:ilvl="7" w:tplc="71FC6F84">
      <w:numFmt w:val="bullet"/>
      <w:lvlText w:val="•"/>
      <w:lvlJc w:val="left"/>
      <w:pPr>
        <w:ind w:left="7672" w:hanging="262"/>
      </w:pPr>
      <w:rPr>
        <w:rFonts w:hint="default"/>
        <w:lang w:val="es-ES" w:eastAsia="en-US" w:bidi="ar-SA"/>
      </w:rPr>
    </w:lvl>
    <w:lvl w:ilvl="8" w:tplc="80640022">
      <w:numFmt w:val="bullet"/>
      <w:lvlText w:val="•"/>
      <w:lvlJc w:val="left"/>
      <w:pPr>
        <w:ind w:left="8611" w:hanging="262"/>
      </w:pPr>
      <w:rPr>
        <w:rFonts w:hint="default"/>
        <w:lang w:val="es-ES" w:eastAsia="en-US" w:bidi="ar-SA"/>
      </w:rPr>
    </w:lvl>
  </w:abstractNum>
  <w:abstractNum w:abstractNumId="84" w15:restartNumberingAfterBreak="0">
    <w:nsid w:val="20510D7F"/>
    <w:multiLevelType w:val="hybridMultilevel"/>
    <w:tmpl w:val="E0BAD770"/>
    <w:lvl w:ilvl="0" w:tplc="71D686E2">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36D4BEA6">
      <w:numFmt w:val="bullet"/>
      <w:lvlText w:val="•"/>
      <w:lvlJc w:val="left"/>
      <w:pPr>
        <w:ind w:left="2038" w:hanging="225"/>
      </w:pPr>
      <w:rPr>
        <w:rFonts w:hint="default"/>
        <w:lang w:val="es-ES" w:eastAsia="en-US" w:bidi="ar-SA"/>
      </w:rPr>
    </w:lvl>
    <w:lvl w:ilvl="2" w:tplc="7B2E1A50">
      <w:numFmt w:val="bullet"/>
      <w:lvlText w:val="•"/>
      <w:lvlJc w:val="left"/>
      <w:pPr>
        <w:ind w:left="2977" w:hanging="225"/>
      </w:pPr>
      <w:rPr>
        <w:rFonts w:hint="default"/>
        <w:lang w:val="es-ES" w:eastAsia="en-US" w:bidi="ar-SA"/>
      </w:rPr>
    </w:lvl>
    <w:lvl w:ilvl="3" w:tplc="D55223EC">
      <w:numFmt w:val="bullet"/>
      <w:lvlText w:val="•"/>
      <w:lvlJc w:val="left"/>
      <w:pPr>
        <w:ind w:left="3916" w:hanging="225"/>
      </w:pPr>
      <w:rPr>
        <w:rFonts w:hint="default"/>
        <w:lang w:val="es-ES" w:eastAsia="en-US" w:bidi="ar-SA"/>
      </w:rPr>
    </w:lvl>
    <w:lvl w:ilvl="4" w:tplc="802224B0">
      <w:numFmt w:val="bullet"/>
      <w:lvlText w:val="•"/>
      <w:lvlJc w:val="left"/>
      <w:pPr>
        <w:ind w:left="4855" w:hanging="225"/>
      </w:pPr>
      <w:rPr>
        <w:rFonts w:hint="default"/>
        <w:lang w:val="es-ES" w:eastAsia="en-US" w:bidi="ar-SA"/>
      </w:rPr>
    </w:lvl>
    <w:lvl w:ilvl="5" w:tplc="C1A8D050">
      <w:numFmt w:val="bullet"/>
      <w:lvlText w:val="•"/>
      <w:lvlJc w:val="left"/>
      <w:pPr>
        <w:ind w:left="5794" w:hanging="225"/>
      </w:pPr>
      <w:rPr>
        <w:rFonts w:hint="default"/>
        <w:lang w:val="es-ES" w:eastAsia="en-US" w:bidi="ar-SA"/>
      </w:rPr>
    </w:lvl>
    <w:lvl w:ilvl="6" w:tplc="23142AE8">
      <w:numFmt w:val="bullet"/>
      <w:lvlText w:val="•"/>
      <w:lvlJc w:val="left"/>
      <w:pPr>
        <w:ind w:left="6733" w:hanging="225"/>
      </w:pPr>
      <w:rPr>
        <w:rFonts w:hint="default"/>
        <w:lang w:val="es-ES" w:eastAsia="en-US" w:bidi="ar-SA"/>
      </w:rPr>
    </w:lvl>
    <w:lvl w:ilvl="7" w:tplc="8BE43E6C">
      <w:numFmt w:val="bullet"/>
      <w:lvlText w:val="•"/>
      <w:lvlJc w:val="left"/>
      <w:pPr>
        <w:ind w:left="7672" w:hanging="225"/>
      </w:pPr>
      <w:rPr>
        <w:rFonts w:hint="default"/>
        <w:lang w:val="es-ES" w:eastAsia="en-US" w:bidi="ar-SA"/>
      </w:rPr>
    </w:lvl>
    <w:lvl w:ilvl="8" w:tplc="1DCEB608">
      <w:numFmt w:val="bullet"/>
      <w:lvlText w:val="•"/>
      <w:lvlJc w:val="left"/>
      <w:pPr>
        <w:ind w:left="8611" w:hanging="225"/>
      </w:pPr>
      <w:rPr>
        <w:rFonts w:hint="default"/>
        <w:lang w:val="es-ES" w:eastAsia="en-US" w:bidi="ar-SA"/>
      </w:rPr>
    </w:lvl>
  </w:abstractNum>
  <w:abstractNum w:abstractNumId="85" w15:restartNumberingAfterBreak="0">
    <w:nsid w:val="2183622A"/>
    <w:multiLevelType w:val="hybridMultilevel"/>
    <w:tmpl w:val="4CC20526"/>
    <w:lvl w:ilvl="0" w:tplc="0228F1BE">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87C03174">
      <w:numFmt w:val="bullet"/>
      <w:lvlText w:val="•"/>
      <w:lvlJc w:val="left"/>
      <w:pPr>
        <w:ind w:left="2038" w:hanging="228"/>
      </w:pPr>
      <w:rPr>
        <w:rFonts w:hint="default"/>
        <w:lang w:val="es-ES" w:eastAsia="en-US" w:bidi="ar-SA"/>
      </w:rPr>
    </w:lvl>
    <w:lvl w:ilvl="2" w:tplc="8F122DAE">
      <w:numFmt w:val="bullet"/>
      <w:lvlText w:val="•"/>
      <w:lvlJc w:val="left"/>
      <w:pPr>
        <w:ind w:left="2977" w:hanging="228"/>
      </w:pPr>
      <w:rPr>
        <w:rFonts w:hint="default"/>
        <w:lang w:val="es-ES" w:eastAsia="en-US" w:bidi="ar-SA"/>
      </w:rPr>
    </w:lvl>
    <w:lvl w:ilvl="3" w:tplc="D5329EB0">
      <w:numFmt w:val="bullet"/>
      <w:lvlText w:val="•"/>
      <w:lvlJc w:val="left"/>
      <w:pPr>
        <w:ind w:left="3916" w:hanging="228"/>
      </w:pPr>
      <w:rPr>
        <w:rFonts w:hint="default"/>
        <w:lang w:val="es-ES" w:eastAsia="en-US" w:bidi="ar-SA"/>
      </w:rPr>
    </w:lvl>
    <w:lvl w:ilvl="4" w:tplc="34BA3958">
      <w:numFmt w:val="bullet"/>
      <w:lvlText w:val="•"/>
      <w:lvlJc w:val="left"/>
      <w:pPr>
        <w:ind w:left="4855" w:hanging="228"/>
      </w:pPr>
      <w:rPr>
        <w:rFonts w:hint="default"/>
        <w:lang w:val="es-ES" w:eastAsia="en-US" w:bidi="ar-SA"/>
      </w:rPr>
    </w:lvl>
    <w:lvl w:ilvl="5" w:tplc="53568BEC">
      <w:numFmt w:val="bullet"/>
      <w:lvlText w:val="•"/>
      <w:lvlJc w:val="left"/>
      <w:pPr>
        <w:ind w:left="5794" w:hanging="228"/>
      </w:pPr>
      <w:rPr>
        <w:rFonts w:hint="default"/>
        <w:lang w:val="es-ES" w:eastAsia="en-US" w:bidi="ar-SA"/>
      </w:rPr>
    </w:lvl>
    <w:lvl w:ilvl="6" w:tplc="7FB84300">
      <w:numFmt w:val="bullet"/>
      <w:lvlText w:val="•"/>
      <w:lvlJc w:val="left"/>
      <w:pPr>
        <w:ind w:left="6733" w:hanging="228"/>
      </w:pPr>
      <w:rPr>
        <w:rFonts w:hint="default"/>
        <w:lang w:val="es-ES" w:eastAsia="en-US" w:bidi="ar-SA"/>
      </w:rPr>
    </w:lvl>
    <w:lvl w:ilvl="7" w:tplc="A6A0DFDE">
      <w:numFmt w:val="bullet"/>
      <w:lvlText w:val="•"/>
      <w:lvlJc w:val="left"/>
      <w:pPr>
        <w:ind w:left="7672" w:hanging="228"/>
      </w:pPr>
      <w:rPr>
        <w:rFonts w:hint="default"/>
        <w:lang w:val="es-ES" w:eastAsia="en-US" w:bidi="ar-SA"/>
      </w:rPr>
    </w:lvl>
    <w:lvl w:ilvl="8" w:tplc="DAEC4E30">
      <w:numFmt w:val="bullet"/>
      <w:lvlText w:val="•"/>
      <w:lvlJc w:val="left"/>
      <w:pPr>
        <w:ind w:left="8611" w:hanging="228"/>
      </w:pPr>
      <w:rPr>
        <w:rFonts w:hint="default"/>
        <w:lang w:val="es-ES" w:eastAsia="en-US" w:bidi="ar-SA"/>
      </w:rPr>
    </w:lvl>
  </w:abstractNum>
  <w:abstractNum w:abstractNumId="86" w15:restartNumberingAfterBreak="0">
    <w:nsid w:val="21B9605F"/>
    <w:multiLevelType w:val="hybridMultilevel"/>
    <w:tmpl w:val="BE404320"/>
    <w:lvl w:ilvl="0" w:tplc="730852FE">
      <w:start w:val="1"/>
      <w:numFmt w:val="decimal"/>
      <w:lvlText w:val="%1."/>
      <w:lvlJc w:val="left"/>
      <w:pPr>
        <w:ind w:left="1106" w:hanging="256"/>
        <w:jc w:val="left"/>
      </w:pPr>
      <w:rPr>
        <w:rFonts w:ascii="Arial MT" w:eastAsia="Arial MT" w:hAnsi="Arial MT" w:cs="Arial MT" w:hint="default"/>
        <w:b w:val="0"/>
        <w:bCs w:val="0"/>
        <w:i w:val="0"/>
        <w:iCs w:val="0"/>
        <w:spacing w:val="0"/>
        <w:w w:val="100"/>
        <w:sz w:val="20"/>
        <w:szCs w:val="20"/>
        <w:lang w:val="es-ES" w:eastAsia="en-US" w:bidi="ar-SA"/>
      </w:rPr>
    </w:lvl>
    <w:lvl w:ilvl="1" w:tplc="7226BDCA">
      <w:numFmt w:val="bullet"/>
      <w:lvlText w:val="•"/>
      <w:lvlJc w:val="left"/>
      <w:pPr>
        <w:ind w:left="2038" w:hanging="256"/>
      </w:pPr>
      <w:rPr>
        <w:rFonts w:hint="default"/>
        <w:lang w:val="es-ES" w:eastAsia="en-US" w:bidi="ar-SA"/>
      </w:rPr>
    </w:lvl>
    <w:lvl w:ilvl="2" w:tplc="6FA0EEDE">
      <w:numFmt w:val="bullet"/>
      <w:lvlText w:val="•"/>
      <w:lvlJc w:val="left"/>
      <w:pPr>
        <w:ind w:left="2977" w:hanging="256"/>
      </w:pPr>
      <w:rPr>
        <w:rFonts w:hint="default"/>
        <w:lang w:val="es-ES" w:eastAsia="en-US" w:bidi="ar-SA"/>
      </w:rPr>
    </w:lvl>
    <w:lvl w:ilvl="3" w:tplc="3920EE0C">
      <w:numFmt w:val="bullet"/>
      <w:lvlText w:val="•"/>
      <w:lvlJc w:val="left"/>
      <w:pPr>
        <w:ind w:left="3916" w:hanging="256"/>
      </w:pPr>
      <w:rPr>
        <w:rFonts w:hint="default"/>
        <w:lang w:val="es-ES" w:eastAsia="en-US" w:bidi="ar-SA"/>
      </w:rPr>
    </w:lvl>
    <w:lvl w:ilvl="4" w:tplc="082CE4A8">
      <w:numFmt w:val="bullet"/>
      <w:lvlText w:val="•"/>
      <w:lvlJc w:val="left"/>
      <w:pPr>
        <w:ind w:left="4855" w:hanging="256"/>
      </w:pPr>
      <w:rPr>
        <w:rFonts w:hint="default"/>
        <w:lang w:val="es-ES" w:eastAsia="en-US" w:bidi="ar-SA"/>
      </w:rPr>
    </w:lvl>
    <w:lvl w:ilvl="5" w:tplc="AABC65EE">
      <w:numFmt w:val="bullet"/>
      <w:lvlText w:val="•"/>
      <w:lvlJc w:val="left"/>
      <w:pPr>
        <w:ind w:left="5794" w:hanging="256"/>
      </w:pPr>
      <w:rPr>
        <w:rFonts w:hint="default"/>
        <w:lang w:val="es-ES" w:eastAsia="en-US" w:bidi="ar-SA"/>
      </w:rPr>
    </w:lvl>
    <w:lvl w:ilvl="6" w:tplc="C824C860">
      <w:numFmt w:val="bullet"/>
      <w:lvlText w:val="•"/>
      <w:lvlJc w:val="left"/>
      <w:pPr>
        <w:ind w:left="6733" w:hanging="256"/>
      </w:pPr>
      <w:rPr>
        <w:rFonts w:hint="default"/>
        <w:lang w:val="es-ES" w:eastAsia="en-US" w:bidi="ar-SA"/>
      </w:rPr>
    </w:lvl>
    <w:lvl w:ilvl="7" w:tplc="AF4EE3D2">
      <w:numFmt w:val="bullet"/>
      <w:lvlText w:val="•"/>
      <w:lvlJc w:val="left"/>
      <w:pPr>
        <w:ind w:left="7672" w:hanging="256"/>
      </w:pPr>
      <w:rPr>
        <w:rFonts w:hint="default"/>
        <w:lang w:val="es-ES" w:eastAsia="en-US" w:bidi="ar-SA"/>
      </w:rPr>
    </w:lvl>
    <w:lvl w:ilvl="8" w:tplc="78EA471C">
      <w:numFmt w:val="bullet"/>
      <w:lvlText w:val="•"/>
      <w:lvlJc w:val="left"/>
      <w:pPr>
        <w:ind w:left="8611" w:hanging="256"/>
      </w:pPr>
      <w:rPr>
        <w:rFonts w:hint="default"/>
        <w:lang w:val="es-ES" w:eastAsia="en-US" w:bidi="ar-SA"/>
      </w:rPr>
    </w:lvl>
  </w:abstractNum>
  <w:abstractNum w:abstractNumId="87" w15:restartNumberingAfterBreak="0">
    <w:nsid w:val="22635726"/>
    <w:multiLevelType w:val="hybridMultilevel"/>
    <w:tmpl w:val="07B64D26"/>
    <w:lvl w:ilvl="0" w:tplc="3F4A4B42">
      <w:start w:val="1"/>
      <w:numFmt w:val="decimal"/>
      <w:lvlText w:val="%1."/>
      <w:lvlJc w:val="left"/>
      <w:pPr>
        <w:ind w:left="1106" w:hanging="260"/>
        <w:jc w:val="left"/>
      </w:pPr>
      <w:rPr>
        <w:rFonts w:ascii="Arial MT" w:eastAsia="Arial MT" w:hAnsi="Arial MT" w:cs="Arial MT" w:hint="default"/>
        <w:b w:val="0"/>
        <w:bCs w:val="0"/>
        <w:i w:val="0"/>
        <w:iCs w:val="0"/>
        <w:spacing w:val="0"/>
        <w:w w:val="100"/>
        <w:sz w:val="20"/>
        <w:szCs w:val="20"/>
        <w:lang w:val="es-ES" w:eastAsia="en-US" w:bidi="ar-SA"/>
      </w:rPr>
    </w:lvl>
    <w:lvl w:ilvl="1" w:tplc="AF5E3D00">
      <w:start w:val="1"/>
      <w:numFmt w:val="lowerLetter"/>
      <w:lvlText w:val="%2)"/>
      <w:lvlJc w:val="left"/>
      <w:pPr>
        <w:ind w:left="1106" w:hanging="315"/>
        <w:jc w:val="left"/>
      </w:pPr>
      <w:rPr>
        <w:rFonts w:ascii="Arial MT" w:eastAsia="Arial MT" w:hAnsi="Arial MT" w:cs="Arial MT" w:hint="default"/>
        <w:b w:val="0"/>
        <w:bCs w:val="0"/>
        <w:i w:val="0"/>
        <w:iCs w:val="0"/>
        <w:spacing w:val="0"/>
        <w:w w:val="100"/>
        <w:sz w:val="20"/>
        <w:szCs w:val="20"/>
        <w:lang w:val="es-ES" w:eastAsia="en-US" w:bidi="ar-SA"/>
      </w:rPr>
    </w:lvl>
    <w:lvl w:ilvl="2" w:tplc="86468ACA">
      <w:numFmt w:val="bullet"/>
      <w:lvlText w:val="•"/>
      <w:lvlJc w:val="left"/>
      <w:pPr>
        <w:ind w:left="2658" w:hanging="315"/>
      </w:pPr>
      <w:rPr>
        <w:rFonts w:hint="default"/>
        <w:lang w:val="es-ES" w:eastAsia="en-US" w:bidi="ar-SA"/>
      </w:rPr>
    </w:lvl>
    <w:lvl w:ilvl="3" w:tplc="E3FE33EE">
      <w:numFmt w:val="bullet"/>
      <w:lvlText w:val="•"/>
      <w:lvlJc w:val="left"/>
      <w:pPr>
        <w:ind w:left="3637" w:hanging="315"/>
      </w:pPr>
      <w:rPr>
        <w:rFonts w:hint="default"/>
        <w:lang w:val="es-ES" w:eastAsia="en-US" w:bidi="ar-SA"/>
      </w:rPr>
    </w:lvl>
    <w:lvl w:ilvl="4" w:tplc="B172F644">
      <w:numFmt w:val="bullet"/>
      <w:lvlText w:val="•"/>
      <w:lvlJc w:val="left"/>
      <w:pPr>
        <w:ind w:left="4616" w:hanging="315"/>
      </w:pPr>
      <w:rPr>
        <w:rFonts w:hint="default"/>
        <w:lang w:val="es-ES" w:eastAsia="en-US" w:bidi="ar-SA"/>
      </w:rPr>
    </w:lvl>
    <w:lvl w:ilvl="5" w:tplc="391E8ACC">
      <w:numFmt w:val="bullet"/>
      <w:lvlText w:val="•"/>
      <w:lvlJc w:val="left"/>
      <w:pPr>
        <w:ind w:left="5595" w:hanging="315"/>
      </w:pPr>
      <w:rPr>
        <w:rFonts w:hint="default"/>
        <w:lang w:val="es-ES" w:eastAsia="en-US" w:bidi="ar-SA"/>
      </w:rPr>
    </w:lvl>
    <w:lvl w:ilvl="6" w:tplc="244A8D52">
      <w:numFmt w:val="bullet"/>
      <w:lvlText w:val="•"/>
      <w:lvlJc w:val="left"/>
      <w:pPr>
        <w:ind w:left="6574" w:hanging="315"/>
      </w:pPr>
      <w:rPr>
        <w:rFonts w:hint="default"/>
        <w:lang w:val="es-ES" w:eastAsia="en-US" w:bidi="ar-SA"/>
      </w:rPr>
    </w:lvl>
    <w:lvl w:ilvl="7" w:tplc="14485A02">
      <w:numFmt w:val="bullet"/>
      <w:lvlText w:val="•"/>
      <w:lvlJc w:val="left"/>
      <w:pPr>
        <w:ind w:left="7553" w:hanging="315"/>
      </w:pPr>
      <w:rPr>
        <w:rFonts w:hint="default"/>
        <w:lang w:val="es-ES" w:eastAsia="en-US" w:bidi="ar-SA"/>
      </w:rPr>
    </w:lvl>
    <w:lvl w:ilvl="8" w:tplc="729C2B20">
      <w:numFmt w:val="bullet"/>
      <w:lvlText w:val="•"/>
      <w:lvlJc w:val="left"/>
      <w:pPr>
        <w:ind w:left="8531" w:hanging="315"/>
      </w:pPr>
      <w:rPr>
        <w:rFonts w:hint="default"/>
        <w:lang w:val="es-ES" w:eastAsia="en-US" w:bidi="ar-SA"/>
      </w:rPr>
    </w:lvl>
  </w:abstractNum>
  <w:abstractNum w:abstractNumId="88" w15:restartNumberingAfterBreak="0">
    <w:nsid w:val="23715CAB"/>
    <w:multiLevelType w:val="hybridMultilevel"/>
    <w:tmpl w:val="9F285CF8"/>
    <w:lvl w:ilvl="0" w:tplc="FD1CB156">
      <w:start w:val="1"/>
      <w:numFmt w:val="decimal"/>
      <w:lvlText w:val="%1."/>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1" w:tplc="9F82B690">
      <w:start w:val="2"/>
      <w:numFmt w:val="upperLetter"/>
      <w:lvlText w:val="%2)"/>
      <w:lvlJc w:val="left"/>
      <w:pPr>
        <w:ind w:left="2382" w:hanging="256"/>
        <w:jc w:val="left"/>
      </w:pPr>
      <w:rPr>
        <w:rFonts w:ascii="Arial MT" w:eastAsia="Arial MT" w:hAnsi="Arial MT" w:cs="Arial MT" w:hint="default"/>
        <w:b w:val="0"/>
        <w:bCs w:val="0"/>
        <w:i w:val="0"/>
        <w:iCs w:val="0"/>
        <w:spacing w:val="0"/>
        <w:w w:val="100"/>
        <w:sz w:val="20"/>
        <w:szCs w:val="20"/>
        <w:lang w:val="es-ES" w:eastAsia="en-US" w:bidi="ar-SA"/>
      </w:rPr>
    </w:lvl>
    <w:lvl w:ilvl="2" w:tplc="5CA48CBE">
      <w:start w:val="1"/>
      <w:numFmt w:val="lowerLetter"/>
      <w:lvlText w:val="%3)"/>
      <w:lvlJc w:val="left"/>
      <w:pPr>
        <w:ind w:left="1786" w:hanging="360"/>
        <w:jc w:val="left"/>
      </w:pPr>
      <w:rPr>
        <w:rFonts w:ascii="Arial MT" w:eastAsia="Arial MT" w:hAnsi="Arial MT" w:cs="Arial MT" w:hint="default"/>
        <w:b w:val="0"/>
        <w:bCs w:val="0"/>
        <w:i w:val="0"/>
        <w:iCs w:val="0"/>
        <w:spacing w:val="0"/>
        <w:w w:val="100"/>
        <w:sz w:val="20"/>
        <w:szCs w:val="20"/>
        <w:lang w:val="es-ES" w:eastAsia="en-US" w:bidi="ar-SA"/>
      </w:rPr>
    </w:lvl>
    <w:lvl w:ilvl="3" w:tplc="ECB228F0">
      <w:numFmt w:val="bullet"/>
      <w:lvlText w:val="•"/>
      <w:lvlJc w:val="left"/>
      <w:pPr>
        <w:ind w:left="3393" w:hanging="360"/>
      </w:pPr>
      <w:rPr>
        <w:rFonts w:hint="default"/>
        <w:lang w:val="es-ES" w:eastAsia="en-US" w:bidi="ar-SA"/>
      </w:rPr>
    </w:lvl>
    <w:lvl w:ilvl="4" w:tplc="DF683582">
      <w:numFmt w:val="bullet"/>
      <w:lvlText w:val="•"/>
      <w:lvlJc w:val="left"/>
      <w:pPr>
        <w:ind w:left="4407" w:hanging="360"/>
      </w:pPr>
      <w:rPr>
        <w:rFonts w:hint="default"/>
        <w:lang w:val="es-ES" w:eastAsia="en-US" w:bidi="ar-SA"/>
      </w:rPr>
    </w:lvl>
    <w:lvl w:ilvl="5" w:tplc="3C3E6B66">
      <w:numFmt w:val="bullet"/>
      <w:lvlText w:val="•"/>
      <w:lvlJc w:val="left"/>
      <w:pPr>
        <w:ind w:left="5421" w:hanging="360"/>
      </w:pPr>
      <w:rPr>
        <w:rFonts w:hint="default"/>
        <w:lang w:val="es-ES" w:eastAsia="en-US" w:bidi="ar-SA"/>
      </w:rPr>
    </w:lvl>
    <w:lvl w:ilvl="6" w:tplc="C0424086">
      <w:numFmt w:val="bullet"/>
      <w:lvlText w:val="•"/>
      <w:lvlJc w:val="left"/>
      <w:pPr>
        <w:ind w:left="6434" w:hanging="360"/>
      </w:pPr>
      <w:rPr>
        <w:rFonts w:hint="default"/>
        <w:lang w:val="es-ES" w:eastAsia="en-US" w:bidi="ar-SA"/>
      </w:rPr>
    </w:lvl>
    <w:lvl w:ilvl="7" w:tplc="C32ADE0E">
      <w:numFmt w:val="bullet"/>
      <w:lvlText w:val="•"/>
      <w:lvlJc w:val="left"/>
      <w:pPr>
        <w:ind w:left="7448" w:hanging="360"/>
      </w:pPr>
      <w:rPr>
        <w:rFonts w:hint="default"/>
        <w:lang w:val="es-ES" w:eastAsia="en-US" w:bidi="ar-SA"/>
      </w:rPr>
    </w:lvl>
    <w:lvl w:ilvl="8" w:tplc="6FB4D10A">
      <w:numFmt w:val="bullet"/>
      <w:lvlText w:val="•"/>
      <w:lvlJc w:val="left"/>
      <w:pPr>
        <w:ind w:left="8462" w:hanging="360"/>
      </w:pPr>
      <w:rPr>
        <w:rFonts w:hint="default"/>
        <w:lang w:val="es-ES" w:eastAsia="en-US" w:bidi="ar-SA"/>
      </w:rPr>
    </w:lvl>
  </w:abstractNum>
  <w:abstractNum w:abstractNumId="89" w15:restartNumberingAfterBreak="0">
    <w:nsid w:val="23762129"/>
    <w:multiLevelType w:val="hybridMultilevel"/>
    <w:tmpl w:val="A7F888F2"/>
    <w:lvl w:ilvl="0" w:tplc="11181376">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04383D4A">
      <w:numFmt w:val="bullet"/>
      <w:lvlText w:val="•"/>
      <w:lvlJc w:val="left"/>
      <w:pPr>
        <w:ind w:left="2038" w:hanging="237"/>
      </w:pPr>
      <w:rPr>
        <w:rFonts w:hint="default"/>
        <w:lang w:val="es-ES" w:eastAsia="en-US" w:bidi="ar-SA"/>
      </w:rPr>
    </w:lvl>
    <w:lvl w:ilvl="2" w:tplc="A74A5C8A">
      <w:numFmt w:val="bullet"/>
      <w:lvlText w:val="•"/>
      <w:lvlJc w:val="left"/>
      <w:pPr>
        <w:ind w:left="2977" w:hanging="237"/>
      </w:pPr>
      <w:rPr>
        <w:rFonts w:hint="default"/>
        <w:lang w:val="es-ES" w:eastAsia="en-US" w:bidi="ar-SA"/>
      </w:rPr>
    </w:lvl>
    <w:lvl w:ilvl="3" w:tplc="84B82812">
      <w:numFmt w:val="bullet"/>
      <w:lvlText w:val="•"/>
      <w:lvlJc w:val="left"/>
      <w:pPr>
        <w:ind w:left="3916" w:hanging="237"/>
      </w:pPr>
      <w:rPr>
        <w:rFonts w:hint="default"/>
        <w:lang w:val="es-ES" w:eastAsia="en-US" w:bidi="ar-SA"/>
      </w:rPr>
    </w:lvl>
    <w:lvl w:ilvl="4" w:tplc="B1301944">
      <w:numFmt w:val="bullet"/>
      <w:lvlText w:val="•"/>
      <w:lvlJc w:val="left"/>
      <w:pPr>
        <w:ind w:left="4855" w:hanging="237"/>
      </w:pPr>
      <w:rPr>
        <w:rFonts w:hint="default"/>
        <w:lang w:val="es-ES" w:eastAsia="en-US" w:bidi="ar-SA"/>
      </w:rPr>
    </w:lvl>
    <w:lvl w:ilvl="5" w:tplc="B912556A">
      <w:numFmt w:val="bullet"/>
      <w:lvlText w:val="•"/>
      <w:lvlJc w:val="left"/>
      <w:pPr>
        <w:ind w:left="5794" w:hanging="237"/>
      </w:pPr>
      <w:rPr>
        <w:rFonts w:hint="default"/>
        <w:lang w:val="es-ES" w:eastAsia="en-US" w:bidi="ar-SA"/>
      </w:rPr>
    </w:lvl>
    <w:lvl w:ilvl="6" w:tplc="1E46B8CA">
      <w:numFmt w:val="bullet"/>
      <w:lvlText w:val="•"/>
      <w:lvlJc w:val="left"/>
      <w:pPr>
        <w:ind w:left="6733" w:hanging="237"/>
      </w:pPr>
      <w:rPr>
        <w:rFonts w:hint="default"/>
        <w:lang w:val="es-ES" w:eastAsia="en-US" w:bidi="ar-SA"/>
      </w:rPr>
    </w:lvl>
    <w:lvl w:ilvl="7" w:tplc="9B7C8FF8">
      <w:numFmt w:val="bullet"/>
      <w:lvlText w:val="•"/>
      <w:lvlJc w:val="left"/>
      <w:pPr>
        <w:ind w:left="7672" w:hanging="237"/>
      </w:pPr>
      <w:rPr>
        <w:rFonts w:hint="default"/>
        <w:lang w:val="es-ES" w:eastAsia="en-US" w:bidi="ar-SA"/>
      </w:rPr>
    </w:lvl>
    <w:lvl w:ilvl="8" w:tplc="A4DC11D6">
      <w:numFmt w:val="bullet"/>
      <w:lvlText w:val="•"/>
      <w:lvlJc w:val="left"/>
      <w:pPr>
        <w:ind w:left="8611" w:hanging="237"/>
      </w:pPr>
      <w:rPr>
        <w:rFonts w:hint="default"/>
        <w:lang w:val="es-ES" w:eastAsia="en-US" w:bidi="ar-SA"/>
      </w:rPr>
    </w:lvl>
  </w:abstractNum>
  <w:abstractNum w:abstractNumId="90" w15:restartNumberingAfterBreak="0">
    <w:nsid w:val="23DA2741"/>
    <w:multiLevelType w:val="hybridMultilevel"/>
    <w:tmpl w:val="4EE29C08"/>
    <w:lvl w:ilvl="0" w:tplc="4CB068AC">
      <w:start w:val="1"/>
      <w:numFmt w:val="decimal"/>
      <w:lvlText w:val="%1."/>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1" w:tplc="F1DC17C8">
      <w:numFmt w:val="bullet"/>
      <w:lvlText w:val="•"/>
      <w:lvlJc w:val="left"/>
      <w:pPr>
        <w:ind w:left="2038" w:hanging="261"/>
      </w:pPr>
      <w:rPr>
        <w:rFonts w:hint="default"/>
        <w:lang w:val="es-ES" w:eastAsia="en-US" w:bidi="ar-SA"/>
      </w:rPr>
    </w:lvl>
    <w:lvl w:ilvl="2" w:tplc="B0C04B40">
      <w:numFmt w:val="bullet"/>
      <w:lvlText w:val="•"/>
      <w:lvlJc w:val="left"/>
      <w:pPr>
        <w:ind w:left="2977" w:hanging="261"/>
      </w:pPr>
      <w:rPr>
        <w:rFonts w:hint="default"/>
        <w:lang w:val="es-ES" w:eastAsia="en-US" w:bidi="ar-SA"/>
      </w:rPr>
    </w:lvl>
    <w:lvl w:ilvl="3" w:tplc="47BEA23E">
      <w:numFmt w:val="bullet"/>
      <w:lvlText w:val="•"/>
      <w:lvlJc w:val="left"/>
      <w:pPr>
        <w:ind w:left="3916" w:hanging="261"/>
      </w:pPr>
      <w:rPr>
        <w:rFonts w:hint="default"/>
        <w:lang w:val="es-ES" w:eastAsia="en-US" w:bidi="ar-SA"/>
      </w:rPr>
    </w:lvl>
    <w:lvl w:ilvl="4" w:tplc="B636ED7C">
      <w:numFmt w:val="bullet"/>
      <w:lvlText w:val="•"/>
      <w:lvlJc w:val="left"/>
      <w:pPr>
        <w:ind w:left="4855" w:hanging="261"/>
      </w:pPr>
      <w:rPr>
        <w:rFonts w:hint="default"/>
        <w:lang w:val="es-ES" w:eastAsia="en-US" w:bidi="ar-SA"/>
      </w:rPr>
    </w:lvl>
    <w:lvl w:ilvl="5" w:tplc="3894F9B8">
      <w:numFmt w:val="bullet"/>
      <w:lvlText w:val="•"/>
      <w:lvlJc w:val="left"/>
      <w:pPr>
        <w:ind w:left="5794" w:hanging="261"/>
      </w:pPr>
      <w:rPr>
        <w:rFonts w:hint="default"/>
        <w:lang w:val="es-ES" w:eastAsia="en-US" w:bidi="ar-SA"/>
      </w:rPr>
    </w:lvl>
    <w:lvl w:ilvl="6" w:tplc="A89A9F6C">
      <w:numFmt w:val="bullet"/>
      <w:lvlText w:val="•"/>
      <w:lvlJc w:val="left"/>
      <w:pPr>
        <w:ind w:left="6733" w:hanging="261"/>
      </w:pPr>
      <w:rPr>
        <w:rFonts w:hint="default"/>
        <w:lang w:val="es-ES" w:eastAsia="en-US" w:bidi="ar-SA"/>
      </w:rPr>
    </w:lvl>
    <w:lvl w:ilvl="7" w:tplc="5EC8AB7A">
      <w:numFmt w:val="bullet"/>
      <w:lvlText w:val="•"/>
      <w:lvlJc w:val="left"/>
      <w:pPr>
        <w:ind w:left="7672" w:hanging="261"/>
      </w:pPr>
      <w:rPr>
        <w:rFonts w:hint="default"/>
        <w:lang w:val="es-ES" w:eastAsia="en-US" w:bidi="ar-SA"/>
      </w:rPr>
    </w:lvl>
    <w:lvl w:ilvl="8" w:tplc="DCC29F36">
      <w:numFmt w:val="bullet"/>
      <w:lvlText w:val="•"/>
      <w:lvlJc w:val="left"/>
      <w:pPr>
        <w:ind w:left="8611" w:hanging="261"/>
      </w:pPr>
      <w:rPr>
        <w:rFonts w:hint="default"/>
        <w:lang w:val="es-ES" w:eastAsia="en-US" w:bidi="ar-SA"/>
      </w:rPr>
    </w:lvl>
  </w:abstractNum>
  <w:abstractNum w:abstractNumId="91" w15:restartNumberingAfterBreak="0">
    <w:nsid w:val="244D6484"/>
    <w:multiLevelType w:val="hybridMultilevel"/>
    <w:tmpl w:val="EDEC0D00"/>
    <w:lvl w:ilvl="0" w:tplc="F70409CE">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7242B836">
      <w:numFmt w:val="bullet"/>
      <w:lvlText w:val="•"/>
      <w:lvlJc w:val="left"/>
      <w:pPr>
        <w:ind w:left="2038" w:hanging="234"/>
      </w:pPr>
      <w:rPr>
        <w:rFonts w:hint="default"/>
        <w:lang w:val="es-ES" w:eastAsia="en-US" w:bidi="ar-SA"/>
      </w:rPr>
    </w:lvl>
    <w:lvl w:ilvl="2" w:tplc="6C0A1EF0">
      <w:numFmt w:val="bullet"/>
      <w:lvlText w:val="•"/>
      <w:lvlJc w:val="left"/>
      <w:pPr>
        <w:ind w:left="2977" w:hanging="234"/>
      </w:pPr>
      <w:rPr>
        <w:rFonts w:hint="default"/>
        <w:lang w:val="es-ES" w:eastAsia="en-US" w:bidi="ar-SA"/>
      </w:rPr>
    </w:lvl>
    <w:lvl w:ilvl="3" w:tplc="1FBA86A2">
      <w:numFmt w:val="bullet"/>
      <w:lvlText w:val="•"/>
      <w:lvlJc w:val="left"/>
      <w:pPr>
        <w:ind w:left="3916" w:hanging="234"/>
      </w:pPr>
      <w:rPr>
        <w:rFonts w:hint="default"/>
        <w:lang w:val="es-ES" w:eastAsia="en-US" w:bidi="ar-SA"/>
      </w:rPr>
    </w:lvl>
    <w:lvl w:ilvl="4" w:tplc="67E40C1C">
      <w:numFmt w:val="bullet"/>
      <w:lvlText w:val="•"/>
      <w:lvlJc w:val="left"/>
      <w:pPr>
        <w:ind w:left="4855" w:hanging="234"/>
      </w:pPr>
      <w:rPr>
        <w:rFonts w:hint="default"/>
        <w:lang w:val="es-ES" w:eastAsia="en-US" w:bidi="ar-SA"/>
      </w:rPr>
    </w:lvl>
    <w:lvl w:ilvl="5" w:tplc="D03410F2">
      <w:numFmt w:val="bullet"/>
      <w:lvlText w:val="•"/>
      <w:lvlJc w:val="left"/>
      <w:pPr>
        <w:ind w:left="5794" w:hanging="234"/>
      </w:pPr>
      <w:rPr>
        <w:rFonts w:hint="default"/>
        <w:lang w:val="es-ES" w:eastAsia="en-US" w:bidi="ar-SA"/>
      </w:rPr>
    </w:lvl>
    <w:lvl w:ilvl="6" w:tplc="7B1446C8">
      <w:numFmt w:val="bullet"/>
      <w:lvlText w:val="•"/>
      <w:lvlJc w:val="left"/>
      <w:pPr>
        <w:ind w:left="6733" w:hanging="234"/>
      </w:pPr>
      <w:rPr>
        <w:rFonts w:hint="default"/>
        <w:lang w:val="es-ES" w:eastAsia="en-US" w:bidi="ar-SA"/>
      </w:rPr>
    </w:lvl>
    <w:lvl w:ilvl="7" w:tplc="BB509070">
      <w:numFmt w:val="bullet"/>
      <w:lvlText w:val="•"/>
      <w:lvlJc w:val="left"/>
      <w:pPr>
        <w:ind w:left="7672" w:hanging="234"/>
      </w:pPr>
      <w:rPr>
        <w:rFonts w:hint="default"/>
        <w:lang w:val="es-ES" w:eastAsia="en-US" w:bidi="ar-SA"/>
      </w:rPr>
    </w:lvl>
    <w:lvl w:ilvl="8" w:tplc="896EE9BA">
      <w:numFmt w:val="bullet"/>
      <w:lvlText w:val="•"/>
      <w:lvlJc w:val="left"/>
      <w:pPr>
        <w:ind w:left="8611" w:hanging="234"/>
      </w:pPr>
      <w:rPr>
        <w:rFonts w:hint="default"/>
        <w:lang w:val="es-ES" w:eastAsia="en-US" w:bidi="ar-SA"/>
      </w:rPr>
    </w:lvl>
  </w:abstractNum>
  <w:abstractNum w:abstractNumId="92" w15:restartNumberingAfterBreak="0">
    <w:nsid w:val="254B6A45"/>
    <w:multiLevelType w:val="hybridMultilevel"/>
    <w:tmpl w:val="2E5E219A"/>
    <w:lvl w:ilvl="0" w:tplc="8250C258">
      <w:start w:val="1"/>
      <w:numFmt w:val="decimal"/>
      <w:lvlText w:val="%1."/>
      <w:lvlJc w:val="left"/>
      <w:pPr>
        <w:ind w:left="1106" w:hanging="267"/>
        <w:jc w:val="left"/>
      </w:pPr>
      <w:rPr>
        <w:rFonts w:ascii="Arial MT" w:eastAsia="Arial MT" w:hAnsi="Arial MT" w:cs="Arial MT" w:hint="default"/>
        <w:b w:val="0"/>
        <w:bCs w:val="0"/>
        <w:i w:val="0"/>
        <w:iCs w:val="0"/>
        <w:spacing w:val="0"/>
        <w:w w:val="100"/>
        <w:sz w:val="20"/>
        <w:szCs w:val="20"/>
        <w:lang w:val="es-ES" w:eastAsia="en-US" w:bidi="ar-SA"/>
      </w:rPr>
    </w:lvl>
    <w:lvl w:ilvl="1" w:tplc="39EA4DCC">
      <w:numFmt w:val="bullet"/>
      <w:lvlText w:val="•"/>
      <w:lvlJc w:val="left"/>
      <w:pPr>
        <w:ind w:left="2038" w:hanging="267"/>
      </w:pPr>
      <w:rPr>
        <w:rFonts w:hint="default"/>
        <w:lang w:val="es-ES" w:eastAsia="en-US" w:bidi="ar-SA"/>
      </w:rPr>
    </w:lvl>
    <w:lvl w:ilvl="2" w:tplc="E40A025A">
      <w:numFmt w:val="bullet"/>
      <w:lvlText w:val="•"/>
      <w:lvlJc w:val="left"/>
      <w:pPr>
        <w:ind w:left="2977" w:hanging="267"/>
      </w:pPr>
      <w:rPr>
        <w:rFonts w:hint="default"/>
        <w:lang w:val="es-ES" w:eastAsia="en-US" w:bidi="ar-SA"/>
      </w:rPr>
    </w:lvl>
    <w:lvl w:ilvl="3" w:tplc="A9326EA0">
      <w:numFmt w:val="bullet"/>
      <w:lvlText w:val="•"/>
      <w:lvlJc w:val="left"/>
      <w:pPr>
        <w:ind w:left="3916" w:hanging="267"/>
      </w:pPr>
      <w:rPr>
        <w:rFonts w:hint="default"/>
        <w:lang w:val="es-ES" w:eastAsia="en-US" w:bidi="ar-SA"/>
      </w:rPr>
    </w:lvl>
    <w:lvl w:ilvl="4" w:tplc="74B01D36">
      <w:numFmt w:val="bullet"/>
      <w:lvlText w:val="•"/>
      <w:lvlJc w:val="left"/>
      <w:pPr>
        <w:ind w:left="4855" w:hanging="267"/>
      </w:pPr>
      <w:rPr>
        <w:rFonts w:hint="default"/>
        <w:lang w:val="es-ES" w:eastAsia="en-US" w:bidi="ar-SA"/>
      </w:rPr>
    </w:lvl>
    <w:lvl w:ilvl="5" w:tplc="16DAE9B2">
      <w:numFmt w:val="bullet"/>
      <w:lvlText w:val="•"/>
      <w:lvlJc w:val="left"/>
      <w:pPr>
        <w:ind w:left="5794" w:hanging="267"/>
      </w:pPr>
      <w:rPr>
        <w:rFonts w:hint="default"/>
        <w:lang w:val="es-ES" w:eastAsia="en-US" w:bidi="ar-SA"/>
      </w:rPr>
    </w:lvl>
    <w:lvl w:ilvl="6" w:tplc="D8F48A6E">
      <w:numFmt w:val="bullet"/>
      <w:lvlText w:val="•"/>
      <w:lvlJc w:val="left"/>
      <w:pPr>
        <w:ind w:left="6733" w:hanging="267"/>
      </w:pPr>
      <w:rPr>
        <w:rFonts w:hint="default"/>
        <w:lang w:val="es-ES" w:eastAsia="en-US" w:bidi="ar-SA"/>
      </w:rPr>
    </w:lvl>
    <w:lvl w:ilvl="7" w:tplc="468E1954">
      <w:numFmt w:val="bullet"/>
      <w:lvlText w:val="•"/>
      <w:lvlJc w:val="left"/>
      <w:pPr>
        <w:ind w:left="7672" w:hanging="267"/>
      </w:pPr>
      <w:rPr>
        <w:rFonts w:hint="default"/>
        <w:lang w:val="es-ES" w:eastAsia="en-US" w:bidi="ar-SA"/>
      </w:rPr>
    </w:lvl>
    <w:lvl w:ilvl="8" w:tplc="118C7C42">
      <w:numFmt w:val="bullet"/>
      <w:lvlText w:val="•"/>
      <w:lvlJc w:val="left"/>
      <w:pPr>
        <w:ind w:left="8611" w:hanging="267"/>
      </w:pPr>
      <w:rPr>
        <w:rFonts w:hint="default"/>
        <w:lang w:val="es-ES" w:eastAsia="en-US" w:bidi="ar-SA"/>
      </w:rPr>
    </w:lvl>
  </w:abstractNum>
  <w:abstractNum w:abstractNumId="93" w15:restartNumberingAfterBreak="0">
    <w:nsid w:val="255C75B0"/>
    <w:multiLevelType w:val="hybridMultilevel"/>
    <w:tmpl w:val="886283DC"/>
    <w:lvl w:ilvl="0" w:tplc="0608D472">
      <w:start w:val="1"/>
      <w:numFmt w:val="upperRoman"/>
      <w:lvlText w:val="%1."/>
      <w:lvlJc w:val="left"/>
      <w:pPr>
        <w:ind w:left="1106" w:hanging="203"/>
        <w:jc w:val="right"/>
      </w:pPr>
      <w:rPr>
        <w:rFonts w:ascii="Arial MT" w:eastAsia="Arial MT" w:hAnsi="Arial MT" w:cs="Arial MT" w:hint="default"/>
        <w:b w:val="0"/>
        <w:bCs w:val="0"/>
        <w:i w:val="0"/>
        <w:iCs w:val="0"/>
        <w:spacing w:val="0"/>
        <w:w w:val="99"/>
        <w:sz w:val="20"/>
        <w:szCs w:val="20"/>
        <w:lang w:val="es-ES" w:eastAsia="en-US" w:bidi="ar-SA"/>
      </w:rPr>
    </w:lvl>
    <w:lvl w:ilvl="1" w:tplc="A3CC717E">
      <w:start w:val="1"/>
      <w:numFmt w:val="decimal"/>
      <w:lvlText w:val="%2."/>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2" w:tplc="5C104BF2">
      <w:numFmt w:val="bullet"/>
      <w:lvlText w:val="•"/>
      <w:lvlJc w:val="left"/>
      <w:pPr>
        <w:ind w:left="2977" w:hanging="232"/>
      </w:pPr>
      <w:rPr>
        <w:rFonts w:hint="default"/>
        <w:lang w:val="es-ES" w:eastAsia="en-US" w:bidi="ar-SA"/>
      </w:rPr>
    </w:lvl>
    <w:lvl w:ilvl="3" w:tplc="115A1BE6">
      <w:numFmt w:val="bullet"/>
      <w:lvlText w:val="•"/>
      <w:lvlJc w:val="left"/>
      <w:pPr>
        <w:ind w:left="3916" w:hanging="232"/>
      </w:pPr>
      <w:rPr>
        <w:rFonts w:hint="default"/>
        <w:lang w:val="es-ES" w:eastAsia="en-US" w:bidi="ar-SA"/>
      </w:rPr>
    </w:lvl>
    <w:lvl w:ilvl="4" w:tplc="B0F4150E">
      <w:numFmt w:val="bullet"/>
      <w:lvlText w:val="•"/>
      <w:lvlJc w:val="left"/>
      <w:pPr>
        <w:ind w:left="4855" w:hanging="232"/>
      </w:pPr>
      <w:rPr>
        <w:rFonts w:hint="default"/>
        <w:lang w:val="es-ES" w:eastAsia="en-US" w:bidi="ar-SA"/>
      </w:rPr>
    </w:lvl>
    <w:lvl w:ilvl="5" w:tplc="243ED5EE">
      <w:numFmt w:val="bullet"/>
      <w:lvlText w:val="•"/>
      <w:lvlJc w:val="left"/>
      <w:pPr>
        <w:ind w:left="5794" w:hanging="232"/>
      </w:pPr>
      <w:rPr>
        <w:rFonts w:hint="default"/>
        <w:lang w:val="es-ES" w:eastAsia="en-US" w:bidi="ar-SA"/>
      </w:rPr>
    </w:lvl>
    <w:lvl w:ilvl="6" w:tplc="BB4C07A2">
      <w:numFmt w:val="bullet"/>
      <w:lvlText w:val="•"/>
      <w:lvlJc w:val="left"/>
      <w:pPr>
        <w:ind w:left="6733" w:hanging="232"/>
      </w:pPr>
      <w:rPr>
        <w:rFonts w:hint="default"/>
        <w:lang w:val="es-ES" w:eastAsia="en-US" w:bidi="ar-SA"/>
      </w:rPr>
    </w:lvl>
    <w:lvl w:ilvl="7" w:tplc="453EC868">
      <w:numFmt w:val="bullet"/>
      <w:lvlText w:val="•"/>
      <w:lvlJc w:val="left"/>
      <w:pPr>
        <w:ind w:left="7672" w:hanging="232"/>
      </w:pPr>
      <w:rPr>
        <w:rFonts w:hint="default"/>
        <w:lang w:val="es-ES" w:eastAsia="en-US" w:bidi="ar-SA"/>
      </w:rPr>
    </w:lvl>
    <w:lvl w:ilvl="8" w:tplc="EC7E1E54">
      <w:numFmt w:val="bullet"/>
      <w:lvlText w:val="•"/>
      <w:lvlJc w:val="left"/>
      <w:pPr>
        <w:ind w:left="8611" w:hanging="232"/>
      </w:pPr>
      <w:rPr>
        <w:rFonts w:hint="default"/>
        <w:lang w:val="es-ES" w:eastAsia="en-US" w:bidi="ar-SA"/>
      </w:rPr>
    </w:lvl>
  </w:abstractNum>
  <w:abstractNum w:abstractNumId="94" w15:restartNumberingAfterBreak="0">
    <w:nsid w:val="25CB0971"/>
    <w:multiLevelType w:val="hybridMultilevel"/>
    <w:tmpl w:val="A830AE3E"/>
    <w:lvl w:ilvl="0" w:tplc="F09044E8">
      <w:start w:val="2"/>
      <w:numFmt w:val="decimal"/>
      <w:lvlText w:val="%1."/>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1" w:tplc="014C273E">
      <w:start w:val="1"/>
      <w:numFmt w:val="lowerLetter"/>
      <w:lvlText w:val="%2)"/>
      <w:lvlJc w:val="left"/>
      <w:pPr>
        <w:ind w:left="1106" w:hanging="307"/>
        <w:jc w:val="left"/>
      </w:pPr>
      <w:rPr>
        <w:rFonts w:ascii="Arial MT" w:eastAsia="Arial MT" w:hAnsi="Arial MT" w:cs="Arial MT" w:hint="default"/>
        <w:b w:val="0"/>
        <w:bCs w:val="0"/>
        <w:i w:val="0"/>
        <w:iCs w:val="0"/>
        <w:spacing w:val="0"/>
        <w:w w:val="100"/>
        <w:sz w:val="20"/>
        <w:szCs w:val="20"/>
        <w:lang w:val="es-ES" w:eastAsia="en-US" w:bidi="ar-SA"/>
      </w:rPr>
    </w:lvl>
    <w:lvl w:ilvl="2" w:tplc="C150CC36">
      <w:numFmt w:val="bullet"/>
      <w:lvlText w:val="•"/>
      <w:lvlJc w:val="left"/>
      <w:pPr>
        <w:ind w:left="2977" w:hanging="307"/>
      </w:pPr>
      <w:rPr>
        <w:rFonts w:hint="default"/>
        <w:lang w:val="es-ES" w:eastAsia="en-US" w:bidi="ar-SA"/>
      </w:rPr>
    </w:lvl>
    <w:lvl w:ilvl="3" w:tplc="B6C2B07E">
      <w:numFmt w:val="bullet"/>
      <w:lvlText w:val="•"/>
      <w:lvlJc w:val="left"/>
      <w:pPr>
        <w:ind w:left="3916" w:hanging="307"/>
      </w:pPr>
      <w:rPr>
        <w:rFonts w:hint="default"/>
        <w:lang w:val="es-ES" w:eastAsia="en-US" w:bidi="ar-SA"/>
      </w:rPr>
    </w:lvl>
    <w:lvl w:ilvl="4" w:tplc="441E9840">
      <w:numFmt w:val="bullet"/>
      <w:lvlText w:val="•"/>
      <w:lvlJc w:val="left"/>
      <w:pPr>
        <w:ind w:left="4855" w:hanging="307"/>
      </w:pPr>
      <w:rPr>
        <w:rFonts w:hint="default"/>
        <w:lang w:val="es-ES" w:eastAsia="en-US" w:bidi="ar-SA"/>
      </w:rPr>
    </w:lvl>
    <w:lvl w:ilvl="5" w:tplc="53FC5C0C">
      <w:numFmt w:val="bullet"/>
      <w:lvlText w:val="•"/>
      <w:lvlJc w:val="left"/>
      <w:pPr>
        <w:ind w:left="5794" w:hanging="307"/>
      </w:pPr>
      <w:rPr>
        <w:rFonts w:hint="default"/>
        <w:lang w:val="es-ES" w:eastAsia="en-US" w:bidi="ar-SA"/>
      </w:rPr>
    </w:lvl>
    <w:lvl w:ilvl="6" w:tplc="957C5EA6">
      <w:numFmt w:val="bullet"/>
      <w:lvlText w:val="•"/>
      <w:lvlJc w:val="left"/>
      <w:pPr>
        <w:ind w:left="6733" w:hanging="307"/>
      </w:pPr>
      <w:rPr>
        <w:rFonts w:hint="default"/>
        <w:lang w:val="es-ES" w:eastAsia="en-US" w:bidi="ar-SA"/>
      </w:rPr>
    </w:lvl>
    <w:lvl w:ilvl="7" w:tplc="7AF6C6C2">
      <w:numFmt w:val="bullet"/>
      <w:lvlText w:val="•"/>
      <w:lvlJc w:val="left"/>
      <w:pPr>
        <w:ind w:left="7672" w:hanging="307"/>
      </w:pPr>
      <w:rPr>
        <w:rFonts w:hint="default"/>
        <w:lang w:val="es-ES" w:eastAsia="en-US" w:bidi="ar-SA"/>
      </w:rPr>
    </w:lvl>
    <w:lvl w:ilvl="8" w:tplc="96D6F600">
      <w:numFmt w:val="bullet"/>
      <w:lvlText w:val="•"/>
      <w:lvlJc w:val="left"/>
      <w:pPr>
        <w:ind w:left="8611" w:hanging="307"/>
      </w:pPr>
      <w:rPr>
        <w:rFonts w:hint="default"/>
        <w:lang w:val="es-ES" w:eastAsia="en-US" w:bidi="ar-SA"/>
      </w:rPr>
    </w:lvl>
  </w:abstractNum>
  <w:abstractNum w:abstractNumId="95" w15:restartNumberingAfterBreak="0">
    <w:nsid w:val="27132B9A"/>
    <w:multiLevelType w:val="hybridMultilevel"/>
    <w:tmpl w:val="C4C8BCB2"/>
    <w:lvl w:ilvl="0" w:tplc="7EC84D58">
      <w:start w:val="1"/>
      <w:numFmt w:val="decimal"/>
      <w:lvlText w:val="%1."/>
      <w:lvlJc w:val="left"/>
      <w:pPr>
        <w:ind w:left="1106" w:hanging="262"/>
        <w:jc w:val="left"/>
      </w:pPr>
      <w:rPr>
        <w:rFonts w:ascii="Arial MT" w:eastAsia="Arial MT" w:hAnsi="Arial MT" w:cs="Arial MT" w:hint="default"/>
        <w:b w:val="0"/>
        <w:bCs w:val="0"/>
        <w:i w:val="0"/>
        <w:iCs w:val="0"/>
        <w:spacing w:val="0"/>
        <w:w w:val="100"/>
        <w:sz w:val="20"/>
        <w:szCs w:val="20"/>
        <w:lang w:val="es-ES" w:eastAsia="en-US" w:bidi="ar-SA"/>
      </w:rPr>
    </w:lvl>
    <w:lvl w:ilvl="1" w:tplc="8D2C681E">
      <w:numFmt w:val="bullet"/>
      <w:lvlText w:val="•"/>
      <w:lvlJc w:val="left"/>
      <w:pPr>
        <w:ind w:left="2038" w:hanging="262"/>
      </w:pPr>
      <w:rPr>
        <w:rFonts w:hint="default"/>
        <w:lang w:val="es-ES" w:eastAsia="en-US" w:bidi="ar-SA"/>
      </w:rPr>
    </w:lvl>
    <w:lvl w:ilvl="2" w:tplc="B336A3D8">
      <w:numFmt w:val="bullet"/>
      <w:lvlText w:val="•"/>
      <w:lvlJc w:val="left"/>
      <w:pPr>
        <w:ind w:left="2977" w:hanging="262"/>
      </w:pPr>
      <w:rPr>
        <w:rFonts w:hint="default"/>
        <w:lang w:val="es-ES" w:eastAsia="en-US" w:bidi="ar-SA"/>
      </w:rPr>
    </w:lvl>
    <w:lvl w:ilvl="3" w:tplc="2D7C5FF4">
      <w:numFmt w:val="bullet"/>
      <w:lvlText w:val="•"/>
      <w:lvlJc w:val="left"/>
      <w:pPr>
        <w:ind w:left="3916" w:hanging="262"/>
      </w:pPr>
      <w:rPr>
        <w:rFonts w:hint="default"/>
        <w:lang w:val="es-ES" w:eastAsia="en-US" w:bidi="ar-SA"/>
      </w:rPr>
    </w:lvl>
    <w:lvl w:ilvl="4" w:tplc="A91C17F2">
      <w:numFmt w:val="bullet"/>
      <w:lvlText w:val="•"/>
      <w:lvlJc w:val="left"/>
      <w:pPr>
        <w:ind w:left="4855" w:hanging="262"/>
      </w:pPr>
      <w:rPr>
        <w:rFonts w:hint="default"/>
        <w:lang w:val="es-ES" w:eastAsia="en-US" w:bidi="ar-SA"/>
      </w:rPr>
    </w:lvl>
    <w:lvl w:ilvl="5" w:tplc="EE921174">
      <w:numFmt w:val="bullet"/>
      <w:lvlText w:val="•"/>
      <w:lvlJc w:val="left"/>
      <w:pPr>
        <w:ind w:left="5794" w:hanging="262"/>
      </w:pPr>
      <w:rPr>
        <w:rFonts w:hint="default"/>
        <w:lang w:val="es-ES" w:eastAsia="en-US" w:bidi="ar-SA"/>
      </w:rPr>
    </w:lvl>
    <w:lvl w:ilvl="6" w:tplc="DAC66DF2">
      <w:numFmt w:val="bullet"/>
      <w:lvlText w:val="•"/>
      <w:lvlJc w:val="left"/>
      <w:pPr>
        <w:ind w:left="6733" w:hanging="262"/>
      </w:pPr>
      <w:rPr>
        <w:rFonts w:hint="default"/>
        <w:lang w:val="es-ES" w:eastAsia="en-US" w:bidi="ar-SA"/>
      </w:rPr>
    </w:lvl>
    <w:lvl w:ilvl="7" w:tplc="4C548C98">
      <w:numFmt w:val="bullet"/>
      <w:lvlText w:val="•"/>
      <w:lvlJc w:val="left"/>
      <w:pPr>
        <w:ind w:left="7672" w:hanging="262"/>
      </w:pPr>
      <w:rPr>
        <w:rFonts w:hint="default"/>
        <w:lang w:val="es-ES" w:eastAsia="en-US" w:bidi="ar-SA"/>
      </w:rPr>
    </w:lvl>
    <w:lvl w:ilvl="8" w:tplc="44DC3732">
      <w:numFmt w:val="bullet"/>
      <w:lvlText w:val="•"/>
      <w:lvlJc w:val="left"/>
      <w:pPr>
        <w:ind w:left="8611" w:hanging="262"/>
      </w:pPr>
      <w:rPr>
        <w:rFonts w:hint="default"/>
        <w:lang w:val="es-ES" w:eastAsia="en-US" w:bidi="ar-SA"/>
      </w:rPr>
    </w:lvl>
  </w:abstractNum>
  <w:abstractNum w:abstractNumId="96" w15:restartNumberingAfterBreak="0">
    <w:nsid w:val="277310CF"/>
    <w:multiLevelType w:val="hybridMultilevel"/>
    <w:tmpl w:val="FEBE843A"/>
    <w:lvl w:ilvl="0" w:tplc="401C0156">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AFDC3B90">
      <w:numFmt w:val="bullet"/>
      <w:lvlText w:val="•"/>
      <w:lvlJc w:val="left"/>
      <w:pPr>
        <w:ind w:left="2038" w:hanging="249"/>
      </w:pPr>
      <w:rPr>
        <w:rFonts w:hint="default"/>
        <w:lang w:val="es-ES" w:eastAsia="en-US" w:bidi="ar-SA"/>
      </w:rPr>
    </w:lvl>
    <w:lvl w:ilvl="2" w:tplc="78FCFA70">
      <w:numFmt w:val="bullet"/>
      <w:lvlText w:val="•"/>
      <w:lvlJc w:val="left"/>
      <w:pPr>
        <w:ind w:left="2977" w:hanging="249"/>
      </w:pPr>
      <w:rPr>
        <w:rFonts w:hint="default"/>
        <w:lang w:val="es-ES" w:eastAsia="en-US" w:bidi="ar-SA"/>
      </w:rPr>
    </w:lvl>
    <w:lvl w:ilvl="3" w:tplc="2D5C6C1A">
      <w:numFmt w:val="bullet"/>
      <w:lvlText w:val="•"/>
      <w:lvlJc w:val="left"/>
      <w:pPr>
        <w:ind w:left="3916" w:hanging="249"/>
      </w:pPr>
      <w:rPr>
        <w:rFonts w:hint="default"/>
        <w:lang w:val="es-ES" w:eastAsia="en-US" w:bidi="ar-SA"/>
      </w:rPr>
    </w:lvl>
    <w:lvl w:ilvl="4" w:tplc="A2AE9C66">
      <w:numFmt w:val="bullet"/>
      <w:lvlText w:val="•"/>
      <w:lvlJc w:val="left"/>
      <w:pPr>
        <w:ind w:left="4855" w:hanging="249"/>
      </w:pPr>
      <w:rPr>
        <w:rFonts w:hint="default"/>
        <w:lang w:val="es-ES" w:eastAsia="en-US" w:bidi="ar-SA"/>
      </w:rPr>
    </w:lvl>
    <w:lvl w:ilvl="5" w:tplc="5A7CD148">
      <w:numFmt w:val="bullet"/>
      <w:lvlText w:val="•"/>
      <w:lvlJc w:val="left"/>
      <w:pPr>
        <w:ind w:left="5794" w:hanging="249"/>
      </w:pPr>
      <w:rPr>
        <w:rFonts w:hint="default"/>
        <w:lang w:val="es-ES" w:eastAsia="en-US" w:bidi="ar-SA"/>
      </w:rPr>
    </w:lvl>
    <w:lvl w:ilvl="6" w:tplc="3B2A4606">
      <w:numFmt w:val="bullet"/>
      <w:lvlText w:val="•"/>
      <w:lvlJc w:val="left"/>
      <w:pPr>
        <w:ind w:left="6733" w:hanging="249"/>
      </w:pPr>
      <w:rPr>
        <w:rFonts w:hint="default"/>
        <w:lang w:val="es-ES" w:eastAsia="en-US" w:bidi="ar-SA"/>
      </w:rPr>
    </w:lvl>
    <w:lvl w:ilvl="7" w:tplc="E5382D86">
      <w:numFmt w:val="bullet"/>
      <w:lvlText w:val="•"/>
      <w:lvlJc w:val="left"/>
      <w:pPr>
        <w:ind w:left="7672" w:hanging="249"/>
      </w:pPr>
      <w:rPr>
        <w:rFonts w:hint="default"/>
        <w:lang w:val="es-ES" w:eastAsia="en-US" w:bidi="ar-SA"/>
      </w:rPr>
    </w:lvl>
    <w:lvl w:ilvl="8" w:tplc="D92C0446">
      <w:numFmt w:val="bullet"/>
      <w:lvlText w:val="•"/>
      <w:lvlJc w:val="left"/>
      <w:pPr>
        <w:ind w:left="8611" w:hanging="249"/>
      </w:pPr>
      <w:rPr>
        <w:rFonts w:hint="default"/>
        <w:lang w:val="es-ES" w:eastAsia="en-US" w:bidi="ar-SA"/>
      </w:rPr>
    </w:lvl>
  </w:abstractNum>
  <w:abstractNum w:abstractNumId="97" w15:restartNumberingAfterBreak="0">
    <w:nsid w:val="27732B06"/>
    <w:multiLevelType w:val="hybridMultilevel"/>
    <w:tmpl w:val="717654D8"/>
    <w:lvl w:ilvl="0" w:tplc="7450B550">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4B008D40">
      <w:numFmt w:val="bullet"/>
      <w:lvlText w:val="•"/>
      <w:lvlJc w:val="left"/>
      <w:pPr>
        <w:ind w:left="2038" w:hanging="249"/>
      </w:pPr>
      <w:rPr>
        <w:rFonts w:hint="default"/>
        <w:lang w:val="es-ES" w:eastAsia="en-US" w:bidi="ar-SA"/>
      </w:rPr>
    </w:lvl>
    <w:lvl w:ilvl="2" w:tplc="7058406A">
      <w:numFmt w:val="bullet"/>
      <w:lvlText w:val="•"/>
      <w:lvlJc w:val="left"/>
      <w:pPr>
        <w:ind w:left="2977" w:hanging="249"/>
      </w:pPr>
      <w:rPr>
        <w:rFonts w:hint="default"/>
        <w:lang w:val="es-ES" w:eastAsia="en-US" w:bidi="ar-SA"/>
      </w:rPr>
    </w:lvl>
    <w:lvl w:ilvl="3" w:tplc="853E1200">
      <w:numFmt w:val="bullet"/>
      <w:lvlText w:val="•"/>
      <w:lvlJc w:val="left"/>
      <w:pPr>
        <w:ind w:left="3916" w:hanging="249"/>
      </w:pPr>
      <w:rPr>
        <w:rFonts w:hint="default"/>
        <w:lang w:val="es-ES" w:eastAsia="en-US" w:bidi="ar-SA"/>
      </w:rPr>
    </w:lvl>
    <w:lvl w:ilvl="4" w:tplc="FDBA9070">
      <w:numFmt w:val="bullet"/>
      <w:lvlText w:val="•"/>
      <w:lvlJc w:val="left"/>
      <w:pPr>
        <w:ind w:left="4855" w:hanging="249"/>
      </w:pPr>
      <w:rPr>
        <w:rFonts w:hint="default"/>
        <w:lang w:val="es-ES" w:eastAsia="en-US" w:bidi="ar-SA"/>
      </w:rPr>
    </w:lvl>
    <w:lvl w:ilvl="5" w:tplc="83283A16">
      <w:numFmt w:val="bullet"/>
      <w:lvlText w:val="•"/>
      <w:lvlJc w:val="left"/>
      <w:pPr>
        <w:ind w:left="5794" w:hanging="249"/>
      </w:pPr>
      <w:rPr>
        <w:rFonts w:hint="default"/>
        <w:lang w:val="es-ES" w:eastAsia="en-US" w:bidi="ar-SA"/>
      </w:rPr>
    </w:lvl>
    <w:lvl w:ilvl="6" w:tplc="A9B051BE">
      <w:numFmt w:val="bullet"/>
      <w:lvlText w:val="•"/>
      <w:lvlJc w:val="left"/>
      <w:pPr>
        <w:ind w:left="6733" w:hanging="249"/>
      </w:pPr>
      <w:rPr>
        <w:rFonts w:hint="default"/>
        <w:lang w:val="es-ES" w:eastAsia="en-US" w:bidi="ar-SA"/>
      </w:rPr>
    </w:lvl>
    <w:lvl w:ilvl="7" w:tplc="7CE27D6C">
      <w:numFmt w:val="bullet"/>
      <w:lvlText w:val="•"/>
      <w:lvlJc w:val="left"/>
      <w:pPr>
        <w:ind w:left="7672" w:hanging="249"/>
      </w:pPr>
      <w:rPr>
        <w:rFonts w:hint="default"/>
        <w:lang w:val="es-ES" w:eastAsia="en-US" w:bidi="ar-SA"/>
      </w:rPr>
    </w:lvl>
    <w:lvl w:ilvl="8" w:tplc="1FF2FC5E">
      <w:numFmt w:val="bullet"/>
      <w:lvlText w:val="•"/>
      <w:lvlJc w:val="left"/>
      <w:pPr>
        <w:ind w:left="8611" w:hanging="249"/>
      </w:pPr>
      <w:rPr>
        <w:rFonts w:hint="default"/>
        <w:lang w:val="es-ES" w:eastAsia="en-US" w:bidi="ar-SA"/>
      </w:rPr>
    </w:lvl>
  </w:abstractNum>
  <w:abstractNum w:abstractNumId="98" w15:restartNumberingAfterBreak="0">
    <w:nsid w:val="2804675B"/>
    <w:multiLevelType w:val="hybridMultilevel"/>
    <w:tmpl w:val="A08A422C"/>
    <w:lvl w:ilvl="0" w:tplc="E432E19A">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77F8E370">
      <w:start w:val="1"/>
      <w:numFmt w:val="lowerLetter"/>
      <w:lvlText w:val="%2)"/>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2" w:tplc="BECA0348">
      <w:numFmt w:val="bullet"/>
      <w:lvlText w:val="•"/>
      <w:lvlJc w:val="left"/>
      <w:pPr>
        <w:ind w:left="2977" w:hanging="249"/>
      </w:pPr>
      <w:rPr>
        <w:rFonts w:hint="default"/>
        <w:lang w:val="es-ES" w:eastAsia="en-US" w:bidi="ar-SA"/>
      </w:rPr>
    </w:lvl>
    <w:lvl w:ilvl="3" w:tplc="46B26C58">
      <w:numFmt w:val="bullet"/>
      <w:lvlText w:val="•"/>
      <w:lvlJc w:val="left"/>
      <w:pPr>
        <w:ind w:left="3916" w:hanging="249"/>
      </w:pPr>
      <w:rPr>
        <w:rFonts w:hint="default"/>
        <w:lang w:val="es-ES" w:eastAsia="en-US" w:bidi="ar-SA"/>
      </w:rPr>
    </w:lvl>
    <w:lvl w:ilvl="4" w:tplc="E51ACA14">
      <w:numFmt w:val="bullet"/>
      <w:lvlText w:val="•"/>
      <w:lvlJc w:val="left"/>
      <w:pPr>
        <w:ind w:left="4855" w:hanging="249"/>
      </w:pPr>
      <w:rPr>
        <w:rFonts w:hint="default"/>
        <w:lang w:val="es-ES" w:eastAsia="en-US" w:bidi="ar-SA"/>
      </w:rPr>
    </w:lvl>
    <w:lvl w:ilvl="5" w:tplc="DF3469FE">
      <w:numFmt w:val="bullet"/>
      <w:lvlText w:val="•"/>
      <w:lvlJc w:val="left"/>
      <w:pPr>
        <w:ind w:left="5794" w:hanging="249"/>
      </w:pPr>
      <w:rPr>
        <w:rFonts w:hint="default"/>
        <w:lang w:val="es-ES" w:eastAsia="en-US" w:bidi="ar-SA"/>
      </w:rPr>
    </w:lvl>
    <w:lvl w:ilvl="6" w:tplc="CE701AFE">
      <w:numFmt w:val="bullet"/>
      <w:lvlText w:val="•"/>
      <w:lvlJc w:val="left"/>
      <w:pPr>
        <w:ind w:left="6733" w:hanging="249"/>
      </w:pPr>
      <w:rPr>
        <w:rFonts w:hint="default"/>
        <w:lang w:val="es-ES" w:eastAsia="en-US" w:bidi="ar-SA"/>
      </w:rPr>
    </w:lvl>
    <w:lvl w:ilvl="7" w:tplc="D80CFF48">
      <w:numFmt w:val="bullet"/>
      <w:lvlText w:val="•"/>
      <w:lvlJc w:val="left"/>
      <w:pPr>
        <w:ind w:left="7672" w:hanging="249"/>
      </w:pPr>
      <w:rPr>
        <w:rFonts w:hint="default"/>
        <w:lang w:val="es-ES" w:eastAsia="en-US" w:bidi="ar-SA"/>
      </w:rPr>
    </w:lvl>
    <w:lvl w:ilvl="8" w:tplc="FE8A8D0A">
      <w:numFmt w:val="bullet"/>
      <w:lvlText w:val="•"/>
      <w:lvlJc w:val="left"/>
      <w:pPr>
        <w:ind w:left="8611" w:hanging="249"/>
      </w:pPr>
      <w:rPr>
        <w:rFonts w:hint="default"/>
        <w:lang w:val="es-ES" w:eastAsia="en-US" w:bidi="ar-SA"/>
      </w:rPr>
    </w:lvl>
  </w:abstractNum>
  <w:abstractNum w:abstractNumId="99" w15:restartNumberingAfterBreak="0">
    <w:nsid w:val="289D38E7"/>
    <w:multiLevelType w:val="hybridMultilevel"/>
    <w:tmpl w:val="4A307A08"/>
    <w:lvl w:ilvl="0" w:tplc="03701DE4">
      <w:start w:val="1"/>
      <w:numFmt w:val="decimal"/>
      <w:lvlText w:val="%1."/>
      <w:lvlJc w:val="left"/>
      <w:pPr>
        <w:ind w:left="1106" w:hanging="226"/>
        <w:jc w:val="left"/>
      </w:pPr>
      <w:rPr>
        <w:rFonts w:ascii="Arial MT" w:eastAsia="Arial MT" w:hAnsi="Arial MT" w:cs="Arial MT" w:hint="default"/>
        <w:b w:val="0"/>
        <w:bCs w:val="0"/>
        <w:i w:val="0"/>
        <w:iCs w:val="0"/>
        <w:spacing w:val="0"/>
        <w:w w:val="100"/>
        <w:sz w:val="20"/>
        <w:szCs w:val="20"/>
        <w:lang w:val="es-ES" w:eastAsia="en-US" w:bidi="ar-SA"/>
      </w:rPr>
    </w:lvl>
    <w:lvl w:ilvl="1" w:tplc="FB6AB9B4">
      <w:numFmt w:val="bullet"/>
      <w:lvlText w:val="•"/>
      <w:lvlJc w:val="left"/>
      <w:pPr>
        <w:ind w:left="2038" w:hanging="226"/>
      </w:pPr>
      <w:rPr>
        <w:rFonts w:hint="default"/>
        <w:lang w:val="es-ES" w:eastAsia="en-US" w:bidi="ar-SA"/>
      </w:rPr>
    </w:lvl>
    <w:lvl w:ilvl="2" w:tplc="DFE4A918">
      <w:numFmt w:val="bullet"/>
      <w:lvlText w:val="•"/>
      <w:lvlJc w:val="left"/>
      <w:pPr>
        <w:ind w:left="2977" w:hanging="226"/>
      </w:pPr>
      <w:rPr>
        <w:rFonts w:hint="default"/>
        <w:lang w:val="es-ES" w:eastAsia="en-US" w:bidi="ar-SA"/>
      </w:rPr>
    </w:lvl>
    <w:lvl w:ilvl="3" w:tplc="7D886796">
      <w:numFmt w:val="bullet"/>
      <w:lvlText w:val="•"/>
      <w:lvlJc w:val="left"/>
      <w:pPr>
        <w:ind w:left="3916" w:hanging="226"/>
      </w:pPr>
      <w:rPr>
        <w:rFonts w:hint="default"/>
        <w:lang w:val="es-ES" w:eastAsia="en-US" w:bidi="ar-SA"/>
      </w:rPr>
    </w:lvl>
    <w:lvl w:ilvl="4" w:tplc="6A780E52">
      <w:numFmt w:val="bullet"/>
      <w:lvlText w:val="•"/>
      <w:lvlJc w:val="left"/>
      <w:pPr>
        <w:ind w:left="4855" w:hanging="226"/>
      </w:pPr>
      <w:rPr>
        <w:rFonts w:hint="default"/>
        <w:lang w:val="es-ES" w:eastAsia="en-US" w:bidi="ar-SA"/>
      </w:rPr>
    </w:lvl>
    <w:lvl w:ilvl="5" w:tplc="A35A1AD8">
      <w:numFmt w:val="bullet"/>
      <w:lvlText w:val="•"/>
      <w:lvlJc w:val="left"/>
      <w:pPr>
        <w:ind w:left="5794" w:hanging="226"/>
      </w:pPr>
      <w:rPr>
        <w:rFonts w:hint="default"/>
        <w:lang w:val="es-ES" w:eastAsia="en-US" w:bidi="ar-SA"/>
      </w:rPr>
    </w:lvl>
    <w:lvl w:ilvl="6" w:tplc="361AD5EC">
      <w:numFmt w:val="bullet"/>
      <w:lvlText w:val="•"/>
      <w:lvlJc w:val="left"/>
      <w:pPr>
        <w:ind w:left="6733" w:hanging="226"/>
      </w:pPr>
      <w:rPr>
        <w:rFonts w:hint="default"/>
        <w:lang w:val="es-ES" w:eastAsia="en-US" w:bidi="ar-SA"/>
      </w:rPr>
    </w:lvl>
    <w:lvl w:ilvl="7" w:tplc="7C8A462A">
      <w:numFmt w:val="bullet"/>
      <w:lvlText w:val="•"/>
      <w:lvlJc w:val="left"/>
      <w:pPr>
        <w:ind w:left="7672" w:hanging="226"/>
      </w:pPr>
      <w:rPr>
        <w:rFonts w:hint="default"/>
        <w:lang w:val="es-ES" w:eastAsia="en-US" w:bidi="ar-SA"/>
      </w:rPr>
    </w:lvl>
    <w:lvl w:ilvl="8" w:tplc="2092CCDE">
      <w:numFmt w:val="bullet"/>
      <w:lvlText w:val="•"/>
      <w:lvlJc w:val="left"/>
      <w:pPr>
        <w:ind w:left="8611" w:hanging="226"/>
      </w:pPr>
      <w:rPr>
        <w:rFonts w:hint="default"/>
        <w:lang w:val="es-ES" w:eastAsia="en-US" w:bidi="ar-SA"/>
      </w:rPr>
    </w:lvl>
  </w:abstractNum>
  <w:abstractNum w:abstractNumId="100" w15:restartNumberingAfterBreak="0">
    <w:nsid w:val="28AC7A34"/>
    <w:multiLevelType w:val="hybridMultilevel"/>
    <w:tmpl w:val="E3CC9064"/>
    <w:lvl w:ilvl="0" w:tplc="DE0E53E6">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2214A2F8">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8B608290">
      <w:numFmt w:val="bullet"/>
      <w:lvlText w:val="•"/>
      <w:lvlJc w:val="left"/>
      <w:pPr>
        <w:ind w:left="2658" w:hanging="252"/>
      </w:pPr>
      <w:rPr>
        <w:rFonts w:hint="default"/>
        <w:lang w:val="es-ES" w:eastAsia="en-US" w:bidi="ar-SA"/>
      </w:rPr>
    </w:lvl>
    <w:lvl w:ilvl="3" w:tplc="361C3584">
      <w:numFmt w:val="bullet"/>
      <w:lvlText w:val="•"/>
      <w:lvlJc w:val="left"/>
      <w:pPr>
        <w:ind w:left="3637" w:hanging="252"/>
      </w:pPr>
      <w:rPr>
        <w:rFonts w:hint="default"/>
        <w:lang w:val="es-ES" w:eastAsia="en-US" w:bidi="ar-SA"/>
      </w:rPr>
    </w:lvl>
    <w:lvl w:ilvl="4" w:tplc="64F0E464">
      <w:numFmt w:val="bullet"/>
      <w:lvlText w:val="•"/>
      <w:lvlJc w:val="left"/>
      <w:pPr>
        <w:ind w:left="4616" w:hanging="252"/>
      </w:pPr>
      <w:rPr>
        <w:rFonts w:hint="default"/>
        <w:lang w:val="es-ES" w:eastAsia="en-US" w:bidi="ar-SA"/>
      </w:rPr>
    </w:lvl>
    <w:lvl w:ilvl="5" w:tplc="8F260DAA">
      <w:numFmt w:val="bullet"/>
      <w:lvlText w:val="•"/>
      <w:lvlJc w:val="left"/>
      <w:pPr>
        <w:ind w:left="5595" w:hanging="252"/>
      </w:pPr>
      <w:rPr>
        <w:rFonts w:hint="default"/>
        <w:lang w:val="es-ES" w:eastAsia="en-US" w:bidi="ar-SA"/>
      </w:rPr>
    </w:lvl>
    <w:lvl w:ilvl="6" w:tplc="B9A8E520">
      <w:numFmt w:val="bullet"/>
      <w:lvlText w:val="•"/>
      <w:lvlJc w:val="left"/>
      <w:pPr>
        <w:ind w:left="6574" w:hanging="252"/>
      </w:pPr>
      <w:rPr>
        <w:rFonts w:hint="default"/>
        <w:lang w:val="es-ES" w:eastAsia="en-US" w:bidi="ar-SA"/>
      </w:rPr>
    </w:lvl>
    <w:lvl w:ilvl="7" w:tplc="938E57D2">
      <w:numFmt w:val="bullet"/>
      <w:lvlText w:val="•"/>
      <w:lvlJc w:val="left"/>
      <w:pPr>
        <w:ind w:left="7553" w:hanging="252"/>
      </w:pPr>
      <w:rPr>
        <w:rFonts w:hint="default"/>
        <w:lang w:val="es-ES" w:eastAsia="en-US" w:bidi="ar-SA"/>
      </w:rPr>
    </w:lvl>
    <w:lvl w:ilvl="8" w:tplc="68FC2DC0">
      <w:numFmt w:val="bullet"/>
      <w:lvlText w:val="•"/>
      <w:lvlJc w:val="left"/>
      <w:pPr>
        <w:ind w:left="8531" w:hanging="252"/>
      </w:pPr>
      <w:rPr>
        <w:rFonts w:hint="default"/>
        <w:lang w:val="es-ES" w:eastAsia="en-US" w:bidi="ar-SA"/>
      </w:rPr>
    </w:lvl>
  </w:abstractNum>
  <w:abstractNum w:abstractNumId="101" w15:restartNumberingAfterBreak="0">
    <w:nsid w:val="28E5251A"/>
    <w:multiLevelType w:val="hybridMultilevel"/>
    <w:tmpl w:val="012EB5E6"/>
    <w:lvl w:ilvl="0" w:tplc="A5E84C0E">
      <w:start w:val="1"/>
      <w:numFmt w:val="decimal"/>
      <w:lvlText w:val="%1."/>
      <w:lvlJc w:val="left"/>
      <w:pPr>
        <w:ind w:left="1106" w:hanging="244"/>
        <w:jc w:val="left"/>
      </w:pPr>
      <w:rPr>
        <w:rFonts w:ascii="Arial MT" w:eastAsia="Arial MT" w:hAnsi="Arial MT" w:cs="Arial MT" w:hint="default"/>
        <w:b w:val="0"/>
        <w:bCs w:val="0"/>
        <w:i w:val="0"/>
        <w:iCs w:val="0"/>
        <w:spacing w:val="0"/>
        <w:w w:val="100"/>
        <w:sz w:val="20"/>
        <w:szCs w:val="20"/>
        <w:lang w:val="es-ES" w:eastAsia="en-US" w:bidi="ar-SA"/>
      </w:rPr>
    </w:lvl>
    <w:lvl w:ilvl="1" w:tplc="2444BCFC">
      <w:numFmt w:val="bullet"/>
      <w:lvlText w:val="•"/>
      <w:lvlJc w:val="left"/>
      <w:pPr>
        <w:ind w:left="2038" w:hanging="244"/>
      </w:pPr>
      <w:rPr>
        <w:rFonts w:hint="default"/>
        <w:lang w:val="es-ES" w:eastAsia="en-US" w:bidi="ar-SA"/>
      </w:rPr>
    </w:lvl>
    <w:lvl w:ilvl="2" w:tplc="C27A76E0">
      <w:numFmt w:val="bullet"/>
      <w:lvlText w:val="•"/>
      <w:lvlJc w:val="left"/>
      <w:pPr>
        <w:ind w:left="2977" w:hanging="244"/>
      </w:pPr>
      <w:rPr>
        <w:rFonts w:hint="default"/>
        <w:lang w:val="es-ES" w:eastAsia="en-US" w:bidi="ar-SA"/>
      </w:rPr>
    </w:lvl>
    <w:lvl w:ilvl="3" w:tplc="00C6E99C">
      <w:numFmt w:val="bullet"/>
      <w:lvlText w:val="•"/>
      <w:lvlJc w:val="left"/>
      <w:pPr>
        <w:ind w:left="3916" w:hanging="244"/>
      </w:pPr>
      <w:rPr>
        <w:rFonts w:hint="default"/>
        <w:lang w:val="es-ES" w:eastAsia="en-US" w:bidi="ar-SA"/>
      </w:rPr>
    </w:lvl>
    <w:lvl w:ilvl="4" w:tplc="B572525A">
      <w:numFmt w:val="bullet"/>
      <w:lvlText w:val="•"/>
      <w:lvlJc w:val="left"/>
      <w:pPr>
        <w:ind w:left="4855" w:hanging="244"/>
      </w:pPr>
      <w:rPr>
        <w:rFonts w:hint="default"/>
        <w:lang w:val="es-ES" w:eastAsia="en-US" w:bidi="ar-SA"/>
      </w:rPr>
    </w:lvl>
    <w:lvl w:ilvl="5" w:tplc="957EA322">
      <w:numFmt w:val="bullet"/>
      <w:lvlText w:val="•"/>
      <w:lvlJc w:val="left"/>
      <w:pPr>
        <w:ind w:left="5794" w:hanging="244"/>
      </w:pPr>
      <w:rPr>
        <w:rFonts w:hint="default"/>
        <w:lang w:val="es-ES" w:eastAsia="en-US" w:bidi="ar-SA"/>
      </w:rPr>
    </w:lvl>
    <w:lvl w:ilvl="6" w:tplc="D05862AE">
      <w:numFmt w:val="bullet"/>
      <w:lvlText w:val="•"/>
      <w:lvlJc w:val="left"/>
      <w:pPr>
        <w:ind w:left="6733" w:hanging="244"/>
      </w:pPr>
      <w:rPr>
        <w:rFonts w:hint="default"/>
        <w:lang w:val="es-ES" w:eastAsia="en-US" w:bidi="ar-SA"/>
      </w:rPr>
    </w:lvl>
    <w:lvl w:ilvl="7" w:tplc="3BCE9DA8">
      <w:numFmt w:val="bullet"/>
      <w:lvlText w:val="•"/>
      <w:lvlJc w:val="left"/>
      <w:pPr>
        <w:ind w:left="7672" w:hanging="244"/>
      </w:pPr>
      <w:rPr>
        <w:rFonts w:hint="default"/>
        <w:lang w:val="es-ES" w:eastAsia="en-US" w:bidi="ar-SA"/>
      </w:rPr>
    </w:lvl>
    <w:lvl w:ilvl="8" w:tplc="AA4A8122">
      <w:numFmt w:val="bullet"/>
      <w:lvlText w:val="•"/>
      <w:lvlJc w:val="left"/>
      <w:pPr>
        <w:ind w:left="8611" w:hanging="244"/>
      </w:pPr>
      <w:rPr>
        <w:rFonts w:hint="default"/>
        <w:lang w:val="es-ES" w:eastAsia="en-US" w:bidi="ar-SA"/>
      </w:rPr>
    </w:lvl>
  </w:abstractNum>
  <w:abstractNum w:abstractNumId="102" w15:restartNumberingAfterBreak="0">
    <w:nsid w:val="294E596B"/>
    <w:multiLevelType w:val="hybridMultilevel"/>
    <w:tmpl w:val="6160FC42"/>
    <w:lvl w:ilvl="0" w:tplc="0B2630B8">
      <w:start w:val="1"/>
      <w:numFmt w:val="decimal"/>
      <w:lvlText w:val="%1."/>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1" w:tplc="55D43CBA">
      <w:numFmt w:val="bullet"/>
      <w:lvlText w:val="•"/>
      <w:lvlJc w:val="left"/>
      <w:pPr>
        <w:ind w:left="2038" w:hanging="236"/>
      </w:pPr>
      <w:rPr>
        <w:rFonts w:hint="default"/>
        <w:lang w:val="es-ES" w:eastAsia="en-US" w:bidi="ar-SA"/>
      </w:rPr>
    </w:lvl>
    <w:lvl w:ilvl="2" w:tplc="0CA09E84">
      <w:numFmt w:val="bullet"/>
      <w:lvlText w:val="•"/>
      <w:lvlJc w:val="left"/>
      <w:pPr>
        <w:ind w:left="2977" w:hanging="236"/>
      </w:pPr>
      <w:rPr>
        <w:rFonts w:hint="default"/>
        <w:lang w:val="es-ES" w:eastAsia="en-US" w:bidi="ar-SA"/>
      </w:rPr>
    </w:lvl>
    <w:lvl w:ilvl="3" w:tplc="DB46AC14">
      <w:numFmt w:val="bullet"/>
      <w:lvlText w:val="•"/>
      <w:lvlJc w:val="left"/>
      <w:pPr>
        <w:ind w:left="3916" w:hanging="236"/>
      </w:pPr>
      <w:rPr>
        <w:rFonts w:hint="default"/>
        <w:lang w:val="es-ES" w:eastAsia="en-US" w:bidi="ar-SA"/>
      </w:rPr>
    </w:lvl>
    <w:lvl w:ilvl="4" w:tplc="0B82BAF6">
      <w:numFmt w:val="bullet"/>
      <w:lvlText w:val="•"/>
      <w:lvlJc w:val="left"/>
      <w:pPr>
        <w:ind w:left="4855" w:hanging="236"/>
      </w:pPr>
      <w:rPr>
        <w:rFonts w:hint="default"/>
        <w:lang w:val="es-ES" w:eastAsia="en-US" w:bidi="ar-SA"/>
      </w:rPr>
    </w:lvl>
    <w:lvl w:ilvl="5" w:tplc="F90E3966">
      <w:numFmt w:val="bullet"/>
      <w:lvlText w:val="•"/>
      <w:lvlJc w:val="left"/>
      <w:pPr>
        <w:ind w:left="5794" w:hanging="236"/>
      </w:pPr>
      <w:rPr>
        <w:rFonts w:hint="default"/>
        <w:lang w:val="es-ES" w:eastAsia="en-US" w:bidi="ar-SA"/>
      </w:rPr>
    </w:lvl>
    <w:lvl w:ilvl="6" w:tplc="5E847E68">
      <w:numFmt w:val="bullet"/>
      <w:lvlText w:val="•"/>
      <w:lvlJc w:val="left"/>
      <w:pPr>
        <w:ind w:left="6733" w:hanging="236"/>
      </w:pPr>
      <w:rPr>
        <w:rFonts w:hint="default"/>
        <w:lang w:val="es-ES" w:eastAsia="en-US" w:bidi="ar-SA"/>
      </w:rPr>
    </w:lvl>
    <w:lvl w:ilvl="7" w:tplc="CA2A49D8">
      <w:numFmt w:val="bullet"/>
      <w:lvlText w:val="•"/>
      <w:lvlJc w:val="left"/>
      <w:pPr>
        <w:ind w:left="7672" w:hanging="236"/>
      </w:pPr>
      <w:rPr>
        <w:rFonts w:hint="default"/>
        <w:lang w:val="es-ES" w:eastAsia="en-US" w:bidi="ar-SA"/>
      </w:rPr>
    </w:lvl>
    <w:lvl w:ilvl="8" w:tplc="3EF00320">
      <w:numFmt w:val="bullet"/>
      <w:lvlText w:val="•"/>
      <w:lvlJc w:val="left"/>
      <w:pPr>
        <w:ind w:left="8611" w:hanging="236"/>
      </w:pPr>
      <w:rPr>
        <w:rFonts w:hint="default"/>
        <w:lang w:val="es-ES" w:eastAsia="en-US" w:bidi="ar-SA"/>
      </w:rPr>
    </w:lvl>
  </w:abstractNum>
  <w:abstractNum w:abstractNumId="103" w15:restartNumberingAfterBreak="0">
    <w:nsid w:val="297224AD"/>
    <w:multiLevelType w:val="hybridMultilevel"/>
    <w:tmpl w:val="7CA41BC0"/>
    <w:lvl w:ilvl="0" w:tplc="F640B62A">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05DE5ADE">
      <w:numFmt w:val="bullet"/>
      <w:lvlText w:val="•"/>
      <w:lvlJc w:val="left"/>
      <w:pPr>
        <w:ind w:left="2038" w:hanging="232"/>
      </w:pPr>
      <w:rPr>
        <w:rFonts w:hint="default"/>
        <w:lang w:val="es-ES" w:eastAsia="en-US" w:bidi="ar-SA"/>
      </w:rPr>
    </w:lvl>
    <w:lvl w:ilvl="2" w:tplc="788E742C">
      <w:numFmt w:val="bullet"/>
      <w:lvlText w:val="•"/>
      <w:lvlJc w:val="left"/>
      <w:pPr>
        <w:ind w:left="2977" w:hanging="232"/>
      </w:pPr>
      <w:rPr>
        <w:rFonts w:hint="default"/>
        <w:lang w:val="es-ES" w:eastAsia="en-US" w:bidi="ar-SA"/>
      </w:rPr>
    </w:lvl>
    <w:lvl w:ilvl="3" w:tplc="1808733C">
      <w:numFmt w:val="bullet"/>
      <w:lvlText w:val="•"/>
      <w:lvlJc w:val="left"/>
      <w:pPr>
        <w:ind w:left="3916" w:hanging="232"/>
      </w:pPr>
      <w:rPr>
        <w:rFonts w:hint="default"/>
        <w:lang w:val="es-ES" w:eastAsia="en-US" w:bidi="ar-SA"/>
      </w:rPr>
    </w:lvl>
    <w:lvl w:ilvl="4" w:tplc="32D0B258">
      <w:numFmt w:val="bullet"/>
      <w:lvlText w:val="•"/>
      <w:lvlJc w:val="left"/>
      <w:pPr>
        <w:ind w:left="4855" w:hanging="232"/>
      </w:pPr>
      <w:rPr>
        <w:rFonts w:hint="default"/>
        <w:lang w:val="es-ES" w:eastAsia="en-US" w:bidi="ar-SA"/>
      </w:rPr>
    </w:lvl>
    <w:lvl w:ilvl="5" w:tplc="901E6AFE">
      <w:numFmt w:val="bullet"/>
      <w:lvlText w:val="•"/>
      <w:lvlJc w:val="left"/>
      <w:pPr>
        <w:ind w:left="5794" w:hanging="232"/>
      </w:pPr>
      <w:rPr>
        <w:rFonts w:hint="default"/>
        <w:lang w:val="es-ES" w:eastAsia="en-US" w:bidi="ar-SA"/>
      </w:rPr>
    </w:lvl>
    <w:lvl w:ilvl="6" w:tplc="0BE6F772">
      <w:numFmt w:val="bullet"/>
      <w:lvlText w:val="•"/>
      <w:lvlJc w:val="left"/>
      <w:pPr>
        <w:ind w:left="6733" w:hanging="232"/>
      </w:pPr>
      <w:rPr>
        <w:rFonts w:hint="default"/>
        <w:lang w:val="es-ES" w:eastAsia="en-US" w:bidi="ar-SA"/>
      </w:rPr>
    </w:lvl>
    <w:lvl w:ilvl="7" w:tplc="7BBAECC8">
      <w:numFmt w:val="bullet"/>
      <w:lvlText w:val="•"/>
      <w:lvlJc w:val="left"/>
      <w:pPr>
        <w:ind w:left="7672" w:hanging="232"/>
      </w:pPr>
      <w:rPr>
        <w:rFonts w:hint="default"/>
        <w:lang w:val="es-ES" w:eastAsia="en-US" w:bidi="ar-SA"/>
      </w:rPr>
    </w:lvl>
    <w:lvl w:ilvl="8" w:tplc="6F582230">
      <w:numFmt w:val="bullet"/>
      <w:lvlText w:val="•"/>
      <w:lvlJc w:val="left"/>
      <w:pPr>
        <w:ind w:left="8611" w:hanging="232"/>
      </w:pPr>
      <w:rPr>
        <w:rFonts w:hint="default"/>
        <w:lang w:val="es-ES" w:eastAsia="en-US" w:bidi="ar-SA"/>
      </w:rPr>
    </w:lvl>
  </w:abstractNum>
  <w:abstractNum w:abstractNumId="104" w15:restartNumberingAfterBreak="0">
    <w:nsid w:val="297E07A1"/>
    <w:multiLevelType w:val="hybridMultilevel"/>
    <w:tmpl w:val="D0AC0BE6"/>
    <w:lvl w:ilvl="0" w:tplc="EAF8F348">
      <w:start w:val="1"/>
      <w:numFmt w:val="decimal"/>
      <w:lvlText w:val="%1."/>
      <w:lvlJc w:val="left"/>
      <w:pPr>
        <w:ind w:left="1106" w:hanging="264"/>
        <w:jc w:val="left"/>
      </w:pPr>
      <w:rPr>
        <w:rFonts w:ascii="Arial MT" w:eastAsia="Arial MT" w:hAnsi="Arial MT" w:cs="Arial MT" w:hint="default"/>
        <w:b w:val="0"/>
        <w:bCs w:val="0"/>
        <w:i w:val="0"/>
        <w:iCs w:val="0"/>
        <w:spacing w:val="0"/>
        <w:w w:val="100"/>
        <w:sz w:val="20"/>
        <w:szCs w:val="20"/>
        <w:lang w:val="es-ES" w:eastAsia="en-US" w:bidi="ar-SA"/>
      </w:rPr>
    </w:lvl>
    <w:lvl w:ilvl="1" w:tplc="DBBAF64E">
      <w:numFmt w:val="bullet"/>
      <w:lvlText w:val="•"/>
      <w:lvlJc w:val="left"/>
      <w:pPr>
        <w:ind w:left="2038" w:hanging="264"/>
      </w:pPr>
      <w:rPr>
        <w:rFonts w:hint="default"/>
        <w:lang w:val="es-ES" w:eastAsia="en-US" w:bidi="ar-SA"/>
      </w:rPr>
    </w:lvl>
    <w:lvl w:ilvl="2" w:tplc="C7C09258">
      <w:numFmt w:val="bullet"/>
      <w:lvlText w:val="•"/>
      <w:lvlJc w:val="left"/>
      <w:pPr>
        <w:ind w:left="2977" w:hanging="264"/>
      </w:pPr>
      <w:rPr>
        <w:rFonts w:hint="default"/>
        <w:lang w:val="es-ES" w:eastAsia="en-US" w:bidi="ar-SA"/>
      </w:rPr>
    </w:lvl>
    <w:lvl w:ilvl="3" w:tplc="C72EE15A">
      <w:numFmt w:val="bullet"/>
      <w:lvlText w:val="•"/>
      <w:lvlJc w:val="left"/>
      <w:pPr>
        <w:ind w:left="3916" w:hanging="264"/>
      </w:pPr>
      <w:rPr>
        <w:rFonts w:hint="default"/>
        <w:lang w:val="es-ES" w:eastAsia="en-US" w:bidi="ar-SA"/>
      </w:rPr>
    </w:lvl>
    <w:lvl w:ilvl="4" w:tplc="FE8E229E">
      <w:numFmt w:val="bullet"/>
      <w:lvlText w:val="•"/>
      <w:lvlJc w:val="left"/>
      <w:pPr>
        <w:ind w:left="4855" w:hanging="264"/>
      </w:pPr>
      <w:rPr>
        <w:rFonts w:hint="default"/>
        <w:lang w:val="es-ES" w:eastAsia="en-US" w:bidi="ar-SA"/>
      </w:rPr>
    </w:lvl>
    <w:lvl w:ilvl="5" w:tplc="897CD02E">
      <w:numFmt w:val="bullet"/>
      <w:lvlText w:val="•"/>
      <w:lvlJc w:val="left"/>
      <w:pPr>
        <w:ind w:left="5794" w:hanging="264"/>
      </w:pPr>
      <w:rPr>
        <w:rFonts w:hint="default"/>
        <w:lang w:val="es-ES" w:eastAsia="en-US" w:bidi="ar-SA"/>
      </w:rPr>
    </w:lvl>
    <w:lvl w:ilvl="6" w:tplc="026C200E">
      <w:numFmt w:val="bullet"/>
      <w:lvlText w:val="•"/>
      <w:lvlJc w:val="left"/>
      <w:pPr>
        <w:ind w:left="6733" w:hanging="264"/>
      </w:pPr>
      <w:rPr>
        <w:rFonts w:hint="default"/>
        <w:lang w:val="es-ES" w:eastAsia="en-US" w:bidi="ar-SA"/>
      </w:rPr>
    </w:lvl>
    <w:lvl w:ilvl="7" w:tplc="3E9AEF7A">
      <w:numFmt w:val="bullet"/>
      <w:lvlText w:val="•"/>
      <w:lvlJc w:val="left"/>
      <w:pPr>
        <w:ind w:left="7672" w:hanging="264"/>
      </w:pPr>
      <w:rPr>
        <w:rFonts w:hint="default"/>
        <w:lang w:val="es-ES" w:eastAsia="en-US" w:bidi="ar-SA"/>
      </w:rPr>
    </w:lvl>
    <w:lvl w:ilvl="8" w:tplc="D478A2DE">
      <w:numFmt w:val="bullet"/>
      <w:lvlText w:val="•"/>
      <w:lvlJc w:val="left"/>
      <w:pPr>
        <w:ind w:left="8611" w:hanging="264"/>
      </w:pPr>
      <w:rPr>
        <w:rFonts w:hint="default"/>
        <w:lang w:val="es-ES" w:eastAsia="en-US" w:bidi="ar-SA"/>
      </w:rPr>
    </w:lvl>
  </w:abstractNum>
  <w:abstractNum w:abstractNumId="105" w15:restartNumberingAfterBreak="0">
    <w:nsid w:val="29962206"/>
    <w:multiLevelType w:val="hybridMultilevel"/>
    <w:tmpl w:val="E90041FE"/>
    <w:lvl w:ilvl="0" w:tplc="2CFC36C6">
      <w:start w:val="1"/>
      <w:numFmt w:val="decimal"/>
      <w:lvlText w:val="%1."/>
      <w:lvlJc w:val="left"/>
      <w:pPr>
        <w:ind w:left="1106" w:hanging="291"/>
        <w:jc w:val="left"/>
      </w:pPr>
      <w:rPr>
        <w:rFonts w:ascii="Arial MT" w:eastAsia="Arial MT" w:hAnsi="Arial MT" w:cs="Arial MT" w:hint="default"/>
        <w:b w:val="0"/>
        <w:bCs w:val="0"/>
        <w:i w:val="0"/>
        <w:iCs w:val="0"/>
        <w:spacing w:val="0"/>
        <w:w w:val="100"/>
        <w:sz w:val="20"/>
        <w:szCs w:val="20"/>
        <w:lang w:val="es-ES" w:eastAsia="en-US" w:bidi="ar-SA"/>
      </w:rPr>
    </w:lvl>
    <w:lvl w:ilvl="1" w:tplc="ABC06FCE">
      <w:numFmt w:val="bullet"/>
      <w:lvlText w:val="•"/>
      <w:lvlJc w:val="left"/>
      <w:pPr>
        <w:ind w:left="2038" w:hanging="291"/>
      </w:pPr>
      <w:rPr>
        <w:rFonts w:hint="default"/>
        <w:lang w:val="es-ES" w:eastAsia="en-US" w:bidi="ar-SA"/>
      </w:rPr>
    </w:lvl>
    <w:lvl w:ilvl="2" w:tplc="90BE6672">
      <w:numFmt w:val="bullet"/>
      <w:lvlText w:val="•"/>
      <w:lvlJc w:val="left"/>
      <w:pPr>
        <w:ind w:left="2977" w:hanging="291"/>
      </w:pPr>
      <w:rPr>
        <w:rFonts w:hint="default"/>
        <w:lang w:val="es-ES" w:eastAsia="en-US" w:bidi="ar-SA"/>
      </w:rPr>
    </w:lvl>
    <w:lvl w:ilvl="3" w:tplc="8C88C438">
      <w:numFmt w:val="bullet"/>
      <w:lvlText w:val="•"/>
      <w:lvlJc w:val="left"/>
      <w:pPr>
        <w:ind w:left="3916" w:hanging="291"/>
      </w:pPr>
      <w:rPr>
        <w:rFonts w:hint="default"/>
        <w:lang w:val="es-ES" w:eastAsia="en-US" w:bidi="ar-SA"/>
      </w:rPr>
    </w:lvl>
    <w:lvl w:ilvl="4" w:tplc="1ED4EE4E">
      <w:numFmt w:val="bullet"/>
      <w:lvlText w:val="•"/>
      <w:lvlJc w:val="left"/>
      <w:pPr>
        <w:ind w:left="4855" w:hanging="291"/>
      </w:pPr>
      <w:rPr>
        <w:rFonts w:hint="default"/>
        <w:lang w:val="es-ES" w:eastAsia="en-US" w:bidi="ar-SA"/>
      </w:rPr>
    </w:lvl>
    <w:lvl w:ilvl="5" w:tplc="C030887C">
      <w:numFmt w:val="bullet"/>
      <w:lvlText w:val="•"/>
      <w:lvlJc w:val="left"/>
      <w:pPr>
        <w:ind w:left="5794" w:hanging="291"/>
      </w:pPr>
      <w:rPr>
        <w:rFonts w:hint="default"/>
        <w:lang w:val="es-ES" w:eastAsia="en-US" w:bidi="ar-SA"/>
      </w:rPr>
    </w:lvl>
    <w:lvl w:ilvl="6" w:tplc="A064B494">
      <w:numFmt w:val="bullet"/>
      <w:lvlText w:val="•"/>
      <w:lvlJc w:val="left"/>
      <w:pPr>
        <w:ind w:left="6733" w:hanging="291"/>
      </w:pPr>
      <w:rPr>
        <w:rFonts w:hint="default"/>
        <w:lang w:val="es-ES" w:eastAsia="en-US" w:bidi="ar-SA"/>
      </w:rPr>
    </w:lvl>
    <w:lvl w:ilvl="7" w:tplc="362248C0">
      <w:numFmt w:val="bullet"/>
      <w:lvlText w:val="•"/>
      <w:lvlJc w:val="left"/>
      <w:pPr>
        <w:ind w:left="7672" w:hanging="291"/>
      </w:pPr>
      <w:rPr>
        <w:rFonts w:hint="default"/>
        <w:lang w:val="es-ES" w:eastAsia="en-US" w:bidi="ar-SA"/>
      </w:rPr>
    </w:lvl>
    <w:lvl w:ilvl="8" w:tplc="80F49BE0">
      <w:numFmt w:val="bullet"/>
      <w:lvlText w:val="•"/>
      <w:lvlJc w:val="left"/>
      <w:pPr>
        <w:ind w:left="8611" w:hanging="291"/>
      </w:pPr>
      <w:rPr>
        <w:rFonts w:hint="default"/>
        <w:lang w:val="es-ES" w:eastAsia="en-US" w:bidi="ar-SA"/>
      </w:rPr>
    </w:lvl>
  </w:abstractNum>
  <w:abstractNum w:abstractNumId="106" w15:restartNumberingAfterBreak="0">
    <w:nsid w:val="29C9359A"/>
    <w:multiLevelType w:val="hybridMultilevel"/>
    <w:tmpl w:val="411086A4"/>
    <w:lvl w:ilvl="0" w:tplc="A76ECF12">
      <w:start w:val="1"/>
      <w:numFmt w:val="decimal"/>
      <w:lvlText w:val="%1."/>
      <w:lvlJc w:val="left"/>
      <w:pPr>
        <w:ind w:left="1106" w:hanging="267"/>
        <w:jc w:val="left"/>
      </w:pPr>
      <w:rPr>
        <w:rFonts w:ascii="Arial MT" w:eastAsia="Arial MT" w:hAnsi="Arial MT" w:cs="Arial MT" w:hint="default"/>
        <w:b w:val="0"/>
        <w:bCs w:val="0"/>
        <w:i w:val="0"/>
        <w:iCs w:val="0"/>
        <w:spacing w:val="0"/>
        <w:w w:val="100"/>
        <w:sz w:val="20"/>
        <w:szCs w:val="20"/>
        <w:lang w:val="es-ES" w:eastAsia="en-US" w:bidi="ar-SA"/>
      </w:rPr>
    </w:lvl>
    <w:lvl w:ilvl="1" w:tplc="A3068C40">
      <w:numFmt w:val="bullet"/>
      <w:lvlText w:val="•"/>
      <w:lvlJc w:val="left"/>
      <w:pPr>
        <w:ind w:left="2038" w:hanging="267"/>
      </w:pPr>
      <w:rPr>
        <w:rFonts w:hint="default"/>
        <w:lang w:val="es-ES" w:eastAsia="en-US" w:bidi="ar-SA"/>
      </w:rPr>
    </w:lvl>
    <w:lvl w:ilvl="2" w:tplc="0DBA09E6">
      <w:numFmt w:val="bullet"/>
      <w:lvlText w:val="•"/>
      <w:lvlJc w:val="left"/>
      <w:pPr>
        <w:ind w:left="2977" w:hanging="267"/>
      </w:pPr>
      <w:rPr>
        <w:rFonts w:hint="default"/>
        <w:lang w:val="es-ES" w:eastAsia="en-US" w:bidi="ar-SA"/>
      </w:rPr>
    </w:lvl>
    <w:lvl w:ilvl="3" w:tplc="01708C7C">
      <w:numFmt w:val="bullet"/>
      <w:lvlText w:val="•"/>
      <w:lvlJc w:val="left"/>
      <w:pPr>
        <w:ind w:left="3916" w:hanging="267"/>
      </w:pPr>
      <w:rPr>
        <w:rFonts w:hint="default"/>
        <w:lang w:val="es-ES" w:eastAsia="en-US" w:bidi="ar-SA"/>
      </w:rPr>
    </w:lvl>
    <w:lvl w:ilvl="4" w:tplc="0200084A">
      <w:numFmt w:val="bullet"/>
      <w:lvlText w:val="•"/>
      <w:lvlJc w:val="left"/>
      <w:pPr>
        <w:ind w:left="4855" w:hanging="267"/>
      </w:pPr>
      <w:rPr>
        <w:rFonts w:hint="default"/>
        <w:lang w:val="es-ES" w:eastAsia="en-US" w:bidi="ar-SA"/>
      </w:rPr>
    </w:lvl>
    <w:lvl w:ilvl="5" w:tplc="5C6AAE5E">
      <w:numFmt w:val="bullet"/>
      <w:lvlText w:val="•"/>
      <w:lvlJc w:val="left"/>
      <w:pPr>
        <w:ind w:left="5794" w:hanging="267"/>
      </w:pPr>
      <w:rPr>
        <w:rFonts w:hint="default"/>
        <w:lang w:val="es-ES" w:eastAsia="en-US" w:bidi="ar-SA"/>
      </w:rPr>
    </w:lvl>
    <w:lvl w:ilvl="6" w:tplc="BB66CF32">
      <w:numFmt w:val="bullet"/>
      <w:lvlText w:val="•"/>
      <w:lvlJc w:val="left"/>
      <w:pPr>
        <w:ind w:left="6733" w:hanging="267"/>
      </w:pPr>
      <w:rPr>
        <w:rFonts w:hint="default"/>
        <w:lang w:val="es-ES" w:eastAsia="en-US" w:bidi="ar-SA"/>
      </w:rPr>
    </w:lvl>
    <w:lvl w:ilvl="7" w:tplc="5762B0DE">
      <w:numFmt w:val="bullet"/>
      <w:lvlText w:val="•"/>
      <w:lvlJc w:val="left"/>
      <w:pPr>
        <w:ind w:left="7672" w:hanging="267"/>
      </w:pPr>
      <w:rPr>
        <w:rFonts w:hint="default"/>
        <w:lang w:val="es-ES" w:eastAsia="en-US" w:bidi="ar-SA"/>
      </w:rPr>
    </w:lvl>
    <w:lvl w:ilvl="8" w:tplc="B90A34CE">
      <w:numFmt w:val="bullet"/>
      <w:lvlText w:val="•"/>
      <w:lvlJc w:val="left"/>
      <w:pPr>
        <w:ind w:left="8611" w:hanging="267"/>
      </w:pPr>
      <w:rPr>
        <w:rFonts w:hint="default"/>
        <w:lang w:val="es-ES" w:eastAsia="en-US" w:bidi="ar-SA"/>
      </w:rPr>
    </w:lvl>
  </w:abstractNum>
  <w:abstractNum w:abstractNumId="107" w15:restartNumberingAfterBreak="0">
    <w:nsid w:val="2A3A3378"/>
    <w:multiLevelType w:val="hybridMultilevel"/>
    <w:tmpl w:val="9702D55E"/>
    <w:lvl w:ilvl="0" w:tplc="290C0420">
      <w:start w:val="1"/>
      <w:numFmt w:val="decimal"/>
      <w:lvlText w:val="%1."/>
      <w:lvlJc w:val="left"/>
      <w:pPr>
        <w:ind w:left="1106" w:hanging="227"/>
        <w:jc w:val="left"/>
      </w:pPr>
      <w:rPr>
        <w:rFonts w:ascii="Arial MT" w:eastAsia="Arial MT" w:hAnsi="Arial MT" w:cs="Arial MT" w:hint="default"/>
        <w:b w:val="0"/>
        <w:bCs w:val="0"/>
        <w:i w:val="0"/>
        <w:iCs w:val="0"/>
        <w:spacing w:val="0"/>
        <w:w w:val="100"/>
        <w:sz w:val="20"/>
        <w:szCs w:val="20"/>
        <w:lang w:val="es-ES" w:eastAsia="en-US" w:bidi="ar-SA"/>
      </w:rPr>
    </w:lvl>
    <w:lvl w:ilvl="1" w:tplc="99E09F6E">
      <w:numFmt w:val="bullet"/>
      <w:lvlText w:val="•"/>
      <w:lvlJc w:val="left"/>
      <w:pPr>
        <w:ind w:left="2038" w:hanging="227"/>
      </w:pPr>
      <w:rPr>
        <w:rFonts w:hint="default"/>
        <w:lang w:val="es-ES" w:eastAsia="en-US" w:bidi="ar-SA"/>
      </w:rPr>
    </w:lvl>
    <w:lvl w:ilvl="2" w:tplc="D8E4333C">
      <w:numFmt w:val="bullet"/>
      <w:lvlText w:val="•"/>
      <w:lvlJc w:val="left"/>
      <w:pPr>
        <w:ind w:left="2977" w:hanging="227"/>
      </w:pPr>
      <w:rPr>
        <w:rFonts w:hint="default"/>
        <w:lang w:val="es-ES" w:eastAsia="en-US" w:bidi="ar-SA"/>
      </w:rPr>
    </w:lvl>
    <w:lvl w:ilvl="3" w:tplc="E61A0860">
      <w:numFmt w:val="bullet"/>
      <w:lvlText w:val="•"/>
      <w:lvlJc w:val="left"/>
      <w:pPr>
        <w:ind w:left="3916" w:hanging="227"/>
      </w:pPr>
      <w:rPr>
        <w:rFonts w:hint="default"/>
        <w:lang w:val="es-ES" w:eastAsia="en-US" w:bidi="ar-SA"/>
      </w:rPr>
    </w:lvl>
    <w:lvl w:ilvl="4" w:tplc="92461AFC">
      <w:numFmt w:val="bullet"/>
      <w:lvlText w:val="•"/>
      <w:lvlJc w:val="left"/>
      <w:pPr>
        <w:ind w:left="4855" w:hanging="227"/>
      </w:pPr>
      <w:rPr>
        <w:rFonts w:hint="default"/>
        <w:lang w:val="es-ES" w:eastAsia="en-US" w:bidi="ar-SA"/>
      </w:rPr>
    </w:lvl>
    <w:lvl w:ilvl="5" w:tplc="77B0FFE8">
      <w:numFmt w:val="bullet"/>
      <w:lvlText w:val="•"/>
      <w:lvlJc w:val="left"/>
      <w:pPr>
        <w:ind w:left="5794" w:hanging="227"/>
      </w:pPr>
      <w:rPr>
        <w:rFonts w:hint="default"/>
        <w:lang w:val="es-ES" w:eastAsia="en-US" w:bidi="ar-SA"/>
      </w:rPr>
    </w:lvl>
    <w:lvl w:ilvl="6" w:tplc="1444FCB2">
      <w:numFmt w:val="bullet"/>
      <w:lvlText w:val="•"/>
      <w:lvlJc w:val="left"/>
      <w:pPr>
        <w:ind w:left="6733" w:hanging="227"/>
      </w:pPr>
      <w:rPr>
        <w:rFonts w:hint="default"/>
        <w:lang w:val="es-ES" w:eastAsia="en-US" w:bidi="ar-SA"/>
      </w:rPr>
    </w:lvl>
    <w:lvl w:ilvl="7" w:tplc="F8DCC28E">
      <w:numFmt w:val="bullet"/>
      <w:lvlText w:val="•"/>
      <w:lvlJc w:val="left"/>
      <w:pPr>
        <w:ind w:left="7672" w:hanging="227"/>
      </w:pPr>
      <w:rPr>
        <w:rFonts w:hint="default"/>
        <w:lang w:val="es-ES" w:eastAsia="en-US" w:bidi="ar-SA"/>
      </w:rPr>
    </w:lvl>
    <w:lvl w:ilvl="8" w:tplc="7D76869E">
      <w:numFmt w:val="bullet"/>
      <w:lvlText w:val="•"/>
      <w:lvlJc w:val="left"/>
      <w:pPr>
        <w:ind w:left="8611" w:hanging="227"/>
      </w:pPr>
      <w:rPr>
        <w:rFonts w:hint="default"/>
        <w:lang w:val="es-ES" w:eastAsia="en-US" w:bidi="ar-SA"/>
      </w:rPr>
    </w:lvl>
  </w:abstractNum>
  <w:abstractNum w:abstractNumId="108" w15:restartNumberingAfterBreak="0">
    <w:nsid w:val="2A4A2502"/>
    <w:multiLevelType w:val="hybridMultilevel"/>
    <w:tmpl w:val="F01890B6"/>
    <w:lvl w:ilvl="0" w:tplc="2B3AA224">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CDC0CF88">
      <w:numFmt w:val="bullet"/>
      <w:lvlText w:val="•"/>
      <w:lvlJc w:val="left"/>
      <w:pPr>
        <w:ind w:left="2038" w:hanging="228"/>
      </w:pPr>
      <w:rPr>
        <w:rFonts w:hint="default"/>
        <w:lang w:val="es-ES" w:eastAsia="en-US" w:bidi="ar-SA"/>
      </w:rPr>
    </w:lvl>
    <w:lvl w:ilvl="2" w:tplc="4E00AAF4">
      <w:numFmt w:val="bullet"/>
      <w:lvlText w:val="•"/>
      <w:lvlJc w:val="left"/>
      <w:pPr>
        <w:ind w:left="2977" w:hanging="228"/>
      </w:pPr>
      <w:rPr>
        <w:rFonts w:hint="default"/>
        <w:lang w:val="es-ES" w:eastAsia="en-US" w:bidi="ar-SA"/>
      </w:rPr>
    </w:lvl>
    <w:lvl w:ilvl="3" w:tplc="E4264052">
      <w:numFmt w:val="bullet"/>
      <w:lvlText w:val="•"/>
      <w:lvlJc w:val="left"/>
      <w:pPr>
        <w:ind w:left="3916" w:hanging="228"/>
      </w:pPr>
      <w:rPr>
        <w:rFonts w:hint="default"/>
        <w:lang w:val="es-ES" w:eastAsia="en-US" w:bidi="ar-SA"/>
      </w:rPr>
    </w:lvl>
    <w:lvl w:ilvl="4" w:tplc="F8929442">
      <w:numFmt w:val="bullet"/>
      <w:lvlText w:val="•"/>
      <w:lvlJc w:val="left"/>
      <w:pPr>
        <w:ind w:left="4855" w:hanging="228"/>
      </w:pPr>
      <w:rPr>
        <w:rFonts w:hint="default"/>
        <w:lang w:val="es-ES" w:eastAsia="en-US" w:bidi="ar-SA"/>
      </w:rPr>
    </w:lvl>
    <w:lvl w:ilvl="5" w:tplc="3D5E9E7A">
      <w:numFmt w:val="bullet"/>
      <w:lvlText w:val="•"/>
      <w:lvlJc w:val="left"/>
      <w:pPr>
        <w:ind w:left="5794" w:hanging="228"/>
      </w:pPr>
      <w:rPr>
        <w:rFonts w:hint="default"/>
        <w:lang w:val="es-ES" w:eastAsia="en-US" w:bidi="ar-SA"/>
      </w:rPr>
    </w:lvl>
    <w:lvl w:ilvl="6" w:tplc="420E73B4">
      <w:numFmt w:val="bullet"/>
      <w:lvlText w:val="•"/>
      <w:lvlJc w:val="left"/>
      <w:pPr>
        <w:ind w:left="6733" w:hanging="228"/>
      </w:pPr>
      <w:rPr>
        <w:rFonts w:hint="default"/>
        <w:lang w:val="es-ES" w:eastAsia="en-US" w:bidi="ar-SA"/>
      </w:rPr>
    </w:lvl>
    <w:lvl w:ilvl="7" w:tplc="37E4B428">
      <w:numFmt w:val="bullet"/>
      <w:lvlText w:val="•"/>
      <w:lvlJc w:val="left"/>
      <w:pPr>
        <w:ind w:left="7672" w:hanging="228"/>
      </w:pPr>
      <w:rPr>
        <w:rFonts w:hint="default"/>
        <w:lang w:val="es-ES" w:eastAsia="en-US" w:bidi="ar-SA"/>
      </w:rPr>
    </w:lvl>
    <w:lvl w:ilvl="8" w:tplc="FDFE9288">
      <w:numFmt w:val="bullet"/>
      <w:lvlText w:val="•"/>
      <w:lvlJc w:val="left"/>
      <w:pPr>
        <w:ind w:left="8611" w:hanging="228"/>
      </w:pPr>
      <w:rPr>
        <w:rFonts w:hint="default"/>
        <w:lang w:val="es-ES" w:eastAsia="en-US" w:bidi="ar-SA"/>
      </w:rPr>
    </w:lvl>
  </w:abstractNum>
  <w:abstractNum w:abstractNumId="109" w15:restartNumberingAfterBreak="0">
    <w:nsid w:val="2B2B5864"/>
    <w:multiLevelType w:val="hybridMultilevel"/>
    <w:tmpl w:val="8B98E382"/>
    <w:lvl w:ilvl="0" w:tplc="7144CC18">
      <w:start w:val="1"/>
      <w:numFmt w:val="upperLetter"/>
      <w:lvlText w:val="%1)"/>
      <w:lvlJc w:val="left"/>
      <w:pPr>
        <w:ind w:left="1106" w:hanging="314"/>
        <w:jc w:val="left"/>
      </w:pPr>
      <w:rPr>
        <w:rFonts w:ascii="Arial MT" w:eastAsia="Arial MT" w:hAnsi="Arial MT" w:cs="Arial MT" w:hint="default"/>
        <w:b w:val="0"/>
        <w:bCs w:val="0"/>
        <w:i w:val="0"/>
        <w:iCs w:val="0"/>
        <w:spacing w:val="0"/>
        <w:w w:val="100"/>
        <w:sz w:val="20"/>
        <w:szCs w:val="20"/>
        <w:lang w:val="es-ES" w:eastAsia="en-US" w:bidi="ar-SA"/>
      </w:rPr>
    </w:lvl>
    <w:lvl w:ilvl="1" w:tplc="365CF8D8">
      <w:start w:val="1"/>
      <w:numFmt w:val="decimal"/>
      <w:lvlText w:val="%2."/>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2" w:tplc="0F22F9F0">
      <w:start w:val="1"/>
      <w:numFmt w:val="lowerLetter"/>
      <w:lvlText w:val="%3)"/>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3" w:tplc="06DA2E54">
      <w:numFmt w:val="bullet"/>
      <w:lvlText w:val="•"/>
      <w:lvlJc w:val="left"/>
      <w:pPr>
        <w:ind w:left="3916" w:hanging="247"/>
      </w:pPr>
      <w:rPr>
        <w:rFonts w:hint="default"/>
        <w:lang w:val="es-ES" w:eastAsia="en-US" w:bidi="ar-SA"/>
      </w:rPr>
    </w:lvl>
    <w:lvl w:ilvl="4" w:tplc="AB2A1710">
      <w:numFmt w:val="bullet"/>
      <w:lvlText w:val="•"/>
      <w:lvlJc w:val="left"/>
      <w:pPr>
        <w:ind w:left="4855" w:hanging="247"/>
      </w:pPr>
      <w:rPr>
        <w:rFonts w:hint="default"/>
        <w:lang w:val="es-ES" w:eastAsia="en-US" w:bidi="ar-SA"/>
      </w:rPr>
    </w:lvl>
    <w:lvl w:ilvl="5" w:tplc="0290C3EC">
      <w:numFmt w:val="bullet"/>
      <w:lvlText w:val="•"/>
      <w:lvlJc w:val="left"/>
      <w:pPr>
        <w:ind w:left="5794" w:hanging="247"/>
      </w:pPr>
      <w:rPr>
        <w:rFonts w:hint="default"/>
        <w:lang w:val="es-ES" w:eastAsia="en-US" w:bidi="ar-SA"/>
      </w:rPr>
    </w:lvl>
    <w:lvl w:ilvl="6" w:tplc="E5964062">
      <w:numFmt w:val="bullet"/>
      <w:lvlText w:val="•"/>
      <w:lvlJc w:val="left"/>
      <w:pPr>
        <w:ind w:left="6733" w:hanging="247"/>
      </w:pPr>
      <w:rPr>
        <w:rFonts w:hint="default"/>
        <w:lang w:val="es-ES" w:eastAsia="en-US" w:bidi="ar-SA"/>
      </w:rPr>
    </w:lvl>
    <w:lvl w:ilvl="7" w:tplc="3DA0B536">
      <w:numFmt w:val="bullet"/>
      <w:lvlText w:val="•"/>
      <w:lvlJc w:val="left"/>
      <w:pPr>
        <w:ind w:left="7672" w:hanging="247"/>
      </w:pPr>
      <w:rPr>
        <w:rFonts w:hint="default"/>
        <w:lang w:val="es-ES" w:eastAsia="en-US" w:bidi="ar-SA"/>
      </w:rPr>
    </w:lvl>
    <w:lvl w:ilvl="8" w:tplc="5EF43E5E">
      <w:numFmt w:val="bullet"/>
      <w:lvlText w:val="•"/>
      <w:lvlJc w:val="left"/>
      <w:pPr>
        <w:ind w:left="8611" w:hanging="247"/>
      </w:pPr>
      <w:rPr>
        <w:rFonts w:hint="default"/>
        <w:lang w:val="es-ES" w:eastAsia="en-US" w:bidi="ar-SA"/>
      </w:rPr>
    </w:lvl>
  </w:abstractNum>
  <w:abstractNum w:abstractNumId="110" w15:restartNumberingAfterBreak="0">
    <w:nsid w:val="2B690462"/>
    <w:multiLevelType w:val="hybridMultilevel"/>
    <w:tmpl w:val="BB30D58E"/>
    <w:lvl w:ilvl="0" w:tplc="2D102450">
      <w:start w:val="1"/>
      <w:numFmt w:val="decimal"/>
      <w:lvlText w:val="%1."/>
      <w:lvlJc w:val="left"/>
      <w:pPr>
        <w:ind w:left="1106" w:hanging="265"/>
        <w:jc w:val="left"/>
      </w:pPr>
      <w:rPr>
        <w:rFonts w:ascii="Arial MT" w:eastAsia="Arial MT" w:hAnsi="Arial MT" w:cs="Arial MT" w:hint="default"/>
        <w:b w:val="0"/>
        <w:bCs w:val="0"/>
        <w:i w:val="0"/>
        <w:iCs w:val="0"/>
        <w:spacing w:val="0"/>
        <w:w w:val="100"/>
        <w:sz w:val="20"/>
        <w:szCs w:val="20"/>
        <w:lang w:val="es-ES" w:eastAsia="en-US" w:bidi="ar-SA"/>
      </w:rPr>
    </w:lvl>
    <w:lvl w:ilvl="1" w:tplc="92E4A7F8">
      <w:start w:val="1"/>
      <w:numFmt w:val="lowerLetter"/>
      <w:lvlText w:val="%2)"/>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2" w:tplc="6E5296FE">
      <w:numFmt w:val="bullet"/>
      <w:lvlText w:val="•"/>
      <w:lvlJc w:val="left"/>
      <w:pPr>
        <w:ind w:left="2977" w:hanging="239"/>
      </w:pPr>
      <w:rPr>
        <w:rFonts w:hint="default"/>
        <w:lang w:val="es-ES" w:eastAsia="en-US" w:bidi="ar-SA"/>
      </w:rPr>
    </w:lvl>
    <w:lvl w:ilvl="3" w:tplc="293AE354">
      <w:numFmt w:val="bullet"/>
      <w:lvlText w:val="•"/>
      <w:lvlJc w:val="left"/>
      <w:pPr>
        <w:ind w:left="3916" w:hanging="239"/>
      </w:pPr>
      <w:rPr>
        <w:rFonts w:hint="default"/>
        <w:lang w:val="es-ES" w:eastAsia="en-US" w:bidi="ar-SA"/>
      </w:rPr>
    </w:lvl>
    <w:lvl w:ilvl="4" w:tplc="D1066F70">
      <w:numFmt w:val="bullet"/>
      <w:lvlText w:val="•"/>
      <w:lvlJc w:val="left"/>
      <w:pPr>
        <w:ind w:left="4855" w:hanging="239"/>
      </w:pPr>
      <w:rPr>
        <w:rFonts w:hint="default"/>
        <w:lang w:val="es-ES" w:eastAsia="en-US" w:bidi="ar-SA"/>
      </w:rPr>
    </w:lvl>
    <w:lvl w:ilvl="5" w:tplc="ABE4CA6E">
      <w:numFmt w:val="bullet"/>
      <w:lvlText w:val="•"/>
      <w:lvlJc w:val="left"/>
      <w:pPr>
        <w:ind w:left="5794" w:hanging="239"/>
      </w:pPr>
      <w:rPr>
        <w:rFonts w:hint="default"/>
        <w:lang w:val="es-ES" w:eastAsia="en-US" w:bidi="ar-SA"/>
      </w:rPr>
    </w:lvl>
    <w:lvl w:ilvl="6" w:tplc="6CE4D83E">
      <w:numFmt w:val="bullet"/>
      <w:lvlText w:val="•"/>
      <w:lvlJc w:val="left"/>
      <w:pPr>
        <w:ind w:left="6733" w:hanging="239"/>
      </w:pPr>
      <w:rPr>
        <w:rFonts w:hint="default"/>
        <w:lang w:val="es-ES" w:eastAsia="en-US" w:bidi="ar-SA"/>
      </w:rPr>
    </w:lvl>
    <w:lvl w:ilvl="7" w:tplc="725A7292">
      <w:numFmt w:val="bullet"/>
      <w:lvlText w:val="•"/>
      <w:lvlJc w:val="left"/>
      <w:pPr>
        <w:ind w:left="7672" w:hanging="239"/>
      </w:pPr>
      <w:rPr>
        <w:rFonts w:hint="default"/>
        <w:lang w:val="es-ES" w:eastAsia="en-US" w:bidi="ar-SA"/>
      </w:rPr>
    </w:lvl>
    <w:lvl w:ilvl="8" w:tplc="AD5078D6">
      <w:numFmt w:val="bullet"/>
      <w:lvlText w:val="•"/>
      <w:lvlJc w:val="left"/>
      <w:pPr>
        <w:ind w:left="8611" w:hanging="239"/>
      </w:pPr>
      <w:rPr>
        <w:rFonts w:hint="default"/>
        <w:lang w:val="es-ES" w:eastAsia="en-US" w:bidi="ar-SA"/>
      </w:rPr>
    </w:lvl>
  </w:abstractNum>
  <w:abstractNum w:abstractNumId="111" w15:restartNumberingAfterBreak="0">
    <w:nsid w:val="2BB33F56"/>
    <w:multiLevelType w:val="hybridMultilevel"/>
    <w:tmpl w:val="F0DA6AC4"/>
    <w:lvl w:ilvl="0" w:tplc="6E10BD1C">
      <w:numFmt w:val="bullet"/>
      <w:lvlText w:val="–"/>
      <w:lvlJc w:val="left"/>
      <w:pPr>
        <w:ind w:left="143" w:hanging="103"/>
      </w:pPr>
      <w:rPr>
        <w:rFonts w:ascii="Arial MT" w:eastAsia="Arial MT" w:hAnsi="Arial MT" w:cs="Arial MT" w:hint="default"/>
        <w:b w:val="0"/>
        <w:bCs w:val="0"/>
        <w:i w:val="0"/>
        <w:iCs w:val="0"/>
        <w:spacing w:val="0"/>
        <w:w w:val="87"/>
        <w:sz w:val="14"/>
        <w:szCs w:val="14"/>
        <w:lang w:val="es-ES" w:eastAsia="en-US" w:bidi="ar-SA"/>
      </w:rPr>
    </w:lvl>
    <w:lvl w:ilvl="1" w:tplc="5B289400">
      <w:numFmt w:val="bullet"/>
      <w:lvlText w:val="•"/>
      <w:lvlJc w:val="left"/>
      <w:pPr>
        <w:ind w:left="751" w:hanging="103"/>
      </w:pPr>
      <w:rPr>
        <w:rFonts w:hint="default"/>
        <w:lang w:val="es-ES" w:eastAsia="en-US" w:bidi="ar-SA"/>
      </w:rPr>
    </w:lvl>
    <w:lvl w:ilvl="2" w:tplc="5F26B004">
      <w:numFmt w:val="bullet"/>
      <w:lvlText w:val="•"/>
      <w:lvlJc w:val="left"/>
      <w:pPr>
        <w:ind w:left="1363" w:hanging="103"/>
      </w:pPr>
      <w:rPr>
        <w:rFonts w:hint="default"/>
        <w:lang w:val="es-ES" w:eastAsia="en-US" w:bidi="ar-SA"/>
      </w:rPr>
    </w:lvl>
    <w:lvl w:ilvl="3" w:tplc="0EF05A1C">
      <w:numFmt w:val="bullet"/>
      <w:lvlText w:val="•"/>
      <w:lvlJc w:val="left"/>
      <w:pPr>
        <w:ind w:left="1975" w:hanging="103"/>
      </w:pPr>
      <w:rPr>
        <w:rFonts w:hint="default"/>
        <w:lang w:val="es-ES" w:eastAsia="en-US" w:bidi="ar-SA"/>
      </w:rPr>
    </w:lvl>
    <w:lvl w:ilvl="4" w:tplc="67D6E1B0">
      <w:numFmt w:val="bullet"/>
      <w:lvlText w:val="•"/>
      <w:lvlJc w:val="left"/>
      <w:pPr>
        <w:ind w:left="2586" w:hanging="103"/>
      </w:pPr>
      <w:rPr>
        <w:rFonts w:hint="default"/>
        <w:lang w:val="es-ES" w:eastAsia="en-US" w:bidi="ar-SA"/>
      </w:rPr>
    </w:lvl>
    <w:lvl w:ilvl="5" w:tplc="BCB62B64">
      <w:numFmt w:val="bullet"/>
      <w:lvlText w:val="•"/>
      <w:lvlJc w:val="left"/>
      <w:pPr>
        <w:ind w:left="3198" w:hanging="103"/>
      </w:pPr>
      <w:rPr>
        <w:rFonts w:hint="default"/>
        <w:lang w:val="es-ES" w:eastAsia="en-US" w:bidi="ar-SA"/>
      </w:rPr>
    </w:lvl>
    <w:lvl w:ilvl="6" w:tplc="104EC302">
      <w:numFmt w:val="bullet"/>
      <w:lvlText w:val="•"/>
      <w:lvlJc w:val="left"/>
      <w:pPr>
        <w:ind w:left="3810" w:hanging="103"/>
      </w:pPr>
      <w:rPr>
        <w:rFonts w:hint="default"/>
        <w:lang w:val="es-ES" w:eastAsia="en-US" w:bidi="ar-SA"/>
      </w:rPr>
    </w:lvl>
    <w:lvl w:ilvl="7" w:tplc="9E76B99E">
      <w:numFmt w:val="bullet"/>
      <w:lvlText w:val="•"/>
      <w:lvlJc w:val="left"/>
      <w:pPr>
        <w:ind w:left="4421" w:hanging="103"/>
      </w:pPr>
      <w:rPr>
        <w:rFonts w:hint="default"/>
        <w:lang w:val="es-ES" w:eastAsia="en-US" w:bidi="ar-SA"/>
      </w:rPr>
    </w:lvl>
    <w:lvl w:ilvl="8" w:tplc="825A499E">
      <w:numFmt w:val="bullet"/>
      <w:lvlText w:val="•"/>
      <w:lvlJc w:val="left"/>
      <w:pPr>
        <w:ind w:left="5033" w:hanging="103"/>
      </w:pPr>
      <w:rPr>
        <w:rFonts w:hint="default"/>
        <w:lang w:val="es-ES" w:eastAsia="en-US" w:bidi="ar-SA"/>
      </w:rPr>
    </w:lvl>
  </w:abstractNum>
  <w:abstractNum w:abstractNumId="112" w15:restartNumberingAfterBreak="0">
    <w:nsid w:val="2C2D6A9E"/>
    <w:multiLevelType w:val="hybridMultilevel"/>
    <w:tmpl w:val="E14CD640"/>
    <w:lvl w:ilvl="0" w:tplc="107E2A9A">
      <w:start w:val="1"/>
      <w:numFmt w:val="decimal"/>
      <w:lvlText w:val="%1."/>
      <w:lvlJc w:val="left"/>
      <w:pPr>
        <w:ind w:left="1106" w:hanging="246"/>
        <w:jc w:val="left"/>
      </w:pPr>
      <w:rPr>
        <w:rFonts w:ascii="Arial MT" w:eastAsia="Arial MT" w:hAnsi="Arial MT" w:cs="Arial MT" w:hint="default"/>
        <w:b w:val="0"/>
        <w:bCs w:val="0"/>
        <w:i w:val="0"/>
        <w:iCs w:val="0"/>
        <w:spacing w:val="0"/>
        <w:w w:val="100"/>
        <w:sz w:val="20"/>
        <w:szCs w:val="20"/>
        <w:lang w:val="es-ES" w:eastAsia="en-US" w:bidi="ar-SA"/>
      </w:rPr>
    </w:lvl>
    <w:lvl w:ilvl="1" w:tplc="C1BCD9D8">
      <w:start w:val="1"/>
      <w:numFmt w:val="lowerLetter"/>
      <w:lvlText w:val="%2)"/>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2" w:tplc="E92CCAE4">
      <w:numFmt w:val="bullet"/>
      <w:lvlText w:val="•"/>
      <w:lvlJc w:val="left"/>
      <w:pPr>
        <w:ind w:left="2977" w:hanging="243"/>
      </w:pPr>
      <w:rPr>
        <w:rFonts w:hint="default"/>
        <w:lang w:val="es-ES" w:eastAsia="en-US" w:bidi="ar-SA"/>
      </w:rPr>
    </w:lvl>
    <w:lvl w:ilvl="3" w:tplc="02B08714">
      <w:numFmt w:val="bullet"/>
      <w:lvlText w:val="•"/>
      <w:lvlJc w:val="left"/>
      <w:pPr>
        <w:ind w:left="3916" w:hanging="243"/>
      </w:pPr>
      <w:rPr>
        <w:rFonts w:hint="default"/>
        <w:lang w:val="es-ES" w:eastAsia="en-US" w:bidi="ar-SA"/>
      </w:rPr>
    </w:lvl>
    <w:lvl w:ilvl="4" w:tplc="8F24F41C">
      <w:numFmt w:val="bullet"/>
      <w:lvlText w:val="•"/>
      <w:lvlJc w:val="left"/>
      <w:pPr>
        <w:ind w:left="4855" w:hanging="243"/>
      </w:pPr>
      <w:rPr>
        <w:rFonts w:hint="default"/>
        <w:lang w:val="es-ES" w:eastAsia="en-US" w:bidi="ar-SA"/>
      </w:rPr>
    </w:lvl>
    <w:lvl w:ilvl="5" w:tplc="77F8DEA4">
      <w:numFmt w:val="bullet"/>
      <w:lvlText w:val="•"/>
      <w:lvlJc w:val="left"/>
      <w:pPr>
        <w:ind w:left="5794" w:hanging="243"/>
      </w:pPr>
      <w:rPr>
        <w:rFonts w:hint="default"/>
        <w:lang w:val="es-ES" w:eastAsia="en-US" w:bidi="ar-SA"/>
      </w:rPr>
    </w:lvl>
    <w:lvl w:ilvl="6" w:tplc="EC58AB74">
      <w:numFmt w:val="bullet"/>
      <w:lvlText w:val="•"/>
      <w:lvlJc w:val="left"/>
      <w:pPr>
        <w:ind w:left="6733" w:hanging="243"/>
      </w:pPr>
      <w:rPr>
        <w:rFonts w:hint="default"/>
        <w:lang w:val="es-ES" w:eastAsia="en-US" w:bidi="ar-SA"/>
      </w:rPr>
    </w:lvl>
    <w:lvl w:ilvl="7" w:tplc="FF668AA8">
      <w:numFmt w:val="bullet"/>
      <w:lvlText w:val="•"/>
      <w:lvlJc w:val="left"/>
      <w:pPr>
        <w:ind w:left="7672" w:hanging="243"/>
      </w:pPr>
      <w:rPr>
        <w:rFonts w:hint="default"/>
        <w:lang w:val="es-ES" w:eastAsia="en-US" w:bidi="ar-SA"/>
      </w:rPr>
    </w:lvl>
    <w:lvl w:ilvl="8" w:tplc="F5D8F87E">
      <w:numFmt w:val="bullet"/>
      <w:lvlText w:val="•"/>
      <w:lvlJc w:val="left"/>
      <w:pPr>
        <w:ind w:left="8611" w:hanging="243"/>
      </w:pPr>
      <w:rPr>
        <w:rFonts w:hint="default"/>
        <w:lang w:val="es-ES" w:eastAsia="en-US" w:bidi="ar-SA"/>
      </w:rPr>
    </w:lvl>
  </w:abstractNum>
  <w:abstractNum w:abstractNumId="113" w15:restartNumberingAfterBreak="0">
    <w:nsid w:val="2C917610"/>
    <w:multiLevelType w:val="hybridMultilevel"/>
    <w:tmpl w:val="1A0CAA5C"/>
    <w:lvl w:ilvl="0" w:tplc="FFF62EA6">
      <w:start w:val="1"/>
      <w:numFmt w:val="decimal"/>
      <w:lvlText w:val="%1."/>
      <w:lvlJc w:val="left"/>
      <w:pPr>
        <w:ind w:left="1106" w:hanging="315"/>
        <w:jc w:val="left"/>
      </w:pPr>
      <w:rPr>
        <w:rFonts w:ascii="Arial MT" w:eastAsia="Arial MT" w:hAnsi="Arial MT" w:cs="Arial MT" w:hint="default"/>
        <w:b w:val="0"/>
        <w:bCs w:val="0"/>
        <w:i w:val="0"/>
        <w:iCs w:val="0"/>
        <w:spacing w:val="0"/>
        <w:w w:val="100"/>
        <w:sz w:val="20"/>
        <w:szCs w:val="20"/>
        <w:lang w:val="es-ES" w:eastAsia="en-US" w:bidi="ar-SA"/>
      </w:rPr>
    </w:lvl>
    <w:lvl w:ilvl="1" w:tplc="E988C09A">
      <w:start w:val="1"/>
      <w:numFmt w:val="lowerLetter"/>
      <w:lvlText w:val="%2)"/>
      <w:lvlJc w:val="left"/>
      <w:pPr>
        <w:ind w:left="1106" w:hanging="308"/>
        <w:jc w:val="left"/>
      </w:pPr>
      <w:rPr>
        <w:rFonts w:ascii="Arial MT" w:eastAsia="Arial MT" w:hAnsi="Arial MT" w:cs="Arial MT" w:hint="default"/>
        <w:b w:val="0"/>
        <w:bCs w:val="0"/>
        <w:i w:val="0"/>
        <w:iCs w:val="0"/>
        <w:spacing w:val="0"/>
        <w:w w:val="100"/>
        <w:sz w:val="20"/>
        <w:szCs w:val="20"/>
        <w:lang w:val="es-ES" w:eastAsia="en-US" w:bidi="ar-SA"/>
      </w:rPr>
    </w:lvl>
    <w:lvl w:ilvl="2" w:tplc="73F87216">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2FE23FE4">
      <w:start w:val="1"/>
      <w:numFmt w:val="lowerLetter"/>
      <w:lvlText w:val="%4)"/>
      <w:lvlJc w:val="left"/>
      <w:pPr>
        <w:ind w:left="1106" w:hanging="246"/>
        <w:jc w:val="left"/>
      </w:pPr>
      <w:rPr>
        <w:rFonts w:ascii="Arial MT" w:eastAsia="Arial MT" w:hAnsi="Arial MT" w:cs="Arial MT" w:hint="default"/>
        <w:b w:val="0"/>
        <w:bCs w:val="0"/>
        <w:i w:val="0"/>
        <w:iCs w:val="0"/>
        <w:spacing w:val="0"/>
        <w:w w:val="100"/>
        <w:sz w:val="20"/>
        <w:szCs w:val="20"/>
        <w:lang w:val="es-ES" w:eastAsia="en-US" w:bidi="ar-SA"/>
      </w:rPr>
    </w:lvl>
    <w:lvl w:ilvl="4" w:tplc="5E7A03F8">
      <w:numFmt w:val="bullet"/>
      <w:lvlText w:val="•"/>
      <w:lvlJc w:val="left"/>
      <w:pPr>
        <w:ind w:left="4855" w:hanging="246"/>
      </w:pPr>
      <w:rPr>
        <w:rFonts w:hint="default"/>
        <w:lang w:val="es-ES" w:eastAsia="en-US" w:bidi="ar-SA"/>
      </w:rPr>
    </w:lvl>
    <w:lvl w:ilvl="5" w:tplc="799A796C">
      <w:numFmt w:val="bullet"/>
      <w:lvlText w:val="•"/>
      <w:lvlJc w:val="left"/>
      <w:pPr>
        <w:ind w:left="5794" w:hanging="246"/>
      </w:pPr>
      <w:rPr>
        <w:rFonts w:hint="default"/>
        <w:lang w:val="es-ES" w:eastAsia="en-US" w:bidi="ar-SA"/>
      </w:rPr>
    </w:lvl>
    <w:lvl w:ilvl="6" w:tplc="A2AE880E">
      <w:numFmt w:val="bullet"/>
      <w:lvlText w:val="•"/>
      <w:lvlJc w:val="left"/>
      <w:pPr>
        <w:ind w:left="6733" w:hanging="246"/>
      </w:pPr>
      <w:rPr>
        <w:rFonts w:hint="default"/>
        <w:lang w:val="es-ES" w:eastAsia="en-US" w:bidi="ar-SA"/>
      </w:rPr>
    </w:lvl>
    <w:lvl w:ilvl="7" w:tplc="1776655E">
      <w:numFmt w:val="bullet"/>
      <w:lvlText w:val="•"/>
      <w:lvlJc w:val="left"/>
      <w:pPr>
        <w:ind w:left="7672" w:hanging="246"/>
      </w:pPr>
      <w:rPr>
        <w:rFonts w:hint="default"/>
        <w:lang w:val="es-ES" w:eastAsia="en-US" w:bidi="ar-SA"/>
      </w:rPr>
    </w:lvl>
    <w:lvl w:ilvl="8" w:tplc="336E6398">
      <w:numFmt w:val="bullet"/>
      <w:lvlText w:val="•"/>
      <w:lvlJc w:val="left"/>
      <w:pPr>
        <w:ind w:left="8611" w:hanging="246"/>
      </w:pPr>
      <w:rPr>
        <w:rFonts w:hint="default"/>
        <w:lang w:val="es-ES" w:eastAsia="en-US" w:bidi="ar-SA"/>
      </w:rPr>
    </w:lvl>
  </w:abstractNum>
  <w:abstractNum w:abstractNumId="114" w15:restartNumberingAfterBreak="0">
    <w:nsid w:val="2C987525"/>
    <w:multiLevelType w:val="hybridMultilevel"/>
    <w:tmpl w:val="BB264A0E"/>
    <w:lvl w:ilvl="0" w:tplc="7D50E574">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15409BAE">
      <w:numFmt w:val="bullet"/>
      <w:lvlText w:val="•"/>
      <w:lvlJc w:val="left"/>
      <w:pPr>
        <w:ind w:left="661" w:hanging="103"/>
      </w:pPr>
      <w:rPr>
        <w:rFonts w:hint="default"/>
        <w:lang w:val="es-ES" w:eastAsia="en-US" w:bidi="ar-SA"/>
      </w:rPr>
    </w:lvl>
    <w:lvl w:ilvl="2" w:tplc="F8F2EF28">
      <w:numFmt w:val="bullet"/>
      <w:lvlText w:val="•"/>
      <w:lvlJc w:val="left"/>
      <w:pPr>
        <w:ind w:left="1283" w:hanging="103"/>
      </w:pPr>
      <w:rPr>
        <w:rFonts w:hint="default"/>
        <w:lang w:val="es-ES" w:eastAsia="en-US" w:bidi="ar-SA"/>
      </w:rPr>
    </w:lvl>
    <w:lvl w:ilvl="3" w:tplc="6BDC49CE">
      <w:numFmt w:val="bullet"/>
      <w:lvlText w:val="•"/>
      <w:lvlJc w:val="left"/>
      <w:pPr>
        <w:ind w:left="1905" w:hanging="103"/>
      </w:pPr>
      <w:rPr>
        <w:rFonts w:hint="default"/>
        <w:lang w:val="es-ES" w:eastAsia="en-US" w:bidi="ar-SA"/>
      </w:rPr>
    </w:lvl>
    <w:lvl w:ilvl="4" w:tplc="CFC8A76A">
      <w:numFmt w:val="bullet"/>
      <w:lvlText w:val="•"/>
      <w:lvlJc w:val="left"/>
      <w:pPr>
        <w:ind w:left="2526" w:hanging="103"/>
      </w:pPr>
      <w:rPr>
        <w:rFonts w:hint="default"/>
        <w:lang w:val="es-ES" w:eastAsia="en-US" w:bidi="ar-SA"/>
      </w:rPr>
    </w:lvl>
    <w:lvl w:ilvl="5" w:tplc="05ACFFA2">
      <w:numFmt w:val="bullet"/>
      <w:lvlText w:val="•"/>
      <w:lvlJc w:val="left"/>
      <w:pPr>
        <w:ind w:left="3148" w:hanging="103"/>
      </w:pPr>
      <w:rPr>
        <w:rFonts w:hint="default"/>
        <w:lang w:val="es-ES" w:eastAsia="en-US" w:bidi="ar-SA"/>
      </w:rPr>
    </w:lvl>
    <w:lvl w:ilvl="6" w:tplc="9A5A0EEC">
      <w:numFmt w:val="bullet"/>
      <w:lvlText w:val="•"/>
      <w:lvlJc w:val="left"/>
      <w:pPr>
        <w:ind w:left="3770" w:hanging="103"/>
      </w:pPr>
      <w:rPr>
        <w:rFonts w:hint="default"/>
        <w:lang w:val="es-ES" w:eastAsia="en-US" w:bidi="ar-SA"/>
      </w:rPr>
    </w:lvl>
    <w:lvl w:ilvl="7" w:tplc="F83CB982">
      <w:numFmt w:val="bullet"/>
      <w:lvlText w:val="•"/>
      <w:lvlJc w:val="left"/>
      <w:pPr>
        <w:ind w:left="4391" w:hanging="103"/>
      </w:pPr>
      <w:rPr>
        <w:rFonts w:hint="default"/>
        <w:lang w:val="es-ES" w:eastAsia="en-US" w:bidi="ar-SA"/>
      </w:rPr>
    </w:lvl>
    <w:lvl w:ilvl="8" w:tplc="2C121122">
      <w:numFmt w:val="bullet"/>
      <w:lvlText w:val="•"/>
      <w:lvlJc w:val="left"/>
      <w:pPr>
        <w:ind w:left="5013" w:hanging="103"/>
      </w:pPr>
      <w:rPr>
        <w:rFonts w:hint="default"/>
        <w:lang w:val="es-ES" w:eastAsia="en-US" w:bidi="ar-SA"/>
      </w:rPr>
    </w:lvl>
  </w:abstractNum>
  <w:abstractNum w:abstractNumId="115" w15:restartNumberingAfterBreak="0">
    <w:nsid w:val="2CD107F9"/>
    <w:multiLevelType w:val="hybridMultilevel"/>
    <w:tmpl w:val="10446A5C"/>
    <w:lvl w:ilvl="0" w:tplc="A8D0CA64">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D9F6652E">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0172B93E">
      <w:numFmt w:val="bullet"/>
      <w:lvlText w:val="•"/>
      <w:lvlJc w:val="left"/>
      <w:pPr>
        <w:ind w:left="2977" w:hanging="252"/>
      </w:pPr>
      <w:rPr>
        <w:rFonts w:hint="default"/>
        <w:lang w:val="es-ES" w:eastAsia="en-US" w:bidi="ar-SA"/>
      </w:rPr>
    </w:lvl>
    <w:lvl w:ilvl="3" w:tplc="17B857BE">
      <w:numFmt w:val="bullet"/>
      <w:lvlText w:val="•"/>
      <w:lvlJc w:val="left"/>
      <w:pPr>
        <w:ind w:left="3916" w:hanging="252"/>
      </w:pPr>
      <w:rPr>
        <w:rFonts w:hint="default"/>
        <w:lang w:val="es-ES" w:eastAsia="en-US" w:bidi="ar-SA"/>
      </w:rPr>
    </w:lvl>
    <w:lvl w:ilvl="4" w:tplc="7B9EFDEE">
      <w:numFmt w:val="bullet"/>
      <w:lvlText w:val="•"/>
      <w:lvlJc w:val="left"/>
      <w:pPr>
        <w:ind w:left="4855" w:hanging="252"/>
      </w:pPr>
      <w:rPr>
        <w:rFonts w:hint="default"/>
        <w:lang w:val="es-ES" w:eastAsia="en-US" w:bidi="ar-SA"/>
      </w:rPr>
    </w:lvl>
    <w:lvl w:ilvl="5" w:tplc="5A9CA3EE">
      <w:numFmt w:val="bullet"/>
      <w:lvlText w:val="•"/>
      <w:lvlJc w:val="left"/>
      <w:pPr>
        <w:ind w:left="5794" w:hanging="252"/>
      </w:pPr>
      <w:rPr>
        <w:rFonts w:hint="default"/>
        <w:lang w:val="es-ES" w:eastAsia="en-US" w:bidi="ar-SA"/>
      </w:rPr>
    </w:lvl>
    <w:lvl w:ilvl="6" w:tplc="7FCC2CC6">
      <w:numFmt w:val="bullet"/>
      <w:lvlText w:val="•"/>
      <w:lvlJc w:val="left"/>
      <w:pPr>
        <w:ind w:left="6733" w:hanging="252"/>
      </w:pPr>
      <w:rPr>
        <w:rFonts w:hint="default"/>
        <w:lang w:val="es-ES" w:eastAsia="en-US" w:bidi="ar-SA"/>
      </w:rPr>
    </w:lvl>
    <w:lvl w:ilvl="7" w:tplc="2D50B490">
      <w:numFmt w:val="bullet"/>
      <w:lvlText w:val="•"/>
      <w:lvlJc w:val="left"/>
      <w:pPr>
        <w:ind w:left="7672" w:hanging="252"/>
      </w:pPr>
      <w:rPr>
        <w:rFonts w:hint="default"/>
        <w:lang w:val="es-ES" w:eastAsia="en-US" w:bidi="ar-SA"/>
      </w:rPr>
    </w:lvl>
    <w:lvl w:ilvl="8" w:tplc="88D2862E">
      <w:numFmt w:val="bullet"/>
      <w:lvlText w:val="•"/>
      <w:lvlJc w:val="left"/>
      <w:pPr>
        <w:ind w:left="8611" w:hanging="252"/>
      </w:pPr>
      <w:rPr>
        <w:rFonts w:hint="default"/>
        <w:lang w:val="es-ES" w:eastAsia="en-US" w:bidi="ar-SA"/>
      </w:rPr>
    </w:lvl>
  </w:abstractNum>
  <w:abstractNum w:abstractNumId="116" w15:restartNumberingAfterBreak="0">
    <w:nsid w:val="2D426A24"/>
    <w:multiLevelType w:val="hybridMultilevel"/>
    <w:tmpl w:val="7A266B6E"/>
    <w:lvl w:ilvl="0" w:tplc="B5D681C4">
      <w:start w:val="4"/>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A2D67D2C">
      <w:numFmt w:val="bullet"/>
      <w:lvlText w:val="•"/>
      <w:lvlJc w:val="left"/>
      <w:pPr>
        <w:ind w:left="2038" w:hanging="225"/>
      </w:pPr>
      <w:rPr>
        <w:rFonts w:hint="default"/>
        <w:lang w:val="es-ES" w:eastAsia="en-US" w:bidi="ar-SA"/>
      </w:rPr>
    </w:lvl>
    <w:lvl w:ilvl="2" w:tplc="A470C416">
      <w:numFmt w:val="bullet"/>
      <w:lvlText w:val="•"/>
      <w:lvlJc w:val="left"/>
      <w:pPr>
        <w:ind w:left="2977" w:hanging="225"/>
      </w:pPr>
      <w:rPr>
        <w:rFonts w:hint="default"/>
        <w:lang w:val="es-ES" w:eastAsia="en-US" w:bidi="ar-SA"/>
      </w:rPr>
    </w:lvl>
    <w:lvl w:ilvl="3" w:tplc="15CA4708">
      <w:numFmt w:val="bullet"/>
      <w:lvlText w:val="•"/>
      <w:lvlJc w:val="left"/>
      <w:pPr>
        <w:ind w:left="3916" w:hanging="225"/>
      </w:pPr>
      <w:rPr>
        <w:rFonts w:hint="default"/>
        <w:lang w:val="es-ES" w:eastAsia="en-US" w:bidi="ar-SA"/>
      </w:rPr>
    </w:lvl>
    <w:lvl w:ilvl="4" w:tplc="8F3A0D36">
      <w:numFmt w:val="bullet"/>
      <w:lvlText w:val="•"/>
      <w:lvlJc w:val="left"/>
      <w:pPr>
        <w:ind w:left="4855" w:hanging="225"/>
      </w:pPr>
      <w:rPr>
        <w:rFonts w:hint="default"/>
        <w:lang w:val="es-ES" w:eastAsia="en-US" w:bidi="ar-SA"/>
      </w:rPr>
    </w:lvl>
    <w:lvl w:ilvl="5" w:tplc="3FBEE0F4">
      <w:numFmt w:val="bullet"/>
      <w:lvlText w:val="•"/>
      <w:lvlJc w:val="left"/>
      <w:pPr>
        <w:ind w:left="5794" w:hanging="225"/>
      </w:pPr>
      <w:rPr>
        <w:rFonts w:hint="default"/>
        <w:lang w:val="es-ES" w:eastAsia="en-US" w:bidi="ar-SA"/>
      </w:rPr>
    </w:lvl>
    <w:lvl w:ilvl="6" w:tplc="9DA08788">
      <w:numFmt w:val="bullet"/>
      <w:lvlText w:val="•"/>
      <w:lvlJc w:val="left"/>
      <w:pPr>
        <w:ind w:left="6733" w:hanging="225"/>
      </w:pPr>
      <w:rPr>
        <w:rFonts w:hint="default"/>
        <w:lang w:val="es-ES" w:eastAsia="en-US" w:bidi="ar-SA"/>
      </w:rPr>
    </w:lvl>
    <w:lvl w:ilvl="7" w:tplc="E61431F8">
      <w:numFmt w:val="bullet"/>
      <w:lvlText w:val="•"/>
      <w:lvlJc w:val="left"/>
      <w:pPr>
        <w:ind w:left="7672" w:hanging="225"/>
      </w:pPr>
      <w:rPr>
        <w:rFonts w:hint="default"/>
        <w:lang w:val="es-ES" w:eastAsia="en-US" w:bidi="ar-SA"/>
      </w:rPr>
    </w:lvl>
    <w:lvl w:ilvl="8" w:tplc="5C7A07DE">
      <w:numFmt w:val="bullet"/>
      <w:lvlText w:val="•"/>
      <w:lvlJc w:val="left"/>
      <w:pPr>
        <w:ind w:left="8611" w:hanging="225"/>
      </w:pPr>
      <w:rPr>
        <w:rFonts w:hint="default"/>
        <w:lang w:val="es-ES" w:eastAsia="en-US" w:bidi="ar-SA"/>
      </w:rPr>
    </w:lvl>
  </w:abstractNum>
  <w:abstractNum w:abstractNumId="117" w15:restartNumberingAfterBreak="0">
    <w:nsid w:val="2D7632BF"/>
    <w:multiLevelType w:val="hybridMultilevel"/>
    <w:tmpl w:val="1A14BE9E"/>
    <w:lvl w:ilvl="0" w:tplc="33E06B72">
      <w:start w:val="1"/>
      <w:numFmt w:val="decimal"/>
      <w:lvlText w:val="%1."/>
      <w:lvlJc w:val="left"/>
      <w:pPr>
        <w:ind w:left="1106" w:hanging="280"/>
        <w:jc w:val="left"/>
      </w:pPr>
      <w:rPr>
        <w:rFonts w:ascii="Arial MT" w:eastAsia="Arial MT" w:hAnsi="Arial MT" w:cs="Arial MT" w:hint="default"/>
        <w:b w:val="0"/>
        <w:bCs w:val="0"/>
        <w:i w:val="0"/>
        <w:iCs w:val="0"/>
        <w:spacing w:val="0"/>
        <w:w w:val="100"/>
        <w:sz w:val="20"/>
        <w:szCs w:val="20"/>
        <w:lang w:val="es-ES" w:eastAsia="en-US" w:bidi="ar-SA"/>
      </w:rPr>
    </w:lvl>
    <w:lvl w:ilvl="1" w:tplc="7FB85B9A">
      <w:numFmt w:val="bullet"/>
      <w:lvlText w:val="•"/>
      <w:lvlJc w:val="left"/>
      <w:pPr>
        <w:ind w:left="2038" w:hanging="280"/>
      </w:pPr>
      <w:rPr>
        <w:rFonts w:hint="default"/>
        <w:lang w:val="es-ES" w:eastAsia="en-US" w:bidi="ar-SA"/>
      </w:rPr>
    </w:lvl>
    <w:lvl w:ilvl="2" w:tplc="943406BC">
      <w:numFmt w:val="bullet"/>
      <w:lvlText w:val="•"/>
      <w:lvlJc w:val="left"/>
      <w:pPr>
        <w:ind w:left="2977" w:hanging="280"/>
      </w:pPr>
      <w:rPr>
        <w:rFonts w:hint="default"/>
        <w:lang w:val="es-ES" w:eastAsia="en-US" w:bidi="ar-SA"/>
      </w:rPr>
    </w:lvl>
    <w:lvl w:ilvl="3" w:tplc="DED2E228">
      <w:numFmt w:val="bullet"/>
      <w:lvlText w:val="•"/>
      <w:lvlJc w:val="left"/>
      <w:pPr>
        <w:ind w:left="3916" w:hanging="280"/>
      </w:pPr>
      <w:rPr>
        <w:rFonts w:hint="default"/>
        <w:lang w:val="es-ES" w:eastAsia="en-US" w:bidi="ar-SA"/>
      </w:rPr>
    </w:lvl>
    <w:lvl w:ilvl="4" w:tplc="D57812BA">
      <w:numFmt w:val="bullet"/>
      <w:lvlText w:val="•"/>
      <w:lvlJc w:val="left"/>
      <w:pPr>
        <w:ind w:left="4855" w:hanging="280"/>
      </w:pPr>
      <w:rPr>
        <w:rFonts w:hint="default"/>
        <w:lang w:val="es-ES" w:eastAsia="en-US" w:bidi="ar-SA"/>
      </w:rPr>
    </w:lvl>
    <w:lvl w:ilvl="5" w:tplc="B52283F6">
      <w:numFmt w:val="bullet"/>
      <w:lvlText w:val="•"/>
      <w:lvlJc w:val="left"/>
      <w:pPr>
        <w:ind w:left="5794" w:hanging="280"/>
      </w:pPr>
      <w:rPr>
        <w:rFonts w:hint="default"/>
        <w:lang w:val="es-ES" w:eastAsia="en-US" w:bidi="ar-SA"/>
      </w:rPr>
    </w:lvl>
    <w:lvl w:ilvl="6" w:tplc="0ECCF81E">
      <w:numFmt w:val="bullet"/>
      <w:lvlText w:val="•"/>
      <w:lvlJc w:val="left"/>
      <w:pPr>
        <w:ind w:left="6733" w:hanging="280"/>
      </w:pPr>
      <w:rPr>
        <w:rFonts w:hint="default"/>
        <w:lang w:val="es-ES" w:eastAsia="en-US" w:bidi="ar-SA"/>
      </w:rPr>
    </w:lvl>
    <w:lvl w:ilvl="7" w:tplc="270095DC">
      <w:numFmt w:val="bullet"/>
      <w:lvlText w:val="•"/>
      <w:lvlJc w:val="left"/>
      <w:pPr>
        <w:ind w:left="7672" w:hanging="280"/>
      </w:pPr>
      <w:rPr>
        <w:rFonts w:hint="default"/>
        <w:lang w:val="es-ES" w:eastAsia="en-US" w:bidi="ar-SA"/>
      </w:rPr>
    </w:lvl>
    <w:lvl w:ilvl="8" w:tplc="A24CC792">
      <w:numFmt w:val="bullet"/>
      <w:lvlText w:val="•"/>
      <w:lvlJc w:val="left"/>
      <w:pPr>
        <w:ind w:left="8611" w:hanging="280"/>
      </w:pPr>
      <w:rPr>
        <w:rFonts w:hint="default"/>
        <w:lang w:val="es-ES" w:eastAsia="en-US" w:bidi="ar-SA"/>
      </w:rPr>
    </w:lvl>
  </w:abstractNum>
  <w:abstractNum w:abstractNumId="118" w15:restartNumberingAfterBreak="0">
    <w:nsid w:val="2DBA7105"/>
    <w:multiLevelType w:val="hybridMultilevel"/>
    <w:tmpl w:val="251E7A7C"/>
    <w:lvl w:ilvl="0" w:tplc="780499D4">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E1122CCE">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1F0A13A8">
      <w:numFmt w:val="bullet"/>
      <w:lvlText w:val="•"/>
      <w:lvlJc w:val="left"/>
      <w:pPr>
        <w:ind w:left="2658" w:hanging="234"/>
      </w:pPr>
      <w:rPr>
        <w:rFonts w:hint="default"/>
        <w:lang w:val="es-ES" w:eastAsia="en-US" w:bidi="ar-SA"/>
      </w:rPr>
    </w:lvl>
    <w:lvl w:ilvl="3" w:tplc="770EF938">
      <w:numFmt w:val="bullet"/>
      <w:lvlText w:val="•"/>
      <w:lvlJc w:val="left"/>
      <w:pPr>
        <w:ind w:left="3637" w:hanging="234"/>
      </w:pPr>
      <w:rPr>
        <w:rFonts w:hint="default"/>
        <w:lang w:val="es-ES" w:eastAsia="en-US" w:bidi="ar-SA"/>
      </w:rPr>
    </w:lvl>
    <w:lvl w:ilvl="4" w:tplc="7A3CBEAC">
      <w:numFmt w:val="bullet"/>
      <w:lvlText w:val="•"/>
      <w:lvlJc w:val="left"/>
      <w:pPr>
        <w:ind w:left="4616" w:hanging="234"/>
      </w:pPr>
      <w:rPr>
        <w:rFonts w:hint="default"/>
        <w:lang w:val="es-ES" w:eastAsia="en-US" w:bidi="ar-SA"/>
      </w:rPr>
    </w:lvl>
    <w:lvl w:ilvl="5" w:tplc="5F1AD60E">
      <w:numFmt w:val="bullet"/>
      <w:lvlText w:val="•"/>
      <w:lvlJc w:val="left"/>
      <w:pPr>
        <w:ind w:left="5595" w:hanging="234"/>
      </w:pPr>
      <w:rPr>
        <w:rFonts w:hint="default"/>
        <w:lang w:val="es-ES" w:eastAsia="en-US" w:bidi="ar-SA"/>
      </w:rPr>
    </w:lvl>
    <w:lvl w:ilvl="6" w:tplc="93A23B8A">
      <w:numFmt w:val="bullet"/>
      <w:lvlText w:val="•"/>
      <w:lvlJc w:val="left"/>
      <w:pPr>
        <w:ind w:left="6574" w:hanging="234"/>
      </w:pPr>
      <w:rPr>
        <w:rFonts w:hint="default"/>
        <w:lang w:val="es-ES" w:eastAsia="en-US" w:bidi="ar-SA"/>
      </w:rPr>
    </w:lvl>
    <w:lvl w:ilvl="7" w:tplc="6F2A3C00">
      <w:numFmt w:val="bullet"/>
      <w:lvlText w:val="•"/>
      <w:lvlJc w:val="left"/>
      <w:pPr>
        <w:ind w:left="7553" w:hanging="234"/>
      </w:pPr>
      <w:rPr>
        <w:rFonts w:hint="default"/>
        <w:lang w:val="es-ES" w:eastAsia="en-US" w:bidi="ar-SA"/>
      </w:rPr>
    </w:lvl>
    <w:lvl w:ilvl="8" w:tplc="4CC0EE82">
      <w:numFmt w:val="bullet"/>
      <w:lvlText w:val="•"/>
      <w:lvlJc w:val="left"/>
      <w:pPr>
        <w:ind w:left="8531" w:hanging="234"/>
      </w:pPr>
      <w:rPr>
        <w:rFonts w:hint="default"/>
        <w:lang w:val="es-ES" w:eastAsia="en-US" w:bidi="ar-SA"/>
      </w:rPr>
    </w:lvl>
  </w:abstractNum>
  <w:abstractNum w:abstractNumId="119" w15:restartNumberingAfterBreak="0">
    <w:nsid w:val="2DBA715B"/>
    <w:multiLevelType w:val="hybridMultilevel"/>
    <w:tmpl w:val="11D69F78"/>
    <w:lvl w:ilvl="0" w:tplc="3656E5CE">
      <w:start w:val="1"/>
      <w:numFmt w:val="decimal"/>
      <w:lvlText w:val="%1."/>
      <w:lvlJc w:val="left"/>
      <w:pPr>
        <w:ind w:left="1106" w:hanging="295"/>
        <w:jc w:val="left"/>
      </w:pPr>
      <w:rPr>
        <w:rFonts w:ascii="Arial MT" w:eastAsia="Arial MT" w:hAnsi="Arial MT" w:cs="Arial MT" w:hint="default"/>
        <w:b w:val="0"/>
        <w:bCs w:val="0"/>
        <w:i w:val="0"/>
        <w:iCs w:val="0"/>
        <w:spacing w:val="0"/>
        <w:w w:val="100"/>
        <w:sz w:val="20"/>
        <w:szCs w:val="20"/>
        <w:lang w:val="es-ES" w:eastAsia="en-US" w:bidi="ar-SA"/>
      </w:rPr>
    </w:lvl>
    <w:lvl w:ilvl="1" w:tplc="D62848E4">
      <w:start w:val="1"/>
      <w:numFmt w:val="lowerLetter"/>
      <w:lvlText w:val="%2)"/>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2" w:tplc="BC9EB4AE">
      <w:numFmt w:val="bullet"/>
      <w:lvlText w:val="•"/>
      <w:lvlJc w:val="left"/>
      <w:pPr>
        <w:ind w:left="2977" w:hanging="249"/>
      </w:pPr>
      <w:rPr>
        <w:rFonts w:hint="default"/>
        <w:lang w:val="es-ES" w:eastAsia="en-US" w:bidi="ar-SA"/>
      </w:rPr>
    </w:lvl>
    <w:lvl w:ilvl="3" w:tplc="F4CCBFA4">
      <w:numFmt w:val="bullet"/>
      <w:lvlText w:val="•"/>
      <w:lvlJc w:val="left"/>
      <w:pPr>
        <w:ind w:left="3916" w:hanging="249"/>
      </w:pPr>
      <w:rPr>
        <w:rFonts w:hint="default"/>
        <w:lang w:val="es-ES" w:eastAsia="en-US" w:bidi="ar-SA"/>
      </w:rPr>
    </w:lvl>
    <w:lvl w:ilvl="4" w:tplc="8348C806">
      <w:numFmt w:val="bullet"/>
      <w:lvlText w:val="•"/>
      <w:lvlJc w:val="left"/>
      <w:pPr>
        <w:ind w:left="4855" w:hanging="249"/>
      </w:pPr>
      <w:rPr>
        <w:rFonts w:hint="default"/>
        <w:lang w:val="es-ES" w:eastAsia="en-US" w:bidi="ar-SA"/>
      </w:rPr>
    </w:lvl>
    <w:lvl w:ilvl="5" w:tplc="0616B75C">
      <w:numFmt w:val="bullet"/>
      <w:lvlText w:val="•"/>
      <w:lvlJc w:val="left"/>
      <w:pPr>
        <w:ind w:left="5794" w:hanging="249"/>
      </w:pPr>
      <w:rPr>
        <w:rFonts w:hint="default"/>
        <w:lang w:val="es-ES" w:eastAsia="en-US" w:bidi="ar-SA"/>
      </w:rPr>
    </w:lvl>
    <w:lvl w:ilvl="6" w:tplc="D20A4070">
      <w:numFmt w:val="bullet"/>
      <w:lvlText w:val="•"/>
      <w:lvlJc w:val="left"/>
      <w:pPr>
        <w:ind w:left="6733" w:hanging="249"/>
      </w:pPr>
      <w:rPr>
        <w:rFonts w:hint="default"/>
        <w:lang w:val="es-ES" w:eastAsia="en-US" w:bidi="ar-SA"/>
      </w:rPr>
    </w:lvl>
    <w:lvl w:ilvl="7" w:tplc="96D4ADFA">
      <w:numFmt w:val="bullet"/>
      <w:lvlText w:val="•"/>
      <w:lvlJc w:val="left"/>
      <w:pPr>
        <w:ind w:left="7672" w:hanging="249"/>
      </w:pPr>
      <w:rPr>
        <w:rFonts w:hint="default"/>
        <w:lang w:val="es-ES" w:eastAsia="en-US" w:bidi="ar-SA"/>
      </w:rPr>
    </w:lvl>
    <w:lvl w:ilvl="8" w:tplc="FD66CF02">
      <w:numFmt w:val="bullet"/>
      <w:lvlText w:val="•"/>
      <w:lvlJc w:val="left"/>
      <w:pPr>
        <w:ind w:left="8611" w:hanging="249"/>
      </w:pPr>
      <w:rPr>
        <w:rFonts w:hint="default"/>
        <w:lang w:val="es-ES" w:eastAsia="en-US" w:bidi="ar-SA"/>
      </w:rPr>
    </w:lvl>
  </w:abstractNum>
  <w:abstractNum w:abstractNumId="120" w15:restartNumberingAfterBreak="0">
    <w:nsid w:val="2DD2025E"/>
    <w:multiLevelType w:val="hybridMultilevel"/>
    <w:tmpl w:val="F642FEFA"/>
    <w:lvl w:ilvl="0" w:tplc="5A0C0A84">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B63A7A36">
      <w:start w:val="1"/>
      <w:numFmt w:val="lowerLetter"/>
      <w:lvlText w:val="%2)"/>
      <w:lvlJc w:val="left"/>
      <w:pPr>
        <w:ind w:left="1106" w:hanging="337"/>
        <w:jc w:val="left"/>
      </w:pPr>
      <w:rPr>
        <w:rFonts w:ascii="Arial MT" w:eastAsia="Arial MT" w:hAnsi="Arial MT" w:cs="Arial MT" w:hint="default"/>
        <w:b w:val="0"/>
        <w:bCs w:val="0"/>
        <w:i w:val="0"/>
        <w:iCs w:val="0"/>
        <w:spacing w:val="0"/>
        <w:w w:val="100"/>
        <w:sz w:val="20"/>
        <w:szCs w:val="20"/>
        <w:lang w:val="es-ES" w:eastAsia="en-US" w:bidi="ar-SA"/>
      </w:rPr>
    </w:lvl>
    <w:lvl w:ilvl="2" w:tplc="C48E3024">
      <w:numFmt w:val="bullet"/>
      <w:lvlText w:val="•"/>
      <w:lvlJc w:val="left"/>
      <w:pPr>
        <w:ind w:left="2977" w:hanging="337"/>
      </w:pPr>
      <w:rPr>
        <w:rFonts w:hint="default"/>
        <w:lang w:val="es-ES" w:eastAsia="en-US" w:bidi="ar-SA"/>
      </w:rPr>
    </w:lvl>
    <w:lvl w:ilvl="3" w:tplc="2422A2FE">
      <w:numFmt w:val="bullet"/>
      <w:lvlText w:val="•"/>
      <w:lvlJc w:val="left"/>
      <w:pPr>
        <w:ind w:left="3916" w:hanging="337"/>
      </w:pPr>
      <w:rPr>
        <w:rFonts w:hint="default"/>
        <w:lang w:val="es-ES" w:eastAsia="en-US" w:bidi="ar-SA"/>
      </w:rPr>
    </w:lvl>
    <w:lvl w:ilvl="4" w:tplc="569CF6F2">
      <w:numFmt w:val="bullet"/>
      <w:lvlText w:val="•"/>
      <w:lvlJc w:val="left"/>
      <w:pPr>
        <w:ind w:left="4855" w:hanging="337"/>
      </w:pPr>
      <w:rPr>
        <w:rFonts w:hint="default"/>
        <w:lang w:val="es-ES" w:eastAsia="en-US" w:bidi="ar-SA"/>
      </w:rPr>
    </w:lvl>
    <w:lvl w:ilvl="5" w:tplc="2D241646">
      <w:numFmt w:val="bullet"/>
      <w:lvlText w:val="•"/>
      <w:lvlJc w:val="left"/>
      <w:pPr>
        <w:ind w:left="5794" w:hanging="337"/>
      </w:pPr>
      <w:rPr>
        <w:rFonts w:hint="default"/>
        <w:lang w:val="es-ES" w:eastAsia="en-US" w:bidi="ar-SA"/>
      </w:rPr>
    </w:lvl>
    <w:lvl w:ilvl="6" w:tplc="C6B21548">
      <w:numFmt w:val="bullet"/>
      <w:lvlText w:val="•"/>
      <w:lvlJc w:val="left"/>
      <w:pPr>
        <w:ind w:left="6733" w:hanging="337"/>
      </w:pPr>
      <w:rPr>
        <w:rFonts w:hint="default"/>
        <w:lang w:val="es-ES" w:eastAsia="en-US" w:bidi="ar-SA"/>
      </w:rPr>
    </w:lvl>
    <w:lvl w:ilvl="7" w:tplc="EC10DA68">
      <w:numFmt w:val="bullet"/>
      <w:lvlText w:val="•"/>
      <w:lvlJc w:val="left"/>
      <w:pPr>
        <w:ind w:left="7672" w:hanging="337"/>
      </w:pPr>
      <w:rPr>
        <w:rFonts w:hint="default"/>
        <w:lang w:val="es-ES" w:eastAsia="en-US" w:bidi="ar-SA"/>
      </w:rPr>
    </w:lvl>
    <w:lvl w:ilvl="8" w:tplc="7C3ED718">
      <w:numFmt w:val="bullet"/>
      <w:lvlText w:val="•"/>
      <w:lvlJc w:val="left"/>
      <w:pPr>
        <w:ind w:left="8611" w:hanging="337"/>
      </w:pPr>
      <w:rPr>
        <w:rFonts w:hint="default"/>
        <w:lang w:val="es-ES" w:eastAsia="en-US" w:bidi="ar-SA"/>
      </w:rPr>
    </w:lvl>
  </w:abstractNum>
  <w:abstractNum w:abstractNumId="121" w15:restartNumberingAfterBreak="0">
    <w:nsid w:val="2EAF2E1A"/>
    <w:multiLevelType w:val="hybridMultilevel"/>
    <w:tmpl w:val="BD0C1A80"/>
    <w:lvl w:ilvl="0" w:tplc="2A4ADE4A">
      <w:start w:val="1"/>
      <w:numFmt w:val="decimal"/>
      <w:lvlText w:val="%1."/>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1" w:tplc="3D2AF65A">
      <w:numFmt w:val="bullet"/>
      <w:lvlText w:val="•"/>
      <w:lvlJc w:val="left"/>
      <w:pPr>
        <w:ind w:left="2038" w:hanging="273"/>
      </w:pPr>
      <w:rPr>
        <w:rFonts w:hint="default"/>
        <w:lang w:val="es-ES" w:eastAsia="en-US" w:bidi="ar-SA"/>
      </w:rPr>
    </w:lvl>
    <w:lvl w:ilvl="2" w:tplc="76AE65CA">
      <w:numFmt w:val="bullet"/>
      <w:lvlText w:val="•"/>
      <w:lvlJc w:val="left"/>
      <w:pPr>
        <w:ind w:left="2977" w:hanging="273"/>
      </w:pPr>
      <w:rPr>
        <w:rFonts w:hint="default"/>
        <w:lang w:val="es-ES" w:eastAsia="en-US" w:bidi="ar-SA"/>
      </w:rPr>
    </w:lvl>
    <w:lvl w:ilvl="3" w:tplc="9626D53C">
      <w:numFmt w:val="bullet"/>
      <w:lvlText w:val="•"/>
      <w:lvlJc w:val="left"/>
      <w:pPr>
        <w:ind w:left="3916" w:hanging="273"/>
      </w:pPr>
      <w:rPr>
        <w:rFonts w:hint="default"/>
        <w:lang w:val="es-ES" w:eastAsia="en-US" w:bidi="ar-SA"/>
      </w:rPr>
    </w:lvl>
    <w:lvl w:ilvl="4" w:tplc="133C219E">
      <w:numFmt w:val="bullet"/>
      <w:lvlText w:val="•"/>
      <w:lvlJc w:val="left"/>
      <w:pPr>
        <w:ind w:left="4855" w:hanging="273"/>
      </w:pPr>
      <w:rPr>
        <w:rFonts w:hint="default"/>
        <w:lang w:val="es-ES" w:eastAsia="en-US" w:bidi="ar-SA"/>
      </w:rPr>
    </w:lvl>
    <w:lvl w:ilvl="5" w:tplc="1B4C8A04">
      <w:numFmt w:val="bullet"/>
      <w:lvlText w:val="•"/>
      <w:lvlJc w:val="left"/>
      <w:pPr>
        <w:ind w:left="5794" w:hanging="273"/>
      </w:pPr>
      <w:rPr>
        <w:rFonts w:hint="default"/>
        <w:lang w:val="es-ES" w:eastAsia="en-US" w:bidi="ar-SA"/>
      </w:rPr>
    </w:lvl>
    <w:lvl w:ilvl="6" w:tplc="499C65B8">
      <w:numFmt w:val="bullet"/>
      <w:lvlText w:val="•"/>
      <w:lvlJc w:val="left"/>
      <w:pPr>
        <w:ind w:left="6733" w:hanging="273"/>
      </w:pPr>
      <w:rPr>
        <w:rFonts w:hint="default"/>
        <w:lang w:val="es-ES" w:eastAsia="en-US" w:bidi="ar-SA"/>
      </w:rPr>
    </w:lvl>
    <w:lvl w:ilvl="7" w:tplc="D0B8AE7E">
      <w:numFmt w:val="bullet"/>
      <w:lvlText w:val="•"/>
      <w:lvlJc w:val="left"/>
      <w:pPr>
        <w:ind w:left="7672" w:hanging="273"/>
      </w:pPr>
      <w:rPr>
        <w:rFonts w:hint="default"/>
        <w:lang w:val="es-ES" w:eastAsia="en-US" w:bidi="ar-SA"/>
      </w:rPr>
    </w:lvl>
    <w:lvl w:ilvl="8" w:tplc="824E4974">
      <w:numFmt w:val="bullet"/>
      <w:lvlText w:val="•"/>
      <w:lvlJc w:val="left"/>
      <w:pPr>
        <w:ind w:left="8611" w:hanging="273"/>
      </w:pPr>
      <w:rPr>
        <w:rFonts w:hint="default"/>
        <w:lang w:val="es-ES" w:eastAsia="en-US" w:bidi="ar-SA"/>
      </w:rPr>
    </w:lvl>
  </w:abstractNum>
  <w:abstractNum w:abstractNumId="122" w15:restartNumberingAfterBreak="0">
    <w:nsid w:val="2EFD65D0"/>
    <w:multiLevelType w:val="hybridMultilevel"/>
    <w:tmpl w:val="3ACE7CC8"/>
    <w:lvl w:ilvl="0" w:tplc="80083158">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73226678">
      <w:numFmt w:val="bullet"/>
      <w:lvlText w:val="•"/>
      <w:lvlJc w:val="left"/>
      <w:pPr>
        <w:ind w:left="2038" w:hanging="225"/>
      </w:pPr>
      <w:rPr>
        <w:rFonts w:hint="default"/>
        <w:lang w:val="es-ES" w:eastAsia="en-US" w:bidi="ar-SA"/>
      </w:rPr>
    </w:lvl>
    <w:lvl w:ilvl="2" w:tplc="6FEE6028">
      <w:numFmt w:val="bullet"/>
      <w:lvlText w:val="•"/>
      <w:lvlJc w:val="left"/>
      <w:pPr>
        <w:ind w:left="2977" w:hanging="225"/>
      </w:pPr>
      <w:rPr>
        <w:rFonts w:hint="default"/>
        <w:lang w:val="es-ES" w:eastAsia="en-US" w:bidi="ar-SA"/>
      </w:rPr>
    </w:lvl>
    <w:lvl w:ilvl="3" w:tplc="664C016E">
      <w:numFmt w:val="bullet"/>
      <w:lvlText w:val="•"/>
      <w:lvlJc w:val="left"/>
      <w:pPr>
        <w:ind w:left="3916" w:hanging="225"/>
      </w:pPr>
      <w:rPr>
        <w:rFonts w:hint="default"/>
        <w:lang w:val="es-ES" w:eastAsia="en-US" w:bidi="ar-SA"/>
      </w:rPr>
    </w:lvl>
    <w:lvl w:ilvl="4" w:tplc="236EB1E4">
      <w:numFmt w:val="bullet"/>
      <w:lvlText w:val="•"/>
      <w:lvlJc w:val="left"/>
      <w:pPr>
        <w:ind w:left="4855" w:hanging="225"/>
      </w:pPr>
      <w:rPr>
        <w:rFonts w:hint="default"/>
        <w:lang w:val="es-ES" w:eastAsia="en-US" w:bidi="ar-SA"/>
      </w:rPr>
    </w:lvl>
    <w:lvl w:ilvl="5" w:tplc="25327B4C">
      <w:numFmt w:val="bullet"/>
      <w:lvlText w:val="•"/>
      <w:lvlJc w:val="left"/>
      <w:pPr>
        <w:ind w:left="5794" w:hanging="225"/>
      </w:pPr>
      <w:rPr>
        <w:rFonts w:hint="default"/>
        <w:lang w:val="es-ES" w:eastAsia="en-US" w:bidi="ar-SA"/>
      </w:rPr>
    </w:lvl>
    <w:lvl w:ilvl="6" w:tplc="9140E93E">
      <w:numFmt w:val="bullet"/>
      <w:lvlText w:val="•"/>
      <w:lvlJc w:val="left"/>
      <w:pPr>
        <w:ind w:left="6733" w:hanging="225"/>
      </w:pPr>
      <w:rPr>
        <w:rFonts w:hint="default"/>
        <w:lang w:val="es-ES" w:eastAsia="en-US" w:bidi="ar-SA"/>
      </w:rPr>
    </w:lvl>
    <w:lvl w:ilvl="7" w:tplc="98D488F0">
      <w:numFmt w:val="bullet"/>
      <w:lvlText w:val="•"/>
      <w:lvlJc w:val="left"/>
      <w:pPr>
        <w:ind w:left="7672" w:hanging="225"/>
      </w:pPr>
      <w:rPr>
        <w:rFonts w:hint="default"/>
        <w:lang w:val="es-ES" w:eastAsia="en-US" w:bidi="ar-SA"/>
      </w:rPr>
    </w:lvl>
    <w:lvl w:ilvl="8" w:tplc="EDF0979C">
      <w:numFmt w:val="bullet"/>
      <w:lvlText w:val="•"/>
      <w:lvlJc w:val="left"/>
      <w:pPr>
        <w:ind w:left="8611" w:hanging="225"/>
      </w:pPr>
      <w:rPr>
        <w:rFonts w:hint="default"/>
        <w:lang w:val="es-ES" w:eastAsia="en-US" w:bidi="ar-SA"/>
      </w:rPr>
    </w:lvl>
  </w:abstractNum>
  <w:abstractNum w:abstractNumId="123" w15:restartNumberingAfterBreak="0">
    <w:nsid w:val="2F476686"/>
    <w:multiLevelType w:val="hybridMultilevel"/>
    <w:tmpl w:val="DE2278B4"/>
    <w:lvl w:ilvl="0" w:tplc="FC920498">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BEAC7080">
      <w:numFmt w:val="bullet"/>
      <w:lvlText w:val="•"/>
      <w:lvlJc w:val="left"/>
      <w:pPr>
        <w:ind w:left="2038" w:hanging="228"/>
      </w:pPr>
      <w:rPr>
        <w:rFonts w:hint="default"/>
        <w:lang w:val="es-ES" w:eastAsia="en-US" w:bidi="ar-SA"/>
      </w:rPr>
    </w:lvl>
    <w:lvl w:ilvl="2" w:tplc="3F9CB99A">
      <w:numFmt w:val="bullet"/>
      <w:lvlText w:val="•"/>
      <w:lvlJc w:val="left"/>
      <w:pPr>
        <w:ind w:left="2977" w:hanging="228"/>
      </w:pPr>
      <w:rPr>
        <w:rFonts w:hint="default"/>
        <w:lang w:val="es-ES" w:eastAsia="en-US" w:bidi="ar-SA"/>
      </w:rPr>
    </w:lvl>
    <w:lvl w:ilvl="3" w:tplc="EE1A167C">
      <w:numFmt w:val="bullet"/>
      <w:lvlText w:val="•"/>
      <w:lvlJc w:val="left"/>
      <w:pPr>
        <w:ind w:left="3916" w:hanging="228"/>
      </w:pPr>
      <w:rPr>
        <w:rFonts w:hint="default"/>
        <w:lang w:val="es-ES" w:eastAsia="en-US" w:bidi="ar-SA"/>
      </w:rPr>
    </w:lvl>
    <w:lvl w:ilvl="4" w:tplc="DA522066">
      <w:numFmt w:val="bullet"/>
      <w:lvlText w:val="•"/>
      <w:lvlJc w:val="left"/>
      <w:pPr>
        <w:ind w:left="4855" w:hanging="228"/>
      </w:pPr>
      <w:rPr>
        <w:rFonts w:hint="default"/>
        <w:lang w:val="es-ES" w:eastAsia="en-US" w:bidi="ar-SA"/>
      </w:rPr>
    </w:lvl>
    <w:lvl w:ilvl="5" w:tplc="5030D224">
      <w:numFmt w:val="bullet"/>
      <w:lvlText w:val="•"/>
      <w:lvlJc w:val="left"/>
      <w:pPr>
        <w:ind w:left="5794" w:hanging="228"/>
      </w:pPr>
      <w:rPr>
        <w:rFonts w:hint="default"/>
        <w:lang w:val="es-ES" w:eastAsia="en-US" w:bidi="ar-SA"/>
      </w:rPr>
    </w:lvl>
    <w:lvl w:ilvl="6" w:tplc="4364C306">
      <w:numFmt w:val="bullet"/>
      <w:lvlText w:val="•"/>
      <w:lvlJc w:val="left"/>
      <w:pPr>
        <w:ind w:left="6733" w:hanging="228"/>
      </w:pPr>
      <w:rPr>
        <w:rFonts w:hint="default"/>
        <w:lang w:val="es-ES" w:eastAsia="en-US" w:bidi="ar-SA"/>
      </w:rPr>
    </w:lvl>
    <w:lvl w:ilvl="7" w:tplc="5638100A">
      <w:numFmt w:val="bullet"/>
      <w:lvlText w:val="•"/>
      <w:lvlJc w:val="left"/>
      <w:pPr>
        <w:ind w:left="7672" w:hanging="228"/>
      </w:pPr>
      <w:rPr>
        <w:rFonts w:hint="default"/>
        <w:lang w:val="es-ES" w:eastAsia="en-US" w:bidi="ar-SA"/>
      </w:rPr>
    </w:lvl>
    <w:lvl w:ilvl="8" w:tplc="C7849B8C">
      <w:numFmt w:val="bullet"/>
      <w:lvlText w:val="•"/>
      <w:lvlJc w:val="left"/>
      <w:pPr>
        <w:ind w:left="8611" w:hanging="228"/>
      </w:pPr>
      <w:rPr>
        <w:rFonts w:hint="default"/>
        <w:lang w:val="es-ES" w:eastAsia="en-US" w:bidi="ar-SA"/>
      </w:rPr>
    </w:lvl>
  </w:abstractNum>
  <w:abstractNum w:abstractNumId="124" w15:restartNumberingAfterBreak="0">
    <w:nsid w:val="2F783BC8"/>
    <w:multiLevelType w:val="hybridMultilevel"/>
    <w:tmpl w:val="66F2B7C6"/>
    <w:lvl w:ilvl="0" w:tplc="9D5081C6">
      <w:start w:val="1"/>
      <w:numFmt w:val="decimal"/>
      <w:lvlText w:val="%1."/>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1" w:tplc="06903C56">
      <w:numFmt w:val="bullet"/>
      <w:lvlText w:val="•"/>
      <w:lvlJc w:val="left"/>
      <w:pPr>
        <w:ind w:left="2038" w:hanging="247"/>
      </w:pPr>
      <w:rPr>
        <w:rFonts w:hint="default"/>
        <w:lang w:val="es-ES" w:eastAsia="en-US" w:bidi="ar-SA"/>
      </w:rPr>
    </w:lvl>
    <w:lvl w:ilvl="2" w:tplc="31D048B2">
      <w:numFmt w:val="bullet"/>
      <w:lvlText w:val="•"/>
      <w:lvlJc w:val="left"/>
      <w:pPr>
        <w:ind w:left="2977" w:hanging="247"/>
      </w:pPr>
      <w:rPr>
        <w:rFonts w:hint="default"/>
        <w:lang w:val="es-ES" w:eastAsia="en-US" w:bidi="ar-SA"/>
      </w:rPr>
    </w:lvl>
    <w:lvl w:ilvl="3" w:tplc="53A41D56">
      <w:numFmt w:val="bullet"/>
      <w:lvlText w:val="•"/>
      <w:lvlJc w:val="left"/>
      <w:pPr>
        <w:ind w:left="3916" w:hanging="247"/>
      </w:pPr>
      <w:rPr>
        <w:rFonts w:hint="default"/>
        <w:lang w:val="es-ES" w:eastAsia="en-US" w:bidi="ar-SA"/>
      </w:rPr>
    </w:lvl>
    <w:lvl w:ilvl="4" w:tplc="B75CB234">
      <w:numFmt w:val="bullet"/>
      <w:lvlText w:val="•"/>
      <w:lvlJc w:val="left"/>
      <w:pPr>
        <w:ind w:left="4855" w:hanging="247"/>
      </w:pPr>
      <w:rPr>
        <w:rFonts w:hint="default"/>
        <w:lang w:val="es-ES" w:eastAsia="en-US" w:bidi="ar-SA"/>
      </w:rPr>
    </w:lvl>
    <w:lvl w:ilvl="5" w:tplc="F28EB148">
      <w:numFmt w:val="bullet"/>
      <w:lvlText w:val="•"/>
      <w:lvlJc w:val="left"/>
      <w:pPr>
        <w:ind w:left="5794" w:hanging="247"/>
      </w:pPr>
      <w:rPr>
        <w:rFonts w:hint="default"/>
        <w:lang w:val="es-ES" w:eastAsia="en-US" w:bidi="ar-SA"/>
      </w:rPr>
    </w:lvl>
    <w:lvl w:ilvl="6" w:tplc="A0E4B8F8">
      <w:numFmt w:val="bullet"/>
      <w:lvlText w:val="•"/>
      <w:lvlJc w:val="left"/>
      <w:pPr>
        <w:ind w:left="6733" w:hanging="247"/>
      </w:pPr>
      <w:rPr>
        <w:rFonts w:hint="default"/>
        <w:lang w:val="es-ES" w:eastAsia="en-US" w:bidi="ar-SA"/>
      </w:rPr>
    </w:lvl>
    <w:lvl w:ilvl="7" w:tplc="B0D09B50">
      <w:numFmt w:val="bullet"/>
      <w:lvlText w:val="•"/>
      <w:lvlJc w:val="left"/>
      <w:pPr>
        <w:ind w:left="7672" w:hanging="247"/>
      </w:pPr>
      <w:rPr>
        <w:rFonts w:hint="default"/>
        <w:lang w:val="es-ES" w:eastAsia="en-US" w:bidi="ar-SA"/>
      </w:rPr>
    </w:lvl>
    <w:lvl w:ilvl="8" w:tplc="D3D06434">
      <w:numFmt w:val="bullet"/>
      <w:lvlText w:val="•"/>
      <w:lvlJc w:val="left"/>
      <w:pPr>
        <w:ind w:left="8611" w:hanging="247"/>
      </w:pPr>
      <w:rPr>
        <w:rFonts w:hint="default"/>
        <w:lang w:val="es-ES" w:eastAsia="en-US" w:bidi="ar-SA"/>
      </w:rPr>
    </w:lvl>
  </w:abstractNum>
  <w:abstractNum w:abstractNumId="125" w15:restartNumberingAfterBreak="0">
    <w:nsid w:val="304E61AE"/>
    <w:multiLevelType w:val="hybridMultilevel"/>
    <w:tmpl w:val="33C678FE"/>
    <w:lvl w:ilvl="0" w:tplc="068CA222">
      <w:start w:val="2"/>
      <w:numFmt w:val="lowerLetter"/>
      <w:lvlText w:val="%1)"/>
      <w:lvlJc w:val="left"/>
      <w:pPr>
        <w:ind w:left="1339" w:hanging="234"/>
        <w:jc w:val="left"/>
      </w:pPr>
      <w:rPr>
        <w:rFonts w:ascii="Arial MT" w:eastAsia="Arial MT" w:hAnsi="Arial MT" w:cs="Arial MT" w:hint="default"/>
        <w:b w:val="0"/>
        <w:bCs w:val="0"/>
        <w:i w:val="0"/>
        <w:iCs w:val="0"/>
        <w:spacing w:val="0"/>
        <w:w w:val="100"/>
        <w:sz w:val="20"/>
        <w:szCs w:val="20"/>
        <w:lang w:val="es-ES" w:eastAsia="en-US" w:bidi="ar-SA"/>
      </w:rPr>
    </w:lvl>
    <w:lvl w:ilvl="1" w:tplc="9E1E666C">
      <w:start w:val="1"/>
      <w:numFmt w:val="decimal"/>
      <w:lvlText w:val="%2."/>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2" w:tplc="C3288330">
      <w:start w:val="1"/>
      <w:numFmt w:val="lowerLetter"/>
      <w:lvlText w:val="%3)"/>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3" w:tplc="290E80E8">
      <w:numFmt w:val="bullet"/>
      <w:lvlText w:val="•"/>
      <w:lvlJc w:val="left"/>
      <w:pPr>
        <w:ind w:left="3373" w:hanging="247"/>
      </w:pPr>
      <w:rPr>
        <w:rFonts w:hint="default"/>
        <w:lang w:val="es-ES" w:eastAsia="en-US" w:bidi="ar-SA"/>
      </w:rPr>
    </w:lvl>
    <w:lvl w:ilvl="4" w:tplc="BF14D53C">
      <w:numFmt w:val="bullet"/>
      <w:lvlText w:val="•"/>
      <w:lvlJc w:val="left"/>
      <w:pPr>
        <w:ind w:left="4389" w:hanging="247"/>
      </w:pPr>
      <w:rPr>
        <w:rFonts w:hint="default"/>
        <w:lang w:val="es-ES" w:eastAsia="en-US" w:bidi="ar-SA"/>
      </w:rPr>
    </w:lvl>
    <w:lvl w:ilvl="5" w:tplc="F052027E">
      <w:numFmt w:val="bullet"/>
      <w:lvlText w:val="•"/>
      <w:lvlJc w:val="left"/>
      <w:pPr>
        <w:ind w:left="5406" w:hanging="247"/>
      </w:pPr>
      <w:rPr>
        <w:rFonts w:hint="default"/>
        <w:lang w:val="es-ES" w:eastAsia="en-US" w:bidi="ar-SA"/>
      </w:rPr>
    </w:lvl>
    <w:lvl w:ilvl="6" w:tplc="FAB8FA82">
      <w:numFmt w:val="bullet"/>
      <w:lvlText w:val="•"/>
      <w:lvlJc w:val="left"/>
      <w:pPr>
        <w:ind w:left="6423" w:hanging="247"/>
      </w:pPr>
      <w:rPr>
        <w:rFonts w:hint="default"/>
        <w:lang w:val="es-ES" w:eastAsia="en-US" w:bidi="ar-SA"/>
      </w:rPr>
    </w:lvl>
    <w:lvl w:ilvl="7" w:tplc="19A8A084">
      <w:numFmt w:val="bullet"/>
      <w:lvlText w:val="•"/>
      <w:lvlJc w:val="left"/>
      <w:pPr>
        <w:ind w:left="7439" w:hanging="247"/>
      </w:pPr>
      <w:rPr>
        <w:rFonts w:hint="default"/>
        <w:lang w:val="es-ES" w:eastAsia="en-US" w:bidi="ar-SA"/>
      </w:rPr>
    </w:lvl>
    <w:lvl w:ilvl="8" w:tplc="99027222">
      <w:numFmt w:val="bullet"/>
      <w:lvlText w:val="•"/>
      <w:lvlJc w:val="left"/>
      <w:pPr>
        <w:ind w:left="8456" w:hanging="247"/>
      </w:pPr>
      <w:rPr>
        <w:rFonts w:hint="default"/>
        <w:lang w:val="es-ES" w:eastAsia="en-US" w:bidi="ar-SA"/>
      </w:rPr>
    </w:lvl>
  </w:abstractNum>
  <w:abstractNum w:abstractNumId="126" w15:restartNumberingAfterBreak="0">
    <w:nsid w:val="307A7176"/>
    <w:multiLevelType w:val="hybridMultilevel"/>
    <w:tmpl w:val="F7169340"/>
    <w:lvl w:ilvl="0" w:tplc="76F4E510">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4444626A">
      <w:start w:val="1"/>
      <w:numFmt w:val="lowerLetter"/>
      <w:lvlText w:val="%2)"/>
      <w:lvlJc w:val="left"/>
      <w:pPr>
        <w:ind w:left="1106" w:hanging="297"/>
        <w:jc w:val="left"/>
      </w:pPr>
      <w:rPr>
        <w:rFonts w:ascii="Arial MT" w:eastAsia="Arial MT" w:hAnsi="Arial MT" w:cs="Arial MT" w:hint="default"/>
        <w:b w:val="0"/>
        <w:bCs w:val="0"/>
        <w:i w:val="0"/>
        <w:iCs w:val="0"/>
        <w:spacing w:val="0"/>
        <w:w w:val="100"/>
        <w:sz w:val="20"/>
        <w:szCs w:val="20"/>
        <w:lang w:val="es-ES" w:eastAsia="en-US" w:bidi="ar-SA"/>
      </w:rPr>
    </w:lvl>
    <w:lvl w:ilvl="2" w:tplc="10562548">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B4489F40">
      <w:numFmt w:val="bullet"/>
      <w:lvlText w:val="•"/>
      <w:lvlJc w:val="left"/>
      <w:pPr>
        <w:ind w:left="3916" w:hanging="168"/>
      </w:pPr>
      <w:rPr>
        <w:rFonts w:hint="default"/>
        <w:lang w:val="es-ES" w:eastAsia="en-US" w:bidi="ar-SA"/>
      </w:rPr>
    </w:lvl>
    <w:lvl w:ilvl="4" w:tplc="E48083B8">
      <w:numFmt w:val="bullet"/>
      <w:lvlText w:val="•"/>
      <w:lvlJc w:val="left"/>
      <w:pPr>
        <w:ind w:left="4855" w:hanging="168"/>
      </w:pPr>
      <w:rPr>
        <w:rFonts w:hint="default"/>
        <w:lang w:val="es-ES" w:eastAsia="en-US" w:bidi="ar-SA"/>
      </w:rPr>
    </w:lvl>
    <w:lvl w:ilvl="5" w:tplc="B484C326">
      <w:numFmt w:val="bullet"/>
      <w:lvlText w:val="•"/>
      <w:lvlJc w:val="left"/>
      <w:pPr>
        <w:ind w:left="5794" w:hanging="168"/>
      </w:pPr>
      <w:rPr>
        <w:rFonts w:hint="default"/>
        <w:lang w:val="es-ES" w:eastAsia="en-US" w:bidi="ar-SA"/>
      </w:rPr>
    </w:lvl>
    <w:lvl w:ilvl="6" w:tplc="0DE096D8">
      <w:numFmt w:val="bullet"/>
      <w:lvlText w:val="•"/>
      <w:lvlJc w:val="left"/>
      <w:pPr>
        <w:ind w:left="6733" w:hanging="168"/>
      </w:pPr>
      <w:rPr>
        <w:rFonts w:hint="default"/>
        <w:lang w:val="es-ES" w:eastAsia="en-US" w:bidi="ar-SA"/>
      </w:rPr>
    </w:lvl>
    <w:lvl w:ilvl="7" w:tplc="5F34E310">
      <w:numFmt w:val="bullet"/>
      <w:lvlText w:val="•"/>
      <w:lvlJc w:val="left"/>
      <w:pPr>
        <w:ind w:left="7672" w:hanging="168"/>
      </w:pPr>
      <w:rPr>
        <w:rFonts w:hint="default"/>
        <w:lang w:val="es-ES" w:eastAsia="en-US" w:bidi="ar-SA"/>
      </w:rPr>
    </w:lvl>
    <w:lvl w:ilvl="8" w:tplc="6DE8BDDE">
      <w:numFmt w:val="bullet"/>
      <w:lvlText w:val="•"/>
      <w:lvlJc w:val="left"/>
      <w:pPr>
        <w:ind w:left="8611" w:hanging="168"/>
      </w:pPr>
      <w:rPr>
        <w:rFonts w:hint="default"/>
        <w:lang w:val="es-ES" w:eastAsia="en-US" w:bidi="ar-SA"/>
      </w:rPr>
    </w:lvl>
  </w:abstractNum>
  <w:abstractNum w:abstractNumId="127" w15:restartNumberingAfterBreak="0">
    <w:nsid w:val="307F39C3"/>
    <w:multiLevelType w:val="hybridMultilevel"/>
    <w:tmpl w:val="3E3A82FA"/>
    <w:lvl w:ilvl="0" w:tplc="2EA6E8E4">
      <w:start w:val="1"/>
      <w:numFmt w:val="decimal"/>
      <w:lvlText w:val="%1."/>
      <w:lvlJc w:val="left"/>
      <w:pPr>
        <w:ind w:left="1668" w:hanging="223"/>
        <w:jc w:val="left"/>
      </w:pPr>
      <w:rPr>
        <w:rFonts w:ascii="Arial MT" w:eastAsia="Arial MT" w:hAnsi="Arial MT" w:cs="Arial MT" w:hint="default"/>
        <w:b w:val="0"/>
        <w:bCs w:val="0"/>
        <w:i w:val="0"/>
        <w:iCs w:val="0"/>
        <w:spacing w:val="0"/>
        <w:w w:val="100"/>
        <w:sz w:val="20"/>
        <w:szCs w:val="20"/>
        <w:lang w:val="es-ES" w:eastAsia="en-US" w:bidi="ar-SA"/>
      </w:rPr>
    </w:lvl>
    <w:lvl w:ilvl="1" w:tplc="1130C770">
      <w:start w:val="1"/>
      <w:numFmt w:val="lowerLetter"/>
      <w:lvlText w:val="%2)"/>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2" w:tplc="C1821FAA">
      <w:numFmt w:val="bullet"/>
      <w:lvlText w:val="•"/>
      <w:lvlJc w:val="left"/>
      <w:pPr>
        <w:ind w:left="2641" w:hanging="240"/>
      </w:pPr>
      <w:rPr>
        <w:rFonts w:hint="default"/>
        <w:lang w:val="es-ES" w:eastAsia="en-US" w:bidi="ar-SA"/>
      </w:rPr>
    </w:lvl>
    <w:lvl w:ilvl="3" w:tplc="067E72AC">
      <w:numFmt w:val="bullet"/>
      <w:lvlText w:val="•"/>
      <w:lvlJc w:val="left"/>
      <w:pPr>
        <w:ind w:left="3622" w:hanging="240"/>
      </w:pPr>
      <w:rPr>
        <w:rFonts w:hint="default"/>
        <w:lang w:val="es-ES" w:eastAsia="en-US" w:bidi="ar-SA"/>
      </w:rPr>
    </w:lvl>
    <w:lvl w:ilvl="4" w:tplc="9112F95C">
      <w:numFmt w:val="bullet"/>
      <w:lvlText w:val="•"/>
      <w:lvlJc w:val="left"/>
      <w:pPr>
        <w:ind w:left="4603" w:hanging="240"/>
      </w:pPr>
      <w:rPr>
        <w:rFonts w:hint="default"/>
        <w:lang w:val="es-ES" w:eastAsia="en-US" w:bidi="ar-SA"/>
      </w:rPr>
    </w:lvl>
    <w:lvl w:ilvl="5" w:tplc="F0F2FD38">
      <w:numFmt w:val="bullet"/>
      <w:lvlText w:val="•"/>
      <w:lvlJc w:val="left"/>
      <w:pPr>
        <w:ind w:left="5584" w:hanging="240"/>
      </w:pPr>
      <w:rPr>
        <w:rFonts w:hint="default"/>
        <w:lang w:val="es-ES" w:eastAsia="en-US" w:bidi="ar-SA"/>
      </w:rPr>
    </w:lvl>
    <w:lvl w:ilvl="6" w:tplc="F9945408">
      <w:numFmt w:val="bullet"/>
      <w:lvlText w:val="•"/>
      <w:lvlJc w:val="left"/>
      <w:pPr>
        <w:ind w:left="6565" w:hanging="240"/>
      </w:pPr>
      <w:rPr>
        <w:rFonts w:hint="default"/>
        <w:lang w:val="es-ES" w:eastAsia="en-US" w:bidi="ar-SA"/>
      </w:rPr>
    </w:lvl>
    <w:lvl w:ilvl="7" w:tplc="3EE2E378">
      <w:numFmt w:val="bullet"/>
      <w:lvlText w:val="•"/>
      <w:lvlJc w:val="left"/>
      <w:pPr>
        <w:ind w:left="7546" w:hanging="240"/>
      </w:pPr>
      <w:rPr>
        <w:rFonts w:hint="default"/>
        <w:lang w:val="es-ES" w:eastAsia="en-US" w:bidi="ar-SA"/>
      </w:rPr>
    </w:lvl>
    <w:lvl w:ilvl="8" w:tplc="1E5CF562">
      <w:numFmt w:val="bullet"/>
      <w:lvlText w:val="•"/>
      <w:lvlJc w:val="left"/>
      <w:pPr>
        <w:ind w:left="8527" w:hanging="240"/>
      </w:pPr>
      <w:rPr>
        <w:rFonts w:hint="default"/>
        <w:lang w:val="es-ES" w:eastAsia="en-US" w:bidi="ar-SA"/>
      </w:rPr>
    </w:lvl>
  </w:abstractNum>
  <w:abstractNum w:abstractNumId="128" w15:restartNumberingAfterBreak="0">
    <w:nsid w:val="30B55C39"/>
    <w:multiLevelType w:val="hybridMultilevel"/>
    <w:tmpl w:val="622812AC"/>
    <w:lvl w:ilvl="0" w:tplc="CDAE279A">
      <w:start w:val="1"/>
      <w:numFmt w:val="decimal"/>
      <w:lvlText w:val="%1."/>
      <w:lvlJc w:val="left"/>
      <w:pPr>
        <w:ind w:left="1106" w:hanging="238"/>
        <w:jc w:val="left"/>
      </w:pPr>
      <w:rPr>
        <w:rFonts w:ascii="Arial MT" w:eastAsia="Arial MT" w:hAnsi="Arial MT" w:cs="Arial MT" w:hint="default"/>
        <w:b w:val="0"/>
        <w:bCs w:val="0"/>
        <w:i w:val="0"/>
        <w:iCs w:val="0"/>
        <w:spacing w:val="0"/>
        <w:w w:val="100"/>
        <w:sz w:val="20"/>
        <w:szCs w:val="20"/>
        <w:lang w:val="es-ES" w:eastAsia="en-US" w:bidi="ar-SA"/>
      </w:rPr>
    </w:lvl>
    <w:lvl w:ilvl="1" w:tplc="93E085EE">
      <w:start w:val="1"/>
      <w:numFmt w:val="lowerLetter"/>
      <w:lvlText w:val="%2)"/>
      <w:lvlJc w:val="left"/>
      <w:pPr>
        <w:ind w:left="1106" w:hanging="277"/>
        <w:jc w:val="left"/>
      </w:pPr>
      <w:rPr>
        <w:rFonts w:ascii="Arial MT" w:eastAsia="Arial MT" w:hAnsi="Arial MT" w:cs="Arial MT" w:hint="default"/>
        <w:b w:val="0"/>
        <w:bCs w:val="0"/>
        <w:i w:val="0"/>
        <w:iCs w:val="0"/>
        <w:spacing w:val="0"/>
        <w:w w:val="100"/>
        <w:sz w:val="20"/>
        <w:szCs w:val="20"/>
        <w:lang w:val="es-ES" w:eastAsia="en-US" w:bidi="ar-SA"/>
      </w:rPr>
    </w:lvl>
    <w:lvl w:ilvl="2" w:tplc="90EAF156">
      <w:numFmt w:val="bullet"/>
      <w:lvlText w:val="•"/>
      <w:lvlJc w:val="left"/>
      <w:pPr>
        <w:ind w:left="2977" w:hanging="277"/>
      </w:pPr>
      <w:rPr>
        <w:rFonts w:hint="default"/>
        <w:lang w:val="es-ES" w:eastAsia="en-US" w:bidi="ar-SA"/>
      </w:rPr>
    </w:lvl>
    <w:lvl w:ilvl="3" w:tplc="3ACE73E6">
      <w:numFmt w:val="bullet"/>
      <w:lvlText w:val="•"/>
      <w:lvlJc w:val="left"/>
      <w:pPr>
        <w:ind w:left="3916" w:hanging="277"/>
      </w:pPr>
      <w:rPr>
        <w:rFonts w:hint="default"/>
        <w:lang w:val="es-ES" w:eastAsia="en-US" w:bidi="ar-SA"/>
      </w:rPr>
    </w:lvl>
    <w:lvl w:ilvl="4" w:tplc="A7DE59FC">
      <w:numFmt w:val="bullet"/>
      <w:lvlText w:val="•"/>
      <w:lvlJc w:val="left"/>
      <w:pPr>
        <w:ind w:left="4855" w:hanging="277"/>
      </w:pPr>
      <w:rPr>
        <w:rFonts w:hint="default"/>
        <w:lang w:val="es-ES" w:eastAsia="en-US" w:bidi="ar-SA"/>
      </w:rPr>
    </w:lvl>
    <w:lvl w:ilvl="5" w:tplc="A7E6C040">
      <w:numFmt w:val="bullet"/>
      <w:lvlText w:val="•"/>
      <w:lvlJc w:val="left"/>
      <w:pPr>
        <w:ind w:left="5794" w:hanging="277"/>
      </w:pPr>
      <w:rPr>
        <w:rFonts w:hint="default"/>
        <w:lang w:val="es-ES" w:eastAsia="en-US" w:bidi="ar-SA"/>
      </w:rPr>
    </w:lvl>
    <w:lvl w:ilvl="6" w:tplc="D1646346">
      <w:numFmt w:val="bullet"/>
      <w:lvlText w:val="•"/>
      <w:lvlJc w:val="left"/>
      <w:pPr>
        <w:ind w:left="6733" w:hanging="277"/>
      </w:pPr>
      <w:rPr>
        <w:rFonts w:hint="default"/>
        <w:lang w:val="es-ES" w:eastAsia="en-US" w:bidi="ar-SA"/>
      </w:rPr>
    </w:lvl>
    <w:lvl w:ilvl="7" w:tplc="D24C5106">
      <w:numFmt w:val="bullet"/>
      <w:lvlText w:val="•"/>
      <w:lvlJc w:val="left"/>
      <w:pPr>
        <w:ind w:left="7672" w:hanging="277"/>
      </w:pPr>
      <w:rPr>
        <w:rFonts w:hint="default"/>
        <w:lang w:val="es-ES" w:eastAsia="en-US" w:bidi="ar-SA"/>
      </w:rPr>
    </w:lvl>
    <w:lvl w:ilvl="8" w:tplc="BFF23D6C">
      <w:numFmt w:val="bullet"/>
      <w:lvlText w:val="•"/>
      <w:lvlJc w:val="left"/>
      <w:pPr>
        <w:ind w:left="8611" w:hanging="277"/>
      </w:pPr>
      <w:rPr>
        <w:rFonts w:hint="default"/>
        <w:lang w:val="es-ES" w:eastAsia="en-US" w:bidi="ar-SA"/>
      </w:rPr>
    </w:lvl>
  </w:abstractNum>
  <w:abstractNum w:abstractNumId="129" w15:restartNumberingAfterBreak="0">
    <w:nsid w:val="31037F04"/>
    <w:multiLevelType w:val="hybridMultilevel"/>
    <w:tmpl w:val="3AE4938A"/>
    <w:lvl w:ilvl="0" w:tplc="9C72692A">
      <w:numFmt w:val="bullet"/>
      <w:lvlText w:val="–"/>
      <w:lvlJc w:val="left"/>
      <w:pPr>
        <w:ind w:left="143" w:hanging="103"/>
      </w:pPr>
      <w:rPr>
        <w:rFonts w:ascii="Arial MT" w:eastAsia="Arial MT" w:hAnsi="Arial MT" w:cs="Arial MT" w:hint="default"/>
        <w:b w:val="0"/>
        <w:bCs w:val="0"/>
        <w:i w:val="0"/>
        <w:iCs w:val="0"/>
        <w:spacing w:val="0"/>
        <w:w w:val="87"/>
        <w:sz w:val="14"/>
        <w:szCs w:val="14"/>
        <w:lang w:val="es-ES" w:eastAsia="en-US" w:bidi="ar-SA"/>
      </w:rPr>
    </w:lvl>
    <w:lvl w:ilvl="1" w:tplc="EFFE9826">
      <w:numFmt w:val="bullet"/>
      <w:lvlText w:val="•"/>
      <w:lvlJc w:val="left"/>
      <w:pPr>
        <w:ind w:left="751" w:hanging="103"/>
      </w:pPr>
      <w:rPr>
        <w:rFonts w:hint="default"/>
        <w:lang w:val="es-ES" w:eastAsia="en-US" w:bidi="ar-SA"/>
      </w:rPr>
    </w:lvl>
    <w:lvl w:ilvl="2" w:tplc="503EF454">
      <w:numFmt w:val="bullet"/>
      <w:lvlText w:val="•"/>
      <w:lvlJc w:val="left"/>
      <w:pPr>
        <w:ind w:left="1363" w:hanging="103"/>
      </w:pPr>
      <w:rPr>
        <w:rFonts w:hint="default"/>
        <w:lang w:val="es-ES" w:eastAsia="en-US" w:bidi="ar-SA"/>
      </w:rPr>
    </w:lvl>
    <w:lvl w:ilvl="3" w:tplc="EE303E44">
      <w:numFmt w:val="bullet"/>
      <w:lvlText w:val="•"/>
      <w:lvlJc w:val="left"/>
      <w:pPr>
        <w:ind w:left="1975" w:hanging="103"/>
      </w:pPr>
      <w:rPr>
        <w:rFonts w:hint="default"/>
        <w:lang w:val="es-ES" w:eastAsia="en-US" w:bidi="ar-SA"/>
      </w:rPr>
    </w:lvl>
    <w:lvl w:ilvl="4" w:tplc="01186DB2">
      <w:numFmt w:val="bullet"/>
      <w:lvlText w:val="•"/>
      <w:lvlJc w:val="left"/>
      <w:pPr>
        <w:ind w:left="2586" w:hanging="103"/>
      </w:pPr>
      <w:rPr>
        <w:rFonts w:hint="default"/>
        <w:lang w:val="es-ES" w:eastAsia="en-US" w:bidi="ar-SA"/>
      </w:rPr>
    </w:lvl>
    <w:lvl w:ilvl="5" w:tplc="9FE6EA0C">
      <w:numFmt w:val="bullet"/>
      <w:lvlText w:val="•"/>
      <w:lvlJc w:val="left"/>
      <w:pPr>
        <w:ind w:left="3198" w:hanging="103"/>
      </w:pPr>
      <w:rPr>
        <w:rFonts w:hint="default"/>
        <w:lang w:val="es-ES" w:eastAsia="en-US" w:bidi="ar-SA"/>
      </w:rPr>
    </w:lvl>
    <w:lvl w:ilvl="6" w:tplc="86C25010">
      <w:numFmt w:val="bullet"/>
      <w:lvlText w:val="•"/>
      <w:lvlJc w:val="left"/>
      <w:pPr>
        <w:ind w:left="3810" w:hanging="103"/>
      </w:pPr>
      <w:rPr>
        <w:rFonts w:hint="default"/>
        <w:lang w:val="es-ES" w:eastAsia="en-US" w:bidi="ar-SA"/>
      </w:rPr>
    </w:lvl>
    <w:lvl w:ilvl="7" w:tplc="FE6AE186">
      <w:numFmt w:val="bullet"/>
      <w:lvlText w:val="•"/>
      <w:lvlJc w:val="left"/>
      <w:pPr>
        <w:ind w:left="4421" w:hanging="103"/>
      </w:pPr>
      <w:rPr>
        <w:rFonts w:hint="default"/>
        <w:lang w:val="es-ES" w:eastAsia="en-US" w:bidi="ar-SA"/>
      </w:rPr>
    </w:lvl>
    <w:lvl w:ilvl="8" w:tplc="6A26C1E0">
      <w:numFmt w:val="bullet"/>
      <w:lvlText w:val="•"/>
      <w:lvlJc w:val="left"/>
      <w:pPr>
        <w:ind w:left="5033" w:hanging="103"/>
      </w:pPr>
      <w:rPr>
        <w:rFonts w:hint="default"/>
        <w:lang w:val="es-ES" w:eastAsia="en-US" w:bidi="ar-SA"/>
      </w:rPr>
    </w:lvl>
  </w:abstractNum>
  <w:abstractNum w:abstractNumId="130" w15:restartNumberingAfterBreak="0">
    <w:nsid w:val="31693A6B"/>
    <w:multiLevelType w:val="hybridMultilevel"/>
    <w:tmpl w:val="94DEB204"/>
    <w:lvl w:ilvl="0" w:tplc="E848BE2C">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11BEF182">
      <w:numFmt w:val="bullet"/>
      <w:lvlText w:val="•"/>
      <w:lvlJc w:val="left"/>
      <w:pPr>
        <w:ind w:left="2038" w:hanging="225"/>
      </w:pPr>
      <w:rPr>
        <w:rFonts w:hint="default"/>
        <w:lang w:val="es-ES" w:eastAsia="en-US" w:bidi="ar-SA"/>
      </w:rPr>
    </w:lvl>
    <w:lvl w:ilvl="2" w:tplc="B748EBDA">
      <w:numFmt w:val="bullet"/>
      <w:lvlText w:val="•"/>
      <w:lvlJc w:val="left"/>
      <w:pPr>
        <w:ind w:left="2977" w:hanging="225"/>
      </w:pPr>
      <w:rPr>
        <w:rFonts w:hint="default"/>
        <w:lang w:val="es-ES" w:eastAsia="en-US" w:bidi="ar-SA"/>
      </w:rPr>
    </w:lvl>
    <w:lvl w:ilvl="3" w:tplc="8AC40F00">
      <w:numFmt w:val="bullet"/>
      <w:lvlText w:val="•"/>
      <w:lvlJc w:val="left"/>
      <w:pPr>
        <w:ind w:left="3916" w:hanging="225"/>
      </w:pPr>
      <w:rPr>
        <w:rFonts w:hint="default"/>
        <w:lang w:val="es-ES" w:eastAsia="en-US" w:bidi="ar-SA"/>
      </w:rPr>
    </w:lvl>
    <w:lvl w:ilvl="4" w:tplc="C23C3426">
      <w:numFmt w:val="bullet"/>
      <w:lvlText w:val="•"/>
      <w:lvlJc w:val="left"/>
      <w:pPr>
        <w:ind w:left="4855" w:hanging="225"/>
      </w:pPr>
      <w:rPr>
        <w:rFonts w:hint="default"/>
        <w:lang w:val="es-ES" w:eastAsia="en-US" w:bidi="ar-SA"/>
      </w:rPr>
    </w:lvl>
    <w:lvl w:ilvl="5" w:tplc="00E82D8E">
      <w:numFmt w:val="bullet"/>
      <w:lvlText w:val="•"/>
      <w:lvlJc w:val="left"/>
      <w:pPr>
        <w:ind w:left="5794" w:hanging="225"/>
      </w:pPr>
      <w:rPr>
        <w:rFonts w:hint="default"/>
        <w:lang w:val="es-ES" w:eastAsia="en-US" w:bidi="ar-SA"/>
      </w:rPr>
    </w:lvl>
    <w:lvl w:ilvl="6" w:tplc="0B32E612">
      <w:numFmt w:val="bullet"/>
      <w:lvlText w:val="•"/>
      <w:lvlJc w:val="left"/>
      <w:pPr>
        <w:ind w:left="6733" w:hanging="225"/>
      </w:pPr>
      <w:rPr>
        <w:rFonts w:hint="default"/>
        <w:lang w:val="es-ES" w:eastAsia="en-US" w:bidi="ar-SA"/>
      </w:rPr>
    </w:lvl>
    <w:lvl w:ilvl="7" w:tplc="D4A413BC">
      <w:numFmt w:val="bullet"/>
      <w:lvlText w:val="•"/>
      <w:lvlJc w:val="left"/>
      <w:pPr>
        <w:ind w:left="7672" w:hanging="225"/>
      </w:pPr>
      <w:rPr>
        <w:rFonts w:hint="default"/>
        <w:lang w:val="es-ES" w:eastAsia="en-US" w:bidi="ar-SA"/>
      </w:rPr>
    </w:lvl>
    <w:lvl w:ilvl="8" w:tplc="86AE692C">
      <w:numFmt w:val="bullet"/>
      <w:lvlText w:val="•"/>
      <w:lvlJc w:val="left"/>
      <w:pPr>
        <w:ind w:left="8611" w:hanging="225"/>
      </w:pPr>
      <w:rPr>
        <w:rFonts w:hint="default"/>
        <w:lang w:val="es-ES" w:eastAsia="en-US" w:bidi="ar-SA"/>
      </w:rPr>
    </w:lvl>
  </w:abstractNum>
  <w:abstractNum w:abstractNumId="131" w15:restartNumberingAfterBreak="0">
    <w:nsid w:val="31972730"/>
    <w:multiLevelType w:val="hybridMultilevel"/>
    <w:tmpl w:val="1CF6558A"/>
    <w:lvl w:ilvl="0" w:tplc="F7B230BE">
      <w:start w:val="1"/>
      <w:numFmt w:val="decimal"/>
      <w:lvlText w:val="%1."/>
      <w:lvlJc w:val="left"/>
      <w:pPr>
        <w:ind w:left="1106" w:hanging="257"/>
        <w:jc w:val="left"/>
      </w:pPr>
      <w:rPr>
        <w:rFonts w:ascii="Arial MT" w:eastAsia="Arial MT" w:hAnsi="Arial MT" w:cs="Arial MT" w:hint="default"/>
        <w:b w:val="0"/>
        <w:bCs w:val="0"/>
        <w:i w:val="0"/>
        <w:iCs w:val="0"/>
        <w:spacing w:val="0"/>
        <w:w w:val="100"/>
        <w:sz w:val="20"/>
        <w:szCs w:val="20"/>
        <w:lang w:val="es-ES" w:eastAsia="en-US" w:bidi="ar-SA"/>
      </w:rPr>
    </w:lvl>
    <w:lvl w:ilvl="1" w:tplc="4D5E6F50">
      <w:start w:val="1"/>
      <w:numFmt w:val="lowerLetter"/>
      <w:lvlText w:val="%2)"/>
      <w:lvlJc w:val="left"/>
      <w:pPr>
        <w:ind w:left="1106" w:hanging="262"/>
        <w:jc w:val="left"/>
      </w:pPr>
      <w:rPr>
        <w:rFonts w:ascii="Arial MT" w:eastAsia="Arial MT" w:hAnsi="Arial MT" w:cs="Arial MT" w:hint="default"/>
        <w:b w:val="0"/>
        <w:bCs w:val="0"/>
        <w:i w:val="0"/>
        <w:iCs w:val="0"/>
        <w:spacing w:val="0"/>
        <w:w w:val="100"/>
        <w:sz w:val="20"/>
        <w:szCs w:val="20"/>
        <w:lang w:val="es-ES" w:eastAsia="en-US" w:bidi="ar-SA"/>
      </w:rPr>
    </w:lvl>
    <w:lvl w:ilvl="2" w:tplc="AC8ADC2E">
      <w:numFmt w:val="bullet"/>
      <w:lvlText w:val="•"/>
      <w:lvlJc w:val="left"/>
      <w:pPr>
        <w:ind w:left="2977" w:hanging="262"/>
      </w:pPr>
      <w:rPr>
        <w:rFonts w:hint="default"/>
        <w:lang w:val="es-ES" w:eastAsia="en-US" w:bidi="ar-SA"/>
      </w:rPr>
    </w:lvl>
    <w:lvl w:ilvl="3" w:tplc="78C8EDC0">
      <w:numFmt w:val="bullet"/>
      <w:lvlText w:val="•"/>
      <w:lvlJc w:val="left"/>
      <w:pPr>
        <w:ind w:left="3916" w:hanging="262"/>
      </w:pPr>
      <w:rPr>
        <w:rFonts w:hint="default"/>
        <w:lang w:val="es-ES" w:eastAsia="en-US" w:bidi="ar-SA"/>
      </w:rPr>
    </w:lvl>
    <w:lvl w:ilvl="4" w:tplc="8180794E">
      <w:numFmt w:val="bullet"/>
      <w:lvlText w:val="•"/>
      <w:lvlJc w:val="left"/>
      <w:pPr>
        <w:ind w:left="4855" w:hanging="262"/>
      </w:pPr>
      <w:rPr>
        <w:rFonts w:hint="default"/>
        <w:lang w:val="es-ES" w:eastAsia="en-US" w:bidi="ar-SA"/>
      </w:rPr>
    </w:lvl>
    <w:lvl w:ilvl="5" w:tplc="070CC9B2">
      <w:numFmt w:val="bullet"/>
      <w:lvlText w:val="•"/>
      <w:lvlJc w:val="left"/>
      <w:pPr>
        <w:ind w:left="5794" w:hanging="262"/>
      </w:pPr>
      <w:rPr>
        <w:rFonts w:hint="default"/>
        <w:lang w:val="es-ES" w:eastAsia="en-US" w:bidi="ar-SA"/>
      </w:rPr>
    </w:lvl>
    <w:lvl w:ilvl="6" w:tplc="2B0A9BBC">
      <w:numFmt w:val="bullet"/>
      <w:lvlText w:val="•"/>
      <w:lvlJc w:val="left"/>
      <w:pPr>
        <w:ind w:left="6733" w:hanging="262"/>
      </w:pPr>
      <w:rPr>
        <w:rFonts w:hint="default"/>
        <w:lang w:val="es-ES" w:eastAsia="en-US" w:bidi="ar-SA"/>
      </w:rPr>
    </w:lvl>
    <w:lvl w:ilvl="7" w:tplc="18943E1C">
      <w:numFmt w:val="bullet"/>
      <w:lvlText w:val="•"/>
      <w:lvlJc w:val="left"/>
      <w:pPr>
        <w:ind w:left="7672" w:hanging="262"/>
      </w:pPr>
      <w:rPr>
        <w:rFonts w:hint="default"/>
        <w:lang w:val="es-ES" w:eastAsia="en-US" w:bidi="ar-SA"/>
      </w:rPr>
    </w:lvl>
    <w:lvl w:ilvl="8" w:tplc="01406F46">
      <w:numFmt w:val="bullet"/>
      <w:lvlText w:val="•"/>
      <w:lvlJc w:val="left"/>
      <w:pPr>
        <w:ind w:left="8611" w:hanging="262"/>
      </w:pPr>
      <w:rPr>
        <w:rFonts w:hint="default"/>
        <w:lang w:val="es-ES" w:eastAsia="en-US" w:bidi="ar-SA"/>
      </w:rPr>
    </w:lvl>
  </w:abstractNum>
  <w:abstractNum w:abstractNumId="132" w15:restartNumberingAfterBreak="0">
    <w:nsid w:val="3223344F"/>
    <w:multiLevelType w:val="hybridMultilevel"/>
    <w:tmpl w:val="E318C5CE"/>
    <w:lvl w:ilvl="0" w:tplc="13564526">
      <w:start w:val="1"/>
      <w:numFmt w:val="decimal"/>
      <w:lvlText w:val="%1."/>
      <w:lvlJc w:val="left"/>
      <w:pPr>
        <w:ind w:left="1106" w:hanging="227"/>
        <w:jc w:val="left"/>
      </w:pPr>
      <w:rPr>
        <w:rFonts w:ascii="Arial MT" w:eastAsia="Arial MT" w:hAnsi="Arial MT" w:cs="Arial MT" w:hint="default"/>
        <w:b w:val="0"/>
        <w:bCs w:val="0"/>
        <w:i w:val="0"/>
        <w:iCs w:val="0"/>
        <w:spacing w:val="0"/>
        <w:w w:val="100"/>
        <w:sz w:val="20"/>
        <w:szCs w:val="20"/>
        <w:lang w:val="es-ES" w:eastAsia="en-US" w:bidi="ar-SA"/>
      </w:rPr>
    </w:lvl>
    <w:lvl w:ilvl="1" w:tplc="1BA254D8">
      <w:start w:val="1"/>
      <w:numFmt w:val="lowerLetter"/>
      <w:lvlText w:val="%2)"/>
      <w:lvlJc w:val="left"/>
      <w:pPr>
        <w:ind w:left="1106" w:hanging="324"/>
        <w:jc w:val="left"/>
      </w:pPr>
      <w:rPr>
        <w:rFonts w:ascii="Arial MT" w:eastAsia="Arial MT" w:hAnsi="Arial MT" w:cs="Arial MT" w:hint="default"/>
        <w:b w:val="0"/>
        <w:bCs w:val="0"/>
        <w:i w:val="0"/>
        <w:iCs w:val="0"/>
        <w:spacing w:val="0"/>
        <w:w w:val="100"/>
        <w:sz w:val="20"/>
        <w:szCs w:val="20"/>
        <w:lang w:val="es-ES" w:eastAsia="en-US" w:bidi="ar-SA"/>
      </w:rPr>
    </w:lvl>
    <w:lvl w:ilvl="2" w:tplc="47A4F448">
      <w:numFmt w:val="bullet"/>
      <w:lvlText w:val="•"/>
      <w:lvlJc w:val="left"/>
      <w:pPr>
        <w:ind w:left="2977" w:hanging="324"/>
      </w:pPr>
      <w:rPr>
        <w:rFonts w:hint="default"/>
        <w:lang w:val="es-ES" w:eastAsia="en-US" w:bidi="ar-SA"/>
      </w:rPr>
    </w:lvl>
    <w:lvl w:ilvl="3" w:tplc="0B16C7AA">
      <w:numFmt w:val="bullet"/>
      <w:lvlText w:val="•"/>
      <w:lvlJc w:val="left"/>
      <w:pPr>
        <w:ind w:left="3916" w:hanging="324"/>
      </w:pPr>
      <w:rPr>
        <w:rFonts w:hint="default"/>
        <w:lang w:val="es-ES" w:eastAsia="en-US" w:bidi="ar-SA"/>
      </w:rPr>
    </w:lvl>
    <w:lvl w:ilvl="4" w:tplc="58DA192E">
      <w:numFmt w:val="bullet"/>
      <w:lvlText w:val="•"/>
      <w:lvlJc w:val="left"/>
      <w:pPr>
        <w:ind w:left="4855" w:hanging="324"/>
      </w:pPr>
      <w:rPr>
        <w:rFonts w:hint="default"/>
        <w:lang w:val="es-ES" w:eastAsia="en-US" w:bidi="ar-SA"/>
      </w:rPr>
    </w:lvl>
    <w:lvl w:ilvl="5" w:tplc="5DECB220">
      <w:numFmt w:val="bullet"/>
      <w:lvlText w:val="•"/>
      <w:lvlJc w:val="left"/>
      <w:pPr>
        <w:ind w:left="5794" w:hanging="324"/>
      </w:pPr>
      <w:rPr>
        <w:rFonts w:hint="default"/>
        <w:lang w:val="es-ES" w:eastAsia="en-US" w:bidi="ar-SA"/>
      </w:rPr>
    </w:lvl>
    <w:lvl w:ilvl="6" w:tplc="1E66B8F4">
      <w:numFmt w:val="bullet"/>
      <w:lvlText w:val="•"/>
      <w:lvlJc w:val="left"/>
      <w:pPr>
        <w:ind w:left="6733" w:hanging="324"/>
      </w:pPr>
      <w:rPr>
        <w:rFonts w:hint="default"/>
        <w:lang w:val="es-ES" w:eastAsia="en-US" w:bidi="ar-SA"/>
      </w:rPr>
    </w:lvl>
    <w:lvl w:ilvl="7" w:tplc="E71E0FEC">
      <w:numFmt w:val="bullet"/>
      <w:lvlText w:val="•"/>
      <w:lvlJc w:val="left"/>
      <w:pPr>
        <w:ind w:left="7672" w:hanging="324"/>
      </w:pPr>
      <w:rPr>
        <w:rFonts w:hint="default"/>
        <w:lang w:val="es-ES" w:eastAsia="en-US" w:bidi="ar-SA"/>
      </w:rPr>
    </w:lvl>
    <w:lvl w:ilvl="8" w:tplc="34D4EFF6">
      <w:numFmt w:val="bullet"/>
      <w:lvlText w:val="•"/>
      <w:lvlJc w:val="left"/>
      <w:pPr>
        <w:ind w:left="8611" w:hanging="324"/>
      </w:pPr>
      <w:rPr>
        <w:rFonts w:hint="default"/>
        <w:lang w:val="es-ES" w:eastAsia="en-US" w:bidi="ar-SA"/>
      </w:rPr>
    </w:lvl>
  </w:abstractNum>
  <w:abstractNum w:abstractNumId="133" w15:restartNumberingAfterBreak="0">
    <w:nsid w:val="323C5870"/>
    <w:multiLevelType w:val="hybridMultilevel"/>
    <w:tmpl w:val="1B0E6E7A"/>
    <w:lvl w:ilvl="0" w:tplc="CC4895A8">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CE0C4860">
      <w:numFmt w:val="bullet"/>
      <w:lvlText w:val="•"/>
      <w:lvlJc w:val="left"/>
      <w:pPr>
        <w:ind w:left="2038" w:hanging="249"/>
      </w:pPr>
      <w:rPr>
        <w:rFonts w:hint="default"/>
        <w:lang w:val="es-ES" w:eastAsia="en-US" w:bidi="ar-SA"/>
      </w:rPr>
    </w:lvl>
    <w:lvl w:ilvl="2" w:tplc="008A219C">
      <w:numFmt w:val="bullet"/>
      <w:lvlText w:val="•"/>
      <w:lvlJc w:val="left"/>
      <w:pPr>
        <w:ind w:left="2977" w:hanging="249"/>
      </w:pPr>
      <w:rPr>
        <w:rFonts w:hint="default"/>
        <w:lang w:val="es-ES" w:eastAsia="en-US" w:bidi="ar-SA"/>
      </w:rPr>
    </w:lvl>
    <w:lvl w:ilvl="3" w:tplc="C658B842">
      <w:numFmt w:val="bullet"/>
      <w:lvlText w:val="•"/>
      <w:lvlJc w:val="left"/>
      <w:pPr>
        <w:ind w:left="3916" w:hanging="249"/>
      </w:pPr>
      <w:rPr>
        <w:rFonts w:hint="default"/>
        <w:lang w:val="es-ES" w:eastAsia="en-US" w:bidi="ar-SA"/>
      </w:rPr>
    </w:lvl>
    <w:lvl w:ilvl="4" w:tplc="38D843E4">
      <w:numFmt w:val="bullet"/>
      <w:lvlText w:val="•"/>
      <w:lvlJc w:val="left"/>
      <w:pPr>
        <w:ind w:left="4855" w:hanging="249"/>
      </w:pPr>
      <w:rPr>
        <w:rFonts w:hint="default"/>
        <w:lang w:val="es-ES" w:eastAsia="en-US" w:bidi="ar-SA"/>
      </w:rPr>
    </w:lvl>
    <w:lvl w:ilvl="5" w:tplc="0B02A1FE">
      <w:numFmt w:val="bullet"/>
      <w:lvlText w:val="•"/>
      <w:lvlJc w:val="left"/>
      <w:pPr>
        <w:ind w:left="5794" w:hanging="249"/>
      </w:pPr>
      <w:rPr>
        <w:rFonts w:hint="default"/>
        <w:lang w:val="es-ES" w:eastAsia="en-US" w:bidi="ar-SA"/>
      </w:rPr>
    </w:lvl>
    <w:lvl w:ilvl="6" w:tplc="08CE49E6">
      <w:numFmt w:val="bullet"/>
      <w:lvlText w:val="•"/>
      <w:lvlJc w:val="left"/>
      <w:pPr>
        <w:ind w:left="6733" w:hanging="249"/>
      </w:pPr>
      <w:rPr>
        <w:rFonts w:hint="default"/>
        <w:lang w:val="es-ES" w:eastAsia="en-US" w:bidi="ar-SA"/>
      </w:rPr>
    </w:lvl>
    <w:lvl w:ilvl="7" w:tplc="7C647BBE">
      <w:numFmt w:val="bullet"/>
      <w:lvlText w:val="•"/>
      <w:lvlJc w:val="left"/>
      <w:pPr>
        <w:ind w:left="7672" w:hanging="249"/>
      </w:pPr>
      <w:rPr>
        <w:rFonts w:hint="default"/>
        <w:lang w:val="es-ES" w:eastAsia="en-US" w:bidi="ar-SA"/>
      </w:rPr>
    </w:lvl>
    <w:lvl w:ilvl="8" w:tplc="ADE26698">
      <w:numFmt w:val="bullet"/>
      <w:lvlText w:val="•"/>
      <w:lvlJc w:val="left"/>
      <w:pPr>
        <w:ind w:left="8611" w:hanging="249"/>
      </w:pPr>
      <w:rPr>
        <w:rFonts w:hint="default"/>
        <w:lang w:val="es-ES" w:eastAsia="en-US" w:bidi="ar-SA"/>
      </w:rPr>
    </w:lvl>
  </w:abstractNum>
  <w:abstractNum w:abstractNumId="134" w15:restartNumberingAfterBreak="0">
    <w:nsid w:val="32F64C52"/>
    <w:multiLevelType w:val="hybridMultilevel"/>
    <w:tmpl w:val="39A25692"/>
    <w:lvl w:ilvl="0" w:tplc="B20298E4">
      <w:start w:val="1"/>
      <w:numFmt w:val="decimal"/>
      <w:lvlText w:val="%1."/>
      <w:lvlJc w:val="left"/>
      <w:pPr>
        <w:ind w:left="1106" w:hanging="319"/>
        <w:jc w:val="left"/>
      </w:pPr>
      <w:rPr>
        <w:rFonts w:ascii="Arial MT" w:eastAsia="Arial MT" w:hAnsi="Arial MT" w:cs="Arial MT" w:hint="default"/>
        <w:b w:val="0"/>
        <w:bCs w:val="0"/>
        <w:i w:val="0"/>
        <w:iCs w:val="0"/>
        <w:spacing w:val="0"/>
        <w:w w:val="100"/>
        <w:sz w:val="20"/>
        <w:szCs w:val="20"/>
        <w:lang w:val="es-ES" w:eastAsia="en-US" w:bidi="ar-SA"/>
      </w:rPr>
    </w:lvl>
    <w:lvl w:ilvl="1" w:tplc="E79A9500">
      <w:numFmt w:val="bullet"/>
      <w:lvlText w:val="–"/>
      <w:lvlJc w:val="left"/>
      <w:pPr>
        <w:ind w:left="1106" w:hanging="238"/>
      </w:pPr>
      <w:rPr>
        <w:rFonts w:ascii="Arial MT" w:eastAsia="Arial MT" w:hAnsi="Arial MT" w:cs="Arial MT" w:hint="default"/>
        <w:b w:val="0"/>
        <w:bCs w:val="0"/>
        <w:i w:val="0"/>
        <w:iCs w:val="0"/>
        <w:spacing w:val="0"/>
        <w:w w:val="100"/>
        <w:sz w:val="20"/>
        <w:szCs w:val="20"/>
        <w:lang w:val="es-ES" w:eastAsia="en-US" w:bidi="ar-SA"/>
      </w:rPr>
    </w:lvl>
    <w:lvl w:ilvl="2" w:tplc="B1BCFE08">
      <w:numFmt w:val="bullet"/>
      <w:lvlText w:val="•"/>
      <w:lvlJc w:val="left"/>
      <w:pPr>
        <w:ind w:left="2977" w:hanging="238"/>
      </w:pPr>
      <w:rPr>
        <w:rFonts w:hint="default"/>
        <w:lang w:val="es-ES" w:eastAsia="en-US" w:bidi="ar-SA"/>
      </w:rPr>
    </w:lvl>
    <w:lvl w:ilvl="3" w:tplc="27A07880">
      <w:numFmt w:val="bullet"/>
      <w:lvlText w:val="•"/>
      <w:lvlJc w:val="left"/>
      <w:pPr>
        <w:ind w:left="3916" w:hanging="238"/>
      </w:pPr>
      <w:rPr>
        <w:rFonts w:hint="default"/>
        <w:lang w:val="es-ES" w:eastAsia="en-US" w:bidi="ar-SA"/>
      </w:rPr>
    </w:lvl>
    <w:lvl w:ilvl="4" w:tplc="4E2428BA">
      <w:numFmt w:val="bullet"/>
      <w:lvlText w:val="•"/>
      <w:lvlJc w:val="left"/>
      <w:pPr>
        <w:ind w:left="4855" w:hanging="238"/>
      </w:pPr>
      <w:rPr>
        <w:rFonts w:hint="default"/>
        <w:lang w:val="es-ES" w:eastAsia="en-US" w:bidi="ar-SA"/>
      </w:rPr>
    </w:lvl>
    <w:lvl w:ilvl="5" w:tplc="EC503D30">
      <w:numFmt w:val="bullet"/>
      <w:lvlText w:val="•"/>
      <w:lvlJc w:val="left"/>
      <w:pPr>
        <w:ind w:left="5794" w:hanging="238"/>
      </w:pPr>
      <w:rPr>
        <w:rFonts w:hint="default"/>
        <w:lang w:val="es-ES" w:eastAsia="en-US" w:bidi="ar-SA"/>
      </w:rPr>
    </w:lvl>
    <w:lvl w:ilvl="6" w:tplc="BFA0CFBA">
      <w:numFmt w:val="bullet"/>
      <w:lvlText w:val="•"/>
      <w:lvlJc w:val="left"/>
      <w:pPr>
        <w:ind w:left="6733" w:hanging="238"/>
      </w:pPr>
      <w:rPr>
        <w:rFonts w:hint="default"/>
        <w:lang w:val="es-ES" w:eastAsia="en-US" w:bidi="ar-SA"/>
      </w:rPr>
    </w:lvl>
    <w:lvl w:ilvl="7" w:tplc="8FDEA978">
      <w:numFmt w:val="bullet"/>
      <w:lvlText w:val="•"/>
      <w:lvlJc w:val="left"/>
      <w:pPr>
        <w:ind w:left="7672" w:hanging="238"/>
      </w:pPr>
      <w:rPr>
        <w:rFonts w:hint="default"/>
        <w:lang w:val="es-ES" w:eastAsia="en-US" w:bidi="ar-SA"/>
      </w:rPr>
    </w:lvl>
    <w:lvl w:ilvl="8" w:tplc="F86E3F84">
      <w:numFmt w:val="bullet"/>
      <w:lvlText w:val="•"/>
      <w:lvlJc w:val="left"/>
      <w:pPr>
        <w:ind w:left="8611" w:hanging="238"/>
      </w:pPr>
      <w:rPr>
        <w:rFonts w:hint="default"/>
        <w:lang w:val="es-ES" w:eastAsia="en-US" w:bidi="ar-SA"/>
      </w:rPr>
    </w:lvl>
  </w:abstractNum>
  <w:abstractNum w:abstractNumId="135" w15:restartNumberingAfterBreak="0">
    <w:nsid w:val="335329C6"/>
    <w:multiLevelType w:val="hybridMultilevel"/>
    <w:tmpl w:val="B3A08F10"/>
    <w:lvl w:ilvl="0" w:tplc="FAFC56FE">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A3D46FBA">
      <w:numFmt w:val="bullet"/>
      <w:lvlText w:val="•"/>
      <w:lvlJc w:val="left"/>
      <w:pPr>
        <w:ind w:left="2038" w:hanging="228"/>
      </w:pPr>
      <w:rPr>
        <w:rFonts w:hint="default"/>
        <w:lang w:val="es-ES" w:eastAsia="en-US" w:bidi="ar-SA"/>
      </w:rPr>
    </w:lvl>
    <w:lvl w:ilvl="2" w:tplc="9836E340">
      <w:numFmt w:val="bullet"/>
      <w:lvlText w:val="•"/>
      <w:lvlJc w:val="left"/>
      <w:pPr>
        <w:ind w:left="2977" w:hanging="228"/>
      </w:pPr>
      <w:rPr>
        <w:rFonts w:hint="default"/>
        <w:lang w:val="es-ES" w:eastAsia="en-US" w:bidi="ar-SA"/>
      </w:rPr>
    </w:lvl>
    <w:lvl w:ilvl="3" w:tplc="D0864B72">
      <w:numFmt w:val="bullet"/>
      <w:lvlText w:val="•"/>
      <w:lvlJc w:val="left"/>
      <w:pPr>
        <w:ind w:left="3916" w:hanging="228"/>
      </w:pPr>
      <w:rPr>
        <w:rFonts w:hint="default"/>
        <w:lang w:val="es-ES" w:eastAsia="en-US" w:bidi="ar-SA"/>
      </w:rPr>
    </w:lvl>
    <w:lvl w:ilvl="4" w:tplc="D8D04E80">
      <w:numFmt w:val="bullet"/>
      <w:lvlText w:val="•"/>
      <w:lvlJc w:val="left"/>
      <w:pPr>
        <w:ind w:left="4855" w:hanging="228"/>
      </w:pPr>
      <w:rPr>
        <w:rFonts w:hint="default"/>
        <w:lang w:val="es-ES" w:eastAsia="en-US" w:bidi="ar-SA"/>
      </w:rPr>
    </w:lvl>
    <w:lvl w:ilvl="5" w:tplc="024A3FCA">
      <w:numFmt w:val="bullet"/>
      <w:lvlText w:val="•"/>
      <w:lvlJc w:val="left"/>
      <w:pPr>
        <w:ind w:left="5794" w:hanging="228"/>
      </w:pPr>
      <w:rPr>
        <w:rFonts w:hint="default"/>
        <w:lang w:val="es-ES" w:eastAsia="en-US" w:bidi="ar-SA"/>
      </w:rPr>
    </w:lvl>
    <w:lvl w:ilvl="6" w:tplc="B3042CCE">
      <w:numFmt w:val="bullet"/>
      <w:lvlText w:val="•"/>
      <w:lvlJc w:val="left"/>
      <w:pPr>
        <w:ind w:left="6733" w:hanging="228"/>
      </w:pPr>
      <w:rPr>
        <w:rFonts w:hint="default"/>
        <w:lang w:val="es-ES" w:eastAsia="en-US" w:bidi="ar-SA"/>
      </w:rPr>
    </w:lvl>
    <w:lvl w:ilvl="7" w:tplc="4680012A">
      <w:numFmt w:val="bullet"/>
      <w:lvlText w:val="•"/>
      <w:lvlJc w:val="left"/>
      <w:pPr>
        <w:ind w:left="7672" w:hanging="228"/>
      </w:pPr>
      <w:rPr>
        <w:rFonts w:hint="default"/>
        <w:lang w:val="es-ES" w:eastAsia="en-US" w:bidi="ar-SA"/>
      </w:rPr>
    </w:lvl>
    <w:lvl w:ilvl="8" w:tplc="192A9EA2">
      <w:numFmt w:val="bullet"/>
      <w:lvlText w:val="•"/>
      <w:lvlJc w:val="left"/>
      <w:pPr>
        <w:ind w:left="8611" w:hanging="228"/>
      </w:pPr>
      <w:rPr>
        <w:rFonts w:hint="default"/>
        <w:lang w:val="es-ES" w:eastAsia="en-US" w:bidi="ar-SA"/>
      </w:rPr>
    </w:lvl>
  </w:abstractNum>
  <w:abstractNum w:abstractNumId="136" w15:restartNumberingAfterBreak="0">
    <w:nsid w:val="34456DDE"/>
    <w:multiLevelType w:val="hybridMultilevel"/>
    <w:tmpl w:val="59AC9212"/>
    <w:lvl w:ilvl="0" w:tplc="436CF084">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A2D8C01A">
      <w:numFmt w:val="bullet"/>
      <w:lvlText w:val="•"/>
      <w:lvlJc w:val="left"/>
      <w:pPr>
        <w:ind w:left="661" w:hanging="103"/>
      </w:pPr>
      <w:rPr>
        <w:rFonts w:hint="default"/>
        <w:lang w:val="es-ES" w:eastAsia="en-US" w:bidi="ar-SA"/>
      </w:rPr>
    </w:lvl>
    <w:lvl w:ilvl="2" w:tplc="4EA46F34">
      <w:numFmt w:val="bullet"/>
      <w:lvlText w:val="•"/>
      <w:lvlJc w:val="left"/>
      <w:pPr>
        <w:ind w:left="1283" w:hanging="103"/>
      </w:pPr>
      <w:rPr>
        <w:rFonts w:hint="default"/>
        <w:lang w:val="es-ES" w:eastAsia="en-US" w:bidi="ar-SA"/>
      </w:rPr>
    </w:lvl>
    <w:lvl w:ilvl="3" w:tplc="80F0F5D0">
      <w:numFmt w:val="bullet"/>
      <w:lvlText w:val="•"/>
      <w:lvlJc w:val="left"/>
      <w:pPr>
        <w:ind w:left="1905" w:hanging="103"/>
      </w:pPr>
      <w:rPr>
        <w:rFonts w:hint="default"/>
        <w:lang w:val="es-ES" w:eastAsia="en-US" w:bidi="ar-SA"/>
      </w:rPr>
    </w:lvl>
    <w:lvl w:ilvl="4" w:tplc="BF20BA84">
      <w:numFmt w:val="bullet"/>
      <w:lvlText w:val="•"/>
      <w:lvlJc w:val="left"/>
      <w:pPr>
        <w:ind w:left="2526" w:hanging="103"/>
      </w:pPr>
      <w:rPr>
        <w:rFonts w:hint="default"/>
        <w:lang w:val="es-ES" w:eastAsia="en-US" w:bidi="ar-SA"/>
      </w:rPr>
    </w:lvl>
    <w:lvl w:ilvl="5" w:tplc="E894F608">
      <w:numFmt w:val="bullet"/>
      <w:lvlText w:val="•"/>
      <w:lvlJc w:val="left"/>
      <w:pPr>
        <w:ind w:left="3148" w:hanging="103"/>
      </w:pPr>
      <w:rPr>
        <w:rFonts w:hint="default"/>
        <w:lang w:val="es-ES" w:eastAsia="en-US" w:bidi="ar-SA"/>
      </w:rPr>
    </w:lvl>
    <w:lvl w:ilvl="6" w:tplc="525C0B1A">
      <w:numFmt w:val="bullet"/>
      <w:lvlText w:val="•"/>
      <w:lvlJc w:val="left"/>
      <w:pPr>
        <w:ind w:left="3770" w:hanging="103"/>
      </w:pPr>
      <w:rPr>
        <w:rFonts w:hint="default"/>
        <w:lang w:val="es-ES" w:eastAsia="en-US" w:bidi="ar-SA"/>
      </w:rPr>
    </w:lvl>
    <w:lvl w:ilvl="7" w:tplc="324A8FD8">
      <w:numFmt w:val="bullet"/>
      <w:lvlText w:val="•"/>
      <w:lvlJc w:val="left"/>
      <w:pPr>
        <w:ind w:left="4391" w:hanging="103"/>
      </w:pPr>
      <w:rPr>
        <w:rFonts w:hint="default"/>
        <w:lang w:val="es-ES" w:eastAsia="en-US" w:bidi="ar-SA"/>
      </w:rPr>
    </w:lvl>
    <w:lvl w:ilvl="8" w:tplc="B7CEFC26">
      <w:numFmt w:val="bullet"/>
      <w:lvlText w:val="•"/>
      <w:lvlJc w:val="left"/>
      <w:pPr>
        <w:ind w:left="5013" w:hanging="103"/>
      </w:pPr>
      <w:rPr>
        <w:rFonts w:hint="default"/>
        <w:lang w:val="es-ES" w:eastAsia="en-US" w:bidi="ar-SA"/>
      </w:rPr>
    </w:lvl>
  </w:abstractNum>
  <w:abstractNum w:abstractNumId="137" w15:restartNumberingAfterBreak="0">
    <w:nsid w:val="34C055BE"/>
    <w:multiLevelType w:val="hybridMultilevel"/>
    <w:tmpl w:val="37D2E0EA"/>
    <w:lvl w:ilvl="0" w:tplc="252EA8D0">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D8D283CE">
      <w:numFmt w:val="bullet"/>
      <w:lvlText w:val="•"/>
      <w:lvlJc w:val="left"/>
      <w:pPr>
        <w:ind w:left="2038" w:hanging="245"/>
      </w:pPr>
      <w:rPr>
        <w:rFonts w:hint="default"/>
        <w:lang w:val="es-ES" w:eastAsia="en-US" w:bidi="ar-SA"/>
      </w:rPr>
    </w:lvl>
    <w:lvl w:ilvl="2" w:tplc="DFB83CE4">
      <w:numFmt w:val="bullet"/>
      <w:lvlText w:val="•"/>
      <w:lvlJc w:val="left"/>
      <w:pPr>
        <w:ind w:left="2977" w:hanging="245"/>
      </w:pPr>
      <w:rPr>
        <w:rFonts w:hint="default"/>
        <w:lang w:val="es-ES" w:eastAsia="en-US" w:bidi="ar-SA"/>
      </w:rPr>
    </w:lvl>
    <w:lvl w:ilvl="3" w:tplc="4D8A2D04">
      <w:numFmt w:val="bullet"/>
      <w:lvlText w:val="•"/>
      <w:lvlJc w:val="left"/>
      <w:pPr>
        <w:ind w:left="3916" w:hanging="245"/>
      </w:pPr>
      <w:rPr>
        <w:rFonts w:hint="default"/>
        <w:lang w:val="es-ES" w:eastAsia="en-US" w:bidi="ar-SA"/>
      </w:rPr>
    </w:lvl>
    <w:lvl w:ilvl="4" w:tplc="4FF6EBD6">
      <w:numFmt w:val="bullet"/>
      <w:lvlText w:val="•"/>
      <w:lvlJc w:val="left"/>
      <w:pPr>
        <w:ind w:left="4855" w:hanging="245"/>
      </w:pPr>
      <w:rPr>
        <w:rFonts w:hint="default"/>
        <w:lang w:val="es-ES" w:eastAsia="en-US" w:bidi="ar-SA"/>
      </w:rPr>
    </w:lvl>
    <w:lvl w:ilvl="5" w:tplc="21BA4F1E">
      <w:numFmt w:val="bullet"/>
      <w:lvlText w:val="•"/>
      <w:lvlJc w:val="left"/>
      <w:pPr>
        <w:ind w:left="5794" w:hanging="245"/>
      </w:pPr>
      <w:rPr>
        <w:rFonts w:hint="default"/>
        <w:lang w:val="es-ES" w:eastAsia="en-US" w:bidi="ar-SA"/>
      </w:rPr>
    </w:lvl>
    <w:lvl w:ilvl="6" w:tplc="93F6A85A">
      <w:numFmt w:val="bullet"/>
      <w:lvlText w:val="•"/>
      <w:lvlJc w:val="left"/>
      <w:pPr>
        <w:ind w:left="6733" w:hanging="245"/>
      </w:pPr>
      <w:rPr>
        <w:rFonts w:hint="default"/>
        <w:lang w:val="es-ES" w:eastAsia="en-US" w:bidi="ar-SA"/>
      </w:rPr>
    </w:lvl>
    <w:lvl w:ilvl="7" w:tplc="09D0E52A">
      <w:numFmt w:val="bullet"/>
      <w:lvlText w:val="•"/>
      <w:lvlJc w:val="left"/>
      <w:pPr>
        <w:ind w:left="7672" w:hanging="245"/>
      </w:pPr>
      <w:rPr>
        <w:rFonts w:hint="default"/>
        <w:lang w:val="es-ES" w:eastAsia="en-US" w:bidi="ar-SA"/>
      </w:rPr>
    </w:lvl>
    <w:lvl w:ilvl="8" w:tplc="41722FFA">
      <w:numFmt w:val="bullet"/>
      <w:lvlText w:val="•"/>
      <w:lvlJc w:val="left"/>
      <w:pPr>
        <w:ind w:left="8611" w:hanging="245"/>
      </w:pPr>
      <w:rPr>
        <w:rFonts w:hint="default"/>
        <w:lang w:val="es-ES" w:eastAsia="en-US" w:bidi="ar-SA"/>
      </w:rPr>
    </w:lvl>
  </w:abstractNum>
  <w:abstractNum w:abstractNumId="138" w15:restartNumberingAfterBreak="0">
    <w:nsid w:val="35D0282F"/>
    <w:multiLevelType w:val="hybridMultilevel"/>
    <w:tmpl w:val="790E869C"/>
    <w:lvl w:ilvl="0" w:tplc="A4944812">
      <w:start w:val="1"/>
      <w:numFmt w:val="decimal"/>
      <w:lvlText w:val="%1."/>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1" w:tplc="3B1271C2">
      <w:start w:val="1"/>
      <w:numFmt w:val="lowerLetter"/>
      <w:lvlText w:val="%2)"/>
      <w:lvlJc w:val="left"/>
      <w:pPr>
        <w:ind w:left="1106" w:hanging="318"/>
        <w:jc w:val="left"/>
      </w:pPr>
      <w:rPr>
        <w:rFonts w:ascii="Arial MT" w:eastAsia="Arial MT" w:hAnsi="Arial MT" w:cs="Arial MT" w:hint="default"/>
        <w:b w:val="0"/>
        <w:bCs w:val="0"/>
        <w:i w:val="0"/>
        <w:iCs w:val="0"/>
        <w:spacing w:val="0"/>
        <w:w w:val="100"/>
        <w:sz w:val="20"/>
        <w:szCs w:val="20"/>
        <w:lang w:val="es-ES" w:eastAsia="en-US" w:bidi="ar-SA"/>
      </w:rPr>
    </w:lvl>
    <w:lvl w:ilvl="2" w:tplc="7D72119E">
      <w:numFmt w:val="bullet"/>
      <w:lvlText w:val="•"/>
      <w:lvlJc w:val="left"/>
      <w:pPr>
        <w:ind w:left="2977" w:hanging="318"/>
      </w:pPr>
      <w:rPr>
        <w:rFonts w:hint="default"/>
        <w:lang w:val="es-ES" w:eastAsia="en-US" w:bidi="ar-SA"/>
      </w:rPr>
    </w:lvl>
    <w:lvl w:ilvl="3" w:tplc="54BACAE8">
      <w:numFmt w:val="bullet"/>
      <w:lvlText w:val="•"/>
      <w:lvlJc w:val="left"/>
      <w:pPr>
        <w:ind w:left="3916" w:hanging="318"/>
      </w:pPr>
      <w:rPr>
        <w:rFonts w:hint="default"/>
        <w:lang w:val="es-ES" w:eastAsia="en-US" w:bidi="ar-SA"/>
      </w:rPr>
    </w:lvl>
    <w:lvl w:ilvl="4" w:tplc="BD480620">
      <w:numFmt w:val="bullet"/>
      <w:lvlText w:val="•"/>
      <w:lvlJc w:val="left"/>
      <w:pPr>
        <w:ind w:left="4855" w:hanging="318"/>
      </w:pPr>
      <w:rPr>
        <w:rFonts w:hint="default"/>
        <w:lang w:val="es-ES" w:eastAsia="en-US" w:bidi="ar-SA"/>
      </w:rPr>
    </w:lvl>
    <w:lvl w:ilvl="5" w:tplc="5FF6FFAC">
      <w:numFmt w:val="bullet"/>
      <w:lvlText w:val="•"/>
      <w:lvlJc w:val="left"/>
      <w:pPr>
        <w:ind w:left="5794" w:hanging="318"/>
      </w:pPr>
      <w:rPr>
        <w:rFonts w:hint="default"/>
        <w:lang w:val="es-ES" w:eastAsia="en-US" w:bidi="ar-SA"/>
      </w:rPr>
    </w:lvl>
    <w:lvl w:ilvl="6" w:tplc="0552839C">
      <w:numFmt w:val="bullet"/>
      <w:lvlText w:val="•"/>
      <w:lvlJc w:val="left"/>
      <w:pPr>
        <w:ind w:left="6733" w:hanging="318"/>
      </w:pPr>
      <w:rPr>
        <w:rFonts w:hint="default"/>
        <w:lang w:val="es-ES" w:eastAsia="en-US" w:bidi="ar-SA"/>
      </w:rPr>
    </w:lvl>
    <w:lvl w:ilvl="7" w:tplc="925A2B2A">
      <w:numFmt w:val="bullet"/>
      <w:lvlText w:val="•"/>
      <w:lvlJc w:val="left"/>
      <w:pPr>
        <w:ind w:left="7672" w:hanging="318"/>
      </w:pPr>
      <w:rPr>
        <w:rFonts w:hint="default"/>
        <w:lang w:val="es-ES" w:eastAsia="en-US" w:bidi="ar-SA"/>
      </w:rPr>
    </w:lvl>
    <w:lvl w:ilvl="8" w:tplc="50C88C72">
      <w:numFmt w:val="bullet"/>
      <w:lvlText w:val="•"/>
      <w:lvlJc w:val="left"/>
      <w:pPr>
        <w:ind w:left="8611" w:hanging="318"/>
      </w:pPr>
      <w:rPr>
        <w:rFonts w:hint="default"/>
        <w:lang w:val="es-ES" w:eastAsia="en-US" w:bidi="ar-SA"/>
      </w:rPr>
    </w:lvl>
  </w:abstractNum>
  <w:abstractNum w:abstractNumId="139" w15:restartNumberingAfterBreak="0">
    <w:nsid w:val="366C033C"/>
    <w:multiLevelType w:val="hybridMultilevel"/>
    <w:tmpl w:val="71CE86B8"/>
    <w:lvl w:ilvl="0" w:tplc="B93005DE">
      <w:start w:val="1"/>
      <w:numFmt w:val="decimal"/>
      <w:lvlText w:val="%1."/>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1" w:tplc="612AEF3E">
      <w:numFmt w:val="bullet"/>
      <w:lvlText w:val="•"/>
      <w:lvlJc w:val="left"/>
      <w:pPr>
        <w:ind w:left="2038" w:hanging="236"/>
      </w:pPr>
      <w:rPr>
        <w:rFonts w:hint="default"/>
        <w:lang w:val="es-ES" w:eastAsia="en-US" w:bidi="ar-SA"/>
      </w:rPr>
    </w:lvl>
    <w:lvl w:ilvl="2" w:tplc="A4F03034">
      <w:numFmt w:val="bullet"/>
      <w:lvlText w:val="•"/>
      <w:lvlJc w:val="left"/>
      <w:pPr>
        <w:ind w:left="2977" w:hanging="236"/>
      </w:pPr>
      <w:rPr>
        <w:rFonts w:hint="default"/>
        <w:lang w:val="es-ES" w:eastAsia="en-US" w:bidi="ar-SA"/>
      </w:rPr>
    </w:lvl>
    <w:lvl w:ilvl="3" w:tplc="B0EE2E14">
      <w:numFmt w:val="bullet"/>
      <w:lvlText w:val="•"/>
      <w:lvlJc w:val="left"/>
      <w:pPr>
        <w:ind w:left="3916" w:hanging="236"/>
      </w:pPr>
      <w:rPr>
        <w:rFonts w:hint="default"/>
        <w:lang w:val="es-ES" w:eastAsia="en-US" w:bidi="ar-SA"/>
      </w:rPr>
    </w:lvl>
    <w:lvl w:ilvl="4" w:tplc="1884C41C">
      <w:numFmt w:val="bullet"/>
      <w:lvlText w:val="•"/>
      <w:lvlJc w:val="left"/>
      <w:pPr>
        <w:ind w:left="4855" w:hanging="236"/>
      </w:pPr>
      <w:rPr>
        <w:rFonts w:hint="default"/>
        <w:lang w:val="es-ES" w:eastAsia="en-US" w:bidi="ar-SA"/>
      </w:rPr>
    </w:lvl>
    <w:lvl w:ilvl="5" w:tplc="F4167852">
      <w:numFmt w:val="bullet"/>
      <w:lvlText w:val="•"/>
      <w:lvlJc w:val="left"/>
      <w:pPr>
        <w:ind w:left="5794" w:hanging="236"/>
      </w:pPr>
      <w:rPr>
        <w:rFonts w:hint="default"/>
        <w:lang w:val="es-ES" w:eastAsia="en-US" w:bidi="ar-SA"/>
      </w:rPr>
    </w:lvl>
    <w:lvl w:ilvl="6" w:tplc="4DA639D6">
      <w:numFmt w:val="bullet"/>
      <w:lvlText w:val="•"/>
      <w:lvlJc w:val="left"/>
      <w:pPr>
        <w:ind w:left="6733" w:hanging="236"/>
      </w:pPr>
      <w:rPr>
        <w:rFonts w:hint="default"/>
        <w:lang w:val="es-ES" w:eastAsia="en-US" w:bidi="ar-SA"/>
      </w:rPr>
    </w:lvl>
    <w:lvl w:ilvl="7" w:tplc="3CDE79EA">
      <w:numFmt w:val="bullet"/>
      <w:lvlText w:val="•"/>
      <w:lvlJc w:val="left"/>
      <w:pPr>
        <w:ind w:left="7672" w:hanging="236"/>
      </w:pPr>
      <w:rPr>
        <w:rFonts w:hint="default"/>
        <w:lang w:val="es-ES" w:eastAsia="en-US" w:bidi="ar-SA"/>
      </w:rPr>
    </w:lvl>
    <w:lvl w:ilvl="8" w:tplc="A9D497D6">
      <w:numFmt w:val="bullet"/>
      <w:lvlText w:val="•"/>
      <w:lvlJc w:val="left"/>
      <w:pPr>
        <w:ind w:left="8611" w:hanging="236"/>
      </w:pPr>
      <w:rPr>
        <w:rFonts w:hint="default"/>
        <w:lang w:val="es-ES" w:eastAsia="en-US" w:bidi="ar-SA"/>
      </w:rPr>
    </w:lvl>
  </w:abstractNum>
  <w:abstractNum w:abstractNumId="140" w15:restartNumberingAfterBreak="0">
    <w:nsid w:val="3677424D"/>
    <w:multiLevelType w:val="hybridMultilevel"/>
    <w:tmpl w:val="98161A94"/>
    <w:lvl w:ilvl="0" w:tplc="0D34F958">
      <w:start w:val="1"/>
      <w:numFmt w:val="decimal"/>
      <w:lvlText w:val="%1."/>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1" w:tplc="2E864504">
      <w:numFmt w:val="bullet"/>
      <w:lvlText w:val="•"/>
      <w:lvlJc w:val="left"/>
      <w:pPr>
        <w:ind w:left="2038" w:hanging="273"/>
      </w:pPr>
      <w:rPr>
        <w:rFonts w:hint="default"/>
        <w:lang w:val="es-ES" w:eastAsia="en-US" w:bidi="ar-SA"/>
      </w:rPr>
    </w:lvl>
    <w:lvl w:ilvl="2" w:tplc="235E17B6">
      <w:numFmt w:val="bullet"/>
      <w:lvlText w:val="•"/>
      <w:lvlJc w:val="left"/>
      <w:pPr>
        <w:ind w:left="2977" w:hanging="273"/>
      </w:pPr>
      <w:rPr>
        <w:rFonts w:hint="default"/>
        <w:lang w:val="es-ES" w:eastAsia="en-US" w:bidi="ar-SA"/>
      </w:rPr>
    </w:lvl>
    <w:lvl w:ilvl="3" w:tplc="28F6F316">
      <w:numFmt w:val="bullet"/>
      <w:lvlText w:val="•"/>
      <w:lvlJc w:val="left"/>
      <w:pPr>
        <w:ind w:left="3916" w:hanging="273"/>
      </w:pPr>
      <w:rPr>
        <w:rFonts w:hint="default"/>
        <w:lang w:val="es-ES" w:eastAsia="en-US" w:bidi="ar-SA"/>
      </w:rPr>
    </w:lvl>
    <w:lvl w:ilvl="4" w:tplc="5CFC9F10">
      <w:numFmt w:val="bullet"/>
      <w:lvlText w:val="•"/>
      <w:lvlJc w:val="left"/>
      <w:pPr>
        <w:ind w:left="4855" w:hanging="273"/>
      </w:pPr>
      <w:rPr>
        <w:rFonts w:hint="default"/>
        <w:lang w:val="es-ES" w:eastAsia="en-US" w:bidi="ar-SA"/>
      </w:rPr>
    </w:lvl>
    <w:lvl w:ilvl="5" w:tplc="C6E6E34E">
      <w:numFmt w:val="bullet"/>
      <w:lvlText w:val="•"/>
      <w:lvlJc w:val="left"/>
      <w:pPr>
        <w:ind w:left="5794" w:hanging="273"/>
      </w:pPr>
      <w:rPr>
        <w:rFonts w:hint="default"/>
        <w:lang w:val="es-ES" w:eastAsia="en-US" w:bidi="ar-SA"/>
      </w:rPr>
    </w:lvl>
    <w:lvl w:ilvl="6" w:tplc="DA5A5404">
      <w:numFmt w:val="bullet"/>
      <w:lvlText w:val="•"/>
      <w:lvlJc w:val="left"/>
      <w:pPr>
        <w:ind w:left="6733" w:hanging="273"/>
      </w:pPr>
      <w:rPr>
        <w:rFonts w:hint="default"/>
        <w:lang w:val="es-ES" w:eastAsia="en-US" w:bidi="ar-SA"/>
      </w:rPr>
    </w:lvl>
    <w:lvl w:ilvl="7" w:tplc="7D8012AA">
      <w:numFmt w:val="bullet"/>
      <w:lvlText w:val="•"/>
      <w:lvlJc w:val="left"/>
      <w:pPr>
        <w:ind w:left="7672" w:hanging="273"/>
      </w:pPr>
      <w:rPr>
        <w:rFonts w:hint="default"/>
        <w:lang w:val="es-ES" w:eastAsia="en-US" w:bidi="ar-SA"/>
      </w:rPr>
    </w:lvl>
    <w:lvl w:ilvl="8" w:tplc="4876622E">
      <w:numFmt w:val="bullet"/>
      <w:lvlText w:val="•"/>
      <w:lvlJc w:val="left"/>
      <w:pPr>
        <w:ind w:left="8611" w:hanging="273"/>
      </w:pPr>
      <w:rPr>
        <w:rFonts w:hint="default"/>
        <w:lang w:val="es-ES" w:eastAsia="en-US" w:bidi="ar-SA"/>
      </w:rPr>
    </w:lvl>
  </w:abstractNum>
  <w:abstractNum w:abstractNumId="141" w15:restartNumberingAfterBreak="0">
    <w:nsid w:val="3704501A"/>
    <w:multiLevelType w:val="hybridMultilevel"/>
    <w:tmpl w:val="6C98716A"/>
    <w:lvl w:ilvl="0" w:tplc="60A0413C">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1B109340">
      <w:numFmt w:val="bullet"/>
      <w:lvlText w:val="•"/>
      <w:lvlJc w:val="left"/>
      <w:pPr>
        <w:ind w:left="2038" w:hanging="234"/>
      </w:pPr>
      <w:rPr>
        <w:rFonts w:hint="default"/>
        <w:lang w:val="es-ES" w:eastAsia="en-US" w:bidi="ar-SA"/>
      </w:rPr>
    </w:lvl>
    <w:lvl w:ilvl="2" w:tplc="90F0B43C">
      <w:numFmt w:val="bullet"/>
      <w:lvlText w:val="•"/>
      <w:lvlJc w:val="left"/>
      <w:pPr>
        <w:ind w:left="2977" w:hanging="234"/>
      </w:pPr>
      <w:rPr>
        <w:rFonts w:hint="default"/>
        <w:lang w:val="es-ES" w:eastAsia="en-US" w:bidi="ar-SA"/>
      </w:rPr>
    </w:lvl>
    <w:lvl w:ilvl="3" w:tplc="CFFEF9EE">
      <w:numFmt w:val="bullet"/>
      <w:lvlText w:val="•"/>
      <w:lvlJc w:val="left"/>
      <w:pPr>
        <w:ind w:left="3916" w:hanging="234"/>
      </w:pPr>
      <w:rPr>
        <w:rFonts w:hint="default"/>
        <w:lang w:val="es-ES" w:eastAsia="en-US" w:bidi="ar-SA"/>
      </w:rPr>
    </w:lvl>
    <w:lvl w:ilvl="4" w:tplc="EB1E6060">
      <w:numFmt w:val="bullet"/>
      <w:lvlText w:val="•"/>
      <w:lvlJc w:val="left"/>
      <w:pPr>
        <w:ind w:left="4855" w:hanging="234"/>
      </w:pPr>
      <w:rPr>
        <w:rFonts w:hint="default"/>
        <w:lang w:val="es-ES" w:eastAsia="en-US" w:bidi="ar-SA"/>
      </w:rPr>
    </w:lvl>
    <w:lvl w:ilvl="5" w:tplc="B5BA4352">
      <w:numFmt w:val="bullet"/>
      <w:lvlText w:val="•"/>
      <w:lvlJc w:val="left"/>
      <w:pPr>
        <w:ind w:left="5794" w:hanging="234"/>
      </w:pPr>
      <w:rPr>
        <w:rFonts w:hint="default"/>
        <w:lang w:val="es-ES" w:eastAsia="en-US" w:bidi="ar-SA"/>
      </w:rPr>
    </w:lvl>
    <w:lvl w:ilvl="6" w:tplc="16808086">
      <w:numFmt w:val="bullet"/>
      <w:lvlText w:val="•"/>
      <w:lvlJc w:val="left"/>
      <w:pPr>
        <w:ind w:left="6733" w:hanging="234"/>
      </w:pPr>
      <w:rPr>
        <w:rFonts w:hint="default"/>
        <w:lang w:val="es-ES" w:eastAsia="en-US" w:bidi="ar-SA"/>
      </w:rPr>
    </w:lvl>
    <w:lvl w:ilvl="7" w:tplc="FB8E129C">
      <w:numFmt w:val="bullet"/>
      <w:lvlText w:val="•"/>
      <w:lvlJc w:val="left"/>
      <w:pPr>
        <w:ind w:left="7672" w:hanging="234"/>
      </w:pPr>
      <w:rPr>
        <w:rFonts w:hint="default"/>
        <w:lang w:val="es-ES" w:eastAsia="en-US" w:bidi="ar-SA"/>
      </w:rPr>
    </w:lvl>
    <w:lvl w:ilvl="8" w:tplc="41DCFD96">
      <w:numFmt w:val="bullet"/>
      <w:lvlText w:val="•"/>
      <w:lvlJc w:val="left"/>
      <w:pPr>
        <w:ind w:left="8611" w:hanging="234"/>
      </w:pPr>
      <w:rPr>
        <w:rFonts w:hint="default"/>
        <w:lang w:val="es-ES" w:eastAsia="en-US" w:bidi="ar-SA"/>
      </w:rPr>
    </w:lvl>
  </w:abstractNum>
  <w:abstractNum w:abstractNumId="142" w15:restartNumberingAfterBreak="0">
    <w:nsid w:val="3723741B"/>
    <w:multiLevelType w:val="hybridMultilevel"/>
    <w:tmpl w:val="01100EFC"/>
    <w:lvl w:ilvl="0" w:tplc="27DED62C">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E11468D8">
      <w:start w:val="1"/>
      <w:numFmt w:val="lowerLetter"/>
      <w:lvlText w:val="%2)"/>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2" w:tplc="9894D8CA">
      <w:numFmt w:val="bullet"/>
      <w:lvlText w:val="•"/>
      <w:lvlJc w:val="left"/>
      <w:pPr>
        <w:ind w:left="2977" w:hanging="240"/>
      </w:pPr>
      <w:rPr>
        <w:rFonts w:hint="default"/>
        <w:lang w:val="es-ES" w:eastAsia="en-US" w:bidi="ar-SA"/>
      </w:rPr>
    </w:lvl>
    <w:lvl w:ilvl="3" w:tplc="6FF0C38A">
      <w:numFmt w:val="bullet"/>
      <w:lvlText w:val="•"/>
      <w:lvlJc w:val="left"/>
      <w:pPr>
        <w:ind w:left="3916" w:hanging="240"/>
      </w:pPr>
      <w:rPr>
        <w:rFonts w:hint="default"/>
        <w:lang w:val="es-ES" w:eastAsia="en-US" w:bidi="ar-SA"/>
      </w:rPr>
    </w:lvl>
    <w:lvl w:ilvl="4" w:tplc="2DEAD326">
      <w:numFmt w:val="bullet"/>
      <w:lvlText w:val="•"/>
      <w:lvlJc w:val="left"/>
      <w:pPr>
        <w:ind w:left="4855" w:hanging="240"/>
      </w:pPr>
      <w:rPr>
        <w:rFonts w:hint="default"/>
        <w:lang w:val="es-ES" w:eastAsia="en-US" w:bidi="ar-SA"/>
      </w:rPr>
    </w:lvl>
    <w:lvl w:ilvl="5" w:tplc="EB4C60D0">
      <w:numFmt w:val="bullet"/>
      <w:lvlText w:val="•"/>
      <w:lvlJc w:val="left"/>
      <w:pPr>
        <w:ind w:left="5794" w:hanging="240"/>
      </w:pPr>
      <w:rPr>
        <w:rFonts w:hint="default"/>
        <w:lang w:val="es-ES" w:eastAsia="en-US" w:bidi="ar-SA"/>
      </w:rPr>
    </w:lvl>
    <w:lvl w:ilvl="6" w:tplc="90523F98">
      <w:numFmt w:val="bullet"/>
      <w:lvlText w:val="•"/>
      <w:lvlJc w:val="left"/>
      <w:pPr>
        <w:ind w:left="6733" w:hanging="240"/>
      </w:pPr>
      <w:rPr>
        <w:rFonts w:hint="default"/>
        <w:lang w:val="es-ES" w:eastAsia="en-US" w:bidi="ar-SA"/>
      </w:rPr>
    </w:lvl>
    <w:lvl w:ilvl="7" w:tplc="1C1829C8">
      <w:numFmt w:val="bullet"/>
      <w:lvlText w:val="•"/>
      <w:lvlJc w:val="left"/>
      <w:pPr>
        <w:ind w:left="7672" w:hanging="240"/>
      </w:pPr>
      <w:rPr>
        <w:rFonts w:hint="default"/>
        <w:lang w:val="es-ES" w:eastAsia="en-US" w:bidi="ar-SA"/>
      </w:rPr>
    </w:lvl>
    <w:lvl w:ilvl="8" w:tplc="4AB44E66">
      <w:numFmt w:val="bullet"/>
      <w:lvlText w:val="•"/>
      <w:lvlJc w:val="left"/>
      <w:pPr>
        <w:ind w:left="8611" w:hanging="240"/>
      </w:pPr>
      <w:rPr>
        <w:rFonts w:hint="default"/>
        <w:lang w:val="es-ES" w:eastAsia="en-US" w:bidi="ar-SA"/>
      </w:rPr>
    </w:lvl>
  </w:abstractNum>
  <w:abstractNum w:abstractNumId="143" w15:restartNumberingAfterBreak="0">
    <w:nsid w:val="37707815"/>
    <w:multiLevelType w:val="hybridMultilevel"/>
    <w:tmpl w:val="33F4941E"/>
    <w:lvl w:ilvl="0" w:tplc="E5BE4B96">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24A67F1A">
      <w:start w:val="1"/>
      <w:numFmt w:val="lowerLetter"/>
      <w:lvlText w:val="%2)"/>
      <w:lvlJc w:val="left"/>
      <w:pPr>
        <w:ind w:left="1106" w:hanging="322"/>
        <w:jc w:val="left"/>
      </w:pPr>
      <w:rPr>
        <w:rFonts w:ascii="Arial MT" w:eastAsia="Arial MT" w:hAnsi="Arial MT" w:cs="Arial MT" w:hint="default"/>
        <w:b w:val="0"/>
        <w:bCs w:val="0"/>
        <w:i w:val="0"/>
        <w:iCs w:val="0"/>
        <w:spacing w:val="0"/>
        <w:w w:val="100"/>
        <w:sz w:val="20"/>
        <w:szCs w:val="20"/>
        <w:lang w:val="es-ES" w:eastAsia="en-US" w:bidi="ar-SA"/>
      </w:rPr>
    </w:lvl>
    <w:lvl w:ilvl="2" w:tplc="760ACB4A">
      <w:numFmt w:val="bullet"/>
      <w:lvlText w:val="•"/>
      <w:lvlJc w:val="left"/>
      <w:pPr>
        <w:ind w:left="2977" w:hanging="322"/>
      </w:pPr>
      <w:rPr>
        <w:rFonts w:hint="default"/>
        <w:lang w:val="es-ES" w:eastAsia="en-US" w:bidi="ar-SA"/>
      </w:rPr>
    </w:lvl>
    <w:lvl w:ilvl="3" w:tplc="8822FAE8">
      <w:numFmt w:val="bullet"/>
      <w:lvlText w:val="•"/>
      <w:lvlJc w:val="left"/>
      <w:pPr>
        <w:ind w:left="3916" w:hanging="322"/>
      </w:pPr>
      <w:rPr>
        <w:rFonts w:hint="default"/>
        <w:lang w:val="es-ES" w:eastAsia="en-US" w:bidi="ar-SA"/>
      </w:rPr>
    </w:lvl>
    <w:lvl w:ilvl="4" w:tplc="1B808328">
      <w:numFmt w:val="bullet"/>
      <w:lvlText w:val="•"/>
      <w:lvlJc w:val="left"/>
      <w:pPr>
        <w:ind w:left="4855" w:hanging="322"/>
      </w:pPr>
      <w:rPr>
        <w:rFonts w:hint="default"/>
        <w:lang w:val="es-ES" w:eastAsia="en-US" w:bidi="ar-SA"/>
      </w:rPr>
    </w:lvl>
    <w:lvl w:ilvl="5" w:tplc="254E93AE">
      <w:numFmt w:val="bullet"/>
      <w:lvlText w:val="•"/>
      <w:lvlJc w:val="left"/>
      <w:pPr>
        <w:ind w:left="5794" w:hanging="322"/>
      </w:pPr>
      <w:rPr>
        <w:rFonts w:hint="default"/>
        <w:lang w:val="es-ES" w:eastAsia="en-US" w:bidi="ar-SA"/>
      </w:rPr>
    </w:lvl>
    <w:lvl w:ilvl="6" w:tplc="F5FEC59A">
      <w:numFmt w:val="bullet"/>
      <w:lvlText w:val="•"/>
      <w:lvlJc w:val="left"/>
      <w:pPr>
        <w:ind w:left="6733" w:hanging="322"/>
      </w:pPr>
      <w:rPr>
        <w:rFonts w:hint="default"/>
        <w:lang w:val="es-ES" w:eastAsia="en-US" w:bidi="ar-SA"/>
      </w:rPr>
    </w:lvl>
    <w:lvl w:ilvl="7" w:tplc="27763564">
      <w:numFmt w:val="bullet"/>
      <w:lvlText w:val="•"/>
      <w:lvlJc w:val="left"/>
      <w:pPr>
        <w:ind w:left="7672" w:hanging="322"/>
      </w:pPr>
      <w:rPr>
        <w:rFonts w:hint="default"/>
        <w:lang w:val="es-ES" w:eastAsia="en-US" w:bidi="ar-SA"/>
      </w:rPr>
    </w:lvl>
    <w:lvl w:ilvl="8" w:tplc="B1A0E292">
      <w:numFmt w:val="bullet"/>
      <w:lvlText w:val="•"/>
      <w:lvlJc w:val="left"/>
      <w:pPr>
        <w:ind w:left="8611" w:hanging="322"/>
      </w:pPr>
      <w:rPr>
        <w:rFonts w:hint="default"/>
        <w:lang w:val="es-ES" w:eastAsia="en-US" w:bidi="ar-SA"/>
      </w:rPr>
    </w:lvl>
  </w:abstractNum>
  <w:abstractNum w:abstractNumId="144" w15:restartNumberingAfterBreak="0">
    <w:nsid w:val="380566A3"/>
    <w:multiLevelType w:val="hybridMultilevel"/>
    <w:tmpl w:val="7584C0A6"/>
    <w:lvl w:ilvl="0" w:tplc="2432FA9A">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985462EA">
      <w:start w:val="1"/>
      <w:numFmt w:val="lowerLetter"/>
      <w:lvlText w:val="%2)"/>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2" w:tplc="2C924524">
      <w:numFmt w:val="bullet"/>
      <w:lvlText w:val="•"/>
      <w:lvlJc w:val="left"/>
      <w:pPr>
        <w:ind w:left="2977" w:hanging="237"/>
      </w:pPr>
      <w:rPr>
        <w:rFonts w:hint="default"/>
        <w:lang w:val="es-ES" w:eastAsia="en-US" w:bidi="ar-SA"/>
      </w:rPr>
    </w:lvl>
    <w:lvl w:ilvl="3" w:tplc="0A1ADAB2">
      <w:numFmt w:val="bullet"/>
      <w:lvlText w:val="•"/>
      <w:lvlJc w:val="left"/>
      <w:pPr>
        <w:ind w:left="3916" w:hanging="237"/>
      </w:pPr>
      <w:rPr>
        <w:rFonts w:hint="default"/>
        <w:lang w:val="es-ES" w:eastAsia="en-US" w:bidi="ar-SA"/>
      </w:rPr>
    </w:lvl>
    <w:lvl w:ilvl="4" w:tplc="5B1011F0">
      <w:numFmt w:val="bullet"/>
      <w:lvlText w:val="•"/>
      <w:lvlJc w:val="left"/>
      <w:pPr>
        <w:ind w:left="4855" w:hanging="237"/>
      </w:pPr>
      <w:rPr>
        <w:rFonts w:hint="default"/>
        <w:lang w:val="es-ES" w:eastAsia="en-US" w:bidi="ar-SA"/>
      </w:rPr>
    </w:lvl>
    <w:lvl w:ilvl="5" w:tplc="7A208926">
      <w:numFmt w:val="bullet"/>
      <w:lvlText w:val="•"/>
      <w:lvlJc w:val="left"/>
      <w:pPr>
        <w:ind w:left="5794" w:hanging="237"/>
      </w:pPr>
      <w:rPr>
        <w:rFonts w:hint="default"/>
        <w:lang w:val="es-ES" w:eastAsia="en-US" w:bidi="ar-SA"/>
      </w:rPr>
    </w:lvl>
    <w:lvl w:ilvl="6" w:tplc="01B0210A">
      <w:numFmt w:val="bullet"/>
      <w:lvlText w:val="•"/>
      <w:lvlJc w:val="left"/>
      <w:pPr>
        <w:ind w:left="6733" w:hanging="237"/>
      </w:pPr>
      <w:rPr>
        <w:rFonts w:hint="default"/>
        <w:lang w:val="es-ES" w:eastAsia="en-US" w:bidi="ar-SA"/>
      </w:rPr>
    </w:lvl>
    <w:lvl w:ilvl="7" w:tplc="FBC08F56">
      <w:numFmt w:val="bullet"/>
      <w:lvlText w:val="•"/>
      <w:lvlJc w:val="left"/>
      <w:pPr>
        <w:ind w:left="7672" w:hanging="237"/>
      </w:pPr>
      <w:rPr>
        <w:rFonts w:hint="default"/>
        <w:lang w:val="es-ES" w:eastAsia="en-US" w:bidi="ar-SA"/>
      </w:rPr>
    </w:lvl>
    <w:lvl w:ilvl="8" w:tplc="4F18A23A">
      <w:numFmt w:val="bullet"/>
      <w:lvlText w:val="•"/>
      <w:lvlJc w:val="left"/>
      <w:pPr>
        <w:ind w:left="8611" w:hanging="237"/>
      </w:pPr>
      <w:rPr>
        <w:rFonts w:hint="default"/>
        <w:lang w:val="es-ES" w:eastAsia="en-US" w:bidi="ar-SA"/>
      </w:rPr>
    </w:lvl>
  </w:abstractNum>
  <w:abstractNum w:abstractNumId="145" w15:restartNumberingAfterBreak="0">
    <w:nsid w:val="38DF7EA0"/>
    <w:multiLevelType w:val="hybridMultilevel"/>
    <w:tmpl w:val="4B3222A4"/>
    <w:lvl w:ilvl="0" w:tplc="5DEEEC0E">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8F3462FE">
      <w:numFmt w:val="bullet"/>
      <w:lvlText w:val="•"/>
      <w:lvlJc w:val="left"/>
      <w:pPr>
        <w:ind w:left="2038" w:hanging="294"/>
      </w:pPr>
      <w:rPr>
        <w:rFonts w:hint="default"/>
        <w:lang w:val="es-ES" w:eastAsia="en-US" w:bidi="ar-SA"/>
      </w:rPr>
    </w:lvl>
    <w:lvl w:ilvl="2" w:tplc="1018A654">
      <w:numFmt w:val="bullet"/>
      <w:lvlText w:val="•"/>
      <w:lvlJc w:val="left"/>
      <w:pPr>
        <w:ind w:left="2977" w:hanging="294"/>
      </w:pPr>
      <w:rPr>
        <w:rFonts w:hint="default"/>
        <w:lang w:val="es-ES" w:eastAsia="en-US" w:bidi="ar-SA"/>
      </w:rPr>
    </w:lvl>
    <w:lvl w:ilvl="3" w:tplc="75DE5254">
      <w:numFmt w:val="bullet"/>
      <w:lvlText w:val="•"/>
      <w:lvlJc w:val="left"/>
      <w:pPr>
        <w:ind w:left="3916" w:hanging="294"/>
      </w:pPr>
      <w:rPr>
        <w:rFonts w:hint="default"/>
        <w:lang w:val="es-ES" w:eastAsia="en-US" w:bidi="ar-SA"/>
      </w:rPr>
    </w:lvl>
    <w:lvl w:ilvl="4" w:tplc="DCCC2B6C">
      <w:numFmt w:val="bullet"/>
      <w:lvlText w:val="•"/>
      <w:lvlJc w:val="left"/>
      <w:pPr>
        <w:ind w:left="4855" w:hanging="294"/>
      </w:pPr>
      <w:rPr>
        <w:rFonts w:hint="default"/>
        <w:lang w:val="es-ES" w:eastAsia="en-US" w:bidi="ar-SA"/>
      </w:rPr>
    </w:lvl>
    <w:lvl w:ilvl="5" w:tplc="4C76BCA8">
      <w:numFmt w:val="bullet"/>
      <w:lvlText w:val="•"/>
      <w:lvlJc w:val="left"/>
      <w:pPr>
        <w:ind w:left="5794" w:hanging="294"/>
      </w:pPr>
      <w:rPr>
        <w:rFonts w:hint="default"/>
        <w:lang w:val="es-ES" w:eastAsia="en-US" w:bidi="ar-SA"/>
      </w:rPr>
    </w:lvl>
    <w:lvl w:ilvl="6" w:tplc="05ECAC46">
      <w:numFmt w:val="bullet"/>
      <w:lvlText w:val="•"/>
      <w:lvlJc w:val="left"/>
      <w:pPr>
        <w:ind w:left="6733" w:hanging="294"/>
      </w:pPr>
      <w:rPr>
        <w:rFonts w:hint="default"/>
        <w:lang w:val="es-ES" w:eastAsia="en-US" w:bidi="ar-SA"/>
      </w:rPr>
    </w:lvl>
    <w:lvl w:ilvl="7" w:tplc="7666B4CC">
      <w:numFmt w:val="bullet"/>
      <w:lvlText w:val="•"/>
      <w:lvlJc w:val="left"/>
      <w:pPr>
        <w:ind w:left="7672" w:hanging="294"/>
      </w:pPr>
      <w:rPr>
        <w:rFonts w:hint="default"/>
        <w:lang w:val="es-ES" w:eastAsia="en-US" w:bidi="ar-SA"/>
      </w:rPr>
    </w:lvl>
    <w:lvl w:ilvl="8" w:tplc="7736BF32">
      <w:numFmt w:val="bullet"/>
      <w:lvlText w:val="•"/>
      <w:lvlJc w:val="left"/>
      <w:pPr>
        <w:ind w:left="8611" w:hanging="294"/>
      </w:pPr>
      <w:rPr>
        <w:rFonts w:hint="default"/>
        <w:lang w:val="es-ES" w:eastAsia="en-US" w:bidi="ar-SA"/>
      </w:rPr>
    </w:lvl>
  </w:abstractNum>
  <w:abstractNum w:abstractNumId="146" w15:restartNumberingAfterBreak="0">
    <w:nsid w:val="39290736"/>
    <w:multiLevelType w:val="hybridMultilevel"/>
    <w:tmpl w:val="974CBFDE"/>
    <w:lvl w:ilvl="0" w:tplc="27647AAE">
      <w:numFmt w:val="bullet"/>
      <w:lvlText w:val="–"/>
      <w:lvlJc w:val="left"/>
      <w:pPr>
        <w:ind w:left="143" w:hanging="103"/>
      </w:pPr>
      <w:rPr>
        <w:rFonts w:ascii="Arial MT" w:eastAsia="Arial MT" w:hAnsi="Arial MT" w:cs="Arial MT" w:hint="default"/>
        <w:b w:val="0"/>
        <w:bCs w:val="0"/>
        <w:i w:val="0"/>
        <w:iCs w:val="0"/>
        <w:spacing w:val="0"/>
        <w:w w:val="87"/>
        <w:sz w:val="14"/>
        <w:szCs w:val="14"/>
        <w:lang w:val="es-ES" w:eastAsia="en-US" w:bidi="ar-SA"/>
      </w:rPr>
    </w:lvl>
    <w:lvl w:ilvl="1" w:tplc="DC5C4D30">
      <w:numFmt w:val="bullet"/>
      <w:lvlText w:val="•"/>
      <w:lvlJc w:val="left"/>
      <w:pPr>
        <w:ind w:left="751" w:hanging="103"/>
      </w:pPr>
      <w:rPr>
        <w:rFonts w:hint="default"/>
        <w:lang w:val="es-ES" w:eastAsia="en-US" w:bidi="ar-SA"/>
      </w:rPr>
    </w:lvl>
    <w:lvl w:ilvl="2" w:tplc="92B22B78">
      <w:numFmt w:val="bullet"/>
      <w:lvlText w:val="•"/>
      <w:lvlJc w:val="left"/>
      <w:pPr>
        <w:ind w:left="1363" w:hanging="103"/>
      </w:pPr>
      <w:rPr>
        <w:rFonts w:hint="default"/>
        <w:lang w:val="es-ES" w:eastAsia="en-US" w:bidi="ar-SA"/>
      </w:rPr>
    </w:lvl>
    <w:lvl w:ilvl="3" w:tplc="0F0468B8">
      <w:numFmt w:val="bullet"/>
      <w:lvlText w:val="•"/>
      <w:lvlJc w:val="left"/>
      <w:pPr>
        <w:ind w:left="1975" w:hanging="103"/>
      </w:pPr>
      <w:rPr>
        <w:rFonts w:hint="default"/>
        <w:lang w:val="es-ES" w:eastAsia="en-US" w:bidi="ar-SA"/>
      </w:rPr>
    </w:lvl>
    <w:lvl w:ilvl="4" w:tplc="C9AED298">
      <w:numFmt w:val="bullet"/>
      <w:lvlText w:val="•"/>
      <w:lvlJc w:val="left"/>
      <w:pPr>
        <w:ind w:left="2586" w:hanging="103"/>
      </w:pPr>
      <w:rPr>
        <w:rFonts w:hint="default"/>
        <w:lang w:val="es-ES" w:eastAsia="en-US" w:bidi="ar-SA"/>
      </w:rPr>
    </w:lvl>
    <w:lvl w:ilvl="5" w:tplc="B740A1E4">
      <w:numFmt w:val="bullet"/>
      <w:lvlText w:val="•"/>
      <w:lvlJc w:val="left"/>
      <w:pPr>
        <w:ind w:left="3198" w:hanging="103"/>
      </w:pPr>
      <w:rPr>
        <w:rFonts w:hint="default"/>
        <w:lang w:val="es-ES" w:eastAsia="en-US" w:bidi="ar-SA"/>
      </w:rPr>
    </w:lvl>
    <w:lvl w:ilvl="6" w:tplc="2BB2B042">
      <w:numFmt w:val="bullet"/>
      <w:lvlText w:val="•"/>
      <w:lvlJc w:val="left"/>
      <w:pPr>
        <w:ind w:left="3810" w:hanging="103"/>
      </w:pPr>
      <w:rPr>
        <w:rFonts w:hint="default"/>
        <w:lang w:val="es-ES" w:eastAsia="en-US" w:bidi="ar-SA"/>
      </w:rPr>
    </w:lvl>
    <w:lvl w:ilvl="7" w:tplc="7DE2B58E">
      <w:numFmt w:val="bullet"/>
      <w:lvlText w:val="•"/>
      <w:lvlJc w:val="left"/>
      <w:pPr>
        <w:ind w:left="4421" w:hanging="103"/>
      </w:pPr>
      <w:rPr>
        <w:rFonts w:hint="default"/>
        <w:lang w:val="es-ES" w:eastAsia="en-US" w:bidi="ar-SA"/>
      </w:rPr>
    </w:lvl>
    <w:lvl w:ilvl="8" w:tplc="982E9596">
      <w:numFmt w:val="bullet"/>
      <w:lvlText w:val="•"/>
      <w:lvlJc w:val="left"/>
      <w:pPr>
        <w:ind w:left="5033" w:hanging="103"/>
      </w:pPr>
      <w:rPr>
        <w:rFonts w:hint="default"/>
        <w:lang w:val="es-ES" w:eastAsia="en-US" w:bidi="ar-SA"/>
      </w:rPr>
    </w:lvl>
  </w:abstractNum>
  <w:abstractNum w:abstractNumId="147" w15:restartNumberingAfterBreak="0">
    <w:nsid w:val="39A93967"/>
    <w:multiLevelType w:val="hybridMultilevel"/>
    <w:tmpl w:val="B2CE2886"/>
    <w:lvl w:ilvl="0" w:tplc="0AC2395A">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C490767C">
      <w:numFmt w:val="bullet"/>
      <w:lvlText w:val="•"/>
      <w:lvlJc w:val="left"/>
      <w:pPr>
        <w:ind w:left="2038" w:hanging="228"/>
      </w:pPr>
      <w:rPr>
        <w:rFonts w:hint="default"/>
        <w:lang w:val="es-ES" w:eastAsia="en-US" w:bidi="ar-SA"/>
      </w:rPr>
    </w:lvl>
    <w:lvl w:ilvl="2" w:tplc="0E4A8A8A">
      <w:numFmt w:val="bullet"/>
      <w:lvlText w:val="•"/>
      <w:lvlJc w:val="left"/>
      <w:pPr>
        <w:ind w:left="2977" w:hanging="228"/>
      </w:pPr>
      <w:rPr>
        <w:rFonts w:hint="default"/>
        <w:lang w:val="es-ES" w:eastAsia="en-US" w:bidi="ar-SA"/>
      </w:rPr>
    </w:lvl>
    <w:lvl w:ilvl="3" w:tplc="353CA240">
      <w:numFmt w:val="bullet"/>
      <w:lvlText w:val="•"/>
      <w:lvlJc w:val="left"/>
      <w:pPr>
        <w:ind w:left="3916" w:hanging="228"/>
      </w:pPr>
      <w:rPr>
        <w:rFonts w:hint="default"/>
        <w:lang w:val="es-ES" w:eastAsia="en-US" w:bidi="ar-SA"/>
      </w:rPr>
    </w:lvl>
    <w:lvl w:ilvl="4" w:tplc="11344738">
      <w:numFmt w:val="bullet"/>
      <w:lvlText w:val="•"/>
      <w:lvlJc w:val="left"/>
      <w:pPr>
        <w:ind w:left="4855" w:hanging="228"/>
      </w:pPr>
      <w:rPr>
        <w:rFonts w:hint="default"/>
        <w:lang w:val="es-ES" w:eastAsia="en-US" w:bidi="ar-SA"/>
      </w:rPr>
    </w:lvl>
    <w:lvl w:ilvl="5" w:tplc="980EF922">
      <w:numFmt w:val="bullet"/>
      <w:lvlText w:val="•"/>
      <w:lvlJc w:val="left"/>
      <w:pPr>
        <w:ind w:left="5794" w:hanging="228"/>
      </w:pPr>
      <w:rPr>
        <w:rFonts w:hint="default"/>
        <w:lang w:val="es-ES" w:eastAsia="en-US" w:bidi="ar-SA"/>
      </w:rPr>
    </w:lvl>
    <w:lvl w:ilvl="6" w:tplc="57468014">
      <w:numFmt w:val="bullet"/>
      <w:lvlText w:val="•"/>
      <w:lvlJc w:val="left"/>
      <w:pPr>
        <w:ind w:left="6733" w:hanging="228"/>
      </w:pPr>
      <w:rPr>
        <w:rFonts w:hint="default"/>
        <w:lang w:val="es-ES" w:eastAsia="en-US" w:bidi="ar-SA"/>
      </w:rPr>
    </w:lvl>
    <w:lvl w:ilvl="7" w:tplc="E0D0515C">
      <w:numFmt w:val="bullet"/>
      <w:lvlText w:val="•"/>
      <w:lvlJc w:val="left"/>
      <w:pPr>
        <w:ind w:left="7672" w:hanging="228"/>
      </w:pPr>
      <w:rPr>
        <w:rFonts w:hint="default"/>
        <w:lang w:val="es-ES" w:eastAsia="en-US" w:bidi="ar-SA"/>
      </w:rPr>
    </w:lvl>
    <w:lvl w:ilvl="8" w:tplc="CC0EDCE4">
      <w:numFmt w:val="bullet"/>
      <w:lvlText w:val="•"/>
      <w:lvlJc w:val="left"/>
      <w:pPr>
        <w:ind w:left="8611" w:hanging="228"/>
      </w:pPr>
      <w:rPr>
        <w:rFonts w:hint="default"/>
        <w:lang w:val="es-ES" w:eastAsia="en-US" w:bidi="ar-SA"/>
      </w:rPr>
    </w:lvl>
  </w:abstractNum>
  <w:abstractNum w:abstractNumId="148" w15:restartNumberingAfterBreak="0">
    <w:nsid w:val="3A285D3D"/>
    <w:multiLevelType w:val="hybridMultilevel"/>
    <w:tmpl w:val="677683EE"/>
    <w:lvl w:ilvl="0" w:tplc="CE402538">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489E298A">
      <w:numFmt w:val="bullet"/>
      <w:lvlText w:val="•"/>
      <w:lvlJc w:val="left"/>
      <w:pPr>
        <w:ind w:left="2038" w:hanging="225"/>
      </w:pPr>
      <w:rPr>
        <w:rFonts w:hint="default"/>
        <w:lang w:val="es-ES" w:eastAsia="en-US" w:bidi="ar-SA"/>
      </w:rPr>
    </w:lvl>
    <w:lvl w:ilvl="2" w:tplc="0DCCBA3E">
      <w:numFmt w:val="bullet"/>
      <w:lvlText w:val="•"/>
      <w:lvlJc w:val="left"/>
      <w:pPr>
        <w:ind w:left="2977" w:hanging="225"/>
      </w:pPr>
      <w:rPr>
        <w:rFonts w:hint="default"/>
        <w:lang w:val="es-ES" w:eastAsia="en-US" w:bidi="ar-SA"/>
      </w:rPr>
    </w:lvl>
    <w:lvl w:ilvl="3" w:tplc="7222E472">
      <w:numFmt w:val="bullet"/>
      <w:lvlText w:val="•"/>
      <w:lvlJc w:val="left"/>
      <w:pPr>
        <w:ind w:left="3916" w:hanging="225"/>
      </w:pPr>
      <w:rPr>
        <w:rFonts w:hint="default"/>
        <w:lang w:val="es-ES" w:eastAsia="en-US" w:bidi="ar-SA"/>
      </w:rPr>
    </w:lvl>
    <w:lvl w:ilvl="4" w:tplc="8594F702">
      <w:numFmt w:val="bullet"/>
      <w:lvlText w:val="•"/>
      <w:lvlJc w:val="left"/>
      <w:pPr>
        <w:ind w:left="4855" w:hanging="225"/>
      </w:pPr>
      <w:rPr>
        <w:rFonts w:hint="default"/>
        <w:lang w:val="es-ES" w:eastAsia="en-US" w:bidi="ar-SA"/>
      </w:rPr>
    </w:lvl>
    <w:lvl w:ilvl="5" w:tplc="AEC8B4F6">
      <w:numFmt w:val="bullet"/>
      <w:lvlText w:val="•"/>
      <w:lvlJc w:val="left"/>
      <w:pPr>
        <w:ind w:left="5794" w:hanging="225"/>
      </w:pPr>
      <w:rPr>
        <w:rFonts w:hint="default"/>
        <w:lang w:val="es-ES" w:eastAsia="en-US" w:bidi="ar-SA"/>
      </w:rPr>
    </w:lvl>
    <w:lvl w:ilvl="6" w:tplc="D6D8BDEC">
      <w:numFmt w:val="bullet"/>
      <w:lvlText w:val="•"/>
      <w:lvlJc w:val="left"/>
      <w:pPr>
        <w:ind w:left="6733" w:hanging="225"/>
      </w:pPr>
      <w:rPr>
        <w:rFonts w:hint="default"/>
        <w:lang w:val="es-ES" w:eastAsia="en-US" w:bidi="ar-SA"/>
      </w:rPr>
    </w:lvl>
    <w:lvl w:ilvl="7" w:tplc="7FBCCEC6">
      <w:numFmt w:val="bullet"/>
      <w:lvlText w:val="•"/>
      <w:lvlJc w:val="left"/>
      <w:pPr>
        <w:ind w:left="7672" w:hanging="225"/>
      </w:pPr>
      <w:rPr>
        <w:rFonts w:hint="default"/>
        <w:lang w:val="es-ES" w:eastAsia="en-US" w:bidi="ar-SA"/>
      </w:rPr>
    </w:lvl>
    <w:lvl w:ilvl="8" w:tplc="2C34160A">
      <w:numFmt w:val="bullet"/>
      <w:lvlText w:val="•"/>
      <w:lvlJc w:val="left"/>
      <w:pPr>
        <w:ind w:left="8611" w:hanging="225"/>
      </w:pPr>
      <w:rPr>
        <w:rFonts w:hint="default"/>
        <w:lang w:val="es-ES" w:eastAsia="en-US" w:bidi="ar-SA"/>
      </w:rPr>
    </w:lvl>
  </w:abstractNum>
  <w:abstractNum w:abstractNumId="149" w15:restartNumberingAfterBreak="0">
    <w:nsid w:val="3A4B108E"/>
    <w:multiLevelType w:val="hybridMultilevel"/>
    <w:tmpl w:val="82AEE496"/>
    <w:lvl w:ilvl="0" w:tplc="DD0E1ED6">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42227896">
      <w:numFmt w:val="bullet"/>
      <w:lvlText w:val="•"/>
      <w:lvlJc w:val="left"/>
      <w:pPr>
        <w:ind w:left="2038" w:hanging="225"/>
      </w:pPr>
      <w:rPr>
        <w:rFonts w:hint="default"/>
        <w:lang w:val="es-ES" w:eastAsia="en-US" w:bidi="ar-SA"/>
      </w:rPr>
    </w:lvl>
    <w:lvl w:ilvl="2" w:tplc="782CA440">
      <w:numFmt w:val="bullet"/>
      <w:lvlText w:val="•"/>
      <w:lvlJc w:val="left"/>
      <w:pPr>
        <w:ind w:left="2977" w:hanging="225"/>
      </w:pPr>
      <w:rPr>
        <w:rFonts w:hint="default"/>
        <w:lang w:val="es-ES" w:eastAsia="en-US" w:bidi="ar-SA"/>
      </w:rPr>
    </w:lvl>
    <w:lvl w:ilvl="3" w:tplc="B9CC3704">
      <w:numFmt w:val="bullet"/>
      <w:lvlText w:val="•"/>
      <w:lvlJc w:val="left"/>
      <w:pPr>
        <w:ind w:left="3916" w:hanging="225"/>
      </w:pPr>
      <w:rPr>
        <w:rFonts w:hint="default"/>
        <w:lang w:val="es-ES" w:eastAsia="en-US" w:bidi="ar-SA"/>
      </w:rPr>
    </w:lvl>
    <w:lvl w:ilvl="4" w:tplc="E310633E">
      <w:numFmt w:val="bullet"/>
      <w:lvlText w:val="•"/>
      <w:lvlJc w:val="left"/>
      <w:pPr>
        <w:ind w:left="4855" w:hanging="225"/>
      </w:pPr>
      <w:rPr>
        <w:rFonts w:hint="default"/>
        <w:lang w:val="es-ES" w:eastAsia="en-US" w:bidi="ar-SA"/>
      </w:rPr>
    </w:lvl>
    <w:lvl w:ilvl="5" w:tplc="CCA8E9DA">
      <w:numFmt w:val="bullet"/>
      <w:lvlText w:val="•"/>
      <w:lvlJc w:val="left"/>
      <w:pPr>
        <w:ind w:left="5794" w:hanging="225"/>
      </w:pPr>
      <w:rPr>
        <w:rFonts w:hint="default"/>
        <w:lang w:val="es-ES" w:eastAsia="en-US" w:bidi="ar-SA"/>
      </w:rPr>
    </w:lvl>
    <w:lvl w:ilvl="6" w:tplc="D16801EE">
      <w:numFmt w:val="bullet"/>
      <w:lvlText w:val="•"/>
      <w:lvlJc w:val="left"/>
      <w:pPr>
        <w:ind w:left="6733" w:hanging="225"/>
      </w:pPr>
      <w:rPr>
        <w:rFonts w:hint="default"/>
        <w:lang w:val="es-ES" w:eastAsia="en-US" w:bidi="ar-SA"/>
      </w:rPr>
    </w:lvl>
    <w:lvl w:ilvl="7" w:tplc="63FE5F4A">
      <w:numFmt w:val="bullet"/>
      <w:lvlText w:val="•"/>
      <w:lvlJc w:val="left"/>
      <w:pPr>
        <w:ind w:left="7672" w:hanging="225"/>
      </w:pPr>
      <w:rPr>
        <w:rFonts w:hint="default"/>
        <w:lang w:val="es-ES" w:eastAsia="en-US" w:bidi="ar-SA"/>
      </w:rPr>
    </w:lvl>
    <w:lvl w:ilvl="8" w:tplc="20D624B4">
      <w:numFmt w:val="bullet"/>
      <w:lvlText w:val="•"/>
      <w:lvlJc w:val="left"/>
      <w:pPr>
        <w:ind w:left="8611" w:hanging="225"/>
      </w:pPr>
      <w:rPr>
        <w:rFonts w:hint="default"/>
        <w:lang w:val="es-ES" w:eastAsia="en-US" w:bidi="ar-SA"/>
      </w:rPr>
    </w:lvl>
  </w:abstractNum>
  <w:abstractNum w:abstractNumId="150" w15:restartNumberingAfterBreak="0">
    <w:nsid w:val="3A632BAC"/>
    <w:multiLevelType w:val="hybridMultilevel"/>
    <w:tmpl w:val="60F63092"/>
    <w:lvl w:ilvl="0" w:tplc="AD40F2C4">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E7EA95CA">
      <w:start w:val="1"/>
      <w:numFmt w:val="lowerLetter"/>
      <w:lvlText w:val="%2)"/>
      <w:lvlJc w:val="left"/>
      <w:pPr>
        <w:ind w:left="1106" w:hanging="259"/>
        <w:jc w:val="left"/>
      </w:pPr>
      <w:rPr>
        <w:rFonts w:ascii="Arial MT" w:eastAsia="Arial MT" w:hAnsi="Arial MT" w:cs="Arial MT" w:hint="default"/>
        <w:b w:val="0"/>
        <w:bCs w:val="0"/>
        <w:i w:val="0"/>
        <w:iCs w:val="0"/>
        <w:spacing w:val="0"/>
        <w:w w:val="100"/>
        <w:sz w:val="20"/>
        <w:szCs w:val="20"/>
        <w:lang w:val="es-ES" w:eastAsia="en-US" w:bidi="ar-SA"/>
      </w:rPr>
    </w:lvl>
    <w:lvl w:ilvl="2" w:tplc="E2F6A4A4">
      <w:numFmt w:val="bullet"/>
      <w:lvlText w:val="•"/>
      <w:lvlJc w:val="left"/>
      <w:pPr>
        <w:ind w:left="2977" w:hanging="259"/>
      </w:pPr>
      <w:rPr>
        <w:rFonts w:hint="default"/>
        <w:lang w:val="es-ES" w:eastAsia="en-US" w:bidi="ar-SA"/>
      </w:rPr>
    </w:lvl>
    <w:lvl w:ilvl="3" w:tplc="958C83C0">
      <w:numFmt w:val="bullet"/>
      <w:lvlText w:val="•"/>
      <w:lvlJc w:val="left"/>
      <w:pPr>
        <w:ind w:left="3916" w:hanging="259"/>
      </w:pPr>
      <w:rPr>
        <w:rFonts w:hint="default"/>
        <w:lang w:val="es-ES" w:eastAsia="en-US" w:bidi="ar-SA"/>
      </w:rPr>
    </w:lvl>
    <w:lvl w:ilvl="4" w:tplc="FE4423F8">
      <w:numFmt w:val="bullet"/>
      <w:lvlText w:val="•"/>
      <w:lvlJc w:val="left"/>
      <w:pPr>
        <w:ind w:left="4855" w:hanging="259"/>
      </w:pPr>
      <w:rPr>
        <w:rFonts w:hint="default"/>
        <w:lang w:val="es-ES" w:eastAsia="en-US" w:bidi="ar-SA"/>
      </w:rPr>
    </w:lvl>
    <w:lvl w:ilvl="5" w:tplc="3B720C48">
      <w:numFmt w:val="bullet"/>
      <w:lvlText w:val="•"/>
      <w:lvlJc w:val="left"/>
      <w:pPr>
        <w:ind w:left="5794" w:hanging="259"/>
      </w:pPr>
      <w:rPr>
        <w:rFonts w:hint="default"/>
        <w:lang w:val="es-ES" w:eastAsia="en-US" w:bidi="ar-SA"/>
      </w:rPr>
    </w:lvl>
    <w:lvl w:ilvl="6" w:tplc="682A7F4A">
      <w:numFmt w:val="bullet"/>
      <w:lvlText w:val="•"/>
      <w:lvlJc w:val="left"/>
      <w:pPr>
        <w:ind w:left="6733" w:hanging="259"/>
      </w:pPr>
      <w:rPr>
        <w:rFonts w:hint="default"/>
        <w:lang w:val="es-ES" w:eastAsia="en-US" w:bidi="ar-SA"/>
      </w:rPr>
    </w:lvl>
    <w:lvl w:ilvl="7" w:tplc="A832169C">
      <w:numFmt w:val="bullet"/>
      <w:lvlText w:val="•"/>
      <w:lvlJc w:val="left"/>
      <w:pPr>
        <w:ind w:left="7672" w:hanging="259"/>
      </w:pPr>
      <w:rPr>
        <w:rFonts w:hint="default"/>
        <w:lang w:val="es-ES" w:eastAsia="en-US" w:bidi="ar-SA"/>
      </w:rPr>
    </w:lvl>
    <w:lvl w:ilvl="8" w:tplc="BE846E9C">
      <w:numFmt w:val="bullet"/>
      <w:lvlText w:val="•"/>
      <w:lvlJc w:val="left"/>
      <w:pPr>
        <w:ind w:left="8611" w:hanging="259"/>
      </w:pPr>
      <w:rPr>
        <w:rFonts w:hint="default"/>
        <w:lang w:val="es-ES" w:eastAsia="en-US" w:bidi="ar-SA"/>
      </w:rPr>
    </w:lvl>
  </w:abstractNum>
  <w:abstractNum w:abstractNumId="151" w15:restartNumberingAfterBreak="0">
    <w:nsid w:val="3A894A13"/>
    <w:multiLevelType w:val="hybridMultilevel"/>
    <w:tmpl w:val="F02A45F0"/>
    <w:lvl w:ilvl="0" w:tplc="815E6C64">
      <w:start w:val="1"/>
      <w:numFmt w:val="decimal"/>
      <w:lvlText w:val="%1."/>
      <w:lvlJc w:val="left"/>
      <w:pPr>
        <w:ind w:left="1106" w:hanging="244"/>
        <w:jc w:val="left"/>
      </w:pPr>
      <w:rPr>
        <w:rFonts w:ascii="Arial MT" w:eastAsia="Arial MT" w:hAnsi="Arial MT" w:cs="Arial MT" w:hint="default"/>
        <w:b w:val="0"/>
        <w:bCs w:val="0"/>
        <w:i w:val="0"/>
        <w:iCs w:val="0"/>
        <w:spacing w:val="0"/>
        <w:w w:val="100"/>
        <w:sz w:val="20"/>
        <w:szCs w:val="20"/>
        <w:lang w:val="es-ES" w:eastAsia="en-US" w:bidi="ar-SA"/>
      </w:rPr>
    </w:lvl>
    <w:lvl w:ilvl="1" w:tplc="B7D059F6">
      <w:numFmt w:val="bullet"/>
      <w:lvlText w:val="•"/>
      <w:lvlJc w:val="left"/>
      <w:pPr>
        <w:ind w:left="2038" w:hanging="244"/>
      </w:pPr>
      <w:rPr>
        <w:rFonts w:hint="default"/>
        <w:lang w:val="es-ES" w:eastAsia="en-US" w:bidi="ar-SA"/>
      </w:rPr>
    </w:lvl>
    <w:lvl w:ilvl="2" w:tplc="90602870">
      <w:numFmt w:val="bullet"/>
      <w:lvlText w:val="•"/>
      <w:lvlJc w:val="left"/>
      <w:pPr>
        <w:ind w:left="2977" w:hanging="244"/>
      </w:pPr>
      <w:rPr>
        <w:rFonts w:hint="default"/>
        <w:lang w:val="es-ES" w:eastAsia="en-US" w:bidi="ar-SA"/>
      </w:rPr>
    </w:lvl>
    <w:lvl w:ilvl="3" w:tplc="B112713A">
      <w:numFmt w:val="bullet"/>
      <w:lvlText w:val="•"/>
      <w:lvlJc w:val="left"/>
      <w:pPr>
        <w:ind w:left="3916" w:hanging="244"/>
      </w:pPr>
      <w:rPr>
        <w:rFonts w:hint="default"/>
        <w:lang w:val="es-ES" w:eastAsia="en-US" w:bidi="ar-SA"/>
      </w:rPr>
    </w:lvl>
    <w:lvl w:ilvl="4" w:tplc="28C8D486">
      <w:numFmt w:val="bullet"/>
      <w:lvlText w:val="•"/>
      <w:lvlJc w:val="left"/>
      <w:pPr>
        <w:ind w:left="4855" w:hanging="244"/>
      </w:pPr>
      <w:rPr>
        <w:rFonts w:hint="default"/>
        <w:lang w:val="es-ES" w:eastAsia="en-US" w:bidi="ar-SA"/>
      </w:rPr>
    </w:lvl>
    <w:lvl w:ilvl="5" w:tplc="B5A294CA">
      <w:numFmt w:val="bullet"/>
      <w:lvlText w:val="•"/>
      <w:lvlJc w:val="left"/>
      <w:pPr>
        <w:ind w:left="5794" w:hanging="244"/>
      </w:pPr>
      <w:rPr>
        <w:rFonts w:hint="default"/>
        <w:lang w:val="es-ES" w:eastAsia="en-US" w:bidi="ar-SA"/>
      </w:rPr>
    </w:lvl>
    <w:lvl w:ilvl="6" w:tplc="86E803EC">
      <w:numFmt w:val="bullet"/>
      <w:lvlText w:val="•"/>
      <w:lvlJc w:val="left"/>
      <w:pPr>
        <w:ind w:left="6733" w:hanging="244"/>
      </w:pPr>
      <w:rPr>
        <w:rFonts w:hint="default"/>
        <w:lang w:val="es-ES" w:eastAsia="en-US" w:bidi="ar-SA"/>
      </w:rPr>
    </w:lvl>
    <w:lvl w:ilvl="7" w:tplc="BE5A0A3E">
      <w:numFmt w:val="bullet"/>
      <w:lvlText w:val="•"/>
      <w:lvlJc w:val="left"/>
      <w:pPr>
        <w:ind w:left="7672" w:hanging="244"/>
      </w:pPr>
      <w:rPr>
        <w:rFonts w:hint="default"/>
        <w:lang w:val="es-ES" w:eastAsia="en-US" w:bidi="ar-SA"/>
      </w:rPr>
    </w:lvl>
    <w:lvl w:ilvl="8" w:tplc="5BBA749A">
      <w:numFmt w:val="bullet"/>
      <w:lvlText w:val="•"/>
      <w:lvlJc w:val="left"/>
      <w:pPr>
        <w:ind w:left="8611" w:hanging="244"/>
      </w:pPr>
      <w:rPr>
        <w:rFonts w:hint="default"/>
        <w:lang w:val="es-ES" w:eastAsia="en-US" w:bidi="ar-SA"/>
      </w:rPr>
    </w:lvl>
  </w:abstractNum>
  <w:abstractNum w:abstractNumId="152" w15:restartNumberingAfterBreak="0">
    <w:nsid w:val="3AD71687"/>
    <w:multiLevelType w:val="hybridMultilevel"/>
    <w:tmpl w:val="C410569E"/>
    <w:lvl w:ilvl="0" w:tplc="6CC89F28">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5702380C">
      <w:start w:val="1"/>
      <w:numFmt w:val="lowerLetter"/>
      <w:lvlText w:val="%2)"/>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2" w:tplc="732E0784">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BFF0F7D4">
      <w:numFmt w:val="bullet"/>
      <w:lvlText w:val="•"/>
      <w:lvlJc w:val="left"/>
      <w:pPr>
        <w:ind w:left="3916" w:hanging="168"/>
      </w:pPr>
      <w:rPr>
        <w:rFonts w:hint="default"/>
        <w:lang w:val="es-ES" w:eastAsia="en-US" w:bidi="ar-SA"/>
      </w:rPr>
    </w:lvl>
    <w:lvl w:ilvl="4" w:tplc="492471D8">
      <w:numFmt w:val="bullet"/>
      <w:lvlText w:val="•"/>
      <w:lvlJc w:val="left"/>
      <w:pPr>
        <w:ind w:left="4855" w:hanging="168"/>
      </w:pPr>
      <w:rPr>
        <w:rFonts w:hint="default"/>
        <w:lang w:val="es-ES" w:eastAsia="en-US" w:bidi="ar-SA"/>
      </w:rPr>
    </w:lvl>
    <w:lvl w:ilvl="5" w:tplc="DCA67202">
      <w:numFmt w:val="bullet"/>
      <w:lvlText w:val="•"/>
      <w:lvlJc w:val="left"/>
      <w:pPr>
        <w:ind w:left="5794" w:hanging="168"/>
      </w:pPr>
      <w:rPr>
        <w:rFonts w:hint="default"/>
        <w:lang w:val="es-ES" w:eastAsia="en-US" w:bidi="ar-SA"/>
      </w:rPr>
    </w:lvl>
    <w:lvl w:ilvl="6" w:tplc="266C448E">
      <w:numFmt w:val="bullet"/>
      <w:lvlText w:val="•"/>
      <w:lvlJc w:val="left"/>
      <w:pPr>
        <w:ind w:left="6733" w:hanging="168"/>
      </w:pPr>
      <w:rPr>
        <w:rFonts w:hint="default"/>
        <w:lang w:val="es-ES" w:eastAsia="en-US" w:bidi="ar-SA"/>
      </w:rPr>
    </w:lvl>
    <w:lvl w:ilvl="7" w:tplc="534AA4F2">
      <w:numFmt w:val="bullet"/>
      <w:lvlText w:val="•"/>
      <w:lvlJc w:val="left"/>
      <w:pPr>
        <w:ind w:left="7672" w:hanging="168"/>
      </w:pPr>
      <w:rPr>
        <w:rFonts w:hint="default"/>
        <w:lang w:val="es-ES" w:eastAsia="en-US" w:bidi="ar-SA"/>
      </w:rPr>
    </w:lvl>
    <w:lvl w:ilvl="8" w:tplc="5B28788E">
      <w:numFmt w:val="bullet"/>
      <w:lvlText w:val="•"/>
      <w:lvlJc w:val="left"/>
      <w:pPr>
        <w:ind w:left="8611" w:hanging="168"/>
      </w:pPr>
      <w:rPr>
        <w:rFonts w:hint="default"/>
        <w:lang w:val="es-ES" w:eastAsia="en-US" w:bidi="ar-SA"/>
      </w:rPr>
    </w:lvl>
  </w:abstractNum>
  <w:abstractNum w:abstractNumId="153" w15:restartNumberingAfterBreak="0">
    <w:nsid w:val="3AF61EFC"/>
    <w:multiLevelType w:val="hybridMultilevel"/>
    <w:tmpl w:val="C9125BC4"/>
    <w:lvl w:ilvl="0" w:tplc="FC5AA872">
      <w:start w:val="1"/>
      <w:numFmt w:val="decimal"/>
      <w:lvlText w:val="%1."/>
      <w:lvlJc w:val="left"/>
      <w:pPr>
        <w:ind w:left="1106" w:hanging="279"/>
        <w:jc w:val="left"/>
      </w:pPr>
      <w:rPr>
        <w:rFonts w:ascii="Arial MT" w:eastAsia="Arial MT" w:hAnsi="Arial MT" w:cs="Arial MT" w:hint="default"/>
        <w:b w:val="0"/>
        <w:bCs w:val="0"/>
        <w:i w:val="0"/>
        <w:iCs w:val="0"/>
        <w:spacing w:val="0"/>
        <w:w w:val="100"/>
        <w:sz w:val="20"/>
        <w:szCs w:val="20"/>
        <w:lang w:val="es-ES" w:eastAsia="en-US" w:bidi="ar-SA"/>
      </w:rPr>
    </w:lvl>
    <w:lvl w:ilvl="1" w:tplc="8E8282E8">
      <w:numFmt w:val="bullet"/>
      <w:lvlText w:val="•"/>
      <w:lvlJc w:val="left"/>
      <w:pPr>
        <w:ind w:left="2038" w:hanging="279"/>
      </w:pPr>
      <w:rPr>
        <w:rFonts w:hint="default"/>
        <w:lang w:val="es-ES" w:eastAsia="en-US" w:bidi="ar-SA"/>
      </w:rPr>
    </w:lvl>
    <w:lvl w:ilvl="2" w:tplc="96B8C090">
      <w:numFmt w:val="bullet"/>
      <w:lvlText w:val="•"/>
      <w:lvlJc w:val="left"/>
      <w:pPr>
        <w:ind w:left="2977" w:hanging="279"/>
      </w:pPr>
      <w:rPr>
        <w:rFonts w:hint="default"/>
        <w:lang w:val="es-ES" w:eastAsia="en-US" w:bidi="ar-SA"/>
      </w:rPr>
    </w:lvl>
    <w:lvl w:ilvl="3" w:tplc="FF505F68">
      <w:numFmt w:val="bullet"/>
      <w:lvlText w:val="•"/>
      <w:lvlJc w:val="left"/>
      <w:pPr>
        <w:ind w:left="3916" w:hanging="279"/>
      </w:pPr>
      <w:rPr>
        <w:rFonts w:hint="default"/>
        <w:lang w:val="es-ES" w:eastAsia="en-US" w:bidi="ar-SA"/>
      </w:rPr>
    </w:lvl>
    <w:lvl w:ilvl="4" w:tplc="9856C66E">
      <w:numFmt w:val="bullet"/>
      <w:lvlText w:val="•"/>
      <w:lvlJc w:val="left"/>
      <w:pPr>
        <w:ind w:left="4855" w:hanging="279"/>
      </w:pPr>
      <w:rPr>
        <w:rFonts w:hint="default"/>
        <w:lang w:val="es-ES" w:eastAsia="en-US" w:bidi="ar-SA"/>
      </w:rPr>
    </w:lvl>
    <w:lvl w:ilvl="5" w:tplc="F9E20D92">
      <w:numFmt w:val="bullet"/>
      <w:lvlText w:val="•"/>
      <w:lvlJc w:val="left"/>
      <w:pPr>
        <w:ind w:left="5794" w:hanging="279"/>
      </w:pPr>
      <w:rPr>
        <w:rFonts w:hint="default"/>
        <w:lang w:val="es-ES" w:eastAsia="en-US" w:bidi="ar-SA"/>
      </w:rPr>
    </w:lvl>
    <w:lvl w:ilvl="6" w:tplc="FF783EE8">
      <w:numFmt w:val="bullet"/>
      <w:lvlText w:val="•"/>
      <w:lvlJc w:val="left"/>
      <w:pPr>
        <w:ind w:left="6733" w:hanging="279"/>
      </w:pPr>
      <w:rPr>
        <w:rFonts w:hint="default"/>
        <w:lang w:val="es-ES" w:eastAsia="en-US" w:bidi="ar-SA"/>
      </w:rPr>
    </w:lvl>
    <w:lvl w:ilvl="7" w:tplc="B1C8B30E">
      <w:numFmt w:val="bullet"/>
      <w:lvlText w:val="•"/>
      <w:lvlJc w:val="left"/>
      <w:pPr>
        <w:ind w:left="7672" w:hanging="279"/>
      </w:pPr>
      <w:rPr>
        <w:rFonts w:hint="default"/>
        <w:lang w:val="es-ES" w:eastAsia="en-US" w:bidi="ar-SA"/>
      </w:rPr>
    </w:lvl>
    <w:lvl w:ilvl="8" w:tplc="9B44095A">
      <w:numFmt w:val="bullet"/>
      <w:lvlText w:val="•"/>
      <w:lvlJc w:val="left"/>
      <w:pPr>
        <w:ind w:left="8611" w:hanging="279"/>
      </w:pPr>
      <w:rPr>
        <w:rFonts w:hint="default"/>
        <w:lang w:val="es-ES" w:eastAsia="en-US" w:bidi="ar-SA"/>
      </w:rPr>
    </w:lvl>
  </w:abstractNum>
  <w:abstractNum w:abstractNumId="154" w15:restartNumberingAfterBreak="0">
    <w:nsid w:val="3B48689E"/>
    <w:multiLevelType w:val="hybridMultilevel"/>
    <w:tmpl w:val="60B0C102"/>
    <w:lvl w:ilvl="0" w:tplc="0D1E8B04">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9C283882">
      <w:start w:val="1"/>
      <w:numFmt w:val="lowerLetter"/>
      <w:lvlText w:val="%2)"/>
      <w:lvlJc w:val="left"/>
      <w:pPr>
        <w:ind w:left="1106" w:hanging="238"/>
        <w:jc w:val="left"/>
      </w:pPr>
      <w:rPr>
        <w:rFonts w:ascii="Arial MT" w:eastAsia="Arial MT" w:hAnsi="Arial MT" w:cs="Arial MT" w:hint="default"/>
        <w:b w:val="0"/>
        <w:bCs w:val="0"/>
        <w:i w:val="0"/>
        <w:iCs w:val="0"/>
        <w:spacing w:val="0"/>
        <w:w w:val="100"/>
        <w:sz w:val="20"/>
        <w:szCs w:val="20"/>
        <w:lang w:val="es-ES" w:eastAsia="en-US" w:bidi="ar-SA"/>
      </w:rPr>
    </w:lvl>
    <w:lvl w:ilvl="2" w:tplc="5BC2AEE4">
      <w:numFmt w:val="bullet"/>
      <w:lvlText w:val="•"/>
      <w:lvlJc w:val="left"/>
      <w:pPr>
        <w:ind w:left="2977" w:hanging="238"/>
      </w:pPr>
      <w:rPr>
        <w:rFonts w:hint="default"/>
        <w:lang w:val="es-ES" w:eastAsia="en-US" w:bidi="ar-SA"/>
      </w:rPr>
    </w:lvl>
    <w:lvl w:ilvl="3" w:tplc="F0D810A2">
      <w:numFmt w:val="bullet"/>
      <w:lvlText w:val="•"/>
      <w:lvlJc w:val="left"/>
      <w:pPr>
        <w:ind w:left="3916" w:hanging="238"/>
      </w:pPr>
      <w:rPr>
        <w:rFonts w:hint="default"/>
        <w:lang w:val="es-ES" w:eastAsia="en-US" w:bidi="ar-SA"/>
      </w:rPr>
    </w:lvl>
    <w:lvl w:ilvl="4" w:tplc="807A4E14">
      <w:numFmt w:val="bullet"/>
      <w:lvlText w:val="•"/>
      <w:lvlJc w:val="left"/>
      <w:pPr>
        <w:ind w:left="4855" w:hanging="238"/>
      </w:pPr>
      <w:rPr>
        <w:rFonts w:hint="default"/>
        <w:lang w:val="es-ES" w:eastAsia="en-US" w:bidi="ar-SA"/>
      </w:rPr>
    </w:lvl>
    <w:lvl w:ilvl="5" w:tplc="CF022672">
      <w:numFmt w:val="bullet"/>
      <w:lvlText w:val="•"/>
      <w:lvlJc w:val="left"/>
      <w:pPr>
        <w:ind w:left="5794" w:hanging="238"/>
      </w:pPr>
      <w:rPr>
        <w:rFonts w:hint="default"/>
        <w:lang w:val="es-ES" w:eastAsia="en-US" w:bidi="ar-SA"/>
      </w:rPr>
    </w:lvl>
    <w:lvl w:ilvl="6" w:tplc="25F21048">
      <w:numFmt w:val="bullet"/>
      <w:lvlText w:val="•"/>
      <w:lvlJc w:val="left"/>
      <w:pPr>
        <w:ind w:left="6733" w:hanging="238"/>
      </w:pPr>
      <w:rPr>
        <w:rFonts w:hint="default"/>
        <w:lang w:val="es-ES" w:eastAsia="en-US" w:bidi="ar-SA"/>
      </w:rPr>
    </w:lvl>
    <w:lvl w:ilvl="7" w:tplc="E0D2774C">
      <w:numFmt w:val="bullet"/>
      <w:lvlText w:val="•"/>
      <w:lvlJc w:val="left"/>
      <w:pPr>
        <w:ind w:left="7672" w:hanging="238"/>
      </w:pPr>
      <w:rPr>
        <w:rFonts w:hint="default"/>
        <w:lang w:val="es-ES" w:eastAsia="en-US" w:bidi="ar-SA"/>
      </w:rPr>
    </w:lvl>
    <w:lvl w:ilvl="8" w:tplc="3F90CD8E">
      <w:numFmt w:val="bullet"/>
      <w:lvlText w:val="•"/>
      <w:lvlJc w:val="left"/>
      <w:pPr>
        <w:ind w:left="8611" w:hanging="238"/>
      </w:pPr>
      <w:rPr>
        <w:rFonts w:hint="default"/>
        <w:lang w:val="es-ES" w:eastAsia="en-US" w:bidi="ar-SA"/>
      </w:rPr>
    </w:lvl>
  </w:abstractNum>
  <w:abstractNum w:abstractNumId="155" w15:restartNumberingAfterBreak="0">
    <w:nsid w:val="3B7D6382"/>
    <w:multiLevelType w:val="hybridMultilevel"/>
    <w:tmpl w:val="87AEC1C8"/>
    <w:lvl w:ilvl="0" w:tplc="A7A289BC">
      <w:start w:val="1"/>
      <w:numFmt w:val="decimal"/>
      <w:lvlText w:val="%1."/>
      <w:lvlJc w:val="left"/>
      <w:pPr>
        <w:ind w:left="1106" w:hanging="316"/>
        <w:jc w:val="left"/>
      </w:pPr>
      <w:rPr>
        <w:rFonts w:ascii="Arial MT" w:eastAsia="Arial MT" w:hAnsi="Arial MT" w:cs="Arial MT" w:hint="default"/>
        <w:b w:val="0"/>
        <w:bCs w:val="0"/>
        <w:i w:val="0"/>
        <w:iCs w:val="0"/>
        <w:spacing w:val="0"/>
        <w:w w:val="100"/>
        <w:sz w:val="20"/>
        <w:szCs w:val="20"/>
        <w:lang w:val="es-ES" w:eastAsia="en-US" w:bidi="ar-SA"/>
      </w:rPr>
    </w:lvl>
    <w:lvl w:ilvl="1" w:tplc="8416CA1E">
      <w:start w:val="1"/>
      <w:numFmt w:val="lowerLetter"/>
      <w:lvlText w:val="%2)"/>
      <w:lvlJc w:val="left"/>
      <w:pPr>
        <w:ind w:left="1106" w:hanging="267"/>
        <w:jc w:val="left"/>
      </w:pPr>
      <w:rPr>
        <w:rFonts w:ascii="Arial MT" w:eastAsia="Arial MT" w:hAnsi="Arial MT" w:cs="Arial MT" w:hint="default"/>
        <w:b w:val="0"/>
        <w:bCs w:val="0"/>
        <w:i w:val="0"/>
        <w:iCs w:val="0"/>
        <w:spacing w:val="0"/>
        <w:w w:val="100"/>
        <w:sz w:val="20"/>
        <w:szCs w:val="20"/>
        <w:lang w:val="es-ES" w:eastAsia="en-US" w:bidi="ar-SA"/>
      </w:rPr>
    </w:lvl>
    <w:lvl w:ilvl="2" w:tplc="9E56E7F4">
      <w:numFmt w:val="bullet"/>
      <w:lvlText w:val="•"/>
      <w:lvlJc w:val="left"/>
      <w:pPr>
        <w:ind w:left="2977" w:hanging="267"/>
      </w:pPr>
      <w:rPr>
        <w:rFonts w:hint="default"/>
        <w:lang w:val="es-ES" w:eastAsia="en-US" w:bidi="ar-SA"/>
      </w:rPr>
    </w:lvl>
    <w:lvl w:ilvl="3" w:tplc="3F1A49C6">
      <w:numFmt w:val="bullet"/>
      <w:lvlText w:val="•"/>
      <w:lvlJc w:val="left"/>
      <w:pPr>
        <w:ind w:left="3916" w:hanging="267"/>
      </w:pPr>
      <w:rPr>
        <w:rFonts w:hint="default"/>
        <w:lang w:val="es-ES" w:eastAsia="en-US" w:bidi="ar-SA"/>
      </w:rPr>
    </w:lvl>
    <w:lvl w:ilvl="4" w:tplc="8E46B2B6">
      <w:numFmt w:val="bullet"/>
      <w:lvlText w:val="•"/>
      <w:lvlJc w:val="left"/>
      <w:pPr>
        <w:ind w:left="4855" w:hanging="267"/>
      </w:pPr>
      <w:rPr>
        <w:rFonts w:hint="default"/>
        <w:lang w:val="es-ES" w:eastAsia="en-US" w:bidi="ar-SA"/>
      </w:rPr>
    </w:lvl>
    <w:lvl w:ilvl="5" w:tplc="953EF16E">
      <w:numFmt w:val="bullet"/>
      <w:lvlText w:val="•"/>
      <w:lvlJc w:val="left"/>
      <w:pPr>
        <w:ind w:left="5794" w:hanging="267"/>
      </w:pPr>
      <w:rPr>
        <w:rFonts w:hint="default"/>
        <w:lang w:val="es-ES" w:eastAsia="en-US" w:bidi="ar-SA"/>
      </w:rPr>
    </w:lvl>
    <w:lvl w:ilvl="6" w:tplc="A490ADFE">
      <w:numFmt w:val="bullet"/>
      <w:lvlText w:val="•"/>
      <w:lvlJc w:val="left"/>
      <w:pPr>
        <w:ind w:left="6733" w:hanging="267"/>
      </w:pPr>
      <w:rPr>
        <w:rFonts w:hint="default"/>
        <w:lang w:val="es-ES" w:eastAsia="en-US" w:bidi="ar-SA"/>
      </w:rPr>
    </w:lvl>
    <w:lvl w:ilvl="7" w:tplc="7130D70C">
      <w:numFmt w:val="bullet"/>
      <w:lvlText w:val="•"/>
      <w:lvlJc w:val="left"/>
      <w:pPr>
        <w:ind w:left="7672" w:hanging="267"/>
      </w:pPr>
      <w:rPr>
        <w:rFonts w:hint="default"/>
        <w:lang w:val="es-ES" w:eastAsia="en-US" w:bidi="ar-SA"/>
      </w:rPr>
    </w:lvl>
    <w:lvl w:ilvl="8" w:tplc="626A117C">
      <w:numFmt w:val="bullet"/>
      <w:lvlText w:val="•"/>
      <w:lvlJc w:val="left"/>
      <w:pPr>
        <w:ind w:left="8611" w:hanging="267"/>
      </w:pPr>
      <w:rPr>
        <w:rFonts w:hint="default"/>
        <w:lang w:val="es-ES" w:eastAsia="en-US" w:bidi="ar-SA"/>
      </w:rPr>
    </w:lvl>
  </w:abstractNum>
  <w:abstractNum w:abstractNumId="156" w15:restartNumberingAfterBreak="0">
    <w:nsid w:val="3BFD076E"/>
    <w:multiLevelType w:val="hybridMultilevel"/>
    <w:tmpl w:val="61F6ACCE"/>
    <w:lvl w:ilvl="0" w:tplc="F27C156A">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C6A0A30A">
      <w:numFmt w:val="bullet"/>
      <w:lvlText w:val="•"/>
      <w:lvlJc w:val="left"/>
      <w:pPr>
        <w:ind w:left="2038" w:hanging="245"/>
      </w:pPr>
      <w:rPr>
        <w:rFonts w:hint="default"/>
        <w:lang w:val="es-ES" w:eastAsia="en-US" w:bidi="ar-SA"/>
      </w:rPr>
    </w:lvl>
    <w:lvl w:ilvl="2" w:tplc="426C7D3E">
      <w:numFmt w:val="bullet"/>
      <w:lvlText w:val="•"/>
      <w:lvlJc w:val="left"/>
      <w:pPr>
        <w:ind w:left="2977" w:hanging="245"/>
      </w:pPr>
      <w:rPr>
        <w:rFonts w:hint="default"/>
        <w:lang w:val="es-ES" w:eastAsia="en-US" w:bidi="ar-SA"/>
      </w:rPr>
    </w:lvl>
    <w:lvl w:ilvl="3" w:tplc="344CD99C">
      <w:numFmt w:val="bullet"/>
      <w:lvlText w:val="•"/>
      <w:lvlJc w:val="left"/>
      <w:pPr>
        <w:ind w:left="3916" w:hanging="245"/>
      </w:pPr>
      <w:rPr>
        <w:rFonts w:hint="default"/>
        <w:lang w:val="es-ES" w:eastAsia="en-US" w:bidi="ar-SA"/>
      </w:rPr>
    </w:lvl>
    <w:lvl w:ilvl="4" w:tplc="B720D5B2">
      <w:numFmt w:val="bullet"/>
      <w:lvlText w:val="•"/>
      <w:lvlJc w:val="left"/>
      <w:pPr>
        <w:ind w:left="4855" w:hanging="245"/>
      </w:pPr>
      <w:rPr>
        <w:rFonts w:hint="default"/>
        <w:lang w:val="es-ES" w:eastAsia="en-US" w:bidi="ar-SA"/>
      </w:rPr>
    </w:lvl>
    <w:lvl w:ilvl="5" w:tplc="C1567BA6">
      <w:numFmt w:val="bullet"/>
      <w:lvlText w:val="•"/>
      <w:lvlJc w:val="left"/>
      <w:pPr>
        <w:ind w:left="5794" w:hanging="245"/>
      </w:pPr>
      <w:rPr>
        <w:rFonts w:hint="default"/>
        <w:lang w:val="es-ES" w:eastAsia="en-US" w:bidi="ar-SA"/>
      </w:rPr>
    </w:lvl>
    <w:lvl w:ilvl="6" w:tplc="EC3AEAE6">
      <w:numFmt w:val="bullet"/>
      <w:lvlText w:val="•"/>
      <w:lvlJc w:val="left"/>
      <w:pPr>
        <w:ind w:left="6733" w:hanging="245"/>
      </w:pPr>
      <w:rPr>
        <w:rFonts w:hint="default"/>
        <w:lang w:val="es-ES" w:eastAsia="en-US" w:bidi="ar-SA"/>
      </w:rPr>
    </w:lvl>
    <w:lvl w:ilvl="7" w:tplc="2E8298EC">
      <w:numFmt w:val="bullet"/>
      <w:lvlText w:val="•"/>
      <w:lvlJc w:val="left"/>
      <w:pPr>
        <w:ind w:left="7672" w:hanging="245"/>
      </w:pPr>
      <w:rPr>
        <w:rFonts w:hint="default"/>
        <w:lang w:val="es-ES" w:eastAsia="en-US" w:bidi="ar-SA"/>
      </w:rPr>
    </w:lvl>
    <w:lvl w:ilvl="8" w:tplc="2C9CE4AA">
      <w:numFmt w:val="bullet"/>
      <w:lvlText w:val="•"/>
      <w:lvlJc w:val="left"/>
      <w:pPr>
        <w:ind w:left="8611" w:hanging="245"/>
      </w:pPr>
      <w:rPr>
        <w:rFonts w:hint="default"/>
        <w:lang w:val="es-ES" w:eastAsia="en-US" w:bidi="ar-SA"/>
      </w:rPr>
    </w:lvl>
  </w:abstractNum>
  <w:abstractNum w:abstractNumId="157" w15:restartNumberingAfterBreak="0">
    <w:nsid w:val="3CD911D1"/>
    <w:multiLevelType w:val="hybridMultilevel"/>
    <w:tmpl w:val="6C9AA868"/>
    <w:lvl w:ilvl="0" w:tplc="48B4A89C">
      <w:start w:val="1"/>
      <w:numFmt w:val="decimal"/>
      <w:lvlText w:val="%1."/>
      <w:lvlJc w:val="left"/>
      <w:pPr>
        <w:ind w:left="1106" w:hanging="381"/>
        <w:jc w:val="left"/>
      </w:pPr>
      <w:rPr>
        <w:rFonts w:ascii="Arial MT" w:eastAsia="Arial MT" w:hAnsi="Arial MT" w:cs="Arial MT" w:hint="default"/>
        <w:b w:val="0"/>
        <w:bCs w:val="0"/>
        <w:i w:val="0"/>
        <w:iCs w:val="0"/>
        <w:spacing w:val="0"/>
        <w:w w:val="100"/>
        <w:sz w:val="20"/>
        <w:szCs w:val="20"/>
        <w:lang w:val="es-ES" w:eastAsia="en-US" w:bidi="ar-SA"/>
      </w:rPr>
    </w:lvl>
    <w:lvl w:ilvl="1" w:tplc="19E83C26">
      <w:start w:val="1"/>
      <w:numFmt w:val="lowerLetter"/>
      <w:lvlText w:val="%2)"/>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2" w:tplc="DF86A82E">
      <w:numFmt w:val="bullet"/>
      <w:lvlText w:val="•"/>
      <w:lvlJc w:val="left"/>
      <w:pPr>
        <w:ind w:left="2977" w:hanging="245"/>
      </w:pPr>
      <w:rPr>
        <w:rFonts w:hint="default"/>
        <w:lang w:val="es-ES" w:eastAsia="en-US" w:bidi="ar-SA"/>
      </w:rPr>
    </w:lvl>
    <w:lvl w:ilvl="3" w:tplc="93C43C02">
      <w:numFmt w:val="bullet"/>
      <w:lvlText w:val="•"/>
      <w:lvlJc w:val="left"/>
      <w:pPr>
        <w:ind w:left="3916" w:hanging="245"/>
      </w:pPr>
      <w:rPr>
        <w:rFonts w:hint="default"/>
        <w:lang w:val="es-ES" w:eastAsia="en-US" w:bidi="ar-SA"/>
      </w:rPr>
    </w:lvl>
    <w:lvl w:ilvl="4" w:tplc="746026A4">
      <w:numFmt w:val="bullet"/>
      <w:lvlText w:val="•"/>
      <w:lvlJc w:val="left"/>
      <w:pPr>
        <w:ind w:left="4855" w:hanging="245"/>
      </w:pPr>
      <w:rPr>
        <w:rFonts w:hint="default"/>
        <w:lang w:val="es-ES" w:eastAsia="en-US" w:bidi="ar-SA"/>
      </w:rPr>
    </w:lvl>
    <w:lvl w:ilvl="5" w:tplc="C5E220DA">
      <w:numFmt w:val="bullet"/>
      <w:lvlText w:val="•"/>
      <w:lvlJc w:val="left"/>
      <w:pPr>
        <w:ind w:left="5794" w:hanging="245"/>
      </w:pPr>
      <w:rPr>
        <w:rFonts w:hint="default"/>
        <w:lang w:val="es-ES" w:eastAsia="en-US" w:bidi="ar-SA"/>
      </w:rPr>
    </w:lvl>
    <w:lvl w:ilvl="6" w:tplc="AB1A981A">
      <w:numFmt w:val="bullet"/>
      <w:lvlText w:val="•"/>
      <w:lvlJc w:val="left"/>
      <w:pPr>
        <w:ind w:left="6733" w:hanging="245"/>
      </w:pPr>
      <w:rPr>
        <w:rFonts w:hint="default"/>
        <w:lang w:val="es-ES" w:eastAsia="en-US" w:bidi="ar-SA"/>
      </w:rPr>
    </w:lvl>
    <w:lvl w:ilvl="7" w:tplc="89CE37C8">
      <w:numFmt w:val="bullet"/>
      <w:lvlText w:val="•"/>
      <w:lvlJc w:val="left"/>
      <w:pPr>
        <w:ind w:left="7672" w:hanging="245"/>
      </w:pPr>
      <w:rPr>
        <w:rFonts w:hint="default"/>
        <w:lang w:val="es-ES" w:eastAsia="en-US" w:bidi="ar-SA"/>
      </w:rPr>
    </w:lvl>
    <w:lvl w:ilvl="8" w:tplc="86E80740">
      <w:numFmt w:val="bullet"/>
      <w:lvlText w:val="•"/>
      <w:lvlJc w:val="left"/>
      <w:pPr>
        <w:ind w:left="8611" w:hanging="245"/>
      </w:pPr>
      <w:rPr>
        <w:rFonts w:hint="default"/>
        <w:lang w:val="es-ES" w:eastAsia="en-US" w:bidi="ar-SA"/>
      </w:rPr>
    </w:lvl>
  </w:abstractNum>
  <w:abstractNum w:abstractNumId="158" w15:restartNumberingAfterBreak="0">
    <w:nsid w:val="3D3445DA"/>
    <w:multiLevelType w:val="hybridMultilevel"/>
    <w:tmpl w:val="FB521408"/>
    <w:lvl w:ilvl="0" w:tplc="C214F4B2">
      <w:start w:val="1"/>
      <w:numFmt w:val="decimal"/>
      <w:lvlText w:val="%1."/>
      <w:lvlJc w:val="left"/>
      <w:pPr>
        <w:ind w:left="1106" w:hanging="226"/>
        <w:jc w:val="left"/>
      </w:pPr>
      <w:rPr>
        <w:rFonts w:ascii="Arial MT" w:eastAsia="Arial MT" w:hAnsi="Arial MT" w:cs="Arial MT" w:hint="default"/>
        <w:b w:val="0"/>
        <w:bCs w:val="0"/>
        <w:i w:val="0"/>
        <w:iCs w:val="0"/>
        <w:spacing w:val="0"/>
        <w:w w:val="100"/>
        <w:sz w:val="20"/>
        <w:szCs w:val="20"/>
        <w:lang w:val="es-ES" w:eastAsia="en-US" w:bidi="ar-SA"/>
      </w:rPr>
    </w:lvl>
    <w:lvl w:ilvl="1" w:tplc="D6D89BC0">
      <w:numFmt w:val="bullet"/>
      <w:lvlText w:val="•"/>
      <w:lvlJc w:val="left"/>
      <w:pPr>
        <w:ind w:left="2038" w:hanging="226"/>
      </w:pPr>
      <w:rPr>
        <w:rFonts w:hint="default"/>
        <w:lang w:val="es-ES" w:eastAsia="en-US" w:bidi="ar-SA"/>
      </w:rPr>
    </w:lvl>
    <w:lvl w:ilvl="2" w:tplc="ABE29590">
      <w:numFmt w:val="bullet"/>
      <w:lvlText w:val="•"/>
      <w:lvlJc w:val="left"/>
      <w:pPr>
        <w:ind w:left="2977" w:hanging="226"/>
      </w:pPr>
      <w:rPr>
        <w:rFonts w:hint="default"/>
        <w:lang w:val="es-ES" w:eastAsia="en-US" w:bidi="ar-SA"/>
      </w:rPr>
    </w:lvl>
    <w:lvl w:ilvl="3" w:tplc="4E404870">
      <w:numFmt w:val="bullet"/>
      <w:lvlText w:val="•"/>
      <w:lvlJc w:val="left"/>
      <w:pPr>
        <w:ind w:left="3916" w:hanging="226"/>
      </w:pPr>
      <w:rPr>
        <w:rFonts w:hint="default"/>
        <w:lang w:val="es-ES" w:eastAsia="en-US" w:bidi="ar-SA"/>
      </w:rPr>
    </w:lvl>
    <w:lvl w:ilvl="4" w:tplc="5D64583C">
      <w:numFmt w:val="bullet"/>
      <w:lvlText w:val="•"/>
      <w:lvlJc w:val="left"/>
      <w:pPr>
        <w:ind w:left="4855" w:hanging="226"/>
      </w:pPr>
      <w:rPr>
        <w:rFonts w:hint="default"/>
        <w:lang w:val="es-ES" w:eastAsia="en-US" w:bidi="ar-SA"/>
      </w:rPr>
    </w:lvl>
    <w:lvl w:ilvl="5" w:tplc="68CCDE6A">
      <w:numFmt w:val="bullet"/>
      <w:lvlText w:val="•"/>
      <w:lvlJc w:val="left"/>
      <w:pPr>
        <w:ind w:left="5794" w:hanging="226"/>
      </w:pPr>
      <w:rPr>
        <w:rFonts w:hint="default"/>
        <w:lang w:val="es-ES" w:eastAsia="en-US" w:bidi="ar-SA"/>
      </w:rPr>
    </w:lvl>
    <w:lvl w:ilvl="6" w:tplc="42901574">
      <w:numFmt w:val="bullet"/>
      <w:lvlText w:val="•"/>
      <w:lvlJc w:val="left"/>
      <w:pPr>
        <w:ind w:left="6733" w:hanging="226"/>
      </w:pPr>
      <w:rPr>
        <w:rFonts w:hint="default"/>
        <w:lang w:val="es-ES" w:eastAsia="en-US" w:bidi="ar-SA"/>
      </w:rPr>
    </w:lvl>
    <w:lvl w:ilvl="7" w:tplc="5E00BECA">
      <w:numFmt w:val="bullet"/>
      <w:lvlText w:val="•"/>
      <w:lvlJc w:val="left"/>
      <w:pPr>
        <w:ind w:left="7672" w:hanging="226"/>
      </w:pPr>
      <w:rPr>
        <w:rFonts w:hint="default"/>
        <w:lang w:val="es-ES" w:eastAsia="en-US" w:bidi="ar-SA"/>
      </w:rPr>
    </w:lvl>
    <w:lvl w:ilvl="8" w:tplc="F1782406">
      <w:numFmt w:val="bullet"/>
      <w:lvlText w:val="•"/>
      <w:lvlJc w:val="left"/>
      <w:pPr>
        <w:ind w:left="8611" w:hanging="226"/>
      </w:pPr>
      <w:rPr>
        <w:rFonts w:hint="default"/>
        <w:lang w:val="es-ES" w:eastAsia="en-US" w:bidi="ar-SA"/>
      </w:rPr>
    </w:lvl>
  </w:abstractNum>
  <w:abstractNum w:abstractNumId="159" w15:restartNumberingAfterBreak="0">
    <w:nsid w:val="3E157226"/>
    <w:multiLevelType w:val="hybridMultilevel"/>
    <w:tmpl w:val="C3E49B86"/>
    <w:lvl w:ilvl="0" w:tplc="E9D678BE">
      <w:start w:val="1"/>
      <w:numFmt w:val="decimal"/>
      <w:lvlText w:val="%1."/>
      <w:lvlJc w:val="left"/>
      <w:pPr>
        <w:ind w:left="1106" w:hanging="299"/>
        <w:jc w:val="left"/>
      </w:pPr>
      <w:rPr>
        <w:rFonts w:ascii="Arial MT" w:eastAsia="Arial MT" w:hAnsi="Arial MT" w:cs="Arial MT" w:hint="default"/>
        <w:b w:val="0"/>
        <w:bCs w:val="0"/>
        <w:i w:val="0"/>
        <w:iCs w:val="0"/>
        <w:spacing w:val="0"/>
        <w:w w:val="100"/>
        <w:sz w:val="20"/>
        <w:szCs w:val="20"/>
        <w:lang w:val="es-ES" w:eastAsia="en-US" w:bidi="ar-SA"/>
      </w:rPr>
    </w:lvl>
    <w:lvl w:ilvl="1" w:tplc="85C8AA5E">
      <w:start w:val="1"/>
      <w:numFmt w:val="lowerLetter"/>
      <w:lvlText w:val="%2)"/>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2" w:tplc="7B529E90">
      <w:numFmt w:val="bullet"/>
      <w:lvlText w:val="•"/>
      <w:lvlJc w:val="left"/>
      <w:pPr>
        <w:ind w:left="2977" w:hanging="235"/>
      </w:pPr>
      <w:rPr>
        <w:rFonts w:hint="default"/>
        <w:lang w:val="es-ES" w:eastAsia="en-US" w:bidi="ar-SA"/>
      </w:rPr>
    </w:lvl>
    <w:lvl w:ilvl="3" w:tplc="A1F4A7FA">
      <w:numFmt w:val="bullet"/>
      <w:lvlText w:val="•"/>
      <w:lvlJc w:val="left"/>
      <w:pPr>
        <w:ind w:left="3916" w:hanging="235"/>
      </w:pPr>
      <w:rPr>
        <w:rFonts w:hint="default"/>
        <w:lang w:val="es-ES" w:eastAsia="en-US" w:bidi="ar-SA"/>
      </w:rPr>
    </w:lvl>
    <w:lvl w:ilvl="4" w:tplc="B55C2950">
      <w:numFmt w:val="bullet"/>
      <w:lvlText w:val="•"/>
      <w:lvlJc w:val="left"/>
      <w:pPr>
        <w:ind w:left="4855" w:hanging="235"/>
      </w:pPr>
      <w:rPr>
        <w:rFonts w:hint="default"/>
        <w:lang w:val="es-ES" w:eastAsia="en-US" w:bidi="ar-SA"/>
      </w:rPr>
    </w:lvl>
    <w:lvl w:ilvl="5" w:tplc="597E92B2">
      <w:numFmt w:val="bullet"/>
      <w:lvlText w:val="•"/>
      <w:lvlJc w:val="left"/>
      <w:pPr>
        <w:ind w:left="5794" w:hanging="235"/>
      </w:pPr>
      <w:rPr>
        <w:rFonts w:hint="default"/>
        <w:lang w:val="es-ES" w:eastAsia="en-US" w:bidi="ar-SA"/>
      </w:rPr>
    </w:lvl>
    <w:lvl w:ilvl="6" w:tplc="4BD477F2">
      <w:numFmt w:val="bullet"/>
      <w:lvlText w:val="•"/>
      <w:lvlJc w:val="left"/>
      <w:pPr>
        <w:ind w:left="6733" w:hanging="235"/>
      </w:pPr>
      <w:rPr>
        <w:rFonts w:hint="default"/>
        <w:lang w:val="es-ES" w:eastAsia="en-US" w:bidi="ar-SA"/>
      </w:rPr>
    </w:lvl>
    <w:lvl w:ilvl="7" w:tplc="1996E7FE">
      <w:numFmt w:val="bullet"/>
      <w:lvlText w:val="•"/>
      <w:lvlJc w:val="left"/>
      <w:pPr>
        <w:ind w:left="7672" w:hanging="235"/>
      </w:pPr>
      <w:rPr>
        <w:rFonts w:hint="default"/>
        <w:lang w:val="es-ES" w:eastAsia="en-US" w:bidi="ar-SA"/>
      </w:rPr>
    </w:lvl>
    <w:lvl w:ilvl="8" w:tplc="BF64F438">
      <w:numFmt w:val="bullet"/>
      <w:lvlText w:val="•"/>
      <w:lvlJc w:val="left"/>
      <w:pPr>
        <w:ind w:left="8611" w:hanging="235"/>
      </w:pPr>
      <w:rPr>
        <w:rFonts w:hint="default"/>
        <w:lang w:val="es-ES" w:eastAsia="en-US" w:bidi="ar-SA"/>
      </w:rPr>
    </w:lvl>
  </w:abstractNum>
  <w:abstractNum w:abstractNumId="160" w15:restartNumberingAfterBreak="0">
    <w:nsid w:val="3ECB4341"/>
    <w:multiLevelType w:val="hybridMultilevel"/>
    <w:tmpl w:val="A7864D16"/>
    <w:lvl w:ilvl="0" w:tplc="A934DF08">
      <w:start w:val="1"/>
      <w:numFmt w:val="decimal"/>
      <w:lvlText w:val="%1."/>
      <w:lvlJc w:val="left"/>
      <w:pPr>
        <w:ind w:left="1106" w:hanging="260"/>
        <w:jc w:val="left"/>
      </w:pPr>
      <w:rPr>
        <w:rFonts w:ascii="Arial MT" w:eastAsia="Arial MT" w:hAnsi="Arial MT" w:cs="Arial MT" w:hint="default"/>
        <w:b w:val="0"/>
        <w:bCs w:val="0"/>
        <w:i w:val="0"/>
        <w:iCs w:val="0"/>
        <w:spacing w:val="0"/>
        <w:w w:val="100"/>
        <w:sz w:val="20"/>
        <w:szCs w:val="20"/>
        <w:lang w:val="es-ES" w:eastAsia="en-US" w:bidi="ar-SA"/>
      </w:rPr>
    </w:lvl>
    <w:lvl w:ilvl="1" w:tplc="EDB27682">
      <w:numFmt w:val="bullet"/>
      <w:lvlText w:val="•"/>
      <w:lvlJc w:val="left"/>
      <w:pPr>
        <w:ind w:left="2038" w:hanging="260"/>
      </w:pPr>
      <w:rPr>
        <w:rFonts w:hint="default"/>
        <w:lang w:val="es-ES" w:eastAsia="en-US" w:bidi="ar-SA"/>
      </w:rPr>
    </w:lvl>
    <w:lvl w:ilvl="2" w:tplc="C55E197A">
      <w:numFmt w:val="bullet"/>
      <w:lvlText w:val="•"/>
      <w:lvlJc w:val="left"/>
      <w:pPr>
        <w:ind w:left="2977" w:hanging="260"/>
      </w:pPr>
      <w:rPr>
        <w:rFonts w:hint="default"/>
        <w:lang w:val="es-ES" w:eastAsia="en-US" w:bidi="ar-SA"/>
      </w:rPr>
    </w:lvl>
    <w:lvl w:ilvl="3" w:tplc="BD7CEE66">
      <w:numFmt w:val="bullet"/>
      <w:lvlText w:val="•"/>
      <w:lvlJc w:val="left"/>
      <w:pPr>
        <w:ind w:left="3916" w:hanging="260"/>
      </w:pPr>
      <w:rPr>
        <w:rFonts w:hint="default"/>
        <w:lang w:val="es-ES" w:eastAsia="en-US" w:bidi="ar-SA"/>
      </w:rPr>
    </w:lvl>
    <w:lvl w:ilvl="4" w:tplc="83609C70">
      <w:numFmt w:val="bullet"/>
      <w:lvlText w:val="•"/>
      <w:lvlJc w:val="left"/>
      <w:pPr>
        <w:ind w:left="4855" w:hanging="260"/>
      </w:pPr>
      <w:rPr>
        <w:rFonts w:hint="default"/>
        <w:lang w:val="es-ES" w:eastAsia="en-US" w:bidi="ar-SA"/>
      </w:rPr>
    </w:lvl>
    <w:lvl w:ilvl="5" w:tplc="DCFEA4B6">
      <w:numFmt w:val="bullet"/>
      <w:lvlText w:val="•"/>
      <w:lvlJc w:val="left"/>
      <w:pPr>
        <w:ind w:left="5794" w:hanging="260"/>
      </w:pPr>
      <w:rPr>
        <w:rFonts w:hint="default"/>
        <w:lang w:val="es-ES" w:eastAsia="en-US" w:bidi="ar-SA"/>
      </w:rPr>
    </w:lvl>
    <w:lvl w:ilvl="6" w:tplc="7D244EB4">
      <w:numFmt w:val="bullet"/>
      <w:lvlText w:val="•"/>
      <w:lvlJc w:val="left"/>
      <w:pPr>
        <w:ind w:left="6733" w:hanging="260"/>
      </w:pPr>
      <w:rPr>
        <w:rFonts w:hint="default"/>
        <w:lang w:val="es-ES" w:eastAsia="en-US" w:bidi="ar-SA"/>
      </w:rPr>
    </w:lvl>
    <w:lvl w:ilvl="7" w:tplc="A1142CF4">
      <w:numFmt w:val="bullet"/>
      <w:lvlText w:val="•"/>
      <w:lvlJc w:val="left"/>
      <w:pPr>
        <w:ind w:left="7672" w:hanging="260"/>
      </w:pPr>
      <w:rPr>
        <w:rFonts w:hint="default"/>
        <w:lang w:val="es-ES" w:eastAsia="en-US" w:bidi="ar-SA"/>
      </w:rPr>
    </w:lvl>
    <w:lvl w:ilvl="8" w:tplc="DECCBC02">
      <w:numFmt w:val="bullet"/>
      <w:lvlText w:val="•"/>
      <w:lvlJc w:val="left"/>
      <w:pPr>
        <w:ind w:left="8611" w:hanging="260"/>
      </w:pPr>
      <w:rPr>
        <w:rFonts w:hint="default"/>
        <w:lang w:val="es-ES" w:eastAsia="en-US" w:bidi="ar-SA"/>
      </w:rPr>
    </w:lvl>
  </w:abstractNum>
  <w:abstractNum w:abstractNumId="161" w15:restartNumberingAfterBreak="0">
    <w:nsid w:val="3ED82CF0"/>
    <w:multiLevelType w:val="hybridMultilevel"/>
    <w:tmpl w:val="83ACBB62"/>
    <w:lvl w:ilvl="0" w:tplc="4B429A56">
      <w:start w:val="1"/>
      <w:numFmt w:val="decimal"/>
      <w:lvlText w:val="%1."/>
      <w:lvlJc w:val="left"/>
      <w:pPr>
        <w:ind w:left="1106" w:hanging="264"/>
        <w:jc w:val="left"/>
      </w:pPr>
      <w:rPr>
        <w:rFonts w:ascii="Arial MT" w:eastAsia="Arial MT" w:hAnsi="Arial MT" w:cs="Arial MT" w:hint="default"/>
        <w:b w:val="0"/>
        <w:bCs w:val="0"/>
        <w:i w:val="0"/>
        <w:iCs w:val="0"/>
        <w:spacing w:val="0"/>
        <w:w w:val="100"/>
        <w:sz w:val="20"/>
        <w:szCs w:val="20"/>
        <w:lang w:val="es-ES" w:eastAsia="en-US" w:bidi="ar-SA"/>
      </w:rPr>
    </w:lvl>
    <w:lvl w:ilvl="1" w:tplc="77F68C44">
      <w:numFmt w:val="bullet"/>
      <w:lvlText w:val="•"/>
      <w:lvlJc w:val="left"/>
      <w:pPr>
        <w:ind w:left="2038" w:hanging="264"/>
      </w:pPr>
      <w:rPr>
        <w:rFonts w:hint="default"/>
        <w:lang w:val="es-ES" w:eastAsia="en-US" w:bidi="ar-SA"/>
      </w:rPr>
    </w:lvl>
    <w:lvl w:ilvl="2" w:tplc="79402CFE">
      <w:numFmt w:val="bullet"/>
      <w:lvlText w:val="•"/>
      <w:lvlJc w:val="left"/>
      <w:pPr>
        <w:ind w:left="2977" w:hanging="264"/>
      </w:pPr>
      <w:rPr>
        <w:rFonts w:hint="default"/>
        <w:lang w:val="es-ES" w:eastAsia="en-US" w:bidi="ar-SA"/>
      </w:rPr>
    </w:lvl>
    <w:lvl w:ilvl="3" w:tplc="68ECBE62">
      <w:numFmt w:val="bullet"/>
      <w:lvlText w:val="•"/>
      <w:lvlJc w:val="left"/>
      <w:pPr>
        <w:ind w:left="3916" w:hanging="264"/>
      </w:pPr>
      <w:rPr>
        <w:rFonts w:hint="default"/>
        <w:lang w:val="es-ES" w:eastAsia="en-US" w:bidi="ar-SA"/>
      </w:rPr>
    </w:lvl>
    <w:lvl w:ilvl="4" w:tplc="2BC461B4">
      <w:numFmt w:val="bullet"/>
      <w:lvlText w:val="•"/>
      <w:lvlJc w:val="left"/>
      <w:pPr>
        <w:ind w:left="4855" w:hanging="264"/>
      </w:pPr>
      <w:rPr>
        <w:rFonts w:hint="default"/>
        <w:lang w:val="es-ES" w:eastAsia="en-US" w:bidi="ar-SA"/>
      </w:rPr>
    </w:lvl>
    <w:lvl w:ilvl="5" w:tplc="A0A6ADC0">
      <w:numFmt w:val="bullet"/>
      <w:lvlText w:val="•"/>
      <w:lvlJc w:val="left"/>
      <w:pPr>
        <w:ind w:left="5794" w:hanging="264"/>
      </w:pPr>
      <w:rPr>
        <w:rFonts w:hint="default"/>
        <w:lang w:val="es-ES" w:eastAsia="en-US" w:bidi="ar-SA"/>
      </w:rPr>
    </w:lvl>
    <w:lvl w:ilvl="6" w:tplc="2FA2D450">
      <w:numFmt w:val="bullet"/>
      <w:lvlText w:val="•"/>
      <w:lvlJc w:val="left"/>
      <w:pPr>
        <w:ind w:left="6733" w:hanging="264"/>
      </w:pPr>
      <w:rPr>
        <w:rFonts w:hint="default"/>
        <w:lang w:val="es-ES" w:eastAsia="en-US" w:bidi="ar-SA"/>
      </w:rPr>
    </w:lvl>
    <w:lvl w:ilvl="7" w:tplc="BE22C6F4">
      <w:numFmt w:val="bullet"/>
      <w:lvlText w:val="•"/>
      <w:lvlJc w:val="left"/>
      <w:pPr>
        <w:ind w:left="7672" w:hanging="264"/>
      </w:pPr>
      <w:rPr>
        <w:rFonts w:hint="default"/>
        <w:lang w:val="es-ES" w:eastAsia="en-US" w:bidi="ar-SA"/>
      </w:rPr>
    </w:lvl>
    <w:lvl w:ilvl="8" w:tplc="14067F82">
      <w:numFmt w:val="bullet"/>
      <w:lvlText w:val="•"/>
      <w:lvlJc w:val="left"/>
      <w:pPr>
        <w:ind w:left="8611" w:hanging="264"/>
      </w:pPr>
      <w:rPr>
        <w:rFonts w:hint="default"/>
        <w:lang w:val="es-ES" w:eastAsia="en-US" w:bidi="ar-SA"/>
      </w:rPr>
    </w:lvl>
  </w:abstractNum>
  <w:abstractNum w:abstractNumId="162" w15:restartNumberingAfterBreak="0">
    <w:nsid w:val="3FF31C09"/>
    <w:multiLevelType w:val="hybridMultilevel"/>
    <w:tmpl w:val="64905C26"/>
    <w:lvl w:ilvl="0" w:tplc="8B56FC22">
      <w:start w:val="1"/>
      <w:numFmt w:val="decimal"/>
      <w:lvlText w:val="%1."/>
      <w:lvlJc w:val="left"/>
      <w:pPr>
        <w:ind w:left="2349" w:hanging="223"/>
        <w:jc w:val="left"/>
      </w:pPr>
      <w:rPr>
        <w:rFonts w:ascii="Arial MT" w:eastAsia="Arial MT" w:hAnsi="Arial MT" w:cs="Arial MT" w:hint="default"/>
        <w:b w:val="0"/>
        <w:bCs w:val="0"/>
        <w:i w:val="0"/>
        <w:iCs w:val="0"/>
        <w:spacing w:val="0"/>
        <w:w w:val="100"/>
        <w:sz w:val="20"/>
        <w:szCs w:val="20"/>
        <w:lang w:val="es-ES" w:eastAsia="en-US" w:bidi="ar-SA"/>
      </w:rPr>
    </w:lvl>
    <w:lvl w:ilvl="1" w:tplc="6504C258">
      <w:start w:val="1"/>
      <w:numFmt w:val="lowerLetter"/>
      <w:lvlText w:val="%2)"/>
      <w:lvlJc w:val="left"/>
      <w:pPr>
        <w:ind w:left="2360" w:hanging="234"/>
        <w:jc w:val="left"/>
      </w:pPr>
      <w:rPr>
        <w:rFonts w:ascii="Arial MT" w:eastAsia="Arial MT" w:hAnsi="Arial MT" w:cs="Arial MT" w:hint="default"/>
        <w:b w:val="0"/>
        <w:bCs w:val="0"/>
        <w:i w:val="0"/>
        <w:iCs w:val="0"/>
        <w:spacing w:val="0"/>
        <w:w w:val="100"/>
        <w:sz w:val="20"/>
        <w:szCs w:val="20"/>
        <w:lang w:val="es-ES" w:eastAsia="en-US" w:bidi="ar-SA"/>
      </w:rPr>
    </w:lvl>
    <w:lvl w:ilvl="2" w:tplc="2D36BB80">
      <w:numFmt w:val="bullet"/>
      <w:lvlText w:val="•"/>
      <w:lvlJc w:val="left"/>
      <w:pPr>
        <w:ind w:left="2360" w:hanging="234"/>
      </w:pPr>
      <w:rPr>
        <w:rFonts w:hint="default"/>
        <w:lang w:val="es-ES" w:eastAsia="en-US" w:bidi="ar-SA"/>
      </w:rPr>
    </w:lvl>
    <w:lvl w:ilvl="3" w:tplc="B6C2B21E">
      <w:numFmt w:val="bullet"/>
      <w:lvlText w:val="•"/>
      <w:lvlJc w:val="left"/>
      <w:pPr>
        <w:ind w:left="3376" w:hanging="234"/>
      </w:pPr>
      <w:rPr>
        <w:rFonts w:hint="default"/>
        <w:lang w:val="es-ES" w:eastAsia="en-US" w:bidi="ar-SA"/>
      </w:rPr>
    </w:lvl>
    <w:lvl w:ilvl="4" w:tplc="A8565FD2">
      <w:numFmt w:val="bullet"/>
      <w:lvlText w:val="•"/>
      <w:lvlJc w:val="left"/>
      <w:pPr>
        <w:ind w:left="4392" w:hanging="234"/>
      </w:pPr>
      <w:rPr>
        <w:rFonts w:hint="default"/>
        <w:lang w:val="es-ES" w:eastAsia="en-US" w:bidi="ar-SA"/>
      </w:rPr>
    </w:lvl>
    <w:lvl w:ilvl="5" w:tplc="512EA3AC">
      <w:numFmt w:val="bullet"/>
      <w:lvlText w:val="•"/>
      <w:lvlJc w:val="left"/>
      <w:pPr>
        <w:ind w:left="5408" w:hanging="234"/>
      </w:pPr>
      <w:rPr>
        <w:rFonts w:hint="default"/>
        <w:lang w:val="es-ES" w:eastAsia="en-US" w:bidi="ar-SA"/>
      </w:rPr>
    </w:lvl>
    <w:lvl w:ilvl="6" w:tplc="6FE41C06">
      <w:numFmt w:val="bullet"/>
      <w:lvlText w:val="•"/>
      <w:lvlJc w:val="left"/>
      <w:pPr>
        <w:ind w:left="6424" w:hanging="234"/>
      </w:pPr>
      <w:rPr>
        <w:rFonts w:hint="default"/>
        <w:lang w:val="es-ES" w:eastAsia="en-US" w:bidi="ar-SA"/>
      </w:rPr>
    </w:lvl>
    <w:lvl w:ilvl="7" w:tplc="9044E370">
      <w:numFmt w:val="bullet"/>
      <w:lvlText w:val="•"/>
      <w:lvlJc w:val="left"/>
      <w:pPr>
        <w:ind w:left="7440" w:hanging="234"/>
      </w:pPr>
      <w:rPr>
        <w:rFonts w:hint="default"/>
        <w:lang w:val="es-ES" w:eastAsia="en-US" w:bidi="ar-SA"/>
      </w:rPr>
    </w:lvl>
    <w:lvl w:ilvl="8" w:tplc="F55A30FE">
      <w:numFmt w:val="bullet"/>
      <w:lvlText w:val="•"/>
      <w:lvlJc w:val="left"/>
      <w:pPr>
        <w:ind w:left="8457" w:hanging="234"/>
      </w:pPr>
      <w:rPr>
        <w:rFonts w:hint="default"/>
        <w:lang w:val="es-ES" w:eastAsia="en-US" w:bidi="ar-SA"/>
      </w:rPr>
    </w:lvl>
  </w:abstractNum>
  <w:abstractNum w:abstractNumId="163" w15:restartNumberingAfterBreak="0">
    <w:nsid w:val="400E0F51"/>
    <w:multiLevelType w:val="hybridMultilevel"/>
    <w:tmpl w:val="90B4AE26"/>
    <w:lvl w:ilvl="0" w:tplc="7E8AFA64">
      <w:start w:val="1"/>
      <w:numFmt w:val="decimal"/>
      <w:lvlText w:val="%1."/>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1" w:tplc="923EC124">
      <w:start w:val="1"/>
      <w:numFmt w:val="lowerRoman"/>
      <w:lvlText w:val="(%2)"/>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2" w:tplc="3E0CDD50">
      <w:start w:val="1"/>
      <w:numFmt w:val="decimal"/>
      <w:lvlText w:val="%3."/>
      <w:lvlJc w:val="left"/>
      <w:pPr>
        <w:ind w:left="1106" w:hanging="282"/>
        <w:jc w:val="left"/>
      </w:pPr>
      <w:rPr>
        <w:rFonts w:ascii="Arial MT" w:eastAsia="Arial MT" w:hAnsi="Arial MT" w:cs="Arial MT" w:hint="default"/>
        <w:b w:val="0"/>
        <w:bCs w:val="0"/>
        <w:i w:val="0"/>
        <w:iCs w:val="0"/>
        <w:spacing w:val="0"/>
        <w:w w:val="100"/>
        <w:sz w:val="20"/>
        <w:szCs w:val="20"/>
        <w:lang w:val="es-ES" w:eastAsia="en-US" w:bidi="ar-SA"/>
      </w:rPr>
    </w:lvl>
    <w:lvl w:ilvl="3" w:tplc="C12666C8">
      <w:numFmt w:val="bullet"/>
      <w:lvlText w:val="•"/>
      <w:lvlJc w:val="left"/>
      <w:pPr>
        <w:ind w:left="3916" w:hanging="282"/>
      </w:pPr>
      <w:rPr>
        <w:rFonts w:hint="default"/>
        <w:lang w:val="es-ES" w:eastAsia="en-US" w:bidi="ar-SA"/>
      </w:rPr>
    </w:lvl>
    <w:lvl w:ilvl="4" w:tplc="7618FDA6">
      <w:numFmt w:val="bullet"/>
      <w:lvlText w:val="•"/>
      <w:lvlJc w:val="left"/>
      <w:pPr>
        <w:ind w:left="4855" w:hanging="282"/>
      </w:pPr>
      <w:rPr>
        <w:rFonts w:hint="default"/>
        <w:lang w:val="es-ES" w:eastAsia="en-US" w:bidi="ar-SA"/>
      </w:rPr>
    </w:lvl>
    <w:lvl w:ilvl="5" w:tplc="6632078A">
      <w:numFmt w:val="bullet"/>
      <w:lvlText w:val="•"/>
      <w:lvlJc w:val="left"/>
      <w:pPr>
        <w:ind w:left="5794" w:hanging="282"/>
      </w:pPr>
      <w:rPr>
        <w:rFonts w:hint="default"/>
        <w:lang w:val="es-ES" w:eastAsia="en-US" w:bidi="ar-SA"/>
      </w:rPr>
    </w:lvl>
    <w:lvl w:ilvl="6" w:tplc="964A0AF4">
      <w:numFmt w:val="bullet"/>
      <w:lvlText w:val="•"/>
      <w:lvlJc w:val="left"/>
      <w:pPr>
        <w:ind w:left="6733" w:hanging="282"/>
      </w:pPr>
      <w:rPr>
        <w:rFonts w:hint="default"/>
        <w:lang w:val="es-ES" w:eastAsia="en-US" w:bidi="ar-SA"/>
      </w:rPr>
    </w:lvl>
    <w:lvl w:ilvl="7" w:tplc="6C70A0D2">
      <w:numFmt w:val="bullet"/>
      <w:lvlText w:val="•"/>
      <w:lvlJc w:val="left"/>
      <w:pPr>
        <w:ind w:left="7672" w:hanging="282"/>
      </w:pPr>
      <w:rPr>
        <w:rFonts w:hint="default"/>
        <w:lang w:val="es-ES" w:eastAsia="en-US" w:bidi="ar-SA"/>
      </w:rPr>
    </w:lvl>
    <w:lvl w:ilvl="8" w:tplc="0B8435BE">
      <w:numFmt w:val="bullet"/>
      <w:lvlText w:val="•"/>
      <w:lvlJc w:val="left"/>
      <w:pPr>
        <w:ind w:left="8611" w:hanging="282"/>
      </w:pPr>
      <w:rPr>
        <w:rFonts w:hint="default"/>
        <w:lang w:val="es-ES" w:eastAsia="en-US" w:bidi="ar-SA"/>
      </w:rPr>
    </w:lvl>
  </w:abstractNum>
  <w:abstractNum w:abstractNumId="164" w15:restartNumberingAfterBreak="0">
    <w:nsid w:val="40617962"/>
    <w:multiLevelType w:val="hybridMultilevel"/>
    <w:tmpl w:val="0DC45A74"/>
    <w:lvl w:ilvl="0" w:tplc="9BF490A2">
      <w:start w:val="1"/>
      <w:numFmt w:val="decimal"/>
      <w:lvlText w:val="%1."/>
      <w:lvlJc w:val="left"/>
      <w:pPr>
        <w:ind w:left="1106" w:hanging="269"/>
        <w:jc w:val="left"/>
      </w:pPr>
      <w:rPr>
        <w:rFonts w:ascii="Arial MT" w:eastAsia="Arial MT" w:hAnsi="Arial MT" w:cs="Arial MT" w:hint="default"/>
        <w:b w:val="0"/>
        <w:bCs w:val="0"/>
        <w:i w:val="0"/>
        <w:iCs w:val="0"/>
        <w:spacing w:val="0"/>
        <w:w w:val="100"/>
        <w:sz w:val="20"/>
        <w:szCs w:val="20"/>
        <w:lang w:val="es-ES" w:eastAsia="en-US" w:bidi="ar-SA"/>
      </w:rPr>
    </w:lvl>
    <w:lvl w:ilvl="1" w:tplc="1C9CE292">
      <w:numFmt w:val="bullet"/>
      <w:lvlText w:val="•"/>
      <w:lvlJc w:val="left"/>
      <w:pPr>
        <w:ind w:left="2038" w:hanging="269"/>
      </w:pPr>
      <w:rPr>
        <w:rFonts w:hint="default"/>
        <w:lang w:val="es-ES" w:eastAsia="en-US" w:bidi="ar-SA"/>
      </w:rPr>
    </w:lvl>
    <w:lvl w:ilvl="2" w:tplc="B9404F12">
      <w:numFmt w:val="bullet"/>
      <w:lvlText w:val="•"/>
      <w:lvlJc w:val="left"/>
      <w:pPr>
        <w:ind w:left="2977" w:hanging="269"/>
      </w:pPr>
      <w:rPr>
        <w:rFonts w:hint="default"/>
        <w:lang w:val="es-ES" w:eastAsia="en-US" w:bidi="ar-SA"/>
      </w:rPr>
    </w:lvl>
    <w:lvl w:ilvl="3" w:tplc="BFD039AA">
      <w:numFmt w:val="bullet"/>
      <w:lvlText w:val="•"/>
      <w:lvlJc w:val="left"/>
      <w:pPr>
        <w:ind w:left="3916" w:hanging="269"/>
      </w:pPr>
      <w:rPr>
        <w:rFonts w:hint="default"/>
        <w:lang w:val="es-ES" w:eastAsia="en-US" w:bidi="ar-SA"/>
      </w:rPr>
    </w:lvl>
    <w:lvl w:ilvl="4" w:tplc="77D83D44">
      <w:numFmt w:val="bullet"/>
      <w:lvlText w:val="•"/>
      <w:lvlJc w:val="left"/>
      <w:pPr>
        <w:ind w:left="4855" w:hanging="269"/>
      </w:pPr>
      <w:rPr>
        <w:rFonts w:hint="default"/>
        <w:lang w:val="es-ES" w:eastAsia="en-US" w:bidi="ar-SA"/>
      </w:rPr>
    </w:lvl>
    <w:lvl w:ilvl="5" w:tplc="AAC6E1DA">
      <w:numFmt w:val="bullet"/>
      <w:lvlText w:val="•"/>
      <w:lvlJc w:val="left"/>
      <w:pPr>
        <w:ind w:left="5794" w:hanging="269"/>
      </w:pPr>
      <w:rPr>
        <w:rFonts w:hint="default"/>
        <w:lang w:val="es-ES" w:eastAsia="en-US" w:bidi="ar-SA"/>
      </w:rPr>
    </w:lvl>
    <w:lvl w:ilvl="6" w:tplc="FB3613FA">
      <w:numFmt w:val="bullet"/>
      <w:lvlText w:val="•"/>
      <w:lvlJc w:val="left"/>
      <w:pPr>
        <w:ind w:left="6733" w:hanging="269"/>
      </w:pPr>
      <w:rPr>
        <w:rFonts w:hint="default"/>
        <w:lang w:val="es-ES" w:eastAsia="en-US" w:bidi="ar-SA"/>
      </w:rPr>
    </w:lvl>
    <w:lvl w:ilvl="7" w:tplc="D30C0558">
      <w:numFmt w:val="bullet"/>
      <w:lvlText w:val="•"/>
      <w:lvlJc w:val="left"/>
      <w:pPr>
        <w:ind w:left="7672" w:hanging="269"/>
      </w:pPr>
      <w:rPr>
        <w:rFonts w:hint="default"/>
        <w:lang w:val="es-ES" w:eastAsia="en-US" w:bidi="ar-SA"/>
      </w:rPr>
    </w:lvl>
    <w:lvl w:ilvl="8" w:tplc="841208BC">
      <w:numFmt w:val="bullet"/>
      <w:lvlText w:val="•"/>
      <w:lvlJc w:val="left"/>
      <w:pPr>
        <w:ind w:left="8611" w:hanging="269"/>
      </w:pPr>
      <w:rPr>
        <w:rFonts w:hint="default"/>
        <w:lang w:val="es-ES" w:eastAsia="en-US" w:bidi="ar-SA"/>
      </w:rPr>
    </w:lvl>
  </w:abstractNum>
  <w:abstractNum w:abstractNumId="165" w15:restartNumberingAfterBreak="0">
    <w:nsid w:val="40792709"/>
    <w:multiLevelType w:val="hybridMultilevel"/>
    <w:tmpl w:val="705E2D02"/>
    <w:lvl w:ilvl="0" w:tplc="19A637B6">
      <w:start w:val="1"/>
      <w:numFmt w:val="decimal"/>
      <w:lvlText w:val="%1."/>
      <w:lvlJc w:val="left"/>
      <w:pPr>
        <w:ind w:left="1106" w:hanging="277"/>
        <w:jc w:val="left"/>
      </w:pPr>
      <w:rPr>
        <w:rFonts w:ascii="Arial MT" w:eastAsia="Arial MT" w:hAnsi="Arial MT" w:cs="Arial MT" w:hint="default"/>
        <w:b w:val="0"/>
        <w:bCs w:val="0"/>
        <w:i w:val="0"/>
        <w:iCs w:val="0"/>
        <w:spacing w:val="0"/>
        <w:w w:val="100"/>
        <w:sz w:val="20"/>
        <w:szCs w:val="20"/>
        <w:lang w:val="es-ES" w:eastAsia="en-US" w:bidi="ar-SA"/>
      </w:rPr>
    </w:lvl>
    <w:lvl w:ilvl="1" w:tplc="A044C9AE">
      <w:numFmt w:val="bullet"/>
      <w:lvlText w:val="•"/>
      <w:lvlJc w:val="left"/>
      <w:pPr>
        <w:ind w:left="2038" w:hanging="277"/>
      </w:pPr>
      <w:rPr>
        <w:rFonts w:hint="default"/>
        <w:lang w:val="es-ES" w:eastAsia="en-US" w:bidi="ar-SA"/>
      </w:rPr>
    </w:lvl>
    <w:lvl w:ilvl="2" w:tplc="BFC68B44">
      <w:numFmt w:val="bullet"/>
      <w:lvlText w:val="•"/>
      <w:lvlJc w:val="left"/>
      <w:pPr>
        <w:ind w:left="2977" w:hanging="277"/>
      </w:pPr>
      <w:rPr>
        <w:rFonts w:hint="default"/>
        <w:lang w:val="es-ES" w:eastAsia="en-US" w:bidi="ar-SA"/>
      </w:rPr>
    </w:lvl>
    <w:lvl w:ilvl="3" w:tplc="2B12AC98">
      <w:numFmt w:val="bullet"/>
      <w:lvlText w:val="•"/>
      <w:lvlJc w:val="left"/>
      <w:pPr>
        <w:ind w:left="3916" w:hanging="277"/>
      </w:pPr>
      <w:rPr>
        <w:rFonts w:hint="default"/>
        <w:lang w:val="es-ES" w:eastAsia="en-US" w:bidi="ar-SA"/>
      </w:rPr>
    </w:lvl>
    <w:lvl w:ilvl="4" w:tplc="E16C7D7C">
      <w:numFmt w:val="bullet"/>
      <w:lvlText w:val="•"/>
      <w:lvlJc w:val="left"/>
      <w:pPr>
        <w:ind w:left="4855" w:hanging="277"/>
      </w:pPr>
      <w:rPr>
        <w:rFonts w:hint="default"/>
        <w:lang w:val="es-ES" w:eastAsia="en-US" w:bidi="ar-SA"/>
      </w:rPr>
    </w:lvl>
    <w:lvl w:ilvl="5" w:tplc="67EAF61E">
      <w:numFmt w:val="bullet"/>
      <w:lvlText w:val="•"/>
      <w:lvlJc w:val="left"/>
      <w:pPr>
        <w:ind w:left="5794" w:hanging="277"/>
      </w:pPr>
      <w:rPr>
        <w:rFonts w:hint="default"/>
        <w:lang w:val="es-ES" w:eastAsia="en-US" w:bidi="ar-SA"/>
      </w:rPr>
    </w:lvl>
    <w:lvl w:ilvl="6" w:tplc="6A4C6742">
      <w:numFmt w:val="bullet"/>
      <w:lvlText w:val="•"/>
      <w:lvlJc w:val="left"/>
      <w:pPr>
        <w:ind w:left="6733" w:hanging="277"/>
      </w:pPr>
      <w:rPr>
        <w:rFonts w:hint="default"/>
        <w:lang w:val="es-ES" w:eastAsia="en-US" w:bidi="ar-SA"/>
      </w:rPr>
    </w:lvl>
    <w:lvl w:ilvl="7" w:tplc="C980D8C0">
      <w:numFmt w:val="bullet"/>
      <w:lvlText w:val="•"/>
      <w:lvlJc w:val="left"/>
      <w:pPr>
        <w:ind w:left="7672" w:hanging="277"/>
      </w:pPr>
      <w:rPr>
        <w:rFonts w:hint="default"/>
        <w:lang w:val="es-ES" w:eastAsia="en-US" w:bidi="ar-SA"/>
      </w:rPr>
    </w:lvl>
    <w:lvl w:ilvl="8" w:tplc="D17ACCF2">
      <w:numFmt w:val="bullet"/>
      <w:lvlText w:val="•"/>
      <w:lvlJc w:val="left"/>
      <w:pPr>
        <w:ind w:left="8611" w:hanging="277"/>
      </w:pPr>
      <w:rPr>
        <w:rFonts w:hint="default"/>
        <w:lang w:val="es-ES" w:eastAsia="en-US" w:bidi="ar-SA"/>
      </w:rPr>
    </w:lvl>
  </w:abstractNum>
  <w:abstractNum w:abstractNumId="166" w15:restartNumberingAfterBreak="0">
    <w:nsid w:val="409D115C"/>
    <w:multiLevelType w:val="hybridMultilevel"/>
    <w:tmpl w:val="570CC938"/>
    <w:lvl w:ilvl="0" w:tplc="FCB40F20">
      <w:start w:val="1"/>
      <w:numFmt w:val="lowerLetter"/>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9D069C58">
      <w:start w:val="1"/>
      <w:numFmt w:val="decimal"/>
      <w:lvlText w:val="%2."/>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2" w:tplc="4BA6B722">
      <w:numFmt w:val="bullet"/>
      <w:lvlText w:val="•"/>
      <w:lvlJc w:val="left"/>
      <w:pPr>
        <w:ind w:left="2977" w:hanging="168"/>
      </w:pPr>
      <w:rPr>
        <w:rFonts w:hint="default"/>
        <w:lang w:val="es-ES" w:eastAsia="en-US" w:bidi="ar-SA"/>
      </w:rPr>
    </w:lvl>
    <w:lvl w:ilvl="3" w:tplc="1C3A1EB6">
      <w:numFmt w:val="bullet"/>
      <w:lvlText w:val="•"/>
      <w:lvlJc w:val="left"/>
      <w:pPr>
        <w:ind w:left="3916" w:hanging="168"/>
      </w:pPr>
      <w:rPr>
        <w:rFonts w:hint="default"/>
        <w:lang w:val="es-ES" w:eastAsia="en-US" w:bidi="ar-SA"/>
      </w:rPr>
    </w:lvl>
    <w:lvl w:ilvl="4" w:tplc="836C5812">
      <w:numFmt w:val="bullet"/>
      <w:lvlText w:val="•"/>
      <w:lvlJc w:val="left"/>
      <w:pPr>
        <w:ind w:left="4855" w:hanging="168"/>
      </w:pPr>
      <w:rPr>
        <w:rFonts w:hint="default"/>
        <w:lang w:val="es-ES" w:eastAsia="en-US" w:bidi="ar-SA"/>
      </w:rPr>
    </w:lvl>
    <w:lvl w:ilvl="5" w:tplc="1F7A0954">
      <w:numFmt w:val="bullet"/>
      <w:lvlText w:val="•"/>
      <w:lvlJc w:val="left"/>
      <w:pPr>
        <w:ind w:left="5794" w:hanging="168"/>
      </w:pPr>
      <w:rPr>
        <w:rFonts w:hint="default"/>
        <w:lang w:val="es-ES" w:eastAsia="en-US" w:bidi="ar-SA"/>
      </w:rPr>
    </w:lvl>
    <w:lvl w:ilvl="6" w:tplc="29C61DFE">
      <w:numFmt w:val="bullet"/>
      <w:lvlText w:val="•"/>
      <w:lvlJc w:val="left"/>
      <w:pPr>
        <w:ind w:left="6733" w:hanging="168"/>
      </w:pPr>
      <w:rPr>
        <w:rFonts w:hint="default"/>
        <w:lang w:val="es-ES" w:eastAsia="en-US" w:bidi="ar-SA"/>
      </w:rPr>
    </w:lvl>
    <w:lvl w:ilvl="7" w:tplc="D946E572">
      <w:numFmt w:val="bullet"/>
      <w:lvlText w:val="•"/>
      <w:lvlJc w:val="left"/>
      <w:pPr>
        <w:ind w:left="7672" w:hanging="168"/>
      </w:pPr>
      <w:rPr>
        <w:rFonts w:hint="default"/>
        <w:lang w:val="es-ES" w:eastAsia="en-US" w:bidi="ar-SA"/>
      </w:rPr>
    </w:lvl>
    <w:lvl w:ilvl="8" w:tplc="FDE6E866">
      <w:numFmt w:val="bullet"/>
      <w:lvlText w:val="•"/>
      <w:lvlJc w:val="left"/>
      <w:pPr>
        <w:ind w:left="8611" w:hanging="168"/>
      </w:pPr>
      <w:rPr>
        <w:rFonts w:hint="default"/>
        <w:lang w:val="es-ES" w:eastAsia="en-US" w:bidi="ar-SA"/>
      </w:rPr>
    </w:lvl>
  </w:abstractNum>
  <w:abstractNum w:abstractNumId="167" w15:restartNumberingAfterBreak="0">
    <w:nsid w:val="40B23094"/>
    <w:multiLevelType w:val="hybridMultilevel"/>
    <w:tmpl w:val="C4FEE1FA"/>
    <w:lvl w:ilvl="0" w:tplc="F306B808">
      <w:start w:val="1"/>
      <w:numFmt w:val="decimal"/>
      <w:lvlText w:val="%1."/>
      <w:lvlJc w:val="left"/>
      <w:pPr>
        <w:ind w:left="1106" w:hanging="281"/>
        <w:jc w:val="left"/>
      </w:pPr>
      <w:rPr>
        <w:rFonts w:ascii="Arial MT" w:eastAsia="Arial MT" w:hAnsi="Arial MT" w:cs="Arial MT" w:hint="default"/>
        <w:b w:val="0"/>
        <w:bCs w:val="0"/>
        <w:i w:val="0"/>
        <w:iCs w:val="0"/>
        <w:spacing w:val="0"/>
        <w:w w:val="100"/>
        <w:sz w:val="20"/>
        <w:szCs w:val="20"/>
        <w:lang w:val="es-ES" w:eastAsia="en-US" w:bidi="ar-SA"/>
      </w:rPr>
    </w:lvl>
    <w:lvl w:ilvl="1" w:tplc="8174C708">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039AADF0">
      <w:numFmt w:val="bullet"/>
      <w:lvlText w:val="•"/>
      <w:lvlJc w:val="left"/>
      <w:pPr>
        <w:ind w:left="2658" w:hanging="234"/>
      </w:pPr>
      <w:rPr>
        <w:rFonts w:hint="default"/>
        <w:lang w:val="es-ES" w:eastAsia="en-US" w:bidi="ar-SA"/>
      </w:rPr>
    </w:lvl>
    <w:lvl w:ilvl="3" w:tplc="61CC39A4">
      <w:numFmt w:val="bullet"/>
      <w:lvlText w:val="•"/>
      <w:lvlJc w:val="left"/>
      <w:pPr>
        <w:ind w:left="3637" w:hanging="234"/>
      </w:pPr>
      <w:rPr>
        <w:rFonts w:hint="default"/>
        <w:lang w:val="es-ES" w:eastAsia="en-US" w:bidi="ar-SA"/>
      </w:rPr>
    </w:lvl>
    <w:lvl w:ilvl="4" w:tplc="A0708DEE">
      <w:numFmt w:val="bullet"/>
      <w:lvlText w:val="•"/>
      <w:lvlJc w:val="left"/>
      <w:pPr>
        <w:ind w:left="4616" w:hanging="234"/>
      </w:pPr>
      <w:rPr>
        <w:rFonts w:hint="default"/>
        <w:lang w:val="es-ES" w:eastAsia="en-US" w:bidi="ar-SA"/>
      </w:rPr>
    </w:lvl>
    <w:lvl w:ilvl="5" w:tplc="89B66DC2">
      <w:numFmt w:val="bullet"/>
      <w:lvlText w:val="•"/>
      <w:lvlJc w:val="left"/>
      <w:pPr>
        <w:ind w:left="5595" w:hanging="234"/>
      </w:pPr>
      <w:rPr>
        <w:rFonts w:hint="default"/>
        <w:lang w:val="es-ES" w:eastAsia="en-US" w:bidi="ar-SA"/>
      </w:rPr>
    </w:lvl>
    <w:lvl w:ilvl="6" w:tplc="33E689F0">
      <w:numFmt w:val="bullet"/>
      <w:lvlText w:val="•"/>
      <w:lvlJc w:val="left"/>
      <w:pPr>
        <w:ind w:left="6574" w:hanging="234"/>
      </w:pPr>
      <w:rPr>
        <w:rFonts w:hint="default"/>
        <w:lang w:val="es-ES" w:eastAsia="en-US" w:bidi="ar-SA"/>
      </w:rPr>
    </w:lvl>
    <w:lvl w:ilvl="7" w:tplc="2C587C4E">
      <w:numFmt w:val="bullet"/>
      <w:lvlText w:val="•"/>
      <w:lvlJc w:val="left"/>
      <w:pPr>
        <w:ind w:left="7553" w:hanging="234"/>
      </w:pPr>
      <w:rPr>
        <w:rFonts w:hint="default"/>
        <w:lang w:val="es-ES" w:eastAsia="en-US" w:bidi="ar-SA"/>
      </w:rPr>
    </w:lvl>
    <w:lvl w:ilvl="8" w:tplc="2E0042D6">
      <w:numFmt w:val="bullet"/>
      <w:lvlText w:val="•"/>
      <w:lvlJc w:val="left"/>
      <w:pPr>
        <w:ind w:left="8531" w:hanging="234"/>
      </w:pPr>
      <w:rPr>
        <w:rFonts w:hint="default"/>
        <w:lang w:val="es-ES" w:eastAsia="en-US" w:bidi="ar-SA"/>
      </w:rPr>
    </w:lvl>
  </w:abstractNum>
  <w:abstractNum w:abstractNumId="168" w15:restartNumberingAfterBreak="0">
    <w:nsid w:val="40EA1726"/>
    <w:multiLevelType w:val="hybridMultilevel"/>
    <w:tmpl w:val="714E38B2"/>
    <w:lvl w:ilvl="0" w:tplc="5972FE6C">
      <w:start w:val="1"/>
      <w:numFmt w:val="decimal"/>
      <w:lvlText w:val="%1."/>
      <w:lvlJc w:val="left"/>
      <w:pPr>
        <w:ind w:left="1106" w:hanging="227"/>
        <w:jc w:val="left"/>
      </w:pPr>
      <w:rPr>
        <w:rFonts w:ascii="Arial MT" w:eastAsia="Arial MT" w:hAnsi="Arial MT" w:cs="Arial MT" w:hint="default"/>
        <w:b w:val="0"/>
        <w:bCs w:val="0"/>
        <w:i w:val="0"/>
        <w:iCs w:val="0"/>
        <w:spacing w:val="0"/>
        <w:w w:val="100"/>
        <w:sz w:val="20"/>
        <w:szCs w:val="20"/>
        <w:lang w:val="es-ES" w:eastAsia="en-US" w:bidi="ar-SA"/>
      </w:rPr>
    </w:lvl>
    <w:lvl w:ilvl="1" w:tplc="161A52E2">
      <w:numFmt w:val="bullet"/>
      <w:lvlText w:val="•"/>
      <w:lvlJc w:val="left"/>
      <w:pPr>
        <w:ind w:left="2038" w:hanging="227"/>
      </w:pPr>
      <w:rPr>
        <w:rFonts w:hint="default"/>
        <w:lang w:val="es-ES" w:eastAsia="en-US" w:bidi="ar-SA"/>
      </w:rPr>
    </w:lvl>
    <w:lvl w:ilvl="2" w:tplc="044E67F2">
      <w:numFmt w:val="bullet"/>
      <w:lvlText w:val="•"/>
      <w:lvlJc w:val="left"/>
      <w:pPr>
        <w:ind w:left="2977" w:hanging="227"/>
      </w:pPr>
      <w:rPr>
        <w:rFonts w:hint="default"/>
        <w:lang w:val="es-ES" w:eastAsia="en-US" w:bidi="ar-SA"/>
      </w:rPr>
    </w:lvl>
    <w:lvl w:ilvl="3" w:tplc="1EEC91F2">
      <w:numFmt w:val="bullet"/>
      <w:lvlText w:val="•"/>
      <w:lvlJc w:val="left"/>
      <w:pPr>
        <w:ind w:left="3916" w:hanging="227"/>
      </w:pPr>
      <w:rPr>
        <w:rFonts w:hint="default"/>
        <w:lang w:val="es-ES" w:eastAsia="en-US" w:bidi="ar-SA"/>
      </w:rPr>
    </w:lvl>
    <w:lvl w:ilvl="4" w:tplc="7082BA8C">
      <w:numFmt w:val="bullet"/>
      <w:lvlText w:val="•"/>
      <w:lvlJc w:val="left"/>
      <w:pPr>
        <w:ind w:left="4855" w:hanging="227"/>
      </w:pPr>
      <w:rPr>
        <w:rFonts w:hint="default"/>
        <w:lang w:val="es-ES" w:eastAsia="en-US" w:bidi="ar-SA"/>
      </w:rPr>
    </w:lvl>
    <w:lvl w:ilvl="5" w:tplc="09600732">
      <w:numFmt w:val="bullet"/>
      <w:lvlText w:val="•"/>
      <w:lvlJc w:val="left"/>
      <w:pPr>
        <w:ind w:left="5794" w:hanging="227"/>
      </w:pPr>
      <w:rPr>
        <w:rFonts w:hint="default"/>
        <w:lang w:val="es-ES" w:eastAsia="en-US" w:bidi="ar-SA"/>
      </w:rPr>
    </w:lvl>
    <w:lvl w:ilvl="6" w:tplc="7BDADED2">
      <w:numFmt w:val="bullet"/>
      <w:lvlText w:val="•"/>
      <w:lvlJc w:val="left"/>
      <w:pPr>
        <w:ind w:left="6733" w:hanging="227"/>
      </w:pPr>
      <w:rPr>
        <w:rFonts w:hint="default"/>
        <w:lang w:val="es-ES" w:eastAsia="en-US" w:bidi="ar-SA"/>
      </w:rPr>
    </w:lvl>
    <w:lvl w:ilvl="7" w:tplc="A150EBE2">
      <w:numFmt w:val="bullet"/>
      <w:lvlText w:val="•"/>
      <w:lvlJc w:val="left"/>
      <w:pPr>
        <w:ind w:left="7672" w:hanging="227"/>
      </w:pPr>
      <w:rPr>
        <w:rFonts w:hint="default"/>
        <w:lang w:val="es-ES" w:eastAsia="en-US" w:bidi="ar-SA"/>
      </w:rPr>
    </w:lvl>
    <w:lvl w:ilvl="8" w:tplc="C91AA0D4">
      <w:numFmt w:val="bullet"/>
      <w:lvlText w:val="•"/>
      <w:lvlJc w:val="left"/>
      <w:pPr>
        <w:ind w:left="8611" w:hanging="227"/>
      </w:pPr>
      <w:rPr>
        <w:rFonts w:hint="default"/>
        <w:lang w:val="es-ES" w:eastAsia="en-US" w:bidi="ar-SA"/>
      </w:rPr>
    </w:lvl>
  </w:abstractNum>
  <w:abstractNum w:abstractNumId="169" w15:restartNumberingAfterBreak="0">
    <w:nsid w:val="41C44215"/>
    <w:multiLevelType w:val="hybridMultilevel"/>
    <w:tmpl w:val="CF244396"/>
    <w:lvl w:ilvl="0" w:tplc="644E757A">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4DECC664">
      <w:numFmt w:val="bullet"/>
      <w:lvlText w:val="•"/>
      <w:lvlJc w:val="left"/>
      <w:pPr>
        <w:ind w:left="2038" w:hanging="224"/>
      </w:pPr>
      <w:rPr>
        <w:rFonts w:hint="default"/>
        <w:lang w:val="es-ES" w:eastAsia="en-US" w:bidi="ar-SA"/>
      </w:rPr>
    </w:lvl>
    <w:lvl w:ilvl="2" w:tplc="8B3AA3C2">
      <w:numFmt w:val="bullet"/>
      <w:lvlText w:val="•"/>
      <w:lvlJc w:val="left"/>
      <w:pPr>
        <w:ind w:left="2977" w:hanging="224"/>
      </w:pPr>
      <w:rPr>
        <w:rFonts w:hint="default"/>
        <w:lang w:val="es-ES" w:eastAsia="en-US" w:bidi="ar-SA"/>
      </w:rPr>
    </w:lvl>
    <w:lvl w:ilvl="3" w:tplc="F25EBD3A">
      <w:numFmt w:val="bullet"/>
      <w:lvlText w:val="•"/>
      <w:lvlJc w:val="left"/>
      <w:pPr>
        <w:ind w:left="3916" w:hanging="224"/>
      </w:pPr>
      <w:rPr>
        <w:rFonts w:hint="default"/>
        <w:lang w:val="es-ES" w:eastAsia="en-US" w:bidi="ar-SA"/>
      </w:rPr>
    </w:lvl>
    <w:lvl w:ilvl="4" w:tplc="D562BC76">
      <w:numFmt w:val="bullet"/>
      <w:lvlText w:val="•"/>
      <w:lvlJc w:val="left"/>
      <w:pPr>
        <w:ind w:left="4855" w:hanging="224"/>
      </w:pPr>
      <w:rPr>
        <w:rFonts w:hint="default"/>
        <w:lang w:val="es-ES" w:eastAsia="en-US" w:bidi="ar-SA"/>
      </w:rPr>
    </w:lvl>
    <w:lvl w:ilvl="5" w:tplc="9A2ABBC6">
      <w:numFmt w:val="bullet"/>
      <w:lvlText w:val="•"/>
      <w:lvlJc w:val="left"/>
      <w:pPr>
        <w:ind w:left="5794" w:hanging="224"/>
      </w:pPr>
      <w:rPr>
        <w:rFonts w:hint="default"/>
        <w:lang w:val="es-ES" w:eastAsia="en-US" w:bidi="ar-SA"/>
      </w:rPr>
    </w:lvl>
    <w:lvl w:ilvl="6" w:tplc="2D9E6EB4">
      <w:numFmt w:val="bullet"/>
      <w:lvlText w:val="•"/>
      <w:lvlJc w:val="left"/>
      <w:pPr>
        <w:ind w:left="6733" w:hanging="224"/>
      </w:pPr>
      <w:rPr>
        <w:rFonts w:hint="default"/>
        <w:lang w:val="es-ES" w:eastAsia="en-US" w:bidi="ar-SA"/>
      </w:rPr>
    </w:lvl>
    <w:lvl w:ilvl="7" w:tplc="828A898A">
      <w:numFmt w:val="bullet"/>
      <w:lvlText w:val="•"/>
      <w:lvlJc w:val="left"/>
      <w:pPr>
        <w:ind w:left="7672" w:hanging="224"/>
      </w:pPr>
      <w:rPr>
        <w:rFonts w:hint="default"/>
        <w:lang w:val="es-ES" w:eastAsia="en-US" w:bidi="ar-SA"/>
      </w:rPr>
    </w:lvl>
    <w:lvl w:ilvl="8" w:tplc="EA08DCE2">
      <w:numFmt w:val="bullet"/>
      <w:lvlText w:val="•"/>
      <w:lvlJc w:val="left"/>
      <w:pPr>
        <w:ind w:left="8611" w:hanging="224"/>
      </w:pPr>
      <w:rPr>
        <w:rFonts w:hint="default"/>
        <w:lang w:val="es-ES" w:eastAsia="en-US" w:bidi="ar-SA"/>
      </w:rPr>
    </w:lvl>
  </w:abstractNum>
  <w:abstractNum w:abstractNumId="170" w15:restartNumberingAfterBreak="0">
    <w:nsid w:val="42004C43"/>
    <w:multiLevelType w:val="hybridMultilevel"/>
    <w:tmpl w:val="DDEEA3E2"/>
    <w:lvl w:ilvl="0" w:tplc="C20498B2">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85D6E54C">
      <w:numFmt w:val="bullet"/>
      <w:lvlText w:val="•"/>
      <w:lvlJc w:val="left"/>
      <w:pPr>
        <w:ind w:left="2038" w:hanging="229"/>
      </w:pPr>
      <w:rPr>
        <w:rFonts w:hint="default"/>
        <w:lang w:val="es-ES" w:eastAsia="en-US" w:bidi="ar-SA"/>
      </w:rPr>
    </w:lvl>
    <w:lvl w:ilvl="2" w:tplc="345C0B80">
      <w:numFmt w:val="bullet"/>
      <w:lvlText w:val="•"/>
      <w:lvlJc w:val="left"/>
      <w:pPr>
        <w:ind w:left="2977" w:hanging="229"/>
      </w:pPr>
      <w:rPr>
        <w:rFonts w:hint="default"/>
        <w:lang w:val="es-ES" w:eastAsia="en-US" w:bidi="ar-SA"/>
      </w:rPr>
    </w:lvl>
    <w:lvl w:ilvl="3" w:tplc="69AC72C4">
      <w:numFmt w:val="bullet"/>
      <w:lvlText w:val="•"/>
      <w:lvlJc w:val="left"/>
      <w:pPr>
        <w:ind w:left="3916" w:hanging="229"/>
      </w:pPr>
      <w:rPr>
        <w:rFonts w:hint="default"/>
        <w:lang w:val="es-ES" w:eastAsia="en-US" w:bidi="ar-SA"/>
      </w:rPr>
    </w:lvl>
    <w:lvl w:ilvl="4" w:tplc="3DB23D04">
      <w:numFmt w:val="bullet"/>
      <w:lvlText w:val="•"/>
      <w:lvlJc w:val="left"/>
      <w:pPr>
        <w:ind w:left="4855" w:hanging="229"/>
      </w:pPr>
      <w:rPr>
        <w:rFonts w:hint="default"/>
        <w:lang w:val="es-ES" w:eastAsia="en-US" w:bidi="ar-SA"/>
      </w:rPr>
    </w:lvl>
    <w:lvl w:ilvl="5" w:tplc="2526A0A6">
      <w:numFmt w:val="bullet"/>
      <w:lvlText w:val="•"/>
      <w:lvlJc w:val="left"/>
      <w:pPr>
        <w:ind w:left="5794" w:hanging="229"/>
      </w:pPr>
      <w:rPr>
        <w:rFonts w:hint="default"/>
        <w:lang w:val="es-ES" w:eastAsia="en-US" w:bidi="ar-SA"/>
      </w:rPr>
    </w:lvl>
    <w:lvl w:ilvl="6" w:tplc="67B608E0">
      <w:numFmt w:val="bullet"/>
      <w:lvlText w:val="•"/>
      <w:lvlJc w:val="left"/>
      <w:pPr>
        <w:ind w:left="6733" w:hanging="229"/>
      </w:pPr>
      <w:rPr>
        <w:rFonts w:hint="default"/>
        <w:lang w:val="es-ES" w:eastAsia="en-US" w:bidi="ar-SA"/>
      </w:rPr>
    </w:lvl>
    <w:lvl w:ilvl="7" w:tplc="D3DA0B3A">
      <w:numFmt w:val="bullet"/>
      <w:lvlText w:val="•"/>
      <w:lvlJc w:val="left"/>
      <w:pPr>
        <w:ind w:left="7672" w:hanging="229"/>
      </w:pPr>
      <w:rPr>
        <w:rFonts w:hint="default"/>
        <w:lang w:val="es-ES" w:eastAsia="en-US" w:bidi="ar-SA"/>
      </w:rPr>
    </w:lvl>
    <w:lvl w:ilvl="8" w:tplc="1100AB82">
      <w:numFmt w:val="bullet"/>
      <w:lvlText w:val="•"/>
      <w:lvlJc w:val="left"/>
      <w:pPr>
        <w:ind w:left="8611" w:hanging="229"/>
      </w:pPr>
      <w:rPr>
        <w:rFonts w:hint="default"/>
        <w:lang w:val="es-ES" w:eastAsia="en-US" w:bidi="ar-SA"/>
      </w:rPr>
    </w:lvl>
  </w:abstractNum>
  <w:abstractNum w:abstractNumId="171" w15:restartNumberingAfterBreak="0">
    <w:nsid w:val="42F276B9"/>
    <w:multiLevelType w:val="hybridMultilevel"/>
    <w:tmpl w:val="E0B2BA96"/>
    <w:lvl w:ilvl="0" w:tplc="C6B46E20">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2ED28ACE">
      <w:numFmt w:val="bullet"/>
      <w:lvlText w:val="•"/>
      <w:lvlJc w:val="left"/>
      <w:pPr>
        <w:ind w:left="661" w:hanging="103"/>
      </w:pPr>
      <w:rPr>
        <w:rFonts w:hint="default"/>
        <w:lang w:val="es-ES" w:eastAsia="en-US" w:bidi="ar-SA"/>
      </w:rPr>
    </w:lvl>
    <w:lvl w:ilvl="2" w:tplc="991A2844">
      <w:numFmt w:val="bullet"/>
      <w:lvlText w:val="•"/>
      <w:lvlJc w:val="left"/>
      <w:pPr>
        <w:ind w:left="1283" w:hanging="103"/>
      </w:pPr>
      <w:rPr>
        <w:rFonts w:hint="default"/>
        <w:lang w:val="es-ES" w:eastAsia="en-US" w:bidi="ar-SA"/>
      </w:rPr>
    </w:lvl>
    <w:lvl w:ilvl="3" w:tplc="2B4C7050">
      <w:numFmt w:val="bullet"/>
      <w:lvlText w:val="•"/>
      <w:lvlJc w:val="left"/>
      <w:pPr>
        <w:ind w:left="1905" w:hanging="103"/>
      </w:pPr>
      <w:rPr>
        <w:rFonts w:hint="default"/>
        <w:lang w:val="es-ES" w:eastAsia="en-US" w:bidi="ar-SA"/>
      </w:rPr>
    </w:lvl>
    <w:lvl w:ilvl="4" w:tplc="1B30755C">
      <w:numFmt w:val="bullet"/>
      <w:lvlText w:val="•"/>
      <w:lvlJc w:val="left"/>
      <w:pPr>
        <w:ind w:left="2526" w:hanging="103"/>
      </w:pPr>
      <w:rPr>
        <w:rFonts w:hint="default"/>
        <w:lang w:val="es-ES" w:eastAsia="en-US" w:bidi="ar-SA"/>
      </w:rPr>
    </w:lvl>
    <w:lvl w:ilvl="5" w:tplc="AD923C8E">
      <w:numFmt w:val="bullet"/>
      <w:lvlText w:val="•"/>
      <w:lvlJc w:val="left"/>
      <w:pPr>
        <w:ind w:left="3148" w:hanging="103"/>
      </w:pPr>
      <w:rPr>
        <w:rFonts w:hint="default"/>
        <w:lang w:val="es-ES" w:eastAsia="en-US" w:bidi="ar-SA"/>
      </w:rPr>
    </w:lvl>
    <w:lvl w:ilvl="6" w:tplc="9A9CBF06">
      <w:numFmt w:val="bullet"/>
      <w:lvlText w:val="•"/>
      <w:lvlJc w:val="left"/>
      <w:pPr>
        <w:ind w:left="3770" w:hanging="103"/>
      </w:pPr>
      <w:rPr>
        <w:rFonts w:hint="default"/>
        <w:lang w:val="es-ES" w:eastAsia="en-US" w:bidi="ar-SA"/>
      </w:rPr>
    </w:lvl>
    <w:lvl w:ilvl="7" w:tplc="F4E0CDBE">
      <w:numFmt w:val="bullet"/>
      <w:lvlText w:val="•"/>
      <w:lvlJc w:val="left"/>
      <w:pPr>
        <w:ind w:left="4391" w:hanging="103"/>
      </w:pPr>
      <w:rPr>
        <w:rFonts w:hint="default"/>
        <w:lang w:val="es-ES" w:eastAsia="en-US" w:bidi="ar-SA"/>
      </w:rPr>
    </w:lvl>
    <w:lvl w:ilvl="8" w:tplc="98F4424C">
      <w:numFmt w:val="bullet"/>
      <w:lvlText w:val="•"/>
      <w:lvlJc w:val="left"/>
      <w:pPr>
        <w:ind w:left="5013" w:hanging="103"/>
      </w:pPr>
      <w:rPr>
        <w:rFonts w:hint="default"/>
        <w:lang w:val="es-ES" w:eastAsia="en-US" w:bidi="ar-SA"/>
      </w:rPr>
    </w:lvl>
  </w:abstractNum>
  <w:abstractNum w:abstractNumId="172" w15:restartNumberingAfterBreak="0">
    <w:nsid w:val="439D24C7"/>
    <w:multiLevelType w:val="hybridMultilevel"/>
    <w:tmpl w:val="46F80374"/>
    <w:lvl w:ilvl="0" w:tplc="BFCA1872">
      <w:start w:val="1"/>
      <w:numFmt w:val="decimal"/>
      <w:lvlText w:val="%1."/>
      <w:lvlJc w:val="left"/>
      <w:pPr>
        <w:ind w:left="1106" w:hanging="322"/>
        <w:jc w:val="left"/>
      </w:pPr>
      <w:rPr>
        <w:rFonts w:ascii="Arial MT" w:eastAsia="Arial MT" w:hAnsi="Arial MT" w:cs="Arial MT" w:hint="default"/>
        <w:b w:val="0"/>
        <w:bCs w:val="0"/>
        <w:i w:val="0"/>
        <w:iCs w:val="0"/>
        <w:spacing w:val="0"/>
        <w:w w:val="100"/>
        <w:sz w:val="20"/>
        <w:szCs w:val="20"/>
        <w:lang w:val="es-ES" w:eastAsia="en-US" w:bidi="ar-SA"/>
      </w:rPr>
    </w:lvl>
    <w:lvl w:ilvl="1" w:tplc="22461EE8">
      <w:start w:val="1"/>
      <w:numFmt w:val="lowerLetter"/>
      <w:lvlText w:val="%2)"/>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2" w:tplc="3508C478">
      <w:numFmt w:val="bullet"/>
      <w:lvlText w:val="•"/>
      <w:lvlJc w:val="left"/>
      <w:pPr>
        <w:ind w:left="2977" w:hanging="261"/>
      </w:pPr>
      <w:rPr>
        <w:rFonts w:hint="default"/>
        <w:lang w:val="es-ES" w:eastAsia="en-US" w:bidi="ar-SA"/>
      </w:rPr>
    </w:lvl>
    <w:lvl w:ilvl="3" w:tplc="EAA8E5AC">
      <w:numFmt w:val="bullet"/>
      <w:lvlText w:val="•"/>
      <w:lvlJc w:val="left"/>
      <w:pPr>
        <w:ind w:left="3916" w:hanging="261"/>
      </w:pPr>
      <w:rPr>
        <w:rFonts w:hint="default"/>
        <w:lang w:val="es-ES" w:eastAsia="en-US" w:bidi="ar-SA"/>
      </w:rPr>
    </w:lvl>
    <w:lvl w:ilvl="4" w:tplc="AAC829FA">
      <w:numFmt w:val="bullet"/>
      <w:lvlText w:val="•"/>
      <w:lvlJc w:val="left"/>
      <w:pPr>
        <w:ind w:left="4855" w:hanging="261"/>
      </w:pPr>
      <w:rPr>
        <w:rFonts w:hint="default"/>
        <w:lang w:val="es-ES" w:eastAsia="en-US" w:bidi="ar-SA"/>
      </w:rPr>
    </w:lvl>
    <w:lvl w:ilvl="5" w:tplc="B85AEF2E">
      <w:numFmt w:val="bullet"/>
      <w:lvlText w:val="•"/>
      <w:lvlJc w:val="left"/>
      <w:pPr>
        <w:ind w:left="5794" w:hanging="261"/>
      </w:pPr>
      <w:rPr>
        <w:rFonts w:hint="default"/>
        <w:lang w:val="es-ES" w:eastAsia="en-US" w:bidi="ar-SA"/>
      </w:rPr>
    </w:lvl>
    <w:lvl w:ilvl="6" w:tplc="6562EBCA">
      <w:numFmt w:val="bullet"/>
      <w:lvlText w:val="•"/>
      <w:lvlJc w:val="left"/>
      <w:pPr>
        <w:ind w:left="6733" w:hanging="261"/>
      </w:pPr>
      <w:rPr>
        <w:rFonts w:hint="default"/>
        <w:lang w:val="es-ES" w:eastAsia="en-US" w:bidi="ar-SA"/>
      </w:rPr>
    </w:lvl>
    <w:lvl w:ilvl="7" w:tplc="4AF2BD48">
      <w:numFmt w:val="bullet"/>
      <w:lvlText w:val="•"/>
      <w:lvlJc w:val="left"/>
      <w:pPr>
        <w:ind w:left="7672" w:hanging="261"/>
      </w:pPr>
      <w:rPr>
        <w:rFonts w:hint="default"/>
        <w:lang w:val="es-ES" w:eastAsia="en-US" w:bidi="ar-SA"/>
      </w:rPr>
    </w:lvl>
    <w:lvl w:ilvl="8" w:tplc="10A83E44">
      <w:numFmt w:val="bullet"/>
      <w:lvlText w:val="•"/>
      <w:lvlJc w:val="left"/>
      <w:pPr>
        <w:ind w:left="8611" w:hanging="261"/>
      </w:pPr>
      <w:rPr>
        <w:rFonts w:hint="default"/>
        <w:lang w:val="es-ES" w:eastAsia="en-US" w:bidi="ar-SA"/>
      </w:rPr>
    </w:lvl>
  </w:abstractNum>
  <w:abstractNum w:abstractNumId="173" w15:restartNumberingAfterBreak="0">
    <w:nsid w:val="44610EB5"/>
    <w:multiLevelType w:val="hybridMultilevel"/>
    <w:tmpl w:val="CF5A31FA"/>
    <w:lvl w:ilvl="0" w:tplc="CC1E4A7A">
      <w:start w:val="1"/>
      <w:numFmt w:val="decimal"/>
      <w:lvlText w:val="%1."/>
      <w:lvlJc w:val="left"/>
      <w:pPr>
        <w:ind w:left="1106" w:hanging="242"/>
        <w:jc w:val="left"/>
      </w:pPr>
      <w:rPr>
        <w:rFonts w:ascii="Arial MT" w:eastAsia="Arial MT" w:hAnsi="Arial MT" w:cs="Arial MT" w:hint="default"/>
        <w:b w:val="0"/>
        <w:bCs w:val="0"/>
        <w:i w:val="0"/>
        <w:iCs w:val="0"/>
        <w:spacing w:val="0"/>
        <w:w w:val="100"/>
        <w:sz w:val="20"/>
        <w:szCs w:val="20"/>
        <w:lang w:val="es-ES" w:eastAsia="en-US" w:bidi="ar-SA"/>
      </w:rPr>
    </w:lvl>
    <w:lvl w:ilvl="1" w:tplc="7814335C">
      <w:start w:val="1"/>
      <w:numFmt w:val="lowerLetter"/>
      <w:lvlText w:val="%2)"/>
      <w:lvlJc w:val="left"/>
      <w:pPr>
        <w:ind w:left="1106" w:hanging="284"/>
        <w:jc w:val="left"/>
      </w:pPr>
      <w:rPr>
        <w:rFonts w:ascii="Arial MT" w:eastAsia="Arial MT" w:hAnsi="Arial MT" w:cs="Arial MT" w:hint="default"/>
        <w:b w:val="0"/>
        <w:bCs w:val="0"/>
        <w:i w:val="0"/>
        <w:iCs w:val="0"/>
        <w:spacing w:val="0"/>
        <w:w w:val="100"/>
        <w:sz w:val="20"/>
        <w:szCs w:val="20"/>
        <w:lang w:val="es-ES" w:eastAsia="en-US" w:bidi="ar-SA"/>
      </w:rPr>
    </w:lvl>
    <w:lvl w:ilvl="2" w:tplc="A3A47A92">
      <w:numFmt w:val="bullet"/>
      <w:lvlText w:val="•"/>
      <w:lvlJc w:val="left"/>
      <w:pPr>
        <w:ind w:left="2977" w:hanging="284"/>
      </w:pPr>
      <w:rPr>
        <w:rFonts w:hint="default"/>
        <w:lang w:val="es-ES" w:eastAsia="en-US" w:bidi="ar-SA"/>
      </w:rPr>
    </w:lvl>
    <w:lvl w:ilvl="3" w:tplc="C610C6CA">
      <w:numFmt w:val="bullet"/>
      <w:lvlText w:val="•"/>
      <w:lvlJc w:val="left"/>
      <w:pPr>
        <w:ind w:left="3916" w:hanging="284"/>
      </w:pPr>
      <w:rPr>
        <w:rFonts w:hint="default"/>
        <w:lang w:val="es-ES" w:eastAsia="en-US" w:bidi="ar-SA"/>
      </w:rPr>
    </w:lvl>
    <w:lvl w:ilvl="4" w:tplc="C02C110E">
      <w:numFmt w:val="bullet"/>
      <w:lvlText w:val="•"/>
      <w:lvlJc w:val="left"/>
      <w:pPr>
        <w:ind w:left="4855" w:hanging="284"/>
      </w:pPr>
      <w:rPr>
        <w:rFonts w:hint="default"/>
        <w:lang w:val="es-ES" w:eastAsia="en-US" w:bidi="ar-SA"/>
      </w:rPr>
    </w:lvl>
    <w:lvl w:ilvl="5" w:tplc="ADDC865C">
      <w:numFmt w:val="bullet"/>
      <w:lvlText w:val="•"/>
      <w:lvlJc w:val="left"/>
      <w:pPr>
        <w:ind w:left="5794" w:hanging="284"/>
      </w:pPr>
      <w:rPr>
        <w:rFonts w:hint="default"/>
        <w:lang w:val="es-ES" w:eastAsia="en-US" w:bidi="ar-SA"/>
      </w:rPr>
    </w:lvl>
    <w:lvl w:ilvl="6" w:tplc="0D0AB8E0">
      <w:numFmt w:val="bullet"/>
      <w:lvlText w:val="•"/>
      <w:lvlJc w:val="left"/>
      <w:pPr>
        <w:ind w:left="6733" w:hanging="284"/>
      </w:pPr>
      <w:rPr>
        <w:rFonts w:hint="default"/>
        <w:lang w:val="es-ES" w:eastAsia="en-US" w:bidi="ar-SA"/>
      </w:rPr>
    </w:lvl>
    <w:lvl w:ilvl="7" w:tplc="F01E4CD0">
      <w:numFmt w:val="bullet"/>
      <w:lvlText w:val="•"/>
      <w:lvlJc w:val="left"/>
      <w:pPr>
        <w:ind w:left="7672" w:hanging="284"/>
      </w:pPr>
      <w:rPr>
        <w:rFonts w:hint="default"/>
        <w:lang w:val="es-ES" w:eastAsia="en-US" w:bidi="ar-SA"/>
      </w:rPr>
    </w:lvl>
    <w:lvl w:ilvl="8" w:tplc="1E90F168">
      <w:numFmt w:val="bullet"/>
      <w:lvlText w:val="•"/>
      <w:lvlJc w:val="left"/>
      <w:pPr>
        <w:ind w:left="8611" w:hanging="284"/>
      </w:pPr>
      <w:rPr>
        <w:rFonts w:hint="default"/>
        <w:lang w:val="es-ES" w:eastAsia="en-US" w:bidi="ar-SA"/>
      </w:rPr>
    </w:lvl>
  </w:abstractNum>
  <w:abstractNum w:abstractNumId="174" w15:restartNumberingAfterBreak="0">
    <w:nsid w:val="44814D3C"/>
    <w:multiLevelType w:val="hybridMultilevel"/>
    <w:tmpl w:val="7472CCF0"/>
    <w:lvl w:ilvl="0" w:tplc="A914D45C">
      <w:start w:val="1"/>
      <w:numFmt w:val="decimal"/>
      <w:lvlText w:val="%1."/>
      <w:lvlJc w:val="left"/>
      <w:pPr>
        <w:ind w:left="1106" w:hanging="302"/>
        <w:jc w:val="left"/>
      </w:pPr>
      <w:rPr>
        <w:rFonts w:ascii="Arial MT" w:eastAsia="Arial MT" w:hAnsi="Arial MT" w:cs="Arial MT" w:hint="default"/>
        <w:b w:val="0"/>
        <w:bCs w:val="0"/>
        <w:i w:val="0"/>
        <w:iCs w:val="0"/>
        <w:spacing w:val="0"/>
        <w:w w:val="100"/>
        <w:sz w:val="20"/>
        <w:szCs w:val="20"/>
        <w:lang w:val="es-ES" w:eastAsia="en-US" w:bidi="ar-SA"/>
      </w:rPr>
    </w:lvl>
    <w:lvl w:ilvl="1" w:tplc="63C61CE0">
      <w:start w:val="1"/>
      <w:numFmt w:val="lowerLetter"/>
      <w:lvlText w:val="%2)"/>
      <w:lvlJc w:val="left"/>
      <w:pPr>
        <w:ind w:left="1106" w:hanging="301"/>
        <w:jc w:val="left"/>
      </w:pPr>
      <w:rPr>
        <w:rFonts w:ascii="Arial MT" w:eastAsia="Arial MT" w:hAnsi="Arial MT" w:cs="Arial MT" w:hint="default"/>
        <w:b w:val="0"/>
        <w:bCs w:val="0"/>
        <w:i w:val="0"/>
        <w:iCs w:val="0"/>
        <w:spacing w:val="0"/>
        <w:w w:val="100"/>
        <w:sz w:val="20"/>
        <w:szCs w:val="20"/>
        <w:lang w:val="es-ES" w:eastAsia="en-US" w:bidi="ar-SA"/>
      </w:rPr>
    </w:lvl>
    <w:lvl w:ilvl="2" w:tplc="3C4EE6B0">
      <w:numFmt w:val="bullet"/>
      <w:lvlText w:val="•"/>
      <w:lvlJc w:val="left"/>
      <w:pPr>
        <w:ind w:left="2977" w:hanging="301"/>
      </w:pPr>
      <w:rPr>
        <w:rFonts w:hint="default"/>
        <w:lang w:val="es-ES" w:eastAsia="en-US" w:bidi="ar-SA"/>
      </w:rPr>
    </w:lvl>
    <w:lvl w:ilvl="3" w:tplc="9D8EF3D0">
      <w:numFmt w:val="bullet"/>
      <w:lvlText w:val="•"/>
      <w:lvlJc w:val="left"/>
      <w:pPr>
        <w:ind w:left="3916" w:hanging="301"/>
      </w:pPr>
      <w:rPr>
        <w:rFonts w:hint="default"/>
        <w:lang w:val="es-ES" w:eastAsia="en-US" w:bidi="ar-SA"/>
      </w:rPr>
    </w:lvl>
    <w:lvl w:ilvl="4" w:tplc="276E07EA">
      <w:numFmt w:val="bullet"/>
      <w:lvlText w:val="•"/>
      <w:lvlJc w:val="left"/>
      <w:pPr>
        <w:ind w:left="4855" w:hanging="301"/>
      </w:pPr>
      <w:rPr>
        <w:rFonts w:hint="default"/>
        <w:lang w:val="es-ES" w:eastAsia="en-US" w:bidi="ar-SA"/>
      </w:rPr>
    </w:lvl>
    <w:lvl w:ilvl="5" w:tplc="0D861282">
      <w:numFmt w:val="bullet"/>
      <w:lvlText w:val="•"/>
      <w:lvlJc w:val="left"/>
      <w:pPr>
        <w:ind w:left="5794" w:hanging="301"/>
      </w:pPr>
      <w:rPr>
        <w:rFonts w:hint="default"/>
        <w:lang w:val="es-ES" w:eastAsia="en-US" w:bidi="ar-SA"/>
      </w:rPr>
    </w:lvl>
    <w:lvl w:ilvl="6" w:tplc="71F65100">
      <w:numFmt w:val="bullet"/>
      <w:lvlText w:val="•"/>
      <w:lvlJc w:val="left"/>
      <w:pPr>
        <w:ind w:left="6733" w:hanging="301"/>
      </w:pPr>
      <w:rPr>
        <w:rFonts w:hint="default"/>
        <w:lang w:val="es-ES" w:eastAsia="en-US" w:bidi="ar-SA"/>
      </w:rPr>
    </w:lvl>
    <w:lvl w:ilvl="7" w:tplc="F0A46BA6">
      <w:numFmt w:val="bullet"/>
      <w:lvlText w:val="•"/>
      <w:lvlJc w:val="left"/>
      <w:pPr>
        <w:ind w:left="7672" w:hanging="301"/>
      </w:pPr>
      <w:rPr>
        <w:rFonts w:hint="default"/>
        <w:lang w:val="es-ES" w:eastAsia="en-US" w:bidi="ar-SA"/>
      </w:rPr>
    </w:lvl>
    <w:lvl w:ilvl="8" w:tplc="28D86090">
      <w:numFmt w:val="bullet"/>
      <w:lvlText w:val="•"/>
      <w:lvlJc w:val="left"/>
      <w:pPr>
        <w:ind w:left="8611" w:hanging="301"/>
      </w:pPr>
      <w:rPr>
        <w:rFonts w:hint="default"/>
        <w:lang w:val="es-ES" w:eastAsia="en-US" w:bidi="ar-SA"/>
      </w:rPr>
    </w:lvl>
  </w:abstractNum>
  <w:abstractNum w:abstractNumId="175" w15:restartNumberingAfterBreak="0">
    <w:nsid w:val="448D23B2"/>
    <w:multiLevelType w:val="hybridMultilevel"/>
    <w:tmpl w:val="5CA80FD4"/>
    <w:lvl w:ilvl="0" w:tplc="948407A0">
      <w:start w:val="1"/>
      <w:numFmt w:val="decimal"/>
      <w:lvlText w:val="%1."/>
      <w:lvlJc w:val="left"/>
      <w:pPr>
        <w:ind w:left="1106" w:hanging="279"/>
        <w:jc w:val="left"/>
      </w:pPr>
      <w:rPr>
        <w:rFonts w:ascii="Arial MT" w:eastAsia="Arial MT" w:hAnsi="Arial MT" w:cs="Arial MT" w:hint="default"/>
        <w:b w:val="0"/>
        <w:bCs w:val="0"/>
        <w:i w:val="0"/>
        <w:iCs w:val="0"/>
        <w:spacing w:val="0"/>
        <w:w w:val="100"/>
        <w:sz w:val="20"/>
        <w:szCs w:val="20"/>
        <w:lang w:val="es-ES" w:eastAsia="en-US" w:bidi="ar-SA"/>
      </w:rPr>
    </w:lvl>
    <w:lvl w:ilvl="1" w:tplc="BD96C88E">
      <w:numFmt w:val="bullet"/>
      <w:lvlText w:val="•"/>
      <w:lvlJc w:val="left"/>
      <w:pPr>
        <w:ind w:left="2038" w:hanging="279"/>
      </w:pPr>
      <w:rPr>
        <w:rFonts w:hint="default"/>
        <w:lang w:val="es-ES" w:eastAsia="en-US" w:bidi="ar-SA"/>
      </w:rPr>
    </w:lvl>
    <w:lvl w:ilvl="2" w:tplc="68223790">
      <w:numFmt w:val="bullet"/>
      <w:lvlText w:val="•"/>
      <w:lvlJc w:val="left"/>
      <w:pPr>
        <w:ind w:left="2977" w:hanging="279"/>
      </w:pPr>
      <w:rPr>
        <w:rFonts w:hint="default"/>
        <w:lang w:val="es-ES" w:eastAsia="en-US" w:bidi="ar-SA"/>
      </w:rPr>
    </w:lvl>
    <w:lvl w:ilvl="3" w:tplc="1444CD02">
      <w:numFmt w:val="bullet"/>
      <w:lvlText w:val="•"/>
      <w:lvlJc w:val="left"/>
      <w:pPr>
        <w:ind w:left="3916" w:hanging="279"/>
      </w:pPr>
      <w:rPr>
        <w:rFonts w:hint="default"/>
        <w:lang w:val="es-ES" w:eastAsia="en-US" w:bidi="ar-SA"/>
      </w:rPr>
    </w:lvl>
    <w:lvl w:ilvl="4" w:tplc="3EC6A744">
      <w:numFmt w:val="bullet"/>
      <w:lvlText w:val="•"/>
      <w:lvlJc w:val="left"/>
      <w:pPr>
        <w:ind w:left="4855" w:hanging="279"/>
      </w:pPr>
      <w:rPr>
        <w:rFonts w:hint="default"/>
        <w:lang w:val="es-ES" w:eastAsia="en-US" w:bidi="ar-SA"/>
      </w:rPr>
    </w:lvl>
    <w:lvl w:ilvl="5" w:tplc="7C2AD190">
      <w:numFmt w:val="bullet"/>
      <w:lvlText w:val="•"/>
      <w:lvlJc w:val="left"/>
      <w:pPr>
        <w:ind w:left="5794" w:hanging="279"/>
      </w:pPr>
      <w:rPr>
        <w:rFonts w:hint="default"/>
        <w:lang w:val="es-ES" w:eastAsia="en-US" w:bidi="ar-SA"/>
      </w:rPr>
    </w:lvl>
    <w:lvl w:ilvl="6" w:tplc="21262B7E">
      <w:numFmt w:val="bullet"/>
      <w:lvlText w:val="•"/>
      <w:lvlJc w:val="left"/>
      <w:pPr>
        <w:ind w:left="6733" w:hanging="279"/>
      </w:pPr>
      <w:rPr>
        <w:rFonts w:hint="default"/>
        <w:lang w:val="es-ES" w:eastAsia="en-US" w:bidi="ar-SA"/>
      </w:rPr>
    </w:lvl>
    <w:lvl w:ilvl="7" w:tplc="0F6E553E">
      <w:numFmt w:val="bullet"/>
      <w:lvlText w:val="•"/>
      <w:lvlJc w:val="left"/>
      <w:pPr>
        <w:ind w:left="7672" w:hanging="279"/>
      </w:pPr>
      <w:rPr>
        <w:rFonts w:hint="default"/>
        <w:lang w:val="es-ES" w:eastAsia="en-US" w:bidi="ar-SA"/>
      </w:rPr>
    </w:lvl>
    <w:lvl w:ilvl="8" w:tplc="A4862D04">
      <w:numFmt w:val="bullet"/>
      <w:lvlText w:val="•"/>
      <w:lvlJc w:val="left"/>
      <w:pPr>
        <w:ind w:left="8611" w:hanging="279"/>
      </w:pPr>
      <w:rPr>
        <w:rFonts w:hint="default"/>
        <w:lang w:val="es-ES" w:eastAsia="en-US" w:bidi="ar-SA"/>
      </w:rPr>
    </w:lvl>
  </w:abstractNum>
  <w:abstractNum w:abstractNumId="176" w15:restartNumberingAfterBreak="0">
    <w:nsid w:val="44BF26AD"/>
    <w:multiLevelType w:val="hybridMultilevel"/>
    <w:tmpl w:val="D7DC9CCC"/>
    <w:lvl w:ilvl="0" w:tplc="B68A80A8">
      <w:start w:val="1"/>
      <w:numFmt w:val="decimal"/>
      <w:lvlText w:val="%1."/>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1" w:tplc="0EC2944C">
      <w:start w:val="1"/>
      <w:numFmt w:val="lowerLetter"/>
      <w:lvlText w:val="%2)"/>
      <w:lvlJc w:val="left"/>
      <w:pPr>
        <w:ind w:left="1106" w:hanging="242"/>
        <w:jc w:val="left"/>
      </w:pPr>
      <w:rPr>
        <w:rFonts w:ascii="Arial MT" w:eastAsia="Arial MT" w:hAnsi="Arial MT" w:cs="Arial MT" w:hint="default"/>
        <w:b w:val="0"/>
        <w:bCs w:val="0"/>
        <w:i w:val="0"/>
        <w:iCs w:val="0"/>
        <w:spacing w:val="0"/>
        <w:w w:val="100"/>
        <w:sz w:val="20"/>
        <w:szCs w:val="20"/>
        <w:lang w:val="es-ES" w:eastAsia="en-US" w:bidi="ar-SA"/>
      </w:rPr>
    </w:lvl>
    <w:lvl w:ilvl="2" w:tplc="93246922">
      <w:numFmt w:val="bullet"/>
      <w:lvlText w:val="•"/>
      <w:lvlJc w:val="left"/>
      <w:pPr>
        <w:ind w:left="2977" w:hanging="242"/>
      </w:pPr>
      <w:rPr>
        <w:rFonts w:hint="default"/>
        <w:lang w:val="es-ES" w:eastAsia="en-US" w:bidi="ar-SA"/>
      </w:rPr>
    </w:lvl>
    <w:lvl w:ilvl="3" w:tplc="D0A6F134">
      <w:numFmt w:val="bullet"/>
      <w:lvlText w:val="•"/>
      <w:lvlJc w:val="left"/>
      <w:pPr>
        <w:ind w:left="3916" w:hanging="242"/>
      </w:pPr>
      <w:rPr>
        <w:rFonts w:hint="default"/>
        <w:lang w:val="es-ES" w:eastAsia="en-US" w:bidi="ar-SA"/>
      </w:rPr>
    </w:lvl>
    <w:lvl w:ilvl="4" w:tplc="F058EA28">
      <w:numFmt w:val="bullet"/>
      <w:lvlText w:val="•"/>
      <w:lvlJc w:val="left"/>
      <w:pPr>
        <w:ind w:left="4855" w:hanging="242"/>
      </w:pPr>
      <w:rPr>
        <w:rFonts w:hint="default"/>
        <w:lang w:val="es-ES" w:eastAsia="en-US" w:bidi="ar-SA"/>
      </w:rPr>
    </w:lvl>
    <w:lvl w:ilvl="5" w:tplc="B67ADD98">
      <w:numFmt w:val="bullet"/>
      <w:lvlText w:val="•"/>
      <w:lvlJc w:val="left"/>
      <w:pPr>
        <w:ind w:left="5794" w:hanging="242"/>
      </w:pPr>
      <w:rPr>
        <w:rFonts w:hint="default"/>
        <w:lang w:val="es-ES" w:eastAsia="en-US" w:bidi="ar-SA"/>
      </w:rPr>
    </w:lvl>
    <w:lvl w:ilvl="6" w:tplc="B64CF838">
      <w:numFmt w:val="bullet"/>
      <w:lvlText w:val="•"/>
      <w:lvlJc w:val="left"/>
      <w:pPr>
        <w:ind w:left="6733" w:hanging="242"/>
      </w:pPr>
      <w:rPr>
        <w:rFonts w:hint="default"/>
        <w:lang w:val="es-ES" w:eastAsia="en-US" w:bidi="ar-SA"/>
      </w:rPr>
    </w:lvl>
    <w:lvl w:ilvl="7" w:tplc="068EDFA6">
      <w:numFmt w:val="bullet"/>
      <w:lvlText w:val="•"/>
      <w:lvlJc w:val="left"/>
      <w:pPr>
        <w:ind w:left="7672" w:hanging="242"/>
      </w:pPr>
      <w:rPr>
        <w:rFonts w:hint="default"/>
        <w:lang w:val="es-ES" w:eastAsia="en-US" w:bidi="ar-SA"/>
      </w:rPr>
    </w:lvl>
    <w:lvl w:ilvl="8" w:tplc="8CC62B2C">
      <w:numFmt w:val="bullet"/>
      <w:lvlText w:val="•"/>
      <w:lvlJc w:val="left"/>
      <w:pPr>
        <w:ind w:left="8611" w:hanging="242"/>
      </w:pPr>
      <w:rPr>
        <w:rFonts w:hint="default"/>
        <w:lang w:val="es-ES" w:eastAsia="en-US" w:bidi="ar-SA"/>
      </w:rPr>
    </w:lvl>
  </w:abstractNum>
  <w:abstractNum w:abstractNumId="177" w15:restartNumberingAfterBreak="0">
    <w:nsid w:val="44C87EAA"/>
    <w:multiLevelType w:val="hybridMultilevel"/>
    <w:tmpl w:val="1B60883E"/>
    <w:lvl w:ilvl="0" w:tplc="390AC644">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B5620128">
      <w:numFmt w:val="bullet"/>
      <w:lvlText w:val="•"/>
      <w:lvlJc w:val="left"/>
      <w:pPr>
        <w:ind w:left="661" w:hanging="103"/>
      </w:pPr>
      <w:rPr>
        <w:rFonts w:hint="default"/>
        <w:lang w:val="es-ES" w:eastAsia="en-US" w:bidi="ar-SA"/>
      </w:rPr>
    </w:lvl>
    <w:lvl w:ilvl="2" w:tplc="DA6C160A">
      <w:numFmt w:val="bullet"/>
      <w:lvlText w:val="•"/>
      <w:lvlJc w:val="left"/>
      <w:pPr>
        <w:ind w:left="1283" w:hanging="103"/>
      </w:pPr>
      <w:rPr>
        <w:rFonts w:hint="default"/>
        <w:lang w:val="es-ES" w:eastAsia="en-US" w:bidi="ar-SA"/>
      </w:rPr>
    </w:lvl>
    <w:lvl w:ilvl="3" w:tplc="DD188DA2">
      <w:numFmt w:val="bullet"/>
      <w:lvlText w:val="•"/>
      <w:lvlJc w:val="left"/>
      <w:pPr>
        <w:ind w:left="1905" w:hanging="103"/>
      </w:pPr>
      <w:rPr>
        <w:rFonts w:hint="default"/>
        <w:lang w:val="es-ES" w:eastAsia="en-US" w:bidi="ar-SA"/>
      </w:rPr>
    </w:lvl>
    <w:lvl w:ilvl="4" w:tplc="F2D0A0C4">
      <w:numFmt w:val="bullet"/>
      <w:lvlText w:val="•"/>
      <w:lvlJc w:val="left"/>
      <w:pPr>
        <w:ind w:left="2526" w:hanging="103"/>
      </w:pPr>
      <w:rPr>
        <w:rFonts w:hint="default"/>
        <w:lang w:val="es-ES" w:eastAsia="en-US" w:bidi="ar-SA"/>
      </w:rPr>
    </w:lvl>
    <w:lvl w:ilvl="5" w:tplc="10F875F4">
      <w:numFmt w:val="bullet"/>
      <w:lvlText w:val="•"/>
      <w:lvlJc w:val="left"/>
      <w:pPr>
        <w:ind w:left="3148" w:hanging="103"/>
      </w:pPr>
      <w:rPr>
        <w:rFonts w:hint="default"/>
        <w:lang w:val="es-ES" w:eastAsia="en-US" w:bidi="ar-SA"/>
      </w:rPr>
    </w:lvl>
    <w:lvl w:ilvl="6" w:tplc="B6402BC6">
      <w:numFmt w:val="bullet"/>
      <w:lvlText w:val="•"/>
      <w:lvlJc w:val="left"/>
      <w:pPr>
        <w:ind w:left="3770" w:hanging="103"/>
      </w:pPr>
      <w:rPr>
        <w:rFonts w:hint="default"/>
        <w:lang w:val="es-ES" w:eastAsia="en-US" w:bidi="ar-SA"/>
      </w:rPr>
    </w:lvl>
    <w:lvl w:ilvl="7" w:tplc="9122270C">
      <w:numFmt w:val="bullet"/>
      <w:lvlText w:val="•"/>
      <w:lvlJc w:val="left"/>
      <w:pPr>
        <w:ind w:left="4391" w:hanging="103"/>
      </w:pPr>
      <w:rPr>
        <w:rFonts w:hint="default"/>
        <w:lang w:val="es-ES" w:eastAsia="en-US" w:bidi="ar-SA"/>
      </w:rPr>
    </w:lvl>
    <w:lvl w:ilvl="8" w:tplc="48C29C4C">
      <w:numFmt w:val="bullet"/>
      <w:lvlText w:val="•"/>
      <w:lvlJc w:val="left"/>
      <w:pPr>
        <w:ind w:left="5013" w:hanging="103"/>
      </w:pPr>
      <w:rPr>
        <w:rFonts w:hint="default"/>
        <w:lang w:val="es-ES" w:eastAsia="en-US" w:bidi="ar-SA"/>
      </w:rPr>
    </w:lvl>
  </w:abstractNum>
  <w:abstractNum w:abstractNumId="178" w15:restartNumberingAfterBreak="0">
    <w:nsid w:val="44E37BA9"/>
    <w:multiLevelType w:val="hybridMultilevel"/>
    <w:tmpl w:val="8862791A"/>
    <w:lvl w:ilvl="0" w:tplc="52D4FC2E">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FF68BFCE">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BB7C18D2">
      <w:numFmt w:val="bullet"/>
      <w:lvlText w:val="•"/>
      <w:lvlJc w:val="left"/>
      <w:pPr>
        <w:ind w:left="2658" w:hanging="234"/>
      </w:pPr>
      <w:rPr>
        <w:rFonts w:hint="default"/>
        <w:lang w:val="es-ES" w:eastAsia="en-US" w:bidi="ar-SA"/>
      </w:rPr>
    </w:lvl>
    <w:lvl w:ilvl="3" w:tplc="B538C342">
      <w:numFmt w:val="bullet"/>
      <w:lvlText w:val="•"/>
      <w:lvlJc w:val="left"/>
      <w:pPr>
        <w:ind w:left="3637" w:hanging="234"/>
      </w:pPr>
      <w:rPr>
        <w:rFonts w:hint="default"/>
        <w:lang w:val="es-ES" w:eastAsia="en-US" w:bidi="ar-SA"/>
      </w:rPr>
    </w:lvl>
    <w:lvl w:ilvl="4" w:tplc="4FCEE156">
      <w:numFmt w:val="bullet"/>
      <w:lvlText w:val="•"/>
      <w:lvlJc w:val="left"/>
      <w:pPr>
        <w:ind w:left="4616" w:hanging="234"/>
      </w:pPr>
      <w:rPr>
        <w:rFonts w:hint="default"/>
        <w:lang w:val="es-ES" w:eastAsia="en-US" w:bidi="ar-SA"/>
      </w:rPr>
    </w:lvl>
    <w:lvl w:ilvl="5" w:tplc="3DC640C2">
      <w:numFmt w:val="bullet"/>
      <w:lvlText w:val="•"/>
      <w:lvlJc w:val="left"/>
      <w:pPr>
        <w:ind w:left="5595" w:hanging="234"/>
      </w:pPr>
      <w:rPr>
        <w:rFonts w:hint="default"/>
        <w:lang w:val="es-ES" w:eastAsia="en-US" w:bidi="ar-SA"/>
      </w:rPr>
    </w:lvl>
    <w:lvl w:ilvl="6" w:tplc="BE7882EE">
      <w:numFmt w:val="bullet"/>
      <w:lvlText w:val="•"/>
      <w:lvlJc w:val="left"/>
      <w:pPr>
        <w:ind w:left="6574" w:hanging="234"/>
      </w:pPr>
      <w:rPr>
        <w:rFonts w:hint="default"/>
        <w:lang w:val="es-ES" w:eastAsia="en-US" w:bidi="ar-SA"/>
      </w:rPr>
    </w:lvl>
    <w:lvl w:ilvl="7" w:tplc="5E0C62C0">
      <w:numFmt w:val="bullet"/>
      <w:lvlText w:val="•"/>
      <w:lvlJc w:val="left"/>
      <w:pPr>
        <w:ind w:left="7553" w:hanging="234"/>
      </w:pPr>
      <w:rPr>
        <w:rFonts w:hint="default"/>
        <w:lang w:val="es-ES" w:eastAsia="en-US" w:bidi="ar-SA"/>
      </w:rPr>
    </w:lvl>
    <w:lvl w:ilvl="8" w:tplc="D19CECAC">
      <w:numFmt w:val="bullet"/>
      <w:lvlText w:val="•"/>
      <w:lvlJc w:val="left"/>
      <w:pPr>
        <w:ind w:left="8531" w:hanging="234"/>
      </w:pPr>
      <w:rPr>
        <w:rFonts w:hint="default"/>
        <w:lang w:val="es-ES" w:eastAsia="en-US" w:bidi="ar-SA"/>
      </w:rPr>
    </w:lvl>
  </w:abstractNum>
  <w:abstractNum w:abstractNumId="179" w15:restartNumberingAfterBreak="0">
    <w:nsid w:val="44F65CBB"/>
    <w:multiLevelType w:val="hybridMultilevel"/>
    <w:tmpl w:val="52A86E88"/>
    <w:lvl w:ilvl="0" w:tplc="DF8E0D7C">
      <w:start w:val="1"/>
      <w:numFmt w:val="decimal"/>
      <w:lvlText w:val="%1."/>
      <w:lvlJc w:val="left"/>
      <w:pPr>
        <w:ind w:left="1106" w:hanging="339"/>
        <w:jc w:val="left"/>
      </w:pPr>
      <w:rPr>
        <w:rFonts w:ascii="Arial MT" w:eastAsia="Arial MT" w:hAnsi="Arial MT" w:cs="Arial MT" w:hint="default"/>
        <w:b w:val="0"/>
        <w:bCs w:val="0"/>
        <w:i w:val="0"/>
        <w:iCs w:val="0"/>
        <w:spacing w:val="0"/>
        <w:w w:val="100"/>
        <w:sz w:val="20"/>
        <w:szCs w:val="20"/>
        <w:lang w:val="es-ES" w:eastAsia="en-US" w:bidi="ar-SA"/>
      </w:rPr>
    </w:lvl>
    <w:lvl w:ilvl="1" w:tplc="ADC84DE4">
      <w:numFmt w:val="bullet"/>
      <w:lvlText w:val="•"/>
      <w:lvlJc w:val="left"/>
      <w:pPr>
        <w:ind w:left="2038" w:hanging="339"/>
      </w:pPr>
      <w:rPr>
        <w:rFonts w:hint="default"/>
        <w:lang w:val="es-ES" w:eastAsia="en-US" w:bidi="ar-SA"/>
      </w:rPr>
    </w:lvl>
    <w:lvl w:ilvl="2" w:tplc="B674FB02">
      <w:numFmt w:val="bullet"/>
      <w:lvlText w:val="•"/>
      <w:lvlJc w:val="left"/>
      <w:pPr>
        <w:ind w:left="2977" w:hanging="339"/>
      </w:pPr>
      <w:rPr>
        <w:rFonts w:hint="default"/>
        <w:lang w:val="es-ES" w:eastAsia="en-US" w:bidi="ar-SA"/>
      </w:rPr>
    </w:lvl>
    <w:lvl w:ilvl="3" w:tplc="4002EF36">
      <w:numFmt w:val="bullet"/>
      <w:lvlText w:val="•"/>
      <w:lvlJc w:val="left"/>
      <w:pPr>
        <w:ind w:left="3916" w:hanging="339"/>
      </w:pPr>
      <w:rPr>
        <w:rFonts w:hint="default"/>
        <w:lang w:val="es-ES" w:eastAsia="en-US" w:bidi="ar-SA"/>
      </w:rPr>
    </w:lvl>
    <w:lvl w:ilvl="4" w:tplc="A51E0648">
      <w:numFmt w:val="bullet"/>
      <w:lvlText w:val="•"/>
      <w:lvlJc w:val="left"/>
      <w:pPr>
        <w:ind w:left="4855" w:hanging="339"/>
      </w:pPr>
      <w:rPr>
        <w:rFonts w:hint="default"/>
        <w:lang w:val="es-ES" w:eastAsia="en-US" w:bidi="ar-SA"/>
      </w:rPr>
    </w:lvl>
    <w:lvl w:ilvl="5" w:tplc="5E94CBCE">
      <w:numFmt w:val="bullet"/>
      <w:lvlText w:val="•"/>
      <w:lvlJc w:val="left"/>
      <w:pPr>
        <w:ind w:left="5794" w:hanging="339"/>
      </w:pPr>
      <w:rPr>
        <w:rFonts w:hint="default"/>
        <w:lang w:val="es-ES" w:eastAsia="en-US" w:bidi="ar-SA"/>
      </w:rPr>
    </w:lvl>
    <w:lvl w:ilvl="6" w:tplc="1E9E0C6A">
      <w:numFmt w:val="bullet"/>
      <w:lvlText w:val="•"/>
      <w:lvlJc w:val="left"/>
      <w:pPr>
        <w:ind w:left="6733" w:hanging="339"/>
      </w:pPr>
      <w:rPr>
        <w:rFonts w:hint="default"/>
        <w:lang w:val="es-ES" w:eastAsia="en-US" w:bidi="ar-SA"/>
      </w:rPr>
    </w:lvl>
    <w:lvl w:ilvl="7" w:tplc="B36246E8">
      <w:numFmt w:val="bullet"/>
      <w:lvlText w:val="•"/>
      <w:lvlJc w:val="left"/>
      <w:pPr>
        <w:ind w:left="7672" w:hanging="339"/>
      </w:pPr>
      <w:rPr>
        <w:rFonts w:hint="default"/>
        <w:lang w:val="es-ES" w:eastAsia="en-US" w:bidi="ar-SA"/>
      </w:rPr>
    </w:lvl>
    <w:lvl w:ilvl="8" w:tplc="8BC47BDC">
      <w:numFmt w:val="bullet"/>
      <w:lvlText w:val="•"/>
      <w:lvlJc w:val="left"/>
      <w:pPr>
        <w:ind w:left="8611" w:hanging="339"/>
      </w:pPr>
      <w:rPr>
        <w:rFonts w:hint="default"/>
        <w:lang w:val="es-ES" w:eastAsia="en-US" w:bidi="ar-SA"/>
      </w:rPr>
    </w:lvl>
  </w:abstractNum>
  <w:abstractNum w:abstractNumId="180" w15:restartNumberingAfterBreak="0">
    <w:nsid w:val="46475FB3"/>
    <w:multiLevelType w:val="hybridMultilevel"/>
    <w:tmpl w:val="33C0DC8C"/>
    <w:lvl w:ilvl="0" w:tplc="93DE1470">
      <w:start w:val="1"/>
      <w:numFmt w:val="decimal"/>
      <w:lvlText w:val="%1."/>
      <w:lvlJc w:val="left"/>
      <w:pPr>
        <w:ind w:left="1106" w:hanging="233"/>
        <w:jc w:val="left"/>
      </w:pPr>
      <w:rPr>
        <w:rFonts w:ascii="Arial MT" w:eastAsia="Arial MT" w:hAnsi="Arial MT" w:cs="Arial MT" w:hint="default"/>
        <w:b w:val="0"/>
        <w:bCs w:val="0"/>
        <w:i w:val="0"/>
        <w:iCs w:val="0"/>
        <w:spacing w:val="0"/>
        <w:w w:val="100"/>
        <w:sz w:val="20"/>
        <w:szCs w:val="20"/>
        <w:lang w:val="es-ES" w:eastAsia="en-US" w:bidi="ar-SA"/>
      </w:rPr>
    </w:lvl>
    <w:lvl w:ilvl="1" w:tplc="82022AC4">
      <w:numFmt w:val="bullet"/>
      <w:lvlText w:val="•"/>
      <w:lvlJc w:val="left"/>
      <w:pPr>
        <w:ind w:left="2038" w:hanging="233"/>
      </w:pPr>
      <w:rPr>
        <w:rFonts w:hint="default"/>
        <w:lang w:val="es-ES" w:eastAsia="en-US" w:bidi="ar-SA"/>
      </w:rPr>
    </w:lvl>
    <w:lvl w:ilvl="2" w:tplc="FE78FFEA">
      <w:numFmt w:val="bullet"/>
      <w:lvlText w:val="•"/>
      <w:lvlJc w:val="left"/>
      <w:pPr>
        <w:ind w:left="2977" w:hanging="233"/>
      </w:pPr>
      <w:rPr>
        <w:rFonts w:hint="default"/>
        <w:lang w:val="es-ES" w:eastAsia="en-US" w:bidi="ar-SA"/>
      </w:rPr>
    </w:lvl>
    <w:lvl w:ilvl="3" w:tplc="37841916">
      <w:numFmt w:val="bullet"/>
      <w:lvlText w:val="•"/>
      <w:lvlJc w:val="left"/>
      <w:pPr>
        <w:ind w:left="3916" w:hanging="233"/>
      </w:pPr>
      <w:rPr>
        <w:rFonts w:hint="default"/>
        <w:lang w:val="es-ES" w:eastAsia="en-US" w:bidi="ar-SA"/>
      </w:rPr>
    </w:lvl>
    <w:lvl w:ilvl="4" w:tplc="A8CE9A40">
      <w:numFmt w:val="bullet"/>
      <w:lvlText w:val="•"/>
      <w:lvlJc w:val="left"/>
      <w:pPr>
        <w:ind w:left="4855" w:hanging="233"/>
      </w:pPr>
      <w:rPr>
        <w:rFonts w:hint="default"/>
        <w:lang w:val="es-ES" w:eastAsia="en-US" w:bidi="ar-SA"/>
      </w:rPr>
    </w:lvl>
    <w:lvl w:ilvl="5" w:tplc="392235F6">
      <w:numFmt w:val="bullet"/>
      <w:lvlText w:val="•"/>
      <w:lvlJc w:val="left"/>
      <w:pPr>
        <w:ind w:left="5794" w:hanging="233"/>
      </w:pPr>
      <w:rPr>
        <w:rFonts w:hint="default"/>
        <w:lang w:val="es-ES" w:eastAsia="en-US" w:bidi="ar-SA"/>
      </w:rPr>
    </w:lvl>
    <w:lvl w:ilvl="6" w:tplc="A3FEB7FE">
      <w:numFmt w:val="bullet"/>
      <w:lvlText w:val="•"/>
      <w:lvlJc w:val="left"/>
      <w:pPr>
        <w:ind w:left="6733" w:hanging="233"/>
      </w:pPr>
      <w:rPr>
        <w:rFonts w:hint="default"/>
        <w:lang w:val="es-ES" w:eastAsia="en-US" w:bidi="ar-SA"/>
      </w:rPr>
    </w:lvl>
    <w:lvl w:ilvl="7" w:tplc="356E4828">
      <w:numFmt w:val="bullet"/>
      <w:lvlText w:val="•"/>
      <w:lvlJc w:val="left"/>
      <w:pPr>
        <w:ind w:left="7672" w:hanging="233"/>
      </w:pPr>
      <w:rPr>
        <w:rFonts w:hint="default"/>
        <w:lang w:val="es-ES" w:eastAsia="en-US" w:bidi="ar-SA"/>
      </w:rPr>
    </w:lvl>
    <w:lvl w:ilvl="8" w:tplc="A2AE9614">
      <w:numFmt w:val="bullet"/>
      <w:lvlText w:val="•"/>
      <w:lvlJc w:val="left"/>
      <w:pPr>
        <w:ind w:left="8611" w:hanging="233"/>
      </w:pPr>
      <w:rPr>
        <w:rFonts w:hint="default"/>
        <w:lang w:val="es-ES" w:eastAsia="en-US" w:bidi="ar-SA"/>
      </w:rPr>
    </w:lvl>
  </w:abstractNum>
  <w:abstractNum w:abstractNumId="181" w15:restartNumberingAfterBreak="0">
    <w:nsid w:val="467F2F4F"/>
    <w:multiLevelType w:val="hybridMultilevel"/>
    <w:tmpl w:val="274281F4"/>
    <w:lvl w:ilvl="0" w:tplc="CE1A611E">
      <w:start w:val="1"/>
      <w:numFmt w:val="decimal"/>
      <w:lvlText w:val="%1."/>
      <w:lvlJc w:val="left"/>
      <w:pPr>
        <w:ind w:left="1106" w:hanging="311"/>
        <w:jc w:val="left"/>
      </w:pPr>
      <w:rPr>
        <w:rFonts w:ascii="Arial MT" w:eastAsia="Arial MT" w:hAnsi="Arial MT" w:cs="Arial MT" w:hint="default"/>
        <w:b w:val="0"/>
        <w:bCs w:val="0"/>
        <w:i w:val="0"/>
        <w:iCs w:val="0"/>
        <w:spacing w:val="0"/>
        <w:w w:val="100"/>
        <w:sz w:val="20"/>
        <w:szCs w:val="20"/>
        <w:lang w:val="es-ES" w:eastAsia="en-US" w:bidi="ar-SA"/>
      </w:rPr>
    </w:lvl>
    <w:lvl w:ilvl="1" w:tplc="48CA012E">
      <w:start w:val="1"/>
      <w:numFmt w:val="lowerLetter"/>
      <w:lvlText w:val="%2)"/>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2" w:tplc="A1DCFBF6">
      <w:numFmt w:val="bullet"/>
      <w:lvlText w:val="•"/>
      <w:lvlJc w:val="left"/>
      <w:pPr>
        <w:ind w:left="2977" w:hanging="243"/>
      </w:pPr>
      <w:rPr>
        <w:rFonts w:hint="default"/>
        <w:lang w:val="es-ES" w:eastAsia="en-US" w:bidi="ar-SA"/>
      </w:rPr>
    </w:lvl>
    <w:lvl w:ilvl="3" w:tplc="AAD2BD00">
      <w:numFmt w:val="bullet"/>
      <w:lvlText w:val="•"/>
      <w:lvlJc w:val="left"/>
      <w:pPr>
        <w:ind w:left="3916" w:hanging="243"/>
      </w:pPr>
      <w:rPr>
        <w:rFonts w:hint="default"/>
        <w:lang w:val="es-ES" w:eastAsia="en-US" w:bidi="ar-SA"/>
      </w:rPr>
    </w:lvl>
    <w:lvl w:ilvl="4" w:tplc="408ED580">
      <w:numFmt w:val="bullet"/>
      <w:lvlText w:val="•"/>
      <w:lvlJc w:val="left"/>
      <w:pPr>
        <w:ind w:left="4855" w:hanging="243"/>
      </w:pPr>
      <w:rPr>
        <w:rFonts w:hint="default"/>
        <w:lang w:val="es-ES" w:eastAsia="en-US" w:bidi="ar-SA"/>
      </w:rPr>
    </w:lvl>
    <w:lvl w:ilvl="5" w:tplc="432674FA">
      <w:numFmt w:val="bullet"/>
      <w:lvlText w:val="•"/>
      <w:lvlJc w:val="left"/>
      <w:pPr>
        <w:ind w:left="5794" w:hanging="243"/>
      </w:pPr>
      <w:rPr>
        <w:rFonts w:hint="default"/>
        <w:lang w:val="es-ES" w:eastAsia="en-US" w:bidi="ar-SA"/>
      </w:rPr>
    </w:lvl>
    <w:lvl w:ilvl="6" w:tplc="1FB010D6">
      <w:numFmt w:val="bullet"/>
      <w:lvlText w:val="•"/>
      <w:lvlJc w:val="left"/>
      <w:pPr>
        <w:ind w:left="6733" w:hanging="243"/>
      </w:pPr>
      <w:rPr>
        <w:rFonts w:hint="default"/>
        <w:lang w:val="es-ES" w:eastAsia="en-US" w:bidi="ar-SA"/>
      </w:rPr>
    </w:lvl>
    <w:lvl w:ilvl="7" w:tplc="6464D974">
      <w:numFmt w:val="bullet"/>
      <w:lvlText w:val="•"/>
      <w:lvlJc w:val="left"/>
      <w:pPr>
        <w:ind w:left="7672" w:hanging="243"/>
      </w:pPr>
      <w:rPr>
        <w:rFonts w:hint="default"/>
        <w:lang w:val="es-ES" w:eastAsia="en-US" w:bidi="ar-SA"/>
      </w:rPr>
    </w:lvl>
    <w:lvl w:ilvl="8" w:tplc="D25A57CA">
      <w:numFmt w:val="bullet"/>
      <w:lvlText w:val="•"/>
      <w:lvlJc w:val="left"/>
      <w:pPr>
        <w:ind w:left="8611" w:hanging="243"/>
      </w:pPr>
      <w:rPr>
        <w:rFonts w:hint="default"/>
        <w:lang w:val="es-ES" w:eastAsia="en-US" w:bidi="ar-SA"/>
      </w:rPr>
    </w:lvl>
  </w:abstractNum>
  <w:abstractNum w:abstractNumId="182" w15:restartNumberingAfterBreak="0">
    <w:nsid w:val="4691677B"/>
    <w:multiLevelType w:val="hybridMultilevel"/>
    <w:tmpl w:val="3A482FC6"/>
    <w:lvl w:ilvl="0" w:tplc="42005252">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8A1CF840">
      <w:start w:val="1"/>
      <w:numFmt w:val="lowerLetter"/>
      <w:lvlText w:val="%2)"/>
      <w:lvlJc w:val="left"/>
      <w:pPr>
        <w:ind w:left="1106" w:hanging="280"/>
        <w:jc w:val="left"/>
      </w:pPr>
      <w:rPr>
        <w:rFonts w:ascii="Arial MT" w:eastAsia="Arial MT" w:hAnsi="Arial MT" w:cs="Arial MT" w:hint="default"/>
        <w:b w:val="0"/>
        <w:bCs w:val="0"/>
        <w:i w:val="0"/>
        <w:iCs w:val="0"/>
        <w:spacing w:val="0"/>
        <w:w w:val="100"/>
        <w:sz w:val="20"/>
        <w:szCs w:val="20"/>
        <w:lang w:val="es-ES" w:eastAsia="en-US" w:bidi="ar-SA"/>
      </w:rPr>
    </w:lvl>
    <w:lvl w:ilvl="2" w:tplc="6854CABA">
      <w:numFmt w:val="bullet"/>
      <w:lvlText w:val="•"/>
      <w:lvlJc w:val="left"/>
      <w:pPr>
        <w:ind w:left="2977" w:hanging="280"/>
      </w:pPr>
      <w:rPr>
        <w:rFonts w:hint="default"/>
        <w:lang w:val="es-ES" w:eastAsia="en-US" w:bidi="ar-SA"/>
      </w:rPr>
    </w:lvl>
    <w:lvl w:ilvl="3" w:tplc="CADCDC92">
      <w:numFmt w:val="bullet"/>
      <w:lvlText w:val="•"/>
      <w:lvlJc w:val="left"/>
      <w:pPr>
        <w:ind w:left="3916" w:hanging="280"/>
      </w:pPr>
      <w:rPr>
        <w:rFonts w:hint="default"/>
        <w:lang w:val="es-ES" w:eastAsia="en-US" w:bidi="ar-SA"/>
      </w:rPr>
    </w:lvl>
    <w:lvl w:ilvl="4" w:tplc="7F3EDE9C">
      <w:numFmt w:val="bullet"/>
      <w:lvlText w:val="•"/>
      <w:lvlJc w:val="left"/>
      <w:pPr>
        <w:ind w:left="4855" w:hanging="280"/>
      </w:pPr>
      <w:rPr>
        <w:rFonts w:hint="default"/>
        <w:lang w:val="es-ES" w:eastAsia="en-US" w:bidi="ar-SA"/>
      </w:rPr>
    </w:lvl>
    <w:lvl w:ilvl="5" w:tplc="C12087E4">
      <w:numFmt w:val="bullet"/>
      <w:lvlText w:val="•"/>
      <w:lvlJc w:val="left"/>
      <w:pPr>
        <w:ind w:left="5794" w:hanging="280"/>
      </w:pPr>
      <w:rPr>
        <w:rFonts w:hint="default"/>
        <w:lang w:val="es-ES" w:eastAsia="en-US" w:bidi="ar-SA"/>
      </w:rPr>
    </w:lvl>
    <w:lvl w:ilvl="6" w:tplc="A83A4620">
      <w:numFmt w:val="bullet"/>
      <w:lvlText w:val="•"/>
      <w:lvlJc w:val="left"/>
      <w:pPr>
        <w:ind w:left="6733" w:hanging="280"/>
      </w:pPr>
      <w:rPr>
        <w:rFonts w:hint="default"/>
        <w:lang w:val="es-ES" w:eastAsia="en-US" w:bidi="ar-SA"/>
      </w:rPr>
    </w:lvl>
    <w:lvl w:ilvl="7" w:tplc="99E80910">
      <w:numFmt w:val="bullet"/>
      <w:lvlText w:val="•"/>
      <w:lvlJc w:val="left"/>
      <w:pPr>
        <w:ind w:left="7672" w:hanging="280"/>
      </w:pPr>
      <w:rPr>
        <w:rFonts w:hint="default"/>
        <w:lang w:val="es-ES" w:eastAsia="en-US" w:bidi="ar-SA"/>
      </w:rPr>
    </w:lvl>
    <w:lvl w:ilvl="8" w:tplc="E8BAAEFC">
      <w:numFmt w:val="bullet"/>
      <w:lvlText w:val="•"/>
      <w:lvlJc w:val="left"/>
      <w:pPr>
        <w:ind w:left="8611" w:hanging="280"/>
      </w:pPr>
      <w:rPr>
        <w:rFonts w:hint="default"/>
        <w:lang w:val="es-ES" w:eastAsia="en-US" w:bidi="ar-SA"/>
      </w:rPr>
    </w:lvl>
  </w:abstractNum>
  <w:abstractNum w:abstractNumId="183" w15:restartNumberingAfterBreak="0">
    <w:nsid w:val="46AD0B43"/>
    <w:multiLevelType w:val="hybridMultilevel"/>
    <w:tmpl w:val="807A393A"/>
    <w:lvl w:ilvl="0" w:tplc="CF84A55A">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174AB920">
      <w:numFmt w:val="bullet"/>
      <w:lvlText w:val="•"/>
      <w:lvlJc w:val="left"/>
      <w:pPr>
        <w:ind w:left="2038" w:hanging="229"/>
      </w:pPr>
      <w:rPr>
        <w:rFonts w:hint="default"/>
        <w:lang w:val="es-ES" w:eastAsia="en-US" w:bidi="ar-SA"/>
      </w:rPr>
    </w:lvl>
    <w:lvl w:ilvl="2" w:tplc="9D66027A">
      <w:numFmt w:val="bullet"/>
      <w:lvlText w:val="•"/>
      <w:lvlJc w:val="left"/>
      <w:pPr>
        <w:ind w:left="2977" w:hanging="229"/>
      </w:pPr>
      <w:rPr>
        <w:rFonts w:hint="default"/>
        <w:lang w:val="es-ES" w:eastAsia="en-US" w:bidi="ar-SA"/>
      </w:rPr>
    </w:lvl>
    <w:lvl w:ilvl="3" w:tplc="3E9E8B3C">
      <w:numFmt w:val="bullet"/>
      <w:lvlText w:val="•"/>
      <w:lvlJc w:val="left"/>
      <w:pPr>
        <w:ind w:left="3916" w:hanging="229"/>
      </w:pPr>
      <w:rPr>
        <w:rFonts w:hint="default"/>
        <w:lang w:val="es-ES" w:eastAsia="en-US" w:bidi="ar-SA"/>
      </w:rPr>
    </w:lvl>
    <w:lvl w:ilvl="4" w:tplc="0A549288">
      <w:numFmt w:val="bullet"/>
      <w:lvlText w:val="•"/>
      <w:lvlJc w:val="left"/>
      <w:pPr>
        <w:ind w:left="4855" w:hanging="229"/>
      </w:pPr>
      <w:rPr>
        <w:rFonts w:hint="default"/>
        <w:lang w:val="es-ES" w:eastAsia="en-US" w:bidi="ar-SA"/>
      </w:rPr>
    </w:lvl>
    <w:lvl w:ilvl="5" w:tplc="01B4D354">
      <w:numFmt w:val="bullet"/>
      <w:lvlText w:val="•"/>
      <w:lvlJc w:val="left"/>
      <w:pPr>
        <w:ind w:left="5794" w:hanging="229"/>
      </w:pPr>
      <w:rPr>
        <w:rFonts w:hint="default"/>
        <w:lang w:val="es-ES" w:eastAsia="en-US" w:bidi="ar-SA"/>
      </w:rPr>
    </w:lvl>
    <w:lvl w:ilvl="6" w:tplc="B3FA0F40">
      <w:numFmt w:val="bullet"/>
      <w:lvlText w:val="•"/>
      <w:lvlJc w:val="left"/>
      <w:pPr>
        <w:ind w:left="6733" w:hanging="229"/>
      </w:pPr>
      <w:rPr>
        <w:rFonts w:hint="default"/>
        <w:lang w:val="es-ES" w:eastAsia="en-US" w:bidi="ar-SA"/>
      </w:rPr>
    </w:lvl>
    <w:lvl w:ilvl="7" w:tplc="6EAAEDA4">
      <w:numFmt w:val="bullet"/>
      <w:lvlText w:val="•"/>
      <w:lvlJc w:val="left"/>
      <w:pPr>
        <w:ind w:left="7672" w:hanging="229"/>
      </w:pPr>
      <w:rPr>
        <w:rFonts w:hint="default"/>
        <w:lang w:val="es-ES" w:eastAsia="en-US" w:bidi="ar-SA"/>
      </w:rPr>
    </w:lvl>
    <w:lvl w:ilvl="8" w:tplc="3CA63A2A">
      <w:numFmt w:val="bullet"/>
      <w:lvlText w:val="•"/>
      <w:lvlJc w:val="left"/>
      <w:pPr>
        <w:ind w:left="8611" w:hanging="229"/>
      </w:pPr>
      <w:rPr>
        <w:rFonts w:hint="default"/>
        <w:lang w:val="es-ES" w:eastAsia="en-US" w:bidi="ar-SA"/>
      </w:rPr>
    </w:lvl>
  </w:abstractNum>
  <w:abstractNum w:abstractNumId="184" w15:restartNumberingAfterBreak="0">
    <w:nsid w:val="46FC7D5E"/>
    <w:multiLevelType w:val="hybridMultilevel"/>
    <w:tmpl w:val="94002CCA"/>
    <w:lvl w:ilvl="0" w:tplc="91CA630E">
      <w:start w:val="1"/>
      <w:numFmt w:val="decimal"/>
      <w:lvlText w:val="%1."/>
      <w:lvlJc w:val="left"/>
      <w:pPr>
        <w:ind w:left="1106" w:hanging="226"/>
        <w:jc w:val="left"/>
      </w:pPr>
      <w:rPr>
        <w:rFonts w:ascii="Arial MT" w:eastAsia="Arial MT" w:hAnsi="Arial MT" w:cs="Arial MT" w:hint="default"/>
        <w:b w:val="0"/>
        <w:bCs w:val="0"/>
        <w:i w:val="0"/>
        <w:iCs w:val="0"/>
        <w:spacing w:val="0"/>
        <w:w w:val="100"/>
        <w:sz w:val="20"/>
        <w:szCs w:val="20"/>
        <w:lang w:val="es-ES" w:eastAsia="en-US" w:bidi="ar-SA"/>
      </w:rPr>
    </w:lvl>
    <w:lvl w:ilvl="1" w:tplc="6C16F594">
      <w:numFmt w:val="bullet"/>
      <w:lvlText w:val="•"/>
      <w:lvlJc w:val="left"/>
      <w:pPr>
        <w:ind w:left="2038" w:hanging="226"/>
      </w:pPr>
      <w:rPr>
        <w:rFonts w:hint="default"/>
        <w:lang w:val="es-ES" w:eastAsia="en-US" w:bidi="ar-SA"/>
      </w:rPr>
    </w:lvl>
    <w:lvl w:ilvl="2" w:tplc="F968C754">
      <w:numFmt w:val="bullet"/>
      <w:lvlText w:val="•"/>
      <w:lvlJc w:val="left"/>
      <w:pPr>
        <w:ind w:left="2977" w:hanging="226"/>
      </w:pPr>
      <w:rPr>
        <w:rFonts w:hint="default"/>
        <w:lang w:val="es-ES" w:eastAsia="en-US" w:bidi="ar-SA"/>
      </w:rPr>
    </w:lvl>
    <w:lvl w:ilvl="3" w:tplc="8056C7AE">
      <w:numFmt w:val="bullet"/>
      <w:lvlText w:val="•"/>
      <w:lvlJc w:val="left"/>
      <w:pPr>
        <w:ind w:left="3916" w:hanging="226"/>
      </w:pPr>
      <w:rPr>
        <w:rFonts w:hint="default"/>
        <w:lang w:val="es-ES" w:eastAsia="en-US" w:bidi="ar-SA"/>
      </w:rPr>
    </w:lvl>
    <w:lvl w:ilvl="4" w:tplc="D3ECA86E">
      <w:numFmt w:val="bullet"/>
      <w:lvlText w:val="•"/>
      <w:lvlJc w:val="left"/>
      <w:pPr>
        <w:ind w:left="4855" w:hanging="226"/>
      </w:pPr>
      <w:rPr>
        <w:rFonts w:hint="default"/>
        <w:lang w:val="es-ES" w:eastAsia="en-US" w:bidi="ar-SA"/>
      </w:rPr>
    </w:lvl>
    <w:lvl w:ilvl="5" w:tplc="21229106">
      <w:numFmt w:val="bullet"/>
      <w:lvlText w:val="•"/>
      <w:lvlJc w:val="left"/>
      <w:pPr>
        <w:ind w:left="5794" w:hanging="226"/>
      </w:pPr>
      <w:rPr>
        <w:rFonts w:hint="default"/>
        <w:lang w:val="es-ES" w:eastAsia="en-US" w:bidi="ar-SA"/>
      </w:rPr>
    </w:lvl>
    <w:lvl w:ilvl="6" w:tplc="155A7D16">
      <w:numFmt w:val="bullet"/>
      <w:lvlText w:val="•"/>
      <w:lvlJc w:val="left"/>
      <w:pPr>
        <w:ind w:left="6733" w:hanging="226"/>
      </w:pPr>
      <w:rPr>
        <w:rFonts w:hint="default"/>
        <w:lang w:val="es-ES" w:eastAsia="en-US" w:bidi="ar-SA"/>
      </w:rPr>
    </w:lvl>
    <w:lvl w:ilvl="7" w:tplc="57D861E8">
      <w:numFmt w:val="bullet"/>
      <w:lvlText w:val="•"/>
      <w:lvlJc w:val="left"/>
      <w:pPr>
        <w:ind w:left="7672" w:hanging="226"/>
      </w:pPr>
      <w:rPr>
        <w:rFonts w:hint="default"/>
        <w:lang w:val="es-ES" w:eastAsia="en-US" w:bidi="ar-SA"/>
      </w:rPr>
    </w:lvl>
    <w:lvl w:ilvl="8" w:tplc="8DBCF806">
      <w:numFmt w:val="bullet"/>
      <w:lvlText w:val="•"/>
      <w:lvlJc w:val="left"/>
      <w:pPr>
        <w:ind w:left="8611" w:hanging="226"/>
      </w:pPr>
      <w:rPr>
        <w:rFonts w:hint="default"/>
        <w:lang w:val="es-ES" w:eastAsia="en-US" w:bidi="ar-SA"/>
      </w:rPr>
    </w:lvl>
  </w:abstractNum>
  <w:abstractNum w:abstractNumId="185" w15:restartNumberingAfterBreak="0">
    <w:nsid w:val="476647F5"/>
    <w:multiLevelType w:val="hybridMultilevel"/>
    <w:tmpl w:val="8F821076"/>
    <w:lvl w:ilvl="0" w:tplc="D786DF50">
      <w:start w:val="1"/>
      <w:numFmt w:val="decimal"/>
      <w:lvlText w:val="%1."/>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1" w:tplc="B6C8A3F4">
      <w:numFmt w:val="bullet"/>
      <w:lvlText w:val="•"/>
      <w:lvlJc w:val="left"/>
      <w:pPr>
        <w:ind w:left="2038" w:hanging="168"/>
      </w:pPr>
      <w:rPr>
        <w:rFonts w:hint="default"/>
        <w:lang w:val="es-ES" w:eastAsia="en-US" w:bidi="ar-SA"/>
      </w:rPr>
    </w:lvl>
    <w:lvl w:ilvl="2" w:tplc="516ACA68">
      <w:numFmt w:val="bullet"/>
      <w:lvlText w:val="•"/>
      <w:lvlJc w:val="left"/>
      <w:pPr>
        <w:ind w:left="2977" w:hanging="168"/>
      </w:pPr>
      <w:rPr>
        <w:rFonts w:hint="default"/>
        <w:lang w:val="es-ES" w:eastAsia="en-US" w:bidi="ar-SA"/>
      </w:rPr>
    </w:lvl>
    <w:lvl w:ilvl="3" w:tplc="901ABB38">
      <w:numFmt w:val="bullet"/>
      <w:lvlText w:val="•"/>
      <w:lvlJc w:val="left"/>
      <w:pPr>
        <w:ind w:left="3916" w:hanging="168"/>
      </w:pPr>
      <w:rPr>
        <w:rFonts w:hint="default"/>
        <w:lang w:val="es-ES" w:eastAsia="en-US" w:bidi="ar-SA"/>
      </w:rPr>
    </w:lvl>
    <w:lvl w:ilvl="4" w:tplc="D4CE9CAE">
      <w:numFmt w:val="bullet"/>
      <w:lvlText w:val="•"/>
      <w:lvlJc w:val="left"/>
      <w:pPr>
        <w:ind w:left="4855" w:hanging="168"/>
      </w:pPr>
      <w:rPr>
        <w:rFonts w:hint="default"/>
        <w:lang w:val="es-ES" w:eastAsia="en-US" w:bidi="ar-SA"/>
      </w:rPr>
    </w:lvl>
    <w:lvl w:ilvl="5" w:tplc="347AADD2">
      <w:numFmt w:val="bullet"/>
      <w:lvlText w:val="•"/>
      <w:lvlJc w:val="left"/>
      <w:pPr>
        <w:ind w:left="5794" w:hanging="168"/>
      </w:pPr>
      <w:rPr>
        <w:rFonts w:hint="default"/>
        <w:lang w:val="es-ES" w:eastAsia="en-US" w:bidi="ar-SA"/>
      </w:rPr>
    </w:lvl>
    <w:lvl w:ilvl="6" w:tplc="DD4650EC">
      <w:numFmt w:val="bullet"/>
      <w:lvlText w:val="•"/>
      <w:lvlJc w:val="left"/>
      <w:pPr>
        <w:ind w:left="6733" w:hanging="168"/>
      </w:pPr>
      <w:rPr>
        <w:rFonts w:hint="default"/>
        <w:lang w:val="es-ES" w:eastAsia="en-US" w:bidi="ar-SA"/>
      </w:rPr>
    </w:lvl>
    <w:lvl w:ilvl="7" w:tplc="C81C7782">
      <w:numFmt w:val="bullet"/>
      <w:lvlText w:val="•"/>
      <w:lvlJc w:val="left"/>
      <w:pPr>
        <w:ind w:left="7672" w:hanging="168"/>
      </w:pPr>
      <w:rPr>
        <w:rFonts w:hint="default"/>
        <w:lang w:val="es-ES" w:eastAsia="en-US" w:bidi="ar-SA"/>
      </w:rPr>
    </w:lvl>
    <w:lvl w:ilvl="8" w:tplc="256C1B7C">
      <w:numFmt w:val="bullet"/>
      <w:lvlText w:val="•"/>
      <w:lvlJc w:val="left"/>
      <w:pPr>
        <w:ind w:left="8611" w:hanging="168"/>
      </w:pPr>
      <w:rPr>
        <w:rFonts w:hint="default"/>
        <w:lang w:val="es-ES" w:eastAsia="en-US" w:bidi="ar-SA"/>
      </w:rPr>
    </w:lvl>
  </w:abstractNum>
  <w:abstractNum w:abstractNumId="186" w15:restartNumberingAfterBreak="0">
    <w:nsid w:val="47FE1D13"/>
    <w:multiLevelType w:val="hybridMultilevel"/>
    <w:tmpl w:val="23E6AB34"/>
    <w:lvl w:ilvl="0" w:tplc="709EDB54">
      <w:start w:val="1"/>
      <w:numFmt w:val="decimal"/>
      <w:lvlText w:val="%1."/>
      <w:lvlJc w:val="left"/>
      <w:pPr>
        <w:ind w:left="1106" w:hanging="253"/>
        <w:jc w:val="left"/>
      </w:pPr>
      <w:rPr>
        <w:rFonts w:ascii="Arial MT" w:eastAsia="Arial MT" w:hAnsi="Arial MT" w:cs="Arial MT" w:hint="default"/>
        <w:b w:val="0"/>
        <w:bCs w:val="0"/>
        <w:i w:val="0"/>
        <w:iCs w:val="0"/>
        <w:spacing w:val="0"/>
        <w:w w:val="100"/>
        <w:sz w:val="20"/>
        <w:szCs w:val="20"/>
        <w:lang w:val="es-ES" w:eastAsia="en-US" w:bidi="ar-SA"/>
      </w:rPr>
    </w:lvl>
    <w:lvl w:ilvl="1" w:tplc="DFF8D328">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627C9276">
      <w:numFmt w:val="bullet"/>
      <w:lvlText w:val="•"/>
      <w:lvlJc w:val="left"/>
      <w:pPr>
        <w:ind w:left="2658" w:hanging="234"/>
      </w:pPr>
      <w:rPr>
        <w:rFonts w:hint="default"/>
        <w:lang w:val="es-ES" w:eastAsia="en-US" w:bidi="ar-SA"/>
      </w:rPr>
    </w:lvl>
    <w:lvl w:ilvl="3" w:tplc="36F49270">
      <w:numFmt w:val="bullet"/>
      <w:lvlText w:val="•"/>
      <w:lvlJc w:val="left"/>
      <w:pPr>
        <w:ind w:left="3637" w:hanging="234"/>
      </w:pPr>
      <w:rPr>
        <w:rFonts w:hint="default"/>
        <w:lang w:val="es-ES" w:eastAsia="en-US" w:bidi="ar-SA"/>
      </w:rPr>
    </w:lvl>
    <w:lvl w:ilvl="4" w:tplc="43662874">
      <w:numFmt w:val="bullet"/>
      <w:lvlText w:val="•"/>
      <w:lvlJc w:val="left"/>
      <w:pPr>
        <w:ind w:left="4616" w:hanging="234"/>
      </w:pPr>
      <w:rPr>
        <w:rFonts w:hint="default"/>
        <w:lang w:val="es-ES" w:eastAsia="en-US" w:bidi="ar-SA"/>
      </w:rPr>
    </w:lvl>
    <w:lvl w:ilvl="5" w:tplc="4DDC6676">
      <w:numFmt w:val="bullet"/>
      <w:lvlText w:val="•"/>
      <w:lvlJc w:val="left"/>
      <w:pPr>
        <w:ind w:left="5595" w:hanging="234"/>
      </w:pPr>
      <w:rPr>
        <w:rFonts w:hint="default"/>
        <w:lang w:val="es-ES" w:eastAsia="en-US" w:bidi="ar-SA"/>
      </w:rPr>
    </w:lvl>
    <w:lvl w:ilvl="6" w:tplc="47482BDC">
      <w:numFmt w:val="bullet"/>
      <w:lvlText w:val="•"/>
      <w:lvlJc w:val="left"/>
      <w:pPr>
        <w:ind w:left="6574" w:hanging="234"/>
      </w:pPr>
      <w:rPr>
        <w:rFonts w:hint="default"/>
        <w:lang w:val="es-ES" w:eastAsia="en-US" w:bidi="ar-SA"/>
      </w:rPr>
    </w:lvl>
    <w:lvl w:ilvl="7" w:tplc="E01078C2">
      <w:numFmt w:val="bullet"/>
      <w:lvlText w:val="•"/>
      <w:lvlJc w:val="left"/>
      <w:pPr>
        <w:ind w:left="7553" w:hanging="234"/>
      </w:pPr>
      <w:rPr>
        <w:rFonts w:hint="default"/>
        <w:lang w:val="es-ES" w:eastAsia="en-US" w:bidi="ar-SA"/>
      </w:rPr>
    </w:lvl>
    <w:lvl w:ilvl="8" w:tplc="316C59D0">
      <w:numFmt w:val="bullet"/>
      <w:lvlText w:val="•"/>
      <w:lvlJc w:val="left"/>
      <w:pPr>
        <w:ind w:left="8531" w:hanging="234"/>
      </w:pPr>
      <w:rPr>
        <w:rFonts w:hint="default"/>
        <w:lang w:val="es-ES" w:eastAsia="en-US" w:bidi="ar-SA"/>
      </w:rPr>
    </w:lvl>
  </w:abstractNum>
  <w:abstractNum w:abstractNumId="187" w15:restartNumberingAfterBreak="0">
    <w:nsid w:val="49307C3B"/>
    <w:multiLevelType w:val="hybridMultilevel"/>
    <w:tmpl w:val="48EE2A30"/>
    <w:lvl w:ilvl="0" w:tplc="D0387BAC">
      <w:start w:val="1"/>
      <w:numFmt w:val="decimal"/>
      <w:lvlText w:val="%1."/>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1" w:tplc="F8E4E832">
      <w:numFmt w:val="bullet"/>
      <w:lvlText w:val="•"/>
      <w:lvlJc w:val="left"/>
      <w:pPr>
        <w:ind w:left="2038" w:hanging="251"/>
      </w:pPr>
      <w:rPr>
        <w:rFonts w:hint="default"/>
        <w:lang w:val="es-ES" w:eastAsia="en-US" w:bidi="ar-SA"/>
      </w:rPr>
    </w:lvl>
    <w:lvl w:ilvl="2" w:tplc="835E5262">
      <w:numFmt w:val="bullet"/>
      <w:lvlText w:val="•"/>
      <w:lvlJc w:val="left"/>
      <w:pPr>
        <w:ind w:left="2977" w:hanging="251"/>
      </w:pPr>
      <w:rPr>
        <w:rFonts w:hint="default"/>
        <w:lang w:val="es-ES" w:eastAsia="en-US" w:bidi="ar-SA"/>
      </w:rPr>
    </w:lvl>
    <w:lvl w:ilvl="3" w:tplc="D43A387C">
      <w:numFmt w:val="bullet"/>
      <w:lvlText w:val="•"/>
      <w:lvlJc w:val="left"/>
      <w:pPr>
        <w:ind w:left="3916" w:hanging="251"/>
      </w:pPr>
      <w:rPr>
        <w:rFonts w:hint="default"/>
        <w:lang w:val="es-ES" w:eastAsia="en-US" w:bidi="ar-SA"/>
      </w:rPr>
    </w:lvl>
    <w:lvl w:ilvl="4" w:tplc="6D9A1BB0">
      <w:numFmt w:val="bullet"/>
      <w:lvlText w:val="•"/>
      <w:lvlJc w:val="left"/>
      <w:pPr>
        <w:ind w:left="4855" w:hanging="251"/>
      </w:pPr>
      <w:rPr>
        <w:rFonts w:hint="default"/>
        <w:lang w:val="es-ES" w:eastAsia="en-US" w:bidi="ar-SA"/>
      </w:rPr>
    </w:lvl>
    <w:lvl w:ilvl="5" w:tplc="89BA400C">
      <w:numFmt w:val="bullet"/>
      <w:lvlText w:val="•"/>
      <w:lvlJc w:val="left"/>
      <w:pPr>
        <w:ind w:left="5794" w:hanging="251"/>
      </w:pPr>
      <w:rPr>
        <w:rFonts w:hint="default"/>
        <w:lang w:val="es-ES" w:eastAsia="en-US" w:bidi="ar-SA"/>
      </w:rPr>
    </w:lvl>
    <w:lvl w:ilvl="6" w:tplc="76E2257A">
      <w:numFmt w:val="bullet"/>
      <w:lvlText w:val="•"/>
      <w:lvlJc w:val="left"/>
      <w:pPr>
        <w:ind w:left="6733" w:hanging="251"/>
      </w:pPr>
      <w:rPr>
        <w:rFonts w:hint="default"/>
        <w:lang w:val="es-ES" w:eastAsia="en-US" w:bidi="ar-SA"/>
      </w:rPr>
    </w:lvl>
    <w:lvl w:ilvl="7" w:tplc="0E8EC9C8">
      <w:numFmt w:val="bullet"/>
      <w:lvlText w:val="•"/>
      <w:lvlJc w:val="left"/>
      <w:pPr>
        <w:ind w:left="7672" w:hanging="251"/>
      </w:pPr>
      <w:rPr>
        <w:rFonts w:hint="default"/>
        <w:lang w:val="es-ES" w:eastAsia="en-US" w:bidi="ar-SA"/>
      </w:rPr>
    </w:lvl>
    <w:lvl w:ilvl="8" w:tplc="A16C5D68">
      <w:numFmt w:val="bullet"/>
      <w:lvlText w:val="•"/>
      <w:lvlJc w:val="left"/>
      <w:pPr>
        <w:ind w:left="8611" w:hanging="251"/>
      </w:pPr>
      <w:rPr>
        <w:rFonts w:hint="default"/>
        <w:lang w:val="es-ES" w:eastAsia="en-US" w:bidi="ar-SA"/>
      </w:rPr>
    </w:lvl>
  </w:abstractNum>
  <w:abstractNum w:abstractNumId="188" w15:restartNumberingAfterBreak="0">
    <w:nsid w:val="49627DC4"/>
    <w:multiLevelType w:val="hybridMultilevel"/>
    <w:tmpl w:val="569E811C"/>
    <w:lvl w:ilvl="0" w:tplc="75688A34">
      <w:start w:val="1"/>
      <w:numFmt w:val="decimal"/>
      <w:lvlText w:val="%1."/>
      <w:lvlJc w:val="left"/>
      <w:pPr>
        <w:ind w:left="1106" w:hanging="226"/>
        <w:jc w:val="left"/>
      </w:pPr>
      <w:rPr>
        <w:rFonts w:ascii="Arial MT" w:eastAsia="Arial MT" w:hAnsi="Arial MT" w:cs="Arial MT" w:hint="default"/>
        <w:b w:val="0"/>
        <w:bCs w:val="0"/>
        <w:i w:val="0"/>
        <w:iCs w:val="0"/>
        <w:spacing w:val="0"/>
        <w:w w:val="100"/>
        <w:sz w:val="20"/>
        <w:szCs w:val="20"/>
        <w:lang w:val="es-ES" w:eastAsia="en-US" w:bidi="ar-SA"/>
      </w:rPr>
    </w:lvl>
    <w:lvl w:ilvl="1" w:tplc="6FCC7EC4">
      <w:start w:val="1"/>
      <w:numFmt w:val="lowerLetter"/>
      <w:lvlText w:val="%2)"/>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2" w:tplc="CD7A526A">
      <w:numFmt w:val="bullet"/>
      <w:lvlText w:val="•"/>
      <w:lvlJc w:val="left"/>
      <w:pPr>
        <w:ind w:left="2977" w:hanging="235"/>
      </w:pPr>
      <w:rPr>
        <w:rFonts w:hint="default"/>
        <w:lang w:val="es-ES" w:eastAsia="en-US" w:bidi="ar-SA"/>
      </w:rPr>
    </w:lvl>
    <w:lvl w:ilvl="3" w:tplc="2EF83AD6">
      <w:numFmt w:val="bullet"/>
      <w:lvlText w:val="•"/>
      <w:lvlJc w:val="left"/>
      <w:pPr>
        <w:ind w:left="3916" w:hanging="235"/>
      </w:pPr>
      <w:rPr>
        <w:rFonts w:hint="default"/>
        <w:lang w:val="es-ES" w:eastAsia="en-US" w:bidi="ar-SA"/>
      </w:rPr>
    </w:lvl>
    <w:lvl w:ilvl="4" w:tplc="961666DC">
      <w:numFmt w:val="bullet"/>
      <w:lvlText w:val="•"/>
      <w:lvlJc w:val="left"/>
      <w:pPr>
        <w:ind w:left="4855" w:hanging="235"/>
      </w:pPr>
      <w:rPr>
        <w:rFonts w:hint="default"/>
        <w:lang w:val="es-ES" w:eastAsia="en-US" w:bidi="ar-SA"/>
      </w:rPr>
    </w:lvl>
    <w:lvl w:ilvl="5" w:tplc="779067B0">
      <w:numFmt w:val="bullet"/>
      <w:lvlText w:val="•"/>
      <w:lvlJc w:val="left"/>
      <w:pPr>
        <w:ind w:left="5794" w:hanging="235"/>
      </w:pPr>
      <w:rPr>
        <w:rFonts w:hint="default"/>
        <w:lang w:val="es-ES" w:eastAsia="en-US" w:bidi="ar-SA"/>
      </w:rPr>
    </w:lvl>
    <w:lvl w:ilvl="6" w:tplc="4B34982A">
      <w:numFmt w:val="bullet"/>
      <w:lvlText w:val="•"/>
      <w:lvlJc w:val="left"/>
      <w:pPr>
        <w:ind w:left="6733" w:hanging="235"/>
      </w:pPr>
      <w:rPr>
        <w:rFonts w:hint="default"/>
        <w:lang w:val="es-ES" w:eastAsia="en-US" w:bidi="ar-SA"/>
      </w:rPr>
    </w:lvl>
    <w:lvl w:ilvl="7" w:tplc="FCECA6D6">
      <w:numFmt w:val="bullet"/>
      <w:lvlText w:val="•"/>
      <w:lvlJc w:val="left"/>
      <w:pPr>
        <w:ind w:left="7672" w:hanging="235"/>
      </w:pPr>
      <w:rPr>
        <w:rFonts w:hint="default"/>
        <w:lang w:val="es-ES" w:eastAsia="en-US" w:bidi="ar-SA"/>
      </w:rPr>
    </w:lvl>
    <w:lvl w:ilvl="8" w:tplc="E5E2C0FA">
      <w:numFmt w:val="bullet"/>
      <w:lvlText w:val="•"/>
      <w:lvlJc w:val="left"/>
      <w:pPr>
        <w:ind w:left="8611" w:hanging="235"/>
      </w:pPr>
      <w:rPr>
        <w:rFonts w:hint="default"/>
        <w:lang w:val="es-ES" w:eastAsia="en-US" w:bidi="ar-SA"/>
      </w:rPr>
    </w:lvl>
  </w:abstractNum>
  <w:abstractNum w:abstractNumId="189" w15:restartNumberingAfterBreak="0">
    <w:nsid w:val="49AA3193"/>
    <w:multiLevelType w:val="hybridMultilevel"/>
    <w:tmpl w:val="211C8558"/>
    <w:lvl w:ilvl="0" w:tplc="EB64EF68">
      <w:start w:val="1"/>
      <w:numFmt w:val="decimal"/>
      <w:lvlText w:val="%1."/>
      <w:lvlJc w:val="left"/>
      <w:pPr>
        <w:ind w:left="1106" w:hanging="258"/>
        <w:jc w:val="left"/>
      </w:pPr>
      <w:rPr>
        <w:rFonts w:ascii="Arial MT" w:eastAsia="Arial MT" w:hAnsi="Arial MT" w:cs="Arial MT" w:hint="default"/>
        <w:b w:val="0"/>
        <w:bCs w:val="0"/>
        <w:i w:val="0"/>
        <w:iCs w:val="0"/>
        <w:spacing w:val="0"/>
        <w:w w:val="100"/>
        <w:sz w:val="20"/>
        <w:szCs w:val="20"/>
        <w:lang w:val="es-ES" w:eastAsia="en-US" w:bidi="ar-SA"/>
      </w:rPr>
    </w:lvl>
    <w:lvl w:ilvl="1" w:tplc="F5CE821C">
      <w:start w:val="1"/>
      <w:numFmt w:val="lowerLetter"/>
      <w:lvlText w:val="%2)"/>
      <w:lvlJc w:val="left"/>
      <w:pPr>
        <w:ind w:left="1106" w:hanging="291"/>
        <w:jc w:val="left"/>
      </w:pPr>
      <w:rPr>
        <w:rFonts w:ascii="Arial MT" w:eastAsia="Arial MT" w:hAnsi="Arial MT" w:cs="Arial MT" w:hint="default"/>
        <w:b w:val="0"/>
        <w:bCs w:val="0"/>
        <w:i w:val="0"/>
        <w:iCs w:val="0"/>
        <w:spacing w:val="0"/>
        <w:w w:val="100"/>
        <w:sz w:val="20"/>
        <w:szCs w:val="20"/>
        <w:lang w:val="es-ES" w:eastAsia="en-US" w:bidi="ar-SA"/>
      </w:rPr>
    </w:lvl>
    <w:lvl w:ilvl="2" w:tplc="EF6EF7D8">
      <w:numFmt w:val="bullet"/>
      <w:lvlText w:val="•"/>
      <w:lvlJc w:val="left"/>
      <w:pPr>
        <w:ind w:left="2977" w:hanging="291"/>
      </w:pPr>
      <w:rPr>
        <w:rFonts w:hint="default"/>
        <w:lang w:val="es-ES" w:eastAsia="en-US" w:bidi="ar-SA"/>
      </w:rPr>
    </w:lvl>
    <w:lvl w:ilvl="3" w:tplc="B73608A4">
      <w:numFmt w:val="bullet"/>
      <w:lvlText w:val="•"/>
      <w:lvlJc w:val="left"/>
      <w:pPr>
        <w:ind w:left="3916" w:hanging="291"/>
      </w:pPr>
      <w:rPr>
        <w:rFonts w:hint="default"/>
        <w:lang w:val="es-ES" w:eastAsia="en-US" w:bidi="ar-SA"/>
      </w:rPr>
    </w:lvl>
    <w:lvl w:ilvl="4" w:tplc="BAFCC9C4">
      <w:numFmt w:val="bullet"/>
      <w:lvlText w:val="•"/>
      <w:lvlJc w:val="left"/>
      <w:pPr>
        <w:ind w:left="4855" w:hanging="291"/>
      </w:pPr>
      <w:rPr>
        <w:rFonts w:hint="default"/>
        <w:lang w:val="es-ES" w:eastAsia="en-US" w:bidi="ar-SA"/>
      </w:rPr>
    </w:lvl>
    <w:lvl w:ilvl="5" w:tplc="1B3062A2">
      <w:numFmt w:val="bullet"/>
      <w:lvlText w:val="•"/>
      <w:lvlJc w:val="left"/>
      <w:pPr>
        <w:ind w:left="5794" w:hanging="291"/>
      </w:pPr>
      <w:rPr>
        <w:rFonts w:hint="default"/>
        <w:lang w:val="es-ES" w:eastAsia="en-US" w:bidi="ar-SA"/>
      </w:rPr>
    </w:lvl>
    <w:lvl w:ilvl="6" w:tplc="5094B128">
      <w:numFmt w:val="bullet"/>
      <w:lvlText w:val="•"/>
      <w:lvlJc w:val="left"/>
      <w:pPr>
        <w:ind w:left="6733" w:hanging="291"/>
      </w:pPr>
      <w:rPr>
        <w:rFonts w:hint="default"/>
        <w:lang w:val="es-ES" w:eastAsia="en-US" w:bidi="ar-SA"/>
      </w:rPr>
    </w:lvl>
    <w:lvl w:ilvl="7" w:tplc="C8062B8C">
      <w:numFmt w:val="bullet"/>
      <w:lvlText w:val="•"/>
      <w:lvlJc w:val="left"/>
      <w:pPr>
        <w:ind w:left="7672" w:hanging="291"/>
      </w:pPr>
      <w:rPr>
        <w:rFonts w:hint="default"/>
        <w:lang w:val="es-ES" w:eastAsia="en-US" w:bidi="ar-SA"/>
      </w:rPr>
    </w:lvl>
    <w:lvl w:ilvl="8" w:tplc="F2400E74">
      <w:numFmt w:val="bullet"/>
      <w:lvlText w:val="•"/>
      <w:lvlJc w:val="left"/>
      <w:pPr>
        <w:ind w:left="8611" w:hanging="291"/>
      </w:pPr>
      <w:rPr>
        <w:rFonts w:hint="default"/>
        <w:lang w:val="es-ES" w:eastAsia="en-US" w:bidi="ar-SA"/>
      </w:rPr>
    </w:lvl>
  </w:abstractNum>
  <w:abstractNum w:abstractNumId="190" w15:restartNumberingAfterBreak="0">
    <w:nsid w:val="4AA016E0"/>
    <w:multiLevelType w:val="hybridMultilevel"/>
    <w:tmpl w:val="829C0ACE"/>
    <w:lvl w:ilvl="0" w:tplc="FC3078C6">
      <w:start w:val="1"/>
      <w:numFmt w:val="decimal"/>
      <w:lvlText w:val="%1."/>
      <w:lvlJc w:val="left"/>
      <w:pPr>
        <w:ind w:left="1106" w:hanging="238"/>
        <w:jc w:val="left"/>
      </w:pPr>
      <w:rPr>
        <w:rFonts w:ascii="Arial MT" w:eastAsia="Arial MT" w:hAnsi="Arial MT" w:cs="Arial MT" w:hint="default"/>
        <w:b w:val="0"/>
        <w:bCs w:val="0"/>
        <w:i w:val="0"/>
        <w:iCs w:val="0"/>
        <w:spacing w:val="0"/>
        <w:w w:val="100"/>
        <w:sz w:val="20"/>
        <w:szCs w:val="20"/>
        <w:lang w:val="es-ES" w:eastAsia="en-US" w:bidi="ar-SA"/>
      </w:rPr>
    </w:lvl>
    <w:lvl w:ilvl="1" w:tplc="BE8C8946">
      <w:numFmt w:val="bullet"/>
      <w:lvlText w:val="•"/>
      <w:lvlJc w:val="left"/>
      <w:pPr>
        <w:ind w:left="2038" w:hanging="238"/>
      </w:pPr>
      <w:rPr>
        <w:rFonts w:hint="default"/>
        <w:lang w:val="es-ES" w:eastAsia="en-US" w:bidi="ar-SA"/>
      </w:rPr>
    </w:lvl>
    <w:lvl w:ilvl="2" w:tplc="B48A85B4">
      <w:numFmt w:val="bullet"/>
      <w:lvlText w:val="•"/>
      <w:lvlJc w:val="left"/>
      <w:pPr>
        <w:ind w:left="2977" w:hanging="238"/>
      </w:pPr>
      <w:rPr>
        <w:rFonts w:hint="default"/>
        <w:lang w:val="es-ES" w:eastAsia="en-US" w:bidi="ar-SA"/>
      </w:rPr>
    </w:lvl>
    <w:lvl w:ilvl="3" w:tplc="AF4A1DA8">
      <w:numFmt w:val="bullet"/>
      <w:lvlText w:val="•"/>
      <w:lvlJc w:val="left"/>
      <w:pPr>
        <w:ind w:left="3916" w:hanging="238"/>
      </w:pPr>
      <w:rPr>
        <w:rFonts w:hint="default"/>
        <w:lang w:val="es-ES" w:eastAsia="en-US" w:bidi="ar-SA"/>
      </w:rPr>
    </w:lvl>
    <w:lvl w:ilvl="4" w:tplc="39E21484">
      <w:numFmt w:val="bullet"/>
      <w:lvlText w:val="•"/>
      <w:lvlJc w:val="left"/>
      <w:pPr>
        <w:ind w:left="4855" w:hanging="238"/>
      </w:pPr>
      <w:rPr>
        <w:rFonts w:hint="default"/>
        <w:lang w:val="es-ES" w:eastAsia="en-US" w:bidi="ar-SA"/>
      </w:rPr>
    </w:lvl>
    <w:lvl w:ilvl="5" w:tplc="939E9BAC">
      <w:numFmt w:val="bullet"/>
      <w:lvlText w:val="•"/>
      <w:lvlJc w:val="left"/>
      <w:pPr>
        <w:ind w:left="5794" w:hanging="238"/>
      </w:pPr>
      <w:rPr>
        <w:rFonts w:hint="default"/>
        <w:lang w:val="es-ES" w:eastAsia="en-US" w:bidi="ar-SA"/>
      </w:rPr>
    </w:lvl>
    <w:lvl w:ilvl="6" w:tplc="B6A8B9BC">
      <w:numFmt w:val="bullet"/>
      <w:lvlText w:val="•"/>
      <w:lvlJc w:val="left"/>
      <w:pPr>
        <w:ind w:left="6733" w:hanging="238"/>
      </w:pPr>
      <w:rPr>
        <w:rFonts w:hint="default"/>
        <w:lang w:val="es-ES" w:eastAsia="en-US" w:bidi="ar-SA"/>
      </w:rPr>
    </w:lvl>
    <w:lvl w:ilvl="7" w:tplc="FCF0488E">
      <w:numFmt w:val="bullet"/>
      <w:lvlText w:val="•"/>
      <w:lvlJc w:val="left"/>
      <w:pPr>
        <w:ind w:left="7672" w:hanging="238"/>
      </w:pPr>
      <w:rPr>
        <w:rFonts w:hint="default"/>
        <w:lang w:val="es-ES" w:eastAsia="en-US" w:bidi="ar-SA"/>
      </w:rPr>
    </w:lvl>
    <w:lvl w:ilvl="8" w:tplc="FC48FE6E">
      <w:numFmt w:val="bullet"/>
      <w:lvlText w:val="•"/>
      <w:lvlJc w:val="left"/>
      <w:pPr>
        <w:ind w:left="8611" w:hanging="238"/>
      </w:pPr>
      <w:rPr>
        <w:rFonts w:hint="default"/>
        <w:lang w:val="es-ES" w:eastAsia="en-US" w:bidi="ar-SA"/>
      </w:rPr>
    </w:lvl>
  </w:abstractNum>
  <w:abstractNum w:abstractNumId="191" w15:restartNumberingAfterBreak="0">
    <w:nsid w:val="4B0A7D61"/>
    <w:multiLevelType w:val="hybridMultilevel"/>
    <w:tmpl w:val="AD46E61A"/>
    <w:lvl w:ilvl="0" w:tplc="06542028">
      <w:start w:val="1"/>
      <w:numFmt w:val="decimal"/>
      <w:lvlText w:val="%1."/>
      <w:lvlJc w:val="left"/>
      <w:pPr>
        <w:ind w:left="1106" w:hanging="246"/>
        <w:jc w:val="left"/>
      </w:pPr>
      <w:rPr>
        <w:rFonts w:ascii="Arial MT" w:eastAsia="Arial MT" w:hAnsi="Arial MT" w:cs="Arial MT" w:hint="default"/>
        <w:b w:val="0"/>
        <w:bCs w:val="0"/>
        <w:i w:val="0"/>
        <w:iCs w:val="0"/>
        <w:spacing w:val="0"/>
        <w:w w:val="100"/>
        <w:sz w:val="20"/>
        <w:szCs w:val="20"/>
        <w:lang w:val="es-ES" w:eastAsia="en-US" w:bidi="ar-SA"/>
      </w:rPr>
    </w:lvl>
    <w:lvl w:ilvl="1" w:tplc="1F52EB2C">
      <w:numFmt w:val="bullet"/>
      <w:lvlText w:val="•"/>
      <w:lvlJc w:val="left"/>
      <w:pPr>
        <w:ind w:left="2038" w:hanging="246"/>
      </w:pPr>
      <w:rPr>
        <w:rFonts w:hint="default"/>
        <w:lang w:val="es-ES" w:eastAsia="en-US" w:bidi="ar-SA"/>
      </w:rPr>
    </w:lvl>
    <w:lvl w:ilvl="2" w:tplc="BF525362">
      <w:numFmt w:val="bullet"/>
      <w:lvlText w:val="•"/>
      <w:lvlJc w:val="left"/>
      <w:pPr>
        <w:ind w:left="2977" w:hanging="246"/>
      </w:pPr>
      <w:rPr>
        <w:rFonts w:hint="default"/>
        <w:lang w:val="es-ES" w:eastAsia="en-US" w:bidi="ar-SA"/>
      </w:rPr>
    </w:lvl>
    <w:lvl w:ilvl="3" w:tplc="2B90815A">
      <w:numFmt w:val="bullet"/>
      <w:lvlText w:val="•"/>
      <w:lvlJc w:val="left"/>
      <w:pPr>
        <w:ind w:left="3916" w:hanging="246"/>
      </w:pPr>
      <w:rPr>
        <w:rFonts w:hint="default"/>
        <w:lang w:val="es-ES" w:eastAsia="en-US" w:bidi="ar-SA"/>
      </w:rPr>
    </w:lvl>
    <w:lvl w:ilvl="4" w:tplc="DDE06936">
      <w:numFmt w:val="bullet"/>
      <w:lvlText w:val="•"/>
      <w:lvlJc w:val="left"/>
      <w:pPr>
        <w:ind w:left="4855" w:hanging="246"/>
      </w:pPr>
      <w:rPr>
        <w:rFonts w:hint="default"/>
        <w:lang w:val="es-ES" w:eastAsia="en-US" w:bidi="ar-SA"/>
      </w:rPr>
    </w:lvl>
    <w:lvl w:ilvl="5" w:tplc="DDB06D1C">
      <w:numFmt w:val="bullet"/>
      <w:lvlText w:val="•"/>
      <w:lvlJc w:val="left"/>
      <w:pPr>
        <w:ind w:left="5794" w:hanging="246"/>
      </w:pPr>
      <w:rPr>
        <w:rFonts w:hint="default"/>
        <w:lang w:val="es-ES" w:eastAsia="en-US" w:bidi="ar-SA"/>
      </w:rPr>
    </w:lvl>
    <w:lvl w:ilvl="6" w:tplc="54D03CAE">
      <w:numFmt w:val="bullet"/>
      <w:lvlText w:val="•"/>
      <w:lvlJc w:val="left"/>
      <w:pPr>
        <w:ind w:left="6733" w:hanging="246"/>
      </w:pPr>
      <w:rPr>
        <w:rFonts w:hint="default"/>
        <w:lang w:val="es-ES" w:eastAsia="en-US" w:bidi="ar-SA"/>
      </w:rPr>
    </w:lvl>
    <w:lvl w:ilvl="7" w:tplc="68BC620C">
      <w:numFmt w:val="bullet"/>
      <w:lvlText w:val="•"/>
      <w:lvlJc w:val="left"/>
      <w:pPr>
        <w:ind w:left="7672" w:hanging="246"/>
      </w:pPr>
      <w:rPr>
        <w:rFonts w:hint="default"/>
        <w:lang w:val="es-ES" w:eastAsia="en-US" w:bidi="ar-SA"/>
      </w:rPr>
    </w:lvl>
    <w:lvl w:ilvl="8" w:tplc="BDAC16D2">
      <w:numFmt w:val="bullet"/>
      <w:lvlText w:val="•"/>
      <w:lvlJc w:val="left"/>
      <w:pPr>
        <w:ind w:left="8611" w:hanging="246"/>
      </w:pPr>
      <w:rPr>
        <w:rFonts w:hint="default"/>
        <w:lang w:val="es-ES" w:eastAsia="en-US" w:bidi="ar-SA"/>
      </w:rPr>
    </w:lvl>
  </w:abstractNum>
  <w:abstractNum w:abstractNumId="192" w15:restartNumberingAfterBreak="0">
    <w:nsid w:val="4B1D6556"/>
    <w:multiLevelType w:val="hybridMultilevel"/>
    <w:tmpl w:val="B8C4ACD2"/>
    <w:lvl w:ilvl="0" w:tplc="9F003462">
      <w:start w:val="1"/>
      <w:numFmt w:val="decimal"/>
      <w:lvlText w:val="%1."/>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1" w:tplc="E27E848C">
      <w:start w:val="1"/>
      <w:numFmt w:val="lowerLetter"/>
      <w:lvlText w:val="%2)"/>
      <w:lvlJc w:val="left"/>
      <w:pPr>
        <w:ind w:left="1106" w:hanging="289"/>
        <w:jc w:val="left"/>
      </w:pPr>
      <w:rPr>
        <w:rFonts w:ascii="Arial MT" w:eastAsia="Arial MT" w:hAnsi="Arial MT" w:cs="Arial MT" w:hint="default"/>
        <w:b w:val="0"/>
        <w:bCs w:val="0"/>
        <w:i w:val="0"/>
        <w:iCs w:val="0"/>
        <w:spacing w:val="0"/>
        <w:w w:val="100"/>
        <w:sz w:val="20"/>
        <w:szCs w:val="20"/>
        <w:lang w:val="es-ES" w:eastAsia="en-US" w:bidi="ar-SA"/>
      </w:rPr>
    </w:lvl>
    <w:lvl w:ilvl="2" w:tplc="7EB67AC2">
      <w:numFmt w:val="bullet"/>
      <w:lvlText w:val="•"/>
      <w:lvlJc w:val="left"/>
      <w:pPr>
        <w:ind w:left="2977" w:hanging="289"/>
      </w:pPr>
      <w:rPr>
        <w:rFonts w:hint="default"/>
        <w:lang w:val="es-ES" w:eastAsia="en-US" w:bidi="ar-SA"/>
      </w:rPr>
    </w:lvl>
    <w:lvl w:ilvl="3" w:tplc="C91E3990">
      <w:numFmt w:val="bullet"/>
      <w:lvlText w:val="•"/>
      <w:lvlJc w:val="left"/>
      <w:pPr>
        <w:ind w:left="3916" w:hanging="289"/>
      </w:pPr>
      <w:rPr>
        <w:rFonts w:hint="default"/>
        <w:lang w:val="es-ES" w:eastAsia="en-US" w:bidi="ar-SA"/>
      </w:rPr>
    </w:lvl>
    <w:lvl w:ilvl="4" w:tplc="91C2441A">
      <w:numFmt w:val="bullet"/>
      <w:lvlText w:val="•"/>
      <w:lvlJc w:val="left"/>
      <w:pPr>
        <w:ind w:left="4855" w:hanging="289"/>
      </w:pPr>
      <w:rPr>
        <w:rFonts w:hint="default"/>
        <w:lang w:val="es-ES" w:eastAsia="en-US" w:bidi="ar-SA"/>
      </w:rPr>
    </w:lvl>
    <w:lvl w:ilvl="5" w:tplc="2C52D5CA">
      <w:numFmt w:val="bullet"/>
      <w:lvlText w:val="•"/>
      <w:lvlJc w:val="left"/>
      <w:pPr>
        <w:ind w:left="5794" w:hanging="289"/>
      </w:pPr>
      <w:rPr>
        <w:rFonts w:hint="default"/>
        <w:lang w:val="es-ES" w:eastAsia="en-US" w:bidi="ar-SA"/>
      </w:rPr>
    </w:lvl>
    <w:lvl w:ilvl="6" w:tplc="3468FB34">
      <w:numFmt w:val="bullet"/>
      <w:lvlText w:val="•"/>
      <w:lvlJc w:val="left"/>
      <w:pPr>
        <w:ind w:left="6733" w:hanging="289"/>
      </w:pPr>
      <w:rPr>
        <w:rFonts w:hint="default"/>
        <w:lang w:val="es-ES" w:eastAsia="en-US" w:bidi="ar-SA"/>
      </w:rPr>
    </w:lvl>
    <w:lvl w:ilvl="7" w:tplc="81E013B6">
      <w:numFmt w:val="bullet"/>
      <w:lvlText w:val="•"/>
      <w:lvlJc w:val="left"/>
      <w:pPr>
        <w:ind w:left="7672" w:hanging="289"/>
      </w:pPr>
      <w:rPr>
        <w:rFonts w:hint="default"/>
        <w:lang w:val="es-ES" w:eastAsia="en-US" w:bidi="ar-SA"/>
      </w:rPr>
    </w:lvl>
    <w:lvl w:ilvl="8" w:tplc="8FA67432">
      <w:numFmt w:val="bullet"/>
      <w:lvlText w:val="•"/>
      <w:lvlJc w:val="left"/>
      <w:pPr>
        <w:ind w:left="8611" w:hanging="289"/>
      </w:pPr>
      <w:rPr>
        <w:rFonts w:hint="default"/>
        <w:lang w:val="es-ES" w:eastAsia="en-US" w:bidi="ar-SA"/>
      </w:rPr>
    </w:lvl>
  </w:abstractNum>
  <w:abstractNum w:abstractNumId="193" w15:restartNumberingAfterBreak="0">
    <w:nsid w:val="4B677188"/>
    <w:multiLevelType w:val="hybridMultilevel"/>
    <w:tmpl w:val="7ABC11F2"/>
    <w:lvl w:ilvl="0" w:tplc="B11E40BA">
      <w:start w:val="1"/>
      <w:numFmt w:val="decimal"/>
      <w:lvlText w:val="%1."/>
      <w:lvlJc w:val="left"/>
      <w:pPr>
        <w:ind w:left="1106" w:hanging="267"/>
        <w:jc w:val="left"/>
      </w:pPr>
      <w:rPr>
        <w:rFonts w:ascii="Arial MT" w:eastAsia="Arial MT" w:hAnsi="Arial MT" w:cs="Arial MT" w:hint="default"/>
        <w:b w:val="0"/>
        <w:bCs w:val="0"/>
        <w:i w:val="0"/>
        <w:iCs w:val="0"/>
        <w:spacing w:val="0"/>
        <w:w w:val="100"/>
        <w:sz w:val="20"/>
        <w:szCs w:val="20"/>
        <w:lang w:val="es-ES" w:eastAsia="en-US" w:bidi="ar-SA"/>
      </w:rPr>
    </w:lvl>
    <w:lvl w:ilvl="1" w:tplc="84D67818">
      <w:numFmt w:val="bullet"/>
      <w:lvlText w:val="•"/>
      <w:lvlJc w:val="left"/>
      <w:pPr>
        <w:ind w:left="2038" w:hanging="267"/>
      </w:pPr>
      <w:rPr>
        <w:rFonts w:hint="default"/>
        <w:lang w:val="es-ES" w:eastAsia="en-US" w:bidi="ar-SA"/>
      </w:rPr>
    </w:lvl>
    <w:lvl w:ilvl="2" w:tplc="CA722044">
      <w:numFmt w:val="bullet"/>
      <w:lvlText w:val="•"/>
      <w:lvlJc w:val="left"/>
      <w:pPr>
        <w:ind w:left="2977" w:hanging="267"/>
      </w:pPr>
      <w:rPr>
        <w:rFonts w:hint="default"/>
        <w:lang w:val="es-ES" w:eastAsia="en-US" w:bidi="ar-SA"/>
      </w:rPr>
    </w:lvl>
    <w:lvl w:ilvl="3" w:tplc="416E7EFE">
      <w:numFmt w:val="bullet"/>
      <w:lvlText w:val="•"/>
      <w:lvlJc w:val="left"/>
      <w:pPr>
        <w:ind w:left="3916" w:hanging="267"/>
      </w:pPr>
      <w:rPr>
        <w:rFonts w:hint="default"/>
        <w:lang w:val="es-ES" w:eastAsia="en-US" w:bidi="ar-SA"/>
      </w:rPr>
    </w:lvl>
    <w:lvl w:ilvl="4" w:tplc="5C36202E">
      <w:numFmt w:val="bullet"/>
      <w:lvlText w:val="•"/>
      <w:lvlJc w:val="left"/>
      <w:pPr>
        <w:ind w:left="4855" w:hanging="267"/>
      </w:pPr>
      <w:rPr>
        <w:rFonts w:hint="default"/>
        <w:lang w:val="es-ES" w:eastAsia="en-US" w:bidi="ar-SA"/>
      </w:rPr>
    </w:lvl>
    <w:lvl w:ilvl="5" w:tplc="E026C236">
      <w:numFmt w:val="bullet"/>
      <w:lvlText w:val="•"/>
      <w:lvlJc w:val="left"/>
      <w:pPr>
        <w:ind w:left="5794" w:hanging="267"/>
      </w:pPr>
      <w:rPr>
        <w:rFonts w:hint="default"/>
        <w:lang w:val="es-ES" w:eastAsia="en-US" w:bidi="ar-SA"/>
      </w:rPr>
    </w:lvl>
    <w:lvl w:ilvl="6" w:tplc="24264E8A">
      <w:numFmt w:val="bullet"/>
      <w:lvlText w:val="•"/>
      <w:lvlJc w:val="left"/>
      <w:pPr>
        <w:ind w:left="6733" w:hanging="267"/>
      </w:pPr>
      <w:rPr>
        <w:rFonts w:hint="default"/>
        <w:lang w:val="es-ES" w:eastAsia="en-US" w:bidi="ar-SA"/>
      </w:rPr>
    </w:lvl>
    <w:lvl w:ilvl="7" w:tplc="87346482">
      <w:numFmt w:val="bullet"/>
      <w:lvlText w:val="•"/>
      <w:lvlJc w:val="left"/>
      <w:pPr>
        <w:ind w:left="7672" w:hanging="267"/>
      </w:pPr>
      <w:rPr>
        <w:rFonts w:hint="default"/>
        <w:lang w:val="es-ES" w:eastAsia="en-US" w:bidi="ar-SA"/>
      </w:rPr>
    </w:lvl>
    <w:lvl w:ilvl="8" w:tplc="6E1A3FE0">
      <w:numFmt w:val="bullet"/>
      <w:lvlText w:val="•"/>
      <w:lvlJc w:val="left"/>
      <w:pPr>
        <w:ind w:left="8611" w:hanging="267"/>
      </w:pPr>
      <w:rPr>
        <w:rFonts w:hint="default"/>
        <w:lang w:val="es-ES" w:eastAsia="en-US" w:bidi="ar-SA"/>
      </w:rPr>
    </w:lvl>
  </w:abstractNum>
  <w:abstractNum w:abstractNumId="194" w15:restartNumberingAfterBreak="0">
    <w:nsid w:val="4BBA663B"/>
    <w:multiLevelType w:val="hybridMultilevel"/>
    <w:tmpl w:val="62421866"/>
    <w:lvl w:ilvl="0" w:tplc="7D12A0FA">
      <w:start w:val="1"/>
      <w:numFmt w:val="decimal"/>
      <w:lvlText w:val="%1."/>
      <w:lvlJc w:val="left"/>
      <w:pPr>
        <w:ind w:left="1106" w:hanging="259"/>
        <w:jc w:val="left"/>
      </w:pPr>
      <w:rPr>
        <w:rFonts w:ascii="Arial MT" w:eastAsia="Arial MT" w:hAnsi="Arial MT" w:cs="Arial MT" w:hint="default"/>
        <w:b w:val="0"/>
        <w:bCs w:val="0"/>
        <w:i w:val="0"/>
        <w:iCs w:val="0"/>
        <w:spacing w:val="0"/>
        <w:w w:val="100"/>
        <w:sz w:val="20"/>
        <w:szCs w:val="20"/>
        <w:lang w:val="es-ES" w:eastAsia="en-US" w:bidi="ar-SA"/>
      </w:rPr>
    </w:lvl>
    <w:lvl w:ilvl="1" w:tplc="1B40CBC8">
      <w:start w:val="1"/>
      <w:numFmt w:val="lowerLetter"/>
      <w:lvlText w:val="%2)"/>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2" w:tplc="67DE4D30">
      <w:start w:val="1"/>
      <w:numFmt w:val="lowerRoman"/>
      <w:lvlText w:val="%3)"/>
      <w:lvlJc w:val="left"/>
      <w:pPr>
        <w:ind w:left="1106" w:hanging="177"/>
        <w:jc w:val="left"/>
      </w:pPr>
      <w:rPr>
        <w:rFonts w:ascii="Arial MT" w:eastAsia="Arial MT" w:hAnsi="Arial MT" w:cs="Arial MT" w:hint="default"/>
        <w:b w:val="0"/>
        <w:bCs w:val="0"/>
        <w:i w:val="0"/>
        <w:iCs w:val="0"/>
        <w:spacing w:val="0"/>
        <w:w w:val="100"/>
        <w:sz w:val="20"/>
        <w:szCs w:val="20"/>
        <w:lang w:val="es-ES" w:eastAsia="en-US" w:bidi="ar-SA"/>
      </w:rPr>
    </w:lvl>
    <w:lvl w:ilvl="3" w:tplc="8EE201D6">
      <w:numFmt w:val="bullet"/>
      <w:lvlText w:val="•"/>
      <w:lvlJc w:val="left"/>
      <w:pPr>
        <w:ind w:left="3916" w:hanging="177"/>
      </w:pPr>
      <w:rPr>
        <w:rFonts w:hint="default"/>
        <w:lang w:val="es-ES" w:eastAsia="en-US" w:bidi="ar-SA"/>
      </w:rPr>
    </w:lvl>
    <w:lvl w:ilvl="4" w:tplc="C478ABA6">
      <w:numFmt w:val="bullet"/>
      <w:lvlText w:val="•"/>
      <w:lvlJc w:val="left"/>
      <w:pPr>
        <w:ind w:left="4855" w:hanging="177"/>
      </w:pPr>
      <w:rPr>
        <w:rFonts w:hint="default"/>
        <w:lang w:val="es-ES" w:eastAsia="en-US" w:bidi="ar-SA"/>
      </w:rPr>
    </w:lvl>
    <w:lvl w:ilvl="5" w:tplc="9BD49A04">
      <w:numFmt w:val="bullet"/>
      <w:lvlText w:val="•"/>
      <w:lvlJc w:val="left"/>
      <w:pPr>
        <w:ind w:left="5794" w:hanging="177"/>
      </w:pPr>
      <w:rPr>
        <w:rFonts w:hint="default"/>
        <w:lang w:val="es-ES" w:eastAsia="en-US" w:bidi="ar-SA"/>
      </w:rPr>
    </w:lvl>
    <w:lvl w:ilvl="6" w:tplc="FC60B78A">
      <w:numFmt w:val="bullet"/>
      <w:lvlText w:val="•"/>
      <w:lvlJc w:val="left"/>
      <w:pPr>
        <w:ind w:left="6733" w:hanging="177"/>
      </w:pPr>
      <w:rPr>
        <w:rFonts w:hint="default"/>
        <w:lang w:val="es-ES" w:eastAsia="en-US" w:bidi="ar-SA"/>
      </w:rPr>
    </w:lvl>
    <w:lvl w:ilvl="7" w:tplc="9C62C6B0">
      <w:numFmt w:val="bullet"/>
      <w:lvlText w:val="•"/>
      <w:lvlJc w:val="left"/>
      <w:pPr>
        <w:ind w:left="7672" w:hanging="177"/>
      </w:pPr>
      <w:rPr>
        <w:rFonts w:hint="default"/>
        <w:lang w:val="es-ES" w:eastAsia="en-US" w:bidi="ar-SA"/>
      </w:rPr>
    </w:lvl>
    <w:lvl w:ilvl="8" w:tplc="D502677A">
      <w:numFmt w:val="bullet"/>
      <w:lvlText w:val="•"/>
      <w:lvlJc w:val="left"/>
      <w:pPr>
        <w:ind w:left="8611" w:hanging="177"/>
      </w:pPr>
      <w:rPr>
        <w:rFonts w:hint="default"/>
        <w:lang w:val="es-ES" w:eastAsia="en-US" w:bidi="ar-SA"/>
      </w:rPr>
    </w:lvl>
  </w:abstractNum>
  <w:abstractNum w:abstractNumId="195" w15:restartNumberingAfterBreak="0">
    <w:nsid w:val="4C134038"/>
    <w:multiLevelType w:val="hybridMultilevel"/>
    <w:tmpl w:val="A5CE62EA"/>
    <w:lvl w:ilvl="0" w:tplc="2634FE08">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29E82C82">
      <w:start w:val="1"/>
      <w:numFmt w:val="lowerLetter"/>
      <w:lvlText w:val="%2)"/>
      <w:lvlJc w:val="left"/>
      <w:pPr>
        <w:ind w:left="1106" w:hanging="292"/>
        <w:jc w:val="left"/>
      </w:pPr>
      <w:rPr>
        <w:rFonts w:ascii="Arial MT" w:eastAsia="Arial MT" w:hAnsi="Arial MT" w:cs="Arial MT" w:hint="default"/>
        <w:b w:val="0"/>
        <w:bCs w:val="0"/>
        <w:i w:val="0"/>
        <w:iCs w:val="0"/>
        <w:spacing w:val="0"/>
        <w:w w:val="100"/>
        <w:sz w:val="20"/>
        <w:szCs w:val="20"/>
        <w:lang w:val="es-ES" w:eastAsia="en-US" w:bidi="ar-SA"/>
      </w:rPr>
    </w:lvl>
    <w:lvl w:ilvl="2" w:tplc="E68AD5F6">
      <w:numFmt w:val="bullet"/>
      <w:lvlText w:val="•"/>
      <w:lvlJc w:val="left"/>
      <w:pPr>
        <w:ind w:left="2977" w:hanging="292"/>
      </w:pPr>
      <w:rPr>
        <w:rFonts w:hint="default"/>
        <w:lang w:val="es-ES" w:eastAsia="en-US" w:bidi="ar-SA"/>
      </w:rPr>
    </w:lvl>
    <w:lvl w:ilvl="3" w:tplc="E9E470AC">
      <w:numFmt w:val="bullet"/>
      <w:lvlText w:val="•"/>
      <w:lvlJc w:val="left"/>
      <w:pPr>
        <w:ind w:left="3916" w:hanging="292"/>
      </w:pPr>
      <w:rPr>
        <w:rFonts w:hint="default"/>
        <w:lang w:val="es-ES" w:eastAsia="en-US" w:bidi="ar-SA"/>
      </w:rPr>
    </w:lvl>
    <w:lvl w:ilvl="4" w:tplc="E64A6462">
      <w:numFmt w:val="bullet"/>
      <w:lvlText w:val="•"/>
      <w:lvlJc w:val="left"/>
      <w:pPr>
        <w:ind w:left="4855" w:hanging="292"/>
      </w:pPr>
      <w:rPr>
        <w:rFonts w:hint="default"/>
        <w:lang w:val="es-ES" w:eastAsia="en-US" w:bidi="ar-SA"/>
      </w:rPr>
    </w:lvl>
    <w:lvl w:ilvl="5" w:tplc="657A4FE8">
      <w:numFmt w:val="bullet"/>
      <w:lvlText w:val="•"/>
      <w:lvlJc w:val="left"/>
      <w:pPr>
        <w:ind w:left="5794" w:hanging="292"/>
      </w:pPr>
      <w:rPr>
        <w:rFonts w:hint="default"/>
        <w:lang w:val="es-ES" w:eastAsia="en-US" w:bidi="ar-SA"/>
      </w:rPr>
    </w:lvl>
    <w:lvl w:ilvl="6" w:tplc="041870C0">
      <w:numFmt w:val="bullet"/>
      <w:lvlText w:val="•"/>
      <w:lvlJc w:val="left"/>
      <w:pPr>
        <w:ind w:left="6733" w:hanging="292"/>
      </w:pPr>
      <w:rPr>
        <w:rFonts w:hint="default"/>
        <w:lang w:val="es-ES" w:eastAsia="en-US" w:bidi="ar-SA"/>
      </w:rPr>
    </w:lvl>
    <w:lvl w:ilvl="7" w:tplc="D2CA1116">
      <w:numFmt w:val="bullet"/>
      <w:lvlText w:val="•"/>
      <w:lvlJc w:val="left"/>
      <w:pPr>
        <w:ind w:left="7672" w:hanging="292"/>
      </w:pPr>
      <w:rPr>
        <w:rFonts w:hint="default"/>
        <w:lang w:val="es-ES" w:eastAsia="en-US" w:bidi="ar-SA"/>
      </w:rPr>
    </w:lvl>
    <w:lvl w:ilvl="8" w:tplc="B9EE9516">
      <w:numFmt w:val="bullet"/>
      <w:lvlText w:val="•"/>
      <w:lvlJc w:val="left"/>
      <w:pPr>
        <w:ind w:left="8611" w:hanging="292"/>
      </w:pPr>
      <w:rPr>
        <w:rFonts w:hint="default"/>
        <w:lang w:val="es-ES" w:eastAsia="en-US" w:bidi="ar-SA"/>
      </w:rPr>
    </w:lvl>
  </w:abstractNum>
  <w:abstractNum w:abstractNumId="196" w15:restartNumberingAfterBreak="0">
    <w:nsid w:val="4C505014"/>
    <w:multiLevelType w:val="hybridMultilevel"/>
    <w:tmpl w:val="B712B9C8"/>
    <w:lvl w:ilvl="0" w:tplc="CDEEBB60">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DF20900A">
      <w:start w:val="1"/>
      <w:numFmt w:val="lowerLetter"/>
      <w:lvlText w:val="%2)"/>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2" w:tplc="3F5C1B86">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5DFC2994">
      <w:numFmt w:val="bullet"/>
      <w:lvlText w:val="•"/>
      <w:lvlJc w:val="left"/>
      <w:pPr>
        <w:ind w:left="3916" w:hanging="168"/>
      </w:pPr>
      <w:rPr>
        <w:rFonts w:hint="default"/>
        <w:lang w:val="es-ES" w:eastAsia="en-US" w:bidi="ar-SA"/>
      </w:rPr>
    </w:lvl>
    <w:lvl w:ilvl="4" w:tplc="7786F502">
      <w:numFmt w:val="bullet"/>
      <w:lvlText w:val="•"/>
      <w:lvlJc w:val="left"/>
      <w:pPr>
        <w:ind w:left="4855" w:hanging="168"/>
      </w:pPr>
      <w:rPr>
        <w:rFonts w:hint="default"/>
        <w:lang w:val="es-ES" w:eastAsia="en-US" w:bidi="ar-SA"/>
      </w:rPr>
    </w:lvl>
    <w:lvl w:ilvl="5" w:tplc="F45640A6">
      <w:numFmt w:val="bullet"/>
      <w:lvlText w:val="•"/>
      <w:lvlJc w:val="left"/>
      <w:pPr>
        <w:ind w:left="5794" w:hanging="168"/>
      </w:pPr>
      <w:rPr>
        <w:rFonts w:hint="default"/>
        <w:lang w:val="es-ES" w:eastAsia="en-US" w:bidi="ar-SA"/>
      </w:rPr>
    </w:lvl>
    <w:lvl w:ilvl="6" w:tplc="7152AFBE">
      <w:numFmt w:val="bullet"/>
      <w:lvlText w:val="•"/>
      <w:lvlJc w:val="left"/>
      <w:pPr>
        <w:ind w:left="6733" w:hanging="168"/>
      </w:pPr>
      <w:rPr>
        <w:rFonts w:hint="default"/>
        <w:lang w:val="es-ES" w:eastAsia="en-US" w:bidi="ar-SA"/>
      </w:rPr>
    </w:lvl>
    <w:lvl w:ilvl="7" w:tplc="B71A184A">
      <w:numFmt w:val="bullet"/>
      <w:lvlText w:val="•"/>
      <w:lvlJc w:val="left"/>
      <w:pPr>
        <w:ind w:left="7672" w:hanging="168"/>
      </w:pPr>
      <w:rPr>
        <w:rFonts w:hint="default"/>
        <w:lang w:val="es-ES" w:eastAsia="en-US" w:bidi="ar-SA"/>
      </w:rPr>
    </w:lvl>
    <w:lvl w:ilvl="8" w:tplc="47724780">
      <w:numFmt w:val="bullet"/>
      <w:lvlText w:val="•"/>
      <w:lvlJc w:val="left"/>
      <w:pPr>
        <w:ind w:left="8611" w:hanging="168"/>
      </w:pPr>
      <w:rPr>
        <w:rFonts w:hint="default"/>
        <w:lang w:val="es-ES" w:eastAsia="en-US" w:bidi="ar-SA"/>
      </w:rPr>
    </w:lvl>
  </w:abstractNum>
  <w:abstractNum w:abstractNumId="197" w15:restartNumberingAfterBreak="0">
    <w:nsid w:val="4C5C395B"/>
    <w:multiLevelType w:val="hybridMultilevel"/>
    <w:tmpl w:val="276A8314"/>
    <w:lvl w:ilvl="0" w:tplc="3FC24ABC">
      <w:start w:val="1"/>
      <w:numFmt w:val="decimal"/>
      <w:lvlText w:val="%1."/>
      <w:lvlJc w:val="left"/>
      <w:pPr>
        <w:ind w:left="1106" w:hanging="283"/>
        <w:jc w:val="left"/>
      </w:pPr>
      <w:rPr>
        <w:rFonts w:ascii="Arial MT" w:eastAsia="Arial MT" w:hAnsi="Arial MT" w:cs="Arial MT" w:hint="default"/>
        <w:b w:val="0"/>
        <w:bCs w:val="0"/>
        <w:i w:val="0"/>
        <w:iCs w:val="0"/>
        <w:spacing w:val="0"/>
        <w:w w:val="100"/>
        <w:sz w:val="20"/>
        <w:szCs w:val="20"/>
        <w:lang w:val="es-ES" w:eastAsia="en-US" w:bidi="ar-SA"/>
      </w:rPr>
    </w:lvl>
    <w:lvl w:ilvl="1" w:tplc="67C680A2">
      <w:start w:val="1"/>
      <w:numFmt w:val="lowerLetter"/>
      <w:lvlText w:val="%2)"/>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2" w:tplc="67FCA83C">
      <w:numFmt w:val="bullet"/>
      <w:lvlText w:val="•"/>
      <w:lvlJc w:val="left"/>
      <w:pPr>
        <w:ind w:left="2977" w:hanging="243"/>
      </w:pPr>
      <w:rPr>
        <w:rFonts w:hint="default"/>
        <w:lang w:val="es-ES" w:eastAsia="en-US" w:bidi="ar-SA"/>
      </w:rPr>
    </w:lvl>
    <w:lvl w:ilvl="3" w:tplc="85489E16">
      <w:numFmt w:val="bullet"/>
      <w:lvlText w:val="•"/>
      <w:lvlJc w:val="left"/>
      <w:pPr>
        <w:ind w:left="3916" w:hanging="243"/>
      </w:pPr>
      <w:rPr>
        <w:rFonts w:hint="default"/>
        <w:lang w:val="es-ES" w:eastAsia="en-US" w:bidi="ar-SA"/>
      </w:rPr>
    </w:lvl>
    <w:lvl w:ilvl="4" w:tplc="50765130">
      <w:numFmt w:val="bullet"/>
      <w:lvlText w:val="•"/>
      <w:lvlJc w:val="left"/>
      <w:pPr>
        <w:ind w:left="4855" w:hanging="243"/>
      </w:pPr>
      <w:rPr>
        <w:rFonts w:hint="default"/>
        <w:lang w:val="es-ES" w:eastAsia="en-US" w:bidi="ar-SA"/>
      </w:rPr>
    </w:lvl>
    <w:lvl w:ilvl="5" w:tplc="F85A2D42">
      <w:numFmt w:val="bullet"/>
      <w:lvlText w:val="•"/>
      <w:lvlJc w:val="left"/>
      <w:pPr>
        <w:ind w:left="5794" w:hanging="243"/>
      </w:pPr>
      <w:rPr>
        <w:rFonts w:hint="default"/>
        <w:lang w:val="es-ES" w:eastAsia="en-US" w:bidi="ar-SA"/>
      </w:rPr>
    </w:lvl>
    <w:lvl w:ilvl="6" w:tplc="A7A63B18">
      <w:numFmt w:val="bullet"/>
      <w:lvlText w:val="•"/>
      <w:lvlJc w:val="left"/>
      <w:pPr>
        <w:ind w:left="6733" w:hanging="243"/>
      </w:pPr>
      <w:rPr>
        <w:rFonts w:hint="default"/>
        <w:lang w:val="es-ES" w:eastAsia="en-US" w:bidi="ar-SA"/>
      </w:rPr>
    </w:lvl>
    <w:lvl w:ilvl="7" w:tplc="6FE89AB6">
      <w:numFmt w:val="bullet"/>
      <w:lvlText w:val="•"/>
      <w:lvlJc w:val="left"/>
      <w:pPr>
        <w:ind w:left="7672" w:hanging="243"/>
      </w:pPr>
      <w:rPr>
        <w:rFonts w:hint="default"/>
        <w:lang w:val="es-ES" w:eastAsia="en-US" w:bidi="ar-SA"/>
      </w:rPr>
    </w:lvl>
    <w:lvl w:ilvl="8" w:tplc="CF7076C4">
      <w:numFmt w:val="bullet"/>
      <w:lvlText w:val="•"/>
      <w:lvlJc w:val="left"/>
      <w:pPr>
        <w:ind w:left="8611" w:hanging="243"/>
      </w:pPr>
      <w:rPr>
        <w:rFonts w:hint="default"/>
        <w:lang w:val="es-ES" w:eastAsia="en-US" w:bidi="ar-SA"/>
      </w:rPr>
    </w:lvl>
  </w:abstractNum>
  <w:abstractNum w:abstractNumId="198" w15:restartNumberingAfterBreak="0">
    <w:nsid w:val="4CB926CB"/>
    <w:multiLevelType w:val="hybridMultilevel"/>
    <w:tmpl w:val="E3CCA38A"/>
    <w:lvl w:ilvl="0" w:tplc="89C26EFA">
      <w:start w:val="1"/>
      <w:numFmt w:val="decimal"/>
      <w:lvlText w:val="%1."/>
      <w:lvlJc w:val="left"/>
      <w:pPr>
        <w:ind w:left="1106" w:hanging="277"/>
        <w:jc w:val="left"/>
      </w:pPr>
      <w:rPr>
        <w:rFonts w:ascii="Arial MT" w:eastAsia="Arial MT" w:hAnsi="Arial MT" w:cs="Arial MT" w:hint="default"/>
        <w:b w:val="0"/>
        <w:bCs w:val="0"/>
        <w:i w:val="0"/>
        <w:iCs w:val="0"/>
        <w:spacing w:val="0"/>
        <w:w w:val="100"/>
        <w:sz w:val="20"/>
        <w:szCs w:val="20"/>
        <w:lang w:val="es-ES" w:eastAsia="en-US" w:bidi="ar-SA"/>
      </w:rPr>
    </w:lvl>
    <w:lvl w:ilvl="1" w:tplc="040CA222">
      <w:numFmt w:val="bullet"/>
      <w:lvlText w:val="•"/>
      <w:lvlJc w:val="left"/>
      <w:pPr>
        <w:ind w:left="2038" w:hanging="277"/>
      </w:pPr>
      <w:rPr>
        <w:rFonts w:hint="default"/>
        <w:lang w:val="es-ES" w:eastAsia="en-US" w:bidi="ar-SA"/>
      </w:rPr>
    </w:lvl>
    <w:lvl w:ilvl="2" w:tplc="8CB0B88C">
      <w:numFmt w:val="bullet"/>
      <w:lvlText w:val="•"/>
      <w:lvlJc w:val="left"/>
      <w:pPr>
        <w:ind w:left="2977" w:hanging="277"/>
      </w:pPr>
      <w:rPr>
        <w:rFonts w:hint="default"/>
        <w:lang w:val="es-ES" w:eastAsia="en-US" w:bidi="ar-SA"/>
      </w:rPr>
    </w:lvl>
    <w:lvl w:ilvl="3" w:tplc="83722F36">
      <w:numFmt w:val="bullet"/>
      <w:lvlText w:val="•"/>
      <w:lvlJc w:val="left"/>
      <w:pPr>
        <w:ind w:left="3916" w:hanging="277"/>
      </w:pPr>
      <w:rPr>
        <w:rFonts w:hint="default"/>
        <w:lang w:val="es-ES" w:eastAsia="en-US" w:bidi="ar-SA"/>
      </w:rPr>
    </w:lvl>
    <w:lvl w:ilvl="4" w:tplc="8F5A1666">
      <w:numFmt w:val="bullet"/>
      <w:lvlText w:val="•"/>
      <w:lvlJc w:val="left"/>
      <w:pPr>
        <w:ind w:left="4855" w:hanging="277"/>
      </w:pPr>
      <w:rPr>
        <w:rFonts w:hint="default"/>
        <w:lang w:val="es-ES" w:eastAsia="en-US" w:bidi="ar-SA"/>
      </w:rPr>
    </w:lvl>
    <w:lvl w:ilvl="5" w:tplc="8F787F3E">
      <w:numFmt w:val="bullet"/>
      <w:lvlText w:val="•"/>
      <w:lvlJc w:val="left"/>
      <w:pPr>
        <w:ind w:left="5794" w:hanging="277"/>
      </w:pPr>
      <w:rPr>
        <w:rFonts w:hint="default"/>
        <w:lang w:val="es-ES" w:eastAsia="en-US" w:bidi="ar-SA"/>
      </w:rPr>
    </w:lvl>
    <w:lvl w:ilvl="6" w:tplc="010EE3D4">
      <w:numFmt w:val="bullet"/>
      <w:lvlText w:val="•"/>
      <w:lvlJc w:val="left"/>
      <w:pPr>
        <w:ind w:left="6733" w:hanging="277"/>
      </w:pPr>
      <w:rPr>
        <w:rFonts w:hint="default"/>
        <w:lang w:val="es-ES" w:eastAsia="en-US" w:bidi="ar-SA"/>
      </w:rPr>
    </w:lvl>
    <w:lvl w:ilvl="7" w:tplc="D6784188">
      <w:numFmt w:val="bullet"/>
      <w:lvlText w:val="•"/>
      <w:lvlJc w:val="left"/>
      <w:pPr>
        <w:ind w:left="7672" w:hanging="277"/>
      </w:pPr>
      <w:rPr>
        <w:rFonts w:hint="default"/>
        <w:lang w:val="es-ES" w:eastAsia="en-US" w:bidi="ar-SA"/>
      </w:rPr>
    </w:lvl>
    <w:lvl w:ilvl="8" w:tplc="4A261C66">
      <w:numFmt w:val="bullet"/>
      <w:lvlText w:val="•"/>
      <w:lvlJc w:val="left"/>
      <w:pPr>
        <w:ind w:left="8611" w:hanging="277"/>
      </w:pPr>
      <w:rPr>
        <w:rFonts w:hint="default"/>
        <w:lang w:val="es-ES" w:eastAsia="en-US" w:bidi="ar-SA"/>
      </w:rPr>
    </w:lvl>
  </w:abstractNum>
  <w:abstractNum w:abstractNumId="199" w15:restartNumberingAfterBreak="0">
    <w:nsid w:val="4D603418"/>
    <w:multiLevelType w:val="hybridMultilevel"/>
    <w:tmpl w:val="5B8C6740"/>
    <w:lvl w:ilvl="0" w:tplc="8A9E3DA4">
      <w:start w:val="1"/>
      <w:numFmt w:val="decimal"/>
      <w:lvlText w:val="%1."/>
      <w:lvlJc w:val="left"/>
      <w:pPr>
        <w:ind w:left="1106" w:hanging="246"/>
        <w:jc w:val="left"/>
      </w:pPr>
      <w:rPr>
        <w:rFonts w:ascii="Arial MT" w:eastAsia="Arial MT" w:hAnsi="Arial MT" w:cs="Arial MT" w:hint="default"/>
        <w:b w:val="0"/>
        <w:bCs w:val="0"/>
        <w:i w:val="0"/>
        <w:iCs w:val="0"/>
        <w:spacing w:val="0"/>
        <w:w w:val="100"/>
        <w:sz w:val="20"/>
        <w:szCs w:val="20"/>
        <w:lang w:val="es-ES" w:eastAsia="en-US" w:bidi="ar-SA"/>
      </w:rPr>
    </w:lvl>
    <w:lvl w:ilvl="1" w:tplc="056A31A6">
      <w:numFmt w:val="bullet"/>
      <w:lvlText w:val="•"/>
      <w:lvlJc w:val="left"/>
      <w:pPr>
        <w:ind w:left="2038" w:hanging="246"/>
      </w:pPr>
      <w:rPr>
        <w:rFonts w:hint="default"/>
        <w:lang w:val="es-ES" w:eastAsia="en-US" w:bidi="ar-SA"/>
      </w:rPr>
    </w:lvl>
    <w:lvl w:ilvl="2" w:tplc="046E7040">
      <w:numFmt w:val="bullet"/>
      <w:lvlText w:val="•"/>
      <w:lvlJc w:val="left"/>
      <w:pPr>
        <w:ind w:left="2977" w:hanging="246"/>
      </w:pPr>
      <w:rPr>
        <w:rFonts w:hint="default"/>
        <w:lang w:val="es-ES" w:eastAsia="en-US" w:bidi="ar-SA"/>
      </w:rPr>
    </w:lvl>
    <w:lvl w:ilvl="3" w:tplc="E6F4A61C">
      <w:numFmt w:val="bullet"/>
      <w:lvlText w:val="•"/>
      <w:lvlJc w:val="left"/>
      <w:pPr>
        <w:ind w:left="3916" w:hanging="246"/>
      </w:pPr>
      <w:rPr>
        <w:rFonts w:hint="default"/>
        <w:lang w:val="es-ES" w:eastAsia="en-US" w:bidi="ar-SA"/>
      </w:rPr>
    </w:lvl>
    <w:lvl w:ilvl="4" w:tplc="3086FDA8">
      <w:numFmt w:val="bullet"/>
      <w:lvlText w:val="•"/>
      <w:lvlJc w:val="left"/>
      <w:pPr>
        <w:ind w:left="4855" w:hanging="246"/>
      </w:pPr>
      <w:rPr>
        <w:rFonts w:hint="default"/>
        <w:lang w:val="es-ES" w:eastAsia="en-US" w:bidi="ar-SA"/>
      </w:rPr>
    </w:lvl>
    <w:lvl w:ilvl="5" w:tplc="BDF4B55A">
      <w:numFmt w:val="bullet"/>
      <w:lvlText w:val="•"/>
      <w:lvlJc w:val="left"/>
      <w:pPr>
        <w:ind w:left="5794" w:hanging="246"/>
      </w:pPr>
      <w:rPr>
        <w:rFonts w:hint="default"/>
        <w:lang w:val="es-ES" w:eastAsia="en-US" w:bidi="ar-SA"/>
      </w:rPr>
    </w:lvl>
    <w:lvl w:ilvl="6" w:tplc="E882625A">
      <w:numFmt w:val="bullet"/>
      <w:lvlText w:val="•"/>
      <w:lvlJc w:val="left"/>
      <w:pPr>
        <w:ind w:left="6733" w:hanging="246"/>
      </w:pPr>
      <w:rPr>
        <w:rFonts w:hint="default"/>
        <w:lang w:val="es-ES" w:eastAsia="en-US" w:bidi="ar-SA"/>
      </w:rPr>
    </w:lvl>
    <w:lvl w:ilvl="7" w:tplc="AB4020C6">
      <w:numFmt w:val="bullet"/>
      <w:lvlText w:val="•"/>
      <w:lvlJc w:val="left"/>
      <w:pPr>
        <w:ind w:left="7672" w:hanging="246"/>
      </w:pPr>
      <w:rPr>
        <w:rFonts w:hint="default"/>
        <w:lang w:val="es-ES" w:eastAsia="en-US" w:bidi="ar-SA"/>
      </w:rPr>
    </w:lvl>
    <w:lvl w:ilvl="8" w:tplc="A0BA9EAC">
      <w:numFmt w:val="bullet"/>
      <w:lvlText w:val="•"/>
      <w:lvlJc w:val="left"/>
      <w:pPr>
        <w:ind w:left="8611" w:hanging="246"/>
      </w:pPr>
      <w:rPr>
        <w:rFonts w:hint="default"/>
        <w:lang w:val="es-ES" w:eastAsia="en-US" w:bidi="ar-SA"/>
      </w:rPr>
    </w:lvl>
  </w:abstractNum>
  <w:abstractNum w:abstractNumId="200" w15:restartNumberingAfterBreak="0">
    <w:nsid w:val="4EBD5E3A"/>
    <w:multiLevelType w:val="hybridMultilevel"/>
    <w:tmpl w:val="2BB420E4"/>
    <w:lvl w:ilvl="0" w:tplc="1A408038">
      <w:start w:val="1"/>
      <w:numFmt w:val="decimal"/>
      <w:lvlText w:val="%1."/>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1" w:tplc="76B6B80C">
      <w:start w:val="1"/>
      <w:numFmt w:val="lowerLetter"/>
      <w:lvlText w:val="%2)"/>
      <w:lvlJc w:val="left"/>
      <w:pPr>
        <w:ind w:left="1106" w:hanging="313"/>
        <w:jc w:val="left"/>
      </w:pPr>
      <w:rPr>
        <w:rFonts w:ascii="Arial MT" w:eastAsia="Arial MT" w:hAnsi="Arial MT" w:cs="Arial MT" w:hint="default"/>
        <w:b w:val="0"/>
        <w:bCs w:val="0"/>
        <w:i w:val="0"/>
        <w:iCs w:val="0"/>
        <w:spacing w:val="0"/>
        <w:w w:val="100"/>
        <w:sz w:val="20"/>
        <w:szCs w:val="20"/>
        <w:lang w:val="es-ES" w:eastAsia="en-US" w:bidi="ar-SA"/>
      </w:rPr>
    </w:lvl>
    <w:lvl w:ilvl="2" w:tplc="3A287710">
      <w:numFmt w:val="bullet"/>
      <w:lvlText w:val="•"/>
      <w:lvlJc w:val="left"/>
      <w:pPr>
        <w:ind w:left="2977" w:hanging="313"/>
      </w:pPr>
      <w:rPr>
        <w:rFonts w:hint="default"/>
        <w:lang w:val="es-ES" w:eastAsia="en-US" w:bidi="ar-SA"/>
      </w:rPr>
    </w:lvl>
    <w:lvl w:ilvl="3" w:tplc="3B28F33E">
      <w:numFmt w:val="bullet"/>
      <w:lvlText w:val="•"/>
      <w:lvlJc w:val="left"/>
      <w:pPr>
        <w:ind w:left="3916" w:hanging="313"/>
      </w:pPr>
      <w:rPr>
        <w:rFonts w:hint="default"/>
        <w:lang w:val="es-ES" w:eastAsia="en-US" w:bidi="ar-SA"/>
      </w:rPr>
    </w:lvl>
    <w:lvl w:ilvl="4" w:tplc="53B6C54C">
      <w:numFmt w:val="bullet"/>
      <w:lvlText w:val="•"/>
      <w:lvlJc w:val="left"/>
      <w:pPr>
        <w:ind w:left="4855" w:hanging="313"/>
      </w:pPr>
      <w:rPr>
        <w:rFonts w:hint="default"/>
        <w:lang w:val="es-ES" w:eastAsia="en-US" w:bidi="ar-SA"/>
      </w:rPr>
    </w:lvl>
    <w:lvl w:ilvl="5" w:tplc="794E05E2">
      <w:numFmt w:val="bullet"/>
      <w:lvlText w:val="•"/>
      <w:lvlJc w:val="left"/>
      <w:pPr>
        <w:ind w:left="5794" w:hanging="313"/>
      </w:pPr>
      <w:rPr>
        <w:rFonts w:hint="default"/>
        <w:lang w:val="es-ES" w:eastAsia="en-US" w:bidi="ar-SA"/>
      </w:rPr>
    </w:lvl>
    <w:lvl w:ilvl="6" w:tplc="F9EC5A78">
      <w:numFmt w:val="bullet"/>
      <w:lvlText w:val="•"/>
      <w:lvlJc w:val="left"/>
      <w:pPr>
        <w:ind w:left="6733" w:hanging="313"/>
      </w:pPr>
      <w:rPr>
        <w:rFonts w:hint="default"/>
        <w:lang w:val="es-ES" w:eastAsia="en-US" w:bidi="ar-SA"/>
      </w:rPr>
    </w:lvl>
    <w:lvl w:ilvl="7" w:tplc="485668C0">
      <w:numFmt w:val="bullet"/>
      <w:lvlText w:val="•"/>
      <w:lvlJc w:val="left"/>
      <w:pPr>
        <w:ind w:left="7672" w:hanging="313"/>
      </w:pPr>
      <w:rPr>
        <w:rFonts w:hint="default"/>
        <w:lang w:val="es-ES" w:eastAsia="en-US" w:bidi="ar-SA"/>
      </w:rPr>
    </w:lvl>
    <w:lvl w:ilvl="8" w:tplc="F9E8D70E">
      <w:numFmt w:val="bullet"/>
      <w:lvlText w:val="•"/>
      <w:lvlJc w:val="left"/>
      <w:pPr>
        <w:ind w:left="8611" w:hanging="313"/>
      </w:pPr>
      <w:rPr>
        <w:rFonts w:hint="default"/>
        <w:lang w:val="es-ES" w:eastAsia="en-US" w:bidi="ar-SA"/>
      </w:rPr>
    </w:lvl>
  </w:abstractNum>
  <w:abstractNum w:abstractNumId="201" w15:restartNumberingAfterBreak="0">
    <w:nsid w:val="4EC63DD6"/>
    <w:multiLevelType w:val="hybridMultilevel"/>
    <w:tmpl w:val="F60CBDC2"/>
    <w:lvl w:ilvl="0" w:tplc="2F28826E">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5EC086E4">
      <w:start w:val="1"/>
      <w:numFmt w:val="lowerLetter"/>
      <w:lvlText w:val="%2)"/>
      <w:lvlJc w:val="left"/>
      <w:pPr>
        <w:ind w:left="1106" w:hanging="254"/>
        <w:jc w:val="left"/>
      </w:pPr>
      <w:rPr>
        <w:rFonts w:ascii="Arial MT" w:eastAsia="Arial MT" w:hAnsi="Arial MT" w:cs="Arial MT" w:hint="default"/>
        <w:b w:val="0"/>
        <w:bCs w:val="0"/>
        <w:i w:val="0"/>
        <w:iCs w:val="0"/>
        <w:spacing w:val="0"/>
        <w:w w:val="100"/>
        <w:sz w:val="20"/>
        <w:szCs w:val="20"/>
        <w:lang w:val="es-ES" w:eastAsia="en-US" w:bidi="ar-SA"/>
      </w:rPr>
    </w:lvl>
    <w:lvl w:ilvl="2" w:tplc="5A025B4C">
      <w:numFmt w:val="bullet"/>
      <w:lvlText w:val="•"/>
      <w:lvlJc w:val="left"/>
      <w:pPr>
        <w:ind w:left="2977" w:hanging="254"/>
      </w:pPr>
      <w:rPr>
        <w:rFonts w:hint="default"/>
        <w:lang w:val="es-ES" w:eastAsia="en-US" w:bidi="ar-SA"/>
      </w:rPr>
    </w:lvl>
    <w:lvl w:ilvl="3" w:tplc="F03CF01E">
      <w:numFmt w:val="bullet"/>
      <w:lvlText w:val="•"/>
      <w:lvlJc w:val="left"/>
      <w:pPr>
        <w:ind w:left="3916" w:hanging="254"/>
      </w:pPr>
      <w:rPr>
        <w:rFonts w:hint="default"/>
        <w:lang w:val="es-ES" w:eastAsia="en-US" w:bidi="ar-SA"/>
      </w:rPr>
    </w:lvl>
    <w:lvl w:ilvl="4" w:tplc="690EB5A4">
      <w:numFmt w:val="bullet"/>
      <w:lvlText w:val="•"/>
      <w:lvlJc w:val="left"/>
      <w:pPr>
        <w:ind w:left="4855" w:hanging="254"/>
      </w:pPr>
      <w:rPr>
        <w:rFonts w:hint="default"/>
        <w:lang w:val="es-ES" w:eastAsia="en-US" w:bidi="ar-SA"/>
      </w:rPr>
    </w:lvl>
    <w:lvl w:ilvl="5" w:tplc="E2462DB4">
      <w:numFmt w:val="bullet"/>
      <w:lvlText w:val="•"/>
      <w:lvlJc w:val="left"/>
      <w:pPr>
        <w:ind w:left="5794" w:hanging="254"/>
      </w:pPr>
      <w:rPr>
        <w:rFonts w:hint="default"/>
        <w:lang w:val="es-ES" w:eastAsia="en-US" w:bidi="ar-SA"/>
      </w:rPr>
    </w:lvl>
    <w:lvl w:ilvl="6" w:tplc="98FA30DE">
      <w:numFmt w:val="bullet"/>
      <w:lvlText w:val="•"/>
      <w:lvlJc w:val="left"/>
      <w:pPr>
        <w:ind w:left="6733" w:hanging="254"/>
      </w:pPr>
      <w:rPr>
        <w:rFonts w:hint="default"/>
        <w:lang w:val="es-ES" w:eastAsia="en-US" w:bidi="ar-SA"/>
      </w:rPr>
    </w:lvl>
    <w:lvl w:ilvl="7" w:tplc="0218B3F2">
      <w:numFmt w:val="bullet"/>
      <w:lvlText w:val="•"/>
      <w:lvlJc w:val="left"/>
      <w:pPr>
        <w:ind w:left="7672" w:hanging="254"/>
      </w:pPr>
      <w:rPr>
        <w:rFonts w:hint="default"/>
        <w:lang w:val="es-ES" w:eastAsia="en-US" w:bidi="ar-SA"/>
      </w:rPr>
    </w:lvl>
    <w:lvl w:ilvl="8" w:tplc="EA02EED4">
      <w:numFmt w:val="bullet"/>
      <w:lvlText w:val="•"/>
      <w:lvlJc w:val="left"/>
      <w:pPr>
        <w:ind w:left="8611" w:hanging="254"/>
      </w:pPr>
      <w:rPr>
        <w:rFonts w:hint="default"/>
        <w:lang w:val="es-ES" w:eastAsia="en-US" w:bidi="ar-SA"/>
      </w:rPr>
    </w:lvl>
  </w:abstractNum>
  <w:abstractNum w:abstractNumId="202" w15:restartNumberingAfterBreak="0">
    <w:nsid w:val="4ED175EB"/>
    <w:multiLevelType w:val="hybridMultilevel"/>
    <w:tmpl w:val="238E62E8"/>
    <w:lvl w:ilvl="0" w:tplc="C52007F4">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5AA4A9EE">
      <w:numFmt w:val="bullet"/>
      <w:lvlText w:val="•"/>
      <w:lvlJc w:val="left"/>
      <w:pPr>
        <w:ind w:left="2038" w:hanging="228"/>
      </w:pPr>
      <w:rPr>
        <w:rFonts w:hint="default"/>
        <w:lang w:val="es-ES" w:eastAsia="en-US" w:bidi="ar-SA"/>
      </w:rPr>
    </w:lvl>
    <w:lvl w:ilvl="2" w:tplc="953E0F2E">
      <w:numFmt w:val="bullet"/>
      <w:lvlText w:val="•"/>
      <w:lvlJc w:val="left"/>
      <w:pPr>
        <w:ind w:left="2977" w:hanging="228"/>
      </w:pPr>
      <w:rPr>
        <w:rFonts w:hint="default"/>
        <w:lang w:val="es-ES" w:eastAsia="en-US" w:bidi="ar-SA"/>
      </w:rPr>
    </w:lvl>
    <w:lvl w:ilvl="3" w:tplc="CECAD92C">
      <w:numFmt w:val="bullet"/>
      <w:lvlText w:val="•"/>
      <w:lvlJc w:val="left"/>
      <w:pPr>
        <w:ind w:left="3916" w:hanging="228"/>
      </w:pPr>
      <w:rPr>
        <w:rFonts w:hint="default"/>
        <w:lang w:val="es-ES" w:eastAsia="en-US" w:bidi="ar-SA"/>
      </w:rPr>
    </w:lvl>
    <w:lvl w:ilvl="4" w:tplc="094E3CD4">
      <w:numFmt w:val="bullet"/>
      <w:lvlText w:val="•"/>
      <w:lvlJc w:val="left"/>
      <w:pPr>
        <w:ind w:left="4855" w:hanging="228"/>
      </w:pPr>
      <w:rPr>
        <w:rFonts w:hint="default"/>
        <w:lang w:val="es-ES" w:eastAsia="en-US" w:bidi="ar-SA"/>
      </w:rPr>
    </w:lvl>
    <w:lvl w:ilvl="5" w:tplc="0E0AEE64">
      <w:numFmt w:val="bullet"/>
      <w:lvlText w:val="•"/>
      <w:lvlJc w:val="left"/>
      <w:pPr>
        <w:ind w:left="5794" w:hanging="228"/>
      </w:pPr>
      <w:rPr>
        <w:rFonts w:hint="default"/>
        <w:lang w:val="es-ES" w:eastAsia="en-US" w:bidi="ar-SA"/>
      </w:rPr>
    </w:lvl>
    <w:lvl w:ilvl="6" w:tplc="11BCDA7A">
      <w:numFmt w:val="bullet"/>
      <w:lvlText w:val="•"/>
      <w:lvlJc w:val="left"/>
      <w:pPr>
        <w:ind w:left="6733" w:hanging="228"/>
      </w:pPr>
      <w:rPr>
        <w:rFonts w:hint="default"/>
        <w:lang w:val="es-ES" w:eastAsia="en-US" w:bidi="ar-SA"/>
      </w:rPr>
    </w:lvl>
    <w:lvl w:ilvl="7" w:tplc="056C7A48">
      <w:numFmt w:val="bullet"/>
      <w:lvlText w:val="•"/>
      <w:lvlJc w:val="left"/>
      <w:pPr>
        <w:ind w:left="7672" w:hanging="228"/>
      </w:pPr>
      <w:rPr>
        <w:rFonts w:hint="default"/>
        <w:lang w:val="es-ES" w:eastAsia="en-US" w:bidi="ar-SA"/>
      </w:rPr>
    </w:lvl>
    <w:lvl w:ilvl="8" w:tplc="95D697BE">
      <w:numFmt w:val="bullet"/>
      <w:lvlText w:val="•"/>
      <w:lvlJc w:val="left"/>
      <w:pPr>
        <w:ind w:left="8611" w:hanging="228"/>
      </w:pPr>
      <w:rPr>
        <w:rFonts w:hint="default"/>
        <w:lang w:val="es-ES" w:eastAsia="en-US" w:bidi="ar-SA"/>
      </w:rPr>
    </w:lvl>
  </w:abstractNum>
  <w:abstractNum w:abstractNumId="203" w15:restartNumberingAfterBreak="0">
    <w:nsid w:val="4EF25A76"/>
    <w:multiLevelType w:val="hybridMultilevel"/>
    <w:tmpl w:val="6EB6DA84"/>
    <w:lvl w:ilvl="0" w:tplc="9B36F612">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B7EA2A28">
      <w:numFmt w:val="bullet"/>
      <w:lvlText w:val="•"/>
      <w:lvlJc w:val="left"/>
      <w:pPr>
        <w:ind w:left="2038" w:hanging="224"/>
      </w:pPr>
      <w:rPr>
        <w:rFonts w:hint="default"/>
        <w:lang w:val="es-ES" w:eastAsia="en-US" w:bidi="ar-SA"/>
      </w:rPr>
    </w:lvl>
    <w:lvl w:ilvl="2" w:tplc="8556DB9A">
      <w:numFmt w:val="bullet"/>
      <w:lvlText w:val="•"/>
      <w:lvlJc w:val="left"/>
      <w:pPr>
        <w:ind w:left="2977" w:hanging="224"/>
      </w:pPr>
      <w:rPr>
        <w:rFonts w:hint="default"/>
        <w:lang w:val="es-ES" w:eastAsia="en-US" w:bidi="ar-SA"/>
      </w:rPr>
    </w:lvl>
    <w:lvl w:ilvl="3" w:tplc="41E6AA8C">
      <w:numFmt w:val="bullet"/>
      <w:lvlText w:val="•"/>
      <w:lvlJc w:val="left"/>
      <w:pPr>
        <w:ind w:left="3916" w:hanging="224"/>
      </w:pPr>
      <w:rPr>
        <w:rFonts w:hint="default"/>
        <w:lang w:val="es-ES" w:eastAsia="en-US" w:bidi="ar-SA"/>
      </w:rPr>
    </w:lvl>
    <w:lvl w:ilvl="4" w:tplc="52AACDBC">
      <w:numFmt w:val="bullet"/>
      <w:lvlText w:val="•"/>
      <w:lvlJc w:val="left"/>
      <w:pPr>
        <w:ind w:left="4855" w:hanging="224"/>
      </w:pPr>
      <w:rPr>
        <w:rFonts w:hint="default"/>
        <w:lang w:val="es-ES" w:eastAsia="en-US" w:bidi="ar-SA"/>
      </w:rPr>
    </w:lvl>
    <w:lvl w:ilvl="5" w:tplc="477021C2">
      <w:numFmt w:val="bullet"/>
      <w:lvlText w:val="•"/>
      <w:lvlJc w:val="left"/>
      <w:pPr>
        <w:ind w:left="5794" w:hanging="224"/>
      </w:pPr>
      <w:rPr>
        <w:rFonts w:hint="default"/>
        <w:lang w:val="es-ES" w:eastAsia="en-US" w:bidi="ar-SA"/>
      </w:rPr>
    </w:lvl>
    <w:lvl w:ilvl="6" w:tplc="7CCABA62">
      <w:numFmt w:val="bullet"/>
      <w:lvlText w:val="•"/>
      <w:lvlJc w:val="left"/>
      <w:pPr>
        <w:ind w:left="6733" w:hanging="224"/>
      </w:pPr>
      <w:rPr>
        <w:rFonts w:hint="default"/>
        <w:lang w:val="es-ES" w:eastAsia="en-US" w:bidi="ar-SA"/>
      </w:rPr>
    </w:lvl>
    <w:lvl w:ilvl="7" w:tplc="E98AD18A">
      <w:numFmt w:val="bullet"/>
      <w:lvlText w:val="•"/>
      <w:lvlJc w:val="left"/>
      <w:pPr>
        <w:ind w:left="7672" w:hanging="224"/>
      </w:pPr>
      <w:rPr>
        <w:rFonts w:hint="default"/>
        <w:lang w:val="es-ES" w:eastAsia="en-US" w:bidi="ar-SA"/>
      </w:rPr>
    </w:lvl>
    <w:lvl w:ilvl="8" w:tplc="1504970A">
      <w:numFmt w:val="bullet"/>
      <w:lvlText w:val="•"/>
      <w:lvlJc w:val="left"/>
      <w:pPr>
        <w:ind w:left="8611" w:hanging="224"/>
      </w:pPr>
      <w:rPr>
        <w:rFonts w:hint="default"/>
        <w:lang w:val="es-ES" w:eastAsia="en-US" w:bidi="ar-SA"/>
      </w:rPr>
    </w:lvl>
  </w:abstractNum>
  <w:abstractNum w:abstractNumId="204" w15:restartNumberingAfterBreak="0">
    <w:nsid w:val="4F082A60"/>
    <w:multiLevelType w:val="hybridMultilevel"/>
    <w:tmpl w:val="CBBA4230"/>
    <w:lvl w:ilvl="0" w:tplc="BA5873CA">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944210D2">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BFDAA812">
      <w:numFmt w:val="bullet"/>
      <w:lvlText w:val="•"/>
      <w:lvlJc w:val="left"/>
      <w:pPr>
        <w:ind w:left="2658" w:hanging="234"/>
      </w:pPr>
      <w:rPr>
        <w:rFonts w:hint="default"/>
        <w:lang w:val="es-ES" w:eastAsia="en-US" w:bidi="ar-SA"/>
      </w:rPr>
    </w:lvl>
    <w:lvl w:ilvl="3" w:tplc="5A666E56">
      <w:numFmt w:val="bullet"/>
      <w:lvlText w:val="•"/>
      <w:lvlJc w:val="left"/>
      <w:pPr>
        <w:ind w:left="3637" w:hanging="234"/>
      </w:pPr>
      <w:rPr>
        <w:rFonts w:hint="default"/>
        <w:lang w:val="es-ES" w:eastAsia="en-US" w:bidi="ar-SA"/>
      </w:rPr>
    </w:lvl>
    <w:lvl w:ilvl="4" w:tplc="74101298">
      <w:numFmt w:val="bullet"/>
      <w:lvlText w:val="•"/>
      <w:lvlJc w:val="left"/>
      <w:pPr>
        <w:ind w:left="4616" w:hanging="234"/>
      </w:pPr>
      <w:rPr>
        <w:rFonts w:hint="default"/>
        <w:lang w:val="es-ES" w:eastAsia="en-US" w:bidi="ar-SA"/>
      </w:rPr>
    </w:lvl>
    <w:lvl w:ilvl="5" w:tplc="C83C5DDC">
      <w:numFmt w:val="bullet"/>
      <w:lvlText w:val="•"/>
      <w:lvlJc w:val="left"/>
      <w:pPr>
        <w:ind w:left="5595" w:hanging="234"/>
      </w:pPr>
      <w:rPr>
        <w:rFonts w:hint="default"/>
        <w:lang w:val="es-ES" w:eastAsia="en-US" w:bidi="ar-SA"/>
      </w:rPr>
    </w:lvl>
    <w:lvl w:ilvl="6" w:tplc="3208D476">
      <w:numFmt w:val="bullet"/>
      <w:lvlText w:val="•"/>
      <w:lvlJc w:val="left"/>
      <w:pPr>
        <w:ind w:left="6574" w:hanging="234"/>
      </w:pPr>
      <w:rPr>
        <w:rFonts w:hint="default"/>
        <w:lang w:val="es-ES" w:eastAsia="en-US" w:bidi="ar-SA"/>
      </w:rPr>
    </w:lvl>
    <w:lvl w:ilvl="7" w:tplc="74CC5222">
      <w:numFmt w:val="bullet"/>
      <w:lvlText w:val="•"/>
      <w:lvlJc w:val="left"/>
      <w:pPr>
        <w:ind w:left="7553" w:hanging="234"/>
      </w:pPr>
      <w:rPr>
        <w:rFonts w:hint="default"/>
        <w:lang w:val="es-ES" w:eastAsia="en-US" w:bidi="ar-SA"/>
      </w:rPr>
    </w:lvl>
    <w:lvl w:ilvl="8" w:tplc="31D64B12">
      <w:numFmt w:val="bullet"/>
      <w:lvlText w:val="•"/>
      <w:lvlJc w:val="left"/>
      <w:pPr>
        <w:ind w:left="8531" w:hanging="234"/>
      </w:pPr>
      <w:rPr>
        <w:rFonts w:hint="default"/>
        <w:lang w:val="es-ES" w:eastAsia="en-US" w:bidi="ar-SA"/>
      </w:rPr>
    </w:lvl>
  </w:abstractNum>
  <w:abstractNum w:abstractNumId="205" w15:restartNumberingAfterBreak="0">
    <w:nsid w:val="4F5364DC"/>
    <w:multiLevelType w:val="hybridMultilevel"/>
    <w:tmpl w:val="414668FC"/>
    <w:lvl w:ilvl="0" w:tplc="24FC34FE">
      <w:start w:val="1"/>
      <w:numFmt w:val="decimal"/>
      <w:lvlText w:val="%1."/>
      <w:lvlJc w:val="left"/>
      <w:pPr>
        <w:ind w:left="1106" w:hanging="277"/>
        <w:jc w:val="left"/>
      </w:pPr>
      <w:rPr>
        <w:rFonts w:ascii="Arial MT" w:eastAsia="Arial MT" w:hAnsi="Arial MT" w:cs="Arial MT" w:hint="default"/>
        <w:b w:val="0"/>
        <w:bCs w:val="0"/>
        <w:i w:val="0"/>
        <w:iCs w:val="0"/>
        <w:spacing w:val="0"/>
        <w:w w:val="100"/>
        <w:sz w:val="20"/>
        <w:szCs w:val="20"/>
        <w:lang w:val="es-ES" w:eastAsia="en-US" w:bidi="ar-SA"/>
      </w:rPr>
    </w:lvl>
    <w:lvl w:ilvl="1" w:tplc="69742362">
      <w:numFmt w:val="bullet"/>
      <w:lvlText w:val="•"/>
      <w:lvlJc w:val="left"/>
      <w:pPr>
        <w:ind w:left="2038" w:hanging="277"/>
      </w:pPr>
      <w:rPr>
        <w:rFonts w:hint="default"/>
        <w:lang w:val="es-ES" w:eastAsia="en-US" w:bidi="ar-SA"/>
      </w:rPr>
    </w:lvl>
    <w:lvl w:ilvl="2" w:tplc="C35C2968">
      <w:numFmt w:val="bullet"/>
      <w:lvlText w:val="•"/>
      <w:lvlJc w:val="left"/>
      <w:pPr>
        <w:ind w:left="2977" w:hanging="277"/>
      </w:pPr>
      <w:rPr>
        <w:rFonts w:hint="default"/>
        <w:lang w:val="es-ES" w:eastAsia="en-US" w:bidi="ar-SA"/>
      </w:rPr>
    </w:lvl>
    <w:lvl w:ilvl="3" w:tplc="08FE451E">
      <w:numFmt w:val="bullet"/>
      <w:lvlText w:val="•"/>
      <w:lvlJc w:val="left"/>
      <w:pPr>
        <w:ind w:left="3916" w:hanging="277"/>
      </w:pPr>
      <w:rPr>
        <w:rFonts w:hint="default"/>
        <w:lang w:val="es-ES" w:eastAsia="en-US" w:bidi="ar-SA"/>
      </w:rPr>
    </w:lvl>
    <w:lvl w:ilvl="4" w:tplc="FBC68676">
      <w:numFmt w:val="bullet"/>
      <w:lvlText w:val="•"/>
      <w:lvlJc w:val="left"/>
      <w:pPr>
        <w:ind w:left="4855" w:hanging="277"/>
      </w:pPr>
      <w:rPr>
        <w:rFonts w:hint="default"/>
        <w:lang w:val="es-ES" w:eastAsia="en-US" w:bidi="ar-SA"/>
      </w:rPr>
    </w:lvl>
    <w:lvl w:ilvl="5" w:tplc="E514DF9A">
      <w:numFmt w:val="bullet"/>
      <w:lvlText w:val="•"/>
      <w:lvlJc w:val="left"/>
      <w:pPr>
        <w:ind w:left="5794" w:hanging="277"/>
      </w:pPr>
      <w:rPr>
        <w:rFonts w:hint="default"/>
        <w:lang w:val="es-ES" w:eastAsia="en-US" w:bidi="ar-SA"/>
      </w:rPr>
    </w:lvl>
    <w:lvl w:ilvl="6" w:tplc="BA586DBC">
      <w:numFmt w:val="bullet"/>
      <w:lvlText w:val="•"/>
      <w:lvlJc w:val="left"/>
      <w:pPr>
        <w:ind w:left="6733" w:hanging="277"/>
      </w:pPr>
      <w:rPr>
        <w:rFonts w:hint="default"/>
        <w:lang w:val="es-ES" w:eastAsia="en-US" w:bidi="ar-SA"/>
      </w:rPr>
    </w:lvl>
    <w:lvl w:ilvl="7" w:tplc="3822F58C">
      <w:numFmt w:val="bullet"/>
      <w:lvlText w:val="•"/>
      <w:lvlJc w:val="left"/>
      <w:pPr>
        <w:ind w:left="7672" w:hanging="277"/>
      </w:pPr>
      <w:rPr>
        <w:rFonts w:hint="default"/>
        <w:lang w:val="es-ES" w:eastAsia="en-US" w:bidi="ar-SA"/>
      </w:rPr>
    </w:lvl>
    <w:lvl w:ilvl="8" w:tplc="AA7A7438">
      <w:numFmt w:val="bullet"/>
      <w:lvlText w:val="•"/>
      <w:lvlJc w:val="left"/>
      <w:pPr>
        <w:ind w:left="8611" w:hanging="277"/>
      </w:pPr>
      <w:rPr>
        <w:rFonts w:hint="default"/>
        <w:lang w:val="es-ES" w:eastAsia="en-US" w:bidi="ar-SA"/>
      </w:rPr>
    </w:lvl>
  </w:abstractNum>
  <w:abstractNum w:abstractNumId="206" w15:restartNumberingAfterBreak="0">
    <w:nsid w:val="4FB4770A"/>
    <w:multiLevelType w:val="hybridMultilevel"/>
    <w:tmpl w:val="067C0214"/>
    <w:lvl w:ilvl="0" w:tplc="1600552C">
      <w:start w:val="1"/>
      <w:numFmt w:val="lowerLetter"/>
      <w:lvlText w:val="%1)"/>
      <w:lvlJc w:val="left"/>
      <w:pPr>
        <w:ind w:left="1786" w:hanging="272"/>
        <w:jc w:val="left"/>
      </w:pPr>
      <w:rPr>
        <w:rFonts w:ascii="Arial MT" w:eastAsia="Arial MT" w:hAnsi="Arial MT" w:cs="Arial MT" w:hint="default"/>
        <w:b w:val="0"/>
        <w:bCs w:val="0"/>
        <w:i w:val="0"/>
        <w:iCs w:val="0"/>
        <w:spacing w:val="0"/>
        <w:w w:val="100"/>
        <w:sz w:val="20"/>
        <w:szCs w:val="20"/>
        <w:lang w:val="es-ES" w:eastAsia="en-US" w:bidi="ar-SA"/>
      </w:rPr>
    </w:lvl>
    <w:lvl w:ilvl="1" w:tplc="FEA0DCB2">
      <w:numFmt w:val="bullet"/>
      <w:lvlText w:val="•"/>
      <w:lvlJc w:val="left"/>
      <w:pPr>
        <w:ind w:left="2650" w:hanging="272"/>
      </w:pPr>
      <w:rPr>
        <w:rFonts w:hint="default"/>
        <w:lang w:val="es-ES" w:eastAsia="en-US" w:bidi="ar-SA"/>
      </w:rPr>
    </w:lvl>
    <w:lvl w:ilvl="2" w:tplc="2398D4EC">
      <w:numFmt w:val="bullet"/>
      <w:lvlText w:val="•"/>
      <w:lvlJc w:val="left"/>
      <w:pPr>
        <w:ind w:left="3521" w:hanging="272"/>
      </w:pPr>
      <w:rPr>
        <w:rFonts w:hint="default"/>
        <w:lang w:val="es-ES" w:eastAsia="en-US" w:bidi="ar-SA"/>
      </w:rPr>
    </w:lvl>
    <w:lvl w:ilvl="3" w:tplc="E646C94C">
      <w:numFmt w:val="bullet"/>
      <w:lvlText w:val="•"/>
      <w:lvlJc w:val="left"/>
      <w:pPr>
        <w:ind w:left="4392" w:hanging="272"/>
      </w:pPr>
      <w:rPr>
        <w:rFonts w:hint="default"/>
        <w:lang w:val="es-ES" w:eastAsia="en-US" w:bidi="ar-SA"/>
      </w:rPr>
    </w:lvl>
    <w:lvl w:ilvl="4" w:tplc="206AE68A">
      <w:numFmt w:val="bullet"/>
      <w:lvlText w:val="•"/>
      <w:lvlJc w:val="left"/>
      <w:pPr>
        <w:ind w:left="5263" w:hanging="272"/>
      </w:pPr>
      <w:rPr>
        <w:rFonts w:hint="default"/>
        <w:lang w:val="es-ES" w:eastAsia="en-US" w:bidi="ar-SA"/>
      </w:rPr>
    </w:lvl>
    <w:lvl w:ilvl="5" w:tplc="DA34A7CA">
      <w:numFmt w:val="bullet"/>
      <w:lvlText w:val="•"/>
      <w:lvlJc w:val="left"/>
      <w:pPr>
        <w:ind w:left="6134" w:hanging="272"/>
      </w:pPr>
      <w:rPr>
        <w:rFonts w:hint="default"/>
        <w:lang w:val="es-ES" w:eastAsia="en-US" w:bidi="ar-SA"/>
      </w:rPr>
    </w:lvl>
    <w:lvl w:ilvl="6" w:tplc="6E985BBA">
      <w:numFmt w:val="bullet"/>
      <w:lvlText w:val="•"/>
      <w:lvlJc w:val="left"/>
      <w:pPr>
        <w:ind w:left="7005" w:hanging="272"/>
      </w:pPr>
      <w:rPr>
        <w:rFonts w:hint="default"/>
        <w:lang w:val="es-ES" w:eastAsia="en-US" w:bidi="ar-SA"/>
      </w:rPr>
    </w:lvl>
    <w:lvl w:ilvl="7" w:tplc="6424443A">
      <w:numFmt w:val="bullet"/>
      <w:lvlText w:val="•"/>
      <w:lvlJc w:val="left"/>
      <w:pPr>
        <w:ind w:left="7876" w:hanging="272"/>
      </w:pPr>
      <w:rPr>
        <w:rFonts w:hint="default"/>
        <w:lang w:val="es-ES" w:eastAsia="en-US" w:bidi="ar-SA"/>
      </w:rPr>
    </w:lvl>
    <w:lvl w:ilvl="8" w:tplc="E5187D9E">
      <w:numFmt w:val="bullet"/>
      <w:lvlText w:val="•"/>
      <w:lvlJc w:val="left"/>
      <w:pPr>
        <w:ind w:left="8747" w:hanging="272"/>
      </w:pPr>
      <w:rPr>
        <w:rFonts w:hint="default"/>
        <w:lang w:val="es-ES" w:eastAsia="en-US" w:bidi="ar-SA"/>
      </w:rPr>
    </w:lvl>
  </w:abstractNum>
  <w:abstractNum w:abstractNumId="207" w15:restartNumberingAfterBreak="0">
    <w:nsid w:val="4FDB3BE6"/>
    <w:multiLevelType w:val="hybridMultilevel"/>
    <w:tmpl w:val="5EAC543E"/>
    <w:lvl w:ilvl="0" w:tplc="36000048">
      <w:start w:val="1"/>
      <w:numFmt w:val="decimal"/>
      <w:lvlText w:val="%1."/>
      <w:lvlJc w:val="left"/>
      <w:pPr>
        <w:ind w:left="1106" w:hanging="253"/>
        <w:jc w:val="left"/>
      </w:pPr>
      <w:rPr>
        <w:rFonts w:ascii="Arial MT" w:eastAsia="Arial MT" w:hAnsi="Arial MT" w:cs="Arial MT" w:hint="default"/>
        <w:b w:val="0"/>
        <w:bCs w:val="0"/>
        <w:i w:val="0"/>
        <w:iCs w:val="0"/>
        <w:spacing w:val="0"/>
        <w:w w:val="100"/>
        <w:sz w:val="20"/>
        <w:szCs w:val="20"/>
        <w:lang w:val="es-ES" w:eastAsia="en-US" w:bidi="ar-SA"/>
      </w:rPr>
    </w:lvl>
    <w:lvl w:ilvl="1" w:tplc="230E326A">
      <w:numFmt w:val="bullet"/>
      <w:lvlText w:val="•"/>
      <w:lvlJc w:val="left"/>
      <w:pPr>
        <w:ind w:left="2038" w:hanging="253"/>
      </w:pPr>
      <w:rPr>
        <w:rFonts w:hint="default"/>
        <w:lang w:val="es-ES" w:eastAsia="en-US" w:bidi="ar-SA"/>
      </w:rPr>
    </w:lvl>
    <w:lvl w:ilvl="2" w:tplc="8866463E">
      <w:numFmt w:val="bullet"/>
      <w:lvlText w:val="•"/>
      <w:lvlJc w:val="left"/>
      <w:pPr>
        <w:ind w:left="2977" w:hanging="253"/>
      </w:pPr>
      <w:rPr>
        <w:rFonts w:hint="default"/>
        <w:lang w:val="es-ES" w:eastAsia="en-US" w:bidi="ar-SA"/>
      </w:rPr>
    </w:lvl>
    <w:lvl w:ilvl="3" w:tplc="403EEE32">
      <w:numFmt w:val="bullet"/>
      <w:lvlText w:val="•"/>
      <w:lvlJc w:val="left"/>
      <w:pPr>
        <w:ind w:left="3916" w:hanging="253"/>
      </w:pPr>
      <w:rPr>
        <w:rFonts w:hint="default"/>
        <w:lang w:val="es-ES" w:eastAsia="en-US" w:bidi="ar-SA"/>
      </w:rPr>
    </w:lvl>
    <w:lvl w:ilvl="4" w:tplc="AFB68C46">
      <w:numFmt w:val="bullet"/>
      <w:lvlText w:val="•"/>
      <w:lvlJc w:val="left"/>
      <w:pPr>
        <w:ind w:left="4855" w:hanging="253"/>
      </w:pPr>
      <w:rPr>
        <w:rFonts w:hint="default"/>
        <w:lang w:val="es-ES" w:eastAsia="en-US" w:bidi="ar-SA"/>
      </w:rPr>
    </w:lvl>
    <w:lvl w:ilvl="5" w:tplc="FEA82456">
      <w:numFmt w:val="bullet"/>
      <w:lvlText w:val="•"/>
      <w:lvlJc w:val="left"/>
      <w:pPr>
        <w:ind w:left="5794" w:hanging="253"/>
      </w:pPr>
      <w:rPr>
        <w:rFonts w:hint="default"/>
        <w:lang w:val="es-ES" w:eastAsia="en-US" w:bidi="ar-SA"/>
      </w:rPr>
    </w:lvl>
    <w:lvl w:ilvl="6" w:tplc="4CB67524">
      <w:numFmt w:val="bullet"/>
      <w:lvlText w:val="•"/>
      <w:lvlJc w:val="left"/>
      <w:pPr>
        <w:ind w:left="6733" w:hanging="253"/>
      </w:pPr>
      <w:rPr>
        <w:rFonts w:hint="default"/>
        <w:lang w:val="es-ES" w:eastAsia="en-US" w:bidi="ar-SA"/>
      </w:rPr>
    </w:lvl>
    <w:lvl w:ilvl="7" w:tplc="87AE80E6">
      <w:numFmt w:val="bullet"/>
      <w:lvlText w:val="•"/>
      <w:lvlJc w:val="left"/>
      <w:pPr>
        <w:ind w:left="7672" w:hanging="253"/>
      </w:pPr>
      <w:rPr>
        <w:rFonts w:hint="default"/>
        <w:lang w:val="es-ES" w:eastAsia="en-US" w:bidi="ar-SA"/>
      </w:rPr>
    </w:lvl>
    <w:lvl w:ilvl="8" w:tplc="9A2629D8">
      <w:numFmt w:val="bullet"/>
      <w:lvlText w:val="•"/>
      <w:lvlJc w:val="left"/>
      <w:pPr>
        <w:ind w:left="8611" w:hanging="253"/>
      </w:pPr>
      <w:rPr>
        <w:rFonts w:hint="default"/>
        <w:lang w:val="es-ES" w:eastAsia="en-US" w:bidi="ar-SA"/>
      </w:rPr>
    </w:lvl>
  </w:abstractNum>
  <w:abstractNum w:abstractNumId="208" w15:restartNumberingAfterBreak="0">
    <w:nsid w:val="4FE54E5C"/>
    <w:multiLevelType w:val="hybridMultilevel"/>
    <w:tmpl w:val="C91CD7D2"/>
    <w:lvl w:ilvl="0" w:tplc="54E41C98">
      <w:start w:val="1"/>
      <w:numFmt w:val="decimal"/>
      <w:lvlText w:val="%1."/>
      <w:lvlJc w:val="left"/>
      <w:pPr>
        <w:ind w:left="1106" w:hanging="259"/>
        <w:jc w:val="left"/>
      </w:pPr>
      <w:rPr>
        <w:rFonts w:ascii="Arial MT" w:eastAsia="Arial MT" w:hAnsi="Arial MT" w:cs="Arial MT" w:hint="default"/>
        <w:b w:val="0"/>
        <w:bCs w:val="0"/>
        <w:i w:val="0"/>
        <w:iCs w:val="0"/>
        <w:spacing w:val="0"/>
        <w:w w:val="100"/>
        <w:sz w:val="20"/>
        <w:szCs w:val="20"/>
        <w:lang w:val="es-ES" w:eastAsia="en-US" w:bidi="ar-SA"/>
      </w:rPr>
    </w:lvl>
    <w:lvl w:ilvl="1" w:tplc="4ECC6F00">
      <w:numFmt w:val="bullet"/>
      <w:lvlText w:val="•"/>
      <w:lvlJc w:val="left"/>
      <w:pPr>
        <w:ind w:left="2038" w:hanging="259"/>
      </w:pPr>
      <w:rPr>
        <w:rFonts w:hint="default"/>
        <w:lang w:val="es-ES" w:eastAsia="en-US" w:bidi="ar-SA"/>
      </w:rPr>
    </w:lvl>
    <w:lvl w:ilvl="2" w:tplc="C812FE3E">
      <w:numFmt w:val="bullet"/>
      <w:lvlText w:val="•"/>
      <w:lvlJc w:val="left"/>
      <w:pPr>
        <w:ind w:left="2977" w:hanging="259"/>
      </w:pPr>
      <w:rPr>
        <w:rFonts w:hint="default"/>
        <w:lang w:val="es-ES" w:eastAsia="en-US" w:bidi="ar-SA"/>
      </w:rPr>
    </w:lvl>
    <w:lvl w:ilvl="3" w:tplc="13586BA8">
      <w:numFmt w:val="bullet"/>
      <w:lvlText w:val="•"/>
      <w:lvlJc w:val="left"/>
      <w:pPr>
        <w:ind w:left="3916" w:hanging="259"/>
      </w:pPr>
      <w:rPr>
        <w:rFonts w:hint="default"/>
        <w:lang w:val="es-ES" w:eastAsia="en-US" w:bidi="ar-SA"/>
      </w:rPr>
    </w:lvl>
    <w:lvl w:ilvl="4" w:tplc="7DB04BDC">
      <w:numFmt w:val="bullet"/>
      <w:lvlText w:val="•"/>
      <w:lvlJc w:val="left"/>
      <w:pPr>
        <w:ind w:left="4855" w:hanging="259"/>
      </w:pPr>
      <w:rPr>
        <w:rFonts w:hint="default"/>
        <w:lang w:val="es-ES" w:eastAsia="en-US" w:bidi="ar-SA"/>
      </w:rPr>
    </w:lvl>
    <w:lvl w:ilvl="5" w:tplc="CCB60B2A">
      <w:numFmt w:val="bullet"/>
      <w:lvlText w:val="•"/>
      <w:lvlJc w:val="left"/>
      <w:pPr>
        <w:ind w:left="5794" w:hanging="259"/>
      </w:pPr>
      <w:rPr>
        <w:rFonts w:hint="default"/>
        <w:lang w:val="es-ES" w:eastAsia="en-US" w:bidi="ar-SA"/>
      </w:rPr>
    </w:lvl>
    <w:lvl w:ilvl="6" w:tplc="9FEC96CA">
      <w:numFmt w:val="bullet"/>
      <w:lvlText w:val="•"/>
      <w:lvlJc w:val="left"/>
      <w:pPr>
        <w:ind w:left="6733" w:hanging="259"/>
      </w:pPr>
      <w:rPr>
        <w:rFonts w:hint="default"/>
        <w:lang w:val="es-ES" w:eastAsia="en-US" w:bidi="ar-SA"/>
      </w:rPr>
    </w:lvl>
    <w:lvl w:ilvl="7" w:tplc="5B88D91A">
      <w:numFmt w:val="bullet"/>
      <w:lvlText w:val="•"/>
      <w:lvlJc w:val="left"/>
      <w:pPr>
        <w:ind w:left="7672" w:hanging="259"/>
      </w:pPr>
      <w:rPr>
        <w:rFonts w:hint="default"/>
        <w:lang w:val="es-ES" w:eastAsia="en-US" w:bidi="ar-SA"/>
      </w:rPr>
    </w:lvl>
    <w:lvl w:ilvl="8" w:tplc="4594CD6A">
      <w:numFmt w:val="bullet"/>
      <w:lvlText w:val="•"/>
      <w:lvlJc w:val="left"/>
      <w:pPr>
        <w:ind w:left="8611" w:hanging="259"/>
      </w:pPr>
      <w:rPr>
        <w:rFonts w:hint="default"/>
        <w:lang w:val="es-ES" w:eastAsia="en-US" w:bidi="ar-SA"/>
      </w:rPr>
    </w:lvl>
  </w:abstractNum>
  <w:abstractNum w:abstractNumId="209" w15:restartNumberingAfterBreak="0">
    <w:nsid w:val="5014625A"/>
    <w:multiLevelType w:val="hybridMultilevel"/>
    <w:tmpl w:val="D76CD4E0"/>
    <w:lvl w:ilvl="0" w:tplc="54EA06A6">
      <w:start w:val="1"/>
      <w:numFmt w:val="decimal"/>
      <w:lvlText w:val="%1."/>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1" w:tplc="5C7C67EE">
      <w:start w:val="1"/>
      <w:numFmt w:val="lowerLetter"/>
      <w:lvlText w:val="%2)"/>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2" w:tplc="71C29712">
      <w:numFmt w:val="bullet"/>
      <w:lvlText w:val="•"/>
      <w:lvlJc w:val="left"/>
      <w:pPr>
        <w:ind w:left="2977" w:hanging="261"/>
      </w:pPr>
      <w:rPr>
        <w:rFonts w:hint="default"/>
        <w:lang w:val="es-ES" w:eastAsia="en-US" w:bidi="ar-SA"/>
      </w:rPr>
    </w:lvl>
    <w:lvl w:ilvl="3" w:tplc="F376A072">
      <w:numFmt w:val="bullet"/>
      <w:lvlText w:val="•"/>
      <w:lvlJc w:val="left"/>
      <w:pPr>
        <w:ind w:left="3916" w:hanging="261"/>
      </w:pPr>
      <w:rPr>
        <w:rFonts w:hint="default"/>
        <w:lang w:val="es-ES" w:eastAsia="en-US" w:bidi="ar-SA"/>
      </w:rPr>
    </w:lvl>
    <w:lvl w:ilvl="4" w:tplc="A8E85824">
      <w:numFmt w:val="bullet"/>
      <w:lvlText w:val="•"/>
      <w:lvlJc w:val="left"/>
      <w:pPr>
        <w:ind w:left="4855" w:hanging="261"/>
      </w:pPr>
      <w:rPr>
        <w:rFonts w:hint="default"/>
        <w:lang w:val="es-ES" w:eastAsia="en-US" w:bidi="ar-SA"/>
      </w:rPr>
    </w:lvl>
    <w:lvl w:ilvl="5" w:tplc="E4AE8902">
      <w:numFmt w:val="bullet"/>
      <w:lvlText w:val="•"/>
      <w:lvlJc w:val="left"/>
      <w:pPr>
        <w:ind w:left="5794" w:hanging="261"/>
      </w:pPr>
      <w:rPr>
        <w:rFonts w:hint="default"/>
        <w:lang w:val="es-ES" w:eastAsia="en-US" w:bidi="ar-SA"/>
      </w:rPr>
    </w:lvl>
    <w:lvl w:ilvl="6" w:tplc="766477A6">
      <w:numFmt w:val="bullet"/>
      <w:lvlText w:val="•"/>
      <w:lvlJc w:val="left"/>
      <w:pPr>
        <w:ind w:left="6733" w:hanging="261"/>
      </w:pPr>
      <w:rPr>
        <w:rFonts w:hint="default"/>
        <w:lang w:val="es-ES" w:eastAsia="en-US" w:bidi="ar-SA"/>
      </w:rPr>
    </w:lvl>
    <w:lvl w:ilvl="7" w:tplc="9348D31A">
      <w:numFmt w:val="bullet"/>
      <w:lvlText w:val="•"/>
      <w:lvlJc w:val="left"/>
      <w:pPr>
        <w:ind w:left="7672" w:hanging="261"/>
      </w:pPr>
      <w:rPr>
        <w:rFonts w:hint="default"/>
        <w:lang w:val="es-ES" w:eastAsia="en-US" w:bidi="ar-SA"/>
      </w:rPr>
    </w:lvl>
    <w:lvl w:ilvl="8" w:tplc="0352B4EA">
      <w:numFmt w:val="bullet"/>
      <w:lvlText w:val="•"/>
      <w:lvlJc w:val="left"/>
      <w:pPr>
        <w:ind w:left="8611" w:hanging="261"/>
      </w:pPr>
      <w:rPr>
        <w:rFonts w:hint="default"/>
        <w:lang w:val="es-ES" w:eastAsia="en-US" w:bidi="ar-SA"/>
      </w:rPr>
    </w:lvl>
  </w:abstractNum>
  <w:abstractNum w:abstractNumId="210" w15:restartNumberingAfterBreak="0">
    <w:nsid w:val="502E2C30"/>
    <w:multiLevelType w:val="hybridMultilevel"/>
    <w:tmpl w:val="E7FC54DA"/>
    <w:lvl w:ilvl="0" w:tplc="99609366">
      <w:start w:val="1"/>
      <w:numFmt w:val="decimal"/>
      <w:lvlText w:val="%1."/>
      <w:lvlJc w:val="left"/>
      <w:pPr>
        <w:ind w:left="1106" w:hanging="275"/>
        <w:jc w:val="left"/>
      </w:pPr>
      <w:rPr>
        <w:rFonts w:ascii="Arial MT" w:eastAsia="Arial MT" w:hAnsi="Arial MT" w:cs="Arial MT" w:hint="default"/>
        <w:b w:val="0"/>
        <w:bCs w:val="0"/>
        <w:i w:val="0"/>
        <w:iCs w:val="0"/>
        <w:spacing w:val="0"/>
        <w:w w:val="100"/>
        <w:sz w:val="20"/>
        <w:szCs w:val="20"/>
        <w:lang w:val="es-ES" w:eastAsia="en-US" w:bidi="ar-SA"/>
      </w:rPr>
    </w:lvl>
    <w:lvl w:ilvl="1" w:tplc="4D74BAE4">
      <w:start w:val="1"/>
      <w:numFmt w:val="lowerLetter"/>
      <w:lvlText w:val="%2)"/>
      <w:lvlJc w:val="left"/>
      <w:pPr>
        <w:ind w:left="1106" w:hanging="344"/>
        <w:jc w:val="left"/>
      </w:pPr>
      <w:rPr>
        <w:rFonts w:ascii="Arial MT" w:eastAsia="Arial MT" w:hAnsi="Arial MT" w:cs="Arial MT" w:hint="default"/>
        <w:b w:val="0"/>
        <w:bCs w:val="0"/>
        <w:i w:val="0"/>
        <w:iCs w:val="0"/>
        <w:spacing w:val="0"/>
        <w:w w:val="100"/>
        <w:sz w:val="20"/>
        <w:szCs w:val="20"/>
        <w:lang w:val="es-ES" w:eastAsia="en-US" w:bidi="ar-SA"/>
      </w:rPr>
    </w:lvl>
    <w:lvl w:ilvl="2" w:tplc="31840858">
      <w:numFmt w:val="bullet"/>
      <w:lvlText w:val="•"/>
      <w:lvlJc w:val="left"/>
      <w:pPr>
        <w:ind w:left="2977" w:hanging="344"/>
      </w:pPr>
      <w:rPr>
        <w:rFonts w:hint="default"/>
        <w:lang w:val="es-ES" w:eastAsia="en-US" w:bidi="ar-SA"/>
      </w:rPr>
    </w:lvl>
    <w:lvl w:ilvl="3" w:tplc="63FA088E">
      <w:numFmt w:val="bullet"/>
      <w:lvlText w:val="•"/>
      <w:lvlJc w:val="left"/>
      <w:pPr>
        <w:ind w:left="3916" w:hanging="344"/>
      </w:pPr>
      <w:rPr>
        <w:rFonts w:hint="default"/>
        <w:lang w:val="es-ES" w:eastAsia="en-US" w:bidi="ar-SA"/>
      </w:rPr>
    </w:lvl>
    <w:lvl w:ilvl="4" w:tplc="8500BFB2">
      <w:numFmt w:val="bullet"/>
      <w:lvlText w:val="•"/>
      <w:lvlJc w:val="left"/>
      <w:pPr>
        <w:ind w:left="4855" w:hanging="344"/>
      </w:pPr>
      <w:rPr>
        <w:rFonts w:hint="default"/>
        <w:lang w:val="es-ES" w:eastAsia="en-US" w:bidi="ar-SA"/>
      </w:rPr>
    </w:lvl>
    <w:lvl w:ilvl="5" w:tplc="965A6F50">
      <w:numFmt w:val="bullet"/>
      <w:lvlText w:val="•"/>
      <w:lvlJc w:val="left"/>
      <w:pPr>
        <w:ind w:left="5794" w:hanging="344"/>
      </w:pPr>
      <w:rPr>
        <w:rFonts w:hint="default"/>
        <w:lang w:val="es-ES" w:eastAsia="en-US" w:bidi="ar-SA"/>
      </w:rPr>
    </w:lvl>
    <w:lvl w:ilvl="6" w:tplc="C4AA63C4">
      <w:numFmt w:val="bullet"/>
      <w:lvlText w:val="•"/>
      <w:lvlJc w:val="left"/>
      <w:pPr>
        <w:ind w:left="6733" w:hanging="344"/>
      </w:pPr>
      <w:rPr>
        <w:rFonts w:hint="default"/>
        <w:lang w:val="es-ES" w:eastAsia="en-US" w:bidi="ar-SA"/>
      </w:rPr>
    </w:lvl>
    <w:lvl w:ilvl="7" w:tplc="C79ADABE">
      <w:numFmt w:val="bullet"/>
      <w:lvlText w:val="•"/>
      <w:lvlJc w:val="left"/>
      <w:pPr>
        <w:ind w:left="7672" w:hanging="344"/>
      </w:pPr>
      <w:rPr>
        <w:rFonts w:hint="default"/>
        <w:lang w:val="es-ES" w:eastAsia="en-US" w:bidi="ar-SA"/>
      </w:rPr>
    </w:lvl>
    <w:lvl w:ilvl="8" w:tplc="537896F0">
      <w:numFmt w:val="bullet"/>
      <w:lvlText w:val="•"/>
      <w:lvlJc w:val="left"/>
      <w:pPr>
        <w:ind w:left="8611" w:hanging="344"/>
      </w:pPr>
      <w:rPr>
        <w:rFonts w:hint="default"/>
        <w:lang w:val="es-ES" w:eastAsia="en-US" w:bidi="ar-SA"/>
      </w:rPr>
    </w:lvl>
  </w:abstractNum>
  <w:abstractNum w:abstractNumId="211" w15:restartNumberingAfterBreak="0">
    <w:nsid w:val="50423229"/>
    <w:multiLevelType w:val="hybridMultilevel"/>
    <w:tmpl w:val="296EB0E4"/>
    <w:lvl w:ilvl="0" w:tplc="9C6C4CB8">
      <w:start w:val="1"/>
      <w:numFmt w:val="lowerLetter"/>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93AEFEA4">
      <w:numFmt w:val="bullet"/>
      <w:lvlText w:val="•"/>
      <w:lvlJc w:val="left"/>
      <w:pPr>
        <w:ind w:left="2038" w:hanging="255"/>
      </w:pPr>
      <w:rPr>
        <w:rFonts w:hint="default"/>
        <w:lang w:val="es-ES" w:eastAsia="en-US" w:bidi="ar-SA"/>
      </w:rPr>
    </w:lvl>
    <w:lvl w:ilvl="2" w:tplc="7514034C">
      <w:numFmt w:val="bullet"/>
      <w:lvlText w:val="•"/>
      <w:lvlJc w:val="left"/>
      <w:pPr>
        <w:ind w:left="2977" w:hanging="255"/>
      </w:pPr>
      <w:rPr>
        <w:rFonts w:hint="default"/>
        <w:lang w:val="es-ES" w:eastAsia="en-US" w:bidi="ar-SA"/>
      </w:rPr>
    </w:lvl>
    <w:lvl w:ilvl="3" w:tplc="C8D8982A">
      <w:numFmt w:val="bullet"/>
      <w:lvlText w:val="•"/>
      <w:lvlJc w:val="left"/>
      <w:pPr>
        <w:ind w:left="3916" w:hanging="255"/>
      </w:pPr>
      <w:rPr>
        <w:rFonts w:hint="default"/>
        <w:lang w:val="es-ES" w:eastAsia="en-US" w:bidi="ar-SA"/>
      </w:rPr>
    </w:lvl>
    <w:lvl w:ilvl="4" w:tplc="3266FEBE">
      <w:numFmt w:val="bullet"/>
      <w:lvlText w:val="•"/>
      <w:lvlJc w:val="left"/>
      <w:pPr>
        <w:ind w:left="4855" w:hanging="255"/>
      </w:pPr>
      <w:rPr>
        <w:rFonts w:hint="default"/>
        <w:lang w:val="es-ES" w:eastAsia="en-US" w:bidi="ar-SA"/>
      </w:rPr>
    </w:lvl>
    <w:lvl w:ilvl="5" w:tplc="48E83B46">
      <w:numFmt w:val="bullet"/>
      <w:lvlText w:val="•"/>
      <w:lvlJc w:val="left"/>
      <w:pPr>
        <w:ind w:left="5794" w:hanging="255"/>
      </w:pPr>
      <w:rPr>
        <w:rFonts w:hint="default"/>
        <w:lang w:val="es-ES" w:eastAsia="en-US" w:bidi="ar-SA"/>
      </w:rPr>
    </w:lvl>
    <w:lvl w:ilvl="6" w:tplc="474E1272">
      <w:numFmt w:val="bullet"/>
      <w:lvlText w:val="•"/>
      <w:lvlJc w:val="left"/>
      <w:pPr>
        <w:ind w:left="6733" w:hanging="255"/>
      </w:pPr>
      <w:rPr>
        <w:rFonts w:hint="default"/>
        <w:lang w:val="es-ES" w:eastAsia="en-US" w:bidi="ar-SA"/>
      </w:rPr>
    </w:lvl>
    <w:lvl w:ilvl="7" w:tplc="EC30A392">
      <w:numFmt w:val="bullet"/>
      <w:lvlText w:val="•"/>
      <w:lvlJc w:val="left"/>
      <w:pPr>
        <w:ind w:left="7672" w:hanging="255"/>
      </w:pPr>
      <w:rPr>
        <w:rFonts w:hint="default"/>
        <w:lang w:val="es-ES" w:eastAsia="en-US" w:bidi="ar-SA"/>
      </w:rPr>
    </w:lvl>
    <w:lvl w:ilvl="8" w:tplc="89282D5C">
      <w:numFmt w:val="bullet"/>
      <w:lvlText w:val="•"/>
      <w:lvlJc w:val="left"/>
      <w:pPr>
        <w:ind w:left="8611" w:hanging="255"/>
      </w:pPr>
      <w:rPr>
        <w:rFonts w:hint="default"/>
        <w:lang w:val="es-ES" w:eastAsia="en-US" w:bidi="ar-SA"/>
      </w:rPr>
    </w:lvl>
  </w:abstractNum>
  <w:abstractNum w:abstractNumId="212" w15:restartNumberingAfterBreak="0">
    <w:nsid w:val="507F64B4"/>
    <w:multiLevelType w:val="hybridMultilevel"/>
    <w:tmpl w:val="2E6C74DC"/>
    <w:lvl w:ilvl="0" w:tplc="8C180ACE">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D41E191E">
      <w:numFmt w:val="bullet"/>
      <w:lvlText w:val="•"/>
      <w:lvlJc w:val="left"/>
      <w:pPr>
        <w:ind w:left="2038" w:hanging="245"/>
      </w:pPr>
      <w:rPr>
        <w:rFonts w:hint="default"/>
        <w:lang w:val="es-ES" w:eastAsia="en-US" w:bidi="ar-SA"/>
      </w:rPr>
    </w:lvl>
    <w:lvl w:ilvl="2" w:tplc="0BD43A4C">
      <w:numFmt w:val="bullet"/>
      <w:lvlText w:val="•"/>
      <w:lvlJc w:val="left"/>
      <w:pPr>
        <w:ind w:left="2977" w:hanging="245"/>
      </w:pPr>
      <w:rPr>
        <w:rFonts w:hint="default"/>
        <w:lang w:val="es-ES" w:eastAsia="en-US" w:bidi="ar-SA"/>
      </w:rPr>
    </w:lvl>
    <w:lvl w:ilvl="3" w:tplc="E01082D2">
      <w:numFmt w:val="bullet"/>
      <w:lvlText w:val="•"/>
      <w:lvlJc w:val="left"/>
      <w:pPr>
        <w:ind w:left="3916" w:hanging="245"/>
      </w:pPr>
      <w:rPr>
        <w:rFonts w:hint="default"/>
        <w:lang w:val="es-ES" w:eastAsia="en-US" w:bidi="ar-SA"/>
      </w:rPr>
    </w:lvl>
    <w:lvl w:ilvl="4" w:tplc="432C81D6">
      <w:numFmt w:val="bullet"/>
      <w:lvlText w:val="•"/>
      <w:lvlJc w:val="left"/>
      <w:pPr>
        <w:ind w:left="4855" w:hanging="245"/>
      </w:pPr>
      <w:rPr>
        <w:rFonts w:hint="default"/>
        <w:lang w:val="es-ES" w:eastAsia="en-US" w:bidi="ar-SA"/>
      </w:rPr>
    </w:lvl>
    <w:lvl w:ilvl="5" w:tplc="94E8F41E">
      <w:numFmt w:val="bullet"/>
      <w:lvlText w:val="•"/>
      <w:lvlJc w:val="left"/>
      <w:pPr>
        <w:ind w:left="5794" w:hanging="245"/>
      </w:pPr>
      <w:rPr>
        <w:rFonts w:hint="default"/>
        <w:lang w:val="es-ES" w:eastAsia="en-US" w:bidi="ar-SA"/>
      </w:rPr>
    </w:lvl>
    <w:lvl w:ilvl="6" w:tplc="CA5231E4">
      <w:numFmt w:val="bullet"/>
      <w:lvlText w:val="•"/>
      <w:lvlJc w:val="left"/>
      <w:pPr>
        <w:ind w:left="6733" w:hanging="245"/>
      </w:pPr>
      <w:rPr>
        <w:rFonts w:hint="default"/>
        <w:lang w:val="es-ES" w:eastAsia="en-US" w:bidi="ar-SA"/>
      </w:rPr>
    </w:lvl>
    <w:lvl w:ilvl="7" w:tplc="6792D860">
      <w:numFmt w:val="bullet"/>
      <w:lvlText w:val="•"/>
      <w:lvlJc w:val="left"/>
      <w:pPr>
        <w:ind w:left="7672" w:hanging="245"/>
      </w:pPr>
      <w:rPr>
        <w:rFonts w:hint="default"/>
        <w:lang w:val="es-ES" w:eastAsia="en-US" w:bidi="ar-SA"/>
      </w:rPr>
    </w:lvl>
    <w:lvl w:ilvl="8" w:tplc="565C9E9E">
      <w:numFmt w:val="bullet"/>
      <w:lvlText w:val="•"/>
      <w:lvlJc w:val="left"/>
      <w:pPr>
        <w:ind w:left="8611" w:hanging="245"/>
      </w:pPr>
      <w:rPr>
        <w:rFonts w:hint="default"/>
        <w:lang w:val="es-ES" w:eastAsia="en-US" w:bidi="ar-SA"/>
      </w:rPr>
    </w:lvl>
  </w:abstractNum>
  <w:abstractNum w:abstractNumId="213" w15:restartNumberingAfterBreak="0">
    <w:nsid w:val="50E35C36"/>
    <w:multiLevelType w:val="hybridMultilevel"/>
    <w:tmpl w:val="8048E190"/>
    <w:lvl w:ilvl="0" w:tplc="D3BEBF88">
      <w:start w:val="1"/>
      <w:numFmt w:val="decimal"/>
      <w:lvlText w:val="%1."/>
      <w:lvlJc w:val="left"/>
      <w:pPr>
        <w:ind w:left="1106" w:hanging="279"/>
        <w:jc w:val="left"/>
      </w:pPr>
      <w:rPr>
        <w:rFonts w:ascii="Arial MT" w:eastAsia="Arial MT" w:hAnsi="Arial MT" w:cs="Arial MT" w:hint="default"/>
        <w:b w:val="0"/>
        <w:bCs w:val="0"/>
        <w:i w:val="0"/>
        <w:iCs w:val="0"/>
        <w:spacing w:val="0"/>
        <w:w w:val="100"/>
        <w:sz w:val="20"/>
        <w:szCs w:val="20"/>
        <w:lang w:val="es-ES" w:eastAsia="en-US" w:bidi="ar-SA"/>
      </w:rPr>
    </w:lvl>
    <w:lvl w:ilvl="1" w:tplc="788054CE">
      <w:numFmt w:val="bullet"/>
      <w:lvlText w:val="•"/>
      <w:lvlJc w:val="left"/>
      <w:pPr>
        <w:ind w:left="2038" w:hanging="279"/>
      </w:pPr>
      <w:rPr>
        <w:rFonts w:hint="default"/>
        <w:lang w:val="es-ES" w:eastAsia="en-US" w:bidi="ar-SA"/>
      </w:rPr>
    </w:lvl>
    <w:lvl w:ilvl="2" w:tplc="C90C6AB0">
      <w:numFmt w:val="bullet"/>
      <w:lvlText w:val="•"/>
      <w:lvlJc w:val="left"/>
      <w:pPr>
        <w:ind w:left="2977" w:hanging="279"/>
      </w:pPr>
      <w:rPr>
        <w:rFonts w:hint="default"/>
        <w:lang w:val="es-ES" w:eastAsia="en-US" w:bidi="ar-SA"/>
      </w:rPr>
    </w:lvl>
    <w:lvl w:ilvl="3" w:tplc="44445472">
      <w:numFmt w:val="bullet"/>
      <w:lvlText w:val="•"/>
      <w:lvlJc w:val="left"/>
      <w:pPr>
        <w:ind w:left="3916" w:hanging="279"/>
      </w:pPr>
      <w:rPr>
        <w:rFonts w:hint="default"/>
        <w:lang w:val="es-ES" w:eastAsia="en-US" w:bidi="ar-SA"/>
      </w:rPr>
    </w:lvl>
    <w:lvl w:ilvl="4" w:tplc="227EC678">
      <w:numFmt w:val="bullet"/>
      <w:lvlText w:val="•"/>
      <w:lvlJc w:val="left"/>
      <w:pPr>
        <w:ind w:left="4855" w:hanging="279"/>
      </w:pPr>
      <w:rPr>
        <w:rFonts w:hint="default"/>
        <w:lang w:val="es-ES" w:eastAsia="en-US" w:bidi="ar-SA"/>
      </w:rPr>
    </w:lvl>
    <w:lvl w:ilvl="5" w:tplc="828CA93C">
      <w:numFmt w:val="bullet"/>
      <w:lvlText w:val="•"/>
      <w:lvlJc w:val="left"/>
      <w:pPr>
        <w:ind w:left="5794" w:hanging="279"/>
      </w:pPr>
      <w:rPr>
        <w:rFonts w:hint="default"/>
        <w:lang w:val="es-ES" w:eastAsia="en-US" w:bidi="ar-SA"/>
      </w:rPr>
    </w:lvl>
    <w:lvl w:ilvl="6" w:tplc="FE049664">
      <w:numFmt w:val="bullet"/>
      <w:lvlText w:val="•"/>
      <w:lvlJc w:val="left"/>
      <w:pPr>
        <w:ind w:left="6733" w:hanging="279"/>
      </w:pPr>
      <w:rPr>
        <w:rFonts w:hint="default"/>
        <w:lang w:val="es-ES" w:eastAsia="en-US" w:bidi="ar-SA"/>
      </w:rPr>
    </w:lvl>
    <w:lvl w:ilvl="7" w:tplc="FF9CA87C">
      <w:numFmt w:val="bullet"/>
      <w:lvlText w:val="•"/>
      <w:lvlJc w:val="left"/>
      <w:pPr>
        <w:ind w:left="7672" w:hanging="279"/>
      </w:pPr>
      <w:rPr>
        <w:rFonts w:hint="default"/>
        <w:lang w:val="es-ES" w:eastAsia="en-US" w:bidi="ar-SA"/>
      </w:rPr>
    </w:lvl>
    <w:lvl w:ilvl="8" w:tplc="05C48E34">
      <w:numFmt w:val="bullet"/>
      <w:lvlText w:val="•"/>
      <w:lvlJc w:val="left"/>
      <w:pPr>
        <w:ind w:left="8611" w:hanging="279"/>
      </w:pPr>
      <w:rPr>
        <w:rFonts w:hint="default"/>
        <w:lang w:val="es-ES" w:eastAsia="en-US" w:bidi="ar-SA"/>
      </w:rPr>
    </w:lvl>
  </w:abstractNum>
  <w:abstractNum w:abstractNumId="214" w15:restartNumberingAfterBreak="0">
    <w:nsid w:val="51270491"/>
    <w:multiLevelType w:val="hybridMultilevel"/>
    <w:tmpl w:val="CE6200CE"/>
    <w:lvl w:ilvl="0" w:tplc="3B58272C">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51268ADA">
      <w:numFmt w:val="bullet"/>
      <w:lvlText w:val="•"/>
      <w:lvlJc w:val="left"/>
      <w:pPr>
        <w:ind w:left="2038" w:hanging="240"/>
      </w:pPr>
      <w:rPr>
        <w:rFonts w:hint="default"/>
        <w:lang w:val="es-ES" w:eastAsia="en-US" w:bidi="ar-SA"/>
      </w:rPr>
    </w:lvl>
    <w:lvl w:ilvl="2" w:tplc="58122A24">
      <w:numFmt w:val="bullet"/>
      <w:lvlText w:val="•"/>
      <w:lvlJc w:val="left"/>
      <w:pPr>
        <w:ind w:left="2977" w:hanging="240"/>
      </w:pPr>
      <w:rPr>
        <w:rFonts w:hint="default"/>
        <w:lang w:val="es-ES" w:eastAsia="en-US" w:bidi="ar-SA"/>
      </w:rPr>
    </w:lvl>
    <w:lvl w:ilvl="3" w:tplc="2E70E46C">
      <w:numFmt w:val="bullet"/>
      <w:lvlText w:val="•"/>
      <w:lvlJc w:val="left"/>
      <w:pPr>
        <w:ind w:left="3916" w:hanging="240"/>
      </w:pPr>
      <w:rPr>
        <w:rFonts w:hint="default"/>
        <w:lang w:val="es-ES" w:eastAsia="en-US" w:bidi="ar-SA"/>
      </w:rPr>
    </w:lvl>
    <w:lvl w:ilvl="4" w:tplc="8CE0F71A">
      <w:numFmt w:val="bullet"/>
      <w:lvlText w:val="•"/>
      <w:lvlJc w:val="left"/>
      <w:pPr>
        <w:ind w:left="4855" w:hanging="240"/>
      </w:pPr>
      <w:rPr>
        <w:rFonts w:hint="default"/>
        <w:lang w:val="es-ES" w:eastAsia="en-US" w:bidi="ar-SA"/>
      </w:rPr>
    </w:lvl>
    <w:lvl w:ilvl="5" w:tplc="263C1656">
      <w:numFmt w:val="bullet"/>
      <w:lvlText w:val="•"/>
      <w:lvlJc w:val="left"/>
      <w:pPr>
        <w:ind w:left="5794" w:hanging="240"/>
      </w:pPr>
      <w:rPr>
        <w:rFonts w:hint="default"/>
        <w:lang w:val="es-ES" w:eastAsia="en-US" w:bidi="ar-SA"/>
      </w:rPr>
    </w:lvl>
    <w:lvl w:ilvl="6" w:tplc="210C0E1A">
      <w:numFmt w:val="bullet"/>
      <w:lvlText w:val="•"/>
      <w:lvlJc w:val="left"/>
      <w:pPr>
        <w:ind w:left="6733" w:hanging="240"/>
      </w:pPr>
      <w:rPr>
        <w:rFonts w:hint="default"/>
        <w:lang w:val="es-ES" w:eastAsia="en-US" w:bidi="ar-SA"/>
      </w:rPr>
    </w:lvl>
    <w:lvl w:ilvl="7" w:tplc="429A67A2">
      <w:numFmt w:val="bullet"/>
      <w:lvlText w:val="•"/>
      <w:lvlJc w:val="left"/>
      <w:pPr>
        <w:ind w:left="7672" w:hanging="240"/>
      </w:pPr>
      <w:rPr>
        <w:rFonts w:hint="default"/>
        <w:lang w:val="es-ES" w:eastAsia="en-US" w:bidi="ar-SA"/>
      </w:rPr>
    </w:lvl>
    <w:lvl w:ilvl="8" w:tplc="4EB616B2">
      <w:numFmt w:val="bullet"/>
      <w:lvlText w:val="•"/>
      <w:lvlJc w:val="left"/>
      <w:pPr>
        <w:ind w:left="8611" w:hanging="240"/>
      </w:pPr>
      <w:rPr>
        <w:rFonts w:hint="default"/>
        <w:lang w:val="es-ES" w:eastAsia="en-US" w:bidi="ar-SA"/>
      </w:rPr>
    </w:lvl>
  </w:abstractNum>
  <w:abstractNum w:abstractNumId="215" w15:restartNumberingAfterBreak="0">
    <w:nsid w:val="5154460E"/>
    <w:multiLevelType w:val="hybridMultilevel"/>
    <w:tmpl w:val="80106CF0"/>
    <w:lvl w:ilvl="0" w:tplc="A2AC086A">
      <w:start w:val="1"/>
      <w:numFmt w:val="decimal"/>
      <w:lvlText w:val="%1."/>
      <w:lvlJc w:val="left"/>
      <w:pPr>
        <w:ind w:left="1106" w:hanging="242"/>
        <w:jc w:val="left"/>
      </w:pPr>
      <w:rPr>
        <w:rFonts w:ascii="Arial MT" w:eastAsia="Arial MT" w:hAnsi="Arial MT" w:cs="Arial MT" w:hint="default"/>
        <w:b w:val="0"/>
        <w:bCs w:val="0"/>
        <w:i w:val="0"/>
        <w:iCs w:val="0"/>
        <w:spacing w:val="0"/>
        <w:w w:val="100"/>
        <w:sz w:val="20"/>
        <w:szCs w:val="20"/>
        <w:lang w:val="es-ES" w:eastAsia="en-US" w:bidi="ar-SA"/>
      </w:rPr>
    </w:lvl>
    <w:lvl w:ilvl="1" w:tplc="3E76C6E4">
      <w:start w:val="1"/>
      <w:numFmt w:val="lowerLetter"/>
      <w:lvlText w:val="%2)"/>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2" w:tplc="B5BA3F58">
      <w:numFmt w:val="bullet"/>
      <w:lvlText w:val="•"/>
      <w:lvlJc w:val="left"/>
      <w:pPr>
        <w:ind w:left="2977" w:hanging="273"/>
      </w:pPr>
      <w:rPr>
        <w:rFonts w:hint="default"/>
        <w:lang w:val="es-ES" w:eastAsia="en-US" w:bidi="ar-SA"/>
      </w:rPr>
    </w:lvl>
    <w:lvl w:ilvl="3" w:tplc="8B2EEF60">
      <w:numFmt w:val="bullet"/>
      <w:lvlText w:val="•"/>
      <w:lvlJc w:val="left"/>
      <w:pPr>
        <w:ind w:left="3916" w:hanging="273"/>
      </w:pPr>
      <w:rPr>
        <w:rFonts w:hint="default"/>
        <w:lang w:val="es-ES" w:eastAsia="en-US" w:bidi="ar-SA"/>
      </w:rPr>
    </w:lvl>
    <w:lvl w:ilvl="4" w:tplc="D0E8CCDC">
      <w:numFmt w:val="bullet"/>
      <w:lvlText w:val="•"/>
      <w:lvlJc w:val="left"/>
      <w:pPr>
        <w:ind w:left="4855" w:hanging="273"/>
      </w:pPr>
      <w:rPr>
        <w:rFonts w:hint="default"/>
        <w:lang w:val="es-ES" w:eastAsia="en-US" w:bidi="ar-SA"/>
      </w:rPr>
    </w:lvl>
    <w:lvl w:ilvl="5" w:tplc="CF0EEBBE">
      <w:numFmt w:val="bullet"/>
      <w:lvlText w:val="•"/>
      <w:lvlJc w:val="left"/>
      <w:pPr>
        <w:ind w:left="5794" w:hanging="273"/>
      </w:pPr>
      <w:rPr>
        <w:rFonts w:hint="default"/>
        <w:lang w:val="es-ES" w:eastAsia="en-US" w:bidi="ar-SA"/>
      </w:rPr>
    </w:lvl>
    <w:lvl w:ilvl="6" w:tplc="9D322E2A">
      <w:numFmt w:val="bullet"/>
      <w:lvlText w:val="•"/>
      <w:lvlJc w:val="left"/>
      <w:pPr>
        <w:ind w:left="6733" w:hanging="273"/>
      </w:pPr>
      <w:rPr>
        <w:rFonts w:hint="default"/>
        <w:lang w:val="es-ES" w:eastAsia="en-US" w:bidi="ar-SA"/>
      </w:rPr>
    </w:lvl>
    <w:lvl w:ilvl="7" w:tplc="61487B82">
      <w:numFmt w:val="bullet"/>
      <w:lvlText w:val="•"/>
      <w:lvlJc w:val="left"/>
      <w:pPr>
        <w:ind w:left="7672" w:hanging="273"/>
      </w:pPr>
      <w:rPr>
        <w:rFonts w:hint="default"/>
        <w:lang w:val="es-ES" w:eastAsia="en-US" w:bidi="ar-SA"/>
      </w:rPr>
    </w:lvl>
    <w:lvl w:ilvl="8" w:tplc="91EEDB86">
      <w:numFmt w:val="bullet"/>
      <w:lvlText w:val="•"/>
      <w:lvlJc w:val="left"/>
      <w:pPr>
        <w:ind w:left="8611" w:hanging="273"/>
      </w:pPr>
      <w:rPr>
        <w:rFonts w:hint="default"/>
        <w:lang w:val="es-ES" w:eastAsia="en-US" w:bidi="ar-SA"/>
      </w:rPr>
    </w:lvl>
  </w:abstractNum>
  <w:abstractNum w:abstractNumId="216" w15:restartNumberingAfterBreak="0">
    <w:nsid w:val="5188040E"/>
    <w:multiLevelType w:val="hybridMultilevel"/>
    <w:tmpl w:val="6FCC3FC6"/>
    <w:lvl w:ilvl="0" w:tplc="E3A81E78">
      <w:start w:val="1"/>
      <w:numFmt w:val="decimal"/>
      <w:lvlText w:val="%1."/>
      <w:lvlJc w:val="left"/>
      <w:pPr>
        <w:ind w:left="1106" w:hanging="231"/>
        <w:jc w:val="left"/>
      </w:pPr>
      <w:rPr>
        <w:rFonts w:ascii="Arial MT" w:eastAsia="Arial MT" w:hAnsi="Arial MT" w:cs="Arial MT" w:hint="default"/>
        <w:b w:val="0"/>
        <w:bCs w:val="0"/>
        <w:i w:val="0"/>
        <w:iCs w:val="0"/>
        <w:spacing w:val="0"/>
        <w:w w:val="100"/>
        <w:sz w:val="20"/>
        <w:szCs w:val="20"/>
        <w:lang w:val="es-ES" w:eastAsia="en-US" w:bidi="ar-SA"/>
      </w:rPr>
    </w:lvl>
    <w:lvl w:ilvl="1" w:tplc="5E92927A">
      <w:start w:val="1"/>
      <w:numFmt w:val="lowerLetter"/>
      <w:lvlText w:val="%2)"/>
      <w:lvlJc w:val="left"/>
      <w:pPr>
        <w:ind w:left="1106" w:hanging="250"/>
        <w:jc w:val="left"/>
      </w:pPr>
      <w:rPr>
        <w:rFonts w:ascii="Arial MT" w:eastAsia="Arial MT" w:hAnsi="Arial MT" w:cs="Arial MT" w:hint="default"/>
        <w:b w:val="0"/>
        <w:bCs w:val="0"/>
        <w:i w:val="0"/>
        <w:iCs w:val="0"/>
        <w:spacing w:val="0"/>
        <w:w w:val="100"/>
        <w:sz w:val="20"/>
        <w:szCs w:val="20"/>
        <w:lang w:val="es-ES" w:eastAsia="en-US" w:bidi="ar-SA"/>
      </w:rPr>
    </w:lvl>
    <w:lvl w:ilvl="2" w:tplc="D258FEEE">
      <w:numFmt w:val="bullet"/>
      <w:lvlText w:val="•"/>
      <w:lvlJc w:val="left"/>
      <w:pPr>
        <w:ind w:left="2977" w:hanging="250"/>
      </w:pPr>
      <w:rPr>
        <w:rFonts w:hint="default"/>
        <w:lang w:val="es-ES" w:eastAsia="en-US" w:bidi="ar-SA"/>
      </w:rPr>
    </w:lvl>
    <w:lvl w:ilvl="3" w:tplc="AA9824A8">
      <w:numFmt w:val="bullet"/>
      <w:lvlText w:val="•"/>
      <w:lvlJc w:val="left"/>
      <w:pPr>
        <w:ind w:left="3916" w:hanging="250"/>
      </w:pPr>
      <w:rPr>
        <w:rFonts w:hint="default"/>
        <w:lang w:val="es-ES" w:eastAsia="en-US" w:bidi="ar-SA"/>
      </w:rPr>
    </w:lvl>
    <w:lvl w:ilvl="4" w:tplc="C4D00736">
      <w:numFmt w:val="bullet"/>
      <w:lvlText w:val="•"/>
      <w:lvlJc w:val="left"/>
      <w:pPr>
        <w:ind w:left="4855" w:hanging="250"/>
      </w:pPr>
      <w:rPr>
        <w:rFonts w:hint="default"/>
        <w:lang w:val="es-ES" w:eastAsia="en-US" w:bidi="ar-SA"/>
      </w:rPr>
    </w:lvl>
    <w:lvl w:ilvl="5" w:tplc="07AEE2EC">
      <w:numFmt w:val="bullet"/>
      <w:lvlText w:val="•"/>
      <w:lvlJc w:val="left"/>
      <w:pPr>
        <w:ind w:left="5794" w:hanging="250"/>
      </w:pPr>
      <w:rPr>
        <w:rFonts w:hint="default"/>
        <w:lang w:val="es-ES" w:eastAsia="en-US" w:bidi="ar-SA"/>
      </w:rPr>
    </w:lvl>
    <w:lvl w:ilvl="6" w:tplc="09FED298">
      <w:numFmt w:val="bullet"/>
      <w:lvlText w:val="•"/>
      <w:lvlJc w:val="left"/>
      <w:pPr>
        <w:ind w:left="6733" w:hanging="250"/>
      </w:pPr>
      <w:rPr>
        <w:rFonts w:hint="default"/>
        <w:lang w:val="es-ES" w:eastAsia="en-US" w:bidi="ar-SA"/>
      </w:rPr>
    </w:lvl>
    <w:lvl w:ilvl="7" w:tplc="D110C96C">
      <w:numFmt w:val="bullet"/>
      <w:lvlText w:val="•"/>
      <w:lvlJc w:val="left"/>
      <w:pPr>
        <w:ind w:left="7672" w:hanging="250"/>
      </w:pPr>
      <w:rPr>
        <w:rFonts w:hint="default"/>
        <w:lang w:val="es-ES" w:eastAsia="en-US" w:bidi="ar-SA"/>
      </w:rPr>
    </w:lvl>
    <w:lvl w:ilvl="8" w:tplc="CB3E970A">
      <w:numFmt w:val="bullet"/>
      <w:lvlText w:val="•"/>
      <w:lvlJc w:val="left"/>
      <w:pPr>
        <w:ind w:left="8611" w:hanging="250"/>
      </w:pPr>
      <w:rPr>
        <w:rFonts w:hint="default"/>
        <w:lang w:val="es-ES" w:eastAsia="en-US" w:bidi="ar-SA"/>
      </w:rPr>
    </w:lvl>
  </w:abstractNum>
  <w:abstractNum w:abstractNumId="217" w15:restartNumberingAfterBreak="0">
    <w:nsid w:val="51B017E0"/>
    <w:multiLevelType w:val="hybridMultilevel"/>
    <w:tmpl w:val="2E26EF00"/>
    <w:lvl w:ilvl="0" w:tplc="8B9E99C4">
      <w:numFmt w:val="bullet"/>
      <w:lvlText w:val="–"/>
      <w:lvlJc w:val="left"/>
      <w:pPr>
        <w:ind w:left="1106" w:hanging="237"/>
      </w:pPr>
      <w:rPr>
        <w:rFonts w:ascii="Arial MT" w:eastAsia="Arial MT" w:hAnsi="Arial MT" w:cs="Arial MT" w:hint="default"/>
        <w:b w:val="0"/>
        <w:bCs w:val="0"/>
        <w:i w:val="0"/>
        <w:iCs w:val="0"/>
        <w:spacing w:val="0"/>
        <w:w w:val="100"/>
        <w:sz w:val="20"/>
        <w:szCs w:val="20"/>
        <w:lang w:val="es-ES" w:eastAsia="en-US" w:bidi="ar-SA"/>
      </w:rPr>
    </w:lvl>
    <w:lvl w:ilvl="1" w:tplc="6EBEE8D0">
      <w:numFmt w:val="bullet"/>
      <w:lvlText w:val="•"/>
      <w:lvlJc w:val="left"/>
      <w:pPr>
        <w:ind w:left="2038" w:hanging="237"/>
      </w:pPr>
      <w:rPr>
        <w:rFonts w:hint="default"/>
        <w:lang w:val="es-ES" w:eastAsia="en-US" w:bidi="ar-SA"/>
      </w:rPr>
    </w:lvl>
    <w:lvl w:ilvl="2" w:tplc="1C728B42">
      <w:numFmt w:val="bullet"/>
      <w:lvlText w:val="•"/>
      <w:lvlJc w:val="left"/>
      <w:pPr>
        <w:ind w:left="2977" w:hanging="237"/>
      </w:pPr>
      <w:rPr>
        <w:rFonts w:hint="default"/>
        <w:lang w:val="es-ES" w:eastAsia="en-US" w:bidi="ar-SA"/>
      </w:rPr>
    </w:lvl>
    <w:lvl w:ilvl="3" w:tplc="D0587E92">
      <w:numFmt w:val="bullet"/>
      <w:lvlText w:val="•"/>
      <w:lvlJc w:val="left"/>
      <w:pPr>
        <w:ind w:left="3916" w:hanging="237"/>
      </w:pPr>
      <w:rPr>
        <w:rFonts w:hint="default"/>
        <w:lang w:val="es-ES" w:eastAsia="en-US" w:bidi="ar-SA"/>
      </w:rPr>
    </w:lvl>
    <w:lvl w:ilvl="4" w:tplc="4E64E666">
      <w:numFmt w:val="bullet"/>
      <w:lvlText w:val="•"/>
      <w:lvlJc w:val="left"/>
      <w:pPr>
        <w:ind w:left="4855" w:hanging="237"/>
      </w:pPr>
      <w:rPr>
        <w:rFonts w:hint="default"/>
        <w:lang w:val="es-ES" w:eastAsia="en-US" w:bidi="ar-SA"/>
      </w:rPr>
    </w:lvl>
    <w:lvl w:ilvl="5" w:tplc="9AC26CE2">
      <w:numFmt w:val="bullet"/>
      <w:lvlText w:val="•"/>
      <w:lvlJc w:val="left"/>
      <w:pPr>
        <w:ind w:left="5794" w:hanging="237"/>
      </w:pPr>
      <w:rPr>
        <w:rFonts w:hint="default"/>
        <w:lang w:val="es-ES" w:eastAsia="en-US" w:bidi="ar-SA"/>
      </w:rPr>
    </w:lvl>
    <w:lvl w:ilvl="6" w:tplc="98709AD2">
      <w:numFmt w:val="bullet"/>
      <w:lvlText w:val="•"/>
      <w:lvlJc w:val="left"/>
      <w:pPr>
        <w:ind w:left="6733" w:hanging="237"/>
      </w:pPr>
      <w:rPr>
        <w:rFonts w:hint="default"/>
        <w:lang w:val="es-ES" w:eastAsia="en-US" w:bidi="ar-SA"/>
      </w:rPr>
    </w:lvl>
    <w:lvl w:ilvl="7" w:tplc="0E785A4C">
      <w:numFmt w:val="bullet"/>
      <w:lvlText w:val="•"/>
      <w:lvlJc w:val="left"/>
      <w:pPr>
        <w:ind w:left="7672" w:hanging="237"/>
      </w:pPr>
      <w:rPr>
        <w:rFonts w:hint="default"/>
        <w:lang w:val="es-ES" w:eastAsia="en-US" w:bidi="ar-SA"/>
      </w:rPr>
    </w:lvl>
    <w:lvl w:ilvl="8" w:tplc="AF142AC4">
      <w:numFmt w:val="bullet"/>
      <w:lvlText w:val="•"/>
      <w:lvlJc w:val="left"/>
      <w:pPr>
        <w:ind w:left="8611" w:hanging="237"/>
      </w:pPr>
      <w:rPr>
        <w:rFonts w:hint="default"/>
        <w:lang w:val="es-ES" w:eastAsia="en-US" w:bidi="ar-SA"/>
      </w:rPr>
    </w:lvl>
  </w:abstractNum>
  <w:abstractNum w:abstractNumId="218" w15:restartNumberingAfterBreak="0">
    <w:nsid w:val="52014567"/>
    <w:multiLevelType w:val="hybridMultilevel"/>
    <w:tmpl w:val="9EE439EA"/>
    <w:lvl w:ilvl="0" w:tplc="3078D08E">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7C02C74E">
      <w:start w:val="1"/>
      <w:numFmt w:val="lowerLetter"/>
      <w:lvlText w:val="%2)"/>
      <w:lvlJc w:val="left"/>
      <w:pPr>
        <w:ind w:left="1106" w:hanging="292"/>
        <w:jc w:val="left"/>
      </w:pPr>
      <w:rPr>
        <w:rFonts w:ascii="Arial MT" w:eastAsia="Arial MT" w:hAnsi="Arial MT" w:cs="Arial MT" w:hint="default"/>
        <w:b w:val="0"/>
        <w:bCs w:val="0"/>
        <w:i w:val="0"/>
        <w:iCs w:val="0"/>
        <w:spacing w:val="0"/>
        <w:w w:val="100"/>
        <w:sz w:val="20"/>
        <w:szCs w:val="20"/>
        <w:lang w:val="es-ES" w:eastAsia="en-US" w:bidi="ar-SA"/>
      </w:rPr>
    </w:lvl>
    <w:lvl w:ilvl="2" w:tplc="6FC42AB4">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C81094F0">
      <w:numFmt w:val="bullet"/>
      <w:lvlText w:val="•"/>
      <w:lvlJc w:val="left"/>
      <w:pPr>
        <w:ind w:left="3916" w:hanging="168"/>
      </w:pPr>
      <w:rPr>
        <w:rFonts w:hint="default"/>
        <w:lang w:val="es-ES" w:eastAsia="en-US" w:bidi="ar-SA"/>
      </w:rPr>
    </w:lvl>
    <w:lvl w:ilvl="4" w:tplc="2D986FEE">
      <w:numFmt w:val="bullet"/>
      <w:lvlText w:val="•"/>
      <w:lvlJc w:val="left"/>
      <w:pPr>
        <w:ind w:left="4855" w:hanging="168"/>
      </w:pPr>
      <w:rPr>
        <w:rFonts w:hint="default"/>
        <w:lang w:val="es-ES" w:eastAsia="en-US" w:bidi="ar-SA"/>
      </w:rPr>
    </w:lvl>
    <w:lvl w:ilvl="5" w:tplc="5FF82A40">
      <w:numFmt w:val="bullet"/>
      <w:lvlText w:val="•"/>
      <w:lvlJc w:val="left"/>
      <w:pPr>
        <w:ind w:left="5794" w:hanging="168"/>
      </w:pPr>
      <w:rPr>
        <w:rFonts w:hint="default"/>
        <w:lang w:val="es-ES" w:eastAsia="en-US" w:bidi="ar-SA"/>
      </w:rPr>
    </w:lvl>
    <w:lvl w:ilvl="6" w:tplc="4598286C">
      <w:numFmt w:val="bullet"/>
      <w:lvlText w:val="•"/>
      <w:lvlJc w:val="left"/>
      <w:pPr>
        <w:ind w:left="6733" w:hanging="168"/>
      </w:pPr>
      <w:rPr>
        <w:rFonts w:hint="default"/>
        <w:lang w:val="es-ES" w:eastAsia="en-US" w:bidi="ar-SA"/>
      </w:rPr>
    </w:lvl>
    <w:lvl w:ilvl="7" w:tplc="0F1AD5BA">
      <w:numFmt w:val="bullet"/>
      <w:lvlText w:val="•"/>
      <w:lvlJc w:val="left"/>
      <w:pPr>
        <w:ind w:left="7672" w:hanging="168"/>
      </w:pPr>
      <w:rPr>
        <w:rFonts w:hint="default"/>
        <w:lang w:val="es-ES" w:eastAsia="en-US" w:bidi="ar-SA"/>
      </w:rPr>
    </w:lvl>
    <w:lvl w:ilvl="8" w:tplc="C4220504">
      <w:numFmt w:val="bullet"/>
      <w:lvlText w:val="•"/>
      <w:lvlJc w:val="left"/>
      <w:pPr>
        <w:ind w:left="8611" w:hanging="168"/>
      </w:pPr>
      <w:rPr>
        <w:rFonts w:hint="default"/>
        <w:lang w:val="es-ES" w:eastAsia="en-US" w:bidi="ar-SA"/>
      </w:rPr>
    </w:lvl>
  </w:abstractNum>
  <w:abstractNum w:abstractNumId="219" w15:restartNumberingAfterBreak="0">
    <w:nsid w:val="526D563C"/>
    <w:multiLevelType w:val="hybridMultilevel"/>
    <w:tmpl w:val="FE7C7FBA"/>
    <w:lvl w:ilvl="0" w:tplc="A0D460B4">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3BD48124">
      <w:start w:val="1"/>
      <w:numFmt w:val="lowerLetter"/>
      <w:lvlText w:val="%2)"/>
      <w:lvlJc w:val="left"/>
      <w:pPr>
        <w:ind w:left="1106" w:hanging="291"/>
        <w:jc w:val="left"/>
      </w:pPr>
      <w:rPr>
        <w:rFonts w:ascii="Arial MT" w:eastAsia="Arial MT" w:hAnsi="Arial MT" w:cs="Arial MT" w:hint="default"/>
        <w:b w:val="0"/>
        <w:bCs w:val="0"/>
        <w:i w:val="0"/>
        <w:iCs w:val="0"/>
        <w:spacing w:val="0"/>
        <w:w w:val="100"/>
        <w:sz w:val="20"/>
        <w:szCs w:val="20"/>
        <w:lang w:val="es-ES" w:eastAsia="en-US" w:bidi="ar-SA"/>
      </w:rPr>
    </w:lvl>
    <w:lvl w:ilvl="2" w:tplc="DD8CFC50">
      <w:start w:val="1"/>
      <w:numFmt w:val="decimal"/>
      <w:lvlText w:val="%3."/>
      <w:lvlJc w:val="left"/>
      <w:pPr>
        <w:ind w:left="1614" w:hanging="168"/>
        <w:jc w:val="left"/>
      </w:pPr>
      <w:rPr>
        <w:rFonts w:ascii="Arial MT" w:eastAsia="Arial MT" w:hAnsi="Arial MT" w:cs="Arial MT" w:hint="default"/>
        <w:b w:val="0"/>
        <w:bCs w:val="0"/>
        <w:i w:val="0"/>
        <w:iCs w:val="0"/>
        <w:spacing w:val="-1"/>
        <w:w w:val="97"/>
        <w:sz w:val="18"/>
        <w:szCs w:val="18"/>
        <w:lang w:val="es-ES" w:eastAsia="en-US" w:bidi="ar-SA"/>
      </w:rPr>
    </w:lvl>
    <w:lvl w:ilvl="3" w:tplc="50401656">
      <w:numFmt w:val="bullet"/>
      <w:lvlText w:val="•"/>
      <w:lvlJc w:val="left"/>
      <w:pPr>
        <w:ind w:left="3591" w:hanging="168"/>
      </w:pPr>
      <w:rPr>
        <w:rFonts w:hint="default"/>
        <w:lang w:val="es-ES" w:eastAsia="en-US" w:bidi="ar-SA"/>
      </w:rPr>
    </w:lvl>
    <w:lvl w:ilvl="4" w:tplc="33E65FAA">
      <w:numFmt w:val="bullet"/>
      <w:lvlText w:val="•"/>
      <w:lvlJc w:val="left"/>
      <w:pPr>
        <w:ind w:left="4576" w:hanging="168"/>
      </w:pPr>
      <w:rPr>
        <w:rFonts w:hint="default"/>
        <w:lang w:val="es-ES" w:eastAsia="en-US" w:bidi="ar-SA"/>
      </w:rPr>
    </w:lvl>
    <w:lvl w:ilvl="5" w:tplc="6CF8BED2">
      <w:numFmt w:val="bullet"/>
      <w:lvlText w:val="•"/>
      <w:lvlJc w:val="left"/>
      <w:pPr>
        <w:ind w:left="5562" w:hanging="168"/>
      </w:pPr>
      <w:rPr>
        <w:rFonts w:hint="default"/>
        <w:lang w:val="es-ES" w:eastAsia="en-US" w:bidi="ar-SA"/>
      </w:rPr>
    </w:lvl>
    <w:lvl w:ilvl="6" w:tplc="14BA7354">
      <w:numFmt w:val="bullet"/>
      <w:lvlText w:val="•"/>
      <w:lvlJc w:val="left"/>
      <w:pPr>
        <w:ind w:left="6547" w:hanging="168"/>
      </w:pPr>
      <w:rPr>
        <w:rFonts w:hint="default"/>
        <w:lang w:val="es-ES" w:eastAsia="en-US" w:bidi="ar-SA"/>
      </w:rPr>
    </w:lvl>
    <w:lvl w:ilvl="7" w:tplc="D99CC1AA">
      <w:numFmt w:val="bullet"/>
      <w:lvlText w:val="•"/>
      <w:lvlJc w:val="left"/>
      <w:pPr>
        <w:ind w:left="7533" w:hanging="168"/>
      </w:pPr>
      <w:rPr>
        <w:rFonts w:hint="default"/>
        <w:lang w:val="es-ES" w:eastAsia="en-US" w:bidi="ar-SA"/>
      </w:rPr>
    </w:lvl>
    <w:lvl w:ilvl="8" w:tplc="3578A5E4">
      <w:numFmt w:val="bullet"/>
      <w:lvlText w:val="•"/>
      <w:lvlJc w:val="left"/>
      <w:pPr>
        <w:ind w:left="8518" w:hanging="168"/>
      </w:pPr>
      <w:rPr>
        <w:rFonts w:hint="default"/>
        <w:lang w:val="es-ES" w:eastAsia="en-US" w:bidi="ar-SA"/>
      </w:rPr>
    </w:lvl>
  </w:abstractNum>
  <w:abstractNum w:abstractNumId="220" w15:restartNumberingAfterBreak="0">
    <w:nsid w:val="52892791"/>
    <w:multiLevelType w:val="hybridMultilevel"/>
    <w:tmpl w:val="4FE44BEA"/>
    <w:lvl w:ilvl="0" w:tplc="B4F0DA50">
      <w:start w:val="3"/>
      <w:numFmt w:val="decimal"/>
      <w:lvlText w:val="%1."/>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1" w:tplc="CD0CC9EA">
      <w:start w:val="1"/>
      <w:numFmt w:val="lowerLetter"/>
      <w:lvlText w:val="%2)"/>
      <w:lvlJc w:val="left"/>
      <w:pPr>
        <w:ind w:left="1106" w:hanging="332"/>
        <w:jc w:val="left"/>
      </w:pPr>
      <w:rPr>
        <w:rFonts w:ascii="Arial MT" w:eastAsia="Arial MT" w:hAnsi="Arial MT" w:cs="Arial MT" w:hint="default"/>
        <w:b w:val="0"/>
        <w:bCs w:val="0"/>
        <w:i w:val="0"/>
        <w:iCs w:val="0"/>
        <w:spacing w:val="0"/>
        <w:w w:val="100"/>
        <w:sz w:val="20"/>
        <w:szCs w:val="20"/>
        <w:lang w:val="es-ES" w:eastAsia="en-US" w:bidi="ar-SA"/>
      </w:rPr>
    </w:lvl>
    <w:lvl w:ilvl="2" w:tplc="9BC8ADC0">
      <w:numFmt w:val="bullet"/>
      <w:lvlText w:val="•"/>
      <w:lvlJc w:val="left"/>
      <w:pPr>
        <w:ind w:left="2977" w:hanging="332"/>
      </w:pPr>
      <w:rPr>
        <w:rFonts w:hint="default"/>
        <w:lang w:val="es-ES" w:eastAsia="en-US" w:bidi="ar-SA"/>
      </w:rPr>
    </w:lvl>
    <w:lvl w:ilvl="3" w:tplc="0B2AAE86">
      <w:numFmt w:val="bullet"/>
      <w:lvlText w:val="•"/>
      <w:lvlJc w:val="left"/>
      <w:pPr>
        <w:ind w:left="3916" w:hanging="332"/>
      </w:pPr>
      <w:rPr>
        <w:rFonts w:hint="default"/>
        <w:lang w:val="es-ES" w:eastAsia="en-US" w:bidi="ar-SA"/>
      </w:rPr>
    </w:lvl>
    <w:lvl w:ilvl="4" w:tplc="D39E04B6">
      <w:numFmt w:val="bullet"/>
      <w:lvlText w:val="•"/>
      <w:lvlJc w:val="left"/>
      <w:pPr>
        <w:ind w:left="4855" w:hanging="332"/>
      </w:pPr>
      <w:rPr>
        <w:rFonts w:hint="default"/>
        <w:lang w:val="es-ES" w:eastAsia="en-US" w:bidi="ar-SA"/>
      </w:rPr>
    </w:lvl>
    <w:lvl w:ilvl="5" w:tplc="175ECCA4">
      <w:numFmt w:val="bullet"/>
      <w:lvlText w:val="•"/>
      <w:lvlJc w:val="left"/>
      <w:pPr>
        <w:ind w:left="5794" w:hanging="332"/>
      </w:pPr>
      <w:rPr>
        <w:rFonts w:hint="default"/>
        <w:lang w:val="es-ES" w:eastAsia="en-US" w:bidi="ar-SA"/>
      </w:rPr>
    </w:lvl>
    <w:lvl w:ilvl="6" w:tplc="2D58F6D4">
      <w:numFmt w:val="bullet"/>
      <w:lvlText w:val="•"/>
      <w:lvlJc w:val="left"/>
      <w:pPr>
        <w:ind w:left="6733" w:hanging="332"/>
      </w:pPr>
      <w:rPr>
        <w:rFonts w:hint="default"/>
        <w:lang w:val="es-ES" w:eastAsia="en-US" w:bidi="ar-SA"/>
      </w:rPr>
    </w:lvl>
    <w:lvl w:ilvl="7" w:tplc="EE3E6636">
      <w:numFmt w:val="bullet"/>
      <w:lvlText w:val="•"/>
      <w:lvlJc w:val="left"/>
      <w:pPr>
        <w:ind w:left="7672" w:hanging="332"/>
      </w:pPr>
      <w:rPr>
        <w:rFonts w:hint="default"/>
        <w:lang w:val="es-ES" w:eastAsia="en-US" w:bidi="ar-SA"/>
      </w:rPr>
    </w:lvl>
    <w:lvl w:ilvl="8" w:tplc="AC98F81A">
      <w:numFmt w:val="bullet"/>
      <w:lvlText w:val="•"/>
      <w:lvlJc w:val="left"/>
      <w:pPr>
        <w:ind w:left="8611" w:hanging="332"/>
      </w:pPr>
      <w:rPr>
        <w:rFonts w:hint="default"/>
        <w:lang w:val="es-ES" w:eastAsia="en-US" w:bidi="ar-SA"/>
      </w:rPr>
    </w:lvl>
  </w:abstractNum>
  <w:abstractNum w:abstractNumId="221" w15:restartNumberingAfterBreak="0">
    <w:nsid w:val="528C7A9A"/>
    <w:multiLevelType w:val="hybridMultilevel"/>
    <w:tmpl w:val="61AA2538"/>
    <w:lvl w:ilvl="0" w:tplc="2C94AF70">
      <w:start w:val="1"/>
      <w:numFmt w:val="decimal"/>
      <w:lvlText w:val="%1."/>
      <w:lvlJc w:val="left"/>
      <w:pPr>
        <w:ind w:left="1106" w:hanging="299"/>
        <w:jc w:val="left"/>
      </w:pPr>
      <w:rPr>
        <w:rFonts w:ascii="Arial MT" w:eastAsia="Arial MT" w:hAnsi="Arial MT" w:cs="Arial MT" w:hint="default"/>
        <w:b w:val="0"/>
        <w:bCs w:val="0"/>
        <w:i w:val="0"/>
        <w:iCs w:val="0"/>
        <w:spacing w:val="0"/>
        <w:w w:val="100"/>
        <w:sz w:val="20"/>
        <w:szCs w:val="20"/>
        <w:lang w:val="es-ES" w:eastAsia="en-US" w:bidi="ar-SA"/>
      </w:rPr>
    </w:lvl>
    <w:lvl w:ilvl="1" w:tplc="DEA265D6">
      <w:numFmt w:val="bullet"/>
      <w:lvlText w:val="•"/>
      <w:lvlJc w:val="left"/>
      <w:pPr>
        <w:ind w:left="2038" w:hanging="299"/>
      </w:pPr>
      <w:rPr>
        <w:rFonts w:hint="default"/>
        <w:lang w:val="es-ES" w:eastAsia="en-US" w:bidi="ar-SA"/>
      </w:rPr>
    </w:lvl>
    <w:lvl w:ilvl="2" w:tplc="4CB889CC">
      <w:numFmt w:val="bullet"/>
      <w:lvlText w:val="•"/>
      <w:lvlJc w:val="left"/>
      <w:pPr>
        <w:ind w:left="2977" w:hanging="299"/>
      </w:pPr>
      <w:rPr>
        <w:rFonts w:hint="default"/>
        <w:lang w:val="es-ES" w:eastAsia="en-US" w:bidi="ar-SA"/>
      </w:rPr>
    </w:lvl>
    <w:lvl w:ilvl="3" w:tplc="D9C629C4">
      <w:numFmt w:val="bullet"/>
      <w:lvlText w:val="•"/>
      <w:lvlJc w:val="left"/>
      <w:pPr>
        <w:ind w:left="3916" w:hanging="299"/>
      </w:pPr>
      <w:rPr>
        <w:rFonts w:hint="default"/>
        <w:lang w:val="es-ES" w:eastAsia="en-US" w:bidi="ar-SA"/>
      </w:rPr>
    </w:lvl>
    <w:lvl w:ilvl="4" w:tplc="A2C88444">
      <w:numFmt w:val="bullet"/>
      <w:lvlText w:val="•"/>
      <w:lvlJc w:val="left"/>
      <w:pPr>
        <w:ind w:left="4855" w:hanging="299"/>
      </w:pPr>
      <w:rPr>
        <w:rFonts w:hint="default"/>
        <w:lang w:val="es-ES" w:eastAsia="en-US" w:bidi="ar-SA"/>
      </w:rPr>
    </w:lvl>
    <w:lvl w:ilvl="5" w:tplc="CA3E5378">
      <w:numFmt w:val="bullet"/>
      <w:lvlText w:val="•"/>
      <w:lvlJc w:val="left"/>
      <w:pPr>
        <w:ind w:left="5794" w:hanging="299"/>
      </w:pPr>
      <w:rPr>
        <w:rFonts w:hint="default"/>
        <w:lang w:val="es-ES" w:eastAsia="en-US" w:bidi="ar-SA"/>
      </w:rPr>
    </w:lvl>
    <w:lvl w:ilvl="6" w:tplc="B6D49364">
      <w:numFmt w:val="bullet"/>
      <w:lvlText w:val="•"/>
      <w:lvlJc w:val="left"/>
      <w:pPr>
        <w:ind w:left="6733" w:hanging="299"/>
      </w:pPr>
      <w:rPr>
        <w:rFonts w:hint="default"/>
        <w:lang w:val="es-ES" w:eastAsia="en-US" w:bidi="ar-SA"/>
      </w:rPr>
    </w:lvl>
    <w:lvl w:ilvl="7" w:tplc="DA3850FA">
      <w:numFmt w:val="bullet"/>
      <w:lvlText w:val="•"/>
      <w:lvlJc w:val="left"/>
      <w:pPr>
        <w:ind w:left="7672" w:hanging="299"/>
      </w:pPr>
      <w:rPr>
        <w:rFonts w:hint="default"/>
        <w:lang w:val="es-ES" w:eastAsia="en-US" w:bidi="ar-SA"/>
      </w:rPr>
    </w:lvl>
    <w:lvl w:ilvl="8" w:tplc="192879D6">
      <w:numFmt w:val="bullet"/>
      <w:lvlText w:val="•"/>
      <w:lvlJc w:val="left"/>
      <w:pPr>
        <w:ind w:left="8611" w:hanging="299"/>
      </w:pPr>
      <w:rPr>
        <w:rFonts w:hint="default"/>
        <w:lang w:val="es-ES" w:eastAsia="en-US" w:bidi="ar-SA"/>
      </w:rPr>
    </w:lvl>
  </w:abstractNum>
  <w:abstractNum w:abstractNumId="222" w15:restartNumberingAfterBreak="0">
    <w:nsid w:val="529611D0"/>
    <w:multiLevelType w:val="hybridMultilevel"/>
    <w:tmpl w:val="27E4D4C2"/>
    <w:lvl w:ilvl="0" w:tplc="CC045664">
      <w:numFmt w:val="bullet"/>
      <w:lvlText w:val="–"/>
      <w:lvlJc w:val="left"/>
      <w:pPr>
        <w:ind w:left="143" w:hanging="103"/>
      </w:pPr>
      <w:rPr>
        <w:rFonts w:ascii="Arial MT" w:eastAsia="Arial MT" w:hAnsi="Arial MT" w:cs="Arial MT" w:hint="default"/>
        <w:b w:val="0"/>
        <w:bCs w:val="0"/>
        <w:i w:val="0"/>
        <w:iCs w:val="0"/>
        <w:spacing w:val="0"/>
        <w:w w:val="87"/>
        <w:sz w:val="14"/>
        <w:szCs w:val="14"/>
        <w:lang w:val="es-ES" w:eastAsia="en-US" w:bidi="ar-SA"/>
      </w:rPr>
    </w:lvl>
    <w:lvl w:ilvl="1" w:tplc="D226A916">
      <w:numFmt w:val="bullet"/>
      <w:lvlText w:val="•"/>
      <w:lvlJc w:val="left"/>
      <w:pPr>
        <w:ind w:left="751" w:hanging="103"/>
      </w:pPr>
      <w:rPr>
        <w:rFonts w:hint="default"/>
        <w:lang w:val="es-ES" w:eastAsia="en-US" w:bidi="ar-SA"/>
      </w:rPr>
    </w:lvl>
    <w:lvl w:ilvl="2" w:tplc="54FA7A5E">
      <w:numFmt w:val="bullet"/>
      <w:lvlText w:val="•"/>
      <w:lvlJc w:val="left"/>
      <w:pPr>
        <w:ind w:left="1363" w:hanging="103"/>
      </w:pPr>
      <w:rPr>
        <w:rFonts w:hint="default"/>
        <w:lang w:val="es-ES" w:eastAsia="en-US" w:bidi="ar-SA"/>
      </w:rPr>
    </w:lvl>
    <w:lvl w:ilvl="3" w:tplc="DE6A41FA">
      <w:numFmt w:val="bullet"/>
      <w:lvlText w:val="•"/>
      <w:lvlJc w:val="left"/>
      <w:pPr>
        <w:ind w:left="1975" w:hanging="103"/>
      </w:pPr>
      <w:rPr>
        <w:rFonts w:hint="default"/>
        <w:lang w:val="es-ES" w:eastAsia="en-US" w:bidi="ar-SA"/>
      </w:rPr>
    </w:lvl>
    <w:lvl w:ilvl="4" w:tplc="87EA9D72">
      <w:numFmt w:val="bullet"/>
      <w:lvlText w:val="•"/>
      <w:lvlJc w:val="left"/>
      <w:pPr>
        <w:ind w:left="2586" w:hanging="103"/>
      </w:pPr>
      <w:rPr>
        <w:rFonts w:hint="default"/>
        <w:lang w:val="es-ES" w:eastAsia="en-US" w:bidi="ar-SA"/>
      </w:rPr>
    </w:lvl>
    <w:lvl w:ilvl="5" w:tplc="8604BEDE">
      <w:numFmt w:val="bullet"/>
      <w:lvlText w:val="•"/>
      <w:lvlJc w:val="left"/>
      <w:pPr>
        <w:ind w:left="3198" w:hanging="103"/>
      </w:pPr>
      <w:rPr>
        <w:rFonts w:hint="default"/>
        <w:lang w:val="es-ES" w:eastAsia="en-US" w:bidi="ar-SA"/>
      </w:rPr>
    </w:lvl>
    <w:lvl w:ilvl="6" w:tplc="F2D6ACA0">
      <w:numFmt w:val="bullet"/>
      <w:lvlText w:val="•"/>
      <w:lvlJc w:val="left"/>
      <w:pPr>
        <w:ind w:left="3810" w:hanging="103"/>
      </w:pPr>
      <w:rPr>
        <w:rFonts w:hint="default"/>
        <w:lang w:val="es-ES" w:eastAsia="en-US" w:bidi="ar-SA"/>
      </w:rPr>
    </w:lvl>
    <w:lvl w:ilvl="7" w:tplc="03C6216E">
      <w:numFmt w:val="bullet"/>
      <w:lvlText w:val="•"/>
      <w:lvlJc w:val="left"/>
      <w:pPr>
        <w:ind w:left="4421" w:hanging="103"/>
      </w:pPr>
      <w:rPr>
        <w:rFonts w:hint="default"/>
        <w:lang w:val="es-ES" w:eastAsia="en-US" w:bidi="ar-SA"/>
      </w:rPr>
    </w:lvl>
    <w:lvl w:ilvl="8" w:tplc="E4CC082C">
      <w:numFmt w:val="bullet"/>
      <w:lvlText w:val="•"/>
      <w:lvlJc w:val="left"/>
      <w:pPr>
        <w:ind w:left="5033" w:hanging="103"/>
      </w:pPr>
      <w:rPr>
        <w:rFonts w:hint="default"/>
        <w:lang w:val="es-ES" w:eastAsia="en-US" w:bidi="ar-SA"/>
      </w:rPr>
    </w:lvl>
  </w:abstractNum>
  <w:abstractNum w:abstractNumId="223" w15:restartNumberingAfterBreak="0">
    <w:nsid w:val="52EF7362"/>
    <w:multiLevelType w:val="hybridMultilevel"/>
    <w:tmpl w:val="B2841482"/>
    <w:lvl w:ilvl="0" w:tplc="3E747A5C">
      <w:start w:val="1"/>
      <w:numFmt w:val="decimal"/>
      <w:lvlText w:val="%1."/>
      <w:lvlJc w:val="left"/>
      <w:pPr>
        <w:ind w:left="1106" w:hanging="273"/>
        <w:jc w:val="left"/>
      </w:pPr>
      <w:rPr>
        <w:rFonts w:ascii="Arial MT" w:eastAsia="Arial MT" w:hAnsi="Arial MT" w:cs="Arial MT" w:hint="default"/>
        <w:b w:val="0"/>
        <w:bCs w:val="0"/>
        <w:i w:val="0"/>
        <w:iCs w:val="0"/>
        <w:spacing w:val="0"/>
        <w:w w:val="100"/>
        <w:sz w:val="20"/>
        <w:szCs w:val="20"/>
        <w:lang w:val="es-ES" w:eastAsia="en-US" w:bidi="ar-SA"/>
      </w:rPr>
    </w:lvl>
    <w:lvl w:ilvl="1" w:tplc="B90A5042">
      <w:start w:val="1"/>
      <w:numFmt w:val="lowerLetter"/>
      <w:lvlText w:val="%2)"/>
      <w:lvlJc w:val="left"/>
      <w:pPr>
        <w:ind w:left="1106" w:hanging="286"/>
        <w:jc w:val="left"/>
      </w:pPr>
      <w:rPr>
        <w:rFonts w:ascii="Arial MT" w:eastAsia="Arial MT" w:hAnsi="Arial MT" w:cs="Arial MT" w:hint="default"/>
        <w:b w:val="0"/>
        <w:bCs w:val="0"/>
        <w:i w:val="0"/>
        <w:iCs w:val="0"/>
        <w:spacing w:val="0"/>
        <w:w w:val="100"/>
        <w:sz w:val="20"/>
        <w:szCs w:val="20"/>
        <w:lang w:val="es-ES" w:eastAsia="en-US" w:bidi="ar-SA"/>
      </w:rPr>
    </w:lvl>
    <w:lvl w:ilvl="2" w:tplc="64D833E2">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C9C084DE">
      <w:numFmt w:val="bullet"/>
      <w:lvlText w:val="•"/>
      <w:lvlJc w:val="left"/>
      <w:pPr>
        <w:ind w:left="3637" w:hanging="168"/>
      </w:pPr>
      <w:rPr>
        <w:rFonts w:hint="default"/>
        <w:lang w:val="es-ES" w:eastAsia="en-US" w:bidi="ar-SA"/>
      </w:rPr>
    </w:lvl>
    <w:lvl w:ilvl="4" w:tplc="98046C7C">
      <w:numFmt w:val="bullet"/>
      <w:lvlText w:val="•"/>
      <w:lvlJc w:val="left"/>
      <w:pPr>
        <w:ind w:left="4616" w:hanging="168"/>
      </w:pPr>
      <w:rPr>
        <w:rFonts w:hint="default"/>
        <w:lang w:val="es-ES" w:eastAsia="en-US" w:bidi="ar-SA"/>
      </w:rPr>
    </w:lvl>
    <w:lvl w:ilvl="5" w:tplc="4176A200">
      <w:numFmt w:val="bullet"/>
      <w:lvlText w:val="•"/>
      <w:lvlJc w:val="left"/>
      <w:pPr>
        <w:ind w:left="5595" w:hanging="168"/>
      </w:pPr>
      <w:rPr>
        <w:rFonts w:hint="default"/>
        <w:lang w:val="es-ES" w:eastAsia="en-US" w:bidi="ar-SA"/>
      </w:rPr>
    </w:lvl>
    <w:lvl w:ilvl="6" w:tplc="58144D0A">
      <w:numFmt w:val="bullet"/>
      <w:lvlText w:val="•"/>
      <w:lvlJc w:val="left"/>
      <w:pPr>
        <w:ind w:left="6574" w:hanging="168"/>
      </w:pPr>
      <w:rPr>
        <w:rFonts w:hint="default"/>
        <w:lang w:val="es-ES" w:eastAsia="en-US" w:bidi="ar-SA"/>
      </w:rPr>
    </w:lvl>
    <w:lvl w:ilvl="7" w:tplc="F61C3EE2">
      <w:numFmt w:val="bullet"/>
      <w:lvlText w:val="•"/>
      <w:lvlJc w:val="left"/>
      <w:pPr>
        <w:ind w:left="7553" w:hanging="168"/>
      </w:pPr>
      <w:rPr>
        <w:rFonts w:hint="default"/>
        <w:lang w:val="es-ES" w:eastAsia="en-US" w:bidi="ar-SA"/>
      </w:rPr>
    </w:lvl>
    <w:lvl w:ilvl="8" w:tplc="C6CE5E8A">
      <w:numFmt w:val="bullet"/>
      <w:lvlText w:val="•"/>
      <w:lvlJc w:val="left"/>
      <w:pPr>
        <w:ind w:left="8531" w:hanging="168"/>
      </w:pPr>
      <w:rPr>
        <w:rFonts w:hint="default"/>
        <w:lang w:val="es-ES" w:eastAsia="en-US" w:bidi="ar-SA"/>
      </w:rPr>
    </w:lvl>
  </w:abstractNum>
  <w:abstractNum w:abstractNumId="224" w15:restartNumberingAfterBreak="0">
    <w:nsid w:val="53E00731"/>
    <w:multiLevelType w:val="hybridMultilevel"/>
    <w:tmpl w:val="3E70B28E"/>
    <w:lvl w:ilvl="0" w:tplc="A4D4DF10">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F11A1DD6">
      <w:numFmt w:val="bullet"/>
      <w:lvlText w:val="•"/>
      <w:lvlJc w:val="left"/>
      <w:pPr>
        <w:ind w:left="2038" w:hanging="237"/>
      </w:pPr>
      <w:rPr>
        <w:rFonts w:hint="default"/>
        <w:lang w:val="es-ES" w:eastAsia="en-US" w:bidi="ar-SA"/>
      </w:rPr>
    </w:lvl>
    <w:lvl w:ilvl="2" w:tplc="F77E62CA">
      <w:numFmt w:val="bullet"/>
      <w:lvlText w:val="•"/>
      <w:lvlJc w:val="left"/>
      <w:pPr>
        <w:ind w:left="2977" w:hanging="237"/>
      </w:pPr>
      <w:rPr>
        <w:rFonts w:hint="default"/>
        <w:lang w:val="es-ES" w:eastAsia="en-US" w:bidi="ar-SA"/>
      </w:rPr>
    </w:lvl>
    <w:lvl w:ilvl="3" w:tplc="58BA6720">
      <w:numFmt w:val="bullet"/>
      <w:lvlText w:val="•"/>
      <w:lvlJc w:val="left"/>
      <w:pPr>
        <w:ind w:left="3916" w:hanging="237"/>
      </w:pPr>
      <w:rPr>
        <w:rFonts w:hint="default"/>
        <w:lang w:val="es-ES" w:eastAsia="en-US" w:bidi="ar-SA"/>
      </w:rPr>
    </w:lvl>
    <w:lvl w:ilvl="4" w:tplc="8FECEA8A">
      <w:numFmt w:val="bullet"/>
      <w:lvlText w:val="•"/>
      <w:lvlJc w:val="left"/>
      <w:pPr>
        <w:ind w:left="4855" w:hanging="237"/>
      </w:pPr>
      <w:rPr>
        <w:rFonts w:hint="default"/>
        <w:lang w:val="es-ES" w:eastAsia="en-US" w:bidi="ar-SA"/>
      </w:rPr>
    </w:lvl>
    <w:lvl w:ilvl="5" w:tplc="33CC7C88">
      <w:numFmt w:val="bullet"/>
      <w:lvlText w:val="•"/>
      <w:lvlJc w:val="left"/>
      <w:pPr>
        <w:ind w:left="5794" w:hanging="237"/>
      </w:pPr>
      <w:rPr>
        <w:rFonts w:hint="default"/>
        <w:lang w:val="es-ES" w:eastAsia="en-US" w:bidi="ar-SA"/>
      </w:rPr>
    </w:lvl>
    <w:lvl w:ilvl="6" w:tplc="E97A7334">
      <w:numFmt w:val="bullet"/>
      <w:lvlText w:val="•"/>
      <w:lvlJc w:val="left"/>
      <w:pPr>
        <w:ind w:left="6733" w:hanging="237"/>
      </w:pPr>
      <w:rPr>
        <w:rFonts w:hint="default"/>
        <w:lang w:val="es-ES" w:eastAsia="en-US" w:bidi="ar-SA"/>
      </w:rPr>
    </w:lvl>
    <w:lvl w:ilvl="7" w:tplc="0F44F826">
      <w:numFmt w:val="bullet"/>
      <w:lvlText w:val="•"/>
      <w:lvlJc w:val="left"/>
      <w:pPr>
        <w:ind w:left="7672" w:hanging="237"/>
      </w:pPr>
      <w:rPr>
        <w:rFonts w:hint="default"/>
        <w:lang w:val="es-ES" w:eastAsia="en-US" w:bidi="ar-SA"/>
      </w:rPr>
    </w:lvl>
    <w:lvl w:ilvl="8" w:tplc="6D386DFA">
      <w:numFmt w:val="bullet"/>
      <w:lvlText w:val="•"/>
      <w:lvlJc w:val="left"/>
      <w:pPr>
        <w:ind w:left="8611" w:hanging="237"/>
      </w:pPr>
      <w:rPr>
        <w:rFonts w:hint="default"/>
        <w:lang w:val="es-ES" w:eastAsia="en-US" w:bidi="ar-SA"/>
      </w:rPr>
    </w:lvl>
  </w:abstractNum>
  <w:abstractNum w:abstractNumId="225" w15:restartNumberingAfterBreak="0">
    <w:nsid w:val="5495310B"/>
    <w:multiLevelType w:val="hybridMultilevel"/>
    <w:tmpl w:val="7FAECEDE"/>
    <w:lvl w:ilvl="0" w:tplc="B14AFAA8">
      <w:start w:val="1"/>
      <w:numFmt w:val="decimal"/>
      <w:lvlText w:val="%1."/>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1" w:tplc="90580A12">
      <w:numFmt w:val="bullet"/>
      <w:lvlText w:val="•"/>
      <w:lvlJc w:val="left"/>
      <w:pPr>
        <w:ind w:left="2038" w:hanging="263"/>
      </w:pPr>
      <w:rPr>
        <w:rFonts w:hint="default"/>
        <w:lang w:val="es-ES" w:eastAsia="en-US" w:bidi="ar-SA"/>
      </w:rPr>
    </w:lvl>
    <w:lvl w:ilvl="2" w:tplc="A5C067B2">
      <w:numFmt w:val="bullet"/>
      <w:lvlText w:val="•"/>
      <w:lvlJc w:val="left"/>
      <w:pPr>
        <w:ind w:left="2977" w:hanging="263"/>
      </w:pPr>
      <w:rPr>
        <w:rFonts w:hint="default"/>
        <w:lang w:val="es-ES" w:eastAsia="en-US" w:bidi="ar-SA"/>
      </w:rPr>
    </w:lvl>
    <w:lvl w:ilvl="3" w:tplc="88E2C794">
      <w:numFmt w:val="bullet"/>
      <w:lvlText w:val="•"/>
      <w:lvlJc w:val="left"/>
      <w:pPr>
        <w:ind w:left="3916" w:hanging="263"/>
      </w:pPr>
      <w:rPr>
        <w:rFonts w:hint="default"/>
        <w:lang w:val="es-ES" w:eastAsia="en-US" w:bidi="ar-SA"/>
      </w:rPr>
    </w:lvl>
    <w:lvl w:ilvl="4" w:tplc="09D44CAE">
      <w:numFmt w:val="bullet"/>
      <w:lvlText w:val="•"/>
      <w:lvlJc w:val="left"/>
      <w:pPr>
        <w:ind w:left="4855" w:hanging="263"/>
      </w:pPr>
      <w:rPr>
        <w:rFonts w:hint="default"/>
        <w:lang w:val="es-ES" w:eastAsia="en-US" w:bidi="ar-SA"/>
      </w:rPr>
    </w:lvl>
    <w:lvl w:ilvl="5" w:tplc="40BCE7E0">
      <w:numFmt w:val="bullet"/>
      <w:lvlText w:val="•"/>
      <w:lvlJc w:val="left"/>
      <w:pPr>
        <w:ind w:left="5794" w:hanging="263"/>
      </w:pPr>
      <w:rPr>
        <w:rFonts w:hint="default"/>
        <w:lang w:val="es-ES" w:eastAsia="en-US" w:bidi="ar-SA"/>
      </w:rPr>
    </w:lvl>
    <w:lvl w:ilvl="6" w:tplc="3EB05062">
      <w:numFmt w:val="bullet"/>
      <w:lvlText w:val="•"/>
      <w:lvlJc w:val="left"/>
      <w:pPr>
        <w:ind w:left="6733" w:hanging="263"/>
      </w:pPr>
      <w:rPr>
        <w:rFonts w:hint="default"/>
        <w:lang w:val="es-ES" w:eastAsia="en-US" w:bidi="ar-SA"/>
      </w:rPr>
    </w:lvl>
    <w:lvl w:ilvl="7" w:tplc="4BDA4722">
      <w:numFmt w:val="bullet"/>
      <w:lvlText w:val="•"/>
      <w:lvlJc w:val="left"/>
      <w:pPr>
        <w:ind w:left="7672" w:hanging="263"/>
      </w:pPr>
      <w:rPr>
        <w:rFonts w:hint="default"/>
        <w:lang w:val="es-ES" w:eastAsia="en-US" w:bidi="ar-SA"/>
      </w:rPr>
    </w:lvl>
    <w:lvl w:ilvl="8" w:tplc="57E2FEA6">
      <w:numFmt w:val="bullet"/>
      <w:lvlText w:val="•"/>
      <w:lvlJc w:val="left"/>
      <w:pPr>
        <w:ind w:left="8611" w:hanging="263"/>
      </w:pPr>
      <w:rPr>
        <w:rFonts w:hint="default"/>
        <w:lang w:val="es-ES" w:eastAsia="en-US" w:bidi="ar-SA"/>
      </w:rPr>
    </w:lvl>
  </w:abstractNum>
  <w:abstractNum w:abstractNumId="226" w15:restartNumberingAfterBreak="0">
    <w:nsid w:val="54B60E27"/>
    <w:multiLevelType w:val="hybridMultilevel"/>
    <w:tmpl w:val="283CEA46"/>
    <w:lvl w:ilvl="0" w:tplc="3F0E4FCC">
      <w:start w:val="1"/>
      <w:numFmt w:val="decimal"/>
      <w:lvlText w:val="%1."/>
      <w:lvlJc w:val="left"/>
      <w:pPr>
        <w:ind w:left="1106" w:hanging="282"/>
        <w:jc w:val="left"/>
      </w:pPr>
      <w:rPr>
        <w:rFonts w:ascii="Arial MT" w:eastAsia="Arial MT" w:hAnsi="Arial MT" w:cs="Arial MT" w:hint="default"/>
        <w:b w:val="0"/>
        <w:bCs w:val="0"/>
        <w:i w:val="0"/>
        <w:iCs w:val="0"/>
        <w:spacing w:val="0"/>
        <w:w w:val="100"/>
        <w:sz w:val="20"/>
        <w:szCs w:val="20"/>
        <w:lang w:val="es-ES" w:eastAsia="en-US" w:bidi="ar-SA"/>
      </w:rPr>
    </w:lvl>
    <w:lvl w:ilvl="1" w:tplc="B4DCCEE8">
      <w:start w:val="1"/>
      <w:numFmt w:val="lowerLetter"/>
      <w:lvlText w:val="%2)"/>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2" w:tplc="568A5520">
      <w:numFmt w:val="bullet"/>
      <w:lvlText w:val="•"/>
      <w:lvlJc w:val="left"/>
      <w:pPr>
        <w:ind w:left="2977" w:hanging="248"/>
      </w:pPr>
      <w:rPr>
        <w:rFonts w:hint="default"/>
        <w:lang w:val="es-ES" w:eastAsia="en-US" w:bidi="ar-SA"/>
      </w:rPr>
    </w:lvl>
    <w:lvl w:ilvl="3" w:tplc="3362C610">
      <w:numFmt w:val="bullet"/>
      <w:lvlText w:val="•"/>
      <w:lvlJc w:val="left"/>
      <w:pPr>
        <w:ind w:left="3916" w:hanging="248"/>
      </w:pPr>
      <w:rPr>
        <w:rFonts w:hint="default"/>
        <w:lang w:val="es-ES" w:eastAsia="en-US" w:bidi="ar-SA"/>
      </w:rPr>
    </w:lvl>
    <w:lvl w:ilvl="4" w:tplc="00FAC01A">
      <w:numFmt w:val="bullet"/>
      <w:lvlText w:val="•"/>
      <w:lvlJc w:val="left"/>
      <w:pPr>
        <w:ind w:left="4855" w:hanging="248"/>
      </w:pPr>
      <w:rPr>
        <w:rFonts w:hint="default"/>
        <w:lang w:val="es-ES" w:eastAsia="en-US" w:bidi="ar-SA"/>
      </w:rPr>
    </w:lvl>
    <w:lvl w:ilvl="5" w:tplc="1FA693E2">
      <w:numFmt w:val="bullet"/>
      <w:lvlText w:val="•"/>
      <w:lvlJc w:val="left"/>
      <w:pPr>
        <w:ind w:left="5794" w:hanging="248"/>
      </w:pPr>
      <w:rPr>
        <w:rFonts w:hint="default"/>
        <w:lang w:val="es-ES" w:eastAsia="en-US" w:bidi="ar-SA"/>
      </w:rPr>
    </w:lvl>
    <w:lvl w:ilvl="6" w:tplc="EBA83F6C">
      <w:numFmt w:val="bullet"/>
      <w:lvlText w:val="•"/>
      <w:lvlJc w:val="left"/>
      <w:pPr>
        <w:ind w:left="6733" w:hanging="248"/>
      </w:pPr>
      <w:rPr>
        <w:rFonts w:hint="default"/>
        <w:lang w:val="es-ES" w:eastAsia="en-US" w:bidi="ar-SA"/>
      </w:rPr>
    </w:lvl>
    <w:lvl w:ilvl="7" w:tplc="73E4859C">
      <w:numFmt w:val="bullet"/>
      <w:lvlText w:val="•"/>
      <w:lvlJc w:val="left"/>
      <w:pPr>
        <w:ind w:left="7672" w:hanging="248"/>
      </w:pPr>
      <w:rPr>
        <w:rFonts w:hint="default"/>
        <w:lang w:val="es-ES" w:eastAsia="en-US" w:bidi="ar-SA"/>
      </w:rPr>
    </w:lvl>
    <w:lvl w:ilvl="8" w:tplc="14648F4E">
      <w:numFmt w:val="bullet"/>
      <w:lvlText w:val="•"/>
      <w:lvlJc w:val="left"/>
      <w:pPr>
        <w:ind w:left="8611" w:hanging="248"/>
      </w:pPr>
      <w:rPr>
        <w:rFonts w:hint="default"/>
        <w:lang w:val="es-ES" w:eastAsia="en-US" w:bidi="ar-SA"/>
      </w:rPr>
    </w:lvl>
  </w:abstractNum>
  <w:abstractNum w:abstractNumId="227" w15:restartNumberingAfterBreak="0">
    <w:nsid w:val="54E33FD6"/>
    <w:multiLevelType w:val="hybridMultilevel"/>
    <w:tmpl w:val="7256C92C"/>
    <w:lvl w:ilvl="0" w:tplc="239C5F70">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C56C7BE4">
      <w:numFmt w:val="bullet"/>
      <w:lvlText w:val="•"/>
      <w:lvlJc w:val="left"/>
      <w:pPr>
        <w:ind w:left="2038" w:hanging="237"/>
      </w:pPr>
      <w:rPr>
        <w:rFonts w:hint="default"/>
        <w:lang w:val="es-ES" w:eastAsia="en-US" w:bidi="ar-SA"/>
      </w:rPr>
    </w:lvl>
    <w:lvl w:ilvl="2" w:tplc="56463F6E">
      <w:numFmt w:val="bullet"/>
      <w:lvlText w:val="•"/>
      <w:lvlJc w:val="left"/>
      <w:pPr>
        <w:ind w:left="2977" w:hanging="237"/>
      </w:pPr>
      <w:rPr>
        <w:rFonts w:hint="default"/>
        <w:lang w:val="es-ES" w:eastAsia="en-US" w:bidi="ar-SA"/>
      </w:rPr>
    </w:lvl>
    <w:lvl w:ilvl="3" w:tplc="E1AAE8C6">
      <w:numFmt w:val="bullet"/>
      <w:lvlText w:val="•"/>
      <w:lvlJc w:val="left"/>
      <w:pPr>
        <w:ind w:left="3916" w:hanging="237"/>
      </w:pPr>
      <w:rPr>
        <w:rFonts w:hint="default"/>
        <w:lang w:val="es-ES" w:eastAsia="en-US" w:bidi="ar-SA"/>
      </w:rPr>
    </w:lvl>
    <w:lvl w:ilvl="4" w:tplc="856AB036">
      <w:numFmt w:val="bullet"/>
      <w:lvlText w:val="•"/>
      <w:lvlJc w:val="left"/>
      <w:pPr>
        <w:ind w:left="4855" w:hanging="237"/>
      </w:pPr>
      <w:rPr>
        <w:rFonts w:hint="default"/>
        <w:lang w:val="es-ES" w:eastAsia="en-US" w:bidi="ar-SA"/>
      </w:rPr>
    </w:lvl>
    <w:lvl w:ilvl="5" w:tplc="B536637E">
      <w:numFmt w:val="bullet"/>
      <w:lvlText w:val="•"/>
      <w:lvlJc w:val="left"/>
      <w:pPr>
        <w:ind w:left="5794" w:hanging="237"/>
      </w:pPr>
      <w:rPr>
        <w:rFonts w:hint="default"/>
        <w:lang w:val="es-ES" w:eastAsia="en-US" w:bidi="ar-SA"/>
      </w:rPr>
    </w:lvl>
    <w:lvl w:ilvl="6" w:tplc="6D6C21B0">
      <w:numFmt w:val="bullet"/>
      <w:lvlText w:val="•"/>
      <w:lvlJc w:val="left"/>
      <w:pPr>
        <w:ind w:left="6733" w:hanging="237"/>
      </w:pPr>
      <w:rPr>
        <w:rFonts w:hint="default"/>
        <w:lang w:val="es-ES" w:eastAsia="en-US" w:bidi="ar-SA"/>
      </w:rPr>
    </w:lvl>
    <w:lvl w:ilvl="7" w:tplc="A22CD974">
      <w:numFmt w:val="bullet"/>
      <w:lvlText w:val="•"/>
      <w:lvlJc w:val="left"/>
      <w:pPr>
        <w:ind w:left="7672" w:hanging="237"/>
      </w:pPr>
      <w:rPr>
        <w:rFonts w:hint="default"/>
        <w:lang w:val="es-ES" w:eastAsia="en-US" w:bidi="ar-SA"/>
      </w:rPr>
    </w:lvl>
    <w:lvl w:ilvl="8" w:tplc="D6AC01AE">
      <w:numFmt w:val="bullet"/>
      <w:lvlText w:val="•"/>
      <w:lvlJc w:val="left"/>
      <w:pPr>
        <w:ind w:left="8611" w:hanging="237"/>
      </w:pPr>
      <w:rPr>
        <w:rFonts w:hint="default"/>
        <w:lang w:val="es-ES" w:eastAsia="en-US" w:bidi="ar-SA"/>
      </w:rPr>
    </w:lvl>
  </w:abstractNum>
  <w:abstractNum w:abstractNumId="228" w15:restartNumberingAfterBreak="0">
    <w:nsid w:val="550A384D"/>
    <w:multiLevelType w:val="hybridMultilevel"/>
    <w:tmpl w:val="505A136E"/>
    <w:lvl w:ilvl="0" w:tplc="AA9A7346">
      <w:start w:val="1"/>
      <w:numFmt w:val="decimal"/>
      <w:lvlText w:val="%1."/>
      <w:lvlJc w:val="left"/>
      <w:pPr>
        <w:ind w:left="1106" w:hanging="238"/>
        <w:jc w:val="left"/>
      </w:pPr>
      <w:rPr>
        <w:rFonts w:ascii="Arial MT" w:eastAsia="Arial MT" w:hAnsi="Arial MT" w:cs="Arial MT" w:hint="default"/>
        <w:b w:val="0"/>
        <w:bCs w:val="0"/>
        <w:i w:val="0"/>
        <w:iCs w:val="0"/>
        <w:spacing w:val="0"/>
        <w:w w:val="100"/>
        <w:sz w:val="20"/>
        <w:szCs w:val="20"/>
        <w:lang w:val="es-ES" w:eastAsia="en-US" w:bidi="ar-SA"/>
      </w:rPr>
    </w:lvl>
    <w:lvl w:ilvl="1" w:tplc="AECAE9F4">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C4B635E0">
      <w:start w:val="1"/>
      <w:numFmt w:val="decimal"/>
      <w:lvlText w:val="%3."/>
      <w:lvlJc w:val="left"/>
      <w:pPr>
        <w:ind w:left="1614" w:hanging="168"/>
        <w:jc w:val="left"/>
      </w:pPr>
      <w:rPr>
        <w:rFonts w:ascii="Arial MT" w:eastAsia="Arial MT" w:hAnsi="Arial MT" w:cs="Arial MT" w:hint="default"/>
        <w:b w:val="0"/>
        <w:bCs w:val="0"/>
        <w:i w:val="0"/>
        <w:iCs w:val="0"/>
        <w:spacing w:val="-1"/>
        <w:w w:val="97"/>
        <w:sz w:val="18"/>
        <w:szCs w:val="18"/>
        <w:lang w:val="es-ES" w:eastAsia="en-US" w:bidi="ar-SA"/>
      </w:rPr>
    </w:lvl>
    <w:lvl w:ilvl="3" w:tplc="3FDADA7C">
      <w:numFmt w:val="bullet"/>
      <w:lvlText w:val="•"/>
      <w:lvlJc w:val="left"/>
      <w:pPr>
        <w:ind w:left="2781" w:hanging="168"/>
      </w:pPr>
      <w:rPr>
        <w:rFonts w:hint="default"/>
        <w:lang w:val="es-ES" w:eastAsia="en-US" w:bidi="ar-SA"/>
      </w:rPr>
    </w:lvl>
    <w:lvl w:ilvl="4" w:tplc="54221214">
      <w:numFmt w:val="bullet"/>
      <w:lvlText w:val="•"/>
      <w:lvlJc w:val="left"/>
      <w:pPr>
        <w:ind w:left="3882" w:hanging="168"/>
      </w:pPr>
      <w:rPr>
        <w:rFonts w:hint="default"/>
        <w:lang w:val="es-ES" w:eastAsia="en-US" w:bidi="ar-SA"/>
      </w:rPr>
    </w:lvl>
    <w:lvl w:ilvl="5" w:tplc="EB7EF2B6">
      <w:numFmt w:val="bullet"/>
      <w:lvlText w:val="•"/>
      <w:lvlJc w:val="left"/>
      <w:pPr>
        <w:ind w:left="4983" w:hanging="168"/>
      </w:pPr>
      <w:rPr>
        <w:rFonts w:hint="default"/>
        <w:lang w:val="es-ES" w:eastAsia="en-US" w:bidi="ar-SA"/>
      </w:rPr>
    </w:lvl>
    <w:lvl w:ilvl="6" w:tplc="DBA03004">
      <w:numFmt w:val="bullet"/>
      <w:lvlText w:val="•"/>
      <w:lvlJc w:val="left"/>
      <w:pPr>
        <w:ind w:left="6084" w:hanging="168"/>
      </w:pPr>
      <w:rPr>
        <w:rFonts w:hint="default"/>
        <w:lang w:val="es-ES" w:eastAsia="en-US" w:bidi="ar-SA"/>
      </w:rPr>
    </w:lvl>
    <w:lvl w:ilvl="7" w:tplc="6B26FBB0">
      <w:numFmt w:val="bullet"/>
      <w:lvlText w:val="•"/>
      <w:lvlJc w:val="left"/>
      <w:pPr>
        <w:ind w:left="7185" w:hanging="168"/>
      </w:pPr>
      <w:rPr>
        <w:rFonts w:hint="default"/>
        <w:lang w:val="es-ES" w:eastAsia="en-US" w:bidi="ar-SA"/>
      </w:rPr>
    </w:lvl>
    <w:lvl w:ilvl="8" w:tplc="1B166292">
      <w:numFmt w:val="bullet"/>
      <w:lvlText w:val="•"/>
      <w:lvlJc w:val="left"/>
      <w:pPr>
        <w:ind w:left="8287" w:hanging="168"/>
      </w:pPr>
      <w:rPr>
        <w:rFonts w:hint="default"/>
        <w:lang w:val="es-ES" w:eastAsia="en-US" w:bidi="ar-SA"/>
      </w:rPr>
    </w:lvl>
  </w:abstractNum>
  <w:abstractNum w:abstractNumId="229" w15:restartNumberingAfterBreak="0">
    <w:nsid w:val="555F6D31"/>
    <w:multiLevelType w:val="hybridMultilevel"/>
    <w:tmpl w:val="60A4EDBC"/>
    <w:lvl w:ilvl="0" w:tplc="CD109200">
      <w:start w:val="1"/>
      <w:numFmt w:val="decimal"/>
      <w:lvlText w:val="%1."/>
      <w:lvlJc w:val="left"/>
      <w:pPr>
        <w:ind w:left="1106" w:hanging="239"/>
        <w:jc w:val="left"/>
      </w:pPr>
      <w:rPr>
        <w:rFonts w:ascii="Arial MT" w:eastAsia="Arial MT" w:hAnsi="Arial MT" w:cs="Arial MT" w:hint="default"/>
        <w:b w:val="0"/>
        <w:bCs w:val="0"/>
        <w:i w:val="0"/>
        <w:iCs w:val="0"/>
        <w:spacing w:val="0"/>
        <w:w w:val="100"/>
        <w:sz w:val="20"/>
        <w:szCs w:val="20"/>
        <w:lang w:val="es-ES" w:eastAsia="en-US" w:bidi="ar-SA"/>
      </w:rPr>
    </w:lvl>
    <w:lvl w:ilvl="1" w:tplc="6DC821D6">
      <w:numFmt w:val="bullet"/>
      <w:lvlText w:val="•"/>
      <w:lvlJc w:val="left"/>
      <w:pPr>
        <w:ind w:left="2038" w:hanging="239"/>
      </w:pPr>
      <w:rPr>
        <w:rFonts w:hint="default"/>
        <w:lang w:val="es-ES" w:eastAsia="en-US" w:bidi="ar-SA"/>
      </w:rPr>
    </w:lvl>
    <w:lvl w:ilvl="2" w:tplc="8382801C">
      <w:numFmt w:val="bullet"/>
      <w:lvlText w:val="•"/>
      <w:lvlJc w:val="left"/>
      <w:pPr>
        <w:ind w:left="2977" w:hanging="239"/>
      </w:pPr>
      <w:rPr>
        <w:rFonts w:hint="default"/>
        <w:lang w:val="es-ES" w:eastAsia="en-US" w:bidi="ar-SA"/>
      </w:rPr>
    </w:lvl>
    <w:lvl w:ilvl="3" w:tplc="36E077BE">
      <w:numFmt w:val="bullet"/>
      <w:lvlText w:val="•"/>
      <w:lvlJc w:val="left"/>
      <w:pPr>
        <w:ind w:left="3916" w:hanging="239"/>
      </w:pPr>
      <w:rPr>
        <w:rFonts w:hint="default"/>
        <w:lang w:val="es-ES" w:eastAsia="en-US" w:bidi="ar-SA"/>
      </w:rPr>
    </w:lvl>
    <w:lvl w:ilvl="4" w:tplc="173CD962">
      <w:numFmt w:val="bullet"/>
      <w:lvlText w:val="•"/>
      <w:lvlJc w:val="left"/>
      <w:pPr>
        <w:ind w:left="4855" w:hanging="239"/>
      </w:pPr>
      <w:rPr>
        <w:rFonts w:hint="default"/>
        <w:lang w:val="es-ES" w:eastAsia="en-US" w:bidi="ar-SA"/>
      </w:rPr>
    </w:lvl>
    <w:lvl w:ilvl="5" w:tplc="27462DA2">
      <w:numFmt w:val="bullet"/>
      <w:lvlText w:val="•"/>
      <w:lvlJc w:val="left"/>
      <w:pPr>
        <w:ind w:left="5794" w:hanging="239"/>
      </w:pPr>
      <w:rPr>
        <w:rFonts w:hint="default"/>
        <w:lang w:val="es-ES" w:eastAsia="en-US" w:bidi="ar-SA"/>
      </w:rPr>
    </w:lvl>
    <w:lvl w:ilvl="6" w:tplc="137CDA80">
      <w:numFmt w:val="bullet"/>
      <w:lvlText w:val="•"/>
      <w:lvlJc w:val="left"/>
      <w:pPr>
        <w:ind w:left="6733" w:hanging="239"/>
      </w:pPr>
      <w:rPr>
        <w:rFonts w:hint="default"/>
        <w:lang w:val="es-ES" w:eastAsia="en-US" w:bidi="ar-SA"/>
      </w:rPr>
    </w:lvl>
    <w:lvl w:ilvl="7" w:tplc="01509F3C">
      <w:numFmt w:val="bullet"/>
      <w:lvlText w:val="•"/>
      <w:lvlJc w:val="left"/>
      <w:pPr>
        <w:ind w:left="7672" w:hanging="239"/>
      </w:pPr>
      <w:rPr>
        <w:rFonts w:hint="default"/>
        <w:lang w:val="es-ES" w:eastAsia="en-US" w:bidi="ar-SA"/>
      </w:rPr>
    </w:lvl>
    <w:lvl w:ilvl="8" w:tplc="5900AE76">
      <w:numFmt w:val="bullet"/>
      <w:lvlText w:val="•"/>
      <w:lvlJc w:val="left"/>
      <w:pPr>
        <w:ind w:left="8611" w:hanging="239"/>
      </w:pPr>
      <w:rPr>
        <w:rFonts w:hint="default"/>
        <w:lang w:val="es-ES" w:eastAsia="en-US" w:bidi="ar-SA"/>
      </w:rPr>
    </w:lvl>
  </w:abstractNum>
  <w:abstractNum w:abstractNumId="230" w15:restartNumberingAfterBreak="0">
    <w:nsid w:val="55876440"/>
    <w:multiLevelType w:val="hybridMultilevel"/>
    <w:tmpl w:val="4FB6771C"/>
    <w:lvl w:ilvl="0" w:tplc="FF02778C">
      <w:start w:val="1"/>
      <w:numFmt w:val="decimal"/>
      <w:lvlText w:val="%1."/>
      <w:lvlJc w:val="left"/>
      <w:pPr>
        <w:ind w:left="1106" w:hanging="275"/>
        <w:jc w:val="left"/>
      </w:pPr>
      <w:rPr>
        <w:rFonts w:ascii="Arial MT" w:eastAsia="Arial MT" w:hAnsi="Arial MT" w:cs="Arial MT" w:hint="default"/>
        <w:b w:val="0"/>
        <w:bCs w:val="0"/>
        <w:i w:val="0"/>
        <w:iCs w:val="0"/>
        <w:spacing w:val="0"/>
        <w:w w:val="100"/>
        <w:sz w:val="20"/>
        <w:szCs w:val="20"/>
        <w:lang w:val="es-ES" w:eastAsia="en-US" w:bidi="ar-SA"/>
      </w:rPr>
    </w:lvl>
    <w:lvl w:ilvl="1" w:tplc="D66697DE">
      <w:start w:val="1"/>
      <w:numFmt w:val="lowerLetter"/>
      <w:lvlText w:val="%2)"/>
      <w:lvlJc w:val="left"/>
      <w:pPr>
        <w:ind w:left="1106" w:hanging="256"/>
        <w:jc w:val="left"/>
      </w:pPr>
      <w:rPr>
        <w:rFonts w:ascii="Arial MT" w:eastAsia="Arial MT" w:hAnsi="Arial MT" w:cs="Arial MT" w:hint="default"/>
        <w:b w:val="0"/>
        <w:bCs w:val="0"/>
        <w:i w:val="0"/>
        <w:iCs w:val="0"/>
        <w:spacing w:val="0"/>
        <w:w w:val="100"/>
        <w:sz w:val="20"/>
        <w:szCs w:val="20"/>
        <w:lang w:val="es-ES" w:eastAsia="en-US" w:bidi="ar-SA"/>
      </w:rPr>
    </w:lvl>
    <w:lvl w:ilvl="2" w:tplc="84B45566">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9A54F9C4">
      <w:numFmt w:val="bullet"/>
      <w:lvlText w:val="•"/>
      <w:lvlJc w:val="left"/>
      <w:pPr>
        <w:ind w:left="3916" w:hanging="168"/>
      </w:pPr>
      <w:rPr>
        <w:rFonts w:hint="default"/>
        <w:lang w:val="es-ES" w:eastAsia="en-US" w:bidi="ar-SA"/>
      </w:rPr>
    </w:lvl>
    <w:lvl w:ilvl="4" w:tplc="922C1EBC">
      <w:numFmt w:val="bullet"/>
      <w:lvlText w:val="•"/>
      <w:lvlJc w:val="left"/>
      <w:pPr>
        <w:ind w:left="4855" w:hanging="168"/>
      </w:pPr>
      <w:rPr>
        <w:rFonts w:hint="default"/>
        <w:lang w:val="es-ES" w:eastAsia="en-US" w:bidi="ar-SA"/>
      </w:rPr>
    </w:lvl>
    <w:lvl w:ilvl="5" w:tplc="5AC222CA">
      <w:numFmt w:val="bullet"/>
      <w:lvlText w:val="•"/>
      <w:lvlJc w:val="left"/>
      <w:pPr>
        <w:ind w:left="5794" w:hanging="168"/>
      </w:pPr>
      <w:rPr>
        <w:rFonts w:hint="default"/>
        <w:lang w:val="es-ES" w:eastAsia="en-US" w:bidi="ar-SA"/>
      </w:rPr>
    </w:lvl>
    <w:lvl w:ilvl="6" w:tplc="0E94BD6A">
      <w:numFmt w:val="bullet"/>
      <w:lvlText w:val="•"/>
      <w:lvlJc w:val="left"/>
      <w:pPr>
        <w:ind w:left="6733" w:hanging="168"/>
      </w:pPr>
      <w:rPr>
        <w:rFonts w:hint="default"/>
        <w:lang w:val="es-ES" w:eastAsia="en-US" w:bidi="ar-SA"/>
      </w:rPr>
    </w:lvl>
    <w:lvl w:ilvl="7" w:tplc="2C980C8C">
      <w:numFmt w:val="bullet"/>
      <w:lvlText w:val="•"/>
      <w:lvlJc w:val="left"/>
      <w:pPr>
        <w:ind w:left="7672" w:hanging="168"/>
      </w:pPr>
      <w:rPr>
        <w:rFonts w:hint="default"/>
        <w:lang w:val="es-ES" w:eastAsia="en-US" w:bidi="ar-SA"/>
      </w:rPr>
    </w:lvl>
    <w:lvl w:ilvl="8" w:tplc="DBA005B6">
      <w:numFmt w:val="bullet"/>
      <w:lvlText w:val="•"/>
      <w:lvlJc w:val="left"/>
      <w:pPr>
        <w:ind w:left="8611" w:hanging="168"/>
      </w:pPr>
      <w:rPr>
        <w:rFonts w:hint="default"/>
        <w:lang w:val="es-ES" w:eastAsia="en-US" w:bidi="ar-SA"/>
      </w:rPr>
    </w:lvl>
  </w:abstractNum>
  <w:abstractNum w:abstractNumId="231" w15:restartNumberingAfterBreak="0">
    <w:nsid w:val="55C06CCD"/>
    <w:multiLevelType w:val="hybridMultilevel"/>
    <w:tmpl w:val="A2FAC17E"/>
    <w:lvl w:ilvl="0" w:tplc="A13E41C2">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2C786FE4">
      <w:numFmt w:val="bullet"/>
      <w:lvlText w:val="•"/>
      <w:lvlJc w:val="left"/>
      <w:pPr>
        <w:ind w:left="2038" w:hanging="224"/>
      </w:pPr>
      <w:rPr>
        <w:rFonts w:hint="default"/>
        <w:lang w:val="es-ES" w:eastAsia="en-US" w:bidi="ar-SA"/>
      </w:rPr>
    </w:lvl>
    <w:lvl w:ilvl="2" w:tplc="18FAB034">
      <w:numFmt w:val="bullet"/>
      <w:lvlText w:val="•"/>
      <w:lvlJc w:val="left"/>
      <w:pPr>
        <w:ind w:left="2977" w:hanging="224"/>
      </w:pPr>
      <w:rPr>
        <w:rFonts w:hint="default"/>
        <w:lang w:val="es-ES" w:eastAsia="en-US" w:bidi="ar-SA"/>
      </w:rPr>
    </w:lvl>
    <w:lvl w:ilvl="3" w:tplc="65AAB134">
      <w:numFmt w:val="bullet"/>
      <w:lvlText w:val="•"/>
      <w:lvlJc w:val="left"/>
      <w:pPr>
        <w:ind w:left="3916" w:hanging="224"/>
      </w:pPr>
      <w:rPr>
        <w:rFonts w:hint="default"/>
        <w:lang w:val="es-ES" w:eastAsia="en-US" w:bidi="ar-SA"/>
      </w:rPr>
    </w:lvl>
    <w:lvl w:ilvl="4" w:tplc="A77826AA">
      <w:numFmt w:val="bullet"/>
      <w:lvlText w:val="•"/>
      <w:lvlJc w:val="left"/>
      <w:pPr>
        <w:ind w:left="4855" w:hanging="224"/>
      </w:pPr>
      <w:rPr>
        <w:rFonts w:hint="default"/>
        <w:lang w:val="es-ES" w:eastAsia="en-US" w:bidi="ar-SA"/>
      </w:rPr>
    </w:lvl>
    <w:lvl w:ilvl="5" w:tplc="91001976">
      <w:numFmt w:val="bullet"/>
      <w:lvlText w:val="•"/>
      <w:lvlJc w:val="left"/>
      <w:pPr>
        <w:ind w:left="5794" w:hanging="224"/>
      </w:pPr>
      <w:rPr>
        <w:rFonts w:hint="default"/>
        <w:lang w:val="es-ES" w:eastAsia="en-US" w:bidi="ar-SA"/>
      </w:rPr>
    </w:lvl>
    <w:lvl w:ilvl="6" w:tplc="26308D32">
      <w:numFmt w:val="bullet"/>
      <w:lvlText w:val="•"/>
      <w:lvlJc w:val="left"/>
      <w:pPr>
        <w:ind w:left="6733" w:hanging="224"/>
      </w:pPr>
      <w:rPr>
        <w:rFonts w:hint="default"/>
        <w:lang w:val="es-ES" w:eastAsia="en-US" w:bidi="ar-SA"/>
      </w:rPr>
    </w:lvl>
    <w:lvl w:ilvl="7" w:tplc="44248808">
      <w:numFmt w:val="bullet"/>
      <w:lvlText w:val="•"/>
      <w:lvlJc w:val="left"/>
      <w:pPr>
        <w:ind w:left="7672" w:hanging="224"/>
      </w:pPr>
      <w:rPr>
        <w:rFonts w:hint="default"/>
        <w:lang w:val="es-ES" w:eastAsia="en-US" w:bidi="ar-SA"/>
      </w:rPr>
    </w:lvl>
    <w:lvl w:ilvl="8" w:tplc="022E1CD4">
      <w:numFmt w:val="bullet"/>
      <w:lvlText w:val="•"/>
      <w:lvlJc w:val="left"/>
      <w:pPr>
        <w:ind w:left="8611" w:hanging="224"/>
      </w:pPr>
      <w:rPr>
        <w:rFonts w:hint="default"/>
        <w:lang w:val="es-ES" w:eastAsia="en-US" w:bidi="ar-SA"/>
      </w:rPr>
    </w:lvl>
  </w:abstractNum>
  <w:abstractNum w:abstractNumId="232" w15:restartNumberingAfterBreak="0">
    <w:nsid w:val="561770FF"/>
    <w:multiLevelType w:val="hybridMultilevel"/>
    <w:tmpl w:val="706EB134"/>
    <w:lvl w:ilvl="0" w:tplc="941EE872">
      <w:start w:val="1"/>
      <w:numFmt w:val="decimal"/>
      <w:lvlText w:val="%1."/>
      <w:lvlJc w:val="left"/>
      <w:pPr>
        <w:ind w:left="1614" w:hanging="168"/>
        <w:jc w:val="left"/>
      </w:pPr>
      <w:rPr>
        <w:rFonts w:ascii="Arial MT" w:eastAsia="Arial MT" w:hAnsi="Arial MT" w:cs="Arial MT" w:hint="default"/>
        <w:b w:val="0"/>
        <w:bCs w:val="0"/>
        <w:i w:val="0"/>
        <w:iCs w:val="0"/>
        <w:spacing w:val="-1"/>
        <w:w w:val="97"/>
        <w:sz w:val="18"/>
        <w:szCs w:val="18"/>
        <w:lang w:val="es-ES" w:eastAsia="en-US" w:bidi="ar-SA"/>
      </w:rPr>
    </w:lvl>
    <w:lvl w:ilvl="1" w:tplc="DC262C90">
      <w:start w:val="1"/>
      <w:numFmt w:val="lowerLetter"/>
      <w:lvlText w:val="%2)"/>
      <w:lvlJc w:val="left"/>
      <w:pPr>
        <w:ind w:left="1106" w:hanging="283"/>
        <w:jc w:val="left"/>
      </w:pPr>
      <w:rPr>
        <w:rFonts w:ascii="Arial MT" w:eastAsia="Arial MT" w:hAnsi="Arial MT" w:cs="Arial MT" w:hint="default"/>
        <w:b w:val="0"/>
        <w:bCs w:val="0"/>
        <w:i w:val="0"/>
        <w:iCs w:val="0"/>
        <w:spacing w:val="0"/>
        <w:w w:val="100"/>
        <w:sz w:val="20"/>
        <w:szCs w:val="20"/>
        <w:lang w:val="es-ES" w:eastAsia="en-US" w:bidi="ar-SA"/>
      </w:rPr>
    </w:lvl>
    <w:lvl w:ilvl="2" w:tplc="1FD48B5A">
      <w:numFmt w:val="bullet"/>
      <w:lvlText w:val="•"/>
      <w:lvlJc w:val="left"/>
      <w:pPr>
        <w:ind w:left="2605" w:hanging="283"/>
      </w:pPr>
      <w:rPr>
        <w:rFonts w:hint="default"/>
        <w:lang w:val="es-ES" w:eastAsia="en-US" w:bidi="ar-SA"/>
      </w:rPr>
    </w:lvl>
    <w:lvl w:ilvl="3" w:tplc="9A0C50BE">
      <w:numFmt w:val="bullet"/>
      <w:lvlText w:val="•"/>
      <w:lvlJc w:val="left"/>
      <w:pPr>
        <w:ind w:left="3591" w:hanging="283"/>
      </w:pPr>
      <w:rPr>
        <w:rFonts w:hint="default"/>
        <w:lang w:val="es-ES" w:eastAsia="en-US" w:bidi="ar-SA"/>
      </w:rPr>
    </w:lvl>
    <w:lvl w:ilvl="4" w:tplc="13EED106">
      <w:numFmt w:val="bullet"/>
      <w:lvlText w:val="•"/>
      <w:lvlJc w:val="left"/>
      <w:pPr>
        <w:ind w:left="4576" w:hanging="283"/>
      </w:pPr>
      <w:rPr>
        <w:rFonts w:hint="default"/>
        <w:lang w:val="es-ES" w:eastAsia="en-US" w:bidi="ar-SA"/>
      </w:rPr>
    </w:lvl>
    <w:lvl w:ilvl="5" w:tplc="8D4AD970">
      <w:numFmt w:val="bullet"/>
      <w:lvlText w:val="•"/>
      <w:lvlJc w:val="left"/>
      <w:pPr>
        <w:ind w:left="5562" w:hanging="283"/>
      </w:pPr>
      <w:rPr>
        <w:rFonts w:hint="default"/>
        <w:lang w:val="es-ES" w:eastAsia="en-US" w:bidi="ar-SA"/>
      </w:rPr>
    </w:lvl>
    <w:lvl w:ilvl="6" w:tplc="3ACABAA6">
      <w:numFmt w:val="bullet"/>
      <w:lvlText w:val="•"/>
      <w:lvlJc w:val="left"/>
      <w:pPr>
        <w:ind w:left="6547" w:hanging="283"/>
      </w:pPr>
      <w:rPr>
        <w:rFonts w:hint="default"/>
        <w:lang w:val="es-ES" w:eastAsia="en-US" w:bidi="ar-SA"/>
      </w:rPr>
    </w:lvl>
    <w:lvl w:ilvl="7" w:tplc="2138DDB8">
      <w:numFmt w:val="bullet"/>
      <w:lvlText w:val="•"/>
      <w:lvlJc w:val="left"/>
      <w:pPr>
        <w:ind w:left="7533" w:hanging="283"/>
      </w:pPr>
      <w:rPr>
        <w:rFonts w:hint="default"/>
        <w:lang w:val="es-ES" w:eastAsia="en-US" w:bidi="ar-SA"/>
      </w:rPr>
    </w:lvl>
    <w:lvl w:ilvl="8" w:tplc="A10CBE0A">
      <w:numFmt w:val="bullet"/>
      <w:lvlText w:val="•"/>
      <w:lvlJc w:val="left"/>
      <w:pPr>
        <w:ind w:left="8518" w:hanging="283"/>
      </w:pPr>
      <w:rPr>
        <w:rFonts w:hint="default"/>
        <w:lang w:val="es-ES" w:eastAsia="en-US" w:bidi="ar-SA"/>
      </w:rPr>
    </w:lvl>
  </w:abstractNum>
  <w:abstractNum w:abstractNumId="233" w15:restartNumberingAfterBreak="0">
    <w:nsid w:val="561D5764"/>
    <w:multiLevelType w:val="hybridMultilevel"/>
    <w:tmpl w:val="B2645402"/>
    <w:lvl w:ilvl="0" w:tplc="3D183F60">
      <w:start w:val="1"/>
      <w:numFmt w:val="decimal"/>
      <w:lvlText w:val="%1."/>
      <w:lvlJc w:val="left"/>
      <w:pPr>
        <w:ind w:left="1106" w:hanging="224"/>
        <w:jc w:val="left"/>
      </w:pPr>
      <w:rPr>
        <w:rFonts w:ascii="Arial MT" w:eastAsia="Arial MT" w:hAnsi="Arial MT" w:cs="Arial MT" w:hint="default"/>
        <w:b w:val="0"/>
        <w:bCs w:val="0"/>
        <w:i w:val="0"/>
        <w:iCs w:val="0"/>
        <w:spacing w:val="0"/>
        <w:w w:val="100"/>
        <w:sz w:val="20"/>
        <w:szCs w:val="20"/>
        <w:lang w:val="es-ES" w:eastAsia="en-US" w:bidi="ar-SA"/>
      </w:rPr>
    </w:lvl>
    <w:lvl w:ilvl="1" w:tplc="C7E63CD8">
      <w:numFmt w:val="bullet"/>
      <w:lvlText w:val="•"/>
      <w:lvlJc w:val="left"/>
      <w:pPr>
        <w:ind w:left="2038" w:hanging="224"/>
      </w:pPr>
      <w:rPr>
        <w:rFonts w:hint="default"/>
        <w:lang w:val="es-ES" w:eastAsia="en-US" w:bidi="ar-SA"/>
      </w:rPr>
    </w:lvl>
    <w:lvl w:ilvl="2" w:tplc="7BEA26DE">
      <w:numFmt w:val="bullet"/>
      <w:lvlText w:val="•"/>
      <w:lvlJc w:val="left"/>
      <w:pPr>
        <w:ind w:left="2977" w:hanging="224"/>
      </w:pPr>
      <w:rPr>
        <w:rFonts w:hint="default"/>
        <w:lang w:val="es-ES" w:eastAsia="en-US" w:bidi="ar-SA"/>
      </w:rPr>
    </w:lvl>
    <w:lvl w:ilvl="3" w:tplc="84C4E56E">
      <w:numFmt w:val="bullet"/>
      <w:lvlText w:val="•"/>
      <w:lvlJc w:val="left"/>
      <w:pPr>
        <w:ind w:left="3916" w:hanging="224"/>
      </w:pPr>
      <w:rPr>
        <w:rFonts w:hint="default"/>
        <w:lang w:val="es-ES" w:eastAsia="en-US" w:bidi="ar-SA"/>
      </w:rPr>
    </w:lvl>
    <w:lvl w:ilvl="4" w:tplc="51DE25C6">
      <w:numFmt w:val="bullet"/>
      <w:lvlText w:val="•"/>
      <w:lvlJc w:val="left"/>
      <w:pPr>
        <w:ind w:left="4855" w:hanging="224"/>
      </w:pPr>
      <w:rPr>
        <w:rFonts w:hint="default"/>
        <w:lang w:val="es-ES" w:eastAsia="en-US" w:bidi="ar-SA"/>
      </w:rPr>
    </w:lvl>
    <w:lvl w:ilvl="5" w:tplc="608EA154">
      <w:numFmt w:val="bullet"/>
      <w:lvlText w:val="•"/>
      <w:lvlJc w:val="left"/>
      <w:pPr>
        <w:ind w:left="5794" w:hanging="224"/>
      </w:pPr>
      <w:rPr>
        <w:rFonts w:hint="default"/>
        <w:lang w:val="es-ES" w:eastAsia="en-US" w:bidi="ar-SA"/>
      </w:rPr>
    </w:lvl>
    <w:lvl w:ilvl="6" w:tplc="AAEA4328">
      <w:numFmt w:val="bullet"/>
      <w:lvlText w:val="•"/>
      <w:lvlJc w:val="left"/>
      <w:pPr>
        <w:ind w:left="6733" w:hanging="224"/>
      </w:pPr>
      <w:rPr>
        <w:rFonts w:hint="default"/>
        <w:lang w:val="es-ES" w:eastAsia="en-US" w:bidi="ar-SA"/>
      </w:rPr>
    </w:lvl>
    <w:lvl w:ilvl="7" w:tplc="A94442CA">
      <w:numFmt w:val="bullet"/>
      <w:lvlText w:val="•"/>
      <w:lvlJc w:val="left"/>
      <w:pPr>
        <w:ind w:left="7672" w:hanging="224"/>
      </w:pPr>
      <w:rPr>
        <w:rFonts w:hint="default"/>
        <w:lang w:val="es-ES" w:eastAsia="en-US" w:bidi="ar-SA"/>
      </w:rPr>
    </w:lvl>
    <w:lvl w:ilvl="8" w:tplc="A45A9F00">
      <w:numFmt w:val="bullet"/>
      <w:lvlText w:val="•"/>
      <w:lvlJc w:val="left"/>
      <w:pPr>
        <w:ind w:left="8611" w:hanging="224"/>
      </w:pPr>
      <w:rPr>
        <w:rFonts w:hint="default"/>
        <w:lang w:val="es-ES" w:eastAsia="en-US" w:bidi="ar-SA"/>
      </w:rPr>
    </w:lvl>
  </w:abstractNum>
  <w:abstractNum w:abstractNumId="234" w15:restartNumberingAfterBreak="0">
    <w:nsid w:val="564D1B13"/>
    <w:multiLevelType w:val="hybridMultilevel"/>
    <w:tmpl w:val="CC208566"/>
    <w:lvl w:ilvl="0" w:tplc="0C5C8F5A">
      <w:start w:val="1"/>
      <w:numFmt w:val="decimal"/>
      <w:lvlText w:val="%1."/>
      <w:lvlJc w:val="left"/>
      <w:pPr>
        <w:ind w:left="1106" w:hanging="242"/>
        <w:jc w:val="left"/>
      </w:pPr>
      <w:rPr>
        <w:rFonts w:ascii="Arial MT" w:eastAsia="Arial MT" w:hAnsi="Arial MT" w:cs="Arial MT" w:hint="default"/>
        <w:b w:val="0"/>
        <w:bCs w:val="0"/>
        <w:i w:val="0"/>
        <w:iCs w:val="0"/>
        <w:spacing w:val="0"/>
        <w:w w:val="100"/>
        <w:sz w:val="20"/>
        <w:szCs w:val="20"/>
        <w:lang w:val="es-ES" w:eastAsia="en-US" w:bidi="ar-SA"/>
      </w:rPr>
    </w:lvl>
    <w:lvl w:ilvl="1" w:tplc="13449C3A">
      <w:numFmt w:val="bullet"/>
      <w:lvlText w:val="•"/>
      <w:lvlJc w:val="left"/>
      <w:pPr>
        <w:ind w:left="2038" w:hanging="242"/>
      </w:pPr>
      <w:rPr>
        <w:rFonts w:hint="default"/>
        <w:lang w:val="es-ES" w:eastAsia="en-US" w:bidi="ar-SA"/>
      </w:rPr>
    </w:lvl>
    <w:lvl w:ilvl="2" w:tplc="02968C62">
      <w:numFmt w:val="bullet"/>
      <w:lvlText w:val="•"/>
      <w:lvlJc w:val="left"/>
      <w:pPr>
        <w:ind w:left="2977" w:hanging="242"/>
      </w:pPr>
      <w:rPr>
        <w:rFonts w:hint="default"/>
        <w:lang w:val="es-ES" w:eastAsia="en-US" w:bidi="ar-SA"/>
      </w:rPr>
    </w:lvl>
    <w:lvl w:ilvl="3" w:tplc="2FAC4F96">
      <w:numFmt w:val="bullet"/>
      <w:lvlText w:val="•"/>
      <w:lvlJc w:val="left"/>
      <w:pPr>
        <w:ind w:left="3916" w:hanging="242"/>
      </w:pPr>
      <w:rPr>
        <w:rFonts w:hint="default"/>
        <w:lang w:val="es-ES" w:eastAsia="en-US" w:bidi="ar-SA"/>
      </w:rPr>
    </w:lvl>
    <w:lvl w:ilvl="4" w:tplc="A566BF14">
      <w:numFmt w:val="bullet"/>
      <w:lvlText w:val="•"/>
      <w:lvlJc w:val="left"/>
      <w:pPr>
        <w:ind w:left="4855" w:hanging="242"/>
      </w:pPr>
      <w:rPr>
        <w:rFonts w:hint="default"/>
        <w:lang w:val="es-ES" w:eastAsia="en-US" w:bidi="ar-SA"/>
      </w:rPr>
    </w:lvl>
    <w:lvl w:ilvl="5" w:tplc="173E1578">
      <w:numFmt w:val="bullet"/>
      <w:lvlText w:val="•"/>
      <w:lvlJc w:val="left"/>
      <w:pPr>
        <w:ind w:left="5794" w:hanging="242"/>
      </w:pPr>
      <w:rPr>
        <w:rFonts w:hint="default"/>
        <w:lang w:val="es-ES" w:eastAsia="en-US" w:bidi="ar-SA"/>
      </w:rPr>
    </w:lvl>
    <w:lvl w:ilvl="6" w:tplc="0DF85382">
      <w:numFmt w:val="bullet"/>
      <w:lvlText w:val="•"/>
      <w:lvlJc w:val="left"/>
      <w:pPr>
        <w:ind w:left="6733" w:hanging="242"/>
      </w:pPr>
      <w:rPr>
        <w:rFonts w:hint="default"/>
        <w:lang w:val="es-ES" w:eastAsia="en-US" w:bidi="ar-SA"/>
      </w:rPr>
    </w:lvl>
    <w:lvl w:ilvl="7" w:tplc="027EEB98">
      <w:numFmt w:val="bullet"/>
      <w:lvlText w:val="•"/>
      <w:lvlJc w:val="left"/>
      <w:pPr>
        <w:ind w:left="7672" w:hanging="242"/>
      </w:pPr>
      <w:rPr>
        <w:rFonts w:hint="default"/>
        <w:lang w:val="es-ES" w:eastAsia="en-US" w:bidi="ar-SA"/>
      </w:rPr>
    </w:lvl>
    <w:lvl w:ilvl="8" w:tplc="A628E0A0">
      <w:numFmt w:val="bullet"/>
      <w:lvlText w:val="•"/>
      <w:lvlJc w:val="left"/>
      <w:pPr>
        <w:ind w:left="8611" w:hanging="242"/>
      </w:pPr>
      <w:rPr>
        <w:rFonts w:hint="default"/>
        <w:lang w:val="es-ES" w:eastAsia="en-US" w:bidi="ar-SA"/>
      </w:rPr>
    </w:lvl>
  </w:abstractNum>
  <w:abstractNum w:abstractNumId="235" w15:restartNumberingAfterBreak="0">
    <w:nsid w:val="56EF5092"/>
    <w:multiLevelType w:val="hybridMultilevel"/>
    <w:tmpl w:val="6AF6EEEA"/>
    <w:lvl w:ilvl="0" w:tplc="19809F1E">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D01C3D6A">
      <w:start w:val="1"/>
      <w:numFmt w:val="lowerLetter"/>
      <w:lvlText w:val="%2)"/>
      <w:lvlJc w:val="left"/>
      <w:pPr>
        <w:ind w:left="1106" w:hanging="289"/>
        <w:jc w:val="left"/>
      </w:pPr>
      <w:rPr>
        <w:rFonts w:ascii="Arial MT" w:eastAsia="Arial MT" w:hAnsi="Arial MT" w:cs="Arial MT" w:hint="default"/>
        <w:b w:val="0"/>
        <w:bCs w:val="0"/>
        <w:i w:val="0"/>
        <w:iCs w:val="0"/>
        <w:spacing w:val="0"/>
        <w:w w:val="100"/>
        <w:sz w:val="20"/>
        <w:szCs w:val="20"/>
        <w:lang w:val="es-ES" w:eastAsia="en-US" w:bidi="ar-SA"/>
      </w:rPr>
    </w:lvl>
    <w:lvl w:ilvl="2" w:tplc="60DA15CC">
      <w:numFmt w:val="bullet"/>
      <w:lvlText w:val="•"/>
      <w:lvlJc w:val="left"/>
      <w:pPr>
        <w:ind w:left="2658" w:hanging="289"/>
      </w:pPr>
      <w:rPr>
        <w:rFonts w:hint="default"/>
        <w:lang w:val="es-ES" w:eastAsia="en-US" w:bidi="ar-SA"/>
      </w:rPr>
    </w:lvl>
    <w:lvl w:ilvl="3" w:tplc="82A8D0EA">
      <w:numFmt w:val="bullet"/>
      <w:lvlText w:val="•"/>
      <w:lvlJc w:val="left"/>
      <w:pPr>
        <w:ind w:left="3637" w:hanging="289"/>
      </w:pPr>
      <w:rPr>
        <w:rFonts w:hint="default"/>
        <w:lang w:val="es-ES" w:eastAsia="en-US" w:bidi="ar-SA"/>
      </w:rPr>
    </w:lvl>
    <w:lvl w:ilvl="4" w:tplc="4AA8879C">
      <w:numFmt w:val="bullet"/>
      <w:lvlText w:val="•"/>
      <w:lvlJc w:val="left"/>
      <w:pPr>
        <w:ind w:left="4616" w:hanging="289"/>
      </w:pPr>
      <w:rPr>
        <w:rFonts w:hint="default"/>
        <w:lang w:val="es-ES" w:eastAsia="en-US" w:bidi="ar-SA"/>
      </w:rPr>
    </w:lvl>
    <w:lvl w:ilvl="5" w:tplc="F024598A">
      <w:numFmt w:val="bullet"/>
      <w:lvlText w:val="•"/>
      <w:lvlJc w:val="left"/>
      <w:pPr>
        <w:ind w:left="5595" w:hanging="289"/>
      </w:pPr>
      <w:rPr>
        <w:rFonts w:hint="default"/>
        <w:lang w:val="es-ES" w:eastAsia="en-US" w:bidi="ar-SA"/>
      </w:rPr>
    </w:lvl>
    <w:lvl w:ilvl="6" w:tplc="8BCEDA6E">
      <w:numFmt w:val="bullet"/>
      <w:lvlText w:val="•"/>
      <w:lvlJc w:val="left"/>
      <w:pPr>
        <w:ind w:left="6574" w:hanging="289"/>
      </w:pPr>
      <w:rPr>
        <w:rFonts w:hint="default"/>
        <w:lang w:val="es-ES" w:eastAsia="en-US" w:bidi="ar-SA"/>
      </w:rPr>
    </w:lvl>
    <w:lvl w:ilvl="7" w:tplc="68F88F2A">
      <w:numFmt w:val="bullet"/>
      <w:lvlText w:val="•"/>
      <w:lvlJc w:val="left"/>
      <w:pPr>
        <w:ind w:left="7553" w:hanging="289"/>
      </w:pPr>
      <w:rPr>
        <w:rFonts w:hint="default"/>
        <w:lang w:val="es-ES" w:eastAsia="en-US" w:bidi="ar-SA"/>
      </w:rPr>
    </w:lvl>
    <w:lvl w:ilvl="8" w:tplc="CDB05A9C">
      <w:numFmt w:val="bullet"/>
      <w:lvlText w:val="•"/>
      <w:lvlJc w:val="left"/>
      <w:pPr>
        <w:ind w:left="8531" w:hanging="289"/>
      </w:pPr>
      <w:rPr>
        <w:rFonts w:hint="default"/>
        <w:lang w:val="es-ES" w:eastAsia="en-US" w:bidi="ar-SA"/>
      </w:rPr>
    </w:lvl>
  </w:abstractNum>
  <w:abstractNum w:abstractNumId="236" w15:restartNumberingAfterBreak="0">
    <w:nsid w:val="57D36F9F"/>
    <w:multiLevelType w:val="hybridMultilevel"/>
    <w:tmpl w:val="F19A3B2A"/>
    <w:lvl w:ilvl="0" w:tplc="48984B8C">
      <w:start w:val="1"/>
      <w:numFmt w:val="decimal"/>
      <w:lvlText w:val="%1."/>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1" w:tplc="8BB6605C">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47422B92">
      <w:numFmt w:val="bullet"/>
      <w:lvlText w:val="•"/>
      <w:lvlJc w:val="left"/>
      <w:pPr>
        <w:ind w:left="2977" w:hanging="252"/>
      </w:pPr>
      <w:rPr>
        <w:rFonts w:hint="default"/>
        <w:lang w:val="es-ES" w:eastAsia="en-US" w:bidi="ar-SA"/>
      </w:rPr>
    </w:lvl>
    <w:lvl w:ilvl="3" w:tplc="F0884F2E">
      <w:numFmt w:val="bullet"/>
      <w:lvlText w:val="•"/>
      <w:lvlJc w:val="left"/>
      <w:pPr>
        <w:ind w:left="3916" w:hanging="252"/>
      </w:pPr>
      <w:rPr>
        <w:rFonts w:hint="default"/>
        <w:lang w:val="es-ES" w:eastAsia="en-US" w:bidi="ar-SA"/>
      </w:rPr>
    </w:lvl>
    <w:lvl w:ilvl="4" w:tplc="05306724">
      <w:numFmt w:val="bullet"/>
      <w:lvlText w:val="•"/>
      <w:lvlJc w:val="left"/>
      <w:pPr>
        <w:ind w:left="4855" w:hanging="252"/>
      </w:pPr>
      <w:rPr>
        <w:rFonts w:hint="default"/>
        <w:lang w:val="es-ES" w:eastAsia="en-US" w:bidi="ar-SA"/>
      </w:rPr>
    </w:lvl>
    <w:lvl w:ilvl="5" w:tplc="3CA01ED4">
      <w:numFmt w:val="bullet"/>
      <w:lvlText w:val="•"/>
      <w:lvlJc w:val="left"/>
      <w:pPr>
        <w:ind w:left="5794" w:hanging="252"/>
      </w:pPr>
      <w:rPr>
        <w:rFonts w:hint="default"/>
        <w:lang w:val="es-ES" w:eastAsia="en-US" w:bidi="ar-SA"/>
      </w:rPr>
    </w:lvl>
    <w:lvl w:ilvl="6" w:tplc="F172638A">
      <w:numFmt w:val="bullet"/>
      <w:lvlText w:val="•"/>
      <w:lvlJc w:val="left"/>
      <w:pPr>
        <w:ind w:left="6733" w:hanging="252"/>
      </w:pPr>
      <w:rPr>
        <w:rFonts w:hint="default"/>
        <w:lang w:val="es-ES" w:eastAsia="en-US" w:bidi="ar-SA"/>
      </w:rPr>
    </w:lvl>
    <w:lvl w:ilvl="7" w:tplc="17162472">
      <w:numFmt w:val="bullet"/>
      <w:lvlText w:val="•"/>
      <w:lvlJc w:val="left"/>
      <w:pPr>
        <w:ind w:left="7672" w:hanging="252"/>
      </w:pPr>
      <w:rPr>
        <w:rFonts w:hint="default"/>
        <w:lang w:val="es-ES" w:eastAsia="en-US" w:bidi="ar-SA"/>
      </w:rPr>
    </w:lvl>
    <w:lvl w:ilvl="8" w:tplc="7EC85620">
      <w:numFmt w:val="bullet"/>
      <w:lvlText w:val="•"/>
      <w:lvlJc w:val="left"/>
      <w:pPr>
        <w:ind w:left="8611" w:hanging="252"/>
      </w:pPr>
      <w:rPr>
        <w:rFonts w:hint="default"/>
        <w:lang w:val="es-ES" w:eastAsia="en-US" w:bidi="ar-SA"/>
      </w:rPr>
    </w:lvl>
  </w:abstractNum>
  <w:abstractNum w:abstractNumId="237" w15:restartNumberingAfterBreak="0">
    <w:nsid w:val="58B96C8A"/>
    <w:multiLevelType w:val="hybridMultilevel"/>
    <w:tmpl w:val="6B46BD4E"/>
    <w:lvl w:ilvl="0" w:tplc="CB40D4B0">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DE587288">
      <w:numFmt w:val="bullet"/>
      <w:lvlText w:val="•"/>
      <w:lvlJc w:val="left"/>
      <w:pPr>
        <w:ind w:left="2038" w:hanging="232"/>
      </w:pPr>
      <w:rPr>
        <w:rFonts w:hint="default"/>
        <w:lang w:val="es-ES" w:eastAsia="en-US" w:bidi="ar-SA"/>
      </w:rPr>
    </w:lvl>
    <w:lvl w:ilvl="2" w:tplc="3F54EC84">
      <w:numFmt w:val="bullet"/>
      <w:lvlText w:val="•"/>
      <w:lvlJc w:val="left"/>
      <w:pPr>
        <w:ind w:left="2977" w:hanging="232"/>
      </w:pPr>
      <w:rPr>
        <w:rFonts w:hint="default"/>
        <w:lang w:val="es-ES" w:eastAsia="en-US" w:bidi="ar-SA"/>
      </w:rPr>
    </w:lvl>
    <w:lvl w:ilvl="3" w:tplc="02503842">
      <w:numFmt w:val="bullet"/>
      <w:lvlText w:val="•"/>
      <w:lvlJc w:val="left"/>
      <w:pPr>
        <w:ind w:left="3916" w:hanging="232"/>
      </w:pPr>
      <w:rPr>
        <w:rFonts w:hint="default"/>
        <w:lang w:val="es-ES" w:eastAsia="en-US" w:bidi="ar-SA"/>
      </w:rPr>
    </w:lvl>
    <w:lvl w:ilvl="4" w:tplc="941212C2">
      <w:numFmt w:val="bullet"/>
      <w:lvlText w:val="•"/>
      <w:lvlJc w:val="left"/>
      <w:pPr>
        <w:ind w:left="4855" w:hanging="232"/>
      </w:pPr>
      <w:rPr>
        <w:rFonts w:hint="default"/>
        <w:lang w:val="es-ES" w:eastAsia="en-US" w:bidi="ar-SA"/>
      </w:rPr>
    </w:lvl>
    <w:lvl w:ilvl="5" w:tplc="19ECC298">
      <w:numFmt w:val="bullet"/>
      <w:lvlText w:val="•"/>
      <w:lvlJc w:val="left"/>
      <w:pPr>
        <w:ind w:left="5794" w:hanging="232"/>
      </w:pPr>
      <w:rPr>
        <w:rFonts w:hint="default"/>
        <w:lang w:val="es-ES" w:eastAsia="en-US" w:bidi="ar-SA"/>
      </w:rPr>
    </w:lvl>
    <w:lvl w:ilvl="6" w:tplc="B9FEDBC2">
      <w:numFmt w:val="bullet"/>
      <w:lvlText w:val="•"/>
      <w:lvlJc w:val="left"/>
      <w:pPr>
        <w:ind w:left="6733" w:hanging="232"/>
      </w:pPr>
      <w:rPr>
        <w:rFonts w:hint="default"/>
        <w:lang w:val="es-ES" w:eastAsia="en-US" w:bidi="ar-SA"/>
      </w:rPr>
    </w:lvl>
    <w:lvl w:ilvl="7" w:tplc="31C4871C">
      <w:numFmt w:val="bullet"/>
      <w:lvlText w:val="•"/>
      <w:lvlJc w:val="left"/>
      <w:pPr>
        <w:ind w:left="7672" w:hanging="232"/>
      </w:pPr>
      <w:rPr>
        <w:rFonts w:hint="default"/>
        <w:lang w:val="es-ES" w:eastAsia="en-US" w:bidi="ar-SA"/>
      </w:rPr>
    </w:lvl>
    <w:lvl w:ilvl="8" w:tplc="C18E1C2C">
      <w:numFmt w:val="bullet"/>
      <w:lvlText w:val="•"/>
      <w:lvlJc w:val="left"/>
      <w:pPr>
        <w:ind w:left="8611" w:hanging="232"/>
      </w:pPr>
      <w:rPr>
        <w:rFonts w:hint="default"/>
        <w:lang w:val="es-ES" w:eastAsia="en-US" w:bidi="ar-SA"/>
      </w:rPr>
    </w:lvl>
  </w:abstractNum>
  <w:abstractNum w:abstractNumId="238" w15:restartNumberingAfterBreak="0">
    <w:nsid w:val="58D81AAC"/>
    <w:multiLevelType w:val="hybridMultilevel"/>
    <w:tmpl w:val="BE48649E"/>
    <w:lvl w:ilvl="0" w:tplc="6BE6E202">
      <w:start w:val="1"/>
      <w:numFmt w:val="decimal"/>
      <w:lvlText w:val="%1."/>
      <w:lvlJc w:val="left"/>
      <w:pPr>
        <w:ind w:left="1106" w:hanging="231"/>
        <w:jc w:val="left"/>
      </w:pPr>
      <w:rPr>
        <w:rFonts w:ascii="Arial MT" w:eastAsia="Arial MT" w:hAnsi="Arial MT" w:cs="Arial MT" w:hint="default"/>
        <w:b w:val="0"/>
        <w:bCs w:val="0"/>
        <w:i w:val="0"/>
        <w:iCs w:val="0"/>
        <w:spacing w:val="0"/>
        <w:w w:val="100"/>
        <w:sz w:val="20"/>
        <w:szCs w:val="20"/>
        <w:lang w:val="es-ES" w:eastAsia="en-US" w:bidi="ar-SA"/>
      </w:rPr>
    </w:lvl>
    <w:lvl w:ilvl="1" w:tplc="01E064FC">
      <w:start w:val="1"/>
      <w:numFmt w:val="lowerLetter"/>
      <w:lvlText w:val="%2)"/>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2" w:tplc="883E48A0">
      <w:numFmt w:val="bullet"/>
      <w:lvlText w:val="•"/>
      <w:lvlJc w:val="left"/>
      <w:pPr>
        <w:ind w:left="2977" w:hanging="270"/>
      </w:pPr>
      <w:rPr>
        <w:rFonts w:hint="default"/>
        <w:lang w:val="es-ES" w:eastAsia="en-US" w:bidi="ar-SA"/>
      </w:rPr>
    </w:lvl>
    <w:lvl w:ilvl="3" w:tplc="8ABA8512">
      <w:numFmt w:val="bullet"/>
      <w:lvlText w:val="•"/>
      <w:lvlJc w:val="left"/>
      <w:pPr>
        <w:ind w:left="3916" w:hanging="270"/>
      </w:pPr>
      <w:rPr>
        <w:rFonts w:hint="default"/>
        <w:lang w:val="es-ES" w:eastAsia="en-US" w:bidi="ar-SA"/>
      </w:rPr>
    </w:lvl>
    <w:lvl w:ilvl="4" w:tplc="A608160E">
      <w:numFmt w:val="bullet"/>
      <w:lvlText w:val="•"/>
      <w:lvlJc w:val="left"/>
      <w:pPr>
        <w:ind w:left="4855" w:hanging="270"/>
      </w:pPr>
      <w:rPr>
        <w:rFonts w:hint="default"/>
        <w:lang w:val="es-ES" w:eastAsia="en-US" w:bidi="ar-SA"/>
      </w:rPr>
    </w:lvl>
    <w:lvl w:ilvl="5" w:tplc="57FAA0FE">
      <w:numFmt w:val="bullet"/>
      <w:lvlText w:val="•"/>
      <w:lvlJc w:val="left"/>
      <w:pPr>
        <w:ind w:left="5794" w:hanging="270"/>
      </w:pPr>
      <w:rPr>
        <w:rFonts w:hint="default"/>
        <w:lang w:val="es-ES" w:eastAsia="en-US" w:bidi="ar-SA"/>
      </w:rPr>
    </w:lvl>
    <w:lvl w:ilvl="6" w:tplc="AA3C43AA">
      <w:numFmt w:val="bullet"/>
      <w:lvlText w:val="•"/>
      <w:lvlJc w:val="left"/>
      <w:pPr>
        <w:ind w:left="6733" w:hanging="270"/>
      </w:pPr>
      <w:rPr>
        <w:rFonts w:hint="default"/>
        <w:lang w:val="es-ES" w:eastAsia="en-US" w:bidi="ar-SA"/>
      </w:rPr>
    </w:lvl>
    <w:lvl w:ilvl="7" w:tplc="2CB0DB42">
      <w:numFmt w:val="bullet"/>
      <w:lvlText w:val="•"/>
      <w:lvlJc w:val="left"/>
      <w:pPr>
        <w:ind w:left="7672" w:hanging="270"/>
      </w:pPr>
      <w:rPr>
        <w:rFonts w:hint="default"/>
        <w:lang w:val="es-ES" w:eastAsia="en-US" w:bidi="ar-SA"/>
      </w:rPr>
    </w:lvl>
    <w:lvl w:ilvl="8" w:tplc="FB44F49C">
      <w:numFmt w:val="bullet"/>
      <w:lvlText w:val="•"/>
      <w:lvlJc w:val="left"/>
      <w:pPr>
        <w:ind w:left="8611" w:hanging="270"/>
      </w:pPr>
      <w:rPr>
        <w:rFonts w:hint="default"/>
        <w:lang w:val="es-ES" w:eastAsia="en-US" w:bidi="ar-SA"/>
      </w:rPr>
    </w:lvl>
  </w:abstractNum>
  <w:abstractNum w:abstractNumId="239" w15:restartNumberingAfterBreak="0">
    <w:nsid w:val="5920689B"/>
    <w:multiLevelType w:val="hybridMultilevel"/>
    <w:tmpl w:val="C2BE81B6"/>
    <w:lvl w:ilvl="0" w:tplc="A1604A0C">
      <w:start w:val="1"/>
      <w:numFmt w:val="decimal"/>
      <w:lvlText w:val="%1."/>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1" w:tplc="0CA44836">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CF404930">
      <w:numFmt w:val="bullet"/>
      <w:lvlText w:val="•"/>
      <w:lvlJc w:val="left"/>
      <w:pPr>
        <w:ind w:left="2658" w:hanging="234"/>
      </w:pPr>
      <w:rPr>
        <w:rFonts w:hint="default"/>
        <w:lang w:val="es-ES" w:eastAsia="en-US" w:bidi="ar-SA"/>
      </w:rPr>
    </w:lvl>
    <w:lvl w:ilvl="3" w:tplc="34E220F2">
      <w:numFmt w:val="bullet"/>
      <w:lvlText w:val="•"/>
      <w:lvlJc w:val="left"/>
      <w:pPr>
        <w:ind w:left="3637" w:hanging="234"/>
      </w:pPr>
      <w:rPr>
        <w:rFonts w:hint="default"/>
        <w:lang w:val="es-ES" w:eastAsia="en-US" w:bidi="ar-SA"/>
      </w:rPr>
    </w:lvl>
    <w:lvl w:ilvl="4" w:tplc="48660758">
      <w:numFmt w:val="bullet"/>
      <w:lvlText w:val="•"/>
      <w:lvlJc w:val="left"/>
      <w:pPr>
        <w:ind w:left="4616" w:hanging="234"/>
      </w:pPr>
      <w:rPr>
        <w:rFonts w:hint="default"/>
        <w:lang w:val="es-ES" w:eastAsia="en-US" w:bidi="ar-SA"/>
      </w:rPr>
    </w:lvl>
    <w:lvl w:ilvl="5" w:tplc="1E529708">
      <w:numFmt w:val="bullet"/>
      <w:lvlText w:val="•"/>
      <w:lvlJc w:val="left"/>
      <w:pPr>
        <w:ind w:left="5595" w:hanging="234"/>
      </w:pPr>
      <w:rPr>
        <w:rFonts w:hint="default"/>
        <w:lang w:val="es-ES" w:eastAsia="en-US" w:bidi="ar-SA"/>
      </w:rPr>
    </w:lvl>
    <w:lvl w:ilvl="6" w:tplc="7736E4CE">
      <w:numFmt w:val="bullet"/>
      <w:lvlText w:val="•"/>
      <w:lvlJc w:val="left"/>
      <w:pPr>
        <w:ind w:left="6574" w:hanging="234"/>
      </w:pPr>
      <w:rPr>
        <w:rFonts w:hint="default"/>
        <w:lang w:val="es-ES" w:eastAsia="en-US" w:bidi="ar-SA"/>
      </w:rPr>
    </w:lvl>
    <w:lvl w:ilvl="7" w:tplc="484ACE0C">
      <w:numFmt w:val="bullet"/>
      <w:lvlText w:val="•"/>
      <w:lvlJc w:val="left"/>
      <w:pPr>
        <w:ind w:left="7553" w:hanging="234"/>
      </w:pPr>
      <w:rPr>
        <w:rFonts w:hint="default"/>
        <w:lang w:val="es-ES" w:eastAsia="en-US" w:bidi="ar-SA"/>
      </w:rPr>
    </w:lvl>
    <w:lvl w:ilvl="8" w:tplc="489E6ADE">
      <w:numFmt w:val="bullet"/>
      <w:lvlText w:val="•"/>
      <w:lvlJc w:val="left"/>
      <w:pPr>
        <w:ind w:left="8531" w:hanging="234"/>
      </w:pPr>
      <w:rPr>
        <w:rFonts w:hint="default"/>
        <w:lang w:val="es-ES" w:eastAsia="en-US" w:bidi="ar-SA"/>
      </w:rPr>
    </w:lvl>
  </w:abstractNum>
  <w:abstractNum w:abstractNumId="240" w15:restartNumberingAfterBreak="0">
    <w:nsid w:val="59DB7062"/>
    <w:multiLevelType w:val="hybridMultilevel"/>
    <w:tmpl w:val="6AFA609E"/>
    <w:lvl w:ilvl="0" w:tplc="0ABADA86">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CDACDF4C">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F5427578">
      <w:numFmt w:val="bullet"/>
      <w:lvlText w:val="•"/>
      <w:lvlJc w:val="left"/>
      <w:pPr>
        <w:ind w:left="2977" w:hanging="252"/>
      </w:pPr>
      <w:rPr>
        <w:rFonts w:hint="default"/>
        <w:lang w:val="es-ES" w:eastAsia="en-US" w:bidi="ar-SA"/>
      </w:rPr>
    </w:lvl>
    <w:lvl w:ilvl="3" w:tplc="EE14F8F4">
      <w:numFmt w:val="bullet"/>
      <w:lvlText w:val="•"/>
      <w:lvlJc w:val="left"/>
      <w:pPr>
        <w:ind w:left="3916" w:hanging="252"/>
      </w:pPr>
      <w:rPr>
        <w:rFonts w:hint="default"/>
        <w:lang w:val="es-ES" w:eastAsia="en-US" w:bidi="ar-SA"/>
      </w:rPr>
    </w:lvl>
    <w:lvl w:ilvl="4" w:tplc="57BAE318">
      <w:numFmt w:val="bullet"/>
      <w:lvlText w:val="•"/>
      <w:lvlJc w:val="left"/>
      <w:pPr>
        <w:ind w:left="4855" w:hanging="252"/>
      </w:pPr>
      <w:rPr>
        <w:rFonts w:hint="default"/>
        <w:lang w:val="es-ES" w:eastAsia="en-US" w:bidi="ar-SA"/>
      </w:rPr>
    </w:lvl>
    <w:lvl w:ilvl="5" w:tplc="A30ECE6C">
      <w:numFmt w:val="bullet"/>
      <w:lvlText w:val="•"/>
      <w:lvlJc w:val="left"/>
      <w:pPr>
        <w:ind w:left="5794" w:hanging="252"/>
      </w:pPr>
      <w:rPr>
        <w:rFonts w:hint="default"/>
        <w:lang w:val="es-ES" w:eastAsia="en-US" w:bidi="ar-SA"/>
      </w:rPr>
    </w:lvl>
    <w:lvl w:ilvl="6" w:tplc="B4F469FA">
      <w:numFmt w:val="bullet"/>
      <w:lvlText w:val="•"/>
      <w:lvlJc w:val="left"/>
      <w:pPr>
        <w:ind w:left="6733" w:hanging="252"/>
      </w:pPr>
      <w:rPr>
        <w:rFonts w:hint="default"/>
        <w:lang w:val="es-ES" w:eastAsia="en-US" w:bidi="ar-SA"/>
      </w:rPr>
    </w:lvl>
    <w:lvl w:ilvl="7" w:tplc="0B2CE960">
      <w:numFmt w:val="bullet"/>
      <w:lvlText w:val="•"/>
      <w:lvlJc w:val="left"/>
      <w:pPr>
        <w:ind w:left="7672" w:hanging="252"/>
      </w:pPr>
      <w:rPr>
        <w:rFonts w:hint="default"/>
        <w:lang w:val="es-ES" w:eastAsia="en-US" w:bidi="ar-SA"/>
      </w:rPr>
    </w:lvl>
    <w:lvl w:ilvl="8" w:tplc="C4D01BF6">
      <w:numFmt w:val="bullet"/>
      <w:lvlText w:val="•"/>
      <w:lvlJc w:val="left"/>
      <w:pPr>
        <w:ind w:left="8611" w:hanging="252"/>
      </w:pPr>
      <w:rPr>
        <w:rFonts w:hint="default"/>
        <w:lang w:val="es-ES" w:eastAsia="en-US" w:bidi="ar-SA"/>
      </w:rPr>
    </w:lvl>
  </w:abstractNum>
  <w:abstractNum w:abstractNumId="241" w15:restartNumberingAfterBreak="0">
    <w:nsid w:val="5A8E377B"/>
    <w:multiLevelType w:val="hybridMultilevel"/>
    <w:tmpl w:val="597E8E34"/>
    <w:lvl w:ilvl="0" w:tplc="C666EF98">
      <w:start w:val="1"/>
      <w:numFmt w:val="decimal"/>
      <w:lvlText w:val="%1."/>
      <w:lvlJc w:val="left"/>
      <w:pPr>
        <w:ind w:left="1106" w:hanging="268"/>
        <w:jc w:val="left"/>
      </w:pPr>
      <w:rPr>
        <w:rFonts w:ascii="Arial MT" w:eastAsia="Arial MT" w:hAnsi="Arial MT" w:cs="Arial MT" w:hint="default"/>
        <w:b w:val="0"/>
        <w:bCs w:val="0"/>
        <w:i w:val="0"/>
        <w:iCs w:val="0"/>
        <w:spacing w:val="0"/>
        <w:w w:val="100"/>
        <w:sz w:val="20"/>
        <w:szCs w:val="20"/>
        <w:lang w:val="es-ES" w:eastAsia="en-US" w:bidi="ar-SA"/>
      </w:rPr>
    </w:lvl>
    <w:lvl w:ilvl="1" w:tplc="2D740842">
      <w:numFmt w:val="bullet"/>
      <w:lvlText w:val="•"/>
      <w:lvlJc w:val="left"/>
      <w:pPr>
        <w:ind w:left="2038" w:hanging="268"/>
      </w:pPr>
      <w:rPr>
        <w:rFonts w:hint="default"/>
        <w:lang w:val="es-ES" w:eastAsia="en-US" w:bidi="ar-SA"/>
      </w:rPr>
    </w:lvl>
    <w:lvl w:ilvl="2" w:tplc="0C1832E6">
      <w:numFmt w:val="bullet"/>
      <w:lvlText w:val="•"/>
      <w:lvlJc w:val="left"/>
      <w:pPr>
        <w:ind w:left="2977" w:hanging="268"/>
      </w:pPr>
      <w:rPr>
        <w:rFonts w:hint="default"/>
        <w:lang w:val="es-ES" w:eastAsia="en-US" w:bidi="ar-SA"/>
      </w:rPr>
    </w:lvl>
    <w:lvl w:ilvl="3" w:tplc="1756ADF6">
      <w:numFmt w:val="bullet"/>
      <w:lvlText w:val="•"/>
      <w:lvlJc w:val="left"/>
      <w:pPr>
        <w:ind w:left="3916" w:hanging="268"/>
      </w:pPr>
      <w:rPr>
        <w:rFonts w:hint="default"/>
        <w:lang w:val="es-ES" w:eastAsia="en-US" w:bidi="ar-SA"/>
      </w:rPr>
    </w:lvl>
    <w:lvl w:ilvl="4" w:tplc="67824CA0">
      <w:numFmt w:val="bullet"/>
      <w:lvlText w:val="•"/>
      <w:lvlJc w:val="left"/>
      <w:pPr>
        <w:ind w:left="4855" w:hanging="268"/>
      </w:pPr>
      <w:rPr>
        <w:rFonts w:hint="default"/>
        <w:lang w:val="es-ES" w:eastAsia="en-US" w:bidi="ar-SA"/>
      </w:rPr>
    </w:lvl>
    <w:lvl w:ilvl="5" w:tplc="EED4E2C2">
      <w:numFmt w:val="bullet"/>
      <w:lvlText w:val="•"/>
      <w:lvlJc w:val="left"/>
      <w:pPr>
        <w:ind w:left="5794" w:hanging="268"/>
      </w:pPr>
      <w:rPr>
        <w:rFonts w:hint="default"/>
        <w:lang w:val="es-ES" w:eastAsia="en-US" w:bidi="ar-SA"/>
      </w:rPr>
    </w:lvl>
    <w:lvl w:ilvl="6" w:tplc="AF26CC6E">
      <w:numFmt w:val="bullet"/>
      <w:lvlText w:val="•"/>
      <w:lvlJc w:val="left"/>
      <w:pPr>
        <w:ind w:left="6733" w:hanging="268"/>
      </w:pPr>
      <w:rPr>
        <w:rFonts w:hint="default"/>
        <w:lang w:val="es-ES" w:eastAsia="en-US" w:bidi="ar-SA"/>
      </w:rPr>
    </w:lvl>
    <w:lvl w:ilvl="7" w:tplc="31B8EB16">
      <w:numFmt w:val="bullet"/>
      <w:lvlText w:val="•"/>
      <w:lvlJc w:val="left"/>
      <w:pPr>
        <w:ind w:left="7672" w:hanging="268"/>
      </w:pPr>
      <w:rPr>
        <w:rFonts w:hint="default"/>
        <w:lang w:val="es-ES" w:eastAsia="en-US" w:bidi="ar-SA"/>
      </w:rPr>
    </w:lvl>
    <w:lvl w:ilvl="8" w:tplc="2FD41D0E">
      <w:numFmt w:val="bullet"/>
      <w:lvlText w:val="•"/>
      <w:lvlJc w:val="left"/>
      <w:pPr>
        <w:ind w:left="8611" w:hanging="268"/>
      </w:pPr>
      <w:rPr>
        <w:rFonts w:hint="default"/>
        <w:lang w:val="es-ES" w:eastAsia="en-US" w:bidi="ar-SA"/>
      </w:rPr>
    </w:lvl>
  </w:abstractNum>
  <w:abstractNum w:abstractNumId="242" w15:restartNumberingAfterBreak="0">
    <w:nsid w:val="5AEA1419"/>
    <w:multiLevelType w:val="hybridMultilevel"/>
    <w:tmpl w:val="84505CB4"/>
    <w:lvl w:ilvl="0" w:tplc="C41E4EE0">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75584970">
      <w:numFmt w:val="bullet"/>
      <w:lvlText w:val="•"/>
      <w:lvlJc w:val="left"/>
      <w:pPr>
        <w:ind w:left="2038" w:hanging="255"/>
      </w:pPr>
      <w:rPr>
        <w:rFonts w:hint="default"/>
        <w:lang w:val="es-ES" w:eastAsia="en-US" w:bidi="ar-SA"/>
      </w:rPr>
    </w:lvl>
    <w:lvl w:ilvl="2" w:tplc="C7582128">
      <w:numFmt w:val="bullet"/>
      <w:lvlText w:val="•"/>
      <w:lvlJc w:val="left"/>
      <w:pPr>
        <w:ind w:left="2977" w:hanging="255"/>
      </w:pPr>
      <w:rPr>
        <w:rFonts w:hint="default"/>
        <w:lang w:val="es-ES" w:eastAsia="en-US" w:bidi="ar-SA"/>
      </w:rPr>
    </w:lvl>
    <w:lvl w:ilvl="3" w:tplc="776E51C8">
      <w:numFmt w:val="bullet"/>
      <w:lvlText w:val="•"/>
      <w:lvlJc w:val="left"/>
      <w:pPr>
        <w:ind w:left="3916" w:hanging="255"/>
      </w:pPr>
      <w:rPr>
        <w:rFonts w:hint="default"/>
        <w:lang w:val="es-ES" w:eastAsia="en-US" w:bidi="ar-SA"/>
      </w:rPr>
    </w:lvl>
    <w:lvl w:ilvl="4" w:tplc="C6540738">
      <w:numFmt w:val="bullet"/>
      <w:lvlText w:val="•"/>
      <w:lvlJc w:val="left"/>
      <w:pPr>
        <w:ind w:left="4855" w:hanging="255"/>
      </w:pPr>
      <w:rPr>
        <w:rFonts w:hint="default"/>
        <w:lang w:val="es-ES" w:eastAsia="en-US" w:bidi="ar-SA"/>
      </w:rPr>
    </w:lvl>
    <w:lvl w:ilvl="5" w:tplc="6DA4C102">
      <w:numFmt w:val="bullet"/>
      <w:lvlText w:val="•"/>
      <w:lvlJc w:val="left"/>
      <w:pPr>
        <w:ind w:left="5794" w:hanging="255"/>
      </w:pPr>
      <w:rPr>
        <w:rFonts w:hint="default"/>
        <w:lang w:val="es-ES" w:eastAsia="en-US" w:bidi="ar-SA"/>
      </w:rPr>
    </w:lvl>
    <w:lvl w:ilvl="6" w:tplc="04F43E3C">
      <w:numFmt w:val="bullet"/>
      <w:lvlText w:val="•"/>
      <w:lvlJc w:val="left"/>
      <w:pPr>
        <w:ind w:left="6733" w:hanging="255"/>
      </w:pPr>
      <w:rPr>
        <w:rFonts w:hint="default"/>
        <w:lang w:val="es-ES" w:eastAsia="en-US" w:bidi="ar-SA"/>
      </w:rPr>
    </w:lvl>
    <w:lvl w:ilvl="7" w:tplc="F37EF256">
      <w:numFmt w:val="bullet"/>
      <w:lvlText w:val="•"/>
      <w:lvlJc w:val="left"/>
      <w:pPr>
        <w:ind w:left="7672" w:hanging="255"/>
      </w:pPr>
      <w:rPr>
        <w:rFonts w:hint="default"/>
        <w:lang w:val="es-ES" w:eastAsia="en-US" w:bidi="ar-SA"/>
      </w:rPr>
    </w:lvl>
    <w:lvl w:ilvl="8" w:tplc="7DEEA526">
      <w:numFmt w:val="bullet"/>
      <w:lvlText w:val="•"/>
      <w:lvlJc w:val="left"/>
      <w:pPr>
        <w:ind w:left="8611" w:hanging="255"/>
      </w:pPr>
      <w:rPr>
        <w:rFonts w:hint="default"/>
        <w:lang w:val="es-ES" w:eastAsia="en-US" w:bidi="ar-SA"/>
      </w:rPr>
    </w:lvl>
  </w:abstractNum>
  <w:abstractNum w:abstractNumId="243" w15:restartNumberingAfterBreak="0">
    <w:nsid w:val="5AF106D5"/>
    <w:multiLevelType w:val="hybridMultilevel"/>
    <w:tmpl w:val="92987CC0"/>
    <w:lvl w:ilvl="0" w:tplc="776856E0">
      <w:start w:val="1"/>
      <w:numFmt w:val="decimal"/>
      <w:lvlText w:val="%1."/>
      <w:lvlJc w:val="left"/>
      <w:pPr>
        <w:ind w:left="1106" w:hanging="227"/>
        <w:jc w:val="left"/>
      </w:pPr>
      <w:rPr>
        <w:rFonts w:ascii="Arial MT" w:eastAsia="Arial MT" w:hAnsi="Arial MT" w:cs="Arial MT" w:hint="default"/>
        <w:b w:val="0"/>
        <w:bCs w:val="0"/>
        <w:i w:val="0"/>
        <w:iCs w:val="0"/>
        <w:spacing w:val="0"/>
        <w:w w:val="100"/>
        <w:sz w:val="20"/>
        <w:szCs w:val="20"/>
        <w:lang w:val="es-ES" w:eastAsia="en-US" w:bidi="ar-SA"/>
      </w:rPr>
    </w:lvl>
    <w:lvl w:ilvl="1" w:tplc="44DC22EC">
      <w:start w:val="1"/>
      <w:numFmt w:val="lowerLetter"/>
      <w:lvlText w:val="%2)"/>
      <w:lvlJc w:val="left"/>
      <w:pPr>
        <w:ind w:left="1106" w:hanging="278"/>
        <w:jc w:val="left"/>
      </w:pPr>
      <w:rPr>
        <w:rFonts w:ascii="Arial MT" w:eastAsia="Arial MT" w:hAnsi="Arial MT" w:cs="Arial MT" w:hint="default"/>
        <w:b w:val="0"/>
        <w:bCs w:val="0"/>
        <w:i w:val="0"/>
        <w:iCs w:val="0"/>
        <w:spacing w:val="0"/>
        <w:w w:val="100"/>
        <w:sz w:val="20"/>
        <w:szCs w:val="20"/>
        <w:lang w:val="es-ES" w:eastAsia="en-US" w:bidi="ar-SA"/>
      </w:rPr>
    </w:lvl>
    <w:lvl w:ilvl="2" w:tplc="0CBE53F6">
      <w:numFmt w:val="bullet"/>
      <w:lvlText w:val="•"/>
      <w:lvlJc w:val="left"/>
      <w:pPr>
        <w:ind w:left="2977" w:hanging="278"/>
      </w:pPr>
      <w:rPr>
        <w:rFonts w:hint="default"/>
        <w:lang w:val="es-ES" w:eastAsia="en-US" w:bidi="ar-SA"/>
      </w:rPr>
    </w:lvl>
    <w:lvl w:ilvl="3" w:tplc="8256ACDA">
      <w:numFmt w:val="bullet"/>
      <w:lvlText w:val="•"/>
      <w:lvlJc w:val="left"/>
      <w:pPr>
        <w:ind w:left="3916" w:hanging="278"/>
      </w:pPr>
      <w:rPr>
        <w:rFonts w:hint="default"/>
        <w:lang w:val="es-ES" w:eastAsia="en-US" w:bidi="ar-SA"/>
      </w:rPr>
    </w:lvl>
    <w:lvl w:ilvl="4" w:tplc="A3C0669A">
      <w:numFmt w:val="bullet"/>
      <w:lvlText w:val="•"/>
      <w:lvlJc w:val="left"/>
      <w:pPr>
        <w:ind w:left="4855" w:hanging="278"/>
      </w:pPr>
      <w:rPr>
        <w:rFonts w:hint="default"/>
        <w:lang w:val="es-ES" w:eastAsia="en-US" w:bidi="ar-SA"/>
      </w:rPr>
    </w:lvl>
    <w:lvl w:ilvl="5" w:tplc="9ED852F6">
      <w:numFmt w:val="bullet"/>
      <w:lvlText w:val="•"/>
      <w:lvlJc w:val="left"/>
      <w:pPr>
        <w:ind w:left="5794" w:hanging="278"/>
      </w:pPr>
      <w:rPr>
        <w:rFonts w:hint="default"/>
        <w:lang w:val="es-ES" w:eastAsia="en-US" w:bidi="ar-SA"/>
      </w:rPr>
    </w:lvl>
    <w:lvl w:ilvl="6" w:tplc="22E2BC16">
      <w:numFmt w:val="bullet"/>
      <w:lvlText w:val="•"/>
      <w:lvlJc w:val="left"/>
      <w:pPr>
        <w:ind w:left="6733" w:hanging="278"/>
      </w:pPr>
      <w:rPr>
        <w:rFonts w:hint="default"/>
        <w:lang w:val="es-ES" w:eastAsia="en-US" w:bidi="ar-SA"/>
      </w:rPr>
    </w:lvl>
    <w:lvl w:ilvl="7" w:tplc="38EABCD6">
      <w:numFmt w:val="bullet"/>
      <w:lvlText w:val="•"/>
      <w:lvlJc w:val="left"/>
      <w:pPr>
        <w:ind w:left="7672" w:hanging="278"/>
      </w:pPr>
      <w:rPr>
        <w:rFonts w:hint="default"/>
        <w:lang w:val="es-ES" w:eastAsia="en-US" w:bidi="ar-SA"/>
      </w:rPr>
    </w:lvl>
    <w:lvl w:ilvl="8" w:tplc="ECD67C92">
      <w:numFmt w:val="bullet"/>
      <w:lvlText w:val="•"/>
      <w:lvlJc w:val="left"/>
      <w:pPr>
        <w:ind w:left="8611" w:hanging="278"/>
      </w:pPr>
      <w:rPr>
        <w:rFonts w:hint="default"/>
        <w:lang w:val="es-ES" w:eastAsia="en-US" w:bidi="ar-SA"/>
      </w:rPr>
    </w:lvl>
  </w:abstractNum>
  <w:abstractNum w:abstractNumId="244" w15:restartNumberingAfterBreak="0">
    <w:nsid w:val="5B6622D9"/>
    <w:multiLevelType w:val="hybridMultilevel"/>
    <w:tmpl w:val="202A47AA"/>
    <w:lvl w:ilvl="0" w:tplc="A4A6ECF8">
      <w:start w:val="1"/>
      <w:numFmt w:val="decimal"/>
      <w:lvlText w:val="%1."/>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1" w:tplc="73C48F26">
      <w:numFmt w:val="bullet"/>
      <w:lvlText w:val="•"/>
      <w:lvlJc w:val="left"/>
      <w:pPr>
        <w:ind w:left="2038" w:hanging="168"/>
      </w:pPr>
      <w:rPr>
        <w:rFonts w:hint="default"/>
        <w:lang w:val="es-ES" w:eastAsia="en-US" w:bidi="ar-SA"/>
      </w:rPr>
    </w:lvl>
    <w:lvl w:ilvl="2" w:tplc="20F6C75E">
      <w:numFmt w:val="bullet"/>
      <w:lvlText w:val="•"/>
      <w:lvlJc w:val="left"/>
      <w:pPr>
        <w:ind w:left="2977" w:hanging="168"/>
      </w:pPr>
      <w:rPr>
        <w:rFonts w:hint="default"/>
        <w:lang w:val="es-ES" w:eastAsia="en-US" w:bidi="ar-SA"/>
      </w:rPr>
    </w:lvl>
    <w:lvl w:ilvl="3" w:tplc="D3DE65F6">
      <w:numFmt w:val="bullet"/>
      <w:lvlText w:val="•"/>
      <w:lvlJc w:val="left"/>
      <w:pPr>
        <w:ind w:left="3916" w:hanging="168"/>
      </w:pPr>
      <w:rPr>
        <w:rFonts w:hint="default"/>
        <w:lang w:val="es-ES" w:eastAsia="en-US" w:bidi="ar-SA"/>
      </w:rPr>
    </w:lvl>
    <w:lvl w:ilvl="4" w:tplc="E76CCFC8">
      <w:numFmt w:val="bullet"/>
      <w:lvlText w:val="•"/>
      <w:lvlJc w:val="left"/>
      <w:pPr>
        <w:ind w:left="4855" w:hanging="168"/>
      </w:pPr>
      <w:rPr>
        <w:rFonts w:hint="default"/>
        <w:lang w:val="es-ES" w:eastAsia="en-US" w:bidi="ar-SA"/>
      </w:rPr>
    </w:lvl>
    <w:lvl w:ilvl="5" w:tplc="E95E6FE6">
      <w:numFmt w:val="bullet"/>
      <w:lvlText w:val="•"/>
      <w:lvlJc w:val="left"/>
      <w:pPr>
        <w:ind w:left="5794" w:hanging="168"/>
      </w:pPr>
      <w:rPr>
        <w:rFonts w:hint="default"/>
        <w:lang w:val="es-ES" w:eastAsia="en-US" w:bidi="ar-SA"/>
      </w:rPr>
    </w:lvl>
    <w:lvl w:ilvl="6" w:tplc="355EC254">
      <w:numFmt w:val="bullet"/>
      <w:lvlText w:val="•"/>
      <w:lvlJc w:val="left"/>
      <w:pPr>
        <w:ind w:left="6733" w:hanging="168"/>
      </w:pPr>
      <w:rPr>
        <w:rFonts w:hint="default"/>
        <w:lang w:val="es-ES" w:eastAsia="en-US" w:bidi="ar-SA"/>
      </w:rPr>
    </w:lvl>
    <w:lvl w:ilvl="7" w:tplc="C388E2C6">
      <w:numFmt w:val="bullet"/>
      <w:lvlText w:val="•"/>
      <w:lvlJc w:val="left"/>
      <w:pPr>
        <w:ind w:left="7672" w:hanging="168"/>
      </w:pPr>
      <w:rPr>
        <w:rFonts w:hint="default"/>
        <w:lang w:val="es-ES" w:eastAsia="en-US" w:bidi="ar-SA"/>
      </w:rPr>
    </w:lvl>
    <w:lvl w:ilvl="8" w:tplc="60645CAE">
      <w:numFmt w:val="bullet"/>
      <w:lvlText w:val="•"/>
      <w:lvlJc w:val="left"/>
      <w:pPr>
        <w:ind w:left="8611" w:hanging="168"/>
      </w:pPr>
      <w:rPr>
        <w:rFonts w:hint="default"/>
        <w:lang w:val="es-ES" w:eastAsia="en-US" w:bidi="ar-SA"/>
      </w:rPr>
    </w:lvl>
  </w:abstractNum>
  <w:abstractNum w:abstractNumId="245" w15:restartNumberingAfterBreak="0">
    <w:nsid w:val="5BB9107B"/>
    <w:multiLevelType w:val="hybridMultilevel"/>
    <w:tmpl w:val="EB968FE4"/>
    <w:lvl w:ilvl="0" w:tplc="A2BEC61E">
      <w:start w:val="1"/>
      <w:numFmt w:val="lowerLetter"/>
      <w:lvlText w:val="%1)"/>
      <w:lvlJc w:val="left"/>
      <w:pPr>
        <w:ind w:left="1106" w:hanging="246"/>
        <w:jc w:val="left"/>
      </w:pPr>
      <w:rPr>
        <w:rFonts w:ascii="Arial MT" w:eastAsia="Arial MT" w:hAnsi="Arial MT" w:cs="Arial MT" w:hint="default"/>
        <w:b w:val="0"/>
        <w:bCs w:val="0"/>
        <w:i w:val="0"/>
        <w:iCs w:val="0"/>
        <w:spacing w:val="0"/>
        <w:w w:val="100"/>
        <w:sz w:val="20"/>
        <w:szCs w:val="20"/>
        <w:lang w:val="es-ES" w:eastAsia="en-US" w:bidi="ar-SA"/>
      </w:rPr>
    </w:lvl>
    <w:lvl w:ilvl="1" w:tplc="FB382246">
      <w:numFmt w:val="bullet"/>
      <w:lvlText w:val="•"/>
      <w:lvlJc w:val="left"/>
      <w:pPr>
        <w:ind w:left="2038" w:hanging="246"/>
      </w:pPr>
      <w:rPr>
        <w:rFonts w:hint="default"/>
        <w:lang w:val="es-ES" w:eastAsia="en-US" w:bidi="ar-SA"/>
      </w:rPr>
    </w:lvl>
    <w:lvl w:ilvl="2" w:tplc="1AFEFB06">
      <w:numFmt w:val="bullet"/>
      <w:lvlText w:val="•"/>
      <w:lvlJc w:val="left"/>
      <w:pPr>
        <w:ind w:left="2977" w:hanging="246"/>
      </w:pPr>
      <w:rPr>
        <w:rFonts w:hint="default"/>
        <w:lang w:val="es-ES" w:eastAsia="en-US" w:bidi="ar-SA"/>
      </w:rPr>
    </w:lvl>
    <w:lvl w:ilvl="3" w:tplc="A9247F8C">
      <w:numFmt w:val="bullet"/>
      <w:lvlText w:val="•"/>
      <w:lvlJc w:val="left"/>
      <w:pPr>
        <w:ind w:left="3916" w:hanging="246"/>
      </w:pPr>
      <w:rPr>
        <w:rFonts w:hint="default"/>
        <w:lang w:val="es-ES" w:eastAsia="en-US" w:bidi="ar-SA"/>
      </w:rPr>
    </w:lvl>
    <w:lvl w:ilvl="4" w:tplc="BE9AC7E4">
      <w:numFmt w:val="bullet"/>
      <w:lvlText w:val="•"/>
      <w:lvlJc w:val="left"/>
      <w:pPr>
        <w:ind w:left="4855" w:hanging="246"/>
      </w:pPr>
      <w:rPr>
        <w:rFonts w:hint="default"/>
        <w:lang w:val="es-ES" w:eastAsia="en-US" w:bidi="ar-SA"/>
      </w:rPr>
    </w:lvl>
    <w:lvl w:ilvl="5" w:tplc="F5402A0C">
      <w:numFmt w:val="bullet"/>
      <w:lvlText w:val="•"/>
      <w:lvlJc w:val="left"/>
      <w:pPr>
        <w:ind w:left="5794" w:hanging="246"/>
      </w:pPr>
      <w:rPr>
        <w:rFonts w:hint="default"/>
        <w:lang w:val="es-ES" w:eastAsia="en-US" w:bidi="ar-SA"/>
      </w:rPr>
    </w:lvl>
    <w:lvl w:ilvl="6" w:tplc="7ADA8A2C">
      <w:numFmt w:val="bullet"/>
      <w:lvlText w:val="•"/>
      <w:lvlJc w:val="left"/>
      <w:pPr>
        <w:ind w:left="6733" w:hanging="246"/>
      </w:pPr>
      <w:rPr>
        <w:rFonts w:hint="default"/>
        <w:lang w:val="es-ES" w:eastAsia="en-US" w:bidi="ar-SA"/>
      </w:rPr>
    </w:lvl>
    <w:lvl w:ilvl="7" w:tplc="65641F5A">
      <w:numFmt w:val="bullet"/>
      <w:lvlText w:val="•"/>
      <w:lvlJc w:val="left"/>
      <w:pPr>
        <w:ind w:left="7672" w:hanging="246"/>
      </w:pPr>
      <w:rPr>
        <w:rFonts w:hint="default"/>
        <w:lang w:val="es-ES" w:eastAsia="en-US" w:bidi="ar-SA"/>
      </w:rPr>
    </w:lvl>
    <w:lvl w:ilvl="8" w:tplc="17F2284C">
      <w:numFmt w:val="bullet"/>
      <w:lvlText w:val="•"/>
      <w:lvlJc w:val="left"/>
      <w:pPr>
        <w:ind w:left="8611" w:hanging="246"/>
      </w:pPr>
      <w:rPr>
        <w:rFonts w:hint="default"/>
        <w:lang w:val="es-ES" w:eastAsia="en-US" w:bidi="ar-SA"/>
      </w:rPr>
    </w:lvl>
  </w:abstractNum>
  <w:abstractNum w:abstractNumId="246" w15:restartNumberingAfterBreak="0">
    <w:nsid w:val="5BC726EB"/>
    <w:multiLevelType w:val="hybridMultilevel"/>
    <w:tmpl w:val="89A2702A"/>
    <w:lvl w:ilvl="0" w:tplc="98EACD6E">
      <w:start w:val="1"/>
      <w:numFmt w:val="decimal"/>
      <w:lvlText w:val="%1."/>
      <w:lvlJc w:val="left"/>
      <w:pPr>
        <w:ind w:left="1106" w:hanging="278"/>
        <w:jc w:val="left"/>
      </w:pPr>
      <w:rPr>
        <w:rFonts w:ascii="Arial MT" w:eastAsia="Arial MT" w:hAnsi="Arial MT" w:cs="Arial MT" w:hint="default"/>
        <w:b w:val="0"/>
        <w:bCs w:val="0"/>
        <w:i w:val="0"/>
        <w:iCs w:val="0"/>
        <w:spacing w:val="0"/>
        <w:w w:val="100"/>
        <w:sz w:val="20"/>
        <w:szCs w:val="20"/>
        <w:lang w:val="es-ES" w:eastAsia="en-US" w:bidi="ar-SA"/>
      </w:rPr>
    </w:lvl>
    <w:lvl w:ilvl="1" w:tplc="97145008">
      <w:numFmt w:val="bullet"/>
      <w:lvlText w:val="•"/>
      <w:lvlJc w:val="left"/>
      <w:pPr>
        <w:ind w:left="2038" w:hanging="278"/>
      </w:pPr>
      <w:rPr>
        <w:rFonts w:hint="default"/>
        <w:lang w:val="es-ES" w:eastAsia="en-US" w:bidi="ar-SA"/>
      </w:rPr>
    </w:lvl>
    <w:lvl w:ilvl="2" w:tplc="C1741C9A">
      <w:numFmt w:val="bullet"/>
      <w:lvlText w:val="•"/>
      <w:lvlJc w:val="left"/>
      <w:pPr>
        <w:ind w:left="2977" w:hanging="278"/>
      </w:pPr>
      <w:rPr>
        <w:rFonts w:hint="default"/>
        <w:lang w:val="es-ES" w:eastAsia="en-US" w:bidi="ar-SA"/>
      </w:rPr>
    </w:lvl>
    <w:lvl w:ilvl="3" w:tplc="89D8CC98">
      <w:numFmt w:val="bullet"/>
      <w:lvlText w:val="•"/>
      <w:lvlJc w:val="left"/>
      <w:pPr>
        <w:ind w:left="3916" w:hanging="278"/>
      </w:pPr>
      <w:rPr>
        <w:rFonts w:hint="default"/>
        <w:lang w:val="es-ES" w:eastAsia="en-US" w:bidi="ar-SA"/>
      </w:rPr>
    </w:lvl>
    <w:lvl w:ilvl="4" w:tplc="778A5232">
      <w:numFmt w:val="bullet"/>
      <w:lvlText w:val="•"/>
      <w:lvlJc w:val="left"/>
      <w:pPr>
        <w:ind w:left="4855" w:hanging="278"/>
      </w:pPr>
      <w:rPr>
        <w:rFonts w:hint="default"/>
        <w:lang w:val="es-ES" w:eastAsia="en-US" w:bidi="ar-SA"/>
      </w:rPr>
    </w:lvl>
    <w:lvl w:ilvl="5" w:tplc="AB5E9F7A">
      <w:numFmt w:val="bullet"/>
      <w:lvlText w:val="•"/>
      <w:lvlJc w:val="left"/>
      <w:pPr>
        <w:ind w:left="5794" w:hanging="278"/>
      </w:pPr>
      <w:rPr>
        <w:rFonts w:hint="default"/>
        <w:lang w:val="es-ES" w:eastAsia="en-US" w:bidi="ar-SA"/>
      </w:rPr>
    </w:lvl>
    <w:lvl w:ilvl="6" w:tplc="72AC9E4C">
      <w:numFmt w:val="bullet"/>
      <w:lvlText w:val="•"/>
      <w:lvlJc w:val="left"/>
      <w:pPr>
        <w:ind w:left="6733" w:hanging="278"/>
      </w:pPr>
      <w:rPr>
        <w:rFonts w:hint="default"/>
        <w:lang w:val="es-ES" w:eastAsia="en-US" w:bidi="ar-SA"/>
      </w:rPr>
    </w:lvl>
    <w:lvl w:ilvl="7" w:tplc="3DDC751C">
      <w:numFmt w:val="bullet"/>
      <w:lvlText w:val="•"/>
      <w:lvlJc w:val="left"/>
      <w:pPr>
        <w:ind w:left="7672" w:hanging="278"/>
      </w:pPr>
      <w:rPr>
        <w:rFonts w:hint="default"/>
        <w:lang w:val="es-ES" w:eastAsia="en-US" w:bidi="ar-SA"/>
      </w:rPr>
    </w:lvl>
    <w:lvl w:ilvl="8" w:tplc="1108DBDA">
      <w:numFmt w:val="bullet"/>
      <w:lvlText w:val="•"/>
      <w:lvlJc w:val="left"/>
      <w:pPr>
        <w:ind w:left="8611" w:hanging="278"/>
      </w:pPr>
      <w:rPr>
        <w:rFonts w:hint="default"/>
        <w:lang w:val="es-ES" w:eastAsia="en-US" w:bidi="ar-SA"/>
      </w:rPr>
    </w:lvl>
  </w:abstractNum>
  <w:abstractNum w:abstractNumId="247" w15:restartNumberingAfterBreak="0">
    <w:nsid w:val="5C1C6068"/>
    <w:multiLevelType w:val="hybridMultilevel"/>
    <w:tmpl w:val="813ED0FA"/>
    <w:lvl w:ilvl="0" w:tplc="A1E43F68">
      <w:start w:val="1"/>
      <w:numFmt w:val="decimal"/>
      <w:lvlText w:val="%1."/>
      <w:lvlJc w:val="left"/>
      <w:pPr>
        <w:ind w:left="1786" w:hanging="274"/>
        <w:jc w:val="left"/>
      </w:pPr>
      <w:rPr>
        <w:rFonts w:ascii="Arial MT" w:eastAsia="Arial MT" w:hAnsi="Arial MT" w:cs="Arial MT" w:hint="default"/>
        <w:b w:val="0"/>
        <w:bCs w:val="0"/>
        <w:i w:val="0"/>
        <w:iCs w:val="0"/>
        <w:spacing w:val="0"/>
        <w:w w:val="100"/>
        <w:sz w:val="20"/>
        <w:szCs w:val="20"/>
        <w:lang w:val="es-ES" w:eastAsia="en-US" w:bidi="ar-SA"/>
      </w:rPr>
    </w:lvl>
    <w:lvl w:ilvl="1" w:tplc="D7A8ED84">
      <w:numFmt w:val="bullet"/>
      <w:lvlText w:val="•"/>
      <w:lvlJc w:val="left"/>
      <w:pPr>
        <w:ind w:left="2650" w:hanging="274"/>
      </w:pPr>
      <w:rPr>
        <w:rFonts w:hint="default"/>
        <w:lang w:val="es-ES" w:eastAsia="en-US" w:bidi="ar-SA"/>
      </w:rPr>
    </w:lvl>
    <w:lvl w:ilvl="2" w:tplc="9E46575E">
      <w:numFmt w:val="bullet"/>
      <w:lvlText w:val="•"/>
      <w:lvlJc w:val="left"/>
      <w:pPr>
        <w:ind w:left="3521" w:hanging="274"/>
      </w:pPr>
      <w:rPr>
        <w:rFonts w:hint="default"/>
        <w:lang w:val="es-ES" w:eastAsia="en-US" w:bidi="ar-SA"/>
      </w:rPr>
    </w:lvl>
    <w:lvl w:ilvl="3" w:tplc="2FC2804E">
      <w:numFmt w:val="bullet"/>
      <w:lvlText w:val="•"/>
      <w:lvlJc w:val="left"/>
      <w:pPr>
        <w:ind w:left="4392" w:hanging="274"/>
      </w:pPr>
      <w:rPr>
        <w:rFonts w:hint="default"/>
        <w:lang w:val="es-ES" w:eastAsia="en-US" w:bidi="ar-SA"/>
      </w:rPr>
    </w:lvl>
    <w:lvl w:ilvl="4" w:tplc="C26C36C2">
      <w:numFmt w:val="bullet"/>
      <w:lvlText w:val="•"/>
      <w:lvlJc w:val="left"/>
      <w:pPr>
        <w:ind w:left="5263" w:hanging="274"/>
      </w:pPr>
      <w:rPr>
        <w:rFonts w:hint="default"/>
        <w:lang w:val="es-ES" w:eastAsia="en-US" w:bidi="ar-SA"/>
      </w:rPr>
    </w:lvl>
    <w:lvl w:ilvl="5" w:tplc="2BCED3FE">
      <w:numFmt w:val="bullet"/>
      <w:lvlText w:val="•"/>
      <w:lvlJc w:val="left"/>
      <w:pPr>
        <w:ind w:left="6134" w:hanging="274"/>
      </w:pPr>
      <w:rPr>
        <w:rFonts w:hint="default"/>
        <w:lang w:val="es-ES" w:eastAsia="en-US" w:bidi="ar-SA"/>
      </w:rPr>
    </w:lvl>
    <w:lvl w:ilvl="6" w:tplc="717E688A">
      <w:numFmt w:val="bullet"/>
      <w:lvlText w:val="•"/>
      <w:lvlJc w:val="left"/>
      <w:pPr>
        <w:ind w:left="7005" w:hanging="274"/>
      </w:pPr>
      <w:rPr>
        <w:rFonts w:hint="default"/>
        <w:lang w:val="es-ES" w:eastAsia="en-US" w:bidi="ar-SA"/>
      </w:rPr>
    </w:lvl>
    <w:lvl w:ilvl="7" w:tplc="CB9A4752">
      <w:numFmt w:val="bullet"/>
      <w:lvlText w:val="•"/>
      <w:lvlJc w:val="left"/>
      <w:pPr>
        <w:ind w:left="7876" w:hanging="274"/>
      </w:pPr>
      <w:rPr>
        <w:rFonts w:hint="default"/>
        <w:lang w:val="es-ES" w:eastAsia="en-US" w:bidi="ar-SA"/>
      </w:rPr>
    </w:lvl>
    <w:lvl w:ilvl="8" w:tplc="81CCEF8A">
      <w:numFmt w:val="bullet"/>
      <w:lvlText w:val="•"/>
      <w:lvlJc w:val="left"/>
      <w:pPr>
        <w:ind w:left="8747" w:hanging="274"/>
      </w:pPr>
      <w:rPr>
        <w:rFonts w:hint="default"/>
        <w:lang w:val="es-ES" w:eastAsia="en-US" w:bidi="ar-SA"/>
      </w:rPr>
    </w:lvl>
  </w:abstractNum>
  <w:abstractNum w:abstractNumId="248" w15:restartNumberingAfterBreak="0">
    <w:nsid w:val="5C987BDC"/>
    <w:multiLevelType w:val="hybridMultilevel"/>
    <w:tmpl w:val="D632D5B4"/>
    <w:lvl w:ilvl="0" w:tplc="D182E5D6">
      <w:start w:val="1"/>
      <w:numFmt w:val="decimal"/>
      <w:lvlText w:val="%1."/>
      <w:lvlJc w:val="left"/>
      <w:pPr>
        <w:ind w:left="1106" w:hanging="260"/>
        <w:jc w:val="left"/>
      </w:pPr>
      <w:rPr>
        <w:rFonts w:ascii="Arial MT" w:eastAsia="Arial MT" w:hAnsi="Arial MT" w:cs="Arial MT" w:hint="default"/>
        <w:b w:val="0"/>
        <w:bCs w:val="0"/>
        <w:i w:val="0"/>
        <w:iCs w:val="0"/>
        <w:spacing w:val="0"/>
        <w:w w:val="100"/>
        <w:sz w:val="20"/>
        <w:szCs w:val="20"/>
        <w:lang w:val="es-ES" w:eastAsia="en-US" w:bidi="ar-SA"/>
      </w:rPr>
    </w:lvl>
    <w:lvl w:ilvl="1" w:tplc="C7349DB0">
      <w:numFmt w:val="bullet"/>
      <w:lvlText w:val="•"/>
      <w:lvlJc w:val="left"/>
      <w:pPr>
        <w:ind w:left="2038" w:hanging="260"/>
      </w:pPr>
      <w:rPr>
        <w:rFonts w:hint="default"/>
        <w:lang w:val="es-ES" w:eastAsia="en-US" w:bidi="ar-SA"/>
      </w:rPr>
    </w:lvl>
    <w:lvl w:ilvl="2" w:tplc="E5627A3A">
      <w:numFmt w:val="bullet"/>
      <w:lvlText w:val="•"/>
      <w:lvlJc w:val="left"/>
      <w:pPr>
        <w:ind w:left="2977" w:hanging="260"/>
      </w:pPr>
      <w:rPr>
        <w:rFonts w:hint="default"/>
        <w:lang w:val="es-ES" w:eastAsia="en-US" w:bidi="ar-SA"/>
      </w:rPr>
    </w:lvl>
    <w:lvl w:ilvl="3" w:tplc="9068647C">
      <w:numFmt w:val="bullet"/>
      <w:lvlText w:val="•"/>
      <w:lvlJc w:val="left"/>
      <w:pPr>
        <w:ind w:left="3916" w:hanging="260"/>
      </w:pPr>
      <w:rPr>
        <w:rFonts w:hint="default"/>
        <w:lang w:val="es-ES" w:eastAsia="en-US" w:bidi="ar-SA"/>
      </w:rPr>
    </w:lvl>
    <w:lvl w:ilvl="4" w:tplc="59E87518">
      <w:numFmt w:val="bullet"/>
      <w:lvlText w:val="•"/>
      <w:lvlJc w:val="left"/>
      <w:pPr>
        <w:ind w:left="4855" w:hanging="260"/>
      </w:pPr>
      <w:rPr>
        <w:rFonts w:hint="default"/>
        <w:lang w:val="es-ES" w:eastAsia="en-US" w:bidi="ar-SA"/>
      </w:rPr>
    </w:lvl>
    <w:lvl w:ilvl="5" w:tplc="7A4C30FA">
      <w:numFmt w:val="bullet"/>
      <w:lvlText w:val="•"/>
      <w:lvlJc w:val="left"/>
      <w:pPr>
        <w:ind w:left="5794" w:hanging="260"/>
      </w:pPr>
      <w:rPr>
        <w:rFonts w:hint="default"/>
        <w:lang w:val="es-ES" w:eastAsia="en-US" w:bidi="ar-SA"/>
      </w:rPr>
    </w:lvl>
    <w:lvl w:ilvl="6" w:tplc="4882F2DC">
      <w:numFmt w:val="bullet"/>
      <w:lvlText w:val="•"/>
      <w:lvlJc w:val="left"/>
      <w:pPr>
        <w:ind w:left="6733" w:hanging="260"/>
      </w:pPr>
      <w:rPr>
        <w:rFonts w:hint="default"/>
        <w:lang w:val="es-ES" w:eastAsia="en-US" w:bidi="ar-SA"/>
      </w:rPr>
    </w:lvl>
    <w:lvl w:ilvl="7" w:tplc="74E4D902">
      <w:numFmt w:val="bullet"/>
      <w:lvlText w:val="•"/>
      <w:lvlJc w:val="left"/>
      <w:pPr>
        <w:ind w:left="7672" w:hanging="260"/>
      </w:pPr>
      <w:rPr>
        <w:rFonts w:hint="default"/>
        <w:lang w:val="es-ES" w:eastAsia="en-US" w:bidi="ar-SA"/>
      </w:rPr>
    </w:lvl>
    <w:lvl w:ilvl="8" w:tplc="A98E4B3A">
      <w:numFmt w:val="bullet"/>
      <w:lvlText w:val="•"/>
      <w:lvlJc w:val="left"/>
      <w:pPr>
        <w:ind w:left="8611" w:hanging="260"/>
      </w:pPr>
      <w:rPr>
        <w:rFonts w:hint="default"/>
        <w:lang w:val="es-ES" w:eastAsia="en-US" w:bidi="ar-SA"/>
      </w:rPr>
    </w:lvl>
  </w:abstractNum>
  <w:abstractNum w:abstractNumId="249" w15:restartNumberingAfterBreak="0">
    <w:nsid w:val="5CBA119F"/>
    <w:multiLevelType w:val="hybridMultilevel"/>
    <w:tmpl w:val="8DD4973E"/>
    <w:lvl w:ilvl="0" w:tplc="BB9011B8">
      <w:start w:val="1"/>
      <w:numFmt w:val="decimal"/>
      <w:lvlText w:val="%1."/>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1" w:tplc="281C1198">
      <w:start w:val="1"/>
      <w:numFmt w:val="lowerLetter"/>
      <w:lvlText w:val="%2)"/>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2" w:tplc="3D4CE488">
      <w:numFmt w:val="bullet"/>
      <w:lvlText w:val="•"/>
      <w:lvlJc w:val="left"/>
      <w:pPr>
        <w:ind w:left="2977" w:hanging="241"/>
      </w:pPr>
      <w:rPr>
        <w:rFonts w:hint="default"/>
        <w:lang w:val="es-ES" w:eastAsia="en-US" w:bidi="ar-SA"/>
      </w:rPr>
    </w:lvl>
    <w:lvl w:ilvl="3" w:tplc="C472D7FE">
      <w:numFmt w:val="bullet"/>
      <w:lvlText w:val="•"/>
      <w:lvlJc w:val="left"/>
      <w:pPr>
        <w:ind w:left="3916" w:hanging="241"/>
      </w:pPr>
      <w:rPr>
        <w:rFonts w:hint="default"/>
        <w:lang w:val="es-ES" w:eastAsia="en-US" w:bidi="ar-SA"/>
      </w:rPr>
    </w:lvl>
    <w:lvl w:ilvl="4" w:tplc="CC2A0222">
      <w:numFmt w:val="bullet"/>
      <w:lvlText w:val="•"/>
      <w:lvlJc w:val="left"/>
      <w:pPr>
        <w:ind w:left="4855" w:hanging="241"/>
      </w:pPr>
      <w:rPr>
        <w:rFonts w:hint="default"/>
        <w:lang w:val="es-ES" w:eastAsia="en-US" w:bidi="ar-SA"/>
      </w:rPr>
    </w:lvl>
    <w:lvl w:ilvl="5" w:tplc="22A6B636">
      <w:numFmt w:val="bullet"/>
      <w:lvlText w:val="•"/>
      <w:lvlJc w:val="left"/>
      <w:pPr>
        <w:ind w:left="5794" w:hanging="241"/>
      </w:pPr>
      <w:rPr>
        <w:rFonts w:hint="default"/>
        <w:lang w:val="es-ES" w:eastAsia="en-US" w:bidi="ar-SA"/>
      </w:rPr>
    </w:lvl>
    <w:lvl w:ilvl="6" w:tplc="B128FAA6">
      <w:numFmt w:val="bullet"/>
      <w:lvlText w:val="•"/>
      <w:lvlJc w:val="left"/>
      <w:pPr>
        <w:ind w:left="6733" w:hanging="241"/>
      </w:pPr>
      <w:rPr>
        <w:rFonts w:hint="default"/>
        <w:lang w:val="es-ES" w:eastAsia="en-US" w:bidi="ar-SA"/>
      </w:rPr>
    </w:lvl>
    <w:lvl w:ilvl="7" w:tplc="56382CD6">
      <w:numFmt w:val="bullet"/>
      <w:lvlText w:val="•"/>
      <w:lvlJc w:val="left"/>
      <w:pPr>
        <w:ind w:left="7672" w:hanging="241"/>
      </w:pPr>
      <w:rPr>
        <w:rFonts w:hint="default"/>
        <w:lang w:val="es-ES" w:eastAsia="en-US" w:bidi="ar-SA"/>
      </w:rPr>
    </w:lvl>
    <w:lvl w:ilvl="8" w:tplc="86EEE6F4">
      <w:numFmt w:val="bullet"/>
      <w:lvlText w:val="•"/>
      <w:lvlJc w:val="left"/>
      <w:pPr>
        <w:ind w:left="8611" w:hanging="241"/>
      </w:pPr>
      <w:rPr>
        <w:rFonts w:hint="default"/>
        <w:lang w:val="es-ES" w:eastAsia="en-US" w:bidi="ar-SA"/>
      </w:rPr>
    </w:lvl>
  </w:abstractNum>
  <w:abstractNum w:abstractNumId="250" w15:restartNumberingAfterBreak="0">
    <w:nsid w:val="5CBA209D"/>
    <w:multiLevelType w:val="hybridMultilevel"/>
    <w:tmpl w:val="B094C5F8"/>
    <w:lvl w:ilvl="0" w:tplc="46A20062">
      <w:start w:val="1"/>
      <w:numFmt w:val="decimal"/>
      <w:lvlText w:val="%1."/>
      <w:lvlJc w:val="left"/>
      <w:pPr>
        <w:ind w:left="1106" w:hanging="266"/>
        <w:jc w:val="left"/>
      </w:pPr>
      <w:rPr>
        <w:rFonts w:ascii="Arial MT" w:eastAsia="Arial MT" w:hAnsi="Arial MT" w:cs="Arial MT" w:hint="default"/>
        <w:b w:val="0"/>
        <w:bCs w:val="0"/>
        <w:i w:val="0"/>
        <w:iCs w:val="0"/>
        <w:spacing w:val="0"/>
        <w:w w:val="100"/>
        <w:sz w:val="20"/>
        <w:szCs w:val="20"/>
        <w:lang w:val="es-ES" w:eastAsia="en-US" w:bidi="ar-SA"/>
      </w:rPr>
    </w:lvl>
    <w:lvl w:ilvl="1" w:tplc="E74E51AC">
      <w:numFmt w:val="bullet"/>
      <w:lvlText w:val="•"/>
      <w:lvlJc w:val="left"/>
      <w:pPr>
        <w:ind w:left="2038" w:hanging="266"/>
      </w:pPr>
      <w:rPr>
        <w:rFonts w:hint="default"/>
        <w:lang w:val="es-ES" w:eastAsia="en-US" w:bidi="ar-SA"/>
      </w:rPr>
    </w:lvl>
    <w:lvl w:ilvl="2" w:tplc="B824F2E8">
      <w:numFmt w:val="bullet"/>
      <w:lvlText w:val="•"/>
      <w:lvlJc w:val="left"/>
      <w:pPr>
        <w:ind w:left="2977" w:hanging="266"/>
      </w:pPr>
      <w:rPr>
        <w:rFonts w:hint="default"/>
        <w:lang w:val="es-ES" w:eastAsia="en-US" w:bidi="ar-SA"/>
      </w:rPr>
    </w:lvl>
    <w:lvl w:ilvl="3" w:tplc="5FA2465C">
      <w:numFmt w:val="bullet"/>
      <w:lvlText w:val="•"/>
      <w:lvlJc w:val="left"/>
      <w:pPr>
        <w:ind w:left="3916" w:hanging="266"/>
      </w:pPr>
      <w:rPr>
        <w:rFonts w:hint="default"/>
        <w:lang w:val="es-ES" w:eastAsia="en-US" w:bidi="ar-SA"/>
      </w:rPr>
    </w:lvl>
    <w:lvl w:ilvl="4" w:tplc="CBAAAE2A">
      <w:numFmt w:val="bullet"/>
      <w:lvlText w:val="•"/>
      <w:lvlJc w:val="left"/>
      <w:pPr>
        <w:ind w:left="4855" w:hanging="266"/>
      </w:pPr>
      <w:rPr>
        <w:rFonts w:hint="default"/>
        <w:lang w:val="es-ES" w:eastAsia="en-US" w:bidi="ar-SA"/>
      </w:rPr>
    </w:lvl>
    <w:lvl w:ilvl="5" w:tplc="2FD0BAB6">
      <w:numFmt w:val="bullet"/>
      <w:lvlText w:val="•"/>
      <w:lvlJc w:val="left"/>
      <w:pPr>
        <w:ind w:left="5794" w:hanging="266"/>
      </w:pPr>
      <w:rPr>
        <w:rFonts w:hint="default"/>
        <w:lang w:val="es-ES" w:eastAsia="en-US" w:bidi="ar-SA"/>
      </w:rPr>
    </w:lvl>
    <w:lvl w:ilvl="6" w:tplc="5C2EDA0C">
      <w:numFmt w:val="bullet"/>
      <w:lvlText w:val="•"/>
      <w:lvlJc w:val="left"/>
      <w:pPr>
        <w:ind w:left="6733" w:hanging="266"/>
      </w:pPr>
      <w:rPr>
        <w:rFonts w:hint="default"/>
        <w:lang w:val="es-ES" w:eastAsia="en-US" w:bidi="ar-SA"/>
      </w:rPr>
    </w:lvl>
    <w:lvl w:ilvl="7" w:tplc="8D4E749A">
      <w:numFmt w:val="bullet"/>
      <w:lvlText w:val="•"/>
      <w:lvlJc w:val="left"/>
      <w:pPr>
        <w:ind w:left="7672" w:hanging="266"/>
      </w:pPr>
      <w:rPr>
        <w:rFonts w:hint="default"/>
        <w:lang w:val="es-ES" w:eastAsia="en-US" w:bidi="ar-SA"/>
      </w:rPr>
    </w:lvl>
    <w:lvl w:ilvl="8" w:tplc="987C7C9A">
      <w:numFmt w:val="bullet"/>
      <w:lvlText w:val="•"/>
      <w:lvlJc w:val="left"/>
      <w:pPr>
        <w:ind w:left="8611" w:hanging="266"/>
      </w:pPr>
      <w:rPr>
        <w:rFonts w:hint="default"/>
        <w:lang w:val="es-ES" w:eastAsia="en-US" w:bidi="ar-SA"/>
      </w:rPr>
    </w:lvl>
  </w:abstractNum>
  <w:abstractNum w:abstractNumId="251" w15:restartNumberingAfterBreak="0">
    <w:nsid w:val="5CD05611"/>
    <w:multiLevelType w:val="hybridMultilevel"/>
    <w:tmpl w:val="0E7E504C"/>
    <w:lvl w:ilvl="0" w:tplc="0B287B64">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0A6641B4">
      <w:numFmt w:val="bullet"/>
      <w:lvlText w:val="•"/>
      <w:lvlJc w:val="left"/>
      <w:pPr>
        <w:ind w:left="2038" w:hanging="230"/>
      </w:pPr>
      <w:rPr>
        <w:rFonts w:hint="default"/>
        <w:lang w:val="es-ES" w:eastAsia="en-US" w:bidi="ar-SA"/>
      </w:rPr>
    </w:lvl>
    <w:lvl w:ilvl="2" w:tplc="EA1E130C">
      <w:numFmt w:val="bullet"/>
      <w:lvlText w:val="•"/>
      <w:lvlJc w:val="left"/>
      <w:pPr>
        <w:ind w:left="2977" w:hanging="230"/>
      </w:pPr>
      <w:rPr>
        <w:rFonts w:hint="default"/>
        <w:lang w:val="es-ES" w:eastAsia="en-US" w:bidi="ar-SA"/>
      </w:rPr>
    </w:lvl>
    <w:lvl w:ilvl="3" w:tplc="31CCD346">
      <w:numFmt w:val="bullet"/>
      <w:lvlText w:val="•"/>
      <w:lvlJc w:val="left"/>
      <w:pPr>
        <w:ind w:left="3916" w:hanging="230"/>
      </w:pPr>
      <w:rPr>
        <w:rFonts w:hint="default"/>
        <w:lang w:val="es-ES" w:eastAsia="en-US" w:bidi="ar-SA"/>
      </w:rPr>
    </w:lvl>
    <w:lvl w:ilvl="4" w:tplc="B896C720">
      <w:numFmt w:val="bullet"/>
      <w:lvlText w:val="•"/>
      <w:lvlJc w:val="left"/>
      <w:pPr>
        <w:ind w:left="4855" w:hanging="230"/>
      </w:pPr>
      <w:rPr>
        <w:rFonts w:hint="default"/>
        <w:lang w:val="es-ES" w:eastAsia="en-US" w:bidi="ar-SA"/>
      </w:rPr>
    </w:lvl>
    <w:lvl w:ilvl="5" w:tplc="CF06AA96">
      <w:numFmt w:val="bullet"/>
      <w:lvlText w:val="•"/>
      <w:lvlJc w:val="left"/>
      <w:pPr>
        <w:ind w:left="5794" w:hanging="230"/>
      </w:pPr>
      <w:rPr>
        <w:rFonts w:hint="default"/>
        <w:lang w:val="es-ES" w:eastAsia="en-US" w:bidi="ar-SA"/>
      </w:rPr>
    </w:lvl>
    <w:lvl w:ilvl="6" w:tplc="B852C80C">
      <w:numFmt w:val="bullet"/>
      <w:lvlText w:val="•"/>
      <w:lvlJc w:val="left"/>
      <w:pPr>
        <w:ind w:left="6733" w:hanging="230"/>
      </w:pPr>
      <w:rPr>
        <w:rFonts w:hint="default"/>
        <w:lang w:val="es-ES" w:eastAsia="en-US" w:bidi="ar-SA"/>
      </w:rPr>
    </w:lvl>
    <w:lvl w:ilvl="7" w:tplc="EA404F02">
      <w:numFmt w:val="bullet"/>
      <w:lvlText w:val="•"/>
      <w:lvlJc w:val="left"/>
      <w:pPr>
        <w:ind w:left="7672" w:hanging="230"/>
      </w:pPr>
      <w:rPr>
        <w:rFonts w:hint="default"/>
        <w:lang w:val="es-ES" w:eastAsia="en-US" w:bidi="ar-SA"/>
      </w:rPr>
    </w:lvl>
    <w:lvl w:ilvl="8" w:tplc="81BA2D8E">
      <w:numFmt w:val="bullet"/>
      <w:lvlText w:val="•"/>
      <w:lvlJc w:val="left"/>
      <w:pPr>
        <w:ind w:left="8611" w:hanging="230"/>
      </w:pPr>
      <w:rPr>
        <w:rFonts w:hint="default"/>
        <w:lang w:val="es-ES" w:eastAsia="en-US" w:bidi="ar-SA"/>
      </w:rPr>
    </w:lvl>
  </w:abstractNum>
  <w:abstractNum w:abstractNumId="252" w15:restartNumberingAfterBreak="0">
    <w:nsid w:val="5D2A6C1D"/>
    <w:multiLevelType w:val="hybridMultilevel"/>
    <w:tmpl w:val="E80802CA"/>
    <w:lvl w:ilvl="0" w:tplc="4B8A41C4">
      <w:start w:val="1"/>
      <w:numFmt w:val="decimal"/>
      <w:lvlText w:val="%1."/>
      <w:lvlJc w:val="left"/>
      <w:pPr>
        <w:ind w:left="1106" w:hanging="292"/>
        <w:jc w:val="left"/>
      </w:pPr>
      <w:rPr>
        <w:rFonts w:ascii="Arial MT" w:eastAsia="Arial MT" w:hAnsi="Arial MT" w:cs="Arial MT" w:hint="default"/>
        <w:b w:val="0"/>
        <w:bCs w:val="0"/>
        <w:i w:val="0"/>
        <w:iCs w:val="0"/>
        <w:spacing w:val="0"/>
        <w:w w:val="100"/>
        <w:sz w:val="20"/>
        <w:szCs w:val="20"/>
        <w:lang w:val="es-ES" w:eastAsia="en-US" w:bidi="ar-SA"/>
      </w:rPr>
    </w:lvl>
    <w:lvl w:ilvl="1" w:tplc="7A824DA6">
      <w:numFmt w:val="bullet"/>
      <w:lvlText w:val="•"/>
      <w:lvlJc w:val="left"/>
      <w:pPr>
        <w:ind w:left="2038" w:hanging="292"/>
      </w:pPr>
      <w:rPr>
        <w:rFonts w:hint="default"/>
        <w:lang w:val="es-ES" w:eastAsia="en-US" w:bidi="ar-SA"/>
      </w:rPr>
    </w:lvl>
    <w:lvl w:ilvl="2" w:tplc="50FAF136">
      <w:numFmt w:val="bullet"/>
      <w:lvlText w:val="•"/>
      <w:lvlJc w:val="left"/>
      <w:pPr>
        <w:ind w:left="2977" w:hanging="292"/>
      </w:pPr>
      <w:rPr>
        <w:rFonts w:hint="default"/>
        <w:lang w:val="es-ES" w:eastAsia="en-US" w:bidi="ar-SA"/>
      </w:rPr>
    </w:lvl>
    <w:lvl w:ilvl="3" w:tplc="50506062">
      <w:numFmt w:val="bullet"/>
      <w:lvlText w:val="•"/>
      <w:lvlJc w:val="left"/>
      <w:pPr>
        <w:ind w:left="3916" w:hanging="292"/>
      </w:pPr>
      <w:rPr>
        <w:rFonts w:hint="default"/>
        <w:lang w:val="es-ES" w:eastAsia="en-US" w:bidi="ar-SA"/>
      </w:rPr>
    </w:lvl>
    <w:lvl w:ilvl="4" w:tplc="E45A0948">
      <w:numFmt w:val="bullet"/>
      <w:lvlText w:val="•"/>
      <w:lvlJc w:val="left"/>
      <w:pPr>
        <w:ind w:left="4855" w:hanging="292"/>
      </w:pPr>
      <w:rPr>
        <w:rFonts w:hint="default"/>
        <w:lang w:val="es-ES" w:eastAsia="en-US" w:bidi="ar-SA"/>
      </w:rPr>
    </w:lvl>
    <w:lvl w:ilvl="5" w:tplc="565C5C90">
      <w:numFmt w:val="bullet"/>
      <w:lvlText w:val="•"/>
      <w:lvlJc w:val="left"/>
      <w:pPr>
        <w:ind w:left="5794" w:hanging="292"/>
      </w:pPr>
      <w:rPr>
        <w:rFonts w:hint="default"/>
        <w:lang w:val="es-ES" w:eastAsia="en-US" w:bidi="ar-SA"/>
      </w:rPr>
    </w:lvl>
    <w:lvl w:ilvl="6" w:tplc="801EA444">
      <w:numFmt w:val="bullet"/>
      <w:lvlText w:val="•"/>
      <w:lvlJc w:val="left"/>
      <w:pPr>
        <w:ind w:left="6733" w:hanging="292"/>
      </w:pPr>
      <w:rPr>
        <w:rFonts w:hint="default"/>
        <w:lang w:val="es-ES" w:eastAsia="en-US" w:bidi="ar-SA"/>
      </w:rPr>
    </w:lvl>
    <w:lvl w:ilvl="7" w:tplc="4CE437B0">
      <w:numFmt w:val="bullet"/>
      <w:lvlText w:val="•"/>
      <w:lvlJc w:val="left"/>
      <w:pPr>
        <w:ind w:left="7672" w:hanging="292"/>
      </w:pPr>
      <w:rPr>
        <w:rFonts w:hint="default"/>
        <w:lang w:val="es-ES" w:eastAsia="en-US" w:bidi="ar-SA"/>
      </w:rPr>
    </w:lvl>
    <w:lvl w:ilvl="8" w:tplc="DE62DB44">
      <w:numFmt w:val="bullet"/>
      <w:lvlText w:val="•"/>
      <w:lvlJc w:val="left"/>
      <w:pPr>
        <w:ind w:left="8611" w:hanging="292"/>
      </w:pPr>
      <w:rPr>
        <w:rFonts w:hint="default"/>
        <w:lang w:val="es-ES" w:eastAsia="en-US" w:bidi="ar-SA"/>
      </w:rPr>
    </w:lvl>
  </w:abstractNum>
  <w:abstractNum w:abstractNumId="253" w15:restartNumberingAfterBreak="0">
    <w:nsid w:val="5DE73106"/>
    <w:multiLevelType w:val="hybridMultilevel"/>
    <w:tmpl w:val="040CABA0"/>
    <w:lvl w:ilvl="0" w:tplc="8E20FB6E">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5B8A1FC4">
      <w:numFmt w:val="bullet"/>
      <w:lvlText w:val="•"/>
      <w:lvlJc w:val="left"/>
      <w:pPr>
        <w:ind w:left="2038" w:hanging="249"/>
      </w:pPr>
      <w:rPr>
        <w:rFonts w:hint="default"/>
        <w:lang w:val="es-ES" w:eastAsia="en-US" w:bidi="ar-SA"/>
      </w:rPr>
    </w:lvl>
    <w:lvl w:ilvl="2" w:tplc="E6528A7C">
      <w:numFmt w:val="bullet"/>
      <w:lvlText w:val="•"/>
      <w:lvlJc w:val="left"/>
      <w:pPr>
        <w:ind w:left="2977" w:hanging="249"/>
      </w:pPr>
      <w:rPr>
        <w:rFonts w:hint="default"/>
        <w:lang w:val="es-ES" w:eastAsia="en-US" w:bidi="ar-SA"/>
      </w:rPr>
    </w:lvl>
    <w:lvl w:ilvl="3" w:tplc="602C02A6">
      <w:numFmt w:val="bullet"/>
      <w:lvlText w:val="•"/>
      <w:lvlJc w:val="left"/>
      <w:pPr>
        <w:ind w:left="3916" w:hanging="249"/>
      </w:pPr>
      <w:rPr>
        <w:rFonts w:hint="default"/>
        <w:lang w:val="es-ES" w:eastAsia="en-US" w:bidi="ar-SA"/>
      </w:rPr>
    </w:lvl>
    <w:lvl w:ilvl="4" w:tplc="00DA18E4">
      <w:numFmt w:val="bullet"/>
      <w:lvlText w:val="•"/>
      <w:lvlJc w:val="left"/>
      <w:pPr>
        <w:ind w:left="4855" w:hanging="249"/>
      </w:pPr>
      <w:rPr>
        <w:rFonts w:hint="default"/>
        <w:lang w:val="es-ES" w:eastAsia="en-US" w:bidi="ar-SA"/>
      </w:rPr>
    </w:lvl>
    <w:lvl w:ilvl="5" w:tplc="62FA8E98">
      <w:numFmt w:val="bullet"/>
      <w:lvlText w:val="•"/>
      <w:lvlJc w:val="left"/>
      <w:pPr>
        <w:ind w:left="5794" w:hanging="249"/>
      </w:pPr>
      <w:rPr>
        <w:rFonts w:hint="default"/>
        <w:lang w:val="es-ES" w:eastAsia="en-US" w:bidi="ar-SA"/>
      </w:rPr>
    </w:lvl>
    <w:lvl w:ilvl="6" w:tplc="0598EF88">
      <w:numFmt w:val="bullet"/>
      <w:lvlText w:val="•"/>
      <w:lvlJc w:val="left"/>
      <w:pPr>
        <w:ind w:left="6733" w:hanging="249"/>
      </w:pPr>
      <w:rPr>
        <w:rFonts w:hint="default"/>
        <w:lang w:val="es-ES" w:eastAsia="en-US" w:bidi="ar-SA"/>
      </w:rPr>
    </w:lvl>
    <w:lvl w:ilvl="7" w:tplc="DC36979C">
      <w:numFmt w:val="bullet"/>
      <w:lvlText w:val="•"/>
      <w:lvlJc w:val="left"/>
      <w:pPr>
        <w:ind w:left="7672" w:hanging="249"/>
      </w:pPr>
      <w:rPr>
        <w:rFonts w:hint="default"/>
        <w:lang w:val="es-ES" w:eastAsia="en-US" w:bidi="ar-SA"/>
      </w:rPr>
    </w:lvl>
    <w:lvl w:ilvl="8" w:tplc="BB02F48A">
      <w:numFmt w:val="bullet"/>
      <w:lvlText w:val="•"/>
      <w:lvlJc w:val="left"/>
      <w:pPr>
        <w:ind w:left="8611" w:hanging="249"/>
      </w:pPr>
      <w:rPr>
        <w:rFonts w:hint="default"/>
        <w:lang w:val="es-ES" w:eastAsia="en-US" w:bidi="ar-SA"/>
      </w:rPr>
    </w:lvl>
  </w:abstractNum>
  <w:abstractNum w:abstractNumId="254" w15:restartNumberingAfterBreak="0">
    <w:nsid w:val="5E57020D"/>
    <w:multiLevelType w:val="hybridMultilevel"/>
    <w:tmpl w:val="97D42980"/>
    <w:lvl w:ilvl="0" w:tplc="87823054">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4D38F616">
      <w:numFmt w:val="bullet"/>
      <w:lvlText w:val="•"/>
      <w:lvlJc w:val="left"/>
      <w:pPr>
        <w:ind w:left="2038" w:hanging="232"/>
      </w:pPr>
      <w:rPr>
        <w:rFonts w:hint="default"/>
        <w:lang w:val="es-ES" w:eastAsia="en-US" w:bidi="ar-SA"/>
      </w:rPr>
    </w:lvl>
    <w:lvl w:ilvl="2" w:tplc="4BC8C5DC">
      <w:numFmt w:val="bullet"/>
      <w:lvlText w:val="•"/>
      <w:lvlJc w:val="left"/>
      <w:pPr>
        <w:ind w:left="2977" w:hanging="232"/>
      </w:pPr>
      <w:rPr>
        <w:rFonts w:hint="default"/>
        <w:lang w:val="es-ES" w:eastAsia="en-US" w:bidi="ar-SA"/>
      </w:rPr>
    </w:lvl>
    <w:lvl w:ilvl="3" w:tplc="0CA46466">
      <w:numFmt w:val="bullet"/>
      <w:lvlText w:val="•"/>
      <w:lvlJc w:val="left"/>
      <w:pPr>
        <w:ind w:left="3916" w:hanging="232"/>
      </w:pPr>
      <w:rPr>
        <w:rFonts w:hint="default"/>
        <w:lang w:val="es-ES" w:eastAsia="en-US" w:bidi="ar-SA"/>
      </w:rPr>
    </w:lvl>
    <w:lvl w:ilvl="4" w:tplc="24BED550">
      <w:numFmt w:val="bullet"/>
      <w:lvlText w:val="•"/>
      <w:lvlJc w:val="left"/>
      <w:pPr>
        <w:ind w:left="4855" w:hanging="232"/>
      </w:pPr>
      <w:rPr>
        <w:rFonts w:hint="default"/>
        <w:lang w:val="es-ES" w:eastAsia="en-US" w:bidi="ar-SA"/>
      </w:rPr>
    </w:lvl>
    <w:lvl w:ilvl="5" w:tplc="E19CB3F0">
      <w:numFmt w:val="bullet"/>
      <w:lvlText w:val="•"/>
      <w:lvlJc w:val="left"/>
      <w:pPr>
        <w:ind w:left="5794" w:hanging="232"/>
      </w:pPr>
      <w:rPr>
        <w:rFonts w:hint="default"/>
        <w:lang w:val="es-ES" w:eastAsia="en-US" w:bidi="ar-SA"/>
      </w:rPr>
    </w:lvl>
    <w:lvl w:ilvl="6" w:tplc="705AC196">
      <w:numFmt w:val="bullet"/>
      <w:lvlText w:val="•"/>
      <w:lvlJc w:val="left"/>
      <w:pPr>
        <w:ind w:left="6733" w:hanging="232"/>
      </w:pPr>
      <w:rPr>
        <w:rFonts w:hint="default"/>
        <w:lang w:val="es-ES" w:eastAsia="en-US" w:bidi="ar-SA"/>
      </w:rPr>
    </w:lvl>
    <w:lvl w:ilvl="7" w:tplc="0952CFDC">
      <w:numFmt w:val="bullet"/>
      <w:lvlText w:val="•"/>
      <w:lvlJc w:val="left"/>
      <w:pPr>
        <w:ind w:left="7672" w:hanging="232"/>
      </w:pPr>
      <w:rPr>
        <w:rFonts w:hint="default"/>
        <w:lang w:val="es-ES" w:eastAsia="en-US" w:bidi="ar-SA"/>
      </w:rPr>
    </w:lvl>
    <w:lvl w:ilvl="8" w:tplc="DE34239C">
      <w:numFmt w:val="bullet"/>
      <w:lvlText w:val="•"/>
      <w:lvlJc w:val="left"/>
      <w:pPr>
        <w:ind w:left="8611" w:hanging="232"/>
      </w:pPr>
      <w:rPr>
        <w:rFonts w:hint="default"/>
        <w:lang w:val="es-ES" w:eastAsia="en-US" w:bidi="ar-SA"/>
      </w:rPr>
    </w:lvl>
  </w:abstractNum>
  <w:abstractNum w:abstractNumId="255" w15:restartNumberingAfterBreak="0">
    <w:nsid w:val="5ED3224E"/>
    <w:multiLevelType w:val="hybridMultilevel"/>
    <w:tmpl w:val="675E20B0"/>
    <w:lvl w:ilvl="0" w:tplc="771A7C3E">
      <w:start w:val="1"/>
      <w:numFmt w:val="decimal"/>
      <w:lvlText w:val="%1."/>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1" w:tplc="E6D2C50C">
      <w:start w:val="1"/>
      <w:numFmt w:val="lowerLetter"/>
      <w:lvlText w:val="%2)"/>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2" w:tplc="ED6CE634">
      <w:numFmt w:val="bullet"/>
      <w:lvlText w:val="•"/>
      <w:lvlJc w:val="left"/>
      <w:pPr>
        <w:ind w:left="2977" w:hanging="240"/>
      </w:pPr>
      <w:rPr>
        <w:rFonts w:hint="default"/>
        <w:lang w:val="es-ES" w:eastAsia="en-US" w:bidi="ar-SA"/>
      </w:rPr>
    </w:lvl>
    <w:lvl w:ilvl="3" w:tplc="FD7898EC">
      <w:numFmt w:val="bullet"/>
      <w:lvlText w:val="•"/>
      <w:lvlJc w:val="left"/>
      <w:pPr>
        <w:ind w:left="3916" w:hanging="240"/>
      </w:pPr>
      <w:rPr>
        <w:rFonts w:hint="default"/>
        <w:lang w:val="es-ES" w:eastAsia="en-US" w:bidi="ar-SA"/>
      </w:rPr>
    </w:lvl>
    <w:lvl w:ilvl="4" w:tplc="168A30F8">
      <w:numFmt w:val="bullet"/>
      <w:lvlText w:val="•"/>
      <w:lvlJc w:val="left"/>
      <w:pPr>
        <w:ind w:left="4855" w:hanging="240"/>
      </w:pPr>
      <w:rPr>
        <w:rFonts w:hint="default"/>
        <w:lang w:val="es-ES" w:eastAsia="en-US" w:bidi="ar-SA"/>
      </w:rPr>
    </w:lvl>
    <w:lvl w:ilvl="5" w:tplc="ECEA7706">
      <w:numFmt w:val="bullet"/>
      <w:lvlText w:val="•"/>
      <w:lvlJc w:val="left"/>
      <w:pPr>
        <w:ind w:left="5794" w:hanging="240"/>
      </w:pPr>
      <w:rPr>
        <w:rFonts w:hint="default"/>
        <w:lang w:val="es-ES" w:eastAsia="en-US" w:bidi="ar-SA"/>
      </w:rPr>
    </w:lvl>
    <w:lvl w:ilvl="6" w:tplc="7D5E04EC">
      <w:numFmt w:val="bullet"/>
      <w:lvlText w:val="•"/>
      <w:lvlJc w:val="left"/>
      <w:pPr>
        <w:ind w:left="6733" w:hanging="240"/>
      </w:pPr>
      <w:rPr>
        <w:rFonts w:hint="default"/>
        <w:lang w:val="es-ES" w:eastAsia="en-US" w:bidi="ar-SA"/>
      </w:rPr>
    </w:lvl>
    <w:lvl w:ilvl="7" w:tplc="355C67EA">
      <w:numFmt w:val="bullet"/>
      <w:lvlText w:val="•"/>
      <w:lvlJc w:val="left"/>
      <w:pPr>
        <w:ind w:left="7672" w:hanging="240"/>
      </w:pPr>
      <w:rPr>
        <w:rFonts w:hint="default"/>
        <w:lang w:val="es-ES" w:eastAsia="en-US" w:bidi="ar-SA"/>
      </w:rPr>
    </w:lvl>
    <w:lvl w:ilvl="8" w:tplc="06A67AB0">
      <w:numFmt w:val="bullet"/>
      <w:lvlText w:val="•"/>
      <w:lvlJc w:val="left"/>
      <w:pPr>
        <w:ind w:left="8611" w:hanging="240"/>
      </w:pPr>
      <w:rPr>
        <w:rFonts w:hint="default"/>
        <w:lang w:val="es-ES" w:eastAsia="en-US" w:bidi="ar-SA"/>
      </w:rPr>
    </w:lvl>
  </w:abstractNum>
  <w:abstractNum w:abstractNumId="256" w15:restartNumberingAfterBreak="0">
    <w:nsid w:val="60044743"/>
    <w:multiLevelType w:val="hybridMultilevel"/>
    <w:tmpl w:val="42FAC91C"/>
    <w:lvl w:ilvl="0" w:tplc="E4D682D8">
      <w:start w:val="1"/>
      <w:numFmt w:val="decimal"/>
      <w:lvlText w:val="%1."/>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1" w:tplc="27D43618">
      <w:numFmt w:val="bullet"/>
      <w:lvlText w:val="•"/>
      <w:lvlJc w:val="left"/>
      <w:pPr>
        <w:ind w:left="2038" w:hanging="271"/>
      </w:pPr>
      <w:rPr>
        <w:rFonts w:hint="default"/>
        <w:lang w:val="es-ES" w:eastAsia="en-US" w:bidi="ar-SA"/>
      </w:rPr>
    </w:lvl>
    <w:lvl w:ilvl="2" w:tplc="A6E2C3B8">
      <w:numFmt w:val="bullet"/>
      <w:lvlText w:val="•"/>
      <w:lvlJc w:val="left"/>
      <w:pPr>
        <w:ind w:left="2977" w:hanging="271"/>
      </w:pPr>
      <w:rPr>
        <w:rFonts w:hint="default"/>
        <w:lang w:val="es-ES" w:eastAsia="en-US" w:bidi="ar-SA"/>
      </w:rPr>
    </w:lvl>
    <w:lvl w:ilvl="3" w:tplc="188ABB08">
      <w:numFmt w:val="bullet"/>
      <w:lvlText w:val="•"/>
      <w:lvlJc w:val="left"/>
      <w:pPr>
        <w:ind w:left="3916" w:hanging="271"/>
      </w:pPr>
      <w:rPr>
        <w:rFonts w:hint="default"/>
        <w:lang w:val="es-ES" w:eastAsia="en-US" w:bidi="ar-SA"/>
      </w:rPr>
    </w:lvl>
    <w:lvl w:ilvl="4" w:tplc="A15E2662">
      <w:numFmt w:val="bullet"/>
      <w:lvlText w:val="•"/>
      <w:lvlJc w:val="left"/>
      <w:pPr>
        <w:ind w:left="4855" w:hanging="271"/>
      </w:pPr>
      <w:rPr>
        <w:rFonts w:hint="default"/>
        <w:lang w:val="es-ES" w:eastAsia="en-US" w:bidi="ar-SA"/>
      </w:rPr>
    </w:lvl>
    <w:lvl w:ilvl="5" w:tplc="E73A578C">
      <w:numFmt w:val="bullet"/>
      <w:lvlText w:val="•"/>
      <w:lvlJc w:val="left"/>
      <w:pPr>
        <w:ind w:left="5794" w:hanging="271"/>
      </w:pPr>
      <w:rPr>
        <w:rFonts w:hint="default"/>
        <w:lang w:val="es-ES" w:eastAsia="en-US" w:bidi="ar-SA"/>
      </w:rPr>
    </w:lvl>
    <w:lvl w:ilvl="6" w:tplc="FF9CCA56">
      <w:numFmt w:val="bullet"/>
      <w:lvlText w:val="•"/>
      <w:lvlJc w:val="left"/>
      <w:pPr>
        <w:ind w:left="6733" w:hanging="271"/>
      </w:pPr>
      <w:rPr>
        <w:rFonts w:hint="default"/>
        <w:lang w:val="es-ES" w:eastAsia="en-US" w:bidi="ar-SA"/>
      </w:rPr>
    </w:lvl>
    <w:lvl w:ilvl="7" w:tplc="DF823446">
      <w:numFmt w:val="bullet"/>
      <w:lvlText w:val="•"/>
      <w:lvlJc w:val="left"/>
      <w:pPr>
        <w:ind w:left="7672" w:hanging="271"/>
      </w:pPr>
      <w:rPr>
        <w:rFonts w:hint="default"/>
        <w:lang w:val="es-ES" w:eastAsia="en-US" w:bidi="ar-SA"/>
      </w:rPr>
    </w:lvl>
    <w:lvl w:ilvl="8" w:tplc="D0F608D4">
      <w:numFmt w:val="bullet"/>
      <w:lvlText w:val="•"/>
      <w:lvlJc w:val="left"/>
      <w:pPr>
        <w:ind w:left="8611" w:hanging="271"/>
      </w:pPr>
      <w:rPr>
        <w:rFonts w:hint="default"/>
        <w:lang w:val="es-ES" w:eastAsia="en-US" w:bidi="ar-SA"/>
      </w:rPr>
    </w:lvl>
  </w:abstractNum>
  <w:abstractNum w:abstractNumId="257" w15:restartNumberingAfterBreak="0">
    <w:nsid w:val="605733B6"/>
    <w:multiLevelType w:val="hybridMultilevel"/>
    <w:tmpl w:val="25CC8410"/>
    <w:lvl w:ilvl="0" w:tplc="DDDE34C2">
      <w:start w:val="1"/>
      <w:numFmt w:val="decimal"/>
      <w:lvlText w:val="%1."/>
      <w:lvlJc w:val="left"/>
      <w:pPr>
        <w:ind w:left="1106" w:hanging="272"/>
        <w:jc w:val="left"/>
      </w:pPr>
      <w:rPr>
        <w:rFonts w:ascii="Arial MT" w:eastAsia="Arial MT" w:hAnsi="Arial MT" w:cs="Arial MT" w:hint="default"/>
        <w:b w:val="0"/>
        <w:bCs w:val="0"/>
        <w:i w:val="0"/>
        <w:iCs w:val="0"/>
        <w:spacing w:val="0"/>
        <w:w w:val="100"/>
        <w:sz w:val="20"/>
        <w:szCs w:val="20"/>
        <w:lang w:val="es-ES" w:eastAsia="en-US" w:bidi="ar-SA"/>
      </w:rPr>
    </w:lvl>
    <w:lvl w:ilvl="1" w:tplc="59CA2C7A">
      <w:start w:val="1"/>
      <w:numFmt w:val="lowerLetter"/>
      <w:lvlText w:val="%2)"/>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2" w:tplc="8A6A9D0C">
      <w:numFmt w:val="bullet"/>
      <w:lvlText w:val="•"/>
      <w:lvlJc w:val="left"/>
      <w:pPr>
        <w:ind w:left="2977" w:hanging="245"/>
      </w:pPr>
      <w:rPr>
        <w:rFonts w:hint="default"/>
        <w:lang w:val="es-ES" w:eastAsia="en-US" w:bidi="ar-SA"/>
      </w:rPr>
    </w:lvl>
    <w:lvl w:ilvl="3" w:tplc="5AF011D8">
      <w:numFmt w:val="bullet"/>
      <w:lvlText w:val="•"/>
      <w:lvlJc w:val="left"/>
      <w:pPr>
        <w:ind w:left="3916" w:hanging="245"/>
      </w:pPr>
      <w:rPr>
        <w:rFonts w:hint="default"/>
        <w:lang w:val="es-ES" w:eastAsia="en-US" w:bidi="ar-SA"/>
      </w:rPr>
    </w:lvl>
    <w:lvl w:ilvl="4" w:tplc="E230D508">
      <w:numFmt w:val="bullet"/>
      <w:lvlText w:val="•"/>
      <w:lvlJc w:val="left"/>
      <w:pPr>
        <w:ind w:left="4855" w:hanging="245"/>
      </w:pPr>
      <w:rPr>
        <w:rFonts w:hint="default"/>
        <w:lang w:val="es-ES" w:eastAsia="en-US" w:bidi="ar-SA"/>
      </w:rPr>
    </w:lvl>
    <w:lvl w:ilvl="5" w:tplc="13363EA0">
      <w:numFmt w:val="bullet"/>
      <w:lvlText w:val="•"/>
      <w:lvlJc w:val="left"/>
      <w:pPr>
        <w:ind w:left="5794" w:hanging="245"/>
      </w:pPr>
      <w:rPr>
        <w:rFonts w:hint="default"/>
        <w:lang w:val="es-ES" w:eastAsia="en-US" w:bidi="ar-SA"/>
      </w:rPr>
    </w:lvl>
    <w:lvl w:ilvl="6" w:tplc="F4A868AA">
      <w:numFmt w:val="bullet"/>
      <w:lvlText w:val="•"/>
      <w:lvlJc w:val="left"/>
      <w:pPr>
        <w:ind w:left="6733" w:hanging="245"/>
      </w:pPr>
      <w:rPr>
        <w:rFonts w:hint="default"/>
        <w:lang w:val="es-ES" w:eastAsia="en-US" w:bidi="ar-SA"/>
      </w:rPr>
    </w:lvl>
    <w:lvl w:ilvl="7" w:tplc="B0A423EE">
      <w:numFmt w:val="bullet"/>
      <w:lvlText w:val="•"/>
      <w:lvlJc w:val="left"/>
      <w:pPr>
        <w:ind w:left="7672" w:hanging="245"/>
      </w:pPr>
      <w:rPr>
        <w:rFonts w:hint="default"/>
        <w:lang w:val="es-ES" w:eastAsia="en-US" w:bidi="ar-SA"/>
      </w:rPr>
    </w:lvl>
    <w:lvl w:ilvl="8" w:tplc="A60A46EC">
      <w:numFmt w:val="bullet"/>
      <w:lvlText w:val="•"/>
      <w:lvlJc w:val="left"/>
      <w:pPr>
        <w:ind w:left="8611" w:hanging="245"/>
      </w:pPr>
      <w:rPr>
        <w:rFonts w:hint="default"/>
        <w:lang w:val="es-ES" w:eastAsia="en-US" w:bidi="ar-SA"/>
      </w:rPr>
    </w:lvl>
  </w:abstractNum>
  <w:abstractNum w:abstractNumId="258" w15:restartNumberingAfterBreak="0">
    <w:nsid w:val="61387A28"/>
    <w:multiLevelType w:val="hybridMultilevel"/>
    <w:tmpl w:val="4B7AF000"/>
    <w:lvl w:ilvl="0" w:tplc="CE343150">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18A49B06">
      <w:numFmt w:val="bullet"/>
      <w:lvlText w:val="•"/>
      <w:lvlJc w:val="left"/>
      <w:pPr>
        <w:ind w:left="2038" w:hanging="240"/>
      </w:pPr>
      <w:rPr>
        <w:rFonts w:hint="default"/>
        <w:lang w:val="es-ES" w:eastAsia="en-US" w:bidi="ar-SA"/>
      </w:rPr>
    </w:lvl>
    <w:lvl w:ilvl="2" w:tplc="9B2E9C2C">
      <w:numFmt w:val="bullet"/>
      <w:lvlText w:val="•"/>
      <w:lvlJc w:val="left"/>
      <w:pPr>
        <w:ind w:left="2977" w:hanging="240"/>
      </w:pPr>
      <w:rPr>
        <w:rFonts w:hint="default"/>
        <w:lang w:val="es-ES" w:eastAsia="en-US" w:bidi="ar-SA"/>
      </w:rPr>
    </w:lvl>
    <w:lvl w:ilvl="3" w:tplc="DC1838CE">
      <w:numFmt w:val="bullet"/>
      <w:lvlText w:val="•"/>
      <w:lvlJc w:val="left"/>
      <w:pPr>
        <w:ind w:left="3916" w:hanging="240"/>
      </w:pPr>
      <w:rPr>
        <w:rFonts w:hint="default"/>
        <w:lang w:val="es-ES" w:eastAsia="en-US" w:bidi="ar-SA"/>
      </w:rPr>
    </w:lvl>
    <w:lvl w:ilvl="4" w:tplc="A9BAF50A">
      <w:numFmt w:val="bullet"/>
      <w:lvlText w:val="•"/>
      <w:lvlJc w:val="left"/>
      <w:pPr>
        <w:ind w:left="4855" w:hanging="240"/>
      </w:pPr>
      <w:rPr>
        <w:rFonts w:hint="default"/>
        <w:lang w:val="es-ES" w:eastAsia="en-US" w:bidi="ar-SA"/>
      </w:rPr>
    </w:lvl>
    <w:lvl w:ilvl="5" w:tplc="0E3C5D72">
      <w:numFmt w:val="bullet"/>
      <w:lvlText w:val="•"/>
      <w:lvlJc w:val="left"/>
      <w:pPr>
        <w:ind w:left="5794" w:hanging="240"/>
      </w:pPr>
      <w:rPr>
        <w:rFonts w:hint="default"/>
        <w:lang w:val="es-ES" w:eastAsia="en-US" w:bidi="ar-SA"/>
      </w:rPr>
    </w:lvl>
    <w:lvl w:ilvl="6" w:tplc="633689EE">
      <w:numFmt w:val="bullet"/>
      <w:lvlText w:val="•"/>
      <w:lvlJc w:val="left"/>
      <w:pPr>
        <w:ind w:left="6733" w:hanging="240"/>
      </w:pPr>
      <w:rPr>
        <w:rFonts w:hint="default"/>
        <w:lang w:val="es-ES" w:eastAsia="en-US" w:bidi="ar-SA"/>
      </w:rPr>
    </w:lvl>
    <w:lvl w:ilvl="7" w:tplc="03EE02E0">
      <w:numFmt w:val="bullet"/>
      <w:lvlText w:val="•"/>
      <w:lvlJc w:val="left"/>
      <w:pPr>
        <w:ind w:left="7672" w:hanging="240"/>
      </w:pPr>
      <w:rPr>
        <w:rFonts w:hint="default"/>
        <w:lang w:val="es-ES" w:eastAsia="en-US" w:bidi="ar-SA"/>
      </w:rPr>
    </w:lvl>
    <w:lvl w:ilvl="8" w:tplc="C944F290">
      <w:numFmt w:val="bullet"/>
      <w:lvlText w:val="•"/>
      <w:lvlJc w:val="left"/>
      <w:pPr>
        <w:ind w:left="8611" w:hanging="240"/>
      </w:pPr>
      <w:rPr>
        <w:rFonts w:hint="default"/>
        <w:lang w:val="es-ES" w:eastAsia="en-US" w:bidi="ar-SA"/>
      </w:rPr>
    </w:lvl>
  </w:abstractNum>
  <w:abstractNum w:abstractNumId="259" w15:restartNumberingAfterBreak="0">
    <w:nsid w:val="61542CA0"/>
    <w:multiLevelType w:val="hybridMultilevel"/>
    <w:tmpl w:val="7A769FEC"/>
    <w:lvl w:ilvl="0" w:tplc="B4F0D27C">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645EC882">
      <w:numFmt w:val="bullet"/>
      <w:lvlText w:val="•"/>
      <w:lvlJc w:val="left"/>
      <w:pPr>
        <w:ind w:left="2038" w:hanging="240"/>
      </w:pPr>
      <w:rPr>
        <w:rFonts w:hint="default"/>
        <w:lang w:val="es-ES" w:eastAsia="en-US" w:bidi="ar-SA"/>
      </w:rPr>
    </w:lvl>
    <w:lvl w:ilvl="2" w:tplc="C2049C52">
      <w:numFmt w:val="bullet"/>
      <w:lvlText w:val="•"/>
      <w:lvlJc w:val="left"/>
      <w:pPr>
        <w:ind w:left="2977" w:hanging="240"/>
      </w:pPr>
      <w:rPr>
        <w:rFonts w:hint="default"/>
        <w:lang w:val="es-ES" w:eastAsia="en-US" w:bidi="ar-SA"/>
      </w:rPr>
    </w:lvl>
    <w:lvl w:ilvl="3" w:tplc="9858CC62">
      <w:numFmt w:val="bullet"/>
      <w:lvlText w:val="•"/>
      <w:lvlJc w:val="left"/>
      <w:pPr>
        <w:ind w:left="3916" w:hanging="240"/>
      </w:pPr>
      <w:rPr>
        <w:rFonts w:hint="default"/>
        <w:lang w:val="es-ES" w:eastAsia="en-US" w:bidi="ar-SA"/>
      </w:rPr>
    </w:lvl>
    <w:lvl w:ilvl="4" w:tplc="5290B85C">
      <w:numFmt w:val="bullet"/>
      <w:lvlText w:val="•"/>
      <w:lvlJc w:val="left"/>
      <w:pPr>
        <w:ind w:left="4855" w:hanging="240"/>
      </w:pPr>
      <w:rPr>
        <w:rFonts w:hint="default"/>
        <w:lang w:val="es-ES" w:eastAsia="en-US" w:bidi="ar-SA"/>
      </w:rPr>
    </w:lvl>
    <w:lvl w:ilvl="5" w:tplc="37A0400E">
      <w:numFmt w:val="bullet"/>
      <w:lvlText w:val="•"/>
      <w:lvlJc w:val="left"/>
      <w:pPr>
        <w:ind w:left="5794" w:hanging="240"/>
      </w:pPr>
      <w:rPr>
        <w:rFonts w:hint="default"/>
        <w:lang w:val="es-ES" w:eastAsia="en-US" w:bidi="ar-SA"/>
      </w:rPr>
    </w:lvl>
    <w:lvl w:ilvl="6" w:tplc="D6367616">
      <w:numFmt w:val="bullet"/>
      <w:lvlText w:val="•"/>
      <w:lvlJc w:val="left"/>
      <w:pPr>
        <w:ind w:left="6733" w:hanging="240"/>
      </w:pPr>
      <w:rPr>
        <w:rFonts w:hint="default"/>
        <w:lang w:val="es-ES" w:eastAsia="en-US" w:bidi="ar-SA"/>
      </w:rPr>
    </w:lvl>
    <w:lvl w:ilvl="7" w:tplc="BBE4893E">
      <w:numFmt w:val="bullet"/>
      <w:lvlText w:val="•"/>
      <w:lvlJc w:val="left"/>
      <w:pPr>
        <w:ind w:left="7672" w:hanging="240"/>
      </w:pPr>
      <w:rPr>
        <w:rFonts w:hint="default"/>
        <w:lang w:val="es-ES" w:eastAsia="en-US" w:bidi="ar-SA"/>
      </w:rPr>
    </w:lvl>
    <w:lvl w:ilvl="8" w:tplc="AF609BC4">
      <w:numFmt w:val="bullet"/>
      <w:lvlText w:val="•"/>
      <w:lvlJc w:val="left"/>
      <w:pPr>
        <w:ind w:left="8611" w:hanging="240"/>
      </w:pPr>
      <w:rPr>
        <w:rFonts w:hint="default"/>
        <w:lang w:val="es-ES" w:eastAsia="en-US" w:bidi="ar-SA"/>
      </w:rPr>
    </w:lvl>
  </w:abstractNum>
  <w:abstractNum w:abstractNumId="260" w15:restartNumberingAfterBreak="0">
    <w:nsid w:val="61E018A2"/>
    <w:multiLevelType w:val="hybridMultilevel"/>
    <w:tmpl w:val="4D401D94"/>
    <w:lvl w:ilvl="0" w:tplc="1012E560">
      <w:start w:val="1"/>
      <w:numFmt w:val="decimal"/>
      <w:lvlText w:val="%1."/>
      <w:lvlJc w:val="left"/>
      <w:pPr>
        <w:ind w:left="1106" w:hanging="253"/>
        <w:jc w:val="left"/>
      </w:pPr>
      <w:rPr>
        <w:rFonts w:ascii="Arial MT" w:eastAsia="Arial MT" w:hAnsi="Arial MT" w:cs="Arial MT" w:hint="default"/>
        <w:b w:val="0"/>
        <w:bCs w:val="0"/>
        <w:i w:val="0"/>
        <w:iCs w:val="0"/>
        <w:spacing w:val="0"/>
        <w:w w:val="100"/>
        <w:sz w:val="20"/>
        <w:szCs w:val="20"/>
        <w:lang w:val="es-ES" w:eastAsia="en-US" w:bidi="ar-SA"/>
      </w:rPr>
    </w:lvl>
    <w:lvl w:ilvl="1" w:tplc="351E14F4">
      <w:numFmt w:val="bullet"/>
      <w:lvlText w:val="•"/>
      <w:lvlJc w:val="left"/>
      <w:pPr>
        <w:ind w:left="2038" w:hanging="253"/>
      </w:pPr>
      <w:rPr>
        <w:rFonts w:hint="default"/>
        <w:lang w:val="es-ES" w:eastAsia="en-US" w:bidi="ar-SA"/>
      </w:rPr>
    </w:lvl>
    <w:lvl w:ilvl="2" w:tplc="3078BE22">
      <w:numFmt w:val="bullet"/>
      <w:lvlText w:val="•"/>
      <w:lvlJc w:val="left"/>
      <w:pPr>
        <w:ind w:left="2977" w:hanging="253"/>
      </w:pPr>
      <w:rPr>
        <w:rFonts w:hint="default"/>
        <w:lang w:val="es-ES" w:eastAsia="en-US" w:bidi="ar-SA"/>
      </w:rPr>
    </w:lvl>
    <w:lvl w:ilvl="3" w:tplc="8F44C67E">
      <w:numFmt w:val="bullet"/>
      <w:lvlText w:val="•"/>
      <w:lvlJc w:val="left"/>
      <w:pPr>
        <w:ind w:left="3916" w:hanging="253"/>
      </w:pPr>
      <w:rPr>
        <w:rFonts w:hint="default"/>
        <w:lang w:val="es-ES" w:eastAsia="en-US" w:bidi="ar-SA"/>
      </w:rPr>
    </w:lvl>
    <w:lvl w:ilvl="4" w:tplc="65C6D8BC">
      <w:numFmt w:val="bullet"/>
      <w:lvlText w:val="•"/>
      <w:lvlJc w:val="left"/>
      <w:pPr>
        <w:ind w:left="4855" w:hanging="253"/>
      </w:pPr>
      <w:rPr>
        <w:rFonts w:hint="default"/>
        <w:lang w:val="es-ES" w:eastAsia="en-US" w:bidi="ar-SA"/>
      </w:rPr>
    </w:lvl>
    <w:lvl w:ilvl="5" w:tplc="5366E456">
      <w:numFmt w:val="bullet"/>
      <w:lvlText w:val="•"/>
      <w:lvlJc w:val="left"/>
      <w:pPr>
        <w:ind w:left="5794" w:hanging="253"/>
      </w:pPr>
      <w:rPr>
        <w:rFonts w:hint="default"/>
        <w:lang w:val="es-ES" w:eastAsia="en-US" w:bidi="ar-SA"/>
      </w:rPr>
    </w:lvl>
    <w:lvl w:ilvl="6" w:tplc="7D12AC62">
      <w:numFmt w:val="bullet"/>
      <w:lvlText w:val="•"/>
      <w:lvlJc w:val="left"/>
      <w:pPr>
        <w:ind w:left="6733" w:hanging="253"/>
      </w:pPr>
      <w:rPr>
        <w:rFonts w:hint="default"/>
        <w:lang w:val="es-ES" w:eastAsia="en-US" w:bidi="ar-SA"/>
      </w:rPr>
    </w:lvl>
    <w:lvl w:ilvl="7" w:tplc="B31EFCE0">
      <w:numFmt w:val="bullet"/>
      <w:lvlText w:val="•"/>
      <w:lvlJc w:val="left"/>
      <w:pPr>
        <w:ind w:left="7672" w:hanging="253"/>
      </w:pPr>
      <w:rPr>
        <w:rFonts w:hint="default"/>
        <w:lang w:val="es-ES" w:eastAsia="en-US" w:bidi="ar-SA"/>
      </w:rPr>
    </w:lvl>
    <w:lvl w:ilvl="8" w:tplc="D472B2F8">
      <w:numFmt w:val="bullet"/>
      <w:lvlText w:val="•"/>
      <w:lvlJc w:val="left"/>
      <w:pPr>
        <w:ind w:left="8611" w:hanging="253"/>
      </w:pPr>
      <w:rPr>
        <w:rFonts w:hint="default"/>
        <w:lang w:val="es-ES" w:eastAsia="en-US" w:bidi="ar-SA"/>
      </w:rPr>
    </w:lvl>
  </w:abstractNum>
  <w:abstractNum w:abstractNumId="261" w15:restartNumberingAfterBreak="0">
    <w:nsid w:val="62AA4F92"/>
    <w:multiLevelType w:val="hybridMultilevel"/>
    <w:tmpl w:val="CEB6D174"/>
    <w:lvl w:ilvl="0" w:tplc="02FCD80A">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B5DE7E0C">
      <w:start w:val="1"/>
      <w:numFmt w:val="lowerLetter"/>
      <w:lvlText w:val="%2)"/>
      <w:lvlJc w:val="left"/>
      <w:pPr>
        <w:ind w:left="1106" w:hanging="246"/>
        <w:jc w:val="left"/>
      </w:pPr>
      <w:rPr>
        <w:rFonts w:ascii="Arial MT" w:eastAsia="Arial MT" w:hAnsi="Arial MT" w:cs="Arial MT" w:hint="default"/>
        <w:b w:val="0"/>
        <w:bCs w:val="0"/>
        <w:i w:val="0"/>
        <w:iCs w:val="0"/>
        <w:spacing w:val="0"/>
        <w:w w:val="100"/>
        <w:sz w:val="20"/>
        <w:szCs w:val="20"/>
        <w:lang w:val="es-ES" w:eastAsia="en-US" w:bidi="ar-SA"/>
      </w:rPr>
    </w:lvl>
    <w:lvl w:ilvl="2" w:tplc="2DF6BBBC">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9092D9B0">
      <w:numFmt w:val="bullet"/>
      <w:lvlText w:val="•"/>
      <w:lvlJc w:val="left"/>
      <w:pPr>
        <w:ind w:left="3916" w:hanging="168"/>
      </w:pPr>
      <w:rPr>
        <w:rFonts w:hint="default"/>
        <w:lang w:val="es-ES" w:eastAsia="en-US" w:bidi="ar-SA"/>
      </w:rPr>
    </w:lvl>
    <w:lvl w:ilvl="4" w:tplc="DF1841BA">
      <w:numFmt w:val="bullet"/>
      <w:lvlText w:val="•"/>
      <w:lvlJc w:val="left"/>
      <w:pPr>
        <w:ind w:left="4855" w:hanging="168"/>
      </w:pPr>
      <w:rPr>
        <w:rFonts w:hint="default"/>
        <w:lang w:val="es-ES" w:eastAsia="en-US" w:bidi="ar-SA"/>
      </w:rPr>
    </w:lvl>
    <w:lvl w:ilvl="5" w:tplc="040A3362">
      <w:numFmt w:val="bullet"/>
      <w:lvlText w:val="•"/>
      <w:lvlJc w:val="left"/>
      <w:pPr>
        <w:ind w:left="5794" w:hanging="168"/>
      </w:pPr>
      <w:rPr>
        <w:rFonts w:hint="default"/>
        <w:lang w:val="es-ES" w:eastAsia="en-US" w:bidi="ar-SA"/>
      </w:rPr>
    </w:lvl>
    <w:lvl w:ilvl="6" w:tplc="C54475B8">
      <w:numFmt w:val="bullet"/>
      <w:lvlText w:val="•"/>
      <w:lvlJc w:val="left"/>
      <w:pPr>
        <w:ind w:left="6733" w:hanging="168"/>
      </w:pPr>
      <w:rPr>
        <w:rFonts w:hint="default"/>
        <w:lang w:val="es-ES" w:eastAsia="en-US" w:bidi="ar-SA"/>
      </w:rPr>
    </w:lvl>
    <w:lvl w:ilvl="7" w:tplc="82800FB0">
      <w:numFmt w:val="bullet"/>
      <w:lvlText w:val="•"/>
      <w:lvlJc w:val="left"/>
      <w:pPr>
        <w:ind w:left="7672" w:hanging="168"/>
      </w:pPr>
      <w:rPr>
        <w:rFonts w:hint="default"/>
        <w:lang w:val="es-ES" w:eastAsia="en-US" w:bidi="ar-SA"/>
      </w:rPr>
    </w:lvl>
    <w:lvl w:ilvl="8" w:tplc="197270BE">
      <w:numFmt w:val="bullet"/>
      <w:lvlText w:val="•"/>
      <w:lvlJc w:val="left"/>
      <w:pPr>
        <w:ind w:left="8611" w:hanging="168"/>
      </w:pPr>
      <w:rPr>
        <w:rFonts w:hint="default"/>
        <w:lang w:val="es-ES" w:eastAsia="en-US" w:bidi="ar-SA"/>
      </w:rPr>
    </w:lvl>
  </w:abstractNum>
  <w:abstractNum w:abstractNumId="262" w15:restartNumberingAfterBreak="0">
    <w:nsid w:val="62CD1E38"/>
    <w:multiLevelType w:val="hybridMultilevel"/>
    <w:tmpl w:val="25E2D636"/>
    <w:lvl w:ilvl="0" w:tplc="5D0CED0C">
      <w:start w:val="1"/>
      <w:numFmt w:val="decimal"/>
      <w:lvlText w:val="%1."/>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1" w:tplc="84AE98C0">
      <w:start w:val="1"/>
      <w:numFmt w:val="lowerLetter"/>
      <w:lvlText w:val="%2)"/>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2" w:tplc="A51E1A46">
      <w:numFmt w:val="bullet"/>
      <w:lvlText w:val="•"/>
      <w:lvlJc w:val="left"/>
      <w:pPr>
        <w:ind w:left="2977" w:hanging="248"/>
      </w:pPr>
      <w:rPr>
        <w:rFonts w:hint="default"/>
        <w:lang w:val="es-ES" w:eastAsia="en-US" w:bidi="ar-SA"/>
      </w:rPr>
    </w:lvl>
    <w:lvl w:ilvl="3" w:tplc="56CAF446">
      <w:numFmt w:val="bullet"/>
      <w:lvlText w:val="•"/>
      <w:lvlJc w:val="left"/>
      <w:pPr>
        <w:ind w:left="3916" w:hanging="248"/>
      </w:pPr>
      <w:rPr>
        <w:rFonts w:hint="default"/>
        <w:lang w:val="es-ES" w:eastAsia="en-US" w:bidi="ar-SA"/>
      </w:rPr>
    </w:lvl>
    <w:lvl w:ilvl="4" w:tplc="DEEA5C8A">
      <w:numFmt w:val="bullet"/>
      <w:lvlText w:val="•"/>
      <w:lvlJc w:val="left"/>
      <w:pPr>
        <w:ind w:left="4855" w:hanging="248"/>
      </w:pPr>
      <w:rPr>
        <w:rFonts w:hint="default"/>
        <w:lang w:val="es-ES" w:eastAsia="en-US" w:bidi="ar-SA"/>
      </w:rPr>
    </w:lvl>
    <w:lvl w:ilvl="5" w:tplc="99CA8A40">
      <w:numFmt w:val="bullet"/>
      <w:lvlText w:val="•"/>
      <w:lvlJc w:val="left"/>
      <w:pPr>
        <w:ind w:left="5794" w:hanging="248"/>
      </w:pPr>
      <w:rPr>
        <w:rFonts w:hint="default"/>
        <w:lang w:val="es-ES" w:eastAsia="en-US" w:bidi="ar-SA"/>
      </w:rPr>
    </w:lvl>
    <w:lvl w:ilvl="6" w:tplc="1F82310C">
      <w:numFmt w:val="bullet"/>
      <w:lvlText w:val="•"/>
      <w:lvlJc w:val="left"/>
      <w:pPr>
        <w:ind w:left="6733" w:hanging="248"/>
      </w:pPr>
      <w:rPr>
        <w:rFonts w:hint="default"/>
        <w:lang w:val="es-ES" w:eastAsia="en-US" w:bidi="ar-SA"/>
      </w:rPr>
    </w:lvl>
    <w:lvl w:ilvl="7" w:tplc="193EDA16">
      <w:numFmt w:val="bullet"/>
      <w:lvlText w:val="•"/>
      <w:lvlJc w:val="left"/>
      <w:pPr>
        <w:ind w:left="7672" w:hanging="248"/>
      </w:pPr>
      <w:rPr>
        <w:rFonts w:hint="default"/>
        <w:lang w:val="es-ES" w:eastAsia="en-US" w:bidi="ar-SA"/>
      </w:rPr>
    </w:lvl>
    <w:lvl w:ilvl="8" w:tplc="15C0CE42">
      <w:numFmt w:val="bullet"/>
      <w:lvlText w:val="•"/>
      <w:lvlJc w:val="left"/>
      <w:pPr>
        <w:ind w:left="8611" w:hanging="248"/>
      </w:pPr>
      <w:rPr>
        <w:rFonts w:hint="default"/>
        <w:lang w:val="es-ES" w:eastAsia="en-US" w:bidi="ar-SA"/>
      </w:rPr>
    </w:lvl>
  </w:abstractNum>
  <w:abstractNum w:abstractNumId="263" w15:restartNumberingAfterBreak="0">
    <w:nsid w:val="633128E2"/>
    <w:multiLevelType w:val="hybridMultilevel"/>
    <w:tmpl w:val="212AC21C"/>
    <w:lvl w:ilvl="0" w:tplc="3B0CCA66">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5DFE6B58">
      <w:numFmt w:val="bullet"/>
      <w:lvlText w:val="•"/>
      <w:lvlJc w:val="left"/>
      <w:pPr>
        <w:ind w:left="2038" w:hanging="230"/>
      </w:pPr>
      <w:rPr>
        <w:rFonts w:hint="default"/>
        <w:lang w:val="es-ES" w:eastAsia="en-US" w:bidi="ar-SA"/>
      </w:rPr>
    </w:lvl>
    <w:lvl w:ilvl="2" w:tplc="9A96FA98">
      <w:numFmt w:val="bullet"/>
      <w:lvlText w:val="•"/>
      <w:lvlJc w:val="left"/>
      <w:pPr>
        <w:ind w:left="2977" w:hanging="230"/>
      </w:pPr>
      <w:rPr>
        <w:rFonts w:hint="default"/>
        <w:lang w:val="es-ES" w:eastAsia="en-US" w:bidi="ar-SA"/>
      </w:rPr>
    </w:lvl>
    <w:lvl w:ilvl="3" w:tplc="6030B076">
      <w:numFmt w:val="bullet"/>
      <w:lvlText w:val="•"/>
      <w:lvlJc w:val="left"/>
      <w:pPr>
        <w:ind w:left="3916" w:hanging="230"/>
      </w:pPr>
      <w:rPr>
        <w:rFonts w:hint="default"/>
        <w:lang w:val="es-ES" w:eastAsia="en-US" w:bidi="ar-SA"/>
      </w:rPr>
    </w:lvl>
    <w:lvl w:ilvl="4" w:tplc="17D80216">
      <w:numFmt w:val="bullet"/>
      <w:lvlText w:val="•"/>
      <w:lvlJc w:val="left"/>
      <w:pPr>
        <w:ind w:left="4855" w:hanging="230"/>
      </w:pPr>
      <w:rPr>
        <w:rFonts w:hint="default"/>
        <w:lang w:val="es-ES" w:eastAsia="en-US" w:bidi="ar-SA"/>
      </w:rPr>
    </w:lvl>
    <w:lvl w:ilvl="5" w:tplc="6664912A">
      <w:numFmt w:val="bullet"/>
      <w:lvlText w:val="•"/>
      <w:lvlJc w:val="left"/>
      <w:pPr>
        <w:ind w:left="5794" w:hanging="230"/>
      </w:pPr>
      <w:rPr>
        <w:rFonts w:hint="default"/>
        <w:lang w:val="es-ES" w:eastAsia="en-US" w:bidi="ar-SA"/>
      </w:rPr>
    </w:lvl>
    <w:lvl w:ilvl="6" w:tplc="721AA7EE">
      <w:numFmt w:val="bullet"/>
      <w:lvlText w:val="•"/>
      <w:lvlJc w:val="left"/>
      <w:pPr>
        <w:ind w:left="6733" w:hanging="230"/>
      </w:pPr>
      <w:rPr>
        <w:rFonts w:hint="default"/>
        <w:lang w:val="es-ES" w:eastAsia="en-US" w:bidi="ar-SA"/>
      </w:rPr>
    </w:lvl>
    <w:lvl w:ilvl="7" w:tplc="F8986FD2">
      <w:numFmt w:val="bullet"/>
      <w:lvlText w:val="•"/>
      <w:lvlJc w:val="left"/>
      <w:pPr>
        <w:ind w:left="7672" w:hanging="230"/>
      </w:pPr>
      <w:rPr>
        <w:rFonts w:hint="default"/>
        <w:lang w:val="es-ES" w:eastAsia="en-US" w:bidi="ar-SA"/>
      </w:rPr>
    </w:lvl>
    <w:lvl w:ilvl="8" w:tplc="418C237C">
      <w:numFmt w:val="bullet"/>
      <w:lvlText w:val="•"/>
      <w:lvlJc w:val="left"/>
      <w:pPr>
        <w:ind w:left="8611" w:hanging="230"/>
      </w:pPr>
      <w:rPr>
        <w:rFonts w:hint="default"/>
        <w:lang w:val="es-ES" w:eastAsia="en-US" w:bidi="ar-SA"/>
      </w:rPr>
    </w:lvl>
  </w:abstractNum>
  <w:abstractNum w:abstractNumId="264" w15:restartNumberingAfterBreak="0">
    <w:nsid w:val="6339574A"/>
    <w:multiLevelType w:val="hybridMultilevel"/>
    <w:tmpl w:val="0CB015CC"/>
    <w:lvl w:ilvl="0" w:tplc="7AE05986">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DECE4012">
      <w:start w:val="1"/>
      <w:numFmt w:val="lowerLetter"/>
      <w:lvlText w:val="%2)"/>
      <w:lvlJc w:val="left"/>
      <w:pPr>
        <w:ind w:left="1106" w:hanging="295"/>
        <w:jc w:val="left"/>
      </w:pPr>
      <w:rPr>
        <w:rFonts w:ascii="Arial MT" w:eastAsia="Arial MT" w:hAnsi="Arial MT" w:cs="Arial MT" w:hint="default"/>
        <w:b w:val="0"/>
        <w:bCs w:val="0"/>
        <w:i w:val="0"/>
        <w:iCs w:val="0"/>
        <w:spacing w:val="0"/>
        <w:w w:val="100"/>
        <w:sz w:val="20"/>
        <w:szCs w:val="20"/>
        <w:lang w:val="es-ES" w:eastAsia="en-US" w:bidi="ar-SA"/>
      </w:rPr>
    </w:lvl>
    <w:lvl w:ilvl="2" w:tplc="6CD0088E">
      <w:numFmt w:val="bullet"/>
      <w:lvlText w:val="•"/>
      <w:lvlJc w:val="left"/>
      <w:pPr>
        <w:ind w:left="2977" w:hanging="295"/>
      </w:pPr>
      <w:rPr>
        <w:rFonts w:hint="default"/>
        <w:lang w:val="es-ES" w:eastAsia="en-US" w:bidi="ar-SA"/>
      </w:rPr>
    </w:lvl>
    <w:lvl w:ilvl="3" w:tplc="9952889A">
      <w:numFmt w:val="bullet"/>
      <w:lvlText w:val="•"/>
      <w:lvlJc w:val="left"/>
      <w:pPr>
        <w:ind w:left="3916" w:hanging="295"/>
      </w:pPr>
      <w:rPr>
        <w:rFonts w:hint="default"/>
        <w:lang w:val="es-ES" w:eastAsia="en-US" w:bidi="ar-SA"/>
      </w:rPr>
    </w:lvl>
    <w:lvl w:ilvl="4" w:tplc="0ACA58EE">
      <w:numFmt w:val="bullet"/>
      <w:lvlText w:val="•"/>
      <w:lvlJc w:val="left"/>
      <w:pPr>
        <w:ind w:left="4855" w:hanging="295"/>
      </w:pPr>
      <w:rPr>
        <w:rFonts w:hint="default"/>
        <w:lang w:val="es-ES" w:eastAsia="en-US" w:bidi="ar-SA"/>
      </w:rPr>
    </w:lvl>
    <w:lvl w:ilvl="5" w:tplc="0DDC2F2C">
      <w:numFmt w:val="bullet"/>
      <w:lvlText w:val="•"/>
      <w:lvlJc w:val="left"/>
      <w:pPr>
        <w:ind w:left="5794" w:hanging="295"/>
      </w:pPr>
      <w:rPr>
        <w:rFonts w:hint="default"/>
        <w:lang w:val="es-ES" w:eastAsia="en-US" w:bidi="ar-SA"/>
      </w:rPr>
    </w:lvl>
    <w:lvl w:ilvl="6" w:tplc="2DC8BD22">
      <w:numFmt w:val="bullet"/>
      <w:lvlText w:val="•"/>
      <w:lvlJc w:val="left"/>
      <w:pPr>
        <w:ind w:left="6733" w:hanging="295"/>
      </w:pPr>
      <w:rPr>
        <w:rFonts w:hint="default"/>
        <w:lang w:val="es-ES" w:eastAsia="en-US" w:bidi="ar-SA"/>
      </w:rPr>
    </w:lvl>
    <w:lvl w:ilvl="7" w:tplc="3610532E">
      <w:numFmt w:val="bullet"/>
      <w:lvlText w:val="•"/>
      <w:lvlJc w:val="left"/>
      <w:pPr>
        <w:ind w:left="7672" w:hanging="295"/>
      </w:pPr>
      <w:rPr>
        <w:rFonts w:hint="default"/>
        <w:lang w:val="es-ES" w:eastAsia="en-US" w:bidi="ar-SA"/>
      </w:rPr>
    </w:lvl>
    <w:lvl w:ilvl="8" w:tplc="9B6895E4">
      <w:numFmt w:val="bullet"/>
      <w:lvlText w:val="•"/>
      <w:lvlJc w:val="left"/>
      <w:pPr>
        <w:ind w:left="8611" w:hanging="295"/>
      </w:pPr>
      <w:rPr>
        <w:rFonts w:hint="default"/>
        <w:lang w:val="es-ES" w:eastAsia="en-US" w:bidi="ar-SA"/>
      </w:rPr>
    </w:lvl>
  </w:abstractNum>
  <w:abstractNum w:abstractNumId="265" w15:restartNumberingAfterBreak="0">
    <w:nsid w:val="638E77CC"/>
    <w:multiLevelType w:val="hybridMultilevel"/>
    <w:tmpl w:val="4B5EAC9E"/>
    <w:lvl w:ilvl="0" w:tplc="B0EE47DA">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F966865C">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152CBC30">
      <w:numFmt w:val="bullet"/>
      <w:lvlText w:val="•"/>
      <w:lvlJc w:val="left"/>
      <w:pPr>
        <w:ind w:left="2658" w:hanging="234"/>
      </w:pPr>
      <w:rPr>
        <w:rFonts w:hint="default"/>
        <w:lang w:val="es-ES" w:eastAsia="en-US" w:bidi="ar-SA"/>
      </w:rPr>
    </w:lvl>
    <w:lvl w:ilvl="3" w:tplc="2E2A8E2A">
      <w:numFmt w:val="bullet"/>
      <w:lvlText w:val="•"/>
      <w:lvlJc w:val="left"/>
      <w:pPr>
        <w:ind w:left="3637" w:hanging="234"/>
      </w:pPr>
      <w:rPr>
        <w:rFonts w:hint="default"/>
        <w:lang w:val="es-ES" w:eastAsia="en-US" w:bidi="ar-SA"/>
      </w:rPr>
    </w:lvl>
    <w:lvl w:ilvl="4" w:tplc="4C1C3F22">
      <w:numFmt w:val="bullet"/>
      <w:lvlText w:val="•"/>
      <w:lvlJc w:val="left"/>
      <w:pPr>
        <w:ind w:left="4616" w:hanging="234"/>
      </w:pPr>
      <w:rPr>
        <w:rFonts w:hint="default"/>
        <w:lang w:val="es-ES" w:eastAsia="en-US" w:bidi="ar-SA"/>
      </w:rPr>
    </w:lvl>
    <w:lvl w:ilvl="5" w:tplc="4DB6BE5C">
      <w:numFmt w:val="bullet"/>
      <w:lvlText w:val="•"/>
      <w:lvlJc w:val="left"/>
      <w:pPr>
        <w:ind w:left="5595" w:hanging="234"/>
      </w:pPr>
      <w:rPr>
        <w:rFonts w:hint="default"/>
        <w:lang w:val="es-ES" w:eastAsia="en-US" w:bidi="ar-SA"/>
      </w:rPr>
    </w:lvl>
    <w:lvl w:ilvl="6" w:tplc="42506E8A">
      <w:numFmt w:val="bullet"/>
      <w:lvlText w:val="•"/>
      <w:lvlJc w:val="left"/>
      <w:pPr>
        <w:ind w:left="6574" w:hanging="234"/>
      </w:pPr>
      <w:rPr>
        <w:rFonts w:hint="default"/>
        <w:lang w:val="es-ES" w:eastAsia="en-US" w:bidi="ar-SA"/>
      </w:rPr>
    </w:lvl>
    <w:lvl w:ilvl="7" w:tplc="0DD6233A">
      <w:numFmt w:val="bullet"/>
      <w:lvlText w:val="•"/>
      <w:lvlJc w:val="left"/>
      <w:pPr>
        <w:ind w:left="7553" w:hanging="234"/>
      </w:pPr>
      <w:rPr>
        <w:rFonts w:hint="default"/>
        <w:lang w:val="es-ES" w:eastAsia="en-US" w:bidi="ar-SA"/>
      </w:rPr>
    </w:lvl>
    <w:lvl w:ilvl="8" w:tplc="E2768C98">
      <w:numFmt w:val="bullet"/>
      <w:lvlText w:val="•"/>
      <w:lvlJc w:val="left"/>
      <w:pPr>
        <w:ind w:left="8531" w:hanging="234"/>
      </w:pPr>
      <w:rPr>
        <w:rFonts w:hint="default"/>
        <w:lang w:val="es-ES" w:eastAsia="en-US" w:bidi="ar-SA"/>
      </w:rPr>
    </w:lvl>
  </w:abstractNum>
  <w:abstractNum w:abstractNumId="266" w15:restartNumberingAfterBreak="0">
    <w:nsid w:val="639B05BD"/>
    <w:multiLevelType w:val="hybridMultilevel"/>
    <w:tmpl w:val="8BCA5246"/>
    <w:lvl w:ilvl="0" w:tplc="D654F2A2">
      <w:start w:val="1"/>
      <w:numFmt w:val="decimal"/>
      <w:lvlText w:val="%1."/>
      <w:lvlJc w:val="left"/>
      <w:pPr>
        <w:ind w:left="1106" w:hanging="268"/>
        <w:jc w:val="left"/>
      </w:pPr>
      <w:rPr>
        <w:rFonts w:ascii="Arial MT" w:eastAsia="Arial MT" w:hAnsi="Arial MT" w:cs="Arial MT" w:hint="default"/>
        <w:b w:val="0"/>
        <w:bCs w:val="0"/>
        <w:i w:val="0"/>
        <w:iCs w:val="0"/>
        <w:spacing w:val="0"/>
        <w:w w:val="100"/>
        <w:sz w:val="20"/>
        <w:szCs w:val="20"/>
        <w:lang w:val="es-ES" w:eastAsia="en-US" w:bidi="ar-SA"/>
      </w:rPr>
    </w:lvl>
    <w:lvl w:ilvl="1" w:tplc="B28668BC">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4D1236D2">
      <w:numFmt w:val="bullet"/>
      <w:lvlText w:val="•"/>
      <w:lvlJc w:val="left"/>
      <w:pPr>
        <w:ind w:left="2658" w:hanging="234"/>
      </w:pPr>
      <w:rPr>
        <w:rFonts w:hint="default"/>
        <w:lang w:val="es-ES" w:eastAsia="en-US" w:bidi="ar-SA"/>
      </w:rPr>
    </w:lvl>
    <w:lvl w:ilvl="3" w:tplc="8DF0A85E">
      <w:numFmt w:val="bullet"/>
      <w:lvlText w:val="•"/>
      <w:lvlJc w:val="left"/>
      <w:pPr>
        <w:ind w:left="3637" w:hanging="234"/>
      </w:pPr>
      <w:rPr>
        <w:rFonts w:hint="default"/>
        <w:lang w:val="es-ES" w:eastAsia="en-US" w:bidi="ar-SA"/>
      </w:rPr>
    </w:lvl>
    <w:lvl w:ilvl="4" w:tplc="99562858">
      <w:numFmt w:val="bullet"/>
      <w:lvlText w:val="•"/>
      <w:lvlJc w:val="left"/>
      <w:pPr>
        <w:ind w:left="4616" w:hanging="234"/>
      </w:pPr>
      <w:rPr>
        <w:rFonts w:hint="default"/>
        <w:lang w:val="es-ES" w:eastAsia="en-US" w:bidi="ar-SA"/>
      </w:rPr>
    </w:lvl>
    <w:lvl w:ilvl="5" w:tplc="15B8831C">
      <w:numFmt w:val="bullet"/>
      <w:lvlText w:val="•"/>
      <w:lvlJc w:val="left"/>
      <w:pPr>
        <w:ind w:left="5595" w:hanging="234"/>
      </w:pPr>
      <w:rPr>
        <w:rFonts w:hint="default"/>
        <w:lang w:val="es-ES" w:eastAsia="en-US" w:bidi="ar-SA"/>
      </w:rPr>
    </w:lvl>
    <w:lvl w:ilvl="6" w:tplc="4BA452A2">
      <w:numFmt w:val="bullet"/>
      <w:lvlText w:val="•"/>
      <w:lvlJc w:val="left"/>
      <w:pPr>
        <w:ind w:left="6574" w:hanging="234"/>
      </w:pPr>
      <w:rPr>
        <w:rFonts w:hint="default"/>
        <w:lang w:val="es-ES" w:eastAsia="en-US" w:bidi="ar-SA"/>
      </w:rPr>
    </w:lvl>
    <w:lvl w:ilvl="7" w:tplc="6B029DAC">
      <w:numFmt w:val="bullet"/>
      <w:lvlText w:val="•"/>
      <w:lvlJc w:val="left"/>
      <w:pPr>
        <w:ind w:left="7553" w:hanging="234"/>
      </w:pPr>
      <w:rPr>
        <w:rFonts w:hint="default"/>
        <w:lang w:val="es-ES" w:eastAsia="en-US" w:bidi="ar-SA"/>
      </w:rPr>
    </w:lvl>
    <w:lvl w:ilvl="8" w:tplc="393C01FA">
      <w:numFmt w:val="bullet"/>
      <w:lvlText w:val="•"/>
      <w:lvlJc w:val="left"/>
      <w:pPr>
        <w:ind w:left="8531" w:hanging="234"/>
      </w:pPr>
      <w:rPr>
        <w:rFonts w:hint="default"/>
        <w:lang w:val="es-ES" w:eastAsia="en-US" w:bidi="ar-SA"/>
      </w:rPr>
    </w:lvl>
  </w:abstractNum>
  <w:abstractNum w:abstractNumId="267" w15:restartNumberingAfterBreak="0">
    <w:nsid w:val="63C30AB0"/>
    <w:multiLevelType w:val="hybridMultilevel"/>
    <w:tmpl w:val="4D424100"/>
    <w:lvl w:ilvl="0" w:tplc="EBE6952A">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141E2800">
      <w:numFmt w:val="bullet"/>
      <w:lvlText w:val="•"/>
      <w:lvlJc w:val="left"/>
      <w:pPr>
        <w:ind w:left="2038" w:hanging="255"/>
      </w:pPr>
      <w:rPr>
        <w:rFonts w:hint="default"/>
        <w:lang w:val="es-ES" w:eastAsia="en-US" w:bidi="ar-SA"/>
      </w:rPr>
    </w:lvl>
    <w:lvl w:ilvl="2" w:tplc="D8024CB2">
      <w:numFmt w:val="bullet"/>
      <w:lvlText w:val="•"/>
      <w:lvlJc w:val="left"/>
      <w:pPr>
        <w:ind w:left="2977" w:hanging="255"/>
      </w:pPr>
      <w:rPr>
        <w:rFonts w:hint="default"/>
        <w:lang w:val="es-ES" w:eastAsia="en-US" w:bidi="ar-SA"/>
      </w:rPr>
    </w:lvl>
    <w:lvl w:ilvl="3" w:tplc="D4BCCDE2">
      <w:numFmt w:val="bullet"/>
      <w:lvlText w:val="•"/>
      <w:lvlJc w:val="left"/>
      <w:pPr>
        <w:ind w:left="3916" w:hanging="255"/>
      </w:pPr>
      <w:rPr>
        <w:rFonts w:hint="default"/>
        <w:lang w:val="es-ES" w:eastAsia="en-US" w:bidi="ar-SA"/>
      </w:rPr>
    </w:lvl>
    <w:lvl w:ilvl="4" w:tplc="D4BA9406">
      <w:numFmt w:val="bullet"/>
      <w:lvlText w:val="•"/>
      <w:lvlJc w:val="left"/>
      <w:pPr>
        <w:ind w:left="4855" w:hanging="255"/>
      </w:pPr>
      <w:rPr>
        <w:rFonts w:hint="default"/>
        <w:lang w:val="es-ES" w:eastAsia="en-US" w:bidi="ar-SA"/>
      </w:rPr>
    </w:lvl>
    <w:lvl w:ilvl="5" w:tplc="101A1988">
      <w:numFmt w:val="bullet"/>
      <w:lvlText w:val="•"/>
      <w:lvlJc w:val="left"/>
      <w:pPr>
        <w:ind w:left="5794" w:hanging="255"/>
      </w:pPr>
      <w:rPr>
        <w:rFonts w:hint="default"/>
        <w:lang w:val="es-ES" w:eastAsia="en-US" w:bidi="ar-SA"/>
      </w:rPr>
    </w:lvl>
    <w:lvl w:ilvl="6" w:tplc="E6E225DC">
      <w:numFmt w:val="bullet"/>
      <w:lvlText w:val="•"/>
      <w:lvlJc w:val="left"/>
      <w:pPr>
        <w:ind w:left="6733" w:hanging="255"/>
      </w:pPr>
      <w:rPr>
        <w:rFonts w:hint="default"/>
        <w:lang w:val="es-ES" w:eastAsia="en-US" w:bidi="ar-SA"/>
      </w:rPr>
    </w:lvl>
    <w:lvl w:ilvl="7" w:tplc="D9A4FA6E">
      <w:numFmt w:val="bullet"/>
      <w:lvlText w:val="•"/>
      <w:lvlJc w:val="left"/>
      <w:pPr>
        <w:ind w:left="7672" w:hanging="255"/>
      </w:pPr>
      <w:rPr>
        <w:rFonts w:hint="default"/>
        <w:lang w:val="es-ES" w:eastAsia="en-US" w:bidi="ar-SA"/>
      </w:rPr>
    </w:lvl>
    <w:lvl w:ilvl="8" w:tplc="164819E4">
      <w:numFmt w:val="bullet"/>
      <w:lvlText w:val="•"/>
      <w:lvlJc w:val="left"/>
      <w:pPr>
        <w:ind w:left="8611" w:hanging="255"/>
      </w:pPr>
      <w:rPr>
        <w:rFonts w:hint="default"/>
        <w:lang w:val="es-ES" w:eastAsia="en-US" w:bidi="ar-SA"/>
      </w:rPr>
    </w:lvl>
  </w:abstractNum>
  <w:abstractNum w:abstractNumId="268" w15:restartNumberingAfterBreak="0">
    <w:nsid w:val="642E0890"/>
    <w:multiLevelType w:val="hybridMultilevel"/>
    <w:tmpl w:val="3EF47A50"/>
    <w:lvl w:ilvl="0" w:tplc="F40AE0F8">
      <w:start w:val="1"/>
      <w:numFmt w:val="decimal"/>
      <w:lvlText w:val="%1."/>
      <w:lvlJc w:val="left"/>
      <w:pPr>
        <w:ind w:left="1106" w:hanging="260"/>
        <w:jc w:val="left"/>
      </w:pPr>
      <w:rPr>
        <w:rFonts w:ascii="Arial MT" w:eastAsia="Arial MT" w:hAnsi="Arial MT" w:cs="Arial MT" w:hint="default"/>
        <w:b w:val="0"/>
        <w:bCs w:val="0"/>
        <w:i w:val="0"/>
        <w:iCs w:val="0"/>
        <w:spacing w:val="0"/>
        <w:w w:val="100"/>
        <w:sz w:val="20"/>
        <w:szCs w:val="20"/>
        <w:lang w:val="es-ES" w:eastAsia="en-US" w:bidi="ar-SA"/>
      </w:rPr>
    </w:lvl>
    <w:lvl w:ilvl="1" w:tplc="46129004">
      <w:start w:val="1"/>
      <w:numFmt w:val="lowerLetter"/>
      <w:lvlText w:val="%2)"/>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2" w:tplc="52B20CE0">
      <w:numFmt w:val="bullet"/>
      <w:lvlText w:val="•"/>
      <w:lvlJc w:val="left"/>
      <w:pPr>
        <w:ind w:left="2977" w:hanging="241"/>
      </w:pPr>
      <w:rPr>
        <w:rFonts w:hint="default"/>
        <w:lang w:val="es-ES" w:eastAsia="en-US" w:bidi="ar-SA"/>
      </w:rPr>
    </w:lvl>
    <w:lvl w:ilvl="3" w:tplc="33A0CEA2">
      <w:numFmt w:val="bullet"/>
      <w:lvlText w:val="•"/>
      <w:lvlJc w:val="left"/>
      <w:pPr>
        <w:ind w:left="3916" w:hanging="241"/>
      </w:pPr>
      <w:rPr>
        <w:rFonts w:hint="default"/>
        <w:lang w:val="es-ES" w:eastAsia="en-US" w:bidi="ar-SA"/>
      </w:rPr>
    </w:lvl>
    <w:lvl w:ilvl="4" w:tplc="B8E6E496">
      <w:numFmt w:val="bullet"/>
      <w:lvlText w:val="•"/>
      <w:lvlJc w:val="left"/>
      <w:pPr>
        <w:ind w:left="4855" w:hanging="241"/>
      </w:pPr>
      <w:rPr>
        <w:rFonts w:hint="default"/>
        <w:lang w:val="es-ES" w:eastAsia="en-US" w:bidi="ar-SA"/>
      </w:rPr>
    </w:lvl>
    <w:lvl w:ilvl="5" w:tplc="FE86E164">
      <w:numFmt w:val="bullet"/>
      <w:lvlText w:val="•"/>
      <w:lvlJc w:val="left"/>
      <w:pPr>
        <w:ind w:left="5794" w:hanging="241"/>
      </w:pPr>
      <w:rPr>
        <w:rFonts w:hint="default"/>
        <w:lang w:val="es-ES" w:eastAsia="en-US" w:bidi="ar-SA"/>
      </w:rPr>
    </w:lvl>
    <w:lvl w:ilvl="6" w:tplc="67882FE6">
      <w:numFmt w:val="bullet"/>
      <w:lvlText w:val="•"/>
      <w:lvlJc w:val="left"/>
      <w:pPr>
        <w:ind w:left="6733" w:hanging="241"/>
      </w:pPr>
      <w:rPr>
        <w:rFonts w:hint="default"/>
        <w:lang w:val="es-ES" w:eastAsia="en-US" w:bidi="ar-SA"/>
      </w:rPr>
    </w:lvl>
    <w:lvl w:ilvl="7" w:tplc="031812BC">
      <w:numFmt w:val="bullet"/>
      <w:lvlText w:val="•"/>
      <w:lvlJc w:val="left"/>
      <w:pPr>
        <w:ind w:left="7672" w:hanging="241"/>
      </w:pPr>
      <w:rPr>
        <w:rFonts w:hint="default"/>
        <w:lang w:val="es-ES" w:eastAsia="en-US" w:bidi="ar-SA"/>
      </w:rPr>
    </w:lvl>
    <w:lvl w:ilvl="8" w:tplc="2EA01640">
      <w:numFmt w:val="bullet"/>
      <w:lvlText w:val="•"/>
      <w:lvlJc w:val="left"/>
      <w:pPr>
        <w:ind w:left="8611" w:hanging="241"/>
      </w:pPr>
      <w:rPr>
        <w:rFonts w:hint="default"/>
        <w:lang w:val="es-ES" w:eastAsia="en-US" w:bidi="ar-SA"/>
      </w:rPr>
    </w:lvl>
  </w:abstractNum>
  <w:abstractNum w:abstractNumId="269" w15:restartNumberingAfterBreak="0">
    <w:nsid w:val="64E145C6"/>
    <w:multiLevelType w:val="hybridMultilevel"/>
    <w:tmpl w:val="0966D7CC"/>
    <w:lvl w:ilvl="0" w:tplc="248A4442">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08085C6A">
      <w:numFmt w:val="bullet"/>
      <w:lvlText w:val="•"/>
      <w:lvlJc w:val="left"/>
      <w:pPr>
        <w:ind w:left="2038" w:hanging="228"/>
      </w:pPr>
      <w:rPr>
        <w:rFonts w:hint="default"/>
        <w:lang w:val="es-ES" w:eastAsia="en-US" w:bidi="ar-SA"/>
      </w:rPr>
    </w:lvl>
    <w:lvl w:ilvl="2" w:tplc="D500EB94">
      <w:numFmt w:val="bullet"/>
      <w:lvlText w:val="•"/>
      <w:lvlJc w:val="left"/>
      <w:pPr>
        <w:ind w:left="2977" w:hanging="228"/>
      </w:pPr>
      <w:rPr>
        <w:rFonts w:hint="default"/>
        <w:lang w:val="es-ES" w:eastAsia="en-US" w:bidi="ar-SA"/>
      </w:rPr>
    </w:lvl>
    <w:lvl w:ilvl="3" w:tplc="16ECBAD8">
      <w:numFmt w:val="bullet"/>
      <w:lvlText w:val="•"/>
      <w:lvlJc w:val="left"/>
      <w:pPr>
        <w:ind w:left="3916" w:hanging="228"/>
      </w:pPr>
      <w:rPr>
        <w:rFonts w:hint="default"/>
        <w:lang w:val="es-ES" w:eastAsia="en-US" w:bidi="ar-SA"/>
      </w:rPr>
    </w:lvl>
    <w:lvl w:ilvl="4" w:tplc="8CC60FAE">
      <w:numFmt w:val="bullet"/>
      <w:lvlText w:val="•"/>
      <w:lvlJc w:val="left"/>
      <w:pPr>
        <w:ind w:left="4855" w:hanging="228"/>
      </w:pPr>
      <w:rPr>
        <w:rFonts w:hint="default"/>
        <w:lang w:val="es-ES" w:eastAsia="en-US" w:bidi="ar-SA"/>
      </w:rPr>
    </w:lvl>
    <w:lvl w:ilvl="5" w:tplc="DD524E9E">
      <w:numFmt w:val="bullet"/>
      <w:lvlText w:val="•"/>
      <w:lvlJc w:val="left"/>
      <w:pPr>
        <w:ind w:left="5794" w:hanging="228"/>
      </w:pPr>
      <w:rPr>
        <w:rFonts w:hint="default"/>
        <w:lang w:val="es-ES" w:eastAsia="en-US" w:bidi="ar-SA"/>
      </w:rPr>
    </w:lvl>
    <w:lvl w:ilvl="6" w:tplc="91ACE47C">
      <w:numFmt w:val="bullet"/>
      <w:lvlText w:val="•"/>
      <w:lvlJc w:val="left"/>
      <w:pPr>
        <w:ind w:left="6733" w:hanging="228"/>
      </w:pPr>
      <w:rPr>
        <w:rFonts w:hint="default"/>
        <w:lang w:val="es-ES" w:eastAsia="en-US" w:bidi="ar-SA"/>
      </w:rPr>
    </w:lvl>
    <w:lvl w:ilvl="7" w:tplc="FB90634C">
      <w:numFmt w:val="bullet"/>
      <w:lvlText w:val="•"/>
      <w:lvlJc w:val="left"/>
      <w:pPr>
        <w:ind w:left="7672" w:hanging="228"/>
      </w:pPr>
      <w:rPr>
        <w:rFonts w:hint="default"/>
        <w:lang w:val="es-ES" w:eastAsia="en-US" w:bidi="ar-SA"/>
      </w:rPr>
    </w:lvl>
    <w:lvl w:ilvl="8" w:tplc="C514017C">
      <w:numFmt w:val="bullet"/>
      <w:lvlText w:val="•"/>
      <w:lvlJc w:val="left"/>
      <w:pPr>
        <w:ind w:left="8611" w:hanging="228"/>
      </w:pPr>
      <w:rPr>
        <w:rFonts w:hint="default"/>
        <w:lang w:val="es-ES" w:eastAsia="en-US" w:bidi="ar-SA"/>
      </w:rPr>
    </w:lvl>
  </w:abstractNum>
  <w:abstractNum w:abstractNumId="270" w15:restartNumberingAfterBreak="0">
    <w:nsid w:val="65233FCF"/>
    <w:multiLevelType w:val="hybridMultilevel"/>
    <w:tmpl w:val="75C20874"/>
    <w:lvl w:ilvl="0" w:tplc="C722E2EC">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2CB0DEB2">
      <w:start w:val="1"/>
      <w:numFmt w:val="lowerLetter"/>
      <w:lvlText w:val="%2)"/>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2" w:tplc="D7A0B488">
      <w:numFmt w:val="bullet"/>
      <w:lvlText w:val="•"/>
      <w:lvlJc w:val="left"/>
      <w:pPr>
        <w:ind w:left="2977" w:hanging="271"/>
      </w:pPr>
      <w:rPr>
        <w:rFonts w:hint="default"/>
        <w:lang w:val="es-ES" w:eastAsia="en-US" w:bidi="ar-SA"/>
      </w:rPr>
    </w:lvl>
    <w:lvl w:ilvl="3" w:tplc="7BD61FEC">
      <w:numFmt w:val="bullet"/>
      <w:lvlText w:val="•"/>
      <w:lvlJc w:val="left"/>
      <w:pPr>
        <w:ind w:left="3916" w:hanging="271"/>
      </w:pPr>
      <w:rPr>
        <w:rFonts w:hint="default"/>
        <w:lang w:val="es-ES" w:eastAsia="en-US" w:bidi="ar-SA"/>
      </w:rPr>
    </w:lvl>
    <w:lvl w:ilvl="4" w:tplc="FC666044">
      <w:numFmt w:val="bullet"/>
      <w:lvlText w:val="•"/>
      <w:lvlJc w:val="left"/>
      <w:pPr>
        <w:ind w:left="4855" w:hanging="271"/>
      </w:pPr>
      <w:rPr>
        <w:rFonts w:hint="default"/>
        <w:lang w:val="es-ES" w:eastAsia="en-US" w:bidi="ar-SA"/>
      </w:rPr>
    </w:lvl>
    <w:lvl w:ilvl="5" w:tplc="88FCD52E">
      <w:numFmt w:val="bullet"/>
      <w:lvlText w:val="•"/>
      <w:lvlJc w:val="left"/>
      <w:pPr>
        <w:ind w:left="5794" w:hanging="271"/>
      </w:pPr>
      <w:rPr>
        <w:rFonts w:hint="default"/>
        <w:lang w:val="es-ES" w:eastAsia="en-US" w:bidi="ar-SA"/>
      </w:rPr>
    </w:lvl>
    <w:lvl w:ilvl="6" w:tplc="F72051F2">
      <w:numFmt w:val="bullet"/>
      <w:lvlText w:val="•"/>
      <w:lvlJc w:val="left"/>
      <w:pPr>
        <w:ind w:left="6733" w:hanging="271"/>
      </w:pPr>
      <w:rPr>
        <w:rFonts w:hint="default"/>
        <w:lang w:val="es-ES" w:eastAsia="en-US" w:bidi="ar-SA"/>
      </w:rPr>
    </w:lvl>
    <w:lvl w:ilvl="7" w:tplc="056666B2">
      <w:numFmt w:val="bullet"/>
      <w:lvlText w:val="•"/>
      <w:lvlJc w:val="left"/>
      <w:pPr>
        <w:ind w:left="7672" w:hanging="271"/>
      </w:pPr>
      <w:rPr>
        <w:rFonts w:hint="default"/>
        <w:lang w:val="es-ES" w:eastAsia="en-US" w:bidi="ar-SA"/>
      </w:rPr>
    </w:lvl>
    <w:lvl w:ilvl="8" w:tplc="273C867C">
      <w:numFmt w:val="bullet"/>
      <w:lvlText w:val="•"/>
      <w:lvlJc w:val="left"/>
      <w:pPr>
        <w:ind w:left="8611" w:hanging="271"/>
      </w:pPr>
      <w:rPr>
        <w:rFonts w:hint="default"/>
        <w:lang w:val="es-ES" w:eastAsia="en-US" w:bidi="ar-SA"/>
      </w:rPr>
    </w:lvl>
  </w:abstractNum>
  <w:abstractNum w:abstractNumId="271" w15:restartNumberingAfterBreak="0">
    <w:nsid w:val="65A12435"/>
    <w:multiLevelType w:val="hybridMultilevel"/>
    <w:tmpl w:val="9350EE04"/>
    <w:lvl w:ilvl="0" w:tplc="B5F29920">
      <w:start w:val="1"/>
      <w:numFmt w:val="decimal"/>
      <w:lvlText w:val="%1."/>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1" w:tplc="F2F2BFF8">
      <w:numFmt w:val="bullet"/>
      <w:lvlText w:val="•"/>
      <w:lvlJc w:val="left"/>
      <w:pPr>
        <w:ind w:left="2038" w:hanging="263"/>
      </w:pPr>
      <w:rPr>
        <w:rFonts w:hint="default"/>
        <w:lang w:val="es-ES" w:eastAsia="en-US" w:bidi="ar-SA"/>
      </w:rPr>
    </w:lvl>
    <w:lvl w:ilvl="2" w:tplc="37D8CAF4">
      <w:numFmt w:val="bullet"/>
      <w:lvlText w:val="•"/>
      <w:lvlJc w:val="left"/>
      <w:pPr>
        <w:ind w:left="2977" w:hanging="263"/>
      </w:pPr>
      <w:rPr>
        <w:rFonts w:hint="default"/>
        <w:lang w:val="es-ES" w:eastAsia="en-US" w:bidi="ar-SA"/>
      </w:rPr>
    </w:lvl>
    <w:lvl w:ilvl="3" w:tplc="AA74BC64">
      <w:numFmt w:val="bullet"/>
      <w:lvlText w:val="•"/>
      <w:lvlJc w:val="left"/>
      <w:pPr>
        <w:ind w:left="3916" w:hanging="263"/>
      </w:pPr>
      <w:rPr>
        <w:rFonts w:hint="default"/>
        <w:lang w:val="es-ES" w:eastAsia="en-US" w:bidi="ar-SA"/>
      </w:rPr>
    </w:lvl>
    <w:lvl w:ilvl="4" w:tplc="01348D50">
      <w:numFmt w:val="bullet"/>
      <w:lvlText w:val="•"/>
      <w:lvlJc w:val="left"/>
      <w:pPr>
        <w:ind w:left="4855" w:hanging="263"/>
      </w:pPr>
      <w:rPr>
        <w:rFonts w:hint="default"/>
        <w:lang w:val="es-ES" w:eastAsia="en-US" w:bidi="ar-SA"/>
      </w:rPr>
    </w:lvl>
    <w:lvl w:ilvl="5" w:tplc="AE58F3F0">
      <w:numFmt w:val="bullet"/>
      <w:lvlText w:val="•"/>
      <w:lvlJc w:val="left"/>
      <w:pPr>
        <w:ind w:left="5794" w:hanging="263"/>
      </w:pPr>
      <w:rPr>
        <w:rFonts w:hint="default"/>
        <w:lang w:val="es-ES" w:eastAsia="en-US" w:bidi="ar-SA"/>
      </w:rPr>
    </w:lvl>
    <w:lvl w:ilvl="6" w:tplc="D612FE62">
      <w:numFmt w:val="bullet"/>
      <w:lvlText w:val="•"/>
      <w:lvlJc w:val="left"/>
      <w:pPr>
        <w:ind w:left="6733" w:hanging="263"/>
      </w:pPr>
      <w:rPr>
        <w:rFonts w:hint="default"/>
        <w:lang w:val="es-ES" w:eastAsia="en-US" w:bidi="ar-SA"/>
      </w:rPr>
    </w:lvl>
    <w:lvl w:ilvl="7" w:tplc="AEAA59FA">
      <w:numFmt w:val="bullet"/>
      <w:lvlText w:val="•"/>
      <w:lvlJc w:val="left"/>
      <w:pPr>
        <w:ind w:left="7672" w:hanging="263"/>
      </w:pPr>
      <w:rPr>
        <w:rFonts w:hint="default"/>
        <w:lang w:val="es-ES" w:eastAsia="en-US" w:bidi="ar-SA"/>
      </w:rPr>
    </w:lvl>
    <w:lvl w:ilvl="8" w:tplc="597EA09E">
      <w:numFmt w:val="bullet"/>
      <w:lvlText w:val="•"/>
      <w:lvlJc w:val="left"/>
      <w:pPr>
        <w:ind w:left="8611" w:hanging="263"/>
      </w:pPr>
      <w:rPr>
        <w:rFonts w:hint="default"/>
        <w:lang w:val="es-ES" w:eastAsia="en-US" w:bidi="ar-SA"/>
      </w:rPr>
    </w:lvl>
  </w:abstractNum>
  <w:abstractNum w:abstractNumId="272" w15:restartNumberingAfterBreak="0">
    <w:nsid w:val="65C04078"/>
    <w:multiLevelType w:val="hybridMultilevel"/>
    <w:tmpl w:val="15F6FAD2"/>
    <w:lvl w:ilvl="0" w:tplc="EB6650AC">
      <w:start w:val="1"/>
      <w:numFmt w:val="decimal"/>
      <w:lvlText w:val="%1."/>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1" w:tplc="5F604AE0">
      <w:numFmt w:val="bullet"/>
      <w:lvlText w:val="•"/>
      <w:lvlJc w:val="left"/>
      <w:pPr>
        <w:ind w:left="2038" w:hanging="271"/>
      </w:pPr>
      <w:rPr>
        <w:rFonts w:hint="default"/>
        <w:lang w:val="es-ES" w:eastAsia="en-US" w:bidi="ar-SA"/>
      </w:rPr>
    </w:lvl>
    <w:lvl w:ilvl="2" w:tplc="046CDC90">
      <w:numFmt w:val="bullet"/>
      <w:lvlText w:val="•"/>
      <w:lvlJc w:val="left"/>
      <w:pPr>
        <w:ind w:left="2977" w:hanging="271"/>
      </w:pPr>
      <w:rPr>
        <w:rFonts w:hint="default"/>
        <w:lang w:val="es-ES" w:eastAsia="en-US" w:bidi="ar-SA"/>
      </w:rPr>
    </w:lvl>
    <w:lvl w:ilvl="3" w:tplc="0180E516">
      <w:numFmt w:val="bullet"/>
      <w:lvlText w:val="•"/>
      <w:lvlJc w:val="left"/>
      <w:pPr>
        <w:ind w:left="3916" w:hanging="271"/>
      </w:pPr>
      <w:rPr>
        <w:rFonts w:hint="default"/>
        <w:lang w:val="es-ES" w:eastAsia="en-US" w:bidi="ar-SA"/>
      </w:rPr>
    </w:lvl>
    <w:lvl w:ilvl="4" w:tplc="420C3058">
      <w:numFmt w:val="bullet"/>
      <w:lvlText w:val="•"/>
      <w:lvlJc w:val="left"/>
      <w:pPr>
        <w:ind w:left="4855" w:hanging="271"/>
      </w:pPr>
      <w:rPr>
        <w:rFonts w:hint="default"/>
        <w:lang w:val="es-ES" w:eastAsia="en-US" w:bidi="ar-SA"/>
      </w:rPr>
    </w:lvl>
    <w:lvl w:ilvl="5" w:tplc="045EE590">
      <w:numFmt w:val="bullet"/>
      <w:lvlText w:val="•"/>
      <w:lvlJc w:val="left"/>
      <w:pPr>
        <w:ind w:left="5794" w:hanging="271"/>
      </w:pPr>
      <w:rPr>
        <w:rFonts w:hint="default"/>
        <w:lang w:val="es-ES" w:eastAsia="en-US" w:bidi="ar-SA"/>
      </w:rPr>
    </w:lvl>
    <w:lvl w:ilvl="6" w:tplc="66D449C6">
      <w:numFmt w:val="bullet"/>
      <w:lvlText w:val="•"/>
      <w:lvlJc w:val="left"/>
      <w:pPr>
        <w:ind w:left="6733" w:hanging="271"/>
      </w:pPr>
      <w:rPr>
        <w:rFonts w:hint="default"/>
        <w:lang w:val="es-ES" w:eastAsia="en-US" w:bidi="ar-SA"/>
      </w:rPr>
    </w:lvl>
    <w:lvl w:ilvl="7" w:tplc="C050678C">
      <w:numFmt w:val="bullet"/>
      <w:lvlText w:val="•"/>
      <w:lvlJc w:val="left"/>
      <w:pPr>
        <w:ind w:left="7672" w:hanging="271"/>
      </w:pPr>
      <w:rPr>
        <w:rFonts w:hint="default"/>
        <w:lang w:val="es-ES" w:eastAsia="en-US" w:bidi="ar-SA"/>
      </w:rPr>
    </w:lvl>
    <w:lvl w:ilvl="8" w:tplc="F7A63CA8">
      <w:numFmt w:val="bullet"/>
      <w:lvlText w:val="•"/>
      <w:lvlJc w:val="left"/>
      <w:pPr>
        <w:ind w:left="8611" w:hanging="271"/>
      </w:pPr>
      <w:rPr>
        <w:rFonts w:hint="default"/>
        <w:lang w:val="es-ES" w:eastAsia="en-US" w:bidi="ar-SA"/>
      </w:rPr>
    </w:lvl>
  </w:abstractNum>
  <w:abstractNum w:abstractNumId="273" w15:restartNumberingAfterBreak="0">
    <w:nsid w:val="660C2115"/>
    <w:multiLevelType w:val="hybridMultilevel"/>
    <w:tmpl w:val="90D6F7E4"/>
    <w:lvl w:ilvl="0" w:tplc="6DB6593E">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FB268C16">
      <w:numFmt w:val="bullet"/>
      <w:lvlText w:val="•"/>
      <w:lvlJc w:val="left"/>
      <w:pPr>
        <w:ind w:left="2038" w:hanging="255"/>
      </w:pPr>
      <w:rPr>
        <w:rFonts w:hint="default"/>
        <w:lang w:val="es-ES" w:eastAsia="en-US" w:bidi="ar-SA"/>
      </w:rPr>
    </w:lvl>
    <w:lvl w:ilvl="2" w:tplc="8FAC3FAE">
      <w:numFmt w:val="bullet"/>
      <w:lvlText w:val="•"/>
      <w:lvlJc w:val="left"/>
      <w:pPr>
        <w:ind w:left="2977" w:hanging="255"/>
      </w:pPr>
      <w:rPr>
        <w:rFonts w:hint="default"/>
        <w:lang w:val="es-ES" w:eastAsia="en-US" w:bidi="ar-SA"/>
      </w:rPr>
    </w:lvl>
    <w:lvl w:ilvl="3" w:tplc="70F4C680">
      <w:numFmt w:val="bullet"/>
      <w:lvlText w:val="•"/>
      <w:lvlJc w:val="left"/>
      <w:pPr>
        <w:ind w:left="3916" w:hanging="255"/>
      </w:pPr>
      <w:rPr>
        <w:rFonts w:hint="default"/>
        <w:lang w:val="es-ES" w:eastAsia="en-US" w:bidi="ar-SA"/>
      </w:rPr>
    </w:lvl>
    <w:lvl w:ilvl="4" w:tplc="B07ADCE0">
      <w:numFmt w:val="bullet"/>
      <w:lvlText w:val="•"/>
      <w:lvlJc w:val="left"/>
      <w:pPr>
        <w:ind w:left="4855" w:hanging="255"/>
      </w:pPr>
      <w:rPr>
        <w:rFonts w:hint="default"/>
        <w:lang w:val="es-ES" w:eastAsia="en-US" w:bidi="ar-SA"/>
      </w:rPr>
    </w:lvl>
    <w:lvl w:ilvl="5" w:tplc="189EC8D2">
      <w:numFmt w:val="bullet"/>
      <w:lvlText w:val="•"/>
      <w:lvlJc w:val="left"/>
      <w:pPr>
        <w:ind w:left="5794" w:hanging="255"/>
      </w:pPr>
      <w:rPr>
        <w:rFonts w:hint="default"/>
        <w:lang w:val="es-ES" w:eastAsia="en-US" w:bidi="ar-SA"/>
      </w:rPr>
    </w:lvl>
    <w:lvl w:ilvl="6" w:tplc="BE96F1AA">
      <w:numFmt w:val="bullet"/>
      <w:lvlText w:val="•"/>
      <w:lvlJc w:val="left"/>
      <w:pPr>
        <w:ind w:left="6733" w:hanging="255"/>
      </w:pPr>
      <w:rPr>
        <w:rFonts w:hint="default"/>
        <w:lang w:val="es-ES" w:eastAsia="en-US" w:bidi="ar-SA"/>
      </w:rPr>
    </w:lvl>
    <w:lvl w:ilvl="7" w:tplc="A150F18E">
      <w:numFmt w:val="bullet"/>
      <w:lvlText w:val="•"/>
      <w:lvlJc w:val="left"/>
      <w:pPr>
        <w:ind w:left="7672" w:hanging="255"/>
      </w:pPr>
      <w:rPr>
        <w:rFonts w:hint="default"/>
        <w:lang w:val="es-ES" w:eastAsia="en-US" w:bidi="ar-SA"/>
      </w:rPr>
    </w:lvl>
    <w:lvl w:ilvl="8" w:tplc="8ABA69AA">
      <w:numFmt w:val="bullet"/>
      <w:lvlText w:val="•"/>
      <w:lvlJc w:val="left"/>
      <w:pPr>
        <w:ind w:left="8611" w:hanging="255"/>
      </w:pPr>
      <w:rPr>
        <w:rFonts w:hint="default"/>
        <w:lang w:val="es-ES" w:eastAsia="en-US" w:bidi="ar-SA"/>
      </w:rPr>
    </w:lvl>
  </w:abstractNum>
  <w:abstractNum w:abstractNumId="274" w15:restartNumberingAfterBreak="0">
    <w:nsid w:val="66423481"/>
    <w:multiLevelType w:val="hybridMultilevel"/>
    <w:tmpl w:val="FEC8F144"/>
    <w:lvl w:ilvl="0" w:tplc="65A839B8">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97DC6A2C">
      <w:numFmt w:val="bullet"/>
      <w:lvlText w:val="•"/>
      <w:lvlJc w:val="left"/>
      <w:pPr>
        <w:ind w:left="2038" w:hanging="232"/>
      </w:pPr>
      <w:rPr>
        <w:rFonts w:hint="default"/>
        <w:lang w:val="es-ES" w:eastAsia="en-US" w:bidi="ar-SA"/>
      </w:rPr>
    </w:lvl>
    <w:lvl w:ilvl="2" w:tplc="971EDDB8">
      <w:numFmt w:val="bullet"/>
      <w:lvlText w:val="•"/>
      <w:lvlJc w:val="left"/>
      <w:pPr>
        <w:ind w:left="2977" w:hanging="232"/>
      </w:pPr>
      <w:rPr>
        <w:rFonts w:hint="default"/>
        <w:lang w:val="es-ES" w:eastAsia="en-US" w:bidi="ar-SA"/>
      </w:rPr>
    </w:lvl>
    <w:lvl w:ilvl="3" w:tplc="84402828">
      <w:numFmt w:val="bullet"/>
      <w:lvlText w:val="•"/>
      <w:lvlJc w:val="left"/>
      <w:pPr>
        <w:ind w:left="3916" w:hanging="232"/>
      </w:pPr>
      <w:rPr>
        <w:rFonts w:hint="default"/>
        <w:lang w:val="es-ES" w:eastAsia="en-US" w:bidi="ar-SA"/>
      </w:rPr>
    </w:lvl>
    <w:lvl w:ilvl="4" w:tplc="DA6AC316">
      <w:numFmt w:val="bullet"/>
      <w:lvlText w:val="•"/>
      <w:lvlJc w:val="left"/>
      <w:pPr>
        <w:ind w:left="4855" w:hanging="232"/>
      </w:pPr>
      <w:rPr>
        <w:rFonts w:hint="default"/>
        <w:lang w:val="es-ES" w:eastAsia="en-US" w:bidi="ar-SA"/>
      </w:rPr>
    </w:lvl>
    <w:lvl w:ilvl="5" w:tplc="A860EE22">
      <w:numFmt w:val="bullet"/>
      <w:lvlText w:val="•"/>
      <w:lvlJc w:val="left"/>
      <w:pPr>
        <w:ind w:left="5794" w:hanging="232"/>
      </w:pPr>
      <w:rPr>
        <w:rFonts w:hint="default"/>
        <w:lang w:val="es-ES" w:eastAsia="en-US" w:bidi="ar-SA"/>
      </w:rPr>
    </w:lvl>
    <w:lvl w:ilvl="6" w:tplc="48EA9B78">
      <w:numFmt w:val="bullet"/>
      <w:lvlText w:val="•"/>
      <w:lvlJc w:val="left"/>
      <w:pPr>
        <w:ind w:left="6733" w:hanging="232"/>
      </w:pPr>
      <w:rPr>
        <w:rFonts w:hint="default"/>
        <w:lang w:val="es-ES" w:eastAsia="en-US" w:bidi="ar-SA"/>
      </w:rPr>
    </w:lvl>
    <w:lvl w:ilvl="7" w:tplc="E960B562">
      <w:numFmt w:val="bullet"/>
      <w:lvlText w:val="•"/>
      <w:lvlJc w:val="left"/>
      <w:pPr>
        <w:ind w:left="7672" w:hanging="232"/>
      </w:pPr>
      <w:rPr>
        <w:rFonts w:hint="default"/>
        <w:lang w:val="es-ES" w:eastAsia="en-US" w:bidi="ar-SA"/>
      </w:rPr>
    </w:lvl>
    <w:lvl w:ilvl="8" w:tplc="15360308">
      <w:numFmt w:val="bullet"/>
      <w:lvlText w:val="•"/>
      <w:lvlJc w:val="left"/>
      <w:pPr>
        <w:ind w:left="8611" w:hanging="232"/>
      </w:pPr>
      <w:rPr>
        <w:rFonts w:hint="default"/>
        <w:lang w:val="es-ES" w:eastAsia="en-US" w:bidi="ar-SA"/>
      </w:rPr>
    </w:lvl>
  </w:abstractNum>
  <w:abstractNum w:abstractNumId="275" w15:restartNumberingAfterBreak="0">
    <w:nsid w:val="66E934B7"/>
    <w:multiLevelType w:val="hybridMultilevel"/>
    <w:tmpl w:val="1B6A2022"/>
    <w:lvl w:ilvl="0" w:tplc="26B44BD8">
      <w:start w:val="1"/>
      <w:numFmt w:val="decimal"/>
      <w:lvlText w:val="%1."/>
      <w:lvlJc w:val="left"/>
      <w:pPr>
        <w:ind w:left="1106" w:hanging="332"/>
        <w:jc w:val="left"/>
      </w:pPr>
      <w:rPr>
        <w:rFonts w:ascii="Arial MT" w:eastAsia="Arial MT" w:hAnsi="Arial MT" w:cs="Arial MT" w:hint="default"/>
        <w:b w:val="0"/>
        <w:bCs w:val="0"/>
        <w:i w:val="0"/>
        <w:iCs w:val="0"/>
        <w:spacing w:val="0"/>
        <w:w w:val="100"/>
        <w:sz w:val="20"/>
        <w:szCs w:val="20"/>
        <w:lang w:val="es-ES" w:eastAsia="en-US" w:bidi="ar-SA"/>
      </w:rPr>
    </w:lvl>
    <w:lvl w:ilvl="1" w:tplc="FE720F6E">
      <w:numFmt w:val="bullet"/>
      <w:lvlText w:val="•"/>
      <w:lvlJc w:val="left"/>
      <w:pPr>
        <w:ind w:left="2038" w:hanging="332"/>
      </w:pPr>
      <w:rPr>
        <w:rFonts w:hint="default"/>
        <w:lang w:val="es-ES" w:eastAsia="en-US" w:bidi="ar-SA"/>
      </w:rPr>
    </w:lvl>
    <w:lvl w:ilvl="2" w:tplc="300A38E4">
      <w:numFmt w:val="bullet"/>
      <w:lvlText w:val="•"/>
      <w:lvlJc w:val="left"/>
      <w:pPr>
        <w:ind w:left="2977" w:hanging="332"/>
      </w:pPr>
      <w:rPr>
        <w:rFonts w:hint="default"/>
        <w:lang w:val="es-ES" w:eastAsia="en-US" w:bidi="ar-SA"/>
      </w:rPr>
    </w:lvl>
    <w:lvl w:ilvl="3" w:tplc="D8421016">
      <w:numFmt w:val="bullet"/>
      <w:lvlText w:val="•"/>
      <w:lvlJc w:val="left"/>
      <w:pPr>
        <w:ind w:left="3916" w:hanging="332"/>
      </w:pPr>
      <w:rPr>
        <w:rFonts w:hint="default"/>
        <w:lang w:val="es-ES" w:eastAsia="en-US" w:bidi="ar-SA"/>
      </w:rPr>
    </w:lvl>
    <w:lvl w:ilvl="4" w:tplc="7B4A343C">
      <w:numFmt w:val="bullet"/>
      <w:lvlText w:val="•"/>
      <w:lvlJc w:val="left"/>
      <w:pPr>
        <w:ind w:left="4855" w:hanging="332"/>
      </w:pPr>
      <w:rPr>
        <w:rFonts w:hint="default"/>
        <w:lang w:val="es-ES" w:eastAsia="en-US" w:bidi="ar-SA"/>
      </w:rPr>
    </w:lvl>
    <w:lvl w:ilvl="5" w:tplc="4B9E41CE">
      <w:numFmt w:val="bullet"/>
      <w:lvlText w:val="•"/>
      <w:lvlJc w:val="left"/>
      <w:pPr>
        <w:ind w:left="5794" w:hanging="332"/>
      </w:pPr>
      <w:rPr>
        <w:rFonts w:hint="default"/>
        <w:lang w:val="es-ES" w:eastAsia="en-US" w:bidi="ar-SA"/>
      </w:rPr>
    </w:lvl>
    <w:lvl w:ilvl="6" w:tplc="03FE89C4">
      <w:numFmt w:val="bullet"/>
      <w:lvlText w:val="•"/>
      <w:lvlJc w:val="left"/>
      <w:pPr>
        <w:ind w:left="6733" w:hanging="332"/>
      </w:pPr>
      <w:rPr>
        <w:rFonts w:hint="default"/>
        <w:lang w:val="es-ES" w:eastAsia="en-US" w:bidi="ar-SA"/>
      </w:rPr>
    </w:lvl>
    <w:lvl w:ilvl="7" w:tplc="CC4061BA">
      <w:numFmt w:val="bullet"/>
      <w:lvlText w:val="•"/>
      <w:lvlJc w:val="left"/>
      <w:pPr>
        <w:ind w:left="7672" w:hanging="332"/>
      </w:pPr>
      <w:rPr>
        <w:rFonts w:hint="default"/>
        <w:lang w:val="es-ES" w:eastAsia="en-US" w:bidi="ar-SA"/>
      </w:rPr>
    </w:lvl>
    <w:lvl w:ilvl="8" w:tplc="A74A70B0">
      <w:numFmt w:val="bullet"/>
      <w:lvlText w:val="•"/>
      <w:lvlJc w:val="left"/>
      <w:pPr>
        <w:ind w:left="8611" w:hanging="332"/>
      </w:pPr>
      <w:rPr>
        <w:rFonts w:hint="default"/>
        <w:lang w:val="es-ES" w:eastAsia="en-US" w:bidi="ar-SA"/>
      </w:rPr>
    </w:lvl>
  </w:abstractNum>
  <w:abstractNum w:abstractNumId="276" w15:restartNumberingAfterBreak="0">
    <w:nsid w:val="670B62E6"/>
    <w:multiLevelType w:val="hybridMultilevel"/>
    <w:tmpl w:val="A3CC4302"/>
    <w:lvl w:ilvl="0" w:tplc="00FC2D04">
      <w:start w:val="1"/>
      <w:numFmt w:val="decimal"/>
      <w:lvlText w:val="%1."/>
      <w:lvlJc w:val="left"/>
      <w:pPr>
        <w:ind w:left="1106" w:hanging="262"/>
        <w:jc w:val="left"/>
      </w:pPr>
      <w:rPr>
        <w:rFonts w:ascii="Arial MT" w:eastAsia="Arial MT" w:hAnsi="Arial MT" w:cs="Arial MT" w:hint="default"/>
        <w:b w:val="0"/>
        <w:bCs w:val="0"/>
        <w:i w:val="0"/>
        <w:iCs w:val="0"/>
        <w:spacing w:val="0"/>
        <w:w w:val="100"/>
        <w:sz w:val="20"/>
        <w:szCs w:val="20"/>
        <w:lang w:val="es-ES" w:eastAsia="en-US" w:bidi="ar-SA"/>
      </w:rPr>
    </w:lvl>
    <w:lvl w:ilvl="1" w:tplc="76B47208">
      <w:numFmt w:val="bullet"/>
      <w:lvlText w:val="•"/>
      <w:lvlJc w:val="left"/>
      <w:pPr>
        <w:ind w:left="2038" w:hanging="262"/>
      </w:pPr>
      <w:rPr>
        <w:rFonts w:hint="default"/>
        <w:lang w:val="es-ES" w:eastAsia="en-US" w:bidi="ar-SA"/>
      </w:rPr>
    </w:lvl>
    <w:lvl w:ilvl="2" w:tplc="340C0F64">
      <w:numFmt w:val="bullet"/>
      <w:lvlText w:val="•"/>
      <w:lvlJc w:val="left"/>
      <w:pPr>
        <w:ind w:left="2977" w:hanging="262"/>
      </w:pPr>
      <w:rPr>
        <w:rFonts w:hint="default"/>
        <w:lang w:val="es-ES" w:eastAsia="en-US" w:bidi="ar-SA"/>
      </w:rPr>
    </w:lvl>
    <w:lvl w:ilvl="3" w:tplc="CA32535A">
      <w:numFmt w:val="bullet"/>
      <w:lvlText w:val="•"/>
      <w:lvlJc w:val="left"/>
      <w:pPr>
        <w:ind w:left="3916" w:hanging="262"/>
      </w:pPr>
      <w:rPr>
        <w:rFonts w:hint="default"/>
        <w:lang w:val="es-ES" w:eastAsia="en-US" w:bidi="ar-SA"/>
      </w:rPr>
    </w:lvl>
    <w:lvl w:ilvl="4" w:tplc="1972A388">
      <w:numFmt w:val="bullet"/>
      <w:lvlText w:val="•"/>
      <w:lvlJc w:val="left"/>
      <w:pPr>
        <w:ind w:left="4855" w:hanging="262"/>
      </w:pPr>
      <w:rPr>
        <w:rFonts w:hint="default"/>
        <w:lang w:val="es-ES" w:eastAsia="en-US" w:bidi="ar-SA"/>
      </w:rPr>
    </w:lvl>
    <w:lvl w:ilvl="5" w:tplc="31F61CE6">
      <w:numFmt w:val="bullet"/>
      <w:lvlText w:val="•"/>
      <w:lvlJc w:val="left"/>
      <w:pPr>
        <w:ind w:left="5794" w:hanging="262"/>
      </w:pPr>
      <w:rPr>
        <w:rFonts w:hint="default"/>
        <w:lang w:val="es-ES" w:eastAsia="en-US" w:bidi="ar-SA"/>
      </w:rPr>
    </w:lvl>
    <w:lvl w:ilvl="6" w:tplc="2326F608">
      <w:numFmt w:val="bullet"/>
      <w:lvlText w:val="•"/>
      <w:lvlJc w:val="left"/>
      <w:pPr>
        <w:ind w:left="6733" w:hanging="262"/>
      </w:pPr>
      <w:rPr>
        <w:rFonts w:hint="default"/>
        <w:lang w:val="es-ES" w:eastAsia="en-US" w:bidi="ar-SA"/>
      </w:rPr>
    </w:lvl>
    <w:lvl w:ilvl="7" w:tplc="40FA3EF4">
      <w:numFmt w:val="bullet"/>
      <w:lvlText w:val="•"/>
      <w:lvlJc w:val="left"/>
      <w:pPr>
        <w:ind w:left="7672" w:hanging="262"/>
      </w:pPr>
      <w:rPr>
        <w:rFonts w:hint="default"/>
        <w:lang w:val="es-ES" w:eastAsia="en-US" w:bidi="ar-SA"/>
      </w:rPr>
    </w:lvl>
    <w:lvl w:ilvl="8" w:tplc="7EEECF72">
      <w:numFmt w:val="bullet"/>
      <w:lvlText w:val="•"/>
      <w:lvlJc w:val="left"/>
      <w:pPr>
        <w:ind w:left="8611" w:hanging="262"/>
      </w:pPr>
      <w:rPr>
        <w:rFonts w:hint="default"/>
        <w:lang w:val="es-ES" w:eastAsia="en-US" w:bidi="ar-SA"/>
      </w:rPr>
    </w:lvl>
  </w:abstractNum>
  <w:abstractNum w:abstractNumId="277" w15:restartNumberingAfterBreak="0">
    <w:nsid w:val="6764256D"/>
    <w:multiLevelType w:val="hybridMultilevel"/>
    <w:tmpl w:val="0AA0EF3E"/>
    <w:lvl w:ilvl="0" w:tplc="B35AFBFA">
      <w:start w:val="1"/>
      <w:numFmt w:val="decimal"/>
      <w:lvlText w:val="%1."/>
      <w:lvlJc w:val="left"/>
      <w:pPr>
        <w:ind w:left="1106" w:hanging="231"/>
        <w:jc w:val="left"/>
      </w:pPr>
      <w:rPr>
        <w:rFonts w:ascii="Arial MT" w:eastAsia="Arial MT" w:hAnsi="Arial MT" w:cs="Arial MT" w:hint="default"/>
        <w:b w:val="0"/>
        <w:bCs w:val="0"/>
        <w:i w:val="0"/>
        <w:iCs w:val="0"/>
        <w:spacing w:val="0"/>
        <w:w w:val="100"/>
        <w:sz w:val="20"/>
        <w:szCs w:val="20"/>
        <w:lang w:val="es-ES" w:eastAsia="en-US" w:bidi="ar-SA"/>
      </w:rPr>
    </w:lvl>
    <w:lvl w:ilvl="1" w:tplc="6C06A24C">
      <w:start w:val="1"/>
      <w:numFmt w:val="lowerLetter"/>
      <w:lvlText w:val="%2)"/>
      <w:lvlJc w:val="left"/>
      <w:pPr>
        <w:ind w:left="1106" w:hanging="285"/>
        <w:jc w:val="left"/>
      </w:pPr>
      <w:rPr>
        <w:rFonts w:ascii="Arial MT" w:eastAsia="Arial MT" w:hAnsi="Arial MT" w:cs="Arial MT" w:hint="default"/>
        <w:b w:val="0"/>
        <w:bCs w:val="0"/>
        <w:i w:val="0"/>
        <w:iCs w:val="0"/>
        <w:spacing w:val="0"/>
        <w:w w:val="100"/>
        <w:sz w:val="20"/>
        <w:szCs w:val="20"/>
        <w:lang w:val="es-ES" w:eastAsia="en-US" w:bidi="ar-SA"/>
      </w:rPr>
    </w:lvl>
    <w:lvl w:ilvl="2" w:tplc="C74EB038">
      <w:numFmt w:val="bullet"/>
      <w:lvlText w:val="•"/>
      <w:lvlJc w:val="left"/>
      <w:pPr>
        <w:ind w:left="2977" w:hanging="285"/>
      </w:pPr>
      <w:rPr>
        <w:rFonts w:hint="default"/>
        <w:lang w:val="es-ES" w:eastAsia="en-US" w:bidi="ar-SA"/>
      </w:rPr>
    </w:lvl>
    <w:lvl w:ilvl="3" w:tplc="E940FAC0">
      <w:numFmt w:val="bullet"/>
      <w:lvlText w:val="•"/>
      <w:lvlJc w:val="left"/>
      <w:pPr>
        <w:ind w:left="3916" w:hanging="285"/>
      </w:pPr>
      <w:rPr>
        <w:rFonts w:hint="default"/>
        <w:lang w:val="es-ES" w:eastAsia="en-US" w:bidi="ar-SA"/>
      </w:rPr>
    </w:lvl>
    <w:lvl w:ilvl="4" w:tplc="64B2624E">
      <w:numFmt w:val="bullet"/>
      <w:lvlText w:val="•"/>
      <w:lvlJc w:val="left"/>
      <w:pPr>
        <w:ind w:left="4855" w:hanging="285"/>
      </w:pPr>
      <w:rPr>
        <w:rFonts w:hint="default"/>
        <w:lang w:val="es-ES" w:eastAsia="en-US" w:bidi="ar-SA"/>
      </w:rPr>
    </w:lvl>
    <w:lvl w:ilvl="5" w:tplc="D60E6A64">
      <w:numFmt w:val="bullet"/>
      <w:lvlText w:val="•"/>
      <w:lvlJc w:val="left"/>
      <w:pPr>
        <w:ind w:left="5794" w:hanging="285"/>
      </w:pPr>
      <w:rPr>
        <w:rFonts w:hint="default"/>
        <w:lang w:val="es-ES" w:eastAsia="en-US" w:bidi="ar-SA"/>
      </w:rPr>
    </w:lvl>
    <w:lvl w:ilvl="6" w:tplc="D79AADC0">
      <w:numFmt w:val="bullet"/>
      <w:lvlText w:val="•"/>
      <w:lvlJc w:val="left"/>
      <w:pPr>
        <w:ind w:left="6733" w:hanging="285"/>
      </w:pPr>
      <w:rPr>
        <w:rFonts w:hint="default"/>
        <w:lang w:val="es-ES" w:eastAsia="en-US" w:bidi="ar-SA"/>
      </w:rPr>
    </w:lvl>
    <w:lvl w:ilvl="7" w:tplc="384E6F64">
      <w:numFmt w:val="bullet"/>
      <w:lvlText w:val="•"/>
      <w:lvlJc w:val="left"/>
      <w:pPr>
        <w:ind w:left="7672" w:hanging="285"/>
      </w:pPr>
      <w:rPr>
        <w:rFonts w:hint="default"/>
        <w:lang w:val="es-ES" w:eastAsia="en-US" w:bidi="ar-SA"/>
      </w:rPr>
    </w:lvl>
    <w:lvl w:ilvl="8" w:tplc="D922AB18">
      <w:numFmt w:val="bullet"/>
      <w:lvlText w:val="•"/>
      <w:lvlJc w:val="left"/>
      <w:pPr>
        <w:ind w:left="8611" w:hanging="285"/>
      </w:pPr>
      <w:rPr>
        <w:rFonts w:hint="default"/>
        <w:lang w:val="es-ES" w:eastAsia="en-US" w:bidi="ar-SA"/>
      </w:rPr>
    </w:lvl>
  </w:abstractNum>
  <w:abstractNum w:abstractNumId="278" w15:restartNumberingAfterBreak="0">
    <w:nsid w:val="677F363F"/>
    <w:multiLevelType w:val="hybridMultilevel"/>
    <w:tmpl w:val="AAC24062"/>
    <w:lvl w:ilvl="0" w:tplc="67908800">
      <w:start w:val="1"/>
      <w:numFmt w:val="decimal"/>
      <w:lvlText w:val="%1."/>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1" w:tplc="CD3C2DDC">
      <w:numFmt w:val="bullet"/>
      <w:lvlText w:val="•"/>
      <w:lvlJc w:val="left"/>
      <w:pPr>
        <w:ind w:left="2038" w:hanging="241"/>
      </w:pPr>
      <w:rPr>
        <w:rFonts w:hint="default"/>
        <w:lang w:val="es-ES" w:eastAsia="en-US" w:bidi="ar-SA"/>
      </w:rPr>
    </w:lvl>
    <w:lvl w:ilvl="2" w:tplc="AFD62C8C">
      <w:numFmt w:val="bullet"/>
      <w:lvlText w:val="•"/>
      <w:lvlJc w:val="left"/>
      <w:pPr>
        <w:ind w:left="2977" w:hanging="241"/>
      </w:pPr>
      <w:rPr>
        <w:rFonts w:hint="default"/>
        <w:lang w:val="es-ES" w:eastAsia="en-US" w:bidi="ar-SA"/>
      </w:rPr>
    </w:lvl>
    <w:lvl w:ilvl="3" w:tplc="60C4CAB8">
      <w:numFmt w:val="bullet"/>
      <w:lvlText w:val="•"/>
      <w:lvlJc w:val="left"/>
      <w:pPr>
        <w:ind w:left="3916" w:hanging="241"/>
      </w:pPr>
      <w:rPr>
        <w:rFonts w:hint="default"/>
        <w:lang w:val="es-ES" w:eastAsia="en-US" w:bidi="ar-SA"/>
      </w:rPr>
    </w:lvl>
    <w:lvl w:ilvl="4" w:tplc="6D6AE636">
      <w:numFmt w:val="bullet"/>
      <w:lvlText w:val="•"/>
      <w:lvlJc w:val="left"/>
      <w:pPr>
        <w:ind w:left="4855" w:hanging="241"/>
      </w:pPr>
      <w:rPr>
        <w:rFonts w:hint="default"/>
        <w:lang w:val="es-ES" w:eastAsia="en-US" w:bidi="ar-SA"/>
      </w:rPr>
    </w:lvl>
    <w:lvl w:ilvl="5" w:tplc="5B2AEFD2">
      <w:numFmt w:val="bullet"/>
      <w:lvlText w:val="•"/>
      <w:lvlJc w:val="left"/>
      <w:pPr>
        <w:ind w:left="5794" w:hanging="241"/>
      </w:pPr>
      <w:rPr>
        <w:rFonts w:hint="default"/>
        <w:lang w:val="es-ES" w:eastAsia="en-US" w:bidi="ar-SA"/>
      </w:rPr>
    </w:lvl>
    <w:lvl w:ilvl="6" w:tplc="D2406C48">
      <w:numFmt w:val="bullet"/>
      <w:lvlText w:val="•"/>
      <w:lvlJc w:val="left"/>
      <w:pPr>
        <w:ind w:left="6733" w:hanging="241"/>
      </w:pPr>
      <w:rPr>
        <w:rFonts w:hint="default"/>
        <w:lang w:val="es-ES" w:eastAsia="en-US" w:bidi="ar-SA"/>
      </w:rPr>
    </w:lvl>
    <w:lvl w:ilvl="7" w:tplc="649870CC">
      <w:numFmt w:val="bullet"/>
      <w:lvlText w:val="•"/>
      <w:lvlJc w:val="left"/>
      <w:pPr>
        <w:ind w:left="7672" w:hanging="241"/>
      </w:pPr>
      <w:rPr>
        <w:rFonts w:hint="default"/>
        <w:lang w:val="es-ES" w:eastAsia="en-US" w:bidi="ar-SA"/>
      </w:rPr>
    </w:lvl>
    <w:lvl w:ilvl="8" w:tplc="D57C8A76">
      <w:numFmt w:val="bullet"/>
      <w:lvlText w:val="•"/>
      <w:lvlJc w:val="left"/>
      <w:pPr>
        <w:ind w:left="8611" w:hanging="241"/>
      </w:pPr>
      <w:rPr>
        <w:rFonts w:hint="default"/>
        <w:lang w:val="es-ES" w:eastAsia="en-US" w:bidi="ar-SA"/>
      </w:rPr>
    </w:lvl>
  </w:abstractNum>
  <w:abstractNum w:abstractNumId="279" w15:restartNumberingAfterBreak="0">
    <w:nsid w:val="680F535C"/>
    <w:multiLevelType w:val="hybridMultilevel"/>
    <w:tmpl w:val="50EA8204"/>
    <w:lvl w:ilvl="0" w:tplc="73FCFE32">
      <w:start w:val="1"/>
      <w:numFmt w:val="decimal"/>
      <w:lvlText w:val="%1."/>
      <w:lvlJc w:val="left"/>
      <w:pPr>
        <w:ind w:left="1106" w:hanging="347"/>
        <w:jc w:val="left"/>
      </w:pPr>
      <w:rPr>
        <w:rFonts w:ascii="Arial MT" w:eastAsia="Arial MT" w:hAnsi="Arial MT" w:cs="Arial MT" w:hint="default"/>
        <w:b w:val="0"/>
        <w:bCs w:val="0"/>
        <w:i w:val="0"/>
        <w:iCs w:val="0"/>
        <w:spacing w:val="0"/>
        <w:w w:val="100"/>
        <w:sz w:val="20"/>
        <w:szCs w:val="20"/>
        <w:lang w:val="es-ES" w:eastAsia="en-US" w:bidi="ar-SA"/>
      </w:rPr>
    </w:lvl>
    <w:lvl w:ilvl="1" w:tplc="634AAC40">
      <w:numFmt w:val="bullet"/>
      <w:lvlText w:val="•"/>
      <w:lvlJc w:val="left"/>
      <w:pPr>
        <w:ind w:left="2038" w:hanging="347"/>
      </w:pPr>
      <w:rPr>
        <w:rFonts w:hint="default"/>
        <w:lang w:val="es-ES" w:eastAsia="en-US" w:bidi="ar-SA"/>
      </w:rPr>
    </w:lvl>
    <w:lvl w:ilvl="2" w:tplc="89A04482">
      <w:numFmt w:val="bullet"/>
      <w:lvlText w:val="•"/>
      <w:lvlJc w:val="left"/>
      <w:pPr>
        <w:ind w:left="2977" w:hanging="347"/>
      </w:pPr>
      <w:rPr>
        <w:rFonts w:hint="default"/>
        <w:lang w:val="es-ES" w:eastAsia="en-US" w:bidi="ar-SA"/>
      </w:rPr>
    </w:lvl>
    <w:lvl w:ilvl="3" w:tplc="9A54F9B0">
      <w:numFmt w:val="bullet"/>
      <w:lvlText w:val="•"/>
      <w:lvlJc w:val="left"/>
      <w:pPr>
        <w:ind w:left="3916" w:hanging="347"/>
      </w:pPr>
      <w:rPr>
        <w:rFonts w:hint="default"/>
        <w:lang w:val="es-ES" w:eastAsia="en-US" w:bidi="ar-SA"/>
      </w:rPr>
    </w:lvl>
    <w:lvl w:ilvl="4" w:tplc="7EA0570C">
      <w:numFmt w:val="bullet"/>
      <w:lvlText w:val="•"/>
      <w:lvlJc w:val="left"/>
      <w:pPr>
        <w:ind w:left="4855" w:hanging="347"/>
      </w:pPr>
      <w:rPr>
        <w:rFonts w:hint="default"/>
        <w:lang w:val="es-ES" w:eastAsia="en-US" w:bidi="ar-SA"/>
      </w:rPr>
    </w:lvl>
    <w:lvl w:ilvl="5" w:tplc="C0B8009A">
      <w:numFmt w:val="bullet"/>
      <w:lvlText w:val="•"/>
      <w:lvlJc w:val="left"/>
      <w:pPr>
        <w:ind w:left="5794" w:hanging="347"/>
      </w:pPr>
      <w:rPr>
        <w:rFonts w:hint="default"/>
        <w:lang w:val="es-ES" w:eastAsia="en-US" w:bidi="ar-SA"/>
      </w:rPr>
    </w:lvl>
    <w:lvl w:ilvl="6" w:tplc="53F6777E">
      <w:numFmt w:val="bullet"/>
      <w:lvlText w:val="•"/>
      <w:lvlJc w:val="left"/>
      <w:pPr>
        <w:ind w:left="6733" w:hanging="347"/>
      </w:pPr>
      <w:rPr>
        <w:rFonts w:hint="default"/>
        <w:lang w:val="es-ES" w:eastAsia="en-US" w:bidi="ar-SA"/>
      </w:rPr>
    </w:lvl>
    <w:lvl w:ilvl="7" w:tplc="B8AC2B3E">
      <w:numFmt w:val="bullet"/>
      <w:lvlText w:val="•"/>
      <w:lvlJc w:val="left"/>
      <w:pPr>
        <w:ind w:left="7672" w:hanging="347"/>
      </w:pPr>
      <w:rPr>
        <w:rFonts w:hint="default"/>
        <w:lang w:val="es-ES" w:eastAsia="en-US" w:bidi="ar-SA"/>
      </w:rPr>
    </w:lvl>
    <w:lvl w:ilvl="8" w:tplc="71AA1ED8">
      <w:numFmt w:val="bullet"/>
      <w:lvlText w:val="•"/>
      <w:lvlJc w:val="left"/>
      <w:pPr>
        <w:ind w:left="8611" w:hanging="347"/>
      </w:pPr>
      <w:rPr>
        <w:rFonts w:hint="default"/>
        <w:lang w:val="es-ES" w:eastAsia="en-US" w:bidi="ar-SA"/>
      </w:rPr>
    </w:lvl>
  </w:abstractNum>
  <w:abstractNum w:abstractNumId="280" w15:restartNumberingAfterBreak="0">
    <w:nsid w:val="69105B5B"/>
    <w:multiLevelType w:val="hybridMultilevel"/>
    <w:tmpl w:val="EE5E1D8A"/>
    <w:lvl w:ilvl="0" w:tplc="A5E6F1BE">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B6D80098">
      <w:numFmt w:val="bullet"/>
      <w:lvlText w:val="•"/>
      <w:lvlJc w:val="left"/>
      <w:pPr>
        <w:ind w:left="2038" w:hanging="225"/>
      </w:pPr>
      <w:rPr>
        <w:rFonts w:hint="default"/>
        <w:lang w:val="es-ES" w:eastAsia="en-US" w:bidi="ar-SA"/>
      </w:rPr>
    </w:lvl>
    <w:lvl w:ilvl="2" w:tplc="0AA24900">
      <w:numFmt w:val="bullet"/>
      <w:lvlText w:val="•"/>
      <w:lvlJc w:val="left"/>
      <w:pPr>
        <w:ind w:left="2977" w:hanging="225"/>
      </w:pPr>
      <w:rPr>
        <w:rFonts w:hint="default"/>
        <w:lang w:val="es-ES" w:eastAsia="en-US" w:bidi="ar-SA"/>
      </w:rPr>
    </w:lvl>
    <w:lvl w:ilvl="3" w:tplc="03AC2534">
      <w:numFmt w:val="bullet"/>
      <w:lvlText w:val="•"/>
      <w:lvlJc w:val="left"/>
      <w:pPr>
        <w:ind w:left="3916" w:hanging="225"/>
      </w:pPr>
      <w:rPr>
        <w:rFonts w:hint="default"/>
        <w:lang w:val="es-ES" w:eastAsia="en-US" w:bidi="ar-SA"/>
      </w:rPr>
    </w:lvl>
    <w:lvl w:ilvl="4" w:tplc="C1268380">
      <w:numFmt w:val="bullet"/>
      <w:lvlText w:val="•"/>
      <w:lvlJc w:val="left"/>
      <w:pPr>
        <w:ind w:left="4855" w:hanging="225"/>
      </w:pPr>
      <w:rPr>
        <w:rFonts w:hint="default"/>
        <w:lang w:val="es-ES" w:eastAsia="en-US" w:bidi="ar-SA"/>
      </w:rPr>
    </w:lvl>
    <w:lvl w:ilvl="5" w:tplc="3F54F2A6">
      <w:numFmt w:val="bullet"/>
      <w:lvlText w:val="•"/>
      <w:lvlJc w:val="left"/>
      <w:pPr>
        <w:ind w:left="5794" w:hanging="225"/>
      </w:pPr>
      <w:rPr>
        <w:rFonts w:hint="default"/>
        <w:lang w:val="es-ES" w:eastAsia="en-US" w:bidi="ar-SA"/>
      </w:rPr>
    </w:lvl>
    <w:lvl w:ilvl="6" w:tplc="52FE3410">
      <w:numFmt w:val="bullet"/>
      <w:lvlText w:val="•"/>
      <w:lvlJc w:val="left"/>
      <w:pPr>
        <w:ind w:left="6733" w:hanging="225"/>
      </w:pPr>
      <w:rPr>
        <w:rFonts w:hint="default"/>
        <w:lang w:val="es-ES" w:eastAsia="en-US" w:bidi="ar-SA"/>
      </w:rPr>
    </w:lvl>
    <w:lvl w:ilvl="7" w:tplc="B4BAF2BC">
      <w:numFmt w:val="bullet"/>
      <w:lvlText w:val="•"/>
      <w:lvlJc w:val="left"/>
      <w:pPr>
        <w:ind w:left="7672" w:hanging="225"/>
      </w:pPr>
      <w:rPr>
        <w:rFonts w:hint="default"/>
        <w:lang w:val="es-ES" w:eastAsia="en-US" w:bidi="ar-SA"/>
      </w:rPr>
    </w:lvl>
    <w:lvl w:ilvl="8" w:tplc="AF0E5E78">
      <w:numFmt w:val="bullet"/>
      <w:lvlText w:val="•"/>
      <w:lvlJc w:val="left"/>
      <w:pPr>
        <w:ind w:left="8611" w:hanging="225"/>
      </w:pPr>
      <w:rPr>
        <w:rFonts w:hint="default"/>
        <w:lang w:val="es-ES" w:eastAsia="en-US" w:bidi="ar-SA"/>
      </w:rPr>
    </w:lvl>
  </w:abstractNum>
  <w:abstractNum w:abstractNumId="281" w15:restartNumberingAfterBreak="0">
    <w:nsid w:val="69FE114F"/>
    <w:multiLevelType w:val="hybridMultilevel"/>
    <w:tmpl w:val="5A3E8D64"/>
    <w:lvl w:ilvl="0" w:tplc="9C1456BA">
      <w:start w:val="1"/>
      <w:numFmt w:val="decimal"/>
      <w:lvlText w:val="%1."/>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1" w:tplc="9C8AFF3C">
      <w:numFmt w:val="bullet"/>
      <w:lvlText w:val="•"/>
      <w:lvlJc w:val="left"/>
      <w:pPr>
        <w:ind w:left="2038" w:hanging="245"/>
      </w:pPr>
      <w:rPr>
        <w:rFonts w:hint="default"/>
        <w:lang w:val="es-ES" w:eastAsia="en-US" w:bidi="ar-SA"/>
      </w:rPr>
    </w:lvl>
    <w:lvl w:ilvl="2" w:tplc="375E774A">
      <w:numFmt w:val="bullet"/>
      <w:lvlText w:val="•"/>
      <w:lvlJc w:val="left"/>
      <w:pPr>
        <w:ind w:left="2977" w:hanging="245"/>
      </w:pPr>
      <w:rPr>
        <w:rFonts w:hint="default"/>
        <w:lang w:val="es-ES" w:eastAsia="en-US" w:bidi="ar-SA"/>
      </w:rPr>
    </w:lvl>
    <w:lvl w:ilvl="3" w:tplc="E3721B84">
      <w:numFmt w:val="bullet"/>
      <w:lvlText w:val="•"/>
      <w:lvlJc w:val="left"/>
      <w:pPr>
        <w:ind w:left="3916" w:hanging="245"/>
      </w:pPr>
      <w:rPr>
        <w:rFonts w:hint="default"/>
        <w:lang w:val="es-ES" w:eastAsia="en-US" w:bidi="ar-SA"/>
      </w:rPr>
    </w:lvl>
    <w:lvl w:ilvl="4" w:tplc="07406CB4">
      <w:numFmt w:val="bullet"/>
      <w:lvlText w:val="•"/>
      <w:lvlJc w:val="left"/>
      <w:pPr>
        <w:ind w:left="4855" w:hanging="245"/>
      </w:pPr>
      <w:rPr>
        <w:rFonts w:hint="default"/>
        <w:lang w:val="es-ES" w:eastAsia="en-US" w:bidi="ar-SA"/>
      </w:rPr>
    </w:lvl>
    <w:lvl w:ilvl="5" w:tplc="C8C48404">
      <w:numFmt w:val="bullet"/>
      <w:lvlText w:val="•"/>
      <w:lvlJc w:val="left"/>
      <w:pPr>
        <w:ind w:left="5794" w:hanging="245"/>
      </w:pPr>
      <w:rPr>
        <w:rFonts w:hint="default"/>
        <w:lang w:val="es-ES" w:eastAsia="en-US" w:bidi="ar-SA"/>
      </w:rPr>
    </w:lvl>
    <w:lvl w:ilvl="6" w:tplc="1904378A">
      <w:numFmt w:val="bullet"/>
      <w:lvlText w:val="•"/>
      <w:lvlJc w:val="left"/>
      <w:pPr>
        <w:ind w:left="6733" w:hanging="245"/>
      </w:pPr>
      <w:rPr>
        <w:rFonts w:hint="default"/>
        <w:lang w:val="es-ES" w:eastAsia="en-US" w:bidi="ar-SA"/>
      </w:rPr>
    </w:lvl>
    <w:lvl w:ilvl="7" w:tplc="0BFC08AC">
      <w:numFmt w:val="bullet"/>
      <w:lvlText w:val="•"/>
      <w:lvlJc w:val="left"/>
      <w:pPr>
        <w:ind w:left="7672" w:hanging="245"/>
      </w:pPr>
      <w:rPr>
        <w:rFonts w:hint="default"/>
        <w:lang w:val="es-ES" w:eastAsia="en-US" w:bidi="ar-SA"/>
      </w:rPr>
    </w:lvl>
    <w:lvl w:ilvl="8" w:tplc="3164387A">
      <w:numFmt w:val="bullet"/>
      <w:lvlText w:val="•"/>
      <w:lvlJc w:val="left"/>
      <w:pPr>
        <w:ind w:left="8611" w:hanging="245"/>
      </w:pPr>
      <w:rPr>
        <w:rFonts w:hint="default"/>
        <w:lang w:val="es-ES" w:eastAsia="en-US" w:bidi="ar-SA"/>
      </w:rPr>
    </w:lvl>
  </w:abstractNum>
  <w:abstractNum w:abstractNumId="282" w15:restartNumberingAfterBreak="0">
    <w:nsid w:val="6A97611A"/>
    <w:multiLevelType w:val="hybridMultilevel"/>
    <w:tmpl w:val="FF1ED384"/>
    <w:lvl w:ilvl="0" w:tplc="127C9B60">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49268638">
      <w:numFmt w:val="bullet"/>
      <w:lvlText w:val="•"/>
      <w:lvlJc w:val="left"/>
      <w:pPr>
        <w:ind w:left="2038" w:hanging="230"/>
      </w:pPr>
      <w:rPr>
        <w:rFonts w:hint="default"/>
        <w:lang w:val="es-ES" w:eastAsia="en-US" w:bidi="ar-SA"/>
      </w:rPr>
    </w:lvl>
    <w:lvl w:ilvl="2" w:tplc="9DE02430">
      <w:numFmt w:val="bullet"/>
      <w:lvlText w:val="•"/>
      <w:lvlJc w:val="left"/>
      <w:pPr>
        <w:ind w:left="2977" w:hanging="230"/>
      </w:pPr>
      <w:rPr>
        <w:rFonts w:hint="default"/>
        <w:lang w:val="es-ES" w:eastAsia="en-US" w:bidi="ar-SA"/>
      </w:rPr>
    </w:lvl>
    <w:lvl w:ilvl="3" w:tplc="B2D87492">
      <w:numFmt w:val="bullet"/>
      <w:lvlText w:val="•"/>
      <w:lvlJc w:val="left"/>
      <w:pPr>
        <w:ind w:left="3916" w:hanging="230"/>
      </w:pPr>
      <w:rPr>
        <w:rFonts w:hint="default"/>
        <w:lang w:val="es-ES" w:eastAsia="en-US" w:bidi="ar-SA"/>
      </w:rPr>
    </w:lvl>
    <w:lvl w:ilvl="4" w:tplc="676C0320">
      <w:numFmt w:val="bullet"/>
      <w:lvlText w:val="•"/>
      <w:lvlJc w:val="left"/>
      <w:pPr>
        <w:ind w:left="4855" w:hanging="230"/>
      </w:pPr>
      <w:rPr>
        <w:rFonts w:hint="default"/>
        <w:lang w:val="es-ES" w:eastAsia="en-US" w:bidi="ar-SA"/>
      </w:rPr>
    </w:lvl>
    <w:lvl w:ilvl="5" w:tplc="547A24CE">
      <w:numFmt w:val="bullet"/>
      <w:lvlText w:val="•"/>
      <w:lvlJc w:val="left"/>
      <w:pPr>
        <w:ind w:left="5794" w:hanging="230"/>
      </w:pPr>
      <w:rPr>
        <w:rFonts w:hint="default"/>
        <w:lang w:val="es-ES" w:eastAsia="en-US" w:bidi="ar-SA"/>
      </w:rPr>
    </w:lvl>
    <w:lvl w:ilvl="6" w:tplc="49B622FC">
      <w:numFmt w:val="bullet"/>
      <w:lvlText w:val="•"/>
      <w:lvlJc w:val="left"/>
      <w:pPr>
        <w:ind w:left="6733" w:hanging="230"/>
      </w:pPr>
      <w:rPr>
        <w:rFonts w:hint="default"/>
        <w:lang w:val="es-ES" w:eastAsia="en-US" w:bidi="ar-SA"/>
      </w:rPr>
    </w:lvl>
    <w:lvl w:ilvl="7" w:tplc="6FAECF8E">
      <w:numFmt w:val="bullet"/>
      <w:lvlText w:val="•"/>
      <w:lvlJc w:val="left"/>
      <w:pPr>
        <w:ind w:left="7672" w:hanging="230"/>
      </w:pPr>
      <w:rPr>
        <w:rFonts w:hint="default"/>
        <w:lang w:val="es-ES" w:eastAsia="en-US" w:bidi="ar-SA"/>
      </w:rPr>
    </w:lvl>
    <w:lvl w:ilvl="8" w:tplc="F5D4910E">
      <w:numFmt w:val="bullet"/>
      <w:lvlText w:val="•"/>
      <w:lvlJc w:val="left"/>
      <w:pPr>
        <w:ind w:left="8611" w:hanging="230"/>
      </w:pPr>
      <w:rPr>
        <w:rFonts w:hint="default"/>
        <w:lang w:val="es-ES" w:eastAsia="en-US" w:bidi="ar-SA"/>
      </w:rPr>
    </w:lvl>
  </w:abstractNum>
  <w:abstractNum w:abstractNumId="283" w15:restartNumberingAfterBreak="0">
    <w:nsid w:val="6ACE1D3D"/>
    <w:multiLevelType w:val="hybridMultilevel"/>
    <w:tmpl w:val="C1E86A04"/>
    <w:lvl w:ilvl="0" w:tplc="B540E602">
      <w:start w:val="1"/>
      <w:numFmt w:val="decimal"/>
      <w:lvlText w:val="%1."/>
      <w:lvlJc w:val="left"/>
      <w:pPr>
        <w:ind w:left="1106" w:hanging="231"/>
        <w:jc w:val="right"/>
      </w:pPr>
      <w:rPr>
        <w:rFonts w:ascii="Arial MT" w:eastAsia="Arial MT" w:hAnsi="Arial MT" w:cs="Arial MT" w:hint="default"/>
        <w:b w:val="0"/>
        <w:bCs w:val="0"/>
        <w:i w:val="0"/>
        <w:iCs w:val="0"/>
        <w:spacing w:val="0"/>
        <w:w w:val="86"/>
        <w:sz w:val="20"/>
        <w:szCs w:val="20"/>
        <w:lang w:val="es-ES" w:eastAsia="en-US" w:bidi="ar-SA"/>
      </w:rPr>
    </w:lvl>
    <w:lvl w:ilvl="1" w:tplc="5AD62C22">
      <w:start w:val="1"/>
      <w:numFmt w:val="decimal"/>
      <w:lvlText w:val="%2."/>
      <w:lvlJc w:val="left"/>
      <w:pPr>
        <w:ind w:left="1106" w:hanging="279"/>
        <w:jc w:val="left"/>
      </w:pPr>
      <w:rPr>
        <w:rFonts w:ascii="Arial MT" w:eastAsia="Arial MT" w:hAnsi="Arial MT" w:cs="Arial MT" w:hint="default"/>
        <w:b w:val="0"/>
        <w:bCs w:val="0"/>
        <w:i w:val="0"/>
        <w:iCs w:val="0"/>
        <w:spacing w:val="0"/>
        <w:w w:val="100"/>
        <w:sz w:val="20"/>
        <w:szCs w:val="20"/>
        <w:lang w:val="es-ES" w:eastAsia="en-US" w:bidi="ar-SA"/>
      </w:rPr>
    </w:lvl>
    <w:lvl w:ilvl="2" w:tplc="7AA47F2C">
      <w:numFmt w:val="bullet"/>
      <w:lvlText w:val="•"/>
      <w:lvlJc w:val="left"/>
      <w:pPr>
        <w:ind w:left="2977" w:hanging="279"/>
      </w:pPr>
      <w:rPr>
        <w:rFonts w:hint="default"/>
        <w:lang w:val="es-ES" w:eastAsia="en-US" w:bidi="ar-SA"/>
      </w:rPr>
    </w:lvl>
    <w:lvl w:ilvl="3" w:tplc="427290DE">
      <w:numFmt w:val="bullet"/>
      <w:lvlText w:val="•"/>
      <w:lvlJc w:val="left"/>
      <w:pPr>
        <w:ind w:left="3916" w:hanging="279"/>
      </w:pPr>
      <w:rPr>
        <w:rFonts w:hint="default"/>
        <w:lang w:val="es-ES" w:eastAsia="en-US" w:bidi="ar-SA"/>
      </w:rPr>
    </w:lvl>
    <w:lvl w:ilvl="4" w:tplc="0666D70C">
      <w:numFmt w:val="bullet"/>
      <w:lvlText w:val="•"/>
      <w:lvlJc w:val="left"/>
      <w:pPr>
        <w:ind w:left="4855" w:hanging="279"/>
      </w:pPr>
      <w:rPr>
        <w:rFonts w:hint="default"/>
        <w:lang w:val="es-ES" w:eastAsia="en-US" w:bidi="ar-SA"/>
      </w:rPr>
    </w:lvl>
    <w:lvl w:ilvl="5" w:tplc="A92C7AAA">
      <w:numFmt w:val="bullet"/>
      <w:lvlText w:val="•"/>
      <w:lvlJc w:val="left"/>
      <w:pPr>
        <w:ind w:left="5794" w:hanging="279"/>
      </w:pPr>
      <w:rPr>
        <w:rFonts w:hint="default"/>
        <w:lang w:val="es-ES" w:eastAsia="en-US" w:bidi="ar-SA"/>
      </w:rPr>
    </w:lvl>
    <w:lvl w:ilvl="6" w:tplc="4E14CAF8">
      <w:numFmt w:val="bullet"/>
      <w:lvlText w:val="•"/>
      <w:lvlJc w:val="left"/>
      <w:pPr>
        <w:ind w:left="6733" w:hanging="279"/>
      </w:pPr>
      <w:rPr>
        <w:rFonts w:hint="default"/>
        <w:lang w:val="es-ES" w:eastAsia="en-US" w:bidi="ar-SA"/>
      </w:rPr>
    </w:lvl>
    <w:lvl w:ilvl="7" w:tplc="35045996">
      <w:numFmt w:val="bullet"/>
      <w:lvlText w:val="•"/>
      <w:lvlJc w:val="left"/>
      <w:pPr>
        <w:ind w:left="7672" w:hanging="279"/>
      </w:pPr>
      <w:rPr>
        <w:rFonts w:hint="default"/>
        <w:lang w:val="es-ES" w:eastAsia="en-US" w:bidi="ar-SA"/>
      </w:rPr>
    </w:lvl>
    <w:lvl w:ilvl="8" w:tplc="4A0288DA">
      <w:numFmt w:val="bullet"/>
      <w:lvlText w:val="•"/>
      <w:lvlJc w:val="left"/>
      <w:pPr>
        <w:ind w:left="8611" w:hanging="279"/>
      </w:pPr>
      <w:rPr>
        <w:rFonts w:hint="default"/>
        <w:lang w:val="es-ES" w:eastAsia="en-US" w:bidi="ar-SA"/>
      </w:rPr>
    </w:lvl>
  </w:abstractNum>
  <w:abstractNum w:abstractNumId="284" w15:restartNumberingAfterBreak="0">
    <w:nsid w:val="6B380065"/>
    <w:multiLevelType w:val="hybridMultilevel"/>
    <w:tmpl w:val="A99086C2"/>
    <w:lvl w:ilvl="0" w:tplc="54C0D03E">
      <w:start w:val="1"/>
      <w:numFmt w:val="decimal"/>
      <w:lvlText w:val="%1."/>
      <w:lvlJc w:val="left"/>
      <w:pPr>
        <w:ind w:left="1106" w:hanging="234"/>
        <w:jc w:val="left"/>
      </w:pPr>
      <w:rPr>
        <w:rFonts w:ascii="Arial MT" w:eastAsia="Arial MT" w:hAnsi="Arial MT" w:cs="Arial MT" w:hint="default"/>
        <w:b w:val="0"/>
        <w:bCs w:val="0"/>
        <w:i w:val="0"/>
        <w:iCs w:val="0"/>
        <w:spacing w:val="0"/>
        <w:w w:val="100"/>
        <w:sz w:val="20"/>
        <w:szCs w:val="20"/>
        <w:lang w:val="es-ES" w:eastAsia="en-US" w:bidi="ar-SA"/>
      </w:rPr>
    </w:lvl>
    <w:lvl w:ilvl="1" w:tplc="56321354">
      <w:start w:val="1"/>
      <w:numFmt w:val="lowerLetter"/>
      <w:lvlText w:val="%2)"/>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2" w:tplc="F72E39FC">
      <w:numFmt w:val="bullet"/>
      <w:lvlText w:val="•"/>
      <w:lvlJc w:val="left"/>
      <w:pPr>
        <w:ind w:left="2977" w:hanging="252"/>
      </w:pPr>
      <w:rPr>
        <w:rFonts w:hint="default"/>
        <w:lang w:val="es-ES" w:eastAsia="en-US" w:bidi="ar-SA"/>
      </w:rPr>
    </w:lvl>
    <w:lvl w:ilvl="3" w:tplc="E47E3D8C">
      <w:numFmt w:val="bullet"/>
      <w:lvlText w:val="•"/>
      <w:lvlJc w:val="left"/>
      <w:pPr>
        <w:ind w:left="3916" w:hanging="252"/>
      </w:pPr>
      <w:rPr>
        <w:rFonts w:hint="default"/>
        <w:lang w:val="es-ES" w:eastAsia="en-US" w:bidi="ar-SA"/>
      </w:rPr>
    </w:lvl>
    <w:lvl w:ilvl="4" w:tplc="90E06034">
      <w:numFmt w:val="bullet"/>
      <w:lvlText w:val="•"/>
      <w:lvlJc w:val="left"/>
      <w:pPr>
        <w:ind w:left="4855" w:hanging="252"/>
      </w:pPr>
      <w:rPr>
        <w:rFonts w:hint="default"/>
        <w:lang w:val="es-ES" w:eastAsia="en-US" w:bidi="ar-SA"/>
      </w:rPr>
    </w:lvl>
    <w:lvl w:ilvl="5" w:tplc="2A508C06">
      <w:numFmt w:val="bullet"/>
      <w:lvlText w:val="•"/>
      <w:lvlJc w:val="left"/>
      <w:pPr>
        <w:ind w:left="5794" w:hanging="252"/>
      </w:pPr>
      <w:rPr>
        <w:rFonts w:hint="default"/>
        <w:lang w:val="es-ES" w:eastAsia="en-US" w:bidi="ar-SA"/>
      </w:rPr>
    </w:lvl>
    <w:lvl w:ilvl="6" w:tplc="62561A20">
      <w:numFmt w:val="bullet"/>
      <w:lvlText w:val="•"/>
      <w:lvlJc w:val="left"/>
      <w:pPr>
        <w:ind w:left="6733" w:hanging="252"/>
      </w:pPr>
      <w:rPr>
        <w:rFonts w:hint="default"/>
        <w:lang w:val="es-ES" w:eastAsia="en-US" w:bidi="ar-SA"/>
      </w:rPr>
    </w:lvl>
    <w:lvl w:ilvl="7" w:tplc="938257E2">
      <w:numFmt w:val="bullet"/>
      <w:lvlText w:val="•"/>
      <w:lvlJc w:val="left"/>
      <w:pPr>
        <w:ind w:left="7672" w:hanging="252"/>
      </w:pPr>
      <w:rPr>
        <w:rFonts w:hint="default"/>
        <w:lang w:val="es-ES" w:eastAsia="en-US" w:bidi="ar-SA"/>
      </w:rPr>
    </w:lvl>
    <w:lvl w:ilvl="8" w:tplc="02608474">
      <w:numFmt w:val="bullet"/>
      <w:lvlText w:val="•"/>
      <w:lvlJc w:val="left"/>
      <w:pPr>
        <w:ind w:left="8611" w:hanging="252"/>
      </w:pPr>
      <w:rPr>
        <w:rFonts w:hint="default"/>
        <w:lang w:val="es-ES" w:eastAsia="en-US" w:bidi="ar-SA"/>
      </w:rPr>
    </w:lvl>
  </w:abstractNum>
  <w:abstractNum w:abstractNumId="285" w15:restartNumberingAfterBreak="0">
    <w:nsid w:val="6BCF2616"/>
    <w:multiLevelType w:val="hybridMultilevel"/>
    <w:tmpl w:val="B5FCF8CE"/>
    <w:lvl w:ilvl="0" w:tplc="99E0AA9A">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85048EE6">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8C14733C">
      <w:numFmt w:val="bullet"/>
      <w:lvlText w:val="•"/>
      <w:lvlJc w:val="left"/>
      <w:pPr>
        <w:ind w:left="2658" w:hanging="234"/>
      </w:pPr>
      <w:rPr>
        <w:rFonts w:hint="default"/>
        <w:lang w:val="es-ES" w:eastAsia="en-US" w:bidi="ar-SA"/>
      </w:rPr>
    </w:lvl>
    <w:lvl w:ilvl="3" w:tplc="5F5E0D58">
      <w:numFmt w:val="bullet"/>
      <w:lvlText w:val="•"/>
      <w:lvlJc w:val="left"/>
      <w:pPr>
        <w:ind w:left="3637" w:hanging="234"/>
      </w:pPr>
      <w:rPr>
        <w:rFonts w:hint="default"/>
        <w:lang w:val="es-ES" w:eastAsia="en-US" w:bidi="ar-SA"/>
      </w:rPr>
    </w:lvl>
    <w:lvl w:ilvl="4" w:tplc="4896360A">
      <w:numFmt w:val="bullet"/>
      <w:lvlText w:val="•"/>
      <w:lvlJc w:val="left"/>
      <w:pPr>
        <w:ind w:left="4616" w:hanging="234"/>
      </w:pPr>
      <w:rPr>
        <w:rFonts w:hint="default"/>
        <w:lang w:val="es-ES" w:eastAsia="en-US" w:bidi="ar-SA"/>
      </w:rPr>
    </w:lvl>
    <w:lvl w:ilvl="5" w:tplc="9C5A9FF2">
      <w:numFmt w:val="bullet"/>
      <w:lvlText w:val="•"/>
      <w:lvlJc w:val="left"/>
      <w:pPr>
        <w:ind w:left="5595" w:hanging="234"/>
      </w:pPr>
      <w:rPr>
        <w:rFonts w:hint="default"/>
        <w:lang w:val="es-ES" w:eastAsia="en-US" w:bidi="ar-SA"/>
      </w:rPr>
    </w:lvl>
    <w:lvl w:ilvl="6" w:tplc="94EA494A">
      <w:numFmt w:val="bullet"/>
      <w:lvlText w:val="•"/>
      <w:lvlJc w:val="left"/>
      <w:pPr>
        <w:ind w:left="6574" w:hanging="234"/>
      </w:pPr>
      <w:rPr>
        <w:rFonts w:hint="default"/>
        <w:lang w:val="es-ES" w:eastAsia="en-US" w:bidi="ar-SA"/>
      </w:rPr>
    </w:lvl>
    <w:lvl w:ilvl="7" w:tplc="183C2C04">
      <w:numFmt w:val="bullet"/>
      <w:lvlText w:val="•"/>
      <w:lvlJc w:val="left"/>
      <w:pPr>
        <w:ind w:left="7553" w:hanging="234"/>
      </w:pPr>
      <w:rPr>
        <w:rFonts w:hint="default"/>
        <w:lang w:val="es-ES" w:eastAsia="en-US" w:bidi="ar-SA"/>
      </w:rPr>
    </w:lvl>
    <w:lvl w:ilvl="8" w:tplc="FD146B7A">
      <w:numFmt w:val="bullet"/>
      <w:lvlText w:val="•"/>
      <w:lvlJc w:val="left"/>
      <w:pPr>
        <w:ind w:left="8531" w:hanging="234"/>
      </w:pPr>
      <w:rPr>
        <w:rFonts w:hint="default"/>
        <w:lang w:val="es-ES" w:eastAsia="en-US" w:bidi="ar-SA"/>
      </w:rPr>
    </w:lvl>
  </w:abstractNum>
  <w:abstractNum w:abstractNumId="286" w15:restartNumberingAfterBreak="0">
    <w:nsid w:val="6C0B35C3"/>
    <w:multiLevelType w:val="hybridMultilevel"/>
    <w:tmpl w:val="8BDE6780"/>
    <w:lvl w:ilvl="0" w:tplc="F7B22822">
      <w:start w:val="1"/>
      <w:numFmt w:val="decimal"/>
      <w:lvlText w:val="%1."/>
      <w:lvlJc w:val="left"/>
      <w:pPr>
        <w:ind w:left="1106" w:hanging="240"/>
        <w:jc w:val="left"/>
      </w:pPr>
      <w:rPr>
        <w:rFonts w:ascii="Arial MT" w:eastAsia="Arial MT" w:hAnsi="Arial MT" w:cs="Arial MT" w:hint="default"/>
        <w:b w:val="0"/>
        <w:bCs w:val="0"/>
        <w:i w:val="0"/>
        <w:iCs w:val="0"/>
        <w:spacing w:val="0"/>
        <w:w w:val="100"/>
        <w:sz w:val="20"/>
        <w:szCs w:val="20"/>
        <w:lang w:val="es-ES" w:eastAsia="en-US" w:bidi="ar-SA"/>
      </w:rPr>
    </w:lvl>
    <w:lvl w:ilvl="1" w:tplc="0B8EC4DC">
      <w:start w:val="1"/>
      <w:numFmt w:val="lowerLetter"/>
      <w:lvlText w:val="%2)"/>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2" w:tplc="A6FE02F8">
      <w:numFmt w:val="bullet"/>
      <w:lvlText w:val="•"/>
      <w:lvlJc w:val="left"/>
      <w:pPr>
        <w:ind w:left="2977" w:hanging="243"/>
      </w:pPr>
      <w:rPr>
        <w:rFonts w:hint="default"/>
        <w:lang w:val="es-ES" w:eastAsia="en-US" w:bidi="ar-SA"/>
      </w:rPr>
    </w:lvl>
    <w:lvl w:ilvl="3" w:tplc="3050E094">
      <w:numFmt w:val="bullet"/>
      <w:lvlText w:val="•"/>
      <w:lvlJc w:val="left"/>
      <w:pPr>
        <w:ind w:left="3916" w:hanging="243"/>
      </w:pPr>
      <w:rPr>
        <w:rFonts w:hint="default"/>
        <w:lang w:val="es-ES" w:eastAsia="en-US" w:bidi="ar-SA"/>
      </w:rPr>
    </w:lvl>
    <w:lvl w:ilvl="4" w:tplc="0BDEA8D8">
      <w:numFmt w:val="bullet"/>
      <w:lvlText w:val="•"/>
      <w:lvlJc w:val="left"/>
      <w:pPr>
        <w:ind w:left="4855" w:hanging="243"/>
      </w:pPr>
      <w:rPr>
        <w:rFonts w:hint="default"/>
        <w:lang w:val="es-ES" w:eastAsia="en-US" w:bidi="ar-SA"/>
      </w:rPr>
    </w:lvl>
    <w:lvl w:ilvl="5" w:tplc="DD4677DA">
      <w:numFmt w:val="bullet"/>
      <w:lvlText w:val="•"/>
      <w:lvlJc w:val="left"/>
      <w:pPr>
        <w:ind w:left="5794" w:hanging="243"/>
      </w:pPr>
      <w:rPr>
        <w:rFonts w:hint="default"/>
        <w:lang w:val="es-ES" w:eastAsia="en-US" w:bidi="ar-SA"/>
      </w:rPr>
    </w:lvl>
    <w:lvl w:ilvl="6" w:tplc="443AB83A">
      <w:numFmt w:val="bullet"/>
      <w:lvlText w:val="•"/>
      <w:lvlJc w:val="left"/>
      <w:pPr>
        <w:ind w:left="6733" w:hanging="243"/>
      </w:pPr>
      <w:rPr>
        <w:rFonts w:hint="default"/>
        <w:lang w:val="es-ES" w:eastAsia="en-US" w:bidi="ar-SA"/>
      </w:rPr>
    </w:lvl>
    <w:lvl w:ilvl="7" w:tplc="2A5A3604">
      <w:numFmt w:val="bullet"/>
      <w:lvlText w:val="•"/>
      <w:lvlJc w:val="left"/>
      <w:pPr>
        <w:ind w:left="7672" w:hanging="243"/>
      </w:pPr>
      <w:rPr>
        <w:rFonts w:hint="default"/>
        <w:lang w:val="es-ES" w:eastAsia="en-US" w:bidi="ar-SA"/>
      </w:rPr>
    </w:lvl>
    <w:lvl w:ilvl="8" w:tplc="B7A614C0">
      <w:numFmt w:val="bullet"/>
      <w:lvlText w:val="•"/>
      <w:lvlJc w:val="left"/>
      <w:pPr>
        <w:ind w:left="8611" w:hanging="243"/>
      </w:pPr>
      <w:rPr>
        <w:rFonts w:hint="default"/>
        <w:lang w:val="es-ES" w:eastAsia="en-US" w:bidi="ar-SA"/>
      </w:rPr>
    </w:lvl>
  </w:abstractNum>
  <w:abstractNum w:abstractNumId="287" w15:restartNumberingAfterBreak="0">
    <w:nsid w:val="6C54156A"/>
    <w:multiLevelType w:val="hybridMultilevel"/>
    <w:tmpl w:val="90DCEF46"/>
    <w:lvl w:ilvl="0" w:tplc="02EA470C">
      <w:start w:val="1"/>
      <w:numFmt w:val="decimal"/>
      <w:lvlText w:val="%1."/>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1" w:tplc="0492D8DA">
      <w:numFmt w:val="bullet"/>
      <w:lvlText w:val="•"/>
      <w:lvlJc w:val="left"/>
      <w:pPr>
        <w:ind w:left="2038" w:hanging="243"/>
      </w:pPr>
      <w:rPr>
        <w:rFonts w:hint="default"/>
        <w:lang w:val="es-ES" w:eastAsia="en-US" w:bidi="ar-SA"/>
      </w:rPr>
    </w:lvl>
    <w:lvl w:ilvl="2" w:tplc="AEBA9A8A">
      <w:numFmt w:val="bullet"/>
      <w:lvlText w:val="•"/>
      <w:lvlJc w:val="left"/>
      <w:pPr>
        <w:ind w:left="2977" w:hanging="243"/>
      </w:pPr>
      <w:rPr>
        <w:rFonts w:hint="default"/>
        <w:lang w:val="es-ES" w:eastAsia="en-US" w:bidi="ar-SA"/>
      </w:rPr>
    </w:lvl>
    <w:lvl w:ilvl="3" w:tplc="3E64D30C">
      <w:numFmt w:val="bullet"/>
      <w:lvlText w:val="•"/>
      <w:lvlJc w:val="left"/>
      <w:pPr>
        <w:ind w:left="3916" w:hanging="243"/>
      </w:pPr>
      <w:rPr>
        <w:rFonts w:hint="default"/>
        <w:lang w:val="es-ES" w:eastAsia="en-US" w:bidi="ar-SA"/>
      </w:rPr>
    </w:lvl>
    <w:lvl w:ilvl="4" w:tplc="2988CA6E">
      <w:numFmt w:val="bullet"/>
      <w:lvlText w:val="•"/>
      <w:lvlJc w:val="left"/>
      <w:pPr>
        <w:ind w:left="4855" w:hanging="243"/>
      </w:pPr>
      <w:rPr>
        <w:rFonts w:hint="default"/>
        <w:lang w:val="es-ES" w:eastAsia="en-US" w:bidi="ar-SA"/>
      </w:rPr>
    </w:lvl>
    <w:lvl w:ilvl="5" w:tplc="604A924E">
      <w:numFmt w:val="bullet"/>
      <w:lvlText w:val="•"/>
      <w:lvlJc w:val="left"/>
      <w:pPr>
        <w:ind w:left="5794" w:hanging="243"/>
      </w:pPr>
      <w:rPr>
        <w:rFonts w:hint="default"/>
        <w:lang w:val="es-ES" w:eastAsia="en-US" w:bidi="ar-SA"/>
      </w:rPr>
    </w:lvl>
    <w:lvl w:ilvl="6" w:tplc="3730A2D2">
      <w:numFmt w:val="bullet"/>
      <w:lvlText w:val="•"/>
      <w:lvlJc w:val="left"/>
      <w:pPr>
        <w:ind w:left="6733" w:hanging="243"/>
      </w:pPr>
      <w:rPr>
        <w:rFonts w:hint="default"/>
        <w:lang w:val="es-ES" w:eastAsia="en-US" w:bidi="ar-SA"/>
      </w:rPr>
    </w:lvl>
    <w:lvl w:ilvl="7" w:tplc="F5F2FA44">
      <w:numFmt w:val="bullet"/>
      <w:lvlText w:val="•"/>
      <w:lvlJc w:val="left"/>
      <w:pPr>
        <w:ind w:left="7672" w:hanging="243"/>
      </w:pPr>
      <w:rPr>
        <w:rFonts w:hint="default"/>
        <w:lang w:val="es-ES" w:eastAsia="en-US" w:bidi="ar-SA"/>
      </w:rPr>
    </w:lvl>
    <w:lvl w:ilvl="8" w:tplc="BE821E68">
      <w:numFmt w:val="bullet"/>
      <w:lvlText w:val="•"/>
      <w:lvlJc w:val="left"/>
      <w:pPr>
        <w:ind w:left="8611" w:hanging="243"/>
      </w:pPr>
      <w:rPr>
        <w:rFonts w:hint="default"/>
        <w:lang w:val="es-ES" w:eastAsia="en-US" w:bidi="ar-SA"/>
      </w:rPr>
    </w:lvl>
  </w:abstractNum>
  <w:abstractNum w:abstractNumId="288" w15:restartNumberingAfterBreak="0">
    <w:nsid w:val="6C791B7A"/>
    <w:multiLevelType w:val="hybridMultilevel"/>
    <w:tmpl w:val="8EC8F38E"/>
    <w:lvl w:ilvl="0" w:tplc="0FD014CA">
      <w:start w:val="1"/>
      <w:numFmt w:val="decimal"/>
      <w:lvlText w:val="%1."/>
      <w:lvlJc w:val="left"/>
      <w:pPr>
        <w:ind w:left="1106" w:hanging="244"/>
        <w:jc w:val="left"/>
      </w:pPr>
      <w:rPr>
        <w:rFonts w:ascii="Arial MT" w:eastAsia="Arial MT" w:hAnsi="Arial MT" w:cs="Arial MT" w:hint="default"/>
        <w:b w:val="0"/>
        <w:bCs w:val="0"/>
        <w:i w:val="0"/>
        <w:iCs w:val="0"/>
        <w:spacing w:val="0"/>
        <w:w w:val="100"/>
        <w:sz w:val="20"/>
        <w:szCs w:val="20"/>
        <w:lang w:val="es-ES" w:eastAsia="en-US" w:bidi="ar-SA"/>
      </w:rPr>
    </w:lvl>
    <w:lvl w:ilvl="1" w:tplc="F8FC8C5E">
      <w:numFmt w:val="bullet"/>
      <w:lvlText w:val="•"/>
      <w:lvlJc w:val="left"/>
      <w:pPr>
        <w:ind w:left="2038" w:hanging="244"/>
      </w:pPr>
      <w:rPr>
        <w:rFonts w:hint="default"/>
        <w:lang w:val="es-ES" w:eastAsia="en-US" w:bidi="ar-SA"/>
      </w:rPr>
    </w:lvl>
    <w:lvl w:ilvl="2" w:tplc="93C6A9AE">
      <w:numFmt w:val="bullet"/>
      <w:lvlText w:val="•"/>
      <w:lvlJc w:val="left"/>
      <w:pPr>
        <w:ind w:left="2977" w:hanging="244"/>
      </w:pPr>
      <w:rPr>
        <w:rFonts w:hint="default"/>
        <w:lang w:val="es-ES" w:eastAsia="en-US" w:bidi="ar-SA"/>
      </w:rPr>
    </w:lvl>
    <w:lvl w:ilvl="3" w:tplc="00064B34">
      <w:numFmt w:val="bullet"/>
      <w:lvlText w:val="•"/>
      <w:lvlJc w:val="left"/>
      <w:pPr>
        <w:ind w:left="3916" w:hanging="244"/>
      </w:pPr>
      <w:rPr>
        <w:rFonts w:hint="default"/>
        <w:lang w:val="es-ES" w:eastAsia="en-US" w:bidi="ar-SA"/>
      </w:rPr>
    </w:lvl>
    <w:lvl w:ilvl="4" w:tplc="6FBABBFE">
      <w:numFmt w:val="bullet"/>
      <w:lvlText w:val="•"/>
      <w:lvlJc w:val="left"/>
      <w:pPr>
        <w:ind w:left="4855" w:hanging="244"/>
      </w:pPr>
      <w:rPr>
        <w:rFonts w:hint="default"/>
        <w:lang w:val="es-ES" w:eastAsia="en-US" w:bidi="ar-SA"/>
      </w:rPr>
    </w:lvl>
    <w:lvl w:ilvl="5" w:tplc="7F1AA080">
      <w:numFmt w:val="bullet"/>
      <w:lvlText w:val="•"/>
      <w:lvlJc w:val="left"/>
      <w:pPr>
        <w:ind w:left="5794" w:hanging="244"/>
      </w:pPr>
      <w:rPr>
        <w:rFonts w:hint="default"/>
        <w:lang w:val="es-ES" w:eastAsia="en-US" w:bidi="ar-SA"/>
      </w:rPr>
    </w:lvl>
    <w:lvl w:ilvl="6" w:tplc="D66A35FA">
      <w:numFmt w:val="bullet"/>
      <w:lvlText w:val="•"/>
      <w:lvlJc w:val="left"/>
      <w:pPr>
        <w:ind w:left="6733" w:hanging="244"/>
      </w:pPr>
      <w:rPr>
        <w:rFonts w:hint="default"/>
        <w:lang w:val="es-ES" w:eastAsia="en-US" w:bidi="ar-SA"/>
      </w:rPr>
    </w:lvl>
    <w:lvl w:ilvl="7" w:tplc="11F2C02A">
      <w:numFmt w:val="bullet"/>
      <w:lvlText w:val="•"/>
      <w:lvlJc w:val="left"/>
      <w:pPr>
        <w:ind w:left="7672" w:hanging="244"/>
      </w:pPr>
      <w:rPr>
        <w:rFonts w:hint="default"/>
        <w:lang w:val="es-ES" w:eastAsia="en-US" w:bidi="ar-SA"/>
      </w:rPr>
    </w:lvl>
    <w:lvl w:ilvl="8" w:tplc="C646160E">
      <w:numFmt w:val="bullet"/>
      <w:lvlText w:val="•"/>
      <w:lvlJc w:val="left"/>
      <w:pPr>
        <w:ind w:left="8611" w:hanging="244"/>
      </w:pPr>
      <w:rPr>
        <w:rFonts w:hint="default"/>
        <w:lang w:val="es-ES" w:eastAsia="en-US" w:bidi="ar-SA"/>
      </w:rPr>
    </w:lvl>
  </w:abstractNum>
  <w:abstractNum w:abstractNumId="289" w15:restartNumberingAfterBreak="0">
    <w:nsid w:val="6CCF1439"/>
    <w:multiLevelType w:val="hybridMultilevel"/>
    <w:tmpl w:val="E7068E74"/>
    <w:lvl w:ilvl="0" w:tplc="8F08C6A6">
      <w:start w:val="1"/>
      <w:numFmt w:val="decimal"/>
      <w:lvlText w:val="%1."/>
      <w:lvlJc w:val="left"/>
      <w:pPr>
        <w:ind w:left="1106" w:hanging="286"/>
        <w:jc w:val="left"/>
      </w:pPr>
      <w:rPr>
        <w:rFonts w:ascii="Arial MT" w:eastAsia="Arial MT" w:hAnsi="Arial MT" w:cs="Arial MT" w:hint="default"/>
        <w:b w:val="0"/>
        <w:bCs w:val="0"/>
        <w:i w:val="0"/>
        <w:iCs w:val="0"/>
        <w:spacing w:val="0"/>
        <w:w w:val="100"/>
        <w:sz w:val="20"/>
        <w:szCs w:val="20"/>
        <w:lang w:val="es-ES" w:eastAsia="en-US" w:bidi="ar-SA"/>
      </w:rPr>
    </w:lvl>
    <w:lvl w:ilvl="1" w:tplc="46384F1E">
      <w:numFmt w:val="bullet"/>
      <w:lvlText w:val="•"/>
      <w:lvlJc w:val="left"/>
      <w:pPr>
        <w:ind w:left="2038" w:hanging="286"/>
      </w:pPr>
      <w:rPr>
        <w:rFonts w:hint="default"/>
        <w:lang w:val="es-ES" w:eastAsia="en-US" w:bidi="ar-SA"/>
      </w:rPr>
    </w:lvl>
    <w:lvl w:ilvl="2" w:tplc="B3D44956">
      <w:numFmt w:val="bullet"/>
      <w:lvlText w:val="•"/>
      <w:lvlJc w:val="left"/>
      <w:pPr>
        <w:ind w:left="2977" w:hanging="286"/>
      </w:pPr>
      <w:rPr>
        <w:rFonts w:hint="default"/>
        <w:lang w:val="es-ES" w:eastAsia="en-US" w:bidi="ar-SA"/>
      </w:rPr>
    </w:lvl>
    <w:lvl w:ilvl="3" w:tplc="EB1087F6">
      <w:numFmt w:val="bullet"/>
      <w:lvlText w:val="•"/>
      <w:lvlJc w:val="left"/>
      <w:pPr>
        <w:ind w:left="3916" w:hanging="286"/>
      </w:pPr>
      <w:rPr>
        <w:rFonts w:hint="default"/>
        <w:lang w:val="es-ES" w:eastAsia="en-US" w:bidi="ar-SA"/>
      </w:rPr>
    </w:lvl>
    <w:lvl w:ilvl="4" w:tplc="8B16480E">
      <w:numFmt w:val="bullet"/>
      <w:lvlText w:val="•"/>
      <w:lvlJc w:val="left"/>
      <w:pPr>
        <w:ind w:left="4855" w:hanging="286"/>
      </w:pPr>
      <w:rPr>
        <w:rFonts w:hint="default"/>
        <w:lang w:val="es-ES" w:eastAsia="en-US" w:bidi="ar-SA"/>
      </w:rPr>
    </w:lvl>
    <w:lvl w:ilvl="5" w:tplc="9DD20FDE">
      <w:numFmt w:val="bullet"/>
      <w:lvlText w:val="•"/>
      <w:lvlJc w:val="left"/>
      <w:pPr>
        <w:ind w:left="5794" w:hanging="286"/>
      </w:pPr>
      <w:rPr>
        <w:rFonts w:hint="default"/>
        <w:lang w:val="es-ES" w:eastAsia="en-US" w:bidi="ar-SA"/>
      </w:rPr>
    </w:lvl>
    <w:lvl w:ilvl="6" w:tplc="06BCB8F6">
      <w:numFmt w:val="bullet"/>
      <w:lvlText w:val="•"/>
      <w:lvlJc w:val="left"/>
      <w:pPr>
        <w:ind w:left="6733" w:hanging="286"/>
      </w:pPr>
      <w:rPr>
        <w:rFonts w:hint="default"/>
        <w:lang w:val="es-ES" w:eastAsia="en-US" w:bidi="ar-SA"/>
      </w:rPr>
    </w:lvl>
    <w:lvl w:ilvl="7" w:tplc="5C08154C">
      <w:numFmt w:val="bullet"/>
      <w:lvlText w:val="•"/>
      <w:lvlJc w:val="left"/>
      <w:pPr>
        <w:ind w:left="7672" w:hanging="286"/>
      </w:pPr>
      <w:rPr>
        <w:rFonts w:hint="default"/>
        <w:lang w:val="es-ES" w:eastAsia="en-US" w:bidi="ar-SA"/>
      </w:rPr>
    </w:lvl>
    <w:lvl w:ilvl="8" w:tplc="4FE450FC">
      <w:numFmt w:val="bullet"/>
      <w:lvlText w:val="•"/>
      <w:lvlJc w:val="left"/>
      <w:pPr>
        <w:ind w:left="8611" w:hanging="286"/>
      </w:pPr>
      <w:rPr>
        <w:rFonts w:hint="default"/>
        <w:lang w:val="es-ES" w:eastAsia="en-US" w:bidi="ar-SA"/>
      </w:rPr>
    </w:lvl>
  </w:abstractNum>
  <w:abstractNum w:abstractNumId="290" w15:restartNumberingAfterBreak="0">
    <w:nsid w:val="6D2904F7"/>
    <w:multiLevelType w:val="hybridMultilevel"/>
    <w:tmpl w:val="2CFAD566"/>
    <w:lvl w:ilvl="0" w:tplc="37D2DD20">
      <w:start w:val="1"/>
      <w:numFmt w:val="decimal"/>
      <w:lvlText w:val="%1."/>
      <w:lvlJc w:val="left"/>
      <w:pPr>
        <w:ind w:left="1106" w:hanging="236"/>
        <w:jc w:val="left"/>
      </w:pPr>
      <w:rPr>
        <w:rFonts w:ascii="Arial MT" w:eastAsia="Arial MT" w:hAnsi="Arial MT" w:cs="Arial MT" w:hint="default"/>
        <w:b w:val="0"/>
        <w:bCs w:val="0"/>
        <w:i w:val="0"/>
        <w:iCs w:val="0"/>
        <w:spacing w:val="0"/>
        <w:w w:val="100"/>
        <w:sz w:val="20"/>
        <w:szCs w:val="20"/>
        <w:lang w:val="es-ES" w:eastAsia="en-US" w:bidi="ar-SA"/>
      </w:rPr>
    </w:lvl>
    <w:lvl w:ilvl="1" w:tplc="AEE27F6C">
      <w:numFmt w:val="bullet"/>
      <w:lvlText w:val="•"/>
      <w:lvlJc w:val="left"/>
      <w:pPr>
        <w:ind w:left="2038" w:hanging="236"/>
      </w:pPr>
      <w:rPr>
        <w:rFonts w:hint="default"/>
        <w:lang w:val="es-ES" w:eastAsia="en-US" w:bidi="ar-SA"/>
      </w:rPr>
    </w:lvl>
    <w:lvl w:ilvl="2" w:tplc="E102BD7C">
      <w:numFmt w:val="bullet"/>
      <w:lvlText w:val="•"/>
      <w:lvlJc w:val="left"/>
      <w:pPr>
        <w:ind w:left="2977" w:hanging="236"/>
      </w:pPr>
      <w:rPr>
        <w:rFonts w:hint="default"/>
        <w:lang w:val="es-ES" w:eastAsia="en-US" w:bidi="ar-SA"/>
      </w:rPr>
    </w:lvl>
    <w:lvl w:ilvl="3" w:tplc="B672D9C0">
      <w:numFmt w:val="bullet"/>
      <w:lvlText w:val="•"/>
      <w:lvlJc w:val="left"/>
      <w:pPr>
        <w:ind w:left="3916" w:hanging="236"/>
      </w:pPr>
      <w:rPr>
        <w:rFonts w:hint="default"/>
        <w:lang w:val="es-ES" w:eastAsia="en-US" w:bidi="ar-SA"/>
      </w:rPr>
    </w:lvl>
    <w:lvl w:ilvl="4" w:tplc="20C6AB8C">
      <w:numFmt w:val="bullet"/>
      <w:lvlText w:val="•"/>
      <w:lvlJc w:val="left"/>
      <w:pPr>
        <w:ind w:left="4855" w:hanging="236"/>
      </w:pPr>
      <w:rPr>
        <w:rFonts w:hint="default"/>
        <w:lang w:val="es-ES" w:eastAsia="en-US" w:bidi="ar-SA"/>
      </w:rPr>
    </w:lvl>
    <w:lvl w:ilvl="5" w:tplc="AFA037F6">
      <w:numFmt w:val="bullet"/>
      <w:lvlText w:val="•"/>
      <w:lvlJc w:val="left"/>
      <w:pPr>
        <w:ind w:left="5794" w:hanging="236"/>
      </w:pPr>
      <w:rPr>
        <w:rFonts w:hint="default"/>
        <w:lang w:val="es-ES" w:eastAsia="en-US" w:bidi="ar-SA"/>
      </w:rPr>
    </w:lvl>
    <w:lvl w:ilvl="6" w:tplc="4BC67A26">
      <w:numFmt w:val="bullet"/>
      <w:lvlText w:val="•"/>
      <w:lvlJc w:val="left"/>
      <w:pPr>
        <w:ind w:left="6733" w:hanging="236"/>
      </w:pPr>
      <w:rPr>
        <w:rFonts w:hint="default"/>
        <w:lang w:val="es-ES" w:eastAsia="en-US" w:bidi="ar-SA"/>
      </w:rPr>
    </w:lvl>
    <w:lvl w:ilvl="7" w:tplc="8E20D44E">
      <w:numFmt w:val="bullet"/>
      <w:lvlText w:val="•"/>
      <w:lvlJc w:val="left"/>
      <w:pPr>
        <w:ind w:left="7672" w:hanging="236"/>
      </w:pPr>
      <w:rPr>
        <w:rFonts w:hint="default"/>
        <w:lang w:val="es-ES" w:eastAsia="en-US" w:bidi="ar-SA"/>
      </w:rPr>
    </w:lvl>
    <w:lvl w:ilvl="8" w:tplc="4252A1A4">
      <w:numFmt w:val="bullet"/>
      <w:lvlText w:val="•"/>
      <w:lvlJc w:val="left"/>
      <w:pPr>
        <w:ind w:left="8611" w:hanging="236"/>
      </w:pPr>
      <w:rPr>
        <w:rFonts w:hint="default"/>
        <w:lang w:val="es-ES" w:eastAsia="en-US" w:bidi="ar-SA"/>
      </w:rPr>
    </w:lvl>
  </w:abstractNum>
  <w:abstractNum w:abstractNumId="291" w15:restartNumberingAfterBreak="0">
    <w:nsid w:val="6DD423B6"/>
    <w:multiLevelType w:val="hybridMultilevel"/>
    <w:tmpl w:val="7436A33A"/>
    <w:lvl w:ilvl="0" w:tplc="5BAEA2DE">
      <w:start w:val="1"/>
      <w:numFmt w:val="decimal"/>
      <w:lvlText w:val="%1."/>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1" w:tplc="887EEB50">
      <w:start w:val="1"/>
      <w:numFmt w:val="lowerLetter"/>
      <w:lvlText w:val="%2)"/>
      <w:lvlJc w:val="left"/>
      <w:pPr>
        <w:ind w:left="1106" w:hanging="329"/>
        <w:jc w:val="left"/>
      </w:pPr>
      <w:rPr>
        <w:rFonts w:ascii="Arial MT" w:eastAsia="Arial MT" w:hAnsi="Arial MT" w:cs="Arial MT" w:hint="default"/>
        <w:b w:val="0"/>
        <w:bCs w:val="0"/>
        <w:i w:val="0"/>
        <w:iCs w:val="0"/>
        <w:spacing w:val="0"/>
        <w:w w:val="100"/>
        <w:sz w:val="20"/>
        <w:szCs w:val="20"/>
        <w:lang w:val="es-ES" w:eastAsia="en-US" w:bidi="ar-SA"/>
      </w:rPr>
    </w:lvl>
    <w:lvl w:ilvl="2" w:tplc="EC9A7E2A">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83E8BD58">
      <w:numFmt w:val="bullet"/>
      <w:lvlText w:val="•"/>
      <w:lvlJc w:val="left"/>
      <w:pPr>
        <w:ind w:left="3916" w:hanging="168"/>
      </w:pPr>
      <w:rPr>
        <w:rFonts w:hint="default"/>
        <w:lang w:val="es-ES" w:eastAsia="en-US" w:bidi="ar-SA"/>
      </w:rPr>
    </w:lvl>
    <w:lvl w:ilvl="4" w:tplc="681201F6">
      <w:numFmt w:val="bullet"/>
      <w:lvlText w:val="•"/>
      <w:lvlJc w:val="left"/>
      <w:pPr>
        <w:ind w:left="4855" w:hanging="168"/>
      </w:pPr>
      <w:rPr>
        <w:rFonts w:hint="default"/>
        <w:lang w:val="es-ES" w:eastAsia="en-US" w:bidi="ar-SA"/>
      </w:rPr>
    </w:lvl>
    <w:lvl w:ilvl="5" w:tplc="BCC8E512">
      <w:numFmt w:val="bullet"/>
      <w:lvlText w:val="•"/>
      <w:lvlJc w:val="left"/>
      <w:pPr>
        <w:ind w:left="5794" w:hanging="168"/>
      </w:pPr>
      <w:rPr>
        <w:rFonts w:hint="default"/>
        <w:lang w:val="es-ES" w:eastAsia="en-US" w:bidi="ar-SA"/>
      </w:rPr>
    </w:lvl>
    <w:lvl w:ilvl="6" w:tplc="759ECD8A">
      <w:numFmt w:val="bullet"/>
      <w:lvlText w:val="•"/>
      <w:lvlJc w:val="left"/>
      <w:pPr>
        <w:ind w:left="6733" w:hanging="168"/>
      </w:pPr>
      <w:rPr>
        <w:rFonts w:hint="default"/>
        <w:lang w:val="es-ES" w:eastAsia="en-US" w:bidi="ar-SA"/>
      </w:rPr>
    </w:lvl>
    <w:lvl w:ilvl="7" w:tplc="BBCADBEC">
      <w:numFmt w:val="bullet"/>
      <w:lvlText w:val="•"/>
      <w:lvlJc w:val="left"/>
      <w:pPr>
        <w:ind w:left="7672" w:hanging="168"/>
      </w:pPr>
      <w:rPr>
        <w:rFonts w:hint="default"/>
        <w:lang w:val="es-ES" w:eastAsia="en-US" w:bidi="ar-SA"/>
      </w:rPr>
    </w:lvl>
    <w:lvl w:ilvl="8" w:tplc="6CD6E370">
      <w:numFmt w:val="bullet"/>
      <w:lvlText w:val="•"/>
      <w:lvlJc w:val="left"/>
      <w:pPr>
        <w:ind w:left="8611" w:hanging="168"/>
      </w:pPr>
      <w:rPr>
        <w:rFonts w:hint="default"/>
        <w:lang w:val="es-ES" w:eastAsia="en-US" w:bidi="ar-SA"/>
      </w:rPr>
    </w:lvl>
  </w:abstractNum>
  <w:abstractNum w:abstractNumId="292" w15:restartNumberingAfterBreak="0">
    <w:nsid w:val="6E643CFE"/>
    <w:multiLevelType w:val="hybridMultilevel"/>
    <w:tmpl w:val="25045272"/>
    <w:lvl w:ilvl="0" w:tplc="3C90AFBE">
      <w:start w:val="1"/>
      <w:numFmt w:val="decimal"/>
      <w:lvlText w:val="%1."/>
      <w:lvlJc w:val="left"/>
      <w:pPr>
        <w:ind w:left="1106" w:hanging="297"/>
        <w:jc w:val="left"/>
      </w:pPr>
      <w:rPr>
        <w:rFonts w:ascii="Arial MT" w:eastAsia="Arial MT" w:hAnsi="Arial MT" w:cs="Arial MT" w:hint="default"/>
        <w:b w:val="0"/>
        <w:bCs w:val="0"/>
        <w:i w:val="0"/>
        <w:iCs w:val="0"/>
        <w:spacing w:val="0"/>
        <w:w w:val="100"/>
        <w:sz w:val="20"/>
        <w:szCs w:val="20"/>
        <w:lang w:val="es-ES" w:eastAsia="en-US" w:bidi="ar-SA"/>
      </w:rPr>
    </w:lvl>
    <w:lvl w:ilvl="1" w:tplc="7D12C38E">
      <w:numFmt w:val="bullet"/>
      <w:lvlText w:val="•"/>
      <w:lvlJc w:val="left"/>
      <w:pPr>
        <w:ind w:left="2038" w:hanging="297"/>
      </w:pPr>
      <w:rPr>
        <w:rFonts w:hint="default"/>
        <w:lang w:val="es-ES" w:eastAsia="en-US" w:bidi="ar-SA"/>
      </w:rPr>
    </w:lvl>
    <w:lvl w:ilvl="2" w:tplc="C1486E5C">
      <w:numFmt w:val="bullet"/>
      <w:lvlText w:val="•"/>
      <w:lvlJc w:val="left"/>
      <w:pPr>
        <w:ind w:left="2977" w:hanging="297"/>
      </w:pPr>
      <w:rPr>
        <w:rFonts w:hint="default"/>
        <w:lang w:val="es-ES" w:eastAsia="en-US" w:bidi="ar-SA"/>
      </w:rPr>
    </w:lvl>
    <w:lvl w:ilvl="3" w:tplc="51DA696A">
      <w:numFmt w:val="bullet"/>
      <w:lvlText w:val="•"/>
      <w:lvlJc w:val="left"/>
      <w:pPr>
        <w:ind w:left="3916" w:hanging="297"/>
      </w:pPr>
      <w:rPr>
        <w:rFonts w:hint="default"/>
        <w:lang w:val="es-ES" w:eastAsia="en-US" w:bidi="ar-SA"/>
      </w:rPr>
    </w:lvl>
    <w:lvl w:ilvl="4" w:tplc="728E1706">
      <w:numFmt w:val="bullet"/>
      <w:lvlText w:val="•"/>
      <w:lvlJc w:val="left"/>
      <w:pPr>
        <w:ind w:left="4855" w:hanging="297"/>
      </w:pPr>
      <w:rPr>
        <w:rFonts w:hint="default"/>
        <w:lang w:val="es-ES" w:eastAsia="en-US" w:bidi="ar-SA"/>
      </w:rPr>
    </w:lvl>
    <w:lvl w:ilvl="5" w:tplc="AF1A1BFA">
      <w:numFmt w:val="bullet"/>
      <w:lvlText w:val="•"/>
      <w:lvlJc w:val="left"/>
      <w:pPr>
        <w:ind w:left="5794" w:hanging="297"/>
      </w:pPr>
      <w:rPr>
        <w:rFonts w:hint="default"/>
        <w:lang w:val="es-ES" w:eastAsia="en-US" w:bidi="ar-SA"/>
      </w:rPr>
    </w:lvl>
    <w:lvl w:ilvl="6" w:tplc="C2142D6C">
      <w:numFmt w:val="bullet"/>
      <w:lvlText w:val="•"/>
      <w:lvlJc w:val="left"/>
      <w:pPr>
        <w:ind w:left="6733" w:hanging="297"/>
      </w:pPr>
      <w:rPr>
        <w:rFonts w:hint="default"/>
        <w:lang w:val="es-ES" w:eastAsia="en-US" w:bidi="ar-SA"/>
      </w:rPr>
    </w:lvl>
    <w:lvl w:ilvl="7" w:tplc="11E6E7F8">
      <w:numFmt w:val="bullet"/>
      <w:lvlText w:val="•"/>
      <w:lvlJc w:val="left"/>
      <w:pPr>
        <w:ind w:left="7672" w:hanging="297"/>
      </w:pPr>
      <w:rPr>
        <w:rFonts w:hint="default"/>
        <w:lang w:val="es-ES" w:eastAsia="en-US" w:bidi="ar-SA"/>
      </w:rPr>
    </w:lvl>
    <w:lvl w:ilvl="8" w:tplc="C3701DAA">
      <w:numFmt w:val="bullet"/>
      <w:lvlText w:val="•"/>
      <w:lvlJc w:val="left"/>
      <w:pPr>
        <w:ind w:left="8611" w:hanging="297"/>
      </w:pPr>
      <w:rPr>
        <w:rFonts w:hint="default"/>
        <w:lang w:val="es-ES" w:eastAsia="en-US" w:bidi="ar-SA"/>
      </w:rPr>
    </w:lvl>
  </w:abstractNum>
  <w:abstractNum w:abstractNumId="293" w15:restartNumberingAfterBreak="0">
    <w:nsid w:val="6EA45881"/>
    <w:multiLevelType w:val="hybridMultilevel"/>
    <w:tmpl w:val="1B3C3886"/>
    <w:lvl w:ilvl="0" w:tplc="D0C82F9E">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2968E002">
      <w:start w:val="1"/>
      <w:numFmt w:val="lowerLetter"/>
      <w:lvlText w:val="%2)"/>
      <w:lvlJc w:val="left"/>
      <w:pPr>
        <w:ind w:left="1106" w:hanging="242"/>
        <w:jc w:val="left"/>
      </w:pPr>
      <w:rPr>
        <w:rFonts w:ascii="Arial MT" w:eastAsia="Arial MT" w:hAnsi="Arial MT" w:cs="Arial MT" w:hint="default"/>
        <w:b w:val="0"/>
        <w:bCs w:val="0"/>
        <w:i w:val="0"/>
        <w:iCs w:val="0"/>
        <w:spacing w:val="0"/>
        <w:w w:val="100"/>
        <w:sz w:val="20"/>
        <w:szCs w:val="20"/>
        <w:lang w:val="es-ES" w:eastAsia="en-US" w:bidi="ar-SA"/>
      </w:rPr>
    </w:lvl>
    <w:lvl w:ilvl="2" w:tplc="2D08DDFE">
      <w:numFmt w:val="bullet"/>
      <w:lvlText w:val="•"/>
      <w:lvlJc w:val="left"/>
      <w:pPr>
        <w:ind w:left="2977" w:hanging="242"/>
      </w:pPr>
      <w:rPr>
        <w:rFonts w:hint="default"/>
        <w:lang w:val="es-ES" w:eastAsia="en-US" w:bidi="ar-SA"/>
      </w:rPr>
    </w:lvl>
    <w:lvl w:ilvl="3" w:tplc="EDBCD95C">
      <w:numFmt w:val="bullet"/>
      <w:lvlText w:val="•"/>
      <w:lvlJc w:val="left"/>
      <w:pPr>
        <w:ind w:left="3916" w:hanging="242"/>
      </w:pPr>
      <w:rPr>
        <w:rFonts w:hint="default"/>
        <w:lang w:val="es-ES" w:eastAsia="en-US" w:bidi="ar-SA"/>
      </w:rPr>
    </w:lvl>
    <w:lvl w:ilvl="4" w:tplc="5ED0D10A">
      <w:numFmt w:val="bullet"/>
      <w:lvlText w:val="•"/>
      <w:lvlJc w:val="left"/>
      <w:pPr>
        <w:ind w:left="4855" w:hanging="242"/>
      </w:pPr>
      <w:rPr>
        <w:rFonts w:hint="default"/>
        <w:lang w:val="es-ES" w:eastAsia="en-US" w:bidi="ar-SA"/>
      </w:rPr>
    </w:lvl>
    <w:lvl w:ilvl="5" w:tplc="1EF85AEA">
      <w:numFmt w:val="bullet"/>
      <w:lvlText w:val="•"/>
      <w:lvlJc w:val="left"/>
      <w:pPr>
        <w:ind w:left="5794" w:hanging="242"/>
      </w:pPr>
      <w:rPr>
        <w:rFonts w:hint="default"/>
        <w:lang w:val="es-ES" w:eastAsia="en-US" w:bidi="ar-SA"/>
      </w:rPr>
    </w:lvl>
    <w:lvl w:ilvl="6" w:tplc="45620E4A">
      <w:numFmt w:val="bullet"/>
      <w:lvlText w:val="•"/>
      <w:lvlJc w:val="left"/>
      <w:pPr>
        <w:ind w:left="6733" w:hanging="242"/>
      </w:pPr>
      <w:rPr>
        <w:rFonts w:hint="default"/>
        <w:lang w:val="es-ES" w:eastAsia="en-US" w:bidi="ar-SA"/>
      </w:rPr>
    </w:lvl>
    <w:lvl w:ilvl="7" w:tplc="8E527E12">
      <w:numFmt w:val="bullet"/>
      <w:lvlText w:val="•"/>
      <w:lvlJc w:val="left"/>
      <w:pPr>
        <w:ind w:left="7672" w:hanging="242"/>
      </w:pPr>
      <w:rPr>
        <w:rFonts w:hint="default"/>
        <w:lang w:val="es-ES" w:eastAsia="en-US" w:bidi="ar-SA"/>
      </w:rPr>
    </w:lvl>
    <w:lvl w:ilvl="8" w:tplc="123CE252">
      <w:numFmt w:val="bullet"/>
      <w:lvlText w:val="•"/>
      <w:lvlJc w:val="left"/>
      <w:pPr>
        <w:ind w:left="8611" w:hanging="242"/>
      </w:pPr>
      <w:rPr>
        <w:rFonts w:hint="default"/>
        <w:lang w:val="es-ES" w:eastAsia="en-US" w:bidi="ar-SA"/>
      </w:rPr>
    </w:lvl>
  </w:abstractNum>
  <w:abstractNum w:abstractNumId="294" w15:restartNumberingAfterBreak="0">
    <w:nsid w:val="6ECC5A1E"/>
    <w:multiLevelType w:val="hybridMultilevel"/>
    <w:tmpl w:val="E0FE1E82"/>
    <w:lvl w:ilvl="0" w:tplc="E3E68EFA">
      <w:start w:val="1"/>
      <w:numFmt w:val="decimal"/>
      <w:lvlText w:val="%1."/>
      <w:lvlJc w:val="left"/>
      <w:pPr>
        <w:ind w:left="1106" w:hanging="264"/>
        <w:jc w:val="left"/>
      </w:pPr>
      <w:rPr>
        <w:rFonts w:ascii="Arial MT" w:eastAsia="Arial MT" w:hAnsi="Arial MT" w:cs="Arial MT" w:hint="default"/>
        <w:b w:val="0"/>
        <w:bCs w:val="0"/>
        <w:i w:val="0"/>
        <w:iCs w:val="0"/>
        <w:spacing w:val="0"/>
        <w:w w:val="100"/>
        <w:sz w:val="20"/>
        <w:szCs w:val="20"/>
        <w:lang w:val="es-ES" w:eastAsia="en-US" w:bidi="ar-SA"/>
      </w:rPr>
    </w:lvl>
    <w:lvl w:ilvl="1" w:tplc="7BC48888">
      <w:numFmt w:val="bullet"/>
      <w:lvlText w:val="•"/>
      <w:lvlJc w:val="left"/>
      <w:pPr>
        <w:ind w:left="2038" w:hanging="264"/>
      </w:pPr>
      <w:rPr>
        <w:rFonts w:hint="default"/>
        <w:lang w:val="es-ES" w:eastAsia="en-US" w:bidi="ar-SA"/>
      </w:rPr>
    </w:lvl>
    <w:lvl w:ilvl="2" w:tplc="5E5664BE">
      <w:numFmt w:val="bullet"/>
      <w:lvlText w:val="•"/>
      <w:lvlJc w:val="left"/>
      <w:pPr>
        <w:ind w:left="2977" w:hanging="264"/>
      </w:pPr>
      <w:rPr>
        <w:rFonts w:hint="default"/>
        <w:lang w:val="es-ES" w:eastAsia="en-US" w:bidi="ar-SA"/>
      </w:rPr>
    </w:lvl>
    <w:lvl w:ilvl="3" w:tplc="476EABFC">
      <w:numFmt w:val="bullet"/>
      <w:lvlText w:val="•"/>
      <w:lvlJc w:val="left"/>
      <w:pPr>
        <w:ind w:left="3916" w:hanging="264"/>
      </w:pPr>
      <w:rPr>
        <w:rFonts w:hint="default"/>
        <w:lang w:val="es-ES" w:eastAsia="en-US" w:bidi="ar-SA"/>
      </w:rPr>
    </w:lvl>
    <w:lvl w:ilvl="4" w:tplc="73307186">
      <w:numFmt w:val="bullet"/>
      <w:lvlText w:val="•"/>
      <w:lvlJc w:val="left"/>
      <w:pPr>
        <w:ind w:left="4855" w:hanging="264"/>
      </w:pPr>
      <w:rPr>
        <w:rFonts w:hint="default"/>
        <w:lang w:val="es-ES" w:eastAsia="en-US" w:bidi="ar-SA"/>
      </w:rPr>
    </w:lvl>
    <w:lvl w:ilvl="5" w:tplc="BB38DB4C">
      <w:numFmt w:val="bullet"/>
      <w:lvlText w:val="•"/>
      <w:lvlJc w:val="left"/>
      <w:pPr>
        <w:ind w:left="5794" w:hanging="264"/>
      </w:pPr>
      <w:rPr>
        <w:rFonts w:hint="default"/>
        <w:lang w:val="es-ES" w:eastAsia="en-US" w:bidi="ar-SA"/>
      </w:rPr>
    </w:lvl>
    <w:lvl w:ilvl="6" w:tplc="B308D95A">
      <w:numFmt w:val="bullet"/>
      <w:lvlText w:val="•"/>
      <w:lvlJc w:val="left"/>
      <w:pPr>
        <w:ind w:left="6733" w:hanging="264"/>
      </w:pPr>
      <w:rPr>
        <w:rFonts w:hint="default"/>
        <w:lang w:val="es-ES" w:eastAsia="en-US" w:bidi="ar-SA"/>
      </w:rPr>
    </w:lvl>
    <w:lvl w:ilvl="7" w:tplc="0DC2507A">
      <w:numFmt w:val="bullet"/>
      <w:lvlText w:val="•"/>
      <w:lvlJc w:val="left"/>
      <w:pPr>
        <w:ind w:left="7672" w:hanging="264"/>
      </w:pPr>
      <w:rPr>
        <w:rFonts w:hint="default"/>
        <w:lang w:val="es-ES" w:eastAsia="en-US" w:bidi="ar-SA"/>
      </w:rPr>
    </w:lvl>
    <w:lvl w:ilvl="8" w:tplc="BA3E7660">
      <w:numFmt w:val="bullet"/>
      <w:lvlText w:val="•"/>
      <w:lvlJc w:val="left"/>
      <w:pPr>
        <w:ind w:left="8611" w:hanging="264"/>
      </w:pPr>
      <w:rPr>
        <w:rFonts w:hint="default"/>
        <w:lang w:val="es-ES" w:eastAsia="en-US" w:bidi="ar-SA"/>
      </w:rPr>
    </w:lvl>
  </w:abstractNum>
  <w:abstractNum w:abstractNumId="295" w15:restartNumberingAfterBreak="0">
    <w:nsid w:val="6FC12081"/>
    <w:multiLevelType w:val="hybridMultilevel"/>
    <w:tmpl w:val="5E58E8D2"/>
    <w:lvl w:ilvl="0" w:tplc="720A67D6">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F8E63E92">
      <w:start w:val="1"/>
      <w:numFmt w:val="lowerLetter"/>
      <w:lvlText w:val="%2)"/>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2" w:tplc="B1AE035E">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8AFA291A">
      <w:numFmt w:val="bullet"/>
      <w:lvlText w:val="•"/>
      <w:lvlJc w:val="left"/>
      <w:pPr>
        <w:ind w:left="3916" w:hanging="168"/>
      </w:pPr>
      <w:rPr>
        <w:rFonts w:hint="default"/>
        <w:lang w:val="es-ES" w:eastAsia="en-US" w:bidi="ar-SA"/>
      </w:rPr>
    </w:lvl>
    <w:lvl w:ilvl="4" w:tplc="3242811A">
      <w:numFmt w:val="bullet"/>
      <w:lvlText w:val="•"/>
      <w:lvlJc w:val="left"/>
      <w:pPr>
        <w:ind w:left="4855" w:hanging="168"/>
      </w:pPr>
      <w:rPr>
        <w:rFonts w:hint="default"/>
        <w:lang w:val="es-ES" w:eastAsia="en-US" w:bidi="ar-SA"/>
      </w:rPr>
    </w:lvl>
    <w:lvl w:ilvl="5" w:tplc="3A4842F2">
      <w:numFmt w:val="bullet"/>
      <w:lvlText w:val="•"/>
      <w:lvlJc w:val="left"/>
      <w:pPr>
        <w:ind w:left="5794" w:hanging="168"/>
      </w:pPr>
      <w:rPr>
        <w:rFonts w:hint="default"/>
        <w:lang w:val="es-ES" w:eastAsia="en-US" w:bidi="ar-SA"/>
      </w:rPr>
    </w:lvl>
    <w:lvl w:ilvl="6" w:tplc="B6989EAC">
      <w:numFmt w:val="bullet"/>
      <w:lvlText w:val="•"/>
      <w:lvlJc w:val="left"/>
      <w:pPr>
        <w:ind w:left="6733" w:hanging="168"/>
      </w:pPr>
      <w:rPr>
        <w:rFonts w:hint="default"/>
        <w:lang w:val="es-ES" w:eastAsia="en-US" w:bidi="ar-SA"/>
      </w:rPr>
    </w:lvl>
    <w:lvl w:ilvl="7" w:tplc="CA383F5C">
      <w:numFmt w:val="bullet"/>
      <w:lvlText w:val="•"/>
      <w:lvlJc w:val="left"/>
      <w:pPr>
        <w:ind w:left="7672" w:hanging="168"/>
      </w:pPr>
      <w:rPr>
        <w:rFonts w:hint="default"/>
        <w:lang w:val="es-ES" w:eastAsia="en-US" w:bidi="ar-SA"/>
      </w:rPr>
    </w:lvl>
    <w:lvl w:ilvl="8" w:tplc="3B1AD4FA">
      <w:numFmt w:val="bullet"/>
      <w:lvlText w:val="•"/>
      <w:lvlJc w:val="left"/>
      <w:pPr>
        <w:ind w:left="8611" w:hanging="168"/>
      </w:pPr>
      <w:rPr>
        <w:rFonts w:hint="default"/>
        <w:lang w:val="es-ES" w:eastAsia="en-US" w:bidi="ar-SA"/>
      </w:rPr>
    </w:lvl>
  </w:abstractNum>
  <w:abstractNum w:abstractNumId="296" w15:restartNumberingAfterBreak="0">
    <w:nsid w:val="6FCA567F"/>
    <w:multiLevelType w:val="hybridMultilevel"/>
    <w:tmpl w:val="2174B704"/>
    <w:lvl w:ilvl="0" w:tplc="BCDCD536">
      <w:numFmt w:val="bullet"/>
      <w:lvlText w:val="–"/>
      <w:lvlJc w:val="left"/>
      <w:pPr>
        <w:ind w:left="143" w:hanging="103"/>
      </w:pPr>
      <w:rPr>
        <w:rFonts w:ascii="Arial MT" w:eastAsia="Arial MT" w:hAnsi="Arial MT" w:cs="Arial MT" w:hint="default"/>
        <w:b w:val="0"/>
        <w:bCs w:val="0"/>
        <w:i w:val="0"/>
        <w:iCs w:val="0"/>
        <w:spacing w:val="0"/>
        <w:w w:val="87"/>
        <w:sz w:val="14"/>
        <w:szCs w:val="14"/>
        <w:lang w:val="es-ES" w:eastAsia="en-US" w:bidi="ar-SA"/>
      </w:rPr>
    </w:lvl>
    <w:lvl w:ilvl="1" w:tplc="1074B2CC">
      <w:numFmt w:val="bullet"/>
      <w:lvlText w:val="•"/>
      <w:lvlJc w:val="left"/>
      <w:pPr>
        <w:ind w:left="751" w:hanging="103"/>
      </w:pPr>
      <w:rPr>
        <w:rFonts w:hint="default"/>
        <w:lang w:val="es-ES" w:eastAsia="en-US" w:bidi="ar-SA"/>
      </w:rPr>
    </w:lvl>
    <w:lvl w:ilvl="2" w:tplc="D0E45EFC">
      <w:numFmt w:val="bullet"/>
      <w:lvlText w:val="•"/>
      <w:lvlJc w:val="left"/>
      <w:pPr>
        <w:ind w:left="1363" w:hanging="103"/>
      </w:pPr>
      <w:rPr>
        <w:rFonts w:hint="default"/>
        <w:lang w:val="es-ES" w:eastAsia="en-US" w:bidi="ar-SA"/>
      </w:rPr>
    </w:lvl>
    <w:lvl w:ilvl="3" w:tplc="7030440A">
      <w:numFmt w:val="bullet"/>
      <w:lvlText w:val="•"/>
      <w:lvlJc w:val="left"/>
      <w:pPr>
        <w:ind w:left="1975" w:hanging="103"/>
      </w:pPr>
      <w:rPr>
        <w:rFonts w:hint="default"/>
        <w:lang w:val="es-ES" w:eastAsia="en-US" w:bidi="ar-SA"/>
      </w:rPr>
    </w:lvl>
    <w:lvl w:ilvl="4" w:tplc="82BE54FA">
      <w:numFmt w:val="bullet"/>
      <w:lvlText w:val="•"/>
      <w:lvlJc w:val="left"/>
      <w:pPr>
        <w:ind w:left="2586" w:hanging="103"/>
      </w:pPr>
      <w:rPr>
        <w:rFonts w:hint="default"/>
        <w:lang w:val="es-ES" w:eastAsia="en-US" w:bidi="ar-SA"/>
      </w:rPr>
    </w:lvl>
    <w:lvl w:ilvl="5" w:tplc="7F9AAE72">
      <w:numFmt w:val="bullet"/>
      <w:lvlText w:val="•"/>
      <w:lvlJc w:val="left"/>
      <w:pPr>
        <w:ind w:left="3198" w:hanging="103"/>
      </w:pPr>
      <w:rPr>
        <w:rFonts w:hint="default"/>
        <w:lang w:val="es-ES" w:eastAsia="en-US" w:bidi="ar-SA"/>
      </w:rPr>
    </w:lvl>
    <w:lvl w:ilvl="6" w:tplc="D92E5FBC">
      <w:numFmt w:val="bullet"/>
      <w:lvlText w:val="•"/>
      <w:lvlJc w:val="left"/>
      <w:pPr>
        <w:ind w:left="3810" w:hanging="103"/>
      </w:pPr>
      <w:rPr>
        <w:rFonts w:hint="default"/>
        <w:lang w:val="es-ES" w:eastAsia="en-US" w:bidi="ar-SA"/>
      </w:rPr>
    </w:lvl>
    <w:lvl w:ilvl="7" w:tplc="2E689408">
      <w:numFmt w:val="bullet"/>
      <w:lvlText w:val="•"/>
      <w:lvlJc w:val="left"/>
      <w:pPr>
        <w:ind w:left="4421" w:hanging="103"/>
      </w:pPr>
      <w:rPr>
        <w:rFonts w:hint="default"/>
        <w:lang w:val="es-ES" w:eastAsia="en-US" w:bidi="ar-SA"/>
      </w:rPr>
    </w:lvl>
    <w:lvl w:ilvl="8" w:tplc="68B6B034">
      <w:numFmt w:val="bullet"/>
      <w:lvlText w:val="•"/>
      <w:lvlJc w:val="left"/>
      <w:pPr>
        <w:ind w:left="5033" w:hanging="103"/>
      </w:pPr>
      <w:rPr>
        <w:rFonts w:hint="default"/>
        <w:lang w:val="es-ES" w:eastAsia="en-US" w:bidi="ar-SA"/>
      </w:rPr>
    </w:lvl>
  </w:abstractNum>
  <w:abstractNum w:abstractNumId="297" w15:restartNumberingAfterBreak="0">
    <w:nsid w:val="6FD059BD"/>
    <w:multiLevelType w:val="hybridMultilevel"/>
    <w:tmpl w:val="F5C05E76"/>
    <w:lvl w:ilvl="0" w:tplc="5C022E7E">
      <w:start w:val="1"/>
      <w:numFmt w:val="decimal"/>
      <w:lvlText w:val="%1."/>
      <w:lvlJc w:val="left"/>
      <w:pPr>
        <w:ind w:left="1106" w:hanging="228"/>
        <w:jc w:val="left"/>
      </w:pPr>
      <w:rPr>
        <w:rFonts w:ascii="Arial MT" w:eastAsia="Arial MT" w:hAnsi="Arial MT" w:cs="Arial MT" w:hint="default"/>
        <w:b w:val="0"/>
        <w:bCs w:val="0"/>
        <w:i w:val="0"/>
        <w:iCs w:val="0"/>
        <w:spacing w:val="0"/>
        <w:w w:val="100"/>
        <w:sz w:val="20"/>
        <w:szCs w:val="20"/>
        <w:lang w:val="es-ES" w:eastAsia="en-US" w:bidi="ar-SA"/>
      </w:rPr>
    </w:lvl>
    <w:lvl w:ilvl="1" w:tplc="1550207E">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E9529062">
      <w:numFmt w:val="bullet"/>
      <w:lvlText w:val="•"/>
      <w:lvlJc w:val="left"/>
      <w:pPr>
        <w:ind w:left="2658" w:hanging="234"/>
      </w:pPr>
      <w:rPr>
        <w:rFonts w:hint="default"/>
        <w:lang w:val="es-ES" w:eastAsia="en-US" w:bidi="ar-SA"/>
      </w:rPr>
    </w:lvl>
    <w:lvl w:ilvl="3" w:tplc="9ED4A676">
      <w:numFmt w:val="bullet"/>
      <w:lvlText w:val="•"/>
      <w:lvlJc w:val="left"/>
      <w:pPr>
        <w:ind w:left="3637" w:hanging="234"/>
      </w:pPr>
      <w:rPr>
        <w:rFonts w:hint="default"/>
        <w:lang w:val="es-ES" w:eastAsia="en-US" w:bidi="ar-SA"/>
      </w:rPr>
    </w:lvl>
    <w:lvl w:ilvl="4" w:tplc="AAA29438">
      <w:numFmt w:val="bullet"/>
      <w:lvlText w:val="•"/>
      <w:lvlJc w:val="left"/>
      <w:pPr>
        <w:ind w:left="4616" w:hanging="234"/>
      </w:pPr>
      <w:rPr>
        <w:rFonts w:hint="default"/>
        <w:lang w:val="es-ES" w:eastAsia="en-US" w:bidi="ar-SA"/>
      </w:rPr>
    </w:lvl>
    <w:lvl w:ilvl="5" w:tplc="A186383E">
      <w:numFmt w:val="bullet"/>
      <w:lvlText w:val="•"/>
      <w:lvlJc w:val="left"/>
      <w:pPr>
        <w:ind w:left="5595" w:hanging="234"/>
      </w:pPr>
      <w:rPr>
        <w:rFonts w:hint="default"/>
        <w:lang w:val="es-ES" w:eastAsia="en-US" w:bidi="ar-SA"/>
      </w:rPr>
    </w:lvl>
    <w:lvl w:ilvl="6" w:tplc="0D5839DE">
      <w:numFmt w:val="bullet"/>
      <w:lvlText w:val="•"/>
      <w:lvlJc w:val="left"/>
      <w:pPr>
        <w:ind w:left="6574" w:hanging="234"/>
      </w:pPr>
      <w:rPr>
        <w:rFonts w:hint="default"/>
        <w:lang w:val="es-ES" w:eastAsia="en-US" w:bidi="ar-SA"/>
      </w:rPr>
    </w:lvl>
    <w:lvl w:ilvl="7" w:tplc="68CCB9AE">
      <w:numFmt w:val="bullet"/>
      <w:lvlText w:val="•"/>
      <w:lvlJc w:val="left"/>
      <w:pPr>
        <w:ind w:left="7553" w:hanging="234"/>
      </w:pPr>
      <w:rPr>
        <w:rFonts w:hint="default"/>
        <w:lang w:val="es-ES" w:eastAsia="en-US" w:bidi="ar-SA"/>
      </w:rPr>
    </w:lvl>
    <w:lvl w:ilvl="8" w:tplc="C81ECFA2">
      <w:numFmt w:val="bullet"/>
      <w:lvlText w:val="•"/>
      <w:lvlJc w:val="left"/>
      <w:pPr>
        <w:ind w:left="8531" w:hanging="234"/>
      </w:pPr>
      <w:rPr>
        <w:rFonts w:hint="default"/>
        <w:lang w:val="es-ES" w:eastAsia="en-US" w:bidi="ar-SA"/>
      </w:rPr>
    </w:lvl>
  </w:abstractNum>
  <w:abstractNum w:abstractNumId="298" w15:restartNumberingAfterBreak="0">
    <w:nsid w:val="703501AB"/>
    <w:multiLevelType w:val="hybridMultilevel"/>
    <w:tmpl w:val="58E601DE"/>
    <w:lvl w:ilvl="0" w:tplc="F6302326">
      <w:start w:val="1"/>
      <w:numFmt w:val="decimal"/>
      <w:lvlText w:val="%1."/>
      <w:lvlJc w:val="left"/>
      <w:pPr>
        <w:ind w:left="1106" w:hanging="260"/>
        <w:jc w:val="left"/>
      </w:pPr>
      <w:rPr>
        <w:rFonts w:ascii="Arial MT" w:eastAsia="Arial MT" w:hAnsi="Arial MT" w:cs="Arial MT" w:hint="default"/>
        <w:b w:val="0"/>
        <w:bCs w:val="0"/>
        <w:i w:val="0"/>
        <w:iCs w:val="0"/>
        <w:spacing w:val="0"/>
        <w:w w:val="100"/>
        <w:sz w:val="20"/>
        <w:szCs w:val="20"/>
        <w:lang w:val="es-ES" w:eastAsia="en-US" w:bidi="ar-SA"/>
      </w:rPr>
    </w:lvl>
    <w:lvl w:ilvl="1" w:tplc="E446E542">
      <w:numFmt w:val="bullet"/>
      <w:lvlText w:val="•"/>
      <w:lvlJc w:val="left"/>
      <w:pPr>
        <w:ind w:left="2038" w:hanging="260"/>
      </w:pPr>
      <w:rPr>
        <w:rFonts w:hint="default"/>
        <w:lang w:val="es-ES" w:eastAsia="en-US" w:bidi="ar-SA"/>
      </w:rPr>
    </w:lvl>
    <w:lvl w:ilvl="2" w:tplc="C90AFEE2">
      <w:numFmt w:val="bullet"/>
      <w:lvlText w:val="•"/>
      <w:lvlJc w:val="left"/>
      <w:pPr>
        <w:ind w:left="2977" w:hanging="260"/>
      </w:pPr>
      <w:rPr>
        <w:rFonts w:hint="default"/>
        <w:lang w:val="es-ES" w:eastAsia="en-US" w:bidi="ar-SA"/>
      </w:rPr>
    </w:lvl>
    <w:lvl w:ilvl="3" w:tplc="E8B4C80A">
      <w:numFmt w:val="bullet"/>
      <w:lvlText w:val="•"/>
      <w:lvlJc w:val="left"/>
      <w:pPr>
        <w:ind w:left="3916" w:hanging="260"/>
      </w:pPr>
      <w:rPr>
        <w:rFonts w:hint="default"/>
        <w:lang w:val="es-ES" w:eastAsia="en-US" w:bidi="ar-SA"/>
      </w:rPr>
    </w:lvl>
    <w:lvl w:ilvl="4" w:tplc="E5A80A90">
      <w:numFmt w:val="bullet"/>
      <w:lvlText w:val="•"/>
      <w:lvlJc w:val="left"/>
      <w:pPr>
        <w:ind w:left="4855" w:hanging="260"/>
      </w:pPr>
      <w:rPr>
        <w:rFonts w:hint="default"/>
        <w:lang w:val="es-ES" w:eastAsia="en-US" w:bidi="ar-SA"/>
      </w:rPr>
    </w:lvl>
    <w:lvl w:ilvl="5" w:tplc="9912E6CC">
      <w:numFmt w:val="bullet"/>
      <w:lvlText w:val="•"/>
      <w:lvlJc w:val="left"/>
      <w:pPr>
        <w:ind w:left="5794" w:hanging="260"/>
      </w:pPr>
      <w:rPr>
        <w:rFonts w:hint="default"/>
        <w:lang w:val="es-ES" w:eastAsia="en-US" w:bidi="ar-SA"/>
      </w:rPr>
    </w:lvl>
    <w:lvl w:ilvl="6" w:tplc="C610C92E">
      <w:numFmt w:val="bullet"/>
      <w:lvlText w:val="•"/>
      <w:lvlJc w:val="left"/>
      <w:pPr>
        <w:ind w:left="6733" w:hanging="260"/>
      </w:pPr>
      <w:rPr>
        <w:rFonts w:hint="default"/>
        <w:lang w:val="es-ES" w:eastAsia="en-US" w:bidi="ar-SA"/>
      </w:rPr>
    </w:lvl>
    <w:lvl w:ilvl="7" w:tplc="622A7C06">
      <w:numFmt w:val="bullet"/>
      <w:lvlText w:val="•"/>
      <w:lvlJc w:val="left"/>
      <w:pPr>
        <w:ind w:left="7672" w:hanging="260"/>
      </w:pPr>
      <w:rPr>
        <w:rFonts w:hint="default"/>
        <w:lang w:val="es-ES" w:eastAsia="en-US" w:bidi="ar-SA"/>
      </w:rPr>
    </w:lvl>
    <w:lvl w:ilvl="8" w:tplc="965E355E">
      <w:numFmt w:val="bullet"/>
      <w:lvlText w:val="•"/>
      <w:lvlJc w:val="left"/>
      <w:pPr>
        <w:ind w:left="8611" w:hanging="260"/>
      </w:pPr>
      <w:rPr>
        <w:rFonts w:hint="default"/>
        <w:lang w:val="es-ES" w:eastAsia="en-US" w:bidi="ar-SA"/>
      </w:rPr>
    </w:lvl>
  </w:abstractNum>
  <w:abstractNum w:abstractNumId="299" w15:restartNumberingAfterBreak="0">
    <w:nsid w:val="70635614"/>
    <w:multiLevelType w:val="hybridMultilevel"/>
    <w:tmpl w:val="18DE3A44"/>
    <w:lvl w:ilvl="0" w:tplc="9C6A26C0">
      <w:start w:val="1"/>
      <w:numFmt w:val="decimal"/>
      <w:lvlText w:val="%1."/>
      <w:lvlJc w:val="left"/>
      <w:pPr>
        <w:ind w:left="1106" w:hanging="300"/>
        <w:jc w:val="left"/>
      </w:pPr>
      <w:rPr>
        <w:rFonts w:ascii="Arial MT" w:eastAsia="Arial MT" w:hAnsi="Arial MT" w:cs="Arial MT" w:hint="default"/>
        <w:b w:val="0"/>
        <w:bCs w:val="0"/>
        <w:i w:val="0"/>
        <w:iCs w:val="0"/>
        <w:spacing w:val="0"/>
        <w:w w:val="100"/>
        <w:sz w:val="20"/>
        <w:szCs w:val="20"/>
        <w:lang w:val="es-ES" w:eastAsia="en-US" w:bidi="ar-SA"/>
      </w:rPr>
    </w:lvl>
    <w:lvl w:ilvl="1" w:tplc="E24652A6">
      <w:numFmt w:val="bullet"/>
      <w:lvlText w:val="•"/>
      <w:lvlJc w:val="left"/>
      <w:pPr>
        <w:ind w:left="2038" w:hanging="300"/>
      </w:pPr>
      <w:rPr>
        <w:rFonts w:hint="default"/>
        <w:lang w:val="es-ES" w:eastAsia="en-US" w:bidi="ar-SA"/>
      </w:rPr>
    </w:lvl>
    <w:lvl w:ilvl="2" w:tplc="25FC791A">
      <w:numFmt w:val="bullet"/>
      <w:lvlText w:val="•"/>
      <w:lvlJc w:val="left"/>
      <w:pPr>
        <w:ind w:left="2977" w:hanging="300"/>
      </w:pPr>
      <w:rPr>
        <w:rFonts w:hint="default"/>
        <w:lang w:val="es-ES" w:eastAsia="en-US" w:bidi="ar-SA"/>
      </w:rPr>
    </w:lvl>
    <w:lvl w:ilvl="3" w:tplc="62E437DA">
      <w:numFmt w:val="bullet"/>
      <w:lvlText w:val="•"/>
      <w:lvlJc w:val="left"/>
      <w:pPr>
        <w:ind w:left="3916" w:hanging="300"/>
      </w:pPr>
      <w:rPr>
        <w:rFonts w:hint="default"/>
        <w:lang w:val="es-ES" w:eastAsia="en-US" w:bidi="ar-SA"/>
      </w:rPr>
    </w:lvl>
    <w:lvl w:ilvl="4" w:tplc="02CA4D4C">
      <w:numFmt w:val="bullet"/>
      <w:lvlText w:val="•"/>
      <w:lvlJc w:val="left"/>
      <w:pPr>
        <w:ind w:left="4855" w:hanging="300"/>
      </w:pPr>
      <w:rPr>
        <w:rFonts w:hint="default"/>
        <w:lang w:val="es-ES" w:eastAsia="en-US" w:bidi="ar-SA"/>
      </w:rPr>
    </w:lvl>
    <w:lvl w:ilvl="5" w:tplc="E6F4C880">
      <w:numFmt w:val="bullet"/>
      <w:lvlText w:val="•"/>
      <w:lvlJc w:val="left"/>
      <w:pPr>
        <w:ind w:left="5794" w:hanging="300"/>
      </w:pPr>
      <w:rPr>
        <w:rFonts w:hint="default"/>
        <w:lang w:val="es-ES" w:eastAsia="en-US" w:bidi="ar-SA"/>
      </w:rPr>
    </w:lvl>
    <w:lvl w:ilvl="6" w:tplc="77B6F5FE">
      <w:numFmt w:val="bullet"/>
      <w:lvlText w:val="•"/>
      <w:lvlJc w:val="left"/>
      <w:pPr>
        <w:ind w:left="6733" w:hanging="300"/>
      </w:pPr>
      <w:rPr>
        <w:rFonts w:hint="default"/>
        <w:lang w:val="es-ES" w:eastAsia="en-US" w:bidi="ar-SA"/>
      </w:rPr>
    </w:lvl>
    <w:lvl w:ilvl="7" w:tplc="D1D46E6E">
      <w:numFmt w:val="bullet"/>
      <w:lvlText w:val="•"/>
      <w:lvlJc w:val="left"/>
      <w:pPr>
        <w:ind w:left="7672" w:hanging="300"/>
      </w:pPr>
      <w:rPr>
        <w:rFonts w:hint="default"/>
        <w:lang w:val="es-ES" w:eastAsia="en-US" w:bidi="ar-SA"/>
      </w:rPr>
    </w:lvl>
    <w:lvl w:ilvl="8" w:tplc="082A873C">
      <w:numFmt w:val="bullet"/>
      <w:lvlText w:val="•"/>
      <w:lvlJc w:val="left"/>
      <w:pPr>
        <w:ind w:left="8611" w:hanging="300"/>
      </w:pPr>
      <w:rPr>
        <w:rFonts w:hint="default"/>
        <w:lang w:val="es-ES" w:eastAsia="en-US" w:bidi="ar-SA"/>
      </w:rPr>
    </w:lvl>
  </w:abstractNum>
  <w:abstractNum w:abstractNumId="300" w15:restartNumberingAfterBreak="0">
    <w:nsid w:val="707456B4"/>
    <w:multiLevelType w:val="hybridMultilevel"/>
    <w:tmpl w:val="193EDFEE"/>
    <w:lvl w:ilvl="0" w:tplc="2DC084FC">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4BEACA02">
      <w:numFmt w:val="bullet"/>
      <w:lvlText w:val="•"/>
      <w:lvlJc w:val="left"/>
      <w:pPr>
        <w:ind w:left="2038" w:hanging="255"/>
      </w:pPr>
      <w:rPr>
        <w:rFonts w:hint="default"/>
        <w:lang w:val="es-ES" w:eastAsia="en-US" w:bidi="ar-SA"/>
      </w:rPr>
    </w:lvl>
    <w:lvl w:ilvl="2" w:tplc="394808B4">
      <w:numFmt w:val="bullet"/>
      <w:lvlText w:val="•"/>
      <w:lvlJc w:val="left"/>
      <w:pPr>
        <w:ind w:left="2977" w:hanging="255"/>
      </w:pPr>
      <w:rPr>
        <w:rFonts w:hint="default"/>
        <w:lang w:val="es-ES" w:eastAsia="en-US" w:bidi="ar-SA"/>
      </w:rPr>
    </w:lvl>
    <w:lvl w:ilvl="3" w:tplc="3272943E">
      <w:numFmt w:val="bullet"/>
      <w:lvlText w:val="•"/>
      <w:lvlJc w:val="left"/>
      <w:pPr>
        <w:ind w:left="3916" w:hanging="255"/>
      </w:pPr>
      <w:rPr>
        <w:rFonts w:hint="default"/>
        <w:lang w:val="es-ES" w:eastAsia="en-US" w:bidi="ar-SA"/>
      </w:rPr>
    </w:lvl>
    <w:lvl w:ilvl="4" w:tplc="73A27ADC">
      <w:numFmt w:val="bullet"/>
      <w:lvlText w:val="•"/>
      <w:lvlJc w:val="left"/>
      <w:pPr>
        <w:ind w:left="4855" w:hanging="255"/>
      </w:pPr>
      <w:rPr>
        <w:rFonts w:hint="default"/>
        <w:lang w:val="es-ES" w:eastAsia="en-US" w:bidi="ar-SA"/>
      </w:rPr>
    </w:lvl>
    <w:lvl w:ilvl="5" w:tplc="DB389DC2">
      <w:numFmt w:val="bullet"/>
      <w:lvlText w:val="•"/>
      <w:lvlJc w:val="left"/>
      <w:pPr>
        <w:ind w:left="5794" w:hanging="255"/>
      </w:pPr>
      <w:rPr>
        <w:rFonts w:hint="default"/>
        <w:lang w:val="es-ES" w:eastAsia="en-US" w:bidi="ar-SA"/>
      </w:rPr>
    </w:lvl>
    <w:lvl w:ilvl="6" w:tplc="B772492E">
      <w:numFmt w:val="bullet"/>
      <w:lvlText w:val="•"/>
      <w:lvlJc w:val="left"/>
      <w:pPr>
        <w:ind w:left="6733" w:hanging="255"/>
      </w:pPr>
      <w:rPr>
        <w:rFonts w:hint="default"/>
        <w:lang w:val="es-ES" w:eastAsia="en-US" w:bidi="ar-SA"/>
      </w:rPr>
    </w:lvl>
    <w:lvl w:ilvl="7" w:tplc="E66C8362">
      <w:numFmt w:val="bullet"/>
      <w:lvlText w:val="•"/>
      <w:lvlJc w:val="left"/>
      <w:pPr>
        <w:ind w:left="7672" w:hanging="255"/>
      </w:pPr>
      <w:rPr>
        <w:rFonts w:hint="default"/>
        <w:lang w:val="es-ES" w:eastAsia="en-US" w:bidi="ar-SA"/>
      </w:rPr>
    </w:lvl>
    <w:lvl w:ilvl="8" w:tplc="CF4C514A">
      <w:numFmt w:val="bullet"/>
      <w:lvlText w:val="•"/>
      <w:lvlJc w:val="left"/>
      <w:pPr>
        <w:ind w:left="8611" w:hanging="255"/>
      </w:pPr>
      <w:rPr>
        <w:rFonts w:hint="default"/>
        <w:lang w:val="es-ES" w:eastAsia="en-US" w:bidi="ar-SA"/>
      </w:rPr>
    </w:lvl>
  </w:abstractNum>
  <w:abstractNum w:abstractNumId="301" w15:restartNumberingAfterBreak="0">
    <w:nsid w:val="708E57A7"/>
    <w:multiLevelType w:val="hybridMultilevel"/>
    <w:tmpl w:val="B3ECFD8E"/>
    <w:lvl w:ilvl="0" w:tplc="E0BE9A62">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24DA0954">
      <w:numFmt w:val="bullet"/>
      <w:lvlText w:val="•"/>
      <w:lvlJc w:val="left"/>
      <w:pPr>
        <w:ind w:left="2038" w:hanging="270"/>
      </w:pPr>
      <w:rPr>
        <w:rFonts w:hint="default"/>
        <w:lang w:val="es-ES" w:eastAsia="en-US" w:bidi="ar-SA"/>
      </w:rPr>
    </w:lvl>
    <w:lvl w:ilvl="2" w:tplc="47F84338">
      <w:numFmt w:val="bullet"/>
      <w:lvlText w:val="•"/>
      <w:lvlJc w:val="left"/>
      <w:pPr>
        <w:ind w:left="2977" w:hanging="270"/>
      </w:pPr>
      <w:rPr>
        <w:rFonts w:hint="default"/>
        <w:lang w:val="es-ES" w:eastAsia="en-US" w:bidi="ar-SA"/>
      </w:rPr>
    </w:lvl>
    <w:lvl w:ilvl="3" w:tplc="30941788">
      <w:numFmt w:val="bullet"/>
      <w:lvlText w:val="•"/>
      <w:lvlJc w:val="left"/>
      <w:pPr>
        <w:ind w:left="3916" w:hanging="270"/>
      </w:pPr>
      <w:rPr>
        <w:rFonts w:hint="default"/>
        <w:lang w:val="es-ES" w:eastAsia="en-US" w:bidi="ar-SA"/>
      </w:rPr>
    </w:lvl>
    <w:lvl w:ilvl="4" w:tplc="1E6ECA42">
      <w:numFmt w:val="bullet"/>
      <w:lvlText w:val="•"/>
      <w:lvlJc w:val="left"/>
      <w:pPr>
        <w:ind w:left="4855" w:hanging="270"/>
      </w:pPr>
      <w:rPr>
        <w:rFonts w:hint="default"/>
        <w:lang w:val="es-ES" w:eastAsia="en-US" w:bidi="ar-SA"/>
      </w:rPr>
    </w:lvl>
    <w:lvl w:ilvl="5" w:tplc="C408F156">
      <w:numFmt w:val="bullet"/>
      <w:lvlText w:val="•"/>
      <w:lvlJc w:val="left"/>
      <w:pPr>
        <w:ind w:left="5794" w:hanging="270"/>
      </w:pPr>
      <w:rPr>
        <w:rFonts w:hint="default"/>
        <w:lang w:val="es-ES" w:eastAsia="en-US" w:bidi="ar-SA"/>
      </w:rPr>
    </w:lvl>
    <w:lvl w:ilvl="6" w:tplc="F6CEFBD2">
      <w:numFmt w:val="bullet"/>
      <w:lvlText w:val="•"/>
      <w:lvlJc w:val="left"/>
      <w:pPr>
        <w:ind w:left="6733" w:hanging="270"/>
      </w:pPr>
      <w:rPr>
        <w:rFonts w:hint="default"/>
        <w:lang w:val="es-ES" w:eastAsia="en-US" w:bidi="ar-SA"/>
      </w:rPr>
    </w:lvl>
    <w:lvl w:ilvl="7" w:tplc="2ABA8E18">
      <w:numFmt w:val="bullet"/>
      <w:lvlText w:val="•"/>
      <w:lvlJc w:val="left"/>
      <w:pPr>
        <w:ind w:left="7672" w:hanging="270"/>
      </w:pPr>
      <w:rPr>
        <w:rFonts w:hint="default"/>
        <w:lang w:val="es-ES" w:eastAsia="en-US" w:bidi="ar-SA"/>
      </w:rPr>
    </w:lvl>
    <w:lvl w:ilvl="8" w:tplc="C5920098">
      <w:numFmt w:val="bullet"/>
      <w:lvlText w:val="•"/>
      <w:lvlJc w:val="left"/>
      <w:pPr>
        <w:ind w:left="8611" w:hanging="270"/>
      </w:pPr>
      <w:rPr>
        <w:rFonts w:hint="default"/>
        <w:lang w:val="es-ES" w:eastAsia="en-US" w:bidi="ar-SA"/>
      </w:rPr>
    </w:lvl>
  </w:abstractNum>
  <w:abstractNum w:abstractNumId="302" w15:restartNumberingAfterBreak="0">
    <w:nsid w:val="70925323"/>
    <w:multiLevelType w:val="hybridMultilevel"/>
    <w:tmpl w:val="54222558"/>
    <w:lvl w:ilvl="0" w:tplc="EE0E3164">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29AABB6A">
      <w:numFmt w:val="bullet"/>
      <w:lvlText w:val="•"/>
      <w:lvlJc w:val="left"/>
      <w:pPr>
        <w:ind w:left="661" w:hanging="103"/>
      </w:pPr>
      <w:rPr>
        <w:rFonts w:hint="default"/>
        <w:lang w:val="es-ES" w:eastAsia="en-US" w:bidi="ar-SA"/>
      </w:rPr>
    </w:lvl>
    <w:lvl w:ilvl="2" w:tplc="5576FBA2">
      <w:numFmt w:val="bullet"/>
      <w:lvlText w:val="•"/>
      <w:lvlJc w:val="left"/>
      <w:pPr>
        <w:ind w:left="1283" w:hanging="103"/>
      </w:pPr>
      <w:rPr>
        <w:rFonts w:hint="default"/>
        <w:lang w:val="es-ES" w:eastAsia="en-US" w:bidi="ar-SA"/>
      </w:rPr>
    </w:lvl>
    <w:lvl w:ilvl="3" w:tplc="27A40F0A">
      <w:numFmt w:val="bullet"/>
      <w:lvlText w:val="•"/>
      <w:lvlJc w:val="left"/>
      <w:pPr>
        <w:ind w:left="1905" w:hanging="103"/>
      </w:pPr>
      <w:rPr>
        <w:rFonts w:hint="default"/>
        <w:lang w:val="es-ES" w:eastAsia="en-US" w:bidi="ar-SA"/>
      </w:rPr>
    </w:lvl>
    <w:lvl w:ilvl="4" w:tplc="53DEF8C4">
      <w:numFmt w:val="bullet"/>
      <w:lvlText w:val="•"/>
      <w:lvlJc w:val="left"/>
      <w:pPr>
        <w:ind w:left="2526" w:hanging="103"/>
      </w:pPr>
      <w:rPr>
        <w:rFonts w:hint="default"/>
        <w:lang w:val="es-ES" w:eastAsia="en-US" w:bidi="ar-SA"/>
      </w:rPr>
    </w:lvl>
    <w:lvl w:ilvl="5" w:tplc="FEA22E28">
      <w:numFmt w:val="bullet"/>
      <w:lvlText w:val="•"/>
      <w:lvlJc w:val="left"/>
      <w:pPr>
        <w:ind w:left="3148" w:hanging="103"/>
      </w:pPr>
      <w:rPr>
        <w:rFonts w:hint="default"/>
        <w:lang w:val="es-ES" w:eastAsia="en-US" w:bidi="ar-SA"/>
      </w:rPr>
    </w:lvl>
    <w:lvl w:ilvl="6" w:tplc="34AAADF0">
      <w:numFmt w:val="bullet"/>
      <w:lvlText w:val="•"/>
      <w:lvlJc w:val="left"/>
      <w:pPr>
        <w:ind w:left="3770" w:hanging="103"/>
      </w:pPr>
      <w:rPr>
        <w:rFonts w:hint="default"/>
        <w:lang w:val="es-ES" w:eastAsia="en-US" w:bidi="ar-SA"/>
      </w:rPr>
    </w:lvl>
    <w:lvl w:ilvl="7" w:tplc="78F027FA">
      <w:numFmt w:val="bullet"/>
      <w:lvlText w:val="•"/>
      <w:lvlJc w:val="left"/>
      <w:pPr>
        <w:ind w:left="4391" w:hanging="103"/>
      </w:pPr>
      <w:rPr>
        <w:rFonts w:hint="default"/>
        <w:lang w:val="es-ES" w:eastAsia="en-US" w:bidi="ar-SA"/>
      </w:rPr>
    </w:lvl>
    <w:lvl w:ilvl="8" w:tplc="E4504EFC">
      <w:numFmt w:val="bullet"/>
      <w:lvlText w:val="•"/>
      <w:lvlJc w:val="left"/>
      <w:pPr>
        <w:ind w:left="5013" w:hanging="103"/>
      </w:pPr>
      <w:rPr>
        <w:rFonts w:hint="default"/>
        <w:lang w:val="es-ES" w:eastAsia="en-US" w:bidi="ar-SA"/>
      </w:rPr>
    </w:lvl>
  </w:abstractNum>
  <w:abstractNum w:abstractNumId="303" w15:restartNumberingAfterBreak="0">
    <w:nsid w:val="70E66D10"/>
    <w:multiLevelType w:val="hybridMultilevel"/>
    <w:tmpl w:val="7E88C416"/>
    <w:lvl w:ilvl="0" w:tplc="34B448E6">
      <w:start w:val="1"/>
      <w:numFmt w:val="decimal"/>
      <w:lvlText w:val="%1."/>
      <w:lvlJc w:val="left"/>
      <w:pPr>
        <w:ind w:left="1106" w:hanging="312"/>
        <w:jc w:val="left"/>
      </w:pPr>
      <w:rPr>
        <w:rFonts w:ascii="Arial MT" w:eastAsia="Arial MT" w:hAnsi="Arial MT" w:cs="Arial MT" w:hint="default"/>
        <w:b w:val="0"/>
        <w:bCs w:val="0"/>
        <w:i w:val="0"/>
        <w:iCs w:val="0"/>
        <w:spacing w:val="0"/>
        <w:w w:val="100"/>
        <w:sz w:val="20"/>
        <w:szCs w:val="20"/>
        <w:lang w:val="es-ES" w:eastAsia="en-US" w:bidi="ar-SA"/>
      </w:rPr>
    </w:lvl>
    <w:lvl w:ilvl="1" w:tplc="1384FD64">
      <w:numFmt w:val="bullet"/>
      <w:lvlText w:val="•"/>
      <w:lvlJc w:val="left"/>
      <w:pPr>
        <w:ind w:left="2038" w:hanging="312"/>
      </w:pPr>
      <w:rPr>
        <w:rFonts w:hint="default"/>
        <w:lang w:val="es-ES" w:eastAsia="en-US" w:bidi="ar-SA"/>
      </w:rPr>
    </w:lvl>
    <w:lvl w:ilvl="2" w:tplc="7C0C453C">
      <w:numFmt w:val="bullet"/>
      <w:lvlText w:val="•"/>
      <w:lvlJc w:val="left"/>
      <w:pPr>
        <w:ind w:left="2977" w:hanging="312"/>
      </w:pPr>
      <w:rPr>
        <w:rFonts w:hint="default"/>
        <w:lang w:val="es-ES" w:eastAsia="en-US" w:bidi="ar-SA"/>
      </w:rPr>
    </w:lvl>
    <w:lvl w:ilvl="3" w:tplc="616830A6">
      <w:numFmt w:val="bullet"/>
      <w:lvlText w:val="•"/>
      <w:lvlJc w:val="left"/>
      <w:pPr>
        <w:ind w:left="3916" w:hanging="312"/>
      </w:pPr>
      <w:rPr>
        <w:rFonts w:hint="default"/>
        <w:lang w:val="es-ES" w:eastAsia="en-US" w:bidi="ar-SA"/>
      </w:rPr>
    </w:lvl>
    <w:lvl w:ilvl="4" w:tplc="BB0EA6B2">
      <w:numFmt w:val="bullet"/>
      <w:lvlText w:val="•"/>
      <w:lvlJc w:val="left"/>
      <w:pPr>
        <w:ind w:left="4855" w:hanging="312"/>
      </w:pPr>
      <w:rPr>
        <w:rFonts w:hint="default"/>
        <w:lang w:val="es-ES" w:eastAsia="en-US" w:bidi="ar-SA"/>
      </w:rPr>
    </w:lvl>
    <w:lvl w:ilvl="5" w:tplc="62F83AF4">
      <w:numFmt w:val="bullet"/>
      <w:lvlText w:val="•"/>
      <w:lvlJc w:val="left"/>
      <w:pPr>
        <w:ind w:left="5794" w:hanging="312"/>
      </w:pPr>
      <w:rPr>
        <w:rFonts w:hint="default"/>
        <w:lang w:val="es-ES" w:eastAsia="en-US" w:bidi="ar-SA"/>
      </w:rPr>
    </w:lvl>
    <w:lvl w:ilvl="6" w:tplc="01CC5828">
      <w:numFmt w:val="bullet"/>
      <w:lvlText w:val="•"/>
      <w:lvlJc w:val="left"/>
      <w:pPr>
        <w:ind w:left="6733" w:hanging="312"/>
      </w:pPr>
      <w:rPr>
        <w:rFonts w:hint="default"/>
        <w:lang w:val="es-ES" w:eastAsia="en-US" w:bidi="ar-SA"/>
      </w:rPr>
    </w:lvl>
    <w:lvl w:ilvl="7" w:tplc="6520E2CA">
      <w:numFmt w:val="bullet"/>
      <w:lvlText w:val="•"/>
      <w:lvlJc w:val="left"/>
      <w:pPr>
        <w:ind w:left="7672" w:hanging="312"/>
      </w:pPr>
      <w:rPr>
        <w:rFonts w:hint="default"/>
        <w:lang w:val="es-ES" w:eastAsia="en-US" w:bidi="ar-SA"/>
      </w:rPr>
    </w:lvl>
    <w:lvl w:ilvl="8" w:tplc="E474BEC2">
      <w:numFmt w:val="bullet"/>
      <w:lvlText w:val="•"/>
      <w:lvlJc w:val="left"/>
      <w:pPr>
        <w:ind w:left="8611" w:hanging="312"/>
      </w:pPr>
      <w:rPr>
        <w:rFonts w:hint="default"/>
        <w:lang w:val="es-ES" w:eastAsia="en-US" w:bidi="ar-SA"/>
      </w:rPr>
    </w:lvl>
  </w:abstractNum>
  <w:abstractNum w:abstractNumId="304" w15:restartNumberingAfterBreak="0">
    <w:nsid w:val="71023C7F"/>
    <w:multiLevelType w:val="hybridMultilevel"/>
    <w:tmpl w:val="48D21EDA"/>
    <w:lvl w:ilvl="0" w:tplc="046879EC">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C7E09118">
      <w:numFmt w:val="bullet"/>
      <w:lvlText w:val="•"/>
      <w:lvlJc w:val="left"/>
      <w:pPr>
        <w:ind w:left="2038" w:hanging="270"/>
      </w:pPr>
      <w:rPr>
        <w:rFonts w:hint="default"/>
        <w:lang w:val="es-ES" w:eastAsia="en-US" w:bidi="ar-SA"/>
      </w:rPr>
    </w:lvl>
    <w:lvl w:ilvl="2" w:tplc="B90C999C">
      <w:numFmt w:val="bullet"/>
      <w:lvlText w:val="•"/>
      <w:lvlJc w:val="left"/>
      <w:pPr>
        <w:ind w:left="2977" w:hanging="270"/>
      </w:pPr>
      <w:rPr>
        <w:rFonts w:hint="default"/>
        <w:lang w:val="es-ES" w:eastAsia="en-US" w:bidi="ar-SA"/>
      </w:rPr>
    </w:lvl>
    <w:lvl w:ilvl="3" w:tplc="5DFE4D0C">
      <w:numFmt w:val="bullet"/>
      <w:lvlText w:val="•"/>
      <w:lvlJc w:val="left"/>
      <w:pPr>
        <w:ind w:left="3916" w:hanging="270"/>
      </w:pPr>
      <w:rPr>
        <w:rFonts w:hint="default"/>
        <w:lang w:val="es-ES" w:eastAsia="en-US" w:bidi="ar-SA"/>
      </w:rPr>
    </w:lvl>
    <w:lvl w:ilvl="4" w:tplc="53E25756">
      <w:numFmt w:val="bullet"/>
      <w:lvlText w:val="•"/>
      <w:lvlJc w:val="left"/>
      <w:pPr>
        <w:ind w:left="4855" w:hanging="270"/>
      </w:pPr>
      <w:rPr>
        <w:rFonts w:hint="default"/>
        <w:lang w:val="es-ES" w:eastAsia="en-US" w:bidi="ar-SA"/>
      </w:rPr>
    </w:lvl>
    <w:lvl w:ilvl="5" w:tplc="DDC42130">
      <w:numFmt w:val="bullet"/>
      <w:lvlText w:val="•"/>
      <w:lvlJc w:val="left"/>
      <w:pPr>
        <w:ind w:left="5794" w:hanging="270"/>
      </w:pPr>
      <w:rPr>
        <w:rFonts w:hint="default"/>
        <w:lang w:val="es-ES" w:eastAsia="en-US" w:bidi="ar-SA"/>
      </w:rPr>
    </w:lvl>
    <w:lvl w:ilvl="6" w:tplc="B1B85988">
      <w:numFmt w:val="bullet"/>
      <w:lvlText w:val="•"/>
      <w:lvlJc w:val="left"/>
      <w:pPr>
        <w:ind w:left="6733" w:hanging="270"/>
      </w:pPr>
      <w:rPr>
        <w:rFonts w:hint="default"/>
        <w:lang w:val="es-ES" w:eastAsia="en-US" w:bidi="ar-SA"/>
      </w:rPr>
    </w:lvl>
    <w:lvl w:ilvl="7" w:tplc="24DEE5C6">
      <w:numFmt w:val="bullet"/>
      <w:lvlText w:val="•"/>
      <w:lvlJc w:val="left"/>
      <w:pPr>
        <w:ind w:left="7672" w:hanging="270"/>
      </w:pPr>
      <w:rPr>
        <w:rFonts w:hint="default"/>
        <w:lang w:val="es-ES" w:eastAsia="en-US" w:bidi="ar-SA"/>
      </w:rPr>
    </w:lvl>
    <w:lvl w:ilvl="8" w:tplc="9F0863C0">
      <w:numFmt w:val="bullet"/>
      <w:lvlText w:val="•"/>
      <w:lvlJc w:val="left"/>
      <w:pPr>
        <w:ind w:left="8611" w:hanging="270"/>
      </w:pPr>
      <w:rPr>
        <w:rFonts w:hint="default"/>
        <w:lang w:val="es-ES" w:eastAsia="en-US" w:bidi="ar-SA"/>
      </w:rPr>
    </w:lvl>
  </w:abstractNum>
  <w:abstractNum w:abstractNumId="305" w15:restartNumberingAfterBreak="0">
    <w:nsid w:val="71046B04"/>
    <w:multiLevelType w:val="hybridMultilevel"/>
    <w:tmpl w:val="67D8214E"/>
    <w:lvl w:ilvl="0" w:tplc="0F189110">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899CC62C">
      <w:start w:val="1"/>
      <w:numFmt w:val="lowerLetter"/>
      <w:lvlText w:val="%2)"/>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2" w:tplc="FF5E63C8">
      <w:numFmt w:val="bullet"/>
      <w:lvlText w:val="•"/>
      <w:lvlJc w:val="left"/>
      <w:pPr>
        <w:ind w:left="2977" w:hanging="248"/>
      </w:pPr>
      <w:rPr>
        <w:rFonts w:hint="default"/>
        <w:lang w:val="es-ES" w:eastAsia="en-US" w:bidi="ar-SA"/>
      </w:rPr>
    </w:lvl>
    <w:lvl w:ilvl="3" w:tplc="79BCB96C">
      <w:numFmt w:val="bullet"/>
      <w:lvlText w:val="•"/>
      <w:lvlJc w:val="left"/>
      <w:pPr>
        <w:ind w:left="3916" w:hanging="248"/>
      </w:pPr>
      <w:rPr>
        <w:rFonts w:hint="default"/>
        <w:lang w:val="es-ES" w:eastAsia="en-US" w:bidi="ar-SA"/>
      </w:rPr>
    </w:lvl>
    <w:lvl w:ilvl="4" w:tplc="1B887B16">
      <w:numFmt w:val="bullet"/>
      <w:lvlText w:val="•"/>
      <w:lvlJc w:val="left"/>
      <w:pPr>
        <w:ind w:left="4855" w:hanging="248"/>
      </w:pPr>
      <w:rPr>
        <w:rFonts w:hint="default"/>
        <w:lang w:val="es-ES" w:eastAsia="en-US" w:bidi="ar-SA"/>
      </w:rPr>
    </w:lvl>
    <w:lvl w:ilvl="5" w:tplc="86A84DD8">
      <w:numFmt w:val="bullet"/>
      <w:lvlText w:val="•"/>
      <w:lvlJc w:val="left"/>
      <w:pPr>
        <w:ind w:left="5794" w:hanging="248"/>
      </w:pPr>
      <w:rPr>
        <w:rFonts w:hint="default"/>
        <w:lang w:val="es-ES" w:eastAsia="en-US" w:bidi="ar-SA"/>
      </w:rPr>
    </w:lvl>
    <w:lvl w:ilvl="6" w:tplc="BF28DDA6">
      <w:numFmt w:val="bullet"/>
      <w:lvlText w:val="•"/>
      <w:lvlJc w:val="left"/>
      <w:pPr>
        <w:ind w:left="6733" w:hanging="248"/>
      </w:pPr>
      <w:rPr>
        <w:rFonts w:hint="default"/>
        <w:lang w:val="es-ES" w:eastAsia="en-US" w:bidi="ar-SA"/>
      </w:rPr>
    </w:lvl>
    <w:lvl w:ilvl="7" w:tplc="CA747D66">
      <w:numFmt w:val="bullet"/>
      <w:lvlText w:val="•"/>
      <w:lvlJc w:val="left"/>
      <w:pPr>
        <w:ind w:left="7672" w:hanging="248"/>
      </w:pPr>
      <w:rPr>
        <w:rFonts w:hint="default"/>
        <w:lang w:val="es-ES" w:eastAsia="en-US" w:bidi="ar-SA"/>
      </w:rPr>
    </w:lvl>
    <w:lvl w:ilvl="8" w:tplc="3A9E0890">
      <w:numFmt w:val="bullet"/>
      <w:lvlText w:val="•"/>
      <w:lvlJc w:val="left"/>
      <w:pPr>
        <w:ind w:left="8611" w:hanging="248"/>
      </w:pPr>
      <w:rPr>
        <w:rFonts w:hint="default"/>
        <w:lang w:val="es-ES" w:eastAsia="en-US" w:bidi="ar-SA"/>
      </w:rPr>
    </w:lvl>
  </w:abstractNum>
  <w:abstractNum w:abstractNumId="306" w15:restartNumberingAfterBreak="0">
    <w:nsid w:val="716D3357"/>
    <w:multiLevelType w:val="hybridMultilevel"/>
    <w:tmpl w:val="8BBE5E4E"/>
    <w:lvl w:ilvl="0" w:tplc="4F84FEF8">
      <w:start w:val="1"/>
      <w:numFmt w:val="decimal"/>
      <w:lvlText w:val="%1."/>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1" w:tplc="29B66EE0">
      <w:numFmt w:val="bullet"/>
      <w:lvlText w:val="•"/>
      <w:lvlJc w:val="left"/>
      <w:pPr>
        <w:ind w:left="2038" w:hanging="248"/>
      </w:pPr>
      <w:rPr>
        <w:rFonts w:hint="default"/>
        <w:lang w:val="es-ES" w:eastAsia="en-US" w:bidi="ar-SA"/>
      </w:rPr>
    </w:lvl>
    <w:lvl w:ilvl="2" w:tplc="029445A6">
      <w:numFmt w:val="bullet"/>
      <w:lvlText w:val="•"/>
      <w:lvlJc w:val="left"/>
      <w:pPr>
        <w:ind w:left="2977" w:hanging="248"/>
      </w:pPr>
      <w:rPr>
        <w:rFonts w:hint="default"/>
        <w:lang w:val="es-ES" w:eastAsia="en-US" w:bidi="ar-SA"/>
      </w:rPr>
    </w:lvl>
    <w:lvl w:ilvl="3" w:tplc="47329C62">
      <w:numFmt w:val="bullet"/>
      <w:lvlText w:val="•"/>
      <w:lvlJc w:val="left"/>
      <w:pPr>
        <w:ind w:left="3916" w:hanging="248"/>
      </w:pPr>
      <w:rPr>
        <w:rFonts w:hint="default"/>
        <w:lang w:val="es-ES" w:eastAsia="en-US" w:bidi="ar-SA"/>
      </w:rPr>
    </w:lvl>
    <w:lvl w:ilvl="4" w:tplc="CF48B9EE">
      <w:numFmt w:val="bullet"/>
      <w:lvlText w:val="•"/>
      <w:lvlJc w:val="left"/>
      <w:pPr>
        <w:ind w:left="4855" w:hanging="248"/>
      </w:pPr>
      <w:rPr>
        <w:rFonts w:hint="default"/>
        <w:lang w:val="es-ES" w:eastAsia="en-US" w:bidi="ar-SA"/>
      </w:rPr>
    </w:lvl>
    <w:lvl w:ilvl="5" w:tplc="6066C67E">
      <w:numFmt w:val="bullet"/>
      <w:lvlText w:val="•"/>
      <w:lvlJc w:val="left"/>
      <w:pPr>
        <w:ind w:left="5794" w:hanging="248"/>
      </w:pPr>
      <w:rPr>
        <w:rFonts w:hint="default"/>
        <w:lang w:val="es-ES" w:eastAsia="en-US" w:bidi="ar-SA"/>
      </w:rPr>
    </w:lvl>
    <w:lvl w:ilvl="6" w:tplc="642A0570">
      <w:numFmt w:val="bullet"/>
      <w:lvlText w:val="•"/>
      <w:lvlJc w:val="left"/>
      <w:pPr>
        <w:ind w:left="6733" w:hanging="248"/>
      </w:pPr>
      <w:rPr>
        <w:rFonts w:hint="default"/>
        <w:lang w:val="es-ES" w:eastAsia="en-US" w:bidi="ar-SA"/>
      </w:rPr>
    </w:lvl>
    <w:lvl w:ilvl="7" w:tplc="F5AA2C6A">
      <w:numFmt w:val="bullet"/>
      <w:lvlText w:val="•"/>
      <w:lvlJc w:val="left"/>
      <w:pPr>
        <w:ind w:left="7672" w:hanging="248"/>
      </w:pPr>
      <w:rPr>
        <w:rFonts w:hint="default"/>
        <w:lang w:val="es-ES" w:eastAsia="en-US" w:bidi="ar-SA"/>
      </w:rPr>
    </w:lvl>
    <w:lvl w:ilvl="8" w:tplc="5E1CCC4E">
      <w:numFmt w:val="bullet"/>
      <w:lvlText w:val="•"/>
      <w:lvlJc w:val="left"/>
      <w:pPr>
        <w:ind w:left="8611" w:hanging="248"/>
      </w:pPr>
      <w:rPr>
        <w:rFonts w:hint="default"/>
        <w:lang w:val="es-ES" w:eastAsia="en-US" w:bidi="ar-SA"/>
      </w:rPr>
    </w:lvl>
  </w:abstractNum>
  <w:abstractNum w:abstractNumId="307" w15:restartNumberingAfterBreak="0">
    <w:nsid w:val="719E7817"/>
    <w:multiLevelType w:val="hybridMultilevel"/>
    <w:tmpl w:val="B116506E"/>
    <w:lvl w:ilvl="0" w:tplc="F7AE5530">
      <w:start w:val="1"/>
      <w:numFmt w:val="decimal"/>
      <w:lvlText w:val="%1."/>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1" w:tplc="6832ADEE">
      <w:start w:val="1"/>
      <w:numFmt w:val="lowerLetter"/>
      <w:lvlText w:val="%2)"/>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2" w:tplc="2D9AB452">
      <w:numFmt w:val="bullet"/>
      <w:lvlText w:val="•"/>
      <w:lvlJc w:val="left"/>
      <w:pPr>
        <w:ind w:left="2977" w:hanging="255"/>
      </w:pPr>
      <w:rPr>
        <w:rFonts w:hint="default"/>
        <w:lang w:val="es-ES" w:eastAsia="en-US" w:bidi="ar-SA"/>
      </w:rPr>
    </w:lvl>
    <w:lvl w:ilvl="3" w:tplc="582C0EB0">
      <w:numFmt w:val="bullet"/>
      <w:lvlText w:val="•"/>
      <w:lvlJc w:val="left"/>
      <w:pPr>
        <w:ind w:left="3916" w:hanging="255"/>
      </w:pPr>
      <w:rPr>
        <w:rFonts w:hint="default"/>
        <w:lang w:val="es-ES" w:eastAsia="en-US" w:bidi="ar-SA"/>
      </w:rPr>
    </w:lvl>
    <w:lvl w:ilvl="4" w:tplc="D3920508">
      <w:numFmt w:val="bullet"/>
      <w:lvlText w:val="•"/>
      <w:lvlJc w:val="left"/>
      <w:pPr>
        <w:ind w:left="4855" w:hanging="255"/>
      </w:pPr>
      <w:rPr>
        <w:rFonts w:hint="default"/>
        <w:lang w:val="es-ES" w:eastAsia="en-US" w:bidi="ar-SA"/>
      </w:rPr>
    </w:lvl>
    <w:lvl w:ilvl="5" w:tplc="5EF8BDCC">
      <w:numFmt w:val="bullet"/>
      <w:lvlText w:val="•"/>
      <w:lvlJc w:val="left"/>
      <w:pPr>
        <w:ind w:left="5794" w:hanging="255"/>
      </w:pPr>
      <w:rPr>
        <w:rFonts w:hint="default"/>
        <w:lang w:val="es-ES" w:eastAsia="en-US" w:bidi="ar-SA"/>
      </w:rPr>
    </w:lvl>
    <w:lvl w:ilvl="6" w:tplc="DEC4BE10">
      <w:numFmt w:val="bullet"/>
      <w:lvlText w:val="•"/>
      <w:lvlJc w:val="left"/>
      <w:pPr>
        <w:ind w:left="6733" w:hanging="255"/>
      </w:pPr>
      <w:rPr>
        <w:rFonts w:hint="default"/>
        <w:lang w:val="es-ES" w:eastAsia="en-US" w:bidi="ar-SA"/>
      </w:rPr>
    </w:lvl>
    <w:lvl w:ilvl="7" w:tplc="FB34BF82">
      <w:numFmt w:val="bullet"/>
      <w:lvlText w:val="•"/>
      <w:lvlJc w:val="left"/>
      <w:pPr>
        <w:ind w:left="7672" w:hanging="255"/>
      </w:pPr>
      <w:rPr>
        <w:rFonts w:hint="default"/>
        <w:lang w:val="es-ES" w:eastAsia="en-US" w:bidi="ar-SA"/>
      </w:rPr>
    </w:lvl>
    <w:lvl w:ilvl="8" w:tplc="99561E7C">
      <w:numFmt w:val="bullet"/>
      <w:lvlText w:val="•"/>
      <w:lvlJc w:val="left"/>
      <w:pPr>
        <w:ind w:left="8611" w:hanging="255"/>
      </w:pPr>
      <w:rPr>
        <w:rFonts w:hint="default"/>
        <w:lang w:val="es-ES" w:eastAsia="en-US" w:bidi="ar-SA"/>
      </w:rPr>
    </w:lvl>
  </w:abstractNum>
  <w:abstractNum w:abstractNumId="308" w15:restartNumberingAfterBreak="0">
    <w:nsid w:val="71C863DC"/>
    <w:multiLevelType w:val="hybridMultilevel"/>
    <w:tmpl w:val="82684C44"/>
    <w:lvl w:ilvl="0" w:tplc="371A6898">
      <w:start w:val="1"/>
      <w:numFmt w:val="decimal"/>
      <w:lvlText w:val="%1."/>
      <w:lvlJc w:val="left"/>
      <w:pPr>
        <w:ind w:left="1106" w:hanging="254"/>
        <w:jc w:val="left"/>
      </w:pPr>
      <w:rPr>
        <w:rFonts w:ascii="Arial MT" w:eastAsia="Arial MT" w:hAnsi="Arial MT" w:cs="Arial MT" w:hint="default"/>
        <w:b w:val="0"/>
        <w:bCs w:val="0"/>
        <w:i w:val="0"/>
        <w:iCs w:val="0"/>
        <w:spacing w:val="0"/>
        <w:w w:val="100"/>
        <w:sz w:val="20"/>
        <w:szCs w:val="20"/>
        <w:lang w:val="es-ES" w:eastAsia="en-US" w:bidi="ar-SA"/>
      </w:rPr>
    </w:lvl>
    <w:lvl w:ilvl="1" w:tplc="21B81328">
      <w:numFmt w:val="bullet"/>
      <w:lvlText w:val="•"/>
      <w:lvlJc w:val="left"/>
      <w:pPr>
        <w:ind w:left="2038" w:hanging="254"/>
      </w:pPr>
      <w:rPr>
        <w:rFonts w:hint="default"/>
        <w:lang w:val="es-ES" w:eastAsia="en-US" w:bidi="ar-SA"/>
      </w:rPr>
    </w:lvl>
    <w:lvl w:ilvl="2" w:tplc="443E4C9A">
      <w:numFmt w:val="bullet"/>
      <w:lvlText w:val="•"/>
      <w:lvlJc w:val="left"/>
      <w:pPr>
        <w:ind w:left="2977" w:hanging="254"/>
      </w:pPr>
      <w:rPr>
        <w:rFonts w:hint="default"/>
        <w:lang w:val="es-ES" w:eastAsia="en-US" w:bidi="ar-SA"/>
      </w:rPr>
    </w:lvl>
    <w:lvl w:ilvl="3" w:tplc="3A6A781C">
      <w:numFmt w:val="bullet"/>
      <w:lvlText w:val="•"/>
      <w:lvlJc w:val="left"/>
      <w:pPr>
        <w:ind w:left="3916" w:hanging="254"/>
      </w:pPr>
      <w:rPr>
        <w:rFonts w:hint="default"/>
        <w:lang w:val="es-ES" w:eastAsia="en-US" w:bidi="ar-SA"/>
      </w:rPr>
    </w:lvl>
    <w:lvl w:ilvl="4" w:tplc="67882C0C">
      <w:numFmt w:val="bullet"/>
      <w:lvlText w:val="•"/>
      <w:lvlJc w:val="left"/>
      <w:pPr>
        <w:ind w:left="4855" w:hanging="254"/>
      </w:pPr>
      <w:rPr>
        <w:rFonts w:hint="default"/>
        <w:lang w:val="es-ES" w:eastAsia="en-US" w:bidi="ar-SA"/>
      </w:rPr>
    </w:lvl>
    <w:lvl w:ilvl="5" w:tplc="20DAAF1A">
      <w:numFmt w:val="bullet"/>
      <w:lvlText w:val="•"/>
      <w:lvlJc w:val="left"/>
      <w:pPr>
        <w:ind w:left="5794" w:hanging="254"/>
      </w:pPr>
      <w:rPr>
        <w:rFonts w:hint="default"/>
        <w:lang w:val="es-ES" w:eastAsia="en-US" w:bidi="ar-SA"/>
      </w:rPr>
    </w:lvl>
    <w:lvl w:ilvl="6" w:tplc="E828EA6E">
      <w:numFmt w:val="bullet"/>
      <w:lvlText w:val="•"/>
      <w:lvlJc w:val="left"/>
      <w:pPr>
        <w:ind w:left="6733" w:hanging="254"/>
      </w:pPr>
      <w:rPr>
        <w:rFonts w:hint="default"/>
        <w:lang w:val="es-ES" w:eastAsia="en-US" w:bidi="ar-SA"/>
      </w:rPr>
    </w:lvl>
    <w:lvl w:ilvl="7" w:tplc="1FBA797A">
      <w:numFmt w:val="bullet"/>
      <w:lvlText w:val="•"/>
      <w:lvlJc w:val="left"/>
      <w:pPr>
        <w:ind w:left="7672" w:hanging="254"/>
      </w:pPr>
      <w:rPr>
        <w:rFonts w:hint="default"/>
        <w:lang w:val="es-ES" w:eastAsia="en-US" w:bidi="ar-SA"/>
      </w:rPr>
    </w:lvl>
    <w:lvl w:ilvl="8" w:tplc="E166BD60">
      <w:numFmt w:val="bullet"/>
      <w:lvlText w:val="•"/>
      <w:lvlJc w:val="left"/>
      <w:pPr>
        <w:ind w:left="8611" w:hanging="254"/>
      </w:pPr>
      <w:rPr>
        <w:rFonts w:hint="default"/>
        <w:lang w:val="es-ES" w:eastAsia="en-US" w:bidi="ar-SA"/>
      </w:rPr>
    </w:lvl>
  </w:abstractNum>
  <w:abstractNum w:abstractNumId="309" w15:restartNumberingAfterBreak="0">
    <w:nsid w:val="72E74FAC"/>
    <w:multiLevelType w:val="hybridMultilevel"/>
    <w:tmpl w:val="5F70CC88"/>
    <w:lvl w:ilvl="0" w:tplc="383A716C">
      <w:start w:val="1"/>
      <w:numFmt w:val="decimal"/>
      <w:lvlText w:val="%1."/>
      <w:lvlJc w:val="left"/>
      <w:pPr>
        <w:ind w:left="1106" w:hanging="267"/>
        <w:jc w:val="left"/>
      </w:pPr>
      <w:rPr>
        <w:rFonts w:ascii="Arial MT" w:eastAsia="Arial MT" w:hAnsi="Arial MT" w:cs="Arial MT" w:hint="default"/>
        <w:b w:val="0"/>
        <w:bCs w:val="0"/>
        <w:i w:val="0"/>
        <w:iCs w:val="0"/>
        <w:spacing w:val="0"/>
        <w:w w:val="100"/>
        <w:sz w:val="20"/>
        <w:szCs w:val="20"/>
        <w:lang w:val="es-ES" w:eastAsia="en-US" w:bidi="ar-SA"/>
      </w:rPr>
    </w:lvl>
    <w:lvl w:ilvl="1" w:tplc="C0E25066">
      <w:numFmt w:val="bullet"/>
      <w:lvlText w:val="•"/>
      <w:lvlJc w:val="left"/>
      <w:pPr>
        <w:ind w:left="2038" w:hanging="267"/>
      </w:pPr>
      <w:rPr>
        <w:rFonts w:hint="default"/>
        <w:lang w:val="es-ES" w:eastAsia="en-US" w:bidi="ar-SA"/>
      </w:rPr>
    </w:lvl>
    <w:lvl w:ilvl="2" w:tplc="E84C5B4E">
      <w:numFmt w:val="bullet"/>
      <w:lvlText w:val="•"/>
      <w:lvlJc w:val="left"/>
      <w:pPr>
        <w:ind w:left="2977" w:hanging="267"/>
      </w:pPr>
      <w:rPr>
        <w:rFonts w:hint="default"/>
        <w:lang w:val="es-ES" w:eastAsia="en-US" w:bidi="ar-SA"/>
      </w:rPr>
    </w:lvl>
    <w:lvl w:ilvl="3" w:tplc="1D68640A">
      <w:numFmt w:val="bullet"/>
      <w:lvlText w:val="•"/>
      <w:lvlJc w:val="left"/>
      <w:pPr>
        <w:ind w:left="3916" w:hanging="267"/>
      </w:pPr>
      <w:rPr>
        <w:rFonts w:hint="default"/>
        <w:lang w:val="es-ES" w:eastAsia="en-US" w:bidi="ar-SA"/>
      </w:rPr>
    </w:lvl>
    <w:lvl w:ilvl="4" w:tplc="5C92CB84">
      <w:numFmt w:val="bullet"/>
      <w:lvlText w:val="•"/>
      <w:lvlJc w:val="left"/>
      <w:pPr>
        <w:ind w:left="4855" w:hanging="267"/>
      </w:pPr>
      <w:rPr>
        <w:rFonts w:hint="default"/>
        <w:lang w:val="es-ES" w:eastAsia="en-US" w:bidi="ar-SA"/>
      </w:rPr>
    </w:lvl>
    <w:lvl w:ilvl="5" w:tplc="0A42EC70">
      <w:numFmt w:val="bullet"/>
      <w:lvlText w:val="•"/>
      <w:lvlJc w:val="left"/>
      <w:pPr>
        <w:ind w:left="5794" w:hanging="267"/>
      </w:pPr>
      <w:rPr>
        <w:rFonts w:hint="default"/>
        <w:lang w:val="es-ES" w:eastAsia="en-US" w:bidi="ar-SA"/>
      </w:rPr>
    </w:lvl>
    <w:lvl w:ilvl="6" w:tplc="4036CD0A">
      <w:numFmt w:val="bullet"/>
      <w:lvlText w:val="•"/>
      <w:lvlJc w:val="left"/>
      <w:pPr>
        <w:ind w:left="6733" w:hanging="267"/>
      </w:pPr>
      <w:rPr>
        <w:rFonts w:hint="default"/>
        <w:lang w:val="es-ES" w:eastAsia="en-US" w:bidi="ar-SA"/>
      </w:rPr>
    </w:lvl>
    <w:lvl w:ilvl="7" w:tplc="73109386">
      <w:numFmt w:val="bullet"/>
      <w:lvlText w:val="•"/>
      <w:lvlJc w:val="left"/>
      <w:pPr>
        <w:ind w:left="7672" w:hanging="267"/>
      </w:pPr>
      <w:rPr>
        <w:rFonts w:hint="default"/>
        <w:lang w:val="es-ES" w:eastAsia="en-US" w:bidi="ar-SA"/>
      </w:rPr>
    </w:lvl>
    <w:lvl w:ilvl="8" w:tplc="18863550">
      <w:numFmt w:val="bullet"/>
      <w:lvlText w:val="•"/>
      <w:lvlJc w:val="left"/>
      <w:pPr>
        <w:ind w:left="8611" w:hanging="267"/>
      </w:pPr>
      <w:rPr>
        <w:rFonts w:hint="default"/>
        <w:lang w:val="es-ES" w:eastAsia="en-US" w:bidi="ar-SA"/>
      </w:rPr>
    </w:lvl>
  </w:abstractNum>
  <w:abstractNum w:abstractNumId="310" w15:restartNumberingAfterBreak="0">
    <w:nsid w:val="7380427D"/>
    <w:multiLevelType w:val="hybridMultilevel"/>
    <w:tmpl w:val="C9C885D4"/>
    <w:lvl w:ilvl="0" w:tplc="8A569BCC">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80060EBA">
      <w:numFmt w:val="bullet"/>
      <w:lvlText w:val="•"/>
      <w:lvlJc w:val="left"/>
      <w:pPr>
        <w:ind w:left="2038" w:hanging="230"/>
      </w:pPr>
      <w:rPr>
        <w:rFonts w:hint="default"/>
        <w:lang w:val="es-ES" w:eastAsia="en-US" w:bidi="ar-SA"/>
      </w:rPr>
    </w:lvl>
    <w:lvl w:ilvl="2" w:tplc="5890F22C">
      <w:numFmt w:val="bullet"/>
      <w:lvlText w:val="•"/>
      <w:lvlJc w:val="left"/>
      <w:pPr>
        <w:ind w:left="2977" w:hanging="230"/>
      </w:pPr>
      <w:rPr>
        <w:rFonts w:hint="default"/>
        <w:lang w:val="es-ES" w:eastAsia="en-US" w:bidi="ar-SA"/>
      </w:rPr>
    </w:lvl>
    <w:lvl w:ilvl="3" w:tplc="15A23AA6">
      <w:numFmt w:val="bullet"/>
      <w:lvlText w:val="•"/>
      <w:lvlJc w:val="left"/>
      <w:pPr>
        <w:ind w:left="3916" w:hanging="230"/>
      </w:pPr>
      <w:rPr>
        <w:rFonts w:hint="default"/>
        <w:lang w:val="es-ES" w:eastAsia="en-US" w:bidi="ar-SA"/>
      </w:rPr>
    </w:lvl>
    <w:lvl w:ilvl="4" w:tplc="6D6C497A">
      <w:numFmt w:val="bullet"/>
      <w:lvlText w:val="•"/>
      <w:lvlJc w:val="left"/>
      <w:pPr>
        <w:ind w:left="4855" w:hanging="230"/>
      </w:pPr>
      <w:rPr>
        <w:rFonts w:hint="default"/>
        <w:lang w:val="es-ES" w:eastAsia="en-US" w:bidi="ar-SA"/>
      </w:rPr>
    </w:lvl>
    <w:lvl w:ilvl="5" w:tplc="31D4D724">
      <w:numFmt w:val="bullet"/>
      <w:lvlText w:val="•"/>
      <w:lvlJc w:val="left"/>
      <w:pPr>
        <w:ind w:left="5794" w:hanging="230"/>
      </w:pPr>
      <w:rPr>
        <w:rFonts w:hint="default"/>
        <w:lang w:val="es-ES" w:eastAsia="en-US" w:bidi="ar-SA"/>
      </w:rPr>
    </w:lvl>
    <w:lvl w:ilvl="6" w:tplc="3B7C626E">
      <w:numFmt w:val="bullet"/>
      <w:lvlText w:val="•"/>
      <w:lvlJc w:val="left"/>
      <w:pPr>
        <w:ind w:left="6733" w:hanging="230"/>
      </w:pPr>
      <w:rPr>
        <w:rFonts w:hint="default"/>
        <w:lang w:val="es-ES" w:eastAsia="en-US" w:bidi="ar-SA"/>
      </w:rPr>
    </w:lvl>
    <w:lvl w:ilvl="7" w:tplc="7FC888CC">
      <w:numFmt w:val="bullet"/>
      <w:lvlText w:val="•"/>
      <w:lvlJc w:val="left"/>
      <w:pPr>
        <w:ind w:left="7672" w:hanging="230"/>
      </w:pPr>
      <w:rPr>
        <w:rFonts w:hint="default"/>
        <w:lang w:val="es-ES" w:eastAsia="en-US" w:bidi="ar-SA"/>
      </w:rPr>
    </w:lvl>
    <w:lvl w:ilvl="8" w:tplc="9C6E9AC6">
      <w:numFmt w:val="bullet"/>
      <w:lvlText w:val="•"/>
      <w:lvlJc w:val="left"/>
      <w:pPr>
        <w:ind w:left="8611" w:hanging="230"/>
      </w:pPr>
      <w:rPr>
        <w:rFonts w:hint="default"/>
        <w:lang w:val="es-ES" w:eastAsia="en-US" w:bidi="ar-SA"/>
      </w:rPr>
    </w:lvl>
  </w:abstractNum>
  <w:abstractNum w:abstractNumId="311" w15:restartNumberingAfterBreak="0">
    <w:nsid w:val="73A9715F"/>
    <w:multiLevelType w:val="hybridMultilevel"/>
    <w:tmpl w:val="520E662C"/>
    <w:lvl w:ilvl="0" w:tplc="1E2CC0FE">
      <w:numFmt w:val="bullet"/>
      <w:lvlText w:val="–"/>
      <w:lvlJc w:val="left"/>
      <w:pPr>
        <w:ind w:left="41" w:hanging="103"/>
      </w:pPr>
      <w:rPr>
        <w:rFonts w:ascii="Arial MT" w:eastAsia="Arial MT" w:hAnsi="Arial MT" w:cs="Arial MT" w:hint="default"/>
        <w:b w:val="0"/>
        <w:bCs w:val="0"/>
        <w:i w:val="0"/>
        <w:iCs w:val="0"/>
        <w:spacing w:val="0"/>
        <w:w w:val="87"/>
        <w:sz w:val="14"/>
        <w:szCs w:val="14"/>
        <w:lang w:val="es-ES" w:eastAsia="en-US" w:bidi="ar-SA"/>
      </w:rPr>
    </w:lvl>
    <w:lvl w:ilvl="1" w:tplc="8CDC5638">
      <w:numFmt w:val="bullet"/>
      <w:lvlText w:val="•"/>
      <w:lvlJc w:val="left"/>
      <w:pPr>
        <w:ind w:left="661" w:hanging="103"/>
      </w:pPr>
      <w:rPr>
        <w:rFonts w:hint="default"/>
        <w:lang w:val="es-ES" w:eastAsia="en-US" w:bidi="ar-SA"/>
      </w:rPr>
    </w:lvl>
    <w:lvl w:ilvl="2" w:tplc="246CB482">
      <w:numFmt w:val="bullet"/>
      <w:lvlText w:val="•"/>
      <w:lvlJc w:val="left"/>
      <w:pPr>
        <w:ind w:left="1283" w:hanging="103"/>
      </w:pPr>
      <w:rPr>
        <w:rFonts w:hint="default"/>
        <w:lang w:val="es-ES" w:eastAsia="en-US" w:bidi="ar-SA"/>
      </w:rPr>
    </w:lvl>
    <w:lvl w:ilvl="3" w:tplc="69E29ACC">
      <w:numFmt w:val="bullet"/>
      <w:lvlText w:val="•"/>
      <w:lvlJc w:val="left"/>
      <w:pPr>
        <w:ind w:left="1905" w:hanging="103"/>
      </w:pPr>
      <w:rPr>
        <w:rFonts w:hint="default"/>
        <w:lang w:val="es-ES" w:eastAsia="en-US" w:bidi="ar-SA"/>
      </w:rPr>
    </w:lvl>
    <w:lvl w:ilvl="4" w:tplc="FB0A330E">
      <w:numFmt w:val="bullet"/>
      <w:lvlText w:val="•"/>
      <w:lvlJc w:val="left"/>
      <w:pPr>
        <w:ind w:left="2526" w:hanging="103"/>
      </w:pPr>
      <w:rPr>
        <w:rFonts w:hint="default"/>
        <w:lang w:val="es-ES" w:eastAsia="en-US" w:bidi="ar-SA"/>
      </w:rPr>
    </w:lvl>
    <w:lvl w:ilvl="5" w:tplc="2FB45564">
      <w:numFmt w:val="bullet"/>
      <w:lvlText w:val="•"/>
      <w:lvlJc w:val="left"/>
      <w:pPr>
        <w:ind w:left="3148" w:hanging="103"/>
      </w:pPr>
      <w:rPr>
        <w:rFonts w:hint="default"/>
        <w:lang w:val="es-ES" w:eastAsia="en-US" w:bidi="ar-SA"/>
      </w:rPr>
    </w:lvl>
    <w:lvl w:ilvl="6" w:tplc="5EDECF66">
      <w:numFmt w:val="bullet"/>
      <w:lvlText w:val="•"/>
      <w:lvlJc w:val="left"/>
      <w:pPr>
        <w:ind w:left="3770" w:hanging="103"/>
      </w:pPr>
      <w:rPr>
        <w:rFonts w:hint="default"/>
        <w:lang w:val="es-ES" w:eastAsia="en-US" w:bidi="ar-SA"/>
      </w:rPr>
    </w:lvl>
    <w:lvl w:ilvl="7" w:tplc="19ECF470">
      <w:numFmt w:val="bullet"/>
      <w:lvlText w:val="•"/>
      <w:lvlJc w:val="left"/>
      <w:pPr>
        <w:ind w:left="4391" w:hanging="103"/>
      </w:pPr>
      <w:rPr>
        <w:rFonts w:hint="default"/>
        <w:lang w:val="es-ES" w:eastAsia="en-US" w:bidi="ar-SA"/>
      </w:rPr>
    </w:lvl>
    <w:lvl w:ilvl="8" w:tplc="EEE8FBE8">
      <w:numFmt w:val="bullet"/>
      <w:lvlText w:val="•"/>
      <w:lvlJc w:val="left"/>
      <w:pPr>
        <w:ind w:left="5013" w:hanging="103"/>
      </w:pPr>
      <w:rPr>
        <w:rFonts w:hint="default"/>
        <w:lang w:val="es-ES" w:eastAsia="en-US" w:bidi="ar-SA"/>
      </w:rPr>
    </w:lvl>
  </w:abstractNum>
  <w:abstractNum w:abstractNumId="312" w15:restartNumberingAfterBreak="0">
    <w:nsid w:val="73AB283C"/>
    <w:multiLevelType w:val="hybridMultilevel"/>
    <w:tmpl w:val="695EB42A"/>
    <w:lvl w:ilvl="0" w:tplc="4582F61C">
      <w:start w:val="1"/>
      <w:numFmt w:val="decimal"/>
      <w:lvlText w:val="%1."/>
      <w:lvlJc w:val="left"/>
      <w:pPr>
        <w:ind w:left="1106" w:hanging="243"/>
        <w:jc w:val="left"/>
      </w:pPr>
      <w:rPr>
        <w:rFonts w:ascii="Arial MT" w:eastAsia="Arial MT" w:hAnsi="Arial MT" w:cs="Arial MT" w:hint="default"/>
        <w:b w:val="0"/>
        <w:bCs w:val="0"/>
        <w:i w:val="0"/>
        <w:iCs w:val="0"/>
        <w:spacing w:val="0"/>
        <w:w w:val="100"/>
        <w:sz w:val="20"/>
        <w:szCs w:val="20"/>
        <w:lang w:val="es-ES" w:eastAsia="en-US" w:bidi="ar-SA"/>
      </w:rPr>
    </w:lvl>
    <w:lvl w:ilvl="1" w:tplc="1C78A2E0">
      <w:numFmt w:val="bullet"/>
      <w:lvlText w:val="•"/>
      <w:lvlJc w:val="left"/>
      <w:pPr>
        <w:ind w:left="2038" w:hanging="243"/>
      </w:pPr>
      <w:rPr>
        <w:rFonts w:hint="default"/>
        <w:lang w:val="es-ES" w:eastAsia="en-US" w:bidi="ar-SA"/>
      </w:rPr>
    </w:lvl>
    <w:lvl w:ilvl="2" w:tplc="0CEC0392">
      <w:numFmt w:val="bullet"/>
      <w:lvlText w:val="•"/>
      <w:lvlJc w:val="left"/>
      <w:pPr>
        <w:ind w:left="2977" w:hanging="243"/>
      </w:pPr>
      <w:rPr>
        <w:rFonts w:hint="default"/>
        <w:lang w:val="es-ES" w:eastAsia="en-US" w:bidi="ar-SA"/>
      </w:rPr>
    </w:lvl>
    <w:lvl w:ilvl="3" w:tplc="758263AC">
      <w:numFmt w:val="bullet"/>
      <w:lvlText w:val="•"/>
      <w:lvlJc w:val="left"/>
      <w:pPr>
        <w:ind w:left="3916" w:hanging="243"/>
      </w:pPr>
      <w:rPr>
        <w:rFonts w:hint="default"/>
        <w:lang w:val="es-ES" w:eastAsia="en-US" w:bidi="ar-SA"/>
      </w:rPr>
    </w:lvl>
    <w:lvl w:ilvl="4" w:tplc="26445580">
      <w:numFmt w:val="bullet"/>
      <w:lvlText w:val="•"/>
      <w:lvlJc w:val="left"/>
      <w:pPr>
        <w:ind w:left="4855" w:hanging="243"/>
      </w:pPr>
      <w:rPr>
        <w:rFonts w:hint="default"/>
        <w:lang w:val="es-ES" w:eastAsia="en-US" w:bidi="ar-SA"/>
      </w:rPr>
    </w:lvl>
    <w:lvl w:ilvl="5" w:tplc="867A7838">
      <w:numFmt w:val="bullet"/>
      <w:lvlText w:val="•"/>
      <w:lvlJc w:val="left"/>
      <w:pPr>
        <w:ind w:left="5794" w:hanging="243"/>
      </w:pPr>
      <w:rPr>
        <w:rFonts w:hint="default"/>
        <w:lang w:val="es-ES" w:eastAsia="en-US" w:bidi="ar-SA"/>
      </w:rPr>
    </w:lvl>
    <w:lvl w:ilvl="6" w:tplc="583C7B00">
      <w:numFmt w:val="bullet"/>
      <w:lvlText w:val="•"/>
      <w:lvlJc w:val="left"/>
      <w:pPr>
        <w:ind w:left="6733" w:hanging="243"/>
      </w:pPr>
      <w:rPr>
        <w:rFonts w:hint="default"/>
        <w:lang w:val="es-ES" w:eastAsia="en-US" w:bidi="ar-SA"/>
      </w:rPr>
    </w:lvl>
    <w:lvl w:ilvl="7" w:tplc="40B493E6">
      <w:numFmt w:val="bullet"/>
      <w:lvlText w:val="•"/>
      <w:lvlJc w:val="left"/>
      <w:pPr>
        <w:ind w:left="7672" w:hanging="243"/>
      </w:pPr>
      <w:rPr>
        <w:rFonts w:hint="default"/>
        <w:lang w:val="es-ES" w:eastAsia="en-US" w:bidi="ar-SA"/>
      </w:rPr>
    </w:lvl>
    <w:lvl w:ilvl="8" w:tplc="7474F186">
      <w:numFmt w:val="bullet"/>
      <w:lvlText w:val="•"/>
      <w:lvlJc w:val="left"/>
      <w:pPr>
        <w:ind w:left="8611" w:hanging="243"/>
      </w:pPr>
      <w:rPr>
        <w:rFonts w:hint="default"/>
        <w:lang w:val="es-ES" w:eastAsia="en-US" w:bidi="ar-SA"/>
      </w:rPr>
    </w:lvl>
  </w:abstractNum>
  <w:abstractNum w:abstractNumId="313" w15:restartNumberingAfterBreak="0">
    <w:nsid w:val="73F001BC"/>
    <w:multiLevelType w:val="hybridMultilevel"/>
    <w:tmpl w:val="8B92F82C"/>
    <w:lvl w:ilvl="0" w:tplc="3D5C67D4">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9D66DEC6">
      <w:numFmt w:val="bullet"/>
      <w:lvlText w:val="•"/>
      <w:lvlJc w:val="left"/>
      <w:pPr>
        <w:ind w:left="2038" w:hanging="270"/>
      </w:pPr>
      <w:rPr>
        <w:rFonts w:hint="default"/>
        <w:lang w:val="es-ES" w:eastAsia="en-US" w:bidi="ar-SA"/>
      </w:rPr>
    </w:lvl>
    <w:lvl w:ilvl="2" w:tplc="06568D44">
      <w:numFmt w:val="bullet"/>
      <w:lvlText w:val="•"/>
      <w:lvlJc w:val="left"/>
      <w:pPr>
        <w:ind w:left="2977" w:hanging="270"/>
      </w:pPr>
      <w:rPr>
        <w:rFonts w:hint="default"/>
        <w:lang w:val="es-ES" w:eastAsia="en-US" w:bidi="ar-SA"/>
      </w:rPr>
    </w:lvl>
    <w:lvl w:ilvl="3" w:tplc="D93A3BC0">
      <w:numFmt w:val="bullet"/>
      <w:lvlText w:val="•"/>
      <w:lvlJc w:val="left"/>
      <w:pPr>
        <w:ind w:left="3916" w:hanging="270"/>
      </w:pPr>
      <w:rPr>
        <w:rFonts w:hint="default"/>
        <w:lang w:val="es-ES" w:eastAsia="en-US" w:bidi="ar-SA"/>
      </w:rPr>
    </w:lvl>
    <w:lvl w:ilvl="4" w:tplc="88F0D33C">
      <w:numFmt w:val="bullet"/>
      <w:lvlText w:val="•"/>
      <w:lvlJc w:val="left"/>
      <w:pPr>
        <w:ind w:left="4855" w:hanging="270"/>
      </w:pPr>
      <w:rPr>
        <w:rFonts w:hint="default"/>
        <w:lang w:val="es-ES" w:eastAsia="en-US" w:bidi="ar-SA"/>
      </w:rPr>
    </w:lvl>
    <w:lvl w:ilvl="5" w:tplc="20D03B10">
      <w:numFmt w:val="bullet"/>
      <w:lvlText w:val="•"/>
      <w:lvlJc w:val="left"/>
      <w:pPr>
        <w:ind w:left="5794" w:hanging="270"/>
      </w:pPr>
      <w:rPr>
        <w:rFonts w:hint="default"/>
        <w:lang w:val="es-ES" w:eastAsia="en-US" w:bidi="ar-SA"/>
      </w:rPr>
    </w:lvl>
    <w:lvl w:ilvl="6" w:tplc="3BFA4204">
      <w:numFmt w:val="bullet"/>
      <w:lvlText w:val="•"/>
      <w:lvlJc w:val="left"/>
      <w:pPr>
        <w:ind w:left="6733" w:hanging="270"/>
      </w:pPr>
      <w:rPr>
        <w:rFonts w:hint="default"/>
        <w:lang w:val="es-ES" w:eastAsia="en-US" w:bidi="ar-SA"/>
      </w:rPr>
    </w:lvl>
    <w:lvl w:ilvl="7" w:tplc="F050CF8A">
      <w:numFmt w:val="bullet"/>
      <w:lvlText w:val="•"/>
      <w:lvlJc w:val="left"/>
      <w:pPr>
        <w:ind w:left="7672" w:hanging="270"/>
      </w:pPr>
      <w:rPr>
        <w:rFonts w:hint="default"/>
        <w:lang w:val="es-ES" w:eastAsia="en-US" w:bidi="ar-SA"/>
      </w:rPr>
    </w:lvl>
    <w:lvl w:ilvl="8" w:tplc="780E24C6">
      <w:numFmt w:val="bullet"/>
      <w:lvlText w:val="•"/>
      <w:lvlJc w:val="left"/>
      <w:pPr>
        <w:ind w:left="8611" w:hanging="270"/>
      </w:pPr>
      <w:rPr>
        <w:rFonts w:hint="default"/>
        <w:lang w:val="es-ES" w:eastAsia="en-US" w:bidi="ar-SA"/>
      </w:rPr>
    </w:lvl>
  </w:abstractNum>
  <w:abstractNum w:abstractNumId="314" w15:restartNumberingAfterBreak="0">
    <w:nsid w:val="74400A48"/>
    <w:multiLevelType w:val="hybridMultilevel"/>
    <w:tmpl w:val="39804F38"/>
    <w:lvl w:ilvl="0" w:tplc="771013F6">
      <w:start w:val="1"/>
      <w:numFmt w:val="decimal"/>
      <w:lvlText w:val="%1."/>
      <w:lvlJc w:val="left"/>
      <w:pPr>
        <w:ind w:left="1668" w:hanging="223"/>
        <w:jc w:val="left"/>
      </w:pPr>
      <w:rPr>
        <w:rFonts w:ascii="Arial MT" w:eastAsia="Arial MT" w:hAnsi="Arial MT" w:cs="Arial MT" w:hint="default"/>
        <w:b w:val="0"/>
        <w:bCs w:val="0"/>
        <w:i w:val="0"/>
        <w:iCs w:val="0"/>
        <w:spacing w:val="0"/>
        <w:w w:val="100"/>
        <w:sz w:val="20"/>
        <w:szCs w:val="20"/>
        <w:lang w:val="es-ES" w:eastAsia="en-US" w:bidi="ar-SA"/>
      </w:rPr>
    </w:lvl>
    <w:lvl w:ilvl="1" w:tplc="2974CA38">
      <w:start w:val="1"/>
      <w:numFmt w:val="lowerLetter"/>
      <w:lvlText w:val="%2)"/>
      <w:lvlJc w:val="left"/>
      <w:pPr>
        <w:ind w:left="1106" w:hanging="272"/>
        <w:jc w:val="left"/>
      </w:pPr>
      <w:rPr>
        <w:rFonts w:ascii="Arial MT" w:eastAsia="Arial MT" w:hAnsi="Arial MT" w:cs="Arial MT" w:hint="default"/>
        <w:b w:val="0"/>
        <w:bCs w:val="0"/>
        <w:i w:val="0"/>
        <w:iCs w:val="0"/>
        <w:spacing w:val="0"/>
        <w:w w:val="100"/>
        <w:sz w:val="20"/>
        <w:szCs w:val="20"/>
        <w:lang w:val="es-ES" w:eastAsia="en-US" w:bidi="ar-SA"/>
      </w:rPr>
    </w:lvl>
    <w:lvl w:ilvl="2" w:tplc="5BFA2404">
      <w:numFmt w:val="bullet"/>
      <w:lvlText w:val="•"/>
      <w:lvlJc w:val="left"/>
      <w:pPr>
        <w:ind w:left="2641" w:hanging="272"/>
      </w:pPr>
      <w:rPr>
        <w:rFonts w:hint="default"/>
        <w:lang w:val="es-ES" w:eastAsia="en-US" w:bidi="ar-SA"/>
      </w:rPr>
    </w:lvl>
    <w:lvl w:ilvl="3" w:tplc="3424A690">
      <w:numFmt w:val="bullet"/>
      <w:lvlText w:val="•"/>
      <w:lvlJc w:val="left"/>
      <w:pPr>
        <w:ind w:left="3622" w:hanging="272"/>
      </w:pPr>
      <w:rPr>
        <w:rFonts w:hint="default"/>
        <w:lang w:val="es-ES" w:eastAsia="en-US" w:bidi="ar-SA"/>
      </w:rPr>
    </w:lvl>
    <w:lvl w:ilvl="4" w:tplc="6BAABEA0">
      <w:numFmt w:val="bullet"/>
      <w:lvlText w:val="•"/>
      <w:lvlJc w:val="left"/>
      <w:pPr>
        <w:ind w:left="4603" w:hanging="272"/>
      </w:pPr>
      <w:rPr>
        <w:rFonts w:hint="default"/>
        <w:lang w:val="es-ES" w:eastAsia="en-US" w:bidi="ar-SA"/>
      </w:rPr>
    </w:lvl>
    <w:lvl w:ilvl="5" w:tplc="893EAFDE">
      <w:numFmt w:val="bullet"/>
      <w:lvlText w:val="•"/>
      <w:lvlJc w:val="left"/>
      <w:pPr>
        <w:ind w:left="5584" w:hanging="272"/>
      </w:pPr>
      <w:rPr>
        <w:rFonts w:hint="default"/>
        <w:lang w:val="es-ES" w:eastAsia="en-US" w:bidi="ar-SA"/>
      </w:rPr>
    </w:lvl>
    <w:lvl w:ilvl="6" w:tplc="7138DC5E">
      <w:numFmt w:val="bullet"/>
      <w:lvlText w:val="•"/>
      <w:lvlJc w:val="left"/>
      <w:pPr>
        <w:ind w:left="6565" w:hanging="272"/>
      </w:pPr>
      <w:rPr>
        <w:rFonts w:hint="default"/>
        <w:lang w:val="es-ES" w:eastAsia="en-US" w:bidi="ar-SA"/>
      </w:rPr>
    </w:lvl>
    <w:lvl w:ilvl="7" w:tplc="9BF816F0">
      <w:numFmt w:val="bullet"/>
      <w:lvlText w:val="•"/>
      <w:lvlJc w:val="left"/>
      <w:pPr>
        <w:ind w:left="7546" w:hanging="272"/>
      </w:pPr>
      <w:rPr>
        <w:rFonts w:hint="default"/>
        <w:lang w:val="es-ES" w:eastAsia="en-US" w:bidi="ar-SA"/>
      </w:rPr>
    </w:lvl>
    <w:lvl w:ilvl="8" w:tplc="5F162810">
      <w:numFmt w:val="bullet"/>
      <w:lvlText w:val="•"/>
      <w:lvlJc w:val="left"/>
      <w:pPr>
        <w:ind w:left="8527" w:hanging="272"/>
      </w:pPr>
      <w:rPr>
        <w:rFonts w:hint="default"/>
        <w:lang w:val="es-ES" w:eastAsia="en-US" w:bidi="ar-SA"/>
      </w:rPr>
    </w:lvl>
  </w:abstractNum>
  <w:abstractNum w:abstractNumId="315" w15:restartNumberingAfterBreak="0">
    <w:nsid w:val="746A53ED"/>
    <w:multiLevelType w:val="hybridMultilevel"/>
    <w:tmpl w:val="F61EA2C8"/>
    <w:lvl w:ilvl="0" w:tplc="6A52679A">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09125CCA">
      <w:numFmt w:val="bullet"/>
      <w:lvlText w:val="•"/>
      <w:lvlJc w:val="left"/>
      <w:pPr>
        <w:ind w:left="2038" w:hanging="225"/>
      </w:pPr>
      <w:rPr>
        <w:rFonts w:hint="default"/>
        <w:lang w:val="es-ES" w:eastAsia="en-US" w:bidi="ar-SA"/>
      </w:rPr>
    </w:lvl>
    <w:lvl w:ilvl="2" w:tplc="4546EA98">
      <w:numFmt w:val="bullet"/>
      <w:lvlText w:val="•"/>
      <w:lvlJc w:val="left"/>
      <w:pPr>
        <w:ind w:left="2977" w:hanging="225"/>
      </w:pPr>
      <w:rPr>
        <w:rFonts w:hint="default"/>
        <w:lang w:val="es-ES" w:eastAsia="en-US" w:bidi="ar-SA"/>
      </w:rPr>
    </w:lvl>
    <w:lvl w:ilvl="3" w:tplc="806AD4CC">
      <w:numFmt w:val="bullet"/>
      <w:lvlText w:val="•"/>
      <w:lvlJc w:val="left"/>
      <w:pPr>
        <w:ind w:left="3916" w:hanging="225"/>
      </w:pPr>
      <w:rPr>
        <w:rFonts w:hint="default"/>
        <w:lang w:val="es-ES" w:eastAsia="en-US" w:bidi="ar-SA"/>
      </w:rPr>
    </w:lvl>
    <w:lvl w:ilvl="4" w:tplc="2566064C">
      <w:numFmt w:val="bullet"/>
      <w:lvlText w:val="•"/>
      <w:lvlJc w:val="left"/>
      <w:pPr>
        <w:ind w:left="4855" w:hanging="225"/>
      </w:pPr>
      <w:rPr>
        <w:rFonts w:hint="default"/>
        <w:lang w:val="es-ES" w:eastAsia="en-US" w:bidi="ar-SA"/>
      </w:rPr>
    </w:lvl>
    <w:lvl w:ilvl="5" w:tplc="F0269CCE">
      <w:numFmt w:val="bullet"/>
      <w:lvlText w:val="•"/>
      <w:lvlJc w:val="left"/>
      <w:pPr>
        <w:ind w:left="5794" w:hanging="225"/>
      </w:pPr>
      <w:rPr>
        <w:rFonts w:hint="default"/>
        <w:lang w:val="es-ES" w:eastAsia="en-US" w:bidi="ar-SA"/>
      </w:rPr>
    </w:lvl>
    <w:lvl w:ilvl="6" w:tplc="0D62B7C2">
      <w:numFmt w:val="bullet"/>
      <w:lvlText w:val="•"/>
      <w:lvlJc w:val="left"/>
      <w:pPr>
        <w:ind w:left="6733" w:hanging="225"/>
      </w:pPr>
      <w:rPr>
        <w:rFonts w:hint="default"/>
        <w:lang w:val="es-ES" w:eastAsia="en-US" w:bidi="ar-SA"/>
      </w:rPr>
    </w:lvl>
    <w:lvl w:ilvl="7" w:tplc="44D873C2">
      <w:numFmt w:val="bullet"/>
      <w:lvlText w:val="•"/>
      <w:lvlJc w:val="left"/>
      <w:pPr>
        <w:ind w:left="7672" w:hanging="225"/>
      </w:pPr>
      <w:rPr>
        <w:rFonts w:hint="default"/>
        <w:lang w:val="es-ES" w:eastAsia="en-US" w:bidi="ar-SA"/>
      </w:rPr>
    </w:lvl>
    <w:lvl w:ilvl="8" w:tplc="3B84C8E6">
      <w:numFmt w:val="bullet"/>
      <w:lvlText w:val="•"/>
      <w:lvlJc w:val="left"/>
      <w:pPr>
        <w:ind w:left="8611" w:hanging="225"/>
      </w:pPr>
      <w:rPr>
        <w:rFonts w:hint="default"/>
        <w:lang w:val="es-ES" w:eastAsia="en-US" w:bidi="ar-SA"/>
      </w:rPr>
    </w:lvl>
  </w:abstractNum>
  <w:abstractNum w:abstractNumId="316" w15:restartNumberingAfterBreak="0">
    <w:nsid w:val="75C5559C"/>
    <w:multiLevelType w:val="hybridMultilevel"/>
    <w:tmpl w:val="F708B256"/>
    <w:lvl w:ilvl="0" w:tplc="079EBCBC">
      <w:start w:val="1"/>
      <w:numFmt w:val="decimal"/>
      <w:lvlText w:val="%1."/>
      <w:lvlJc w:val="left"/>
      <w:pPr>
        <w:ind w:left="1106" w:hanging="271"/>
        <w:jc w:val="left"/>
      </w:pPr>
      <w:rPr>
        <w:rFonts w:ascii="Arial MT" w:eastAsia="Arial MT" w:hAnsi="Arial MT" w:cs="Arial MT" w:hint="default"/>
        <w:b w:val="0"/>
        <w:bCs w:val="0"/>
        <w:i w:val="0"/>
        <w:iCs w:val="0"/>
        <w:spacing w:val="0"/>
        <w:w w:val="100"/>
        <w:sz w:val="20"/>
        <w:szCs w:val="20"/>
        <w:lang w:val="es-ES" w:eastAsia="en-US" w:bidi="ar-SA"/>
      </w:rPr>
    </w:lvl>
    <w:lvl w:ilvl="1" w:tplc="1840BE14">
      <w:start w:val="1"/>
      <w:numFmt w:val="lowerLetter"/>
      <w:lvlText w:val="%2)"/>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2" w:tplc="B448A2D6">
      <w:numFmt w:val="bullet"/>
      <w:lvlText w:val="•"/>
      <w:lvlJc w:val="left"/>
      <w:pPr>
        <w:ind w:left="2977" w:hanging="263"/>
      </w:pPr>
      <w:rPr>
        <w:rFonts w:hint="default"/>
        <w:lang w:val="es-ES" w:eastAsia="en-US" w:bidi="ar-SA"/>
      </w:rPr>
    </w:lvl>
    <w:lvl w:ilvl="3" w:tplc="930A6710">
      <w:numFmt w:val="bullet"/>
      <w:lvlText w:val="•"/>
      <w:lvlJc w:val="left"/>
      <w:pPr>
        <w:ind w:left="3916" w:hanging="263"/>
      </w:pPr>
      <w:rPr>
        <w:rFonts w:hint="default"/>
        <w:lang w:val="es-ES" w:eastAsia="en-US" w:bidi="ar-SA"/>
      </w:rPr>
    </w:lvl>
    <w:lvl w:ilvl="4" w:tplc="66649E10">
      <w:numFmt w:val="bullet"/>
      <w:lvlText w:val="•"/>
      <w:lvlJc w:val="left"/>
      <w:pPr>
        <w:ind w:left="4855" w:hanging="263"/>
      </w:pPr>
      <w:rPr>
        <w:rFonts w:hint="default"/>
        <w:lang w:val="es-ES" w:eastAsia="en-US" w:bidi="ar-SA"/>
      </w:rPr>
    </w:lvl>
    <w:lvl w:ilvl="5" w:tplc="57A85E6C">
      <w:numFmt w:val="bullet"/>
      <w:lvlText w:val="•"/>
      <w:lvlJc w:val="left"/>
      <w:pPr>
        <w:ind w:left="5794" w:hanging="263"/>
      </w:pPr>
      <w:rPr>
        <w:rFonts w:hint="default"/>
        <w:lang w:val="es-ES" w:eastAsia="en-US" w:bidi="ar-SA"/>
      </w:rPr>
    </w:lvl>
    <w:lvl w:ilvl="6" w:tplc="A9E09888">
      <w:numFmt w:val="bullet"/>
      <w:lvlText w:val="•"/>
      <w:lvlJc w:val="left"/>
      <w:pPr>
        <w:ind w:left="6733" w:hanging="263"/>
      </w:pPr>
      <w:rPr>
        <w:rFonts w:hint="default"/>
        <w:lang w:val="es-ES" w:eastAsia="en-US" w:bidi="ar-SA"/>
      </w:rPr>
    </w:lvl>
    <w:lvl w:ilvl="7" w:tplc="0A4E95C8">
      <w:numFmt w:val="bullet"/>
      <w:lvlText w:val="•"/>
      <w:lvlJc w:val="left"/>
      <w:pPr>
        <w:ind w:left="7672" w:hanging="263"/>
      </w:pPr>
      <w:rPr>
        <w:rFonts w:hint="default"/>
        <w:lang w:val="es-ES" w:eastAsia="en-US" w:bidi="ar-SA"/>
      </w:rPr>
    </w:lvl>
    <w:lvl w:ilvl="8" w:tplc="8722B8BC">
      <w:numFmt w:val="bullet"/>
      <w:lvlText w:val="•"/>
      <w:lvlJc w:val="left"/>
      <w:pPr>
        <w:ind w:left="8611" w:hanging="263"/>
      </w:pPr>
      <w:rPr>
        <w:rFonts w:hint="default"/>
        <w:lang w:val="es-ES" w:eastAsia="en-US" w:bidi="ar-SA"/>
      </w:rPr>
    </w:lvl>
  </w:abstractNum>
  <w:abstractNum w:abstractNumId="317" w15:restartNumberingAfterBreak="0">
    <w:nsid w:val="75F91408"/>
    <w:multiLevelType w:val="hybridMultilevel"/>
    <w:tmpl w:val="685E36F8"/>
    <w:lvl w:ilvl="0" w:tplc="574087E8">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2E3AB22E">
      <w:numFmt w:val="bullet"/>
      <w:lvlText w:val="•"/>
      <w:lvlJc w:val="left"/>
      <w:pPr>
        <w:ind w:left="2038" w:hanging="230"/>
      </w:pPr>
      <w:rPr>
        <w:rFonts w:hint="default"/>
        <w:lang w:val="es-ES" w:eastAsia="en-US" w:bidi="ar-SA"/>
      </w:rPr>
    </w:lvl>
    <w:lvl w:ilvl="2" w:tplc="425EA33A">
      <w:numFmt w:val="bullet"/>
      <w:lvlText w:val="•"/>
      <w:lvlJc w:val="left"/>
      <w:pPr>
        <w:ind w:left="2977" w:hanging="230"/>
      </w:pPr>
      <w:rPr>
        <w:rFonts w:hint="default"/>
        <w:lang w:val="es-ES" w:eastAsia="en-US" w:bidi="ar-SA"/>
      </w:rPr>
    </w:lvl>
    <w:lvl w:ilvl="3" w:tplc="5B96E8B6">
      <w:numFmt w:val="bullet"/>
      <w:lvlText w:val="•"/>
      <w:lvlJc w:val="left"/>
      <w:pPr>
        <w:ind w:left="3916" w:hanging="230"/>
      </w:pPr>
      <w:rPr>
        <w:rFonts w:hint="default"/>
        <w:lang w:val="es-ES" w:eastAsia="en-US" w:bidi="ar-SA"/>
      </w:rPr>
    </w:lvl>
    <w:lvl w:ilvl="4" w:tplc="1B922812">
      <w:numFmt w:val="bullet"/>
      <w:lvlText w:val="•"/>
      <w:lvlJc w:val="left"/>
      <w:pPr>
        <w:ind w:left="4855" w:hanging="230"/>
      </w:pPr>
      <w:rPr>
        <w:rFonts w:hint="default"/>
        <w:lang w:val="es-ES" w:eastAsia="en-US" w:bidi="ar-SA"/>
      </w:rPr>
    </w:lvl>
    <w:lvl w:ilvl="5" w:tplc="BF604256">
      <w:numFmt w:val="bullet"/>
      <w:lvlText w:val="•"/>
      <w:lvlJc w:val="left"/>
      <w:pPr>
        <w:ind w:left="5794" w:hanging="230"/>
      </w:pPr>
      <w:rPr>
        <w:rFonts w:hint="default"/>
        <w:lang w:val="es-ES" w:eastAsia="en-US" w:bidi="ar-SA"/>
      </w:rPr>
    </w:lvl>
    <w:lvl w:ilvl="6" w:tplc="52944AC0">
      <w:numFmt w:val="bullet"/>
      <w:lvlText w:val="•"/>
      <w:lvlJc w:val="left"/>
      <w:pPr>
        <w:ind w:left="6733" w:hanging="230"/>
      </w:pPr>
      <w:rPr>
        <w:rFonts w:hint="default"/>
        <w:lang w:val="es-ES" w:eastAsia="en-US" w:bidi="ar-SA"/>
      </w:rPr>
    </w:lvl>
    <w:lvl w:ilvl="7" w:tplc="218414D4">
      <w:numFmt w:val="bullet"/>
      <w:lvlText w:val="•"/>
      <w:lvlJc w:val="left"/>
      <w:pPr>
        <w:ind w:left="7672" w:hanging="230"/>
      </w:pPr>
      <w:rPr>
        <w:rFonts w:hint="default"/>
        <w:lang w:val="es-ES" w:eastAsia="en-US" w:bidi="ar-SA"/>
      </w:rPr>
    </w:lvl>
    <w:lvl w:ilvl="8" w:tplc="90A2043A">
      <w:numFmt w:val="bullet"/>
      <w:lvlText w:val="•"/>
      <w:lvlJc w:val="left"/>
      <w:pPr>
        <w:ind w:left="8611" w:hanging="230"/>
      </w:pPr>
      <w:rPr>
        <w:rFonts w:hint="default"/>
        <w:lang w:val="es-ES" w:eastAsia="en-US" w:bidi="ar-SA"/>
      </w:rPr>
    </w:lvl>
  </w:abstractNum>
  <w:abstractNum w:abstractNumId="318" w15:restartNumberingAfterBreak="0">
    <w:nsid w:val="76432F05"/>
    <w:multiLevelType w:val="hybridMultilevel"/>
    <w:tmpl w:val="17EC27D2"/>
    <w:lvl w:ilvl="0" w:tplc="ED904CD6">
      <w:start w:val="1"/>
      <w:numFmt w:val="decimal"/>
      <w:lvlText w:val="%1."/>
      <w:lvlJc w:val="left"/>
      <w:pPr>
        <w:ind w:left="1106" w:hanging="253"/>
        <w:jc w:val="left"/>
      </w:pPr>
      <w:rPr>
        <w:rFonts w:ascii="Arial MT" w:eastAsia="Arial MT" w:hAnsi="Arial MT" w:cs="Arial MT" w:hint="default"/>
        <w:b w:val="0"/>
        <w:bCs w:val="0"/>
        <w:i w:val="0"/>
        <w:iCs w:val="0"/>
        <w:spacing w:val="0"/>
        <w:w w:val="100"/>
        <w:sz w:val="20"/>
        <w:szCs w:val="20"/>
        <w:lang w:val="es-ES" w:eastAsia="en-US" w:bidi="ar-SA"/>
      </w:rPr>
    </w:lvl>
    <w:lvl w:ilvl="1" w:tplc="0802985A">
      <w:start w:val="1"/>
      <w:numFmt w:val="lowerLetter"/>
      <w:lvlText w:val="%2)"/>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2" w:tplc="5A863DF8">
      <w:numFmt w:val="bullet"/>
      <w:lvlText w:val="•"/>
      <w:lvlJc w:val="left"/>
      <w:pPr>
        <w:ind w:left="2977" w:hanging="263"/>
      </w:pPr>
      <w:rPr>
        <w:rFonts w:hint="default"/>
        <w:lang w:val="es-ES" w:eastAsia="en-US" w:bidi="ar-SA"/>
      </w:rPr>
    </w:lvl>
    <w:lvl w:ilvl="3" w:tplc="D11A61F2">
      <w:numFmt w:val="bullet"/>
      <w:lvlText w:val="•"/>
      <w:lvlJc w:val="left"/>
      <w:pPr>
        <w:ind w:left="3916" w:hanging="263"/>
      </w:pPr>
      <w:rPr>
        <w:rFonts w:hint="default"/>
        <w:lang w:val="es-ES" w:eastAsia="en-US" w:bidi="ar-SA"/>
      </w:rPr>
    </w:lvl>
    <w:lvl w:ilvl="4" w:tplc="E0804A1A">
      <w:numFmt w:val="bullet"/>
      <w:lvlText w:val="•"/>
      <w:lvlJc w:val="left"/>
      <w:pPr>
        <w:ind w:left="4855" w:hanging="263"/>
      </w:pPr>
      <w:rPr>
        <w:rFonts w:hint="default"/>
        <w:lang w:val="es-ES" w:eastAsia="en-US" w:bidi="ar-SA"/>
      </w:rPr>
    </w:lvl>
    <w:lvl w:ilvl="5" w:tplc="1672790E">
      <w:numFmt w:val="bullet"/>
      <w:lvlText w:val="•"/>
      <w:lvlJc w:val="left"/>
      <w:pPr>
        <w:ind w:left="5794" w:hanging="263"/>
      </w:pPr>
      <w:rPr>
        <w:rFonts w:hint="default"/>
        <w:lang w:val="es-ES" w:eastAsia="en-US" w:bidi="ar-SA"/>
      </w:rPr>
    </w:lvl>
    <w:lvl w:ilvl="6" w:tplc="A7A266CC">
      <w:numFmt w:val="bullet"/>
      <w:lvlText w:val="•"/>
      <w:lvlJc w:val="left"/>
      <w:pPr>
        <w:ind w:left="6733" w:hanging="263"/>
      </w:pPr>
      <w:rPr>
        <w:rFonts w:hint="default"/>
        <w:lang w:val="es-ES" w:eastAsia="en-US" w:bidi="ar-SA"/>
      </w:rPr>
    </w:lvl>
    <w:lvl w:ilvl="7" w:tplc="3678EF9C">
      <w:numFmt w:val="bullet"/>
      <w:lvlText w:val="•"/>
      <w:lvlJc w:val="left"/>
      <w:pPr>
        <w:ind w:left="7672" w:hanging="263"/>
      </w:pPr>
      <w:rPr>
        <w:rFonts w:hint="default"/>
        <w:lang w:val="es-ES" w:eastAsia="en-US" w:bidi="ar-SA"/>
      </w:rPr>
    </w:lvl>
    <w:lvl w:ilvl="8" w:tplc="FC08556C">
      <w:numFmt w:val="bullet"/>
      <w:lvlText w:val="•"/>
      <w:lvlJc w:val="left"/>
      <w:pPr>
        <w:ind w:left="8611" w:hanging="263"/>
      </w:pPr>
      <w:rPr>
        <w:rFonts w:hint="default"/>
        <w:lang w:val="es-ES" w:eastAsia="en-US" w:bidi="ar-SA"/>
      </w:rPr>
    </w:lvl>
  </w:abstractNum>
  <w:abstractNum w:abstractNumId="319" w15:restartNumberingAfterBreak="0">
    <w:nsid w:val="768C27CD"/>
    <w:multiLevelType w:val="hybridMultilevel"/>
    <w:tmpl w:val="505ADEFA"/>
    <w:lvl w:ilvl="0" w:tplc="9B1879D0">
      <w:start w:val="1"/>
      <w:numFmt w:val="decimal"/>
      <w:lvlText w:val="%1."/>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1" w:tplc="93F48522">
      <w:numFmt w:val="bullet"/>
      <w:lvlText w:val="•"/>
      <w:lvlJc w:val="left"/>
      <w:pPr>
        <w:ind w:left="2038" w:hanging="237"/>
      </w:pPr>
      <w:rPr>
        <w:rFonts w:hint="default"/>
        <w:lang w:val="es-ES" w:eastAsia="en-US" w:bidi="ar-SA"/>
      </w:rPr>
    </w:lvl>
    <w:lvl w:ilvl="2" w:tplc="06264190">
      <w:numFmt w:val="bullet"/>
      <w:lvlText w:val="•"/>
      <w:lvlJc w:val="left"/>
      <w:pPr>
        <w:ind w:left="2977" w:hanging="237"/>
      </w:pPr>
      <w:rPr>
        <w:rFonts w:hint="default"/>
        <w:lang w:val="es-ES" w:eastAsia="en-US" w:bidi="ar-SA"/>
      </w:rPr>
    </w:lvl>
    <w:lvl w:ilvl="3" w:tplc="7E38BF6A">
      <w:numFmt w:val="bullet"/>
      <w:lvlText w:val="•"/>
      <w:lvlJc w:val="left"/>
      <w:pPr>
        <w:ind w:left="3916" w:hanging="237"/>
      </w:pPr>
      <w:rPr>
        <w:rFonts w:hint="default"/>
        <w:lang w:val="es-ES" w:eastAsia="en-US" w:bidi="ar-SA"/>
      </w:rPr>
    </w:lvl>
    <w:lvl w:ilvl="4" w:tplc="C92AD674">
      <w:numFmt w:val="bullet"/>
      <w:lvlText w:val="•"/>
      <w:lvlJc w:val="left"/>
      <w:pPr>
        <w:ind w:left="4855" w:hanging="237"/>
      </w:pPr>
      <w:rPr>
        <w:rFonts w:hint="default"/>
        <w:lang w:val="es-ES" w:eastAsia="en-US" w:bidi="ar-SA"/>
      </w:rPr>
    </w:lvl>
    <w:lvl w:ilvl="5" w:tplc="BE3A5FD4">
      <w:numFmt w:val="bullet"/>
      <w:lvlText w:val="•"/>
      <w:lvlJc w:val="left"/>
      <w:pPr>
        <w:ind w:left="5794" w:hanging="237"/>
      </w:pPr>
      <w:rPr>
        <w:rFonts w:hint="default"/>
        <w:lang w:val="es-ES" w:eastAsia="en-US" w:bidi="ar-SA"/>
      </w:rPr>
    </w:lvl>
    <w:lvl w:ilvl="6" w:tplc="E0C8FCEA">
      <w:numFmt w:val="bullet"/>
      <w:lvlText w:val="•"/>
      <w:lvlJc w:val="left"/>
      <w:pPr>
        <w:ind w:left="6733" w:hanging="237"/>
      </w:pPr>
      <w:rPr>
        <w:rFonts w:hint="default"/>
        <w:lang w:val="es-ES" w:eastAsia="en-US" w:bidi="ar-SA"/>
      </w:rPr>
    </w:lvl>
    <w:lvl w:ilvl="7" w:tplc="6602F29A">
      <w:numFmt w:val="bullet"/>
      <w:lvlText w:val="•"/>
      <w:lvlJc w:val="left"/>
      <w:pPr>
        <w:ind w:left="7672" w:hanging="237"/>
      </w:pPr>
      <w:rPr>
        <w:rFonts w:hint="default"/>
        <w:lang w:val="es-ES" w:eastAsia="en-US" w:bidi="ar-SA"/>
      </w:rPr>
    </w:lvl>
    <w:lvl w:ilvl="8" w:tplc="A8EE674C">
      <w:numFmt w:val="bullet"/>
      <w:lvlText w:val="•"/>
      <w:lvlJc w:val="left"/>
      <w:pPr>
        <w:ind w:left="8611" w:hanging="237"/>
      </w:pPr>
      <w:rPr>
        <w:rFonts w:hint="default"/>
        <w:lang w:val="es-ES" w:eastAsia="en-US" w:bidi="ar-SA"/>
      </w:rPr>
    </w:lvl>
  </w:abstractNum>
  <w:abstractNum w:abstractNumId="320" w15:restartNumberingAfterBreak="0">
    <w:nsid w:val="76E2019C"/>
    <w:multiLevelType w:val="hybridMultilevel"/>
    <w:tmpl w:val="EC88AEDC"/>
    <w:lvl w:ilvl="0" w:tplc="B8CE64CC">
      <w:start w:val="1"/>
      <w:numFmt w:val="decimal"/>
      <w:lvlText w:val="%1."/>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1" w:tplc="759C51D0">
      <w:numFmt w:val="bullet"/>
      <w:lvlText w:val="•"/>
      <w:lvlJc w:val="left"/>
      <w:pPr>
        <w:ind w:left="2038" w:hanging="252"/>
      </w:pPr>
      <w:rPr>
        <w:rFonts w:hint="default"/>
        <w:lang w:val="es-ES" w:eastAsia="en-US" w:bidi="ar-SA"/>
      </w:rPr>
    </w:lvl>
    <w:lvl w:ilvl="2" w:tplc="2E00462A">
      <w:numFmt w:val="bullet"/>
      <w:lvlText w:val="•"/>
      <w:lvlJc w:val="left"/>
      <w:pPr>
        <w:ind w:left="2977" w:hanging="252"/>
      </w:pPr>
      <w:rPr>
        <w:rFonts w:hint="default"/>
        <w:lang w:val="es-ES" w:eastAsia="en-US" w:bidi="ar-SA"/>
      </w:rPr>
    </w:lvl>
    <w:lvl w:ilvl="3" w:tplc="16F290D0">
      <w:numFmt w:val="bullet"/>
      <w:lvlText w:val="•"/>
      <w:lvlJc w:val="left"/>
      <w:pPr>
        <w:ind w:left="3916" w:hanging="252"/>
      </w:pPr>
      <w:rPr>
        <w:rFonts w:hint="default"/>
        <w:lang w:val="es-ES" w:eastAsia="en-US" w:bidi="ar-SA"/>
      </w:rPr>
    </w:lvl>
    <w:lvl w:ilvl="4" w:tplc="1FE279AA">
      <w:numFmt w:val="bullet"/>
      <w:lvlText w:val="•"/>
      <w:lvlJc w:val="left"/>
      <w:pPr>
        <w:ind w:left="4855" w:hanging="252"/>
      </w:pPr>
      <w:rPr>
        <w:rFonts w:hint="default"/>
        <w:lang w:val="es-ES" w:eastAsia="en-US" w:bidi="ar-SA"/>
      </w:rPr>
    </w:lvl>
    <w:lvl w:ilvl="5" w:tplc="046CFD98">
      <w:numFmt w:val="bullet"/>
      <w:lvlText w:val="•"/>
      <w:lvlJc w:val="left"/>
      <w:pPr>
        <w:ind w:left="5794" w:hanging="252"/>
      </w:pPr>
      <w:rPr>
        <w:rFonts w:hint="default"/>
        <w:lang w:val="es-ES" w:eastAsia="en-US" w:bidi="ar-SA"/>
      </w:rPr>
    </w:lvl>
    <w:lvl w:ilvl="6" w:tplc="79CC0FC2">
      <w:numFmt w:val="bullet"/>
      <w:lvlText w:val="•"/>
      <w:lvlJc w:val="left"/>
      <w:pPr>
        <w:ind w:left="6733" w:hanging="252"/>
      </w:pPr>
      <w:rPr>
        <w:rFonts w:hint="default"/>
        <w:lang w:val="es-ES" w:eastAsia="en-US" w:bidi="ar-SA"/>
      </w:rPr>
    </w:lvl>
    <w:lvl w:ilvl="7" w:tplc="E09096E8">
      <w:numFmt w:val="bullet"/>
      <w:lvlText w:val="•"/>
      <w:lvlJc w:val="left"/>
      <w:pPr>
        <w:ind w:left="7672" w:hanging="252"/>
      </w:pPr>
      <w:rPr>
        <w:rFonts w:hint="default"/>
        <w:lang w:val="es-ES" w:eastAsia="en-US" w:bidi="ar-SA"/>
      </w:rPr>
    </w:lvl>
    <w:lvl w:ilvl="8" w:tplc="E67E181E">
      <w:numFmt w:val="bullet"/>
      <w:lvlText w:val="•"/>
      <w:lvlJc w:val="left"/>
      <w:pPr>
        <w:ind w:left="8611" w:hanging="252"/>
      </w:pPr>
      <w:rPr>
        <w:rFonts w:hint="default"/>
        <w:lang w:val="es-ES" w:eastAsia="en-US" w:bidi="ar-SA"/>
      </w:rPr>
    </w:lvl>
  </w:abstractNum>
  <w:abstractNum w:abstractNumId="321" w15:restartNumberingAfterBreak="0">
    <w:nsid w:val="76F272CF"/>
    <w:multiLevelType w:val="hybridMultilevel"/>
    <w:tmpl w:val="8C10D256"/>
    <w:lvl w:ilvl="0" w:tplc="D25238DC">
      <w:start w:val="1"/>
      <w:numFmt w:val="decimal"/>
      <w:lvlText w:val="%1."/>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1" w:tplc="D10C6D18">
      <w:start w:val="1"/>
      <w:numFmt w:val="lowerLetter"/>
      <w:lvlText w:val="%2)"/>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2" w:tplc="88B4C8C6">
      <w:start w:val="1"/>
      <w:numFmt w:val="decimal"/>
      <w:lvlText w:val="%3."/>
      <w:lvlJc w:val="left"/>
      <w:pPr>
        <w:ind w:left="1106" w:hanging="168"/>
        <w:jc w:val="left"/>
      </w:pPr>
      <w:rPr>
        <w:rFonts w:ascii="Arial MT" w:eastAsia="Arial MT" w:hAnsi="Arial MT" w:cs="Arial MT" w:hint="default"/>
        <w:b w:val="0"/>
        <w:bCs w:val="0"/>
        <w:i w:val="0"/>
        <w:iCs w:val="0"/>
        <w:spacing w:val="-1"/>
        <w:w w:val="97"/>
        <w:sz w:val="18"/>
        <w:szCs w:val="18"/>
        <w:lang w:val="es-ES" w:eastAsia="en-US" w:bidi="ar-SA"/>
      </w:rPr>
    </w:lvl>
    <w:lvl w:ilvl="3" w:tplc="D0366090">
      <w:numFmt w:val="bullet"/>
      <w:lvlText w:val="•"/>
      <w:lvlJc w:val="left"/>
      <w:pPr>
        <w:ind w:left="3916" w:hanging="168"/>
      </w:pPr>
      <w:rPr>
        <w:rFonts w:hint="default"/>
        <w:lang w:val="es-ES" w:eastAsia="en-US" w:bidi="ar-SA"/>
      </w:rPr>
    </w:lvl>
    <w:lvl w:ilvl="4" w:tplc="F1A4A688">
      <w:numFmt w:val="bullet"/>
      <w:lvlText w:val="•"/>
      <w:lvlJc w:val="left"/>
      <w:pPr>
        <w:ind w:left="4855" w:hanging="168"/>
      </w:pPr>
      <w:rPr>
        <w:rFonts w:hint="default"/>
        <w:lang w:val="es-ES" w:eastAsia="en-US" w:bidi="ar-SA"/>
      </w:rPr>
    </w:lvl>
    <w:lvl w:ilvl="5" w:tplc="5BD0D4AC">
      <w:numFmt w:val="bullet"/>
      <w:lvlText w:val="•"/>
      <w:lvlJc w:val="left"/>
      <w:pPr>
        <w:ind w:left="5794" w:hanging="168"/>
      </w:pPr>
      <w:rPr>
        <w:rFonts w:hint="default"/>
        <w:lang w:val="es-ES" w:eastAsia="en-US" w:bidi="ar-SA"/>
      </w:rPr>
    </w:lvl>
    <w:lvl w:ilvl="6" w:tplc="43069BBA">
      <w:numFmt w:val="bullet"/>
      <w:lvlText w:val="•"/>
      <w:lvlJc w:val="left"/>
      <w:pPr>
        <w:ind w:left="6733" w:hanging="168"/>
      </w:pPr>
      <w:rPr>
        <w:rFonts w:hint="default"/>
        <w:lang w:val="es-ES" w:eastAsia="en-US" w:bidi="ar-SA"/>
      </w:rPr>
    </w:lvl>
    <w:lvl w:ilvl="7" w:tplc="A5042540">
      <w:numFmt w:val="bullet"/>
      <w:lvlText w:val="•"/>
      <w:lvlJc w:val="left"/>
      <w:pPr>
        <w:ind w:left="7672" w:hanging="168"/>
      </w:pPr>
      <w:rPr>
        <w:rFonts w:hint="default"/>
        <w:lang w:val="es-ES" w:eastAsia="en-US" w:bidi="ar-SA"/>
      </w:rPr>
    </w:lvl>
    <w:lvl w:ilvl="8" w:tplc="7BBC718C">
      <w:numFmt w:val="bullet"/>
      <w:lvlText w:val="•"/>
      <w:lvlJc w:val="left"/>
      <w:pPr>
        <w:ind w:left="8611" w:hanging="168"/>
      </w:pPr>
      <w:rPr>
        <w:rFonts w:hint="default"/>
        <w:lang w:val="es-ES" w:eastAsia="en-US" w:bidi="ar-SA"/>
      </w:rPr>
    </w:lvl>
  </w:abstractNum>
  <w:abstractNum w:abstractNumId="322" w15:restartNumberingAfterBreak="0">
    <w:nsid w:val="770E1AF0"/>
    <w:multiLevelType w:val="hybridMultilevel"/>
    <w:tmpl w:val="377A8A52"/>
    <w:lvl w:ilvl="0" w:tplc="0CE61D0C">
      <w:start w:val="1"/>
      <w:numFmt w:val="decimal"/>
      <w:lvlText w:val="%1."/>
      <w:lvlJc w:val="left"/>
      <w:pPr>
        <w:ind w:left="1106" w:hanging="250"/>
        <w:jc w:val="left"/>
      </w:pPr>
      <w:rPr>
        <w:rFonts w:ascii="Arial MT" w:eastAsia="Arial MT" w:hAnsi="Arial MT" w:cs="Arial MT" w:hint="default"/>
        <w:b w:val="0"/>
        <w:bCs w:val="0"/>
        <w:i w:val="0"/>
        <w:iCs w:val="0"/>
        <w:spacing w:val="0"/>
        <w:w w:val="100"/>
        <w:sz w:val="20"/>
        <w:szCs w:val="20"/>
        <w:lang w:val="es-ES" w:eastAsia="en-US" w:bidi="ar-SA"/>
      </w:rPr>
    </w:lvl>
    <w:lvl w:ilvl="1" w:tplc="C298F04E">
      <w:start w:val="1"/>
      <w:numFmt w:val="lowerLetter"/>
      <w:lvlText w:val="%2)"/>
      <w:lvlJc w:val="left"/>
      <w:pPr>
        <w:ind w:left="1106" w:hanging="342"/>
        <w:jc w:val="left"/>
      </w:pPr>
      <w:rPr>
        <w:rFonts w:ascii="Arial MT" w:eastAsia="Arial MT" w:hAnsi="Arial MT" w:cs="Arial MT" w:hint="default"/>
        <w:b w:val="0"/>
        <w:bCs w:val="0"/>
        <w:i w:val="0"/>
        <w:iCs w:val="0"/>
        <w:spacing w:val="0"/>
        <w:w w:val="100"/>
        <w:sz w:val="20"/>
        <w:szCs w:val="20"/>
        <w:lang w:val="es-ES" w:eastAsia="en-US" w:bidi="ar-SA"/>
      </w:rPr>
    </w:lvl>
    <w:lvl w:ilvl="2" w:tplc="9FEED3FE">
      <w:numFmt w:val="bullet"/>
      <w:lvlText w:val="•"/>
      <w:lvlJc w:val="left"/>
      <w:pPr>
        <w:ind w:left="2977" w:hanging="342"/>
      </w:pPr>
      <w:rPr>
        <w:rFonts w:hint="default"/>
        <w:lang w:val="es-ES" w:eastAsia="en-US" w:bidi="ar-SA"/>
      </w:rPr>
    </w:lvl>
    <w:lvl w:ilvl="3" w:tplc="72406B6C">
      <w:numFmt w:val="bullet"/>
      <w:lvlText w:val="•"/>
      <w:lvlJc w:val="left"/>
      <w:pPr>
        <w:ind w:left="3916" w:hanging="342"/>
      </w:pPr>
      <w:rPr>
        <w:rFonts w:hint="default"/>
        <w:lang w:val="es-ES" w:eastAsia="en-US" w:bidi="ar-SA"/>
      </w:rPr>
    </w:lvl>
    <w:lvl w:ilvl="4" w:tplc="84A2A366">
      <w:numFmt w:val="bullet"/>
      <w:lvlText w:val="•"/>
      <w:lvlJc w:val="left"/>
      <w:pPr>
        <w:ind w:left="4855" w:hanging="342"/>
      </w:pPr>
      <w:rPr>
        <w:rFonts w:hint="default"/>
        <w:lang w:val="es-ES" w:eastAsia="en-US" w:bidi="ar-SA"/>
      </w:rPr>
    </w:lvl>
    <w:lvl w:ilvl="5" w:tplc="2272C61E">
      <w:numFmt w:val="bullet"/>
      <w:lvlText w:val="•"/>
      <w:lvlJc w:val="left"/>
      <w:pPr>
        <w:ind w:left="5794" w:hanging="342"/>
      </w:pPr>
      <w:rPr>
        <w:rFonts w:hint="default"/>
        <w:lang w:val="es-ES" w:eastAsia="en-US" w:bidi="ar-SA"/>
      </w:rPr>
    </w:lvl>
    <w:lvl w:ilvl="6" w:tplc="14CC1D6E">
      <w:numFmt w:val="bullet"/>
      <w:lvlText w:val="•"/>
      <w:lvlJc w:val="left"/>
      <w:pPr>
        <w:ind w:left="6733" w:hanging="342"/>
      </w:pPr>
      <w:rPr>
        <w:rFonts w:hint="default"/>
        <w:lang w:val="es-ES" w:eastAsia="en-US" w:bidi="ar-SA"/>
      </w:rPr>
    </w:lvl>
    <w:lvl w:ilvl="7" w:tplc="74CE7030">
      <w:numFmt w:val="bullet"/>
      <w:lvlText w:val="•"/>
      <w:lvlJc w:val="left"/>
      <w:pPr>
        <w:ind w:left="7672" w:hanging="342"/>
      </w:pPr>
      <w:rPr>
        <w:rFonts w:hint="default"/>
        <w:lang w:val="es-ES" w:eastAsia="en-US" w:bidi="ar-SA"/>
      </w:rPr>
    </w:lvl>
    <w:lvl w:ilvl="8" w:tplc="4A72523E">
      <w:numFmt w:val="bullet"/>
      <w:lvlText w:val="•"/>
      <w:lvlJc w:val="left"/>
      <w:pPr>
        <w:ind w:left="8611" w:hanging="342"/>
      </w:pPr>
      <w:rPr>
        <w:rFonts w:hint="default"/>
        <w:lang w:val="es-ES" w:eastAsia="en-US" w:bidi="ar-SA"/>
      </w:rPr>
    </w:lvl>
  </w:abstractNum>
  <w:abstractNum w:abstractNumId="323" w15:restartNumberingAfterBreak="0">
    <w:nsid w:val="77891698"/>
    <w:multiLevelType w:val="hybridMultilevel"/>
    <w:tmpl w:val="F0F44604"/>
    <w:lvl w:ilvl="0" w:tplc="7DBAD49E">
      <w:start w:val="1"/>
      <w:numFmt w:val="decimal"/>
      <w:lvlText w:val="%1."/>
      <w:lvlJc w:val="left"/>
      <w:pPr>
        <w:ind w:left="1106" w:hanging="229"/>
        <w:jc w:val="left"/>
      </w:pPr>
      <w:rPr>
        <w:rFonts w:ascii="Arial MT" w:eastAsia="Arial MT" w:hAnsi="Arial MT" w:cs="Arial MT" w:hint="default"/>
        <w:b w:val="0"/>
        <w:bCs w:val="0"/>
        <w:i w:val="0"/>
        <w:iCs w:val="0"/>
        <w:spacing w:val="0"/>
        <w:w w:val="100"/>
        <w:sz w:val="20"/>
        <w:szCs w:val="20"/>
        <w:lang w:val="es-ES" w:eastAsia="en-US" w:bidi="ar-SA"/>
      </w:rPr>
    </w:lvl>
    <w:lvl w:ilvl="1" w:tplc="29029510">
      <w:numFmt w:val="bullet"/>
      <w:lvlText w:val="•"/>
      <w:lvlJc w:val="left"/>
      <w:pPr>
        <w:ind w:left="2038" w:hanging="229"/>
      </w:pPr>
      <w:rPr>
        <w:rFonts w:hint="default"/>
        <w:lang w:val="es-ES" w:eastAsia="en-US" w:bidi="ar-SA"/>
      </w:rPr>
    </w:lvl>
    <w:lvl w:ilvl="2" w:tplc="265CFBC4">
      <w:numFmt w:val="bullet"/>
      <w:lvlText w:val="•"/>
      <w:lvlJc w:val="left"/>
      <w:pPr>
        <w:ind w:left="2977" w:hanging="229"/>
      </w:pPr>
      <w:rPr>
        <w:rFonts w:hint="default"/>
        <w:lang w:val="es-ES" w:eastAsia="en-US" w:bidi="ar-SA"/>
      </w:rPr>
    </w:lvl>
    <w:lvl w:ilvl="3" w:tplc="4F7246BE">
      <w:numFmt w:val="bullet"/>
      <w:lvlText w:val="•"/>
      <w:lvlJc w:val="left"/>
      <w:pPr>
        <w:ind w:left="3916" w:hanging="229"/>
      </w:pPr>
      <w:rPr>
        <w:rFonts w:hint="default"/>
        <w:lang w:val="es-ES" w:eastAsia="en-US" w:bidi="ar-SA"/>
      </w:rPr>
    </w:lvl>
    <w:lvl w:ilvl="4" w:tplc="57909CC4">
      <w:numFmt w:val="bullet"/>
      <w:lvlText w:val="•"/>
      <w:lvlJc w:val="left"/>
      <w:pPr>
        <w:ind w:left="4855" w:hanging="229"/>
      </w:pPr>
      <w:rPr>
        <w:rFonts w:hint="default"/>
        <w:lang w:val="es-ES" w:eastAsia="en-US" w:bidi="ar-SA"/>
      </w:rPr>
    </w:lvl>
    <w:lvl w:ilvl="5" w:tplc="7E805584">
      <w:numFmt w:val="bullet"/>
      <w:lvlText w:val="•"/>
      <w:lvlJc w:val="left"/>
      <w:pPr>
        <w:ind w:left="5794" w:hanging="229"/>
      </w:pPr>
      <w:rPr>
        <w:rFonts w:hint="default"/>
        <w:lang w:val="es-ES" w:eastAsia="en-US" w:bidi="ar-SA"/>
      </w:rPr>
    </w:lvl>
    <w:lvl w:ilvl="6" w:tplc="09568630">
      <w:numFmt w:val="bullet"/>
      <w:lvlText w:val="•"/>
      <w:lvlJc w:val="left"/>
      <w:pPr>
        <w:ind w:left="6733" w:hanging="229"/>
      </w:pPr>
      <w:rPr>
        <w:rFonts w:hint="default"/>
        <w:lang w:val="es-ES" w:eastAsia="en-US" w:bidi="ar-SA"/>
      </w:rPr>
    </w:lvl>
    <w:lvl w:ilvl="7" w:tplc="62A007CC">
      <w:numFmt w:val="bullet"/>
      <w:lvlText w:val="•"/>
      <w:lvlJc w:val="left"/>
      <w:pPr>
        <w:ind w:left="7672" w:hanging="229"/>
      </w:pPr>
      <w:rPr>
        <w:rFonts w:hint="default"/>
        <w:lang w:val="es-ES" w:eastAsia="en-US" w:bidi="ar-SA"/>
      </w:rPr>
    </w:lvl>
    <w:lvl w:ilvl="8" w:tplc="9CA00D80">
      <w:numFmt w:val="bullet"/>
      <w:lvlText w:val="•"/>
      <w:lvlJc w:val="left"/>
      <w:pPr>
        <w:ind w:left="8611" w:hanging="229"/>
      </w:pPr>
      <w:rPr>
        <w:rFonts w:hint="default"/>
        <w:lang w:val="es-ES" w:eastAsia="en-US" w:bidi="ar-SA"/>
      </w:rPr>
    </w:lvl>
  </w:abstractNum>
  <w:abstractNum w:abstractNumId="324" w15:restartNumberingAfterBreak="0">
    <w:nsid w:val="779D1447"/>
    <w:multiLevelType w:val="hybridMultilevel"/>
    <w:tmpl w:val="4BC2AA06"/>
    <w:lvl w:ilvl="0" w:tplc="22403E04">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B120B3A4">
      <w:numFmt w:val="bullet"/>
      <w:lvlText w:val="•"/>
      <w:lvlJc w:val="left"/>
      <w:pPr>
        <w:ind w:left="2038" w:hanging="255"/>
      </w:pPr>
      <w:rPr>
        <w:rFonts w:hint="default"/>
        <w:lang w:val="es-ES" w:eastAsia="en-US" w:bidi="ar-SA"/>
      </w:rPr>
    </w:lvl>
    <w:lvl w:ilvl="2" w:tplc="19AEA470">
      <w:numFmt w:val="bullet"/>
      <w:lvlText w:val="•"/>
      <w:lvlJc w:val="left"/>
      <w:pPr>
        <w:ind w:left="2977" w:hanging="255"/>
      </w:pPr>
      <w:rPr>
        <w:rFonts w:hint="default"/>
        <w:lang w:val="es-ES" w:eastAsia="en-US" w:bidi="ar-SA"/>
      </w:rPr>
    </w:lvl>
    <w:lvl w:ilvl="3" w:tplc="E606239A">
      <w:numFmt w:val="bullet"/>
      <w:lvlText w:val="•"/>
      <w:lvlJc w:val="left"/>
      <w:pPr>
        <w:ind w:left="3916" w:hanging="255"/>
      </w:pPr>
      <w:rPr>
        <w:rFonts w:hint="default"/>
        <w:lang w:val="es-ES" w:eastAsia="en-US" w:bidi="ar-SA"/>
      </w:rPr>
    </w:lvl>
    <w:lvl w:ilvl="4" w:tplc="31586684">
      <w:numFmt w:val="bullet"/>
      <w:lvlText w:val="•"/>
      <w:lvlJc w:val="left"/>
      <w:pPr>
        <w:ind w:left="4855" w:hanging="255"/>
      </w:pPr>
      <w:rPr>
        <w:rFonts w:hint="default"/>
        <w:lang w:val="es-ES" w:eastAsia="en-US" w:bidi="ar-SA"/>
      </w:rPr>
    </w:lvl>
    <w:lvl w:ilvl="5" w:tplc="73CE39E4">
      <w:numFmt w:val="bullet"/>
      <w:lvlText w:val="•"/>
      <w:lvlJc w:val="left"/>
      <w:pPr>
        <w:ind w:left="5794" w:hanging="255"/>
      </w:pPr>
      <w:rPr>
        <w:rFonts w:hint="default"/>
        <w:lang w:val="es-ES" w:eastAsia="en-US" w:bidi="ar-SA"/>
      </w:rPr>
    </w:lvl>
    <w:lvl w:ilvl="6" w:tplc="650E6AAE">
      <w:numFmt w:val="bullet"/>
      <w:lvlText w:val="•"/>
      <w:lvlJc w:val="left"/>
      <w:pPr>
        <w:ind w:left="6733" w:hanging="255"/>
      </w:pPr>
      <w:rPr>
        <w:rFonts w:hint="default"/>
        <w:lang w:val="es-ES" w:eastAsia="en-US" w:bidi="ar-SA"/>
      </w:rPr>
    </w:lvl>
    <w:lvl w:ilvl="7" w:tplc="0B8076EA">
      <w:numFmt w:val="bullet"/>
      <w:lvlText w:val="•"/>
      <w:lvlJc w:val="left"/>
      <w:pPr>
        <w:ind w:left="7672" w:hanging="255"/>
      </w:pPr>
      <w:rPr>
        <w:rFonts w:hint="default"/>
        <w:lang w:val="es-ES" w:eastAsia="en-US" w:bidi="ar-SA"/>
      </w:rPr>
    </w:lvl>
    <w:lvl w:ilvl="8" w:tplc="570A86C2">
      <w:numFmt w:val="bullet"/>
      <w:lvlText w:val="•"/>
      <w:lvlJc w:val="left"/>
      <w:pPr>
        <w:ind w:left="8611" w:hanging="255"/>
      </w:pPr>
      <w:rPr>
        <w:rFonts w:hint="default"/>
        <w:lang w:val="es-ES" w:eastAsia="en-US" w:bidi="ar-SA"/>
      </w:rPr>
    </w:lvl>
  </w:abstractNum>
  <w:abstractNum w:abstractNumId="325" w15:restartNumberingAfterBreak="0">
    <w:nsid w:val="78291E81"/>
    <w:multiLevelType w:val="hybridMultilevel"/>
    <w:tmpl w:val="08ECA17C"/>
    <w:lvl w:ilvl="0" w:tplc="AC50F536">
      <w:start w:val="1"/>
      <w:numFmt w:val="decimal"/>
      <w:lvlText w:val="%1."/>
      <w:lvlJc w:val="left"/>
      <w:pPr>
        <w:ind w:left="1106" w:hanging="225"/>
        <w:jc w:val="left"/>
      </w:pPr>
      <w:rPr>
        <w:rFonts w:ascii="Arial MT" w:eastAsia="Arial MT" w:hAnsi="Arial MT" w:cs="Arial MT" w:hint="default"/>
        <w:b w:val="0"/>
        <w:bCs w:val="0"/>
        <w:i w:val="0"/>
        <w:iCs w:val="0"/>
        <w:spacing w:val="0"/>
        <w:w w:val="100"/>
        <w:sz w:val="20"/>
        <w:szCs w:val="20"/>
        <w:lang w:val="es-ES" w:eastAsia="en-US" w:bidi="ar-SA"/>
      </w:rPr>
    </w:lvl>
    <w:lvl w:ilvl="1" w:tplc="B2888BCE">
      <w:numFmt w:val="bullet"/>
      <w:lvlText w:val="•"/>
      <w:lvlJc w:val="left"/>
      <w:pPr>
        <w:ind w:left="2038" w:hanging="225"/>
      </w:pPr>
      <w:rPr>
        <w:rFonts w:hint="default"/>
        <w:lang w:val="es-ES" w:eastAsia="en-US" w:bidi="ar-SA"/>
      </w:rPr>
    </w:lvl>
    <w:lvl w:ilvl="2" w:tplc="C3EEF64A">
      <w:numFmt w:val="bullet"/>
      <w:lvlText w:val="•"/>
      <w:lvlJc w:val="left"/>
      <w:pPr>
        <w:ind w:left="2977" w:hanging="225"/>
      </w:pPr>
      <w:rPr>
        <w:rFonts w:hint="default"/>
        <w:lang w:val="es-ES" w:eastAsia="en-US" w:bidi="ar-SA"/>
      </w:rPr>
    </w:lvl>
    <w:lvl w:ilvl="3" w:tplc="20F0DC18">
      <w:numFmt w:val="bullet"/>
      <w:lvlText w:val="•"/>
      <w:lvlJc w:val="left"/>
      <w:pPr>
        <w:ind w:left="3916" w:hanging="225"/>
      </w:pPr>
      <w:rPr>
        <w:rFonts w:hint="default"/>
        <w:lang w:val="es-ES" w:eastAsia="en-US" w:bidi="ar-SA"/>
      </w:rPr>
    </w:lvl>
    <w:lvl w:ilvl="4" w:tplc="0D7A838A">
      <w:numFmt w:val="bullet"/>
      <w:lvlText w:val="•"/>
      <w:lvlJc w:val="left"/>
      <w:pPr>
        <w:ind w:left="4855" w:hanging="225"/>
      </w:pPr>
      <w:rPr>
        <w:rFonts w:hint="default"/>
        <w:lang w:val="es-ES" w:eastAsia="en-US" w:bidi="ar-SA"/>
      </w:rPr>
    </w:lvl>
    <w:lvl w:ilvl="5" w:tplc="EDF8D222">
      <w:numFmt w:val="bullet"/>
      <w:lvlText w:val="•"/>
      <w:lvlJc w:val="left"/>
      <w:pPr>
        <w:ind w:left="5794" w:hanging="225"/>
      </w:pPr>
      <w:rPr>
        <w:rFonts w:hint="default"/>
        <w:lang w:val="es-ES" w:eastAsia="en-US" w:bidi="ar-SA"/>
      </w:rPr>
    </w:lvl>
    <w:lvl w:ilvl="6" w:tplc="203AD9E0">
      <w:numFmt w:val="bullet"/>
      <w:lvlText w:val="•"/>
      <w:lvlJc w:val="left"/>
      <w:pPr>
        <w:ind w:left="6733" w:hanging="225"/>
      </w:pPr>
      <w:rPr>
        <w:rFonts w:hint="default"/>
        <w:lang w:val="es-ES" w:eastAsia="en-US" w:bidi="ar-SA"/>
      </w:rPr>
    </w:lvl>
    <w:lvl w:ilvl="7" w:tplc="0A2A2DA2">
      <w:numFmt w:val="bullet"/>
      <w:lvlText w:val="•"/>
      <w:lvlJc w:val="left"/>
      <w:pPr>
        <w:ind w:left="7672" w:hanging="225"/>
      </w:pPr>
      <w:rPr>
        <w:rFonts w:hint="default"/>
        <w:lang w:val="es-ES" w:eastAsia="en-US" w:bidi="ar-SA"/>
      </w:rPr>
    </w:lvl>
    <w:lvl w:ilvl="8" w:tplc="1B98E81E">
      <w:numFmt w:val="bullet"/>
      <w:lvlText w:val="•"/>
      <w:lvlJc w:val="left"/>
      <w:pPr>
        <w:ind w:left="8611" w:hanging="225"/>
      </w:pPr>
      <w:rPr>
        <w:rFonts w:hint="default"/>
        <w:lang w:val="es-ES" w:eastAsia="en-US" w:bidi="ar-SA"/>
      </w:rPr>
    </w:lvl>
  </w:abstractNum>
  <w:abstractNum w:abstractNumId="326" w15:restartNumberingAfterBreak="0">
    <w:nsid w:val="78F06FB2"/>
    <w:multiLevelType w:val="hybridMultilevel"/>
    <w:tmpl w:val="956025E6"/>
    <w:lvl w:ilvl="0" w:tplc="30D4A8DA">
      <w:start w:val="1"/>
      <w:numFmt w:val="decimal"/>
      <w:lvlText w:val="%1."/>
      <w:lvlJc w:val="left"/>
      <w:pPr>
        <w:ind w:left="1106" w:hanging="248"/>
        <w:jc w:val="left"/>
      </w:pPr>
      <w:rPr>
        <w:rFonts w:ascii="Arial MT" w:eastAsia="Arial MT" w:hAnsi="Arial MT" w:cs="Arial MT" w:hint="default"/>
        <w:b w:val="0"/>
        <w:bCs w:val="0"/>
        <w:i w:val="0"/>
        <w:iCs w:val="0"/>
        <w:spacing w:val="0"/>
        <w:w w:val="100"/>
        <w:sz w:val="20"/>
        <w:szCs w:val="20"/>
        <w:lang w:val="es-ES" w:eastAsia="en-US" w:bidi="ar-SA"/>
      </w:rPr>
    </w:lvl>
    <w:lvl w:ilvl="1" w:tplc="1DC460DA">
      <w:numFmt w:val="bullet"/>
      <w:lvlText w:val="•"/>
      <w:lvlJc w:val="left"/>
      <w:pPr>
        <w:ind w:left="2038" w:hanging="248"/>
      </w:pPr>
      <w:rPr>
        <w:rFonts w:hint="default"/>
        <w:lang w:val="es-ES" w:eastAsia="en-US" w:bidi="ar-SA"/>
      </w:rPr>
    </w:lvl>
    <w:lvl w:ilvl="2" w:tplc="1DD6F76C">
      <w:numFmt w:val="bullet"/>
      <w:lvlText w:val="•"/>
      <w:lvlJc w:val="left"/>
      <w:pPr>
        <w:ind w:left="2977" w:hanging="248"/>
      </w:pPr>
      <w:rPr>
        <w:rFonts w:hint="default"/>
        <w:lang w:val="es-ES" w:eastAsia="en-US" w:bidi="ar-SA"/>
      </w:rPr>
    </w:lvl>
    <w:lvl w:ilvl="3" w:tplc="B658D294">
      <w:numFmt w:val="bullet"/>
      <w:lvlText w:val="•"/>
      <w:lvlJc w:val="left"/>
      <w:pPr>
        <w:ind w:left="3916" w:hanging="248"/>
      </w:pPr>
      <w:rPr>
        <w:rFonts w:hint="default"/>
        <w:lang w:val="es-ES" w:eastAsia="en-US" w:bidi="ar-SA"/>
      </w:rPr>
    </w:lvl>
    <w:lvl w:ilvl="4" w:tplc="182C9502">
      <w:numFmt w:val="bullet"/>
      <w:lvlText w:val="•"/>
      <w:lvlJc w:val="left"/>
      <w:pPr>
        <w:ind w:left="4855" w:hanging="248"/>
      </w:pPr>
      <w:rPr>
        <w:rFonts w:hint="default"/>
        <w:lang w:val="es-ES" w:eastAsia="en-US" w:bidi="ar-SA"/>
      </w:rPr>
    </w:lvl>
    <w:lvl w:ilvl="5" w:tplc="DFF4585E">
      <w:numFmt w:val="bullet"/>
      <w:lvlText w:val="•"/>
      <w:lvlJc w:val="left"/>
      <w:pPr>
        <w:ind w:left="5794" w:hanging="248"/>
      </w:pPr>
      <w:rPr>
        <w:rFonts w:hint="default"/>
        <w:lang w:val="es-ES" w:eastAsia="en-US" w:bidi="ar-SA"/>
      </w:rPr>
    </w:lvl>
    <w:lvl w:ilvl="6" w:tplc="9274F55A">
      <w:numFmt w:val="bullet"/>
      <w:lvlText w:val="•"/>
      <w:lvlJc w:val="left"/>
      <w:pPr>
        <w:ind w:left="6733" w:hanging="248"/>
      </w:pPr>
      <w:rPr>
        <w:rFonts w:hint="default"/>
        <w:lang w:val="es-ES" w:eastAsia="en-US" w:bidi="ar-SA"/>
      </w:rPr>
    </w:lvl>
    <w:lvl w:ilvl="7" w:tplc="02D2A772">
      <w:numFmt w:val="bullet"/>
      <w:lvlText w:val="•"/>
      <w:lvlJc w:val="left"/>
      <w:pPr>
        <w:ind w:left="7672" w:hanging="248"/>
      </w:pPr>
      <w:rPr>
        <w:rFonts w:hint="default"/>
        <w:lang w:val="es-ES" w:eastAsia="en-US" w:bidi="ar-SA"/>
      </w:rPr>
    </w:lvl>
    <w:lvl w:ilvl="8" w:tplc="4362930A">
      <w:numFmt w:val="bullet"/>
      <w:lvlText w:val="•"/>
      <w:lvlJc w:val="left"/>
      <w:pPr>
        <w:ind w:left="8611" w:hanging="248"/>
      </w:pPr>
      <w:rPr>
        <w:rFonts w:hint="default"/>
        <w:lang w:val="es-ES" w:eastAsia="en-US" w:bidi="ar-SA"/>
      </w:rPr>
    </w:lvl>
  </w:abstractNum>
  <w:abstractNum w:abstractNumId="327" w15:restartNumberingAfterBreak="0">
    <w:nsid w:val="7902129C"/>
    <w:multiLevelType w:val="hybridMultilevel"/>
    <w:tmpl w:val="559A4810"/>
    <w:lvl w:ilvl="0" w:tplc="DBE23148">
      <w:start w:val="1"/>
      <w:numFmt w:val="decimal"/>
      <w:lvlText w:val="%1."/>
      <w:lvlJc w:val="left"/>
      <w:pPr>
        <w:ind w:left="1106" w:hanging="232"/>
        <w:jc w:val="left"/>
      </w:pPr>
      <w:rPr>
        <w:rFonts w:ascii="Arial MT" w:eastAsia="Arial MT" w:hAnsi="Arial MT" w:cs="Arial MT" w:hint="default"/>
        <w:b w:val="0"/>
        <w:bCs w:val="0"/>
        <w:i w:val="0"/>
        <w:iCs w:val="0"/>
        <w:spacing w:val="0"/>
        <w:w w:val="100"/>
        <w:sz w:val="20"/>
        <w:szCs w:val="20"/>
        <w:lang w:val="es-ES" w:eastAsia="en-US" w:bidi="ar-SA"/>
      </w:rPr>
    </w:lvl>
    <w:lvl w:ilvl="1" w:tplc="E54630FE">
      <w:numFmt w:val="bullet"/>
      <w:lvlText w:val="•"/>
      <w:lvlJc w:val="left"/>
      <w:pPr>
        <w:ind w:left="2038" w:hanging="232"/>
      </w:pPr>
      <w:rPr>
        <w:rFonts w:hint="default"/>
        <w:lang w:val="es-ES" w:eastAsia="en-US" w:bidi="ar-SA"/>
      </w:rPr>
    </w:lvl>
    <w:lvl w:ilvl="2" w:tplc="11240BB8">
      <w:numFmt w:val="bullet"/>
      <w:lvlText w:val="•"/>
      <w:lvlJc w:val="left"/>
      <w:pPr>
        <w:ind w:left="2977" w:hanging="232"/>
      </w:pPr>
      <w:rPr>
        <w:rFonts w:hint="default"/>
        <w:lang w:val="es-ES" w:eastAsia="en-US" w:bidi="ar-SA"/>
      </w:rPr>
    </w:lvl>
    <w:lvl w:ilvl="3" w:tplc="131EDAB2">
      <w:numFmt w:val="bullet"/>
      <w:lvlText w:val="•"/>
      <w:lvlJc w:val="left"/>
      <w:pPr>
        <w:ind w:left="3916" w:hanging="232"/>
      </w:pPr>
      <w:rPr>
        <w:rFonts w:hint="default"/>
        <w:lang w:val="es-ES" w:eastAsia="en-US" w:bidi="ar-SA"/>
      </w:rPr>
    </w:lvl>
    <w:lvl w:ilvl="4" w:tplc="5BC4E000">
      <w:numFmt w:val="bullet"/>
      <w:lvlText w:val="•"/>
      <w:lvlJc w:val="left"/>
      <w:pPr>
        <w:ind w:left="4855" w:hanging="232"/>
      </w:pPr>
      <w:rPr>
        <w:rFonts w:hint="default"/>
        <w:lang w:val="es-ES" w:eastAsia="en-US" w:bidi="ar-SA"/>
      </w:rPr>
    </w:lvl>
    <w:lvl w:ilvl="5" w:tplc="0368FBB6">
      <w:numFmt w:val="bullet"/>
      <w:lvlText w:val="•"/>
      <w:lvlJc w:val="left"/>
      <w:pPr>
        <w:ind w:left="5794" w:hanging="232"/>
      </w:pPr>
      <w:rPr>
        <w:rFonts w:hint="default"/>
        <w:lang w:val="es-ES" w:eastAsia="en-US" w:bidi="ar-SA"/>
      </w:rPr>
    </w:lvl>
    <w:lvl w:ilvl="6" w:tplc="33BAB5E6">
      <w:numFmt w:val="bullet"/>
      <w:lvlText w:val="•"/>
      <w:lvlJc w:val="left"/>
      <w:pPr>
        <w:ind w:left="6733" w:hanging="232"/>
      </w:pPr>
      <w:rPr>
        <w:rFonts w:hint="default"/>
        <w:lang w:val="es-ES" w:eastAsia="en-US" w:bidi="ar-SA"/>
      </w:rPr>
    </w:lvl>
    <w:lvl w:ilvl="7" w:tplc="DD74380C">
      <w:numFmt w:val="bullet"/>
      <w:lvlText w:val="•"/>
      <w:lvlJc w:val="left"/>
      <w:pPr>
        <w:ind w:left="7672" w:hanging="232"/>
      </w:pPr>
      <w:rPr>
        <w:rFonts w:hint="default"/>
        <w:lang w:val="es-ES" w:eastAsia="en-US" w:bidi="ar-SA"/>
      </w:rPr>
    </w:lvl>
    <w:lvl w:ilvl="8" w:tplc="7E7AA5C4">
      <w:numFmt w:val="bullet"/>
      <w:lvlText w:val="•"/>
      <w:lvlJc w:val="left"/>
      <w:pPr>
        <w:ind w:left="8611" w:hanging="232"/>
      </w:pPr>
      <w:rPr>
        <w:rFonts w:hint="default"/>
        <w:lang w:val="es-ES" w:eastAsia="en-US" w:bidi="ar-SA"/>
      </w:rPr>
    </w:lvl>
  </w:abstractNum>
  <w:abstractNum w:abstractNumId="328" w15:restartNumberingAfterBreak="0">
    <w:nsid w:val="79557B7B"/>
    <w:multiLevelType w:val="hybridMultilevel"/>
    <w:tmpl w:val="CF626A58"/>
    <w:lvl w:ilvl="0" w:tplc="4EA0CBA0">
      <w:start w:val="1"/>
      <w:numFmt w:val="decimal"/>
      <w:lvlText w:val="%1."/>
      <w:lvlJc w:val="left"/>
      <w:pPr>
        <w:ind w:left="1106" w:hanging="249"/>
        <w:jc w:val="left"/>
      </w:pPr>
      <w:rPr>
        <w:rFonts w:ascii="Arial MT" w:eastAsia="Arial MT" w:hAnsi="Arial MT" w:cs="Arial MT" w:hint="default"/>
        <w:b w:val="0"/>
        <w:bCs w:val="0"/>
        <w:i w:val="0"/>
        <w:iCs w:val="0"/>
        <w:spacing w:val="0"/>
        <w:w w:val="100"/>
        <w:sz w:val="20"/>
        <w:szCs w:val="20"/>
        <w:lang w:val="es-ES" w:eastAsia="en-US" w:bidi="ar-SA"/>
      </w:rPr>
    </w:lvl>
    <w:lvl w:ilvl="1" w:tplc="78408CC8">
      <w:numFmt w:val="bullet"/>
      <w:lvlText w:val="•"/>
      <w:lvlJc w:val="left"/>
      <w:pPr>
        <w:ind w:left="2038" w:hanging="249"/>
      </w:pPr>
      <w:rPr>
        <w:rFonts w:hint="default"/>
        <w:lang w:val="es-ES" w:eastAsia="en-US" w:bidi="ar-SA"/>
      </w:rPr>
    </w:lvl>
    <w:lvl w:ilvl="2" w:tplc="6098439E">
      <w:numFmt w:val="bullet"/>
      <w:lvlText w:val="•"/>
      <w:lvlJc w:val="left"/>
      <w:pPr>
        <w:ind w:left="2977" w:hanging="249"/>
      </w:pPr>
      <w:rPr>
        <w:rFonts w:hint="default"/>
        <w:lang w:val="es-ES" w:eastAsia="en-US" w:bidi="ar-SA"/>
      </w:rPr>
    </w:lvl>
    <w:lvl w:ilvl="3" w:tplc="94B8D208">
      <w:numFmt w:val="bullet"/>
      <w:lvlText w:val="•"/>
      <w:lvlJc w:val="left"/>
      <w:pPr>
        <w:ind w:left="3916" w:hanging="249"/>
      </w:pPr>
      <w:rPr>
        <w:rFonts w:hint="default"/>
        <w:lang w:val="es-ES" w:eastAsia="en-US" w:bidi="ar-SA"/>
      </w:rPr>
    </w:lvl>
    <w:lvl w:ilvl="4" w:tplc="1DA0DEA6">
      <w:numFmt w:val="bullet"/>
      <w:lvlText w:val="•"/>
      <w:lvlJc w:val="left"/>
      <w:pPr>
        <w:ind w:left="4855" w:hanging="249"/>
      </w:pPr>
      <w:rPr>
        <w:rFonts w:hint="default"/>
        <w:lang w:val="es-ES" w:eastAsia="en-US" w:bidi="ar-SA"/>
      </w:rPr>
    </w:lvl>
    <w:lvl w:ilvl="5" w:tplc="0832BA34">
      <w:numFmt w:val="bullet"/>
      <w:lvlText w:val="•"/>
      <w:lvlJc w:val="left"/>
      <w:pPr>
        <w:ind w:left="5794" w:hanging="249"/>
      </w:pPr>
      <w:rPr>
        <w:rFonts w:hint="default"/>
        <w:lang w:val="es-ES" w:eastAsia="en-US" w:bidi="ar-SA"/>
      </w:rPr>
    </w:lvl>
    <w:lvl w:ilvl="6" w:tplc="1436A070">
      <w:numFmt w:val="bullet"/>
      <w:lvlText w:val="•"/>
      <w:lvlJc w:val="left"/>
      <w:pPr>
        <w:ind w:left="6733" w:hanging="249"/>
      </w:pPr>
      <w:rPr>
        <w:rFonts w:hint="default"/>
        <w:lang w:val="es-ES" w:eastAsia="en-US" w:bidi="ar-SA"/>
      </w:rPr>
    </w:lvl>
    <w:lvl w:ilvl="7" w:tplc="8D94CA8A">
      <w:numFmt w:val="bullet"/>
      <w:lvlText w:val="•"/>
      <w:lvlJc w:val="left"/>
      <w:pPr>
        <w:ind w:left="7672" w:hanging="249"/>
      </w:pPr>
      <w:rPr>
        <w:rFonts w:hint="default"/>
        <w:lang w:val="es-ES" w:eastAsia="en-US" w:bidi="ar-SA"/>
      </w:rPr>
    </w:lvl>
    <w:lvl w:ilvl="8" w:tplc="9C366D90">
      <w:numFmt w:val="bullet"/>
      <w:lvlText w:val="•"/>
      <w:lvlJc w:val="left"/>
      <w:pPr>
        <w:ind w:left="8611" w:hanging="249"/>
      </w:pPr>
      <w:rPr>
        <w:rFonts w:hint="default"/>
        <w:lang w:val="es-ES" w:eastAsia="en-US" w:bidi="ar-SA"/>
      </w:rPr>
    </w:lvl>
  </w:abstractNum>
  <w:abstractNum w:abstractNumId="329" w15:restartNumberingAfterBreak="0">
    <w:nsid w:val="798A0497"/>
    <w:multiLevelType w:val="hybridMultilevel"/>
    <w:tmpl w:val="7D220CE8"/>
    <w:lvl w:ilvl="0" w:tplc="A566E508">
      <w:start w:val="1"/>
      <w:numFmt w:val="decimal"/>
      <w:lvlText w:val="%1."/>
      <w:lvlJc w:val="left"/>
      <w:pPr>
        <w:ind w:left="1106" w:hanging="291"/>
        <w:jc w:val="left"/>
      </w:pPr>
      <w:rPr>
        <w:rFonts w:ascii="Arial MT" w:eastAsia="Arial MT" w:hAnsi="Arial MT" w:cs="Arial MT" w:hint="default"/>
        <w:b w:val="0"/>
        <w:bCs w:val="0"/>
        <w:i w:val="0"/>
        <w:iCs w:val="0"/>
        <w:spacing w:val="0"/>
        <w:w w:val="100"/>
        <w:sz w:val="20"/>
        <w:szCs w:val="20"/>
        <w:lang w:val="es-ES" w:eastAsia="en-US" w:bidi="ar-SA"/>
      </w:rPr>
    </w:lvl>
    <w:lvl w:ilvl="1" w:tplc="E806CB4C">
      <w:numFmt w:val="bullet"/>
      <w:lvlText w:val="•"/>
      <w:lvlJc w:val="left"/>
      <w:pPr>
        <w:ind w:left="2038" w:hanging="291"/>
      </w:pPr>
      <w:rPr>
        <w:rFonts w:hint="default"/>
        <w:lang w:val="es-ES" w:eastAsia="en-US" w:bidi="ar-SA"/>
      </w:rPr>
    </w:lvl>
    <w:lvl w:ilvl="2" w:tplc="A5ECCA06">
      <w:numFmt w:val="bullet"/>
      <w:lvlText w:val="•"/>
      <w:lvlJc w:val="left"/>
      <w:pPr>
        <w:ind w:left="2977" w:hanging="291"/>
      </w:pPr>
      <w:rPr>
        <w:rFonts w:hint="default"/>
        <w:lang w:val="es-ES" w:eastAsia="en-US" w:bidi="ar-SA"/>
      </w:rPr>
    </w:lvl>
    <w:lvl w:ilvl="3" w:tplc="F4C60534">
      <w:numFmt w:val="bullet"/>
      <w:lvlText w:val="•"/>
      <w:lvlJc w:val="left"/>
      <w:pPr>
        <w:ind w:left="3916" w:hanging="291"/>
      </w:pPr>
      <w:rPr>
        <w:rFonts w:hint="default"/>
        <w:lang w:val="es-ES" w:eastAsia="en-US" w:bidi="ar-SA"/>
      </w:rPr>
    </w:lvl>
    <w:lvl w:ilvl="4" w:tplc="11C04000">
      <w:numFmt w:val="bullet"/>
      <w:lvlText w:val="•"/>
      <w:lvlJc w:val="left"/>
      <w:pPr>
        <w:ind w:left="4855" w:hanging="291"/>
      </w:pPr>
      <w:rPr>
        <w:rFonts w:hint="default"/>
        <w:lang w:val="es-ES" w:eastAsia="en-US" w:bidi="ar-SA"/>
      </w:rPr>
    </w:lvl>
    <w:lvl w:ilvl="5" w:tplc="D58E2FB8">
      <w:numFmt w:val="bullet"/>
      <w:lvlText w:val="•"/>
      <w:lvlJc w:val="left"/>
      <w:pPr>
        <w:ind w:left="5794" w:hanging="291"/>
      </w:pPr>
      <w:rPr>
        <w:rFonts w:hint="default"/>
        <w:lang w:val="es-ES" w:eastAsia="en-US" w:bidi="ar-SA"/>
      </w:rPr>
    </w:lvl>
    <w:lvl w:ilvl="6" w:tplc="0994F59E">
      <w:numFmt w:val="bullet"/>
      <w:lvlText w:val="•"/>
      <w:lvlJc w:val="left"/>
      <w:pPr>
        <w:ind w:left="6733" w:hanging="291"/>
      </w:pPr>
      <w:rPr>
        <w:rFonts w:hint="default"/>
        <w:lang w:val="es-ES" w:eastAsia="en-US" w:bidi="ar-SA"/>
      </w:rPr>
    </w:lvl>
    <w:lvl w:ilvl="7" w:tplc="38B4CDBA">
      <w:numFmt w:val="bullet"/>
      <w:lvlText w:val="•"/>
      <w:lvlJc w:val="left"/>
      <w:pPr>
        <w:ind w:left="7672" w:hanging="291"/>
      </w:pPr>
      <w:rPr>
        <w:rFonts w:hint="default"/>
        <w:lang w:val="es-ES" w:eastAsia="en-US" w:bidi="ar-SA"/>
      </w:rPr>
    </w:lvl>
    <w:lvl w:ilvl="8" w:tplc="155A97B4">
      <w:numFmt w:val="bullet"/>
      <w:lvlText w:val="•"/>
      <w:lvlJc w:val="left"/>
      <w:pPr>
        <w:ind w:left="8611" w:hanging="291"/>
      </w:pPr>
      <w:rPr>
        <w:rFonts w:hint="default"/>
        <w:lang w:val="es-ES" w:eastAsia="en-US" w:bidi="ar-SA"/>
      </w:rPr>
    </w:lvl>
  </w:abstractNum>
  <w:abstractNum w:abstractNumId="330" w15:restartNumberingAfterBreak="0">
    <w:nsid w:val="799235C2"/>
    <w:multiLevelType w:val="hybridMultilevel"/>
    <w:tmpl w:val="41E2F9EC"/>
    <w:lvl w:ilvl="0" w:tplc="6B249D9E">
      <w:start w:val="1"/>
      <w:numFmt w:val="decimal"/>
      <w:lvlText w:val="%1."/>
      <w:lvlJc w:val="left"/>
      <w:pPr>
        <w:ind w:left="1106" w:hanging="262"/>
        <w:jc w:val="left"/>
      </w:pPr>
      <w:rPr>
        <w:rFonts w:ascii="Arial MT" w:eastAsia="Arial MT" w:hAnsi="Arial MT" w:cs="Arial MT" w:hint="default"/>
        <w:b w:val="0"/>
        <w:bCs w:val="0"/>
        <w:i w:val="0"/>
        <w:iCs w:val="0"/>
        <w:spacing w:val="0"/>
        <w:w w:val="100"/>
        <w:sz w:val="20"/>
        <w:szCs w:val="20"/>
        <w:lang w:val="es-ES" w:eastAsia="en-US" w:bidi="ar-SA"/>
      </w:rPr>
    </w:lvl>
    <w:lvl w:ilvl="1" w:tplc="555CFE60">
      <w:start w:val="1"/>
      <w:numFmt w:val="lowerLetter"/>
      <w:lvlText w:val="%2)"/>
      <w:lvlJc w:val="left"/>
      <w:pPr>
        <w:ind w:left="1106" w:hanging="242"/>
        <w:jc w:val="left"/>
      </w:pPr>
      <w:rPr>
        <w:rFonts w:ascii="Arial MT" w:eastAsia="Arial MT" w:hAnsi="Arial MT" w:cs="Arial MT" w:hint="default"/>
        <w:b w:val="0"/>
        <w:bCs w:val="0"/>
        <w:i w:val="0"/>
        <w:iCs w:val="0"/>
        <w:spacing w:val="0"/>
        <w:w w:val="100"/>
        <w:sz w:val="20"/>
        <w:szCs w:val="20"/>
        <w:lang w:val="es-ES" w:eastAsia="en-US" w:bidi="ar-SA"/>
      </w:rPr>
    </w:lvl>
    <w:lvl w:ilvl="2" w:tplc="529812CC">
      <w:numFmt w:val="bullet"/>
      <w:lvlText w:val="•"/>
      <w:lvlJc w:val="left"/>
      <w:pPr>
        <w:ind w:left="2977" w:hanging="242"/>
      </w:pPr>
      <w:rPr>
        <w:rFonts w:hint="default"/>
        <w:lang w:val="es-ES" w:eastAsia="en-US" w:bidi="ar-SA"/>
      </w:rPr>
    </w:lvl>
    <w:lvl w:ilvl="3" w:tplc="7B504988">
      <w:numFmt w:val="bullet"/>
      <w:lvlText w:val="•"/>
      <w:lvlJc w:val="left"/>
      <w:pPr>
        <w:ind w:left="3916" w:hanging="242"/>
      </w:pPr>
      <w:rPr>
        <w:rFonts w:hint="default"/>
        <w:lang w:val="es-ES" w:eastAsia="en-US" w:bidi="ar-SA"/>
      </w:rPr>
    </w:lvl>
    <w:lvl w:ilvl="4" w:tplc="657A5BB6">
      <w:numFmt w:val="bullet"/>
      <w:lvlText w:val="•"/>
      <w:lvlJc w:val="left"/>
      <w:pPr>
        <w:ind w:left="4855" w:hanging="242"/>
      </w:pPr>
      <w:rPr>
        <w:rFonts w:hint="default"/>
        <w:lang w:val="es-ES" w:eastAsia="en-US" w:bidi="ar-SA"/>
      </w:rPr>
    </w:lvl>
    <w:lvl w:ilvl="5" w:tplc="C08C76E2">
      <w:numFmt w:val="bullet"/>
      <w:lvlText w:val="•"/>
      <w:lvlJc w:val="left"/>
      <w:pPr>
        <w:ind w:left="5794" w:hanging="242"/>
      </w:pPr>
      <w:rPr>
        <w:rFonts w:hint="default"/>
        <w:lang w:val="es-ES" w:eastAsia="en-US" w:bidi="ar-SA"/>
      </w:rPr>
    </w:lvl>
    <w:lvl w:ilvl="6" w:tplc="1ECA7C30">
      <w:numFmt w:val="bullet"/>
      <w:lvlText w:val="•"/>
      <w:lvlJc w:val="left"/>
      <w:pPr>
        <w:ind w:left="6733" w:hanging="242"/>
      </w:pPr>
      <w:rPr>
        <w:rFonts w:hint="default"/>
        <w:lang w:val="es-ES" w:eastAsia="en-US" w:bidi="ar-SA"/>
      </w:rPr>
    </w:lvl>
    <w:lvl w:ilvl="7" w:tplc="CA5CE486">
      <w:numFmt w:val="bullet"/>
      <w:lvlText w:val="•"/>
      <w:lvlJc w:val="left"/>
      <w:pPr>
        <w:ind w:left="7672" w:hanging="242"/>
      </w:pPr>
      <w:rPr>
        <w:rFonts w:hint="default"/>
        <w:lang w:val="es-ES" w:eastAsia="en-US" w:bidi="ar-SA"/>
      </w:rPr>
    </w:lvl>
    <w:lvl w:ilvl="8" w:tplc="A93E462E">
      <w:numFmt w:val="bullet"/>
      <w:lvlText w:val="•"/>
      <w:lvlJc w:val="left"/>
      <w:pPr>
        <w:ind w:left="8611" w:hanging="242"/>
      </w:pPr>
      <w:rPr>
        <w:rFonts w:hint="default"/>
        <w:lang w:val="es-ES" w:eastAsia="en-US" w:bidi="ar-SA"/>
      </w:rPr>
    </w:lvl>
  </w:abstractNum>
  <w:abstractNum w:abstractNumId="331" w15:restartNumberingAfterBreak="0">
    <w:nsid w:val="79E46FA6"/>
    <w:multiLevelType w:val="hybridMultilevel"/>
    <w:tmpl w:val="F26E15F2"/>
    <w:lvl w:ilvl="0" w:tplc="549A1FBA">
      <w:start w:val="1"/>
      <w:numFmt w:val="decimal"/>
      <w:lvlText w:val="%1."/>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1" w:tplc="A29EFA5A">
      <w:start w:val="1"/>
      <w:numFmt w:val="lowerLetter"/>
      <w:lvlText w:val="%2)"/>
      <w:lvlJc w:val="left"/>
      <w:pPr>
        <w:ind w:left="1106" w:hanging="299"/>
        <w:jc w:val="left"/>
      </w:pPr>
      <w:rPr>
        <w:rFonts w:ascii="Arial MT" w:eastAsia="Arial MT" w:hAnsi="Arial MT" w:cs="Arial MT" w:hint="default"/>
        <w:b w:val="0"/>
        <w:bCs w:val="0"/>
        <w:i w:val="0"/>
        <w:iCs w:val="0"/>
        <w:spacing w:val="0"/>
        <w:w w:val="100"/>
        <w:sz w:val="20"/>
        <w:szCs w:val="20"/>
        <w:lang w:val="es-ES" w:eastAsia="en-US" w:bidi="ar-SA"/>
      </w:rPr>
    </w:lvl>
    <w:lvl w:ilvl="2" w:tplc="1A42A6C8">
      <w:numFmt w:val="bullet"/>
      <w:lvlText w:val="•"/>
      <w:lvlJc w:val="left"/>
      <w:pPr>
        <w:ind w:left="2977" w:hanging="299"/>
      </w:pPr>
      <w:rPr>
        <w:rFonts w:hint="default"/>
        <w:lang w:val="es-ES" w:eastAsia="en-US" w:bidi="ar-SA"/>
      </w:rPr>
    </w:lvl>
    <w:lvl w:ilvl="3" w:tplc="C92ACEA0">
      <w:numFmt w:val="bullet"/>
      <w:lvlText w:val="•"/>
      <w:lvlJc w:val="left"/>
      <w:pPr>
        <w:ind w:left="3916" w:hanging="299"/>
      </w:pPr>
      <w:rPr>
        <w:rFonts w:hint="default"/>
        <w:lang w:val="es-ES" w:eastAsia="en-US" w:bidi="ar-SA"/>
      </w:rPr>
    </w:lvl>
    <w:lvl w:ilvl="4" w:tplc="49942D38">
      <w:numFmt w:val="bullet"/>
      <w:lvlText w:val="•"/>
      <w:lvlJc w:val="left"/>
      <w:pPr>
        <w:ind w:left="4855" w:hanging="299"/>
      </w:pPr>
      <w:rPr>
        <w:rFonts w:hint="default"/>
        <w:lang w:val="es-ES" w:eastAsia="en-US" w:bidi="ar-SA"/>
      </w:rPr>
    </w:lvl>
    <w:lvl w:ilvl="5" w:tplc="4B4051BE">
      <w:numFmt w:val="bullet"/>
      <w:lvlText w:val="•"/>
      <w:lvlJc w:val="left"/>
      <w:pPr>
        <w:ind w:left="5794" w:hanging="299"/>
      </w:pPr>
      <w:rPr>
        <w:rFonts w:hint="default"/>
        <w:lang w:val="es-ES" w:eastAsia="en-US" w:bidi="ar-SA"/>
      </w:rPr>
    </w:lvl>
    <w:lvl w:ilvl="6" w:tplc="795E8C0A">
      <w:numFmt w:val="bullet"/>
      <w:lvlText w:val="•"/>
      <w:lvlJc w:val="left"/>
      <w:pPr>
        <w:ind w:left="6733" w:hanging="299"/>
      </w:pPr>
      <w:rPr>
        <w:rFonts w:hint="default"/>
        <w:lang w:val="es-ES" w:eastAsia="en-US" w:bidi="ar-SA"/>
      </w:rPr>
    </w:lvl>
    <w:lvl w:ilvl="7" w:tplc="BC06C4FA">
      <w:numFmt w:val="bullet"/>
      <w:lvlText w:val="•"/>
      <w:lvlJc w:val="left"/>
      <w:pPr>
        <w:ind w:left="7672" w:hanging="299"/>
      </w:pPr>
      <w:rPr>
        <w:rFonts w:hint="default"/>
        <w:lang w:val="es-ES" w:eastAsia="en-US" w:bidi="ar-SA"/>
      </w:rPr>
    </w:lvl>
    <w:lvl w:ilvl="8" w:tplc="215C2142">
      <w:numFmt w:val="bullet"/>
      <w:lvlText w:val="•"/>
      <w:lvlJc w:val="left"/>
      <w:pPr>
        <w:ind w:left="8611" w:hanging="299"/>
      </w:pPr>
      <w:rPr>
        <w:rFonts w:hint="default"/>
        <w:lang w:val="es-ES" w:eastAsia="en-US" w:bidi="ar-SA"/>
      </w:rPr>
    </w:lvl>
  </w:abstractNum>
  <w:abstractNum w:abstractNumId="332" w15:restartNumberingAfterBreak="0">
    <w:nsid w:val="7B012905"/>
    <w:multiLevelType w:val="hybridMultilevel"/>
    <w:tmpl w:val="E4727B88"/>
    <w:lvl w:ilvl="0" w:tplc="6BE25CA0">
      <w:start w:val="1"/>
      <w:numFmt w:val="decimal"/>
      <w:lvlText w:val="%1."/>
      <w:lvlJc w:val="left"/>
      <w:pPr>
        <w:ind w:left="1106" w:hanging="247"/>
        <w:jc w:val="left"/>
      </w:pPr>
      <w:rPr>
        <w:rFonts w:ascii="Arial MT" w:eastAsia="Arial MT" w:hAnsi="Arial MT" w:cs="Arial MT" w:hint="default"/>
        <w:b w:val="0"/>
        <w:bCs w:val="0"/>
        <w:i w:val="0"/>
        <w:iCs w:val="0"/>
        <w:spacing w:val="0"/>
        <w:w w:val="100"/>
        <w:sz w:val="20"/>
        <w:szCs w:val="20"/>
        <w:lang w:val="es-ES" w:eastAsia="en-US" w:bidi="ar-SA"/>
      </w:rPr>
    </w:lvl>
    <w:lvl w:ilvl="1" w:tplc="C8B2E37E">
      <w:numFmt w:val="bullet"/>
      <w:lvlText w:val="•"/>
      <w:lvlJc w:val="left"/>
      <w:pPr>
        <w:ind w:left="2038" w:hanging="247"/>
      </w:pPr>
      <w:rPr>
        <w:rFonts w:hint="default"/>
        <w:lang w:val="es-ES" w:eastAsia="en-US" w:bidi="ar-SA"/>
      </w:rPr>
    </w:lvl>
    <w:lvl w:ilvl="2" w:tplc="021090D0">
      <w:numFmt w:val="bullet"/>
      <w:lvlText w:val="•"/>
      <w:lvlJc w:val="left"/>
      <w:pPr>
        <w:ind w:left="2977" w:hanging="247"/>
      </w:pPr>
      <w:rPr>
        <w:rFonts w:hint="default"/>
        <w:lang w:val="es-ES" w:eastAsia="en-US" w:bidi="ar-SA"/>
      </w:rPr>
    </w:lvl>
    <w:lvl w:ilvl="3" w:tplc="0EBCB134">
      <w:numFmt w:val="bullet"/>
      <w:lvlText w:val="•"/>
      <w:lvlJc w:val="left"/>
      <w:pPr>
        <w:ind w:left="3916" w:hanging="247"/>
      </w:pPr>
      <w:rPr>
        <w:rFonts w:hint="default"/>
        <w:lang w:val="es-ES" w:eastAsia="en-US" w:bidi="ar-SA"/>
      </w:rPr>
    </w:lvl>
    <w:lvl w:ilvl="4" w:tplc="856CF216">
      <w:numFmt w:val="bullet"/>
      <w:lvlText w:val="•"/>
      <w:lvlJc w:val="left"/>
      <w:pPr>
        <w:ind w:left="4855" w:hanging="247"/>
      </w:pPr>
      <w:rPr>
        <w:rFonts w:hint="default"/>
        <w:lang w:val="es-ES" w:eastAsia="en-US" w:bidi="ar-SA"/>
      </w:rPr>
    </w:lvl>
    <w:lvl w:ilvl="5" w:tplc="E572E3C0">
      <w:numFmt w:val="bullet"/>
      <w:lvlText w:val="•"/>
      <w:lvlJc w:val="left"/>
      <w:pPr>
        <w:ind w:left="5794" w:hanging="247"/>
      </w:pPr>
      <w:rPr>
        <w:rFonts w:hint="default"/>
        <w:lang w:val="es-ES" w:eastAsia="en-US" w:bidi="ar-SA"/>
      </w:rPr>
    </w:lvl>
    <w:lvl w:ilvl="6" w:tplc="DEAC0CE0">
      <w:numFmt w:val="bullet"/>
      <w:lvlText w:val="•"/>
      <w:lvlJc w:val="left"/>
      <w:pPr>
        <w:ind w:left="6733" w:hanging="247"/>
      </w:pPr>
      <w:rPr>
        <w:rFonts w:hint="default"/>
        <w:lang w:val="es-ES" w:eastAsia="en-US" w:bidi="ar-SA"/>
      </w:rPr>
    </w:lvl>
    <w:lvl w:ilvl="7" w:tplc="5DD6417C">
      <w:numFmt w:val="bullet"/>
      <w:lvlText w:val="•"/>
      <w:lvlJc w:val="left"/>
      <w:pPr>
        <w:ind w:left="7672" w:hanging="247"/>
      </w:pPr>
      <w:rPr>
        <w:rFonts w:hint="default"/>
        <w:lang w:val="es-ES" w:eastAsia="en-US" w:bidi="ar-SA"/>
      </w:rPr>
    </w:lvl>
    <w:lvl w:ilvl="8" w:tplc="81BEBB52">
      <w:numFmt w:val="bullet"/>
      <w:lvlText w:val="•"/>
      <w:lvlJc w:val="left"/>
      <w:pPr>
        <w:ind w:left="8611" w:hanging="247"/>
      </w:pPr>
      <w:rPr>
        <w:rFonts w:hint="default"/>
        <w:lang w:val="es-ES" w:eastAsia="en-US" w:bidi="ar-SA"/>
      </w:rPr>
    </w:lvl>
  </w:abstractNum>
  <w:abstractNum w:abstractNumId="333" w15:restartNumberingAfterBreak="0">
    <w:nsid w:val="7B3043A1"/>
    <w:multiLevelType w:val="hybridMultilevel"/>
    <w:tmpl w:val="6B08B02E"/>
    <w:lvl w:ilvl="0" w:tplc="676E7BA2">
      <w:start w:val="1"/>
      <w:numFmt w:val="decimal"/>
      <w:lvlText w:val="%1."/>
      <w:lvlJc w:val="left"/>
      <w:pPr>
        <w:ind w:left="1106" w:hanging="241"/>
        <w:jc w:val="left"/>
      </w:pPr>
      <w:rPr>
        <w:rFonts w:ascii="Arial MT" w:eastAsia="Arial MT" w:hAnsi="Arial MT" w:cs="Arial MT" w:hint="default"/>
        <w:b w:val="0"/>
        <w:bCs w:val="0"/>
        <w:i w:val="0"/>
        <w:iCs w:val="0"/>
        <w:spacing w:val="0"/>
        <w:w w:val="100"/>
        <w:sz w:val="20"/>
        <w:szCs w:val="20"/>
        <w:lang w:val="es-ES" w:eastAsia="en-US" w:bidi="ar-SA"/>
      </w:rPr>
    </w:lvl>
    <w:lvl w:ilvl="1" w:tplc="7D56F42A">
      <w:start w:val="1"/>
      <w:numFmt w:val="lowerLetter"/>
      <w:lvlText w:val="%2)"/>
      <w:lvlJc w:val="left"/>
      <w:pPr>
        <w:ind w:left="1106" w:hanging="263"/>
        <w:jc w:val="left"/>
      </w:pPr>
      <w:rPr>
        <w:rFonts w:ascii="Arial MT" w:eastAsia="Arial MT" w:hAnsi="Arial MT" w:cs="Arial MT" w:hint="default"/>
        <w:b w:val="0"/>
        <w:bCs w:val="0"/>
        <w:i w:val="0"/>
        <w:iCs w:val="0"/>
        <w:spacing w:val="0"/>
        <w:w w:val="100"/>
        <w:sz w:val="20"/>
        <w:szCs w:val="20"/>
        <w:lang w:val="es-ES" w:eastAsia="en-US" w:bidi="ar-SA"/>
      </w:rPr>
    </w:lvl>
    <w:lvl w:ilvl="2" w:tplc="8DA0ABB4">
      <w:numFmt w:val="bullet"/>
      <w:lvlText w:val="•"/>
      <w:lvlJc w:val="left"/>
      <w:pPr>
        <w:ind w:left="2977" w:hanging="263"/>
      </w:pPr>
      <w:rPr>
        <w:rFonts w:hint="default"/>
        <w:lang w:val="es-ES" w:eastAsia="en-US" w:bidi="ar-SA"/>
      </w:rPr>
    </w:lvl>
    <w:lvl w:ilvl="3" w:tplc="86D0642E">
      <w:numFmt w:val="bullet"/>
      <w:lvlText w:val="•"/>
      <w:lvlJc w:val="left"/>
      <w:pPr>
        <w:ind w:left="3916" w:hanging="263"/>
      </w:pPr>
      <w:rPr>
        <w:rFonts w:hint="default"/>
        <w:lang w:val="es-ES" w:eastAsia="en-US" w:bidi="ar-SA"/>
      </w:rPr>
    </w:lvl>
    <w:lvl w:ilvl="4" w:tplc="B2CE200E">
      <w:numFmt w:val="bullet"/>
      <w:lvlText w:val="•"/>
      <w:lvlJc w:val="left"/>
      <w:pPr>
        <w:ind w:left="4855" w:hanging="263"/>
      </w:pPr>
      <w:rPr>
        <w:rFonts w:hint="default"/>
        <w:lang w:val="es-ES" w:eastAsia="en-US" w:bidi="ar-SA"/>
      </w:rPr>
    </w:lvl>
    <w:lvl w:ilvl="5" w:tplc="261C4BB8">
      <w:numFmt w:val="bullet"/>
      <w:lvlText w:val="•"/>
      <w:lvlJc w:val="left"/>
      <w:pPr>
        <w:ind w:left="5794" w:hanging="263"/>
      </w:pPr>
      <w:rPr>
        <w:rFonts w:hint="default"/>
        <w:lang w:val="es-ES" w:eastAsia="en-US" w:bidi="ar-SA"/>
      </w:rPr>
    </w:lvl>
    <w:lvl w:ilvl="6" w:tplc="421EF7A6">
      <w:numFmt w:val="bullet"/>
      <w:lvlText w:val="•"/>
      <w:lvlJc w:val="left"/>
      <w:pPr>
        <w:ind w:left="6733" w:hanging="263"/>
      </w:pPr>
      <w:rPr>
        <w:rFonts w:hint="default"/>
        <w:lang w:val="es-ES" w:eastAsia="en-US" w:bidi="ar-SA"/>
      </w:rPr>
    </w:lvl>
    <w:lvl w:ilvl="7" w:tplc="3864B1FC">
      <w:numFmt w:val="bullet"/>
      <w:lvlText w:val="•"/>
      <w:lvlJc w:val="left"/>
      <w:pPr>
        <w:ind w:left="7672" w:hanging="263"/>
      </w:pPr>
      <w:rPr>
        <w:rFonts w:hint="default"/>
        <w:lang w:val="es-ES" w:eastAsia="en-US" w:bidi="ar-SA"/>
      </w:rPr>
    </w:lvl>
    <w:lvl w:ilvl="8" w:tplc="BBD8E464">
      <w:numFmt w:val="bullet"/>
      <w:lvlText w:val="•"/>
      <w:lvlJc w:val="left"/>
      <w:pPr>
        <w:ind w:left="8611" w:hanging="263"/>
      </w:pPr>
      <w:rPr>
        <w:rFonts w:hint="default"/>
        <w:lang w:val="es-ES" w:eastAsia="en-US" w:bidi="ar-SA"/>
      </w:rPr>
    </w:lvl>
  </w:abstractNum>
  <w:abstractNum w:abstractNumId="334" w15:restartNumberingAfterBreak="0">
    <w:nsid w:val="7B3B53AB"/>
    <w:multiLevelType w:val="hybridMultilevel"/>
    <w:tmpl w:val="FD9E5978"/>
    <w:lvl w:ilvl="0" w:tplc="BA169842">
      <w:start w:val="1"/>
      <w:numFmt w:val="decimal"/>
      <w:lvlText w:val="%1."/>
      <w:lvlJc w:val="left"/>
      <w:pPr>
        <w:ind w:left="1106" w:hanging="292"/>
        <w:jc w:val="left"/>
      </w:pPr>
      <w:rPr>
        <w:rFonts w:ascii="Arial MT" w:eastAsia="Arial MT" w:hAnsi="Arial MT" w:cs="Arial MT" w:hint="default"/>
        <w:b w:val="0"/>
        <w:bCs w:val="0"/>
        <w:i w:val="0"/>
        <w:iCs w:val="0"/>
        <w:spacing w:val="0"/>
        <w:w w:val="100"/>
        <w:sz w:val="20"/>
        <w:szCs w:val="20"/>
        <w:lang w:val="es-ES" w:eastAsia="en-US" w:bidi="ar-SA"/>
      </w:rPr>
    </w:lvl>
    <w:lvl w:ilvl="1" w:tplc="A20E64B6">
      <w:start w:val="1"/>
      <w:numFmt w:val="lowerLetter"/>
      <w:lvlText w:val="%2)"/>
      <w:lvlJc w:val="left"/>
      <w:pPr>
        <w:ind w:left="1106" w:hanging="235"/>
        <w:jc w:val="left"/>
      </w:pPr>
      <w:rPr>
        <w:rFonts w:ascii="Arial MT" w:eastAsia="Arial MT" w:hAnsi="Arial MT" w:cs="Arial MT" w:hint="default"/>
        <w:b w:val="0"/>
        <w:bCs w:val="0"/>
        <w:i w:val="0"/>
        <w:iCs w:val="0"/>
        <w:spacing w:val="0"/>
        <w:w w:val="100"/>
        <w:sz w:val="20"/>
        <w:szCs w:val="20"/>
        <w:lang w:val="es-ES" w:eastAsia="en-US" w:bidi="ar-SA"/>
      </w:rPr>
    </w:lvl>
    <w:lvl w:ilvl="2" w:tplc="1DAE165C">
      <w:numFmt w:val="bullet"/>
      <w:lvlText w:val="•"/>
      <w:lvlJc w:val="left"/>
      <w:pPr>
        <w:ind w:left="2977" w:hanging="235"/>
      </w:pPr>
      <w:rPr>
        <w:rFonts w:hint="default"/>
        <w:lang w:val="es-ES" w:eastAsia="en-US" w:bidi="ar-SA"/>
      </w:rPr>
    </w:lvl>
    <w:lvl w:ilvl="3" w:tplc="177EAB36">
      <w:numFmt w:val="bullet"/>
      <w:lvlText w:val="•"/>
      <w:lvlJc w:val="left"/>
      <w:pPr>
        <w:ind w:left="3916" w:hanging="235"/>
      </w:pPr>
      <w:rPr>
        <w:rFonts w:hint="default"/>
        <w:lang w:val="es-ES" w:eastAsia="en-US" w:bidi="ar-SA"/>
      </w:rPr>
    </w:lvl>
    <w:lvl w:ilvl="4" w:tplc="D72064FC">
      <w:numFmt w:val="bullet"/>
      <w:lvlText w:val="•"/>
      <w:lvlJc w:val="left"/>
      <w:pPr>
        <w:ind w:left="4855" w:hanging="235"/>
      </w:pPr>
      <w:rPr>
        <w:rFonts w:hint="default"/>
        <w:lang w:val="es-ES" w:eastAsia="en-US" w:bidi="ar-SA"/>
      </w:rPr>
    </w:lvl>
    <w:lvl w:ilvl="5" w:tplc="95149B7A">
      <w:numFmt w:val="bullet"/>
      <w:lvlText w:val="•"/>
      <w:lvlJc w:val="left"/>
      <w:pPr>
        <w:ind w:left="5794" w:hanging="235"/>
      </w:pPr>
      <w:rPr>
        <w:rFonts w:hint="default"/>
        <w:lang w:val="es-ES" w:eastAsia="en-US" w:bidi="ar-SA"/>
      </w:rPr>
    </w:lvl>
    <w:lvl w:ilvl="6" w:tplc="097E6EAA">
      <w:numFmt w:val="bullet"/>
      <w:lvlText w:val="•"/>
      <w:lvlJc w:val="left"/>
      <w:pPr>
        <w:ind w:left="6733" w:hanging="235"/>
      </w:pPr>
      <w:rPr>
        <w:rFonts w:hint="default"/>
        <w:lang w:val="es-ES" w:eastAsia="en-US" w:bidi="ar-SA"/>
      </w:rPr>
    </w:lvl>
    <w:lvl w:ilvl="7" w:tplc="086A0E60">
      <w:numFmt w:val="bullet"/>
      <w:lvlText w:val="•"/>
      <w:lvlJc w:val="left"/>
      <w:pPr>
        <w:ind w:left="7672" w:hanging="235"/>
      </w:pPr>
      <w:rPr>
        <w:rFonts w:hint="default"/>
        <w:lang w:val="es-ES" w:eastAsia="en-US" w:bidi="ar-SA"/>
      </w:rPr>
    </w:lvl>
    <w:lvl w:ilvl="8" w:tplc="F1E21680">
      <w:numFmt w:val="bullet"/>
      <w:lvlText w:val="•"/>
      <w:lvlJc w:val="left"/>
      <w:pPr>
        <w:ind w:left="8611" w:hanging="235"/>
      </w:pPr>
      <w:rPr>
        <w:rFonts w:hint="default"/>
        <w:lang w:val="es-ES" w:eastAsia="en-US" w:bidi="ar-SA"/>
      </w:rPr>
    </w:lvl>
  </w:abstractNum>
  <w:abstractNum w:abstractNumId="335" w15:restartNumberingAfterBreak="0">
    <w:nsid w:val="7B873840"/>
    <w:multiLevelType w:val="hybridMultilevel"/>
    <w:tmpl w:val="7A6C25A6"/>
    <w:lvl w:ilvl="0" w:tplc="AC8E744C">
      <w:start w:val="1"/>
      <w:numFmt w:val="decimal"/>
      <w:lvlText w:val="%1."/>
      <w:lvlJc w:val="left"/>
      <w:pPr>
        <w:ind w:left="1106" w:hanging="261"/>
        <w:jc w:val="left"/>
      </w:pPr>
      <w:rPr>
        <w:rFonts w:ascii="Arial MT" w:eastAsia="Arial MT" w:hAnsi="Arial MT" w:cs="Arial MT" w:hint="default"/>
        <w:b w:val="0"/>
        <w:bCs w:val="0"/>
        <w:i w:val="0"/>
        <w:iCs w:val="0"/>
        <w:spacing w:val="0"/>
        <w:w w:val="100"/>
        <w:sz w:val="20"/>
        <w:szCs w:val="20"/>
        <w:lang w:val="es-ES" w:eastAsia="en-US" w:bidi="ar-SA"/>
      </w:rPr>
    </w:lvl>
    <w:lvl w:ilvl="1" w:tplc="F702983A">
      <w:numFmt w:val="bullet"/>
      <w:lvlText w:val="•"/>
      <w:lvlJc w:val="left"/>
      <w:pPr>
        <w:ind w:left="2038" w:hanging="261"/>
      </w:pPr>
      <w:rPr>
        <w:rFonts w:hint="default"/>
        <w:lang w:val="es-ES" w:eastAsia="en-US" w:bidi="ar-SA"/>
      </w:rPr>
    </w:lvl>
    <w:lvl w:ilvl="2" w:tplc="62A6FB70">
      <w:numFmt w:val="bullet"/>
      <w:lvlText w:val="•"/>
      <w:lvlJc w:val="left"/>
      <w:pPr>
        <w:ind w:left="2977" w:hanging="261"/>
      </w:pPr>
      <w:rPr>
        <w:rFonts w:hint="default"/>
        <w:lang w:val="es-ES" w:eastAsia="en-US" w:bidi="ar-SA"/>
      </w:rPr>
    </w:lvl>
    <w:lvl w:ilvl="3" w:tplc="7AC41148">
      <w:numFmt w:val="bullet"/>
      <w:lvlText w:val="•"/>
      <w:lvlJc w:val="left"/>
      <w:pPr>
        <w:ind w:left="3916" w:hanging="261"/>
      </w:pPr>
      <w:rPr>
        <w:rFonts w:hint="default"/>
        <w:lang w:val="es-ES" w:eastAsia="en-US" w:bidi="ar-SA"/>
      </w:rPr>
    </w:lvl>
    <w:lvl w:ilvl="4" w:tplc="61F66F7E">
      <w:numFmt w:val="bullet"/>
      <w:lvlText w:val="•"/>
      <w:lvlJc w:val="left"/>
      <w:pPr>
        <w:ind w:left="4855" w:hanging="261"/>
      </w:pPr>
      <w:rPr>
        <w:rFonts w:hint="default"/>
        <w:lang w:val="es-ES" w:eastAsia="en-US" w:bidi="ar-SA"/>
      </w:rPr>
    </w:lvl>
    <w:lvl w:ilvl="5" w:tplc="A288B91C">
      <w:numFmt w:val="bullet"/>
      <w:lvlText w:val="•"/>
      <w:lvlJc w:val="left"/>
      <w:pPr>
        <w:ind w:left="5794" w:hanging="261"/>
      </w:pPr>
      <w:rPr>
        <w:rFonts w:hint="default"/>
        <w:lang w:val="es-ES" w:eastAsia="en-US" w:bidi="ar-SA"/>
      </w:rPr>
    </w:lvl>
    <w:lvl w:ilvl="6" w:tplc="F47494D0">
      <w:numFmt w:val="bullet"/>
      <w:lvlText w:val="•"/>
      <w:lvlJc w:val="left"/>
      <w:pPr>
        <w:ind w:left="6733" w:hanging="261"/>
      </w:pPr>
      <w:rPr>
        <w:rFonts w:hint="default"/>
        <w:lang w:val="es-ES" w:eastAsia="en-US" w:bidi="ar-SA"/>
      </w:rPr>
    </w:lvl>
    <w:lvl w:ilvl="7" w:tplc="7B18D0DA">
      <w:numFmt w:val="bullet"/>
      <w:lvlText w:val="•"/>
      <w:lvlJc w:val="left"/>
      <w:pPr>
        <w:ind w:left="7672" w:hanging="261"/>
      </w:pPr>
      <w:rPr>
        <w:rFonts w:hint="default"/>
        <w:lang w:val="es-ES" w:eastAsia="en-US" w:bidi="ar-SA"/>
      </w:rPr>
    </w:lvl>
    <w:lvl w:ilvl="8" w:tplc="E34EC0C6">
      <w:numFmt w:val="bullet"/>
      <w:lvlText w:val="•"/>
      <w:lvlJc w:val="left"/>
      <w:pPr>
        <w:ind w:left="8611" w:hanging="261"/>
      </w:pPr>
      <w:rPr>
        <w:rFonts w:hint="default"/>
        <w:lang w:val="es-ES" w:eastAsia="en-US" w:bidi="ar-SA"/>
      </w:rPr>
    </w:lvl>
  </w:abstractNum>
  <w:abstractNum w:abstractNumId="336" w15:restartNumberingAfterBreak="0">
    <w:nsid w:val="7C3C5BBE"/>
    <w:multiLevelType w:val="hybridMultilevel"/>
    <w:tmpl w:val="951493BE"/>
    <w:lvl w:ilvl="0" w:tplc="62F48E06">
      <w:start w:val="1"/>
      <w:numFmt w:val="decimal"/>
      <w:lvlText w:val="%1."/>
      <w:lvlJc w:val="left"/>
      <w:pPr>
        <w:ind w:left="1106" w:hanging="233"/>
        <w:jc w:val="left"/>
      </w:pPr>
      <w:rPr>
        <w:rFonts w:ascii="Arial MT" w:eastAsia="Arial MT" w:hAnsi="Arial MT" w:cs="Arial MT" w:hint="default"/>
        <w:b w:val="0"/>
        <w:bCs w:val="0"/>
        <w:i w:val="0"/>
        <w:iCs w:val="0"/>
        <w:spacing w:val="0"/>
        <w:w w:val="100"/>
        <w:sz w:val="20"/>
        <w:szCs w:val="20"/>
        <w:lang w:val="es-ES" w:eastAsia="en-US" w:bidi="ar-SA"/>
      </w:rPr>
    </w:lvl>
    <w:lvl w:ilvl="1" w:tplc="1E2A7618">
      <w:numFmt w:val="bullet"/>
      <w:lvlText w:val="•"/>
      <w:lvlJc w:val="left"/>
      <w:pPr>
        <w:ind w:left="2038" w:hanging="233"/>
      </w:pPr>
      <w:rPr>
        <w:rFonts w:hint="default"/>
        <w:lang w:val="es-ES" w:eastAsia="en-US" w:bidi="ar-SA"/>
      </w:rPr>
    </w:lvl>
    <w:lvl w:ilvl="2" w:tplc="FA74CB3A">
      <w:numFmt w:val="bullet"/>
      <w:lvlText w:val="•"/>
      <w:lvlJc w:val="left"/>
      <w:pPr>
        <w:ind w:left="2977" w:hanging="233"/>
      </w:pPr>
      <w:rPr>
        <w:rFonts w:hint="default"/>
        <w:lang w:val="es-ES" w:eastAsia="en-US" w:bidi="ar-SA"/>
      </w:rPr>
    </w:lvl>
    <w:lvl w:ilvl="3" w:tplc="F03E3BEA">
      <w:numFmt w:val="bullet"/>
      <w:lvlText w:val="•"/>
      <w:lvlJc w:val="left"/>
      <w:pPr>
        <w:ind w:left="3916" w:hanging="233"/>
      </w:pPr>
      <w:rPr>
        <w:rFonts w:hint="default"/>
        <w:lang w:val="es-ES" w:eastAsia="en-US" w:bidi="ar-SA"/>
      </w:rPr>
    </w:lvl>
    <w:lvl w:ilvl="4" w:tplc="F4D8AFFC">
      <w:numFmt w:val="bullet"/>
      <w:lvlText w:val="•"/>
      <w:lvlJc w:val="left"/>
      <w:pPr>
        <w:ind w:left="4855" w:hanging="233"/>
      </w:pPr>
      <w:rPr>
        <w:rFonts w:hint="default"/>
        <w:lang w:val="es-ES" w:eastAsia="en-US" w:bidi="ar-SA"/>
      </w:rPr>
    </w:lvl>
    <w:lvl w:ilvl="5" w:tplc="E77C1E38">
      <w:numFmt w:val="bullet"/>
      <w:lvlText w:val="•"/>
      <w:lvlJc w:val="left"/>
      <w:pPr>
        <w:ind w:left="5794" w:hanging="233"/>
      </w:pPr>
      <w:rPr>
        <w:rFonts w:hint="default"/>
        <w:lang w:val="es-ES" w:eastAsia="en-US" w:bidi="ar-SA"/>
      </w:rPr>
    </w:lvl>
    <w:lvl w:ilvl="6" w:tplc="B052F098">
      <w:numFmt w:val="bullet"/>
      <w:lvlText w:val="•"/>
      <w:lvlJc w:val="left"/>
      <w:pPr>
        <w:ind w:left="6733" w:hanging="233"/>
      </w:pPr>
      <w:rPr>
        <w:rFonts w:hint="default"/>
        <w:lang w:val="es-ES" w:eastAsia="en-US" w:bidi="ar-SA"/>
      </w:rPr>
    </w:lvl>
    <w:lvl w:ilvl="7" w:tplc="B8CE3DBC">
      <w:numFmt w:val="bullet"/>
      <w:lvlText w:val="•"/>
      <w:lvlJc w:val="left"/>
      <w:pPr>
        <w:ind w:left="7672" w:hanging="233"/>
      </w:pPr>
      <w:rPr>
        <w:rFonts w:hint="default"/>
        <w:lang w:val="es-ES" w:eastAsia="en-US" w:bidi="ar-SA"/>
      </w:rPr>
    </w:lvl>
    <w:lvl w:ilvl="8" w:tplc="BB5A17FA">
      <w:numFmt w:val="bullet"/>
      <w:lvlText w:val="•"/>
      <w:lvlJc w:val="left"/>
      <w:pPr>
        <w:ind w:left="8611" w:hanging="233"/>
      </w:pPr>
      <w:rPr>
        <w:rFonts w:hint="default"/>
        <w:lang w:val="es-ES" w:eastAsia="en-US" w:bidi="ar-SA"/>
      </w:rPr>
    </w:lvl>
  </w:abstractNum>
  <w:abstractNum w:abstractNumId="337" w15:restartNumberingAfterBreak="0">
    <w:nsid w:val="7C5B7D91"/>
    <w:multiLevelType w:val="hybridMultilevel"/>
    <w:tmpl w:val="D1149144"/>
    <w:lvl w:ilvl="0" w:tplc="524A6024">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E154DD9A">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DCAC4908">
      <w:numFmt w:val="bullet"/>
      <w:lvlText w:val="•"/>
      <w:lvlJc w:val="left"/>
      <w:pPr>
        <w:ind w:left="2658" w:hanging="234"/>
      </w:pPr>
      <w:rPr>
        <w:rFonts w:hint="default"/>
        <w:lang w:val="es-ES" w:eastAsia="en-US" w:bidi="ar-SA"/>
      </w:rPr>
    </w:lvl>
    <w:lvl w:ilvl="3" w:tplc="341A1C40">
      <w:numFmt w:val="bullet"/>
      <w:lvlText w:val="•"/>
      <w:lvlJc w:val="left"/>
      <w:pPr>
        <w:ind w:left="3637" w:hanging="234"/>
      </w:pPr>
      <w:rPr>
        <w:rFonts w:hint="default"/>
        <w:lang w:val="es-ES" w:eastAsia="en-US" w:bidi="ar-SA"/>
      </w:rPr>
    </w:lvl>
    <w:lvl w:ilvl="4" w:tplc="26665A04">
      <w:numFmt w:val="bullet"/>
      <w:lvlText w:val="•"/>
      <w:lvlJc w:val="left"/>
      <w:pPr>
        <w:ind w:left="4616" w:hanging="234"/>
      </w:pPr>
      <w:rPr>
        <w:rFonts w:hint="default"/>
        <w:lang w:val="es-ES" w:eastAsia="en-US" w:bidi="ar-SA"/>
      </w:rPr>
    </w:lvl>
    <w:lvl w:ilvl="5" w:tplc="E042CFEE">
      <w:numFmt w:val="bullet"/>
      <w:lvlText w:val="•"/>
      <w:lvlJc w:val="left"/>
      <w:pPr>
        <w:ind w:left="5595" w:hanging="234"/>
      </w:pPr>
      <w:rPr>
        <w:rFonts w:hint="default"/>
        <w:lang w:val="es-ES" w:eastAsia="en-US" w:bidi="ar-SA"/>
      </w:rPr>
    </w:lvl>
    <w:lvl w:ilvl="6" w:tplc="59DCA514">
      <w:numFmt w:val="bullet"/>
      <w:lvlText w:val="•"/>
      <w:lvlJc w:val="left"/>
      <w:pPr>
        <w:ind w:left="6574" w:hanging="234"/>
      </w:pPr>
      <w:rPr>
        <w:rFonts w:hint="default"/>
        <w:lang w:val="es-ES" w:eastAsia="en-US" w:bidi="ar-SA"/>
      </w:rPr>
    </w:lvl>
    <w:lvl w:ilvl="7" w:tplc="66E0091E">
      <w:numFmt w:val="bullet"/>
      <w:lvlText w:val="•"/>
      <w:lvlJc w:val="left"/>
      <w:pPr>
        <w:ind w:left="7553" w:hanging="234"/>
      </w:pPr>
      <w:rPr>
        <w:rFonts w:hint="default"/>
        <w:lang w:val="es-ES" w:eastAsia="en-US" w:bidi="ar-SA"/>
      </w:rPr>
    </w:lvl>
    <w:lvl w:ilvl="8" w:tplc="061CB3E8">
      <w:numFmt w:val="bullet"/>
      <w:lvlText w:val="•"/>
      <w:lvlJc w:val="left"/>
      <w:pPr>
        <w:ind w:left="8531" w:hanging="234"/>
      </w:pPr>
      <w:rPr>
        <w:rFonts w:hint="default"/>
        <w:lang w:val="es-ES" w:eastAsia="en-US" w:bidi="ar-SA"/>
      </w:rPr>
    </w:lvl>
  </w:abstractNum>
  <w:abstractNum w:abstractNumId="338" w15:restartNumberingAfterBreak="0">
    <w:nsid w:val="7C5E74AF"/>
    <w:multiLevelType w:val="hybridMultilevel"/>
    <w:tmpl w:val="3B741CD0"/>
    <w:lvl w:ilvl="0" w:tplc="973422F8">
      <w:start w:val="1"/>
      <w:numFmt w:val="decimal"/>
      <w:lvlText w:val="%1."/>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1" w:tplc="C99AB684">
      <w:start w:val="1"/>
      <w:numFmt w:val="lowerLetter"/>
      <w:lvlText w:val="%2)"/>
      <w:lvlJc w:val="left"/>
      <w:pPr>
        <w:ind w:left="1106" w:hanging="287"/>
        <w:jc w:val="left"/>
      </w:pPr>
      <w:rPr>
        <w:rFonts w:ascii="Arial MT" w:eastAsia="Arial MT" w:hAnsi="Arial MT" w:cs="Arial MT" w:hint="default"/>
        <w:b w:val="0"/>
        <w:bCs w:val="0"/>
        <w:i w:val="0"/>
        <w:iCs w:val="0"/>
        <w:spacing w:val="0"/>
        <w:w w:val="100"/>
        <w:sz w:val="20"/>
        <w:szCs w:val="20"/>
        <w:lang w:val="es-ES" w:eastAsia="en-US" w:bidi="ar-SA"/>
      </w:rPr>
    </w:lvl>
    <w:lvl w:ilvl="2" w:tplc="6892439A">
      <w:numFmt w:val="bullet"/>
      <w:lvlText w:val="•"/>
      <w:lvlJc w:val="left"/>
      <w:pPr>
        <w:ind w:left="2977" w:hanging="287"/>
      </w:pPr>
      <w:rPr>
        <w:rFonts w:hint="default"/>
        <w:lang w:val="es-ES" w:eastAsia="en-US" w:bidi="ar-SA"/>
      </w:rPr>
    </w:lvl>
    <w:lvl w:ilvl="3" w:tplc="F3E07BDA">
      <w:numFmt w:val="bullet"/>
      <w:lvlText w:val="•"/>
      <w:lvlJc w:val="left"/>
      <w:pPr>
        <w:ind w:left="3916" w:hanging="287"/>
      </w:pPr>
      <w:rPr>
        <w:rFonts w:hint="default"/>
        <w:lang w:val="es-ES" w:eastAsia="en-US" w:bidi="ar-SA"/>
      </w:rPr>
    </w:lvl>
    <w:lvl w:ilvl="4" w:tplc="DEEECC5A">
      <w:numFmt w:val="bullet"/>
      <w:lvlText w:val="•"/>
      <w:lvlJc w:val="left"/>
      <w:pPr>
        <w:ind w:left="4855" w:hanging="287"/>
      </w:pPr>
      <w:rPr>
        <w:rFonts w:hint="default"/>
        <w:lang w:val="es-ES" w:eastAsia="en-US" w:bidi="ar-SA"/>
      </w:rPr>
    </w:lvl>
    <w:lvl w:ilvl="5" w:tplc="3A321376">
      <w:numFmt w:val="bullet"/>
      <w:lvlText w:val="•"/>
      <w:lvlJc w:val="left"/>
      <w:pPr>
        <w:ind w:left="5794" w:hanging="287"/>
      </w:pPr>
      <w:rPr>
        <w:rFonts w:hint="default"/>
        <w:lang w:val="es-ES" w:eastAsia="en-US" w:bidi="ar-SA"/>
      </w:rPr>
    </w:lvl>
    <w:lvl w:ilvl="6" w:tplc="FB6C0FE4">
      <w:numFmt w:val="bullet"/>
      <w:lvlText w:val="•"/>
      <w:lvlJc w:val="left"/>
      <w:pPr>
        <w:ind w:left="6733" w:hanging="287"/>
      </w:pPr>
      <w:rPr>
        <w:rFonts w:hint="default"/>
        <w:lang w:val="es-ES" w:eastAsia="en-US" w:bidi="ar-SA"/>
      </w:rPr>
    </w:lvl>
    <w:lvl w:ilvl="7" w:tplc="180AAE26">
      <w:numFmt w:val="bullet"/>
      <w:lvlText w:val="•"/>
      <w:lvlJc w:val="left"/>
      <w:pPr>
        <w:ind w:left="7672" w:hanging="287"/>
      </w:pPr>
      <w:rPr>
        <w:rFonts w:hint="default"/>
        <w:lang w:val="es-ES" w:eastAsia="en-US" w:bidi="ar-SA"/>
      </w:rPr>
    </w:lvl>
    <w:lvl w:ilvl="8" w:tplc="8C1CB1C4">
      <w:numFmt w:val="bullet"/>
      <w:lvlText w:val="•"/>
      <w:lvlJc w:val="left"/>
      <w:pPr>
        <w:ind w:left="8611" w:hanging="287"/>
      </w:pPr>
      <w:rPr>
        <w:rFonts w:hint="default"/>
        <w:lang w:val="es-ES" w:eastAsia="en-US" w:bidi="ar-SA"/>
      </w:rPr>
    </w:lvl>
  </w:abstractNum>
  <w:abstractNum w:abstractNumId="339" w15:restartNumberingAfterBreak="0">
    <w:nsid w:val="7CA21690"/>
    <w:multiLevelType w:val="hybridMultilevel"/>
    <w:tmpl w:val="6D1E7E16"/>
    <w:lvl w:ilvl="0" w:tplc="7160E3F4">
      <w:start w:val="1"/>
      <w:numFmt w:val="decimal"/>
      <w:lvlText w:val="%1."/>
      <w:lvlJc w:val="left"/>
      <w:pPr>
        <w:ind w:left="1106" w:hanging="258"/>
        <w:jc w:val="left"/>
      </w:pPr>
      <w:rPr>
        <w:rFonts w:ascii="Arial MT" w:eastAsia="Arial MT" w:hAnsi="Arial MT" w:cs="Arial MT" w:hint="default"/>
        <w:b w:val="0"/>
        <w:bCs w:val="0"/>
        <w:i w:val="0"/>
        <w:iCs w:val="0"/>
        <w:spacing w:val="0"/>
        <w:w w:val="100"/>
        <w:sz w:val="20"/>
        <w:szCs w:val="20"/>
        <w:lang w:val="es-ES" w:eastAsia="en-US" w:bidi="ar-SA"/>
      </w:rPr>
    </w:lvl>
    <w:lvl w:ilvl="1" w:tplc="C88A02BC">
      <w:start w:val="1"/>
      <w:numFmt w:val="lowerLetter"/>
      <w:lvlText w:val="%2)"/>
      <w:lvlJc w:val="left"/>
      <w:pPr>
        <w:ind w:left="1106" w:hanging="237"/>
        <w:jc w:val="left"/>
      </w:pPr>
      <w:rPr>
        <w:rFonts w:ascii="Arial MT" w:eastAsia="Arial MT" w:hAnsi="Arial MT" w:cs="Arial MT" w:hint="default"/>
        <w:b w:val="0"/>
        <w:bCs w:val="0"/>
        <w:i w:val="0"/>
        <w:iCs w:val="0"/>
        <w:spacing w:val="0"/>
        <w:w w:val="100"/>
        <w:sz w:val="20"/>
        <w:szCs w:val="20"/>
        <w:lang w:val="es-ES" w:eastAsia="en-US" w:bidi="ar-SA"/>
      </w:rPr>
    </w:lvl>
    <w:lvl w:ilvl="2" w:tplc="3C3419BC">
      <w:numFmt w:val="bullet"/>
      <w:lvlText w:val="•"/>
      <w:lvlJc w:val="left"/>
      <w:pPr>
        <w:ind w:left="2977" w:hanging="237"/>
      </w:pPr>
      <w:rPr>
        <w:rFonts w:hint="default"/>
        <w:lang w:val="es-ES" w:eastAsia="en-US" w:bidi="ar-SA"/>
      </w:rPr>
    </w:lvl>
    <w:lvl w:ilvl="3" w:tplc="C2EC6E40">
      <w:numFmt w:val="bullet"/>
      <w:lvlText w:val="•"/>
      <w:lvlJc w:val="left"/>
      <w:pPr>
        <w:ind w:left="3916" w:hanging="237"/>
      </w:pPr>
      <w:rPr>
        <w:rFonts w:hint="default"/>
        <w:lang w:val="es-ES" w:eastAsia="en-US" w:bidi="ar-SA"/>
      </w:rPr>
    </w:lvl>
    <w:lvl w:ilvl="4" w:tplc="0B109F10">
      <w:numFmt w:val="bullet"/>
      <w:lvlText w:val="•"/>
      <w:lvlJc w:val="left"/>
      <w:pPr>
        <w:ind w:left="4855" w:hanging="237"/>
      </w:pPr>
      <w:rPr>
        <w:rFonts w:hint="default"/>
        <w:lang w:val="es-ES" w:eastAsia="en-US" w:bidi="ar-SA"/>
      </w:rPr>
    </w:lvl>
    <w:lvl w:ilvl="5" w:tplc="AA5C0780">
      <w:numFmt w:val="bullet"/>
      <w:lvlText w:val="•"/>
      <w:lvlJc w:val="left"/>
      <w:pPr>
        <w:ind w:left="5794" w:hanging="237"/>
      </w:pPr>
      <w:rPr>
        <w:rFonts w:hint="default"/>
        <w:lang w:val="es-ES" w:eastAsia="en-US" w:bidi="ar-SA"/>
      </w:rPr>
    </w:lvl>
    <w:lvl w:ilvl="6" w:tplc="010217EC">
      <w:numFmt w:val="bullet"/>
      <w:lvlText w:val="•"/>
      <w:lvlJc w:val="left"/>
      <w:pPr>
        <w:ind w:left="6733" w:hanging="237"/>
      </w:pPr>
      <w:rPr>
        <w:rFonts w:hint="default"/>
        <w:lang w:val="es-ES" w:eastAsia="en-US" w:bidi="ar-SA"/>
      </w:rPr>
    </w:lvl>
    <w:lvl w:ilvl="7" w:tplc="252EC4E2">
      <w:numFmt w:val="bullet"/>
      <w:lvlText w:val="•"/>
      <w:lvlJc w:val="left"/>
      <w:pPr>
        <w:ind w:left="7672" w:hanging="237"/>
      </w:pPr>
      <w:rPr>
        <w:rFonts w:hint="default"/>
        <w:lang w:val="es-ES" w:eastAsia="en-US" w:bidi="ar-SA"/>
      </w:rPr>
    </w:lvl>
    <w:lvl w:ilvl="8" w:tplc="930A4A76">
      <w:numFmt w:val="bullet"/>
      <w:lvlText w:val="•"/>
      <w:lvlJc w:val="left"/>
      <w:pPr>
        <w:ind w:left="8611" w:hanging="237"/>
      </w:pPr>
      <w:rPr>
        <w:rFonts w:hint="default"/>
        <w:lang w:val="es-ES" w:eastAsia="en-US" w:bidi="ar-SA"/>
      </w:rPr>
    </w:lvl>
  </w:abstractNum>
  <w:abstractNum w:abstractNumId="340" w15:restartNumberingAfterBreak="0">
    <w:nsid w:val="7CC26146"/>
    <w:multiLevelType w:val="hybridMultilevel"/>
    <w:tmpl w:val="24C4D8EA"/>
    <w:lvl w:ilvl="0" w:tplc="491AFA28">
      <w:start w:val="1"/>
      <w:numFmt w:val="decimal"/>
      <w:lvlText w:val="%1."/>
      <w:lvlJc w:val="left"/>
      <w:pPr>
        <w:ind w:left="1106" w:hanging="275"/>
        <w:jc w:val="left"/>
      </w:pPr>
      <w:rPr>
        <w:rFonts w:ascii="Arial MT" w:eastAsia="Arial MT" w:hAnsi="Arial MT" w:cs="Arial MT" w:hint="default"/>
        <w:b w:val="0"/>
        <w:bCs w:val="0"/>
        <w:i w:val="0"/>
        <w:iCs w:val="0"/>
        <w:spacing w:val="0"/>
        <w:w w:val="100"/>
        <w:sz w:val="20"/>
        <w:szCs w:val="20"/>
        <w:lang w:val="es-ES" w:eastAsia="en-US" w:bidi="ar-SA"/>
      </w:rPr>
    </w:lvl>
    <w:lvl w:ilvl="1" w:tplc="6D9679F8">
      <w:numFmt w:val="bullet"/>
      <w:lvlText w:val="•"/>
      <w:lvlJc w:val="left"/>
      <w:pPr>
        <w:ind w:left="2038" w:hanging="275"/>
      </w:pPr>
      <w:rPr>
        <w:rFonts w:hint="default"/>
        <w:lang w:val="es-ES" w:eastAsia="en-US" w:bidi="ar-SA"/>
      </w:rPr>
    </w:lvl>
    <w:lvl w:ilvl="2" w:tplc="7A50F1B2">
      <w:numFmt w:val="bullet"/>
      <w:lvlText w:val="•"/>
      <w:lvlJc w:val="left"/>
      <w:pPr>
        <w:ind w:left="2977" w:hanging="275"/>
      </w:pPr>
      <w:rPr>
        <w:rFonts w:hint="default"/>
        <w:lang w:val="es-ES" w:eastAsia="en-US" w:bidi="ar-SA"/>
      </w:rPr>
    </w:lvl>
    <w:lvl w:ilvl="3" w:tplc="E9F025B8">
      <w:numFmt w:val="bullet"/>
      <w:lvlText w:val="•"/>
      <w:lvlJc w:val="left"/>
      <w:pPr>
        <w:ind w:left="3916" w:hanging="275"/>
      </w:pPr>
      <w:rPr>
        <w:rFonts w:hint="default"/>
        <w:lang w:val="es-ES" w:eastAsia="en-US" w:bidi="ar-SA"/>
      </w:rPr>
    </w:lvl>
    <w:lvl w:ilvl="4" w:tplc="865E6C8C">
      <w:numFmt w:val="bullet"/>
      <w:lvlText w:val="•"/>
      <w:lvlJc w:val="left"/>
      <w:pPr>
        <w:ind w:left="4855" w:hanging="275"/>
      </w:pPr>
      <w:rPr>
        <w:rFonts w:hint="default"/>
        <w:lang w:val="es-ES" w:eastAsia="en-US" w:bidi="ar-SA"/>
      </w:rPr>
    </w:lvl>
    <w:lvl w:ilvl="5" w:tplc="D4F0AB0E">
      <w:numFmt w:val="bullet"/>
      <w:lvlText w:val="•"/>
      <w:lvlJc w:val="left"/>
      <w:pPr>
        <w:ind w:left="5794" w:hanging="275"/>
      </w:pPr>
      <w:rPr>
        <w:rFonts w:hint="default"/>
        <w:lang w:val="es-ES" w:eastAsia="en-US" w:bidi="ar-SA"/>
      </w:rPr>
    </w:lvl>
    <w:lvl w:ilvl="6" w:tplc="D5E671C0">
      <w:numFmt w:val="bullet"/>
      <w:lvlText w:val="•"/>
      <w:lvlJc w:val="left"/>
      <w:pPr>
        <w:ind w:left="6733" w:hanging="275"/>
      </w:pPr>
      <w:rPr>
        <w:rFonts w:hint="default"/>
        <w:lang w:val="es-ES" w:eastAsia="en-US" w:bidi="ar-SA"/>
      </w:rPr>
    </w:lvl>
    <w:lvl w:ilvl="7" w:tplc="6C42A112">
      <w:numFmt w:val="bullet"/>
      <w:lvlText w:val="•"/>
      <w:lvlJc w:val="left"/>
      <w:pPr>
        <w:ind w:left="7672" w:hanging="275"/>
      </w:pPr>
      <w:rPr>
        <w:rFonts w:hint="default"/>
        <w:lang w:val="es-ES" w:eastAsia="en-US" w:bidi="ar-SA"/>
      </w:rPr>
    </w:lvl>
    <w:lvl w:ilvl="8" w:tplc="CE145CA4">
      <w:numFmt w:val="bullet"/>
      <w:lvlText w:val="•"/>
      <w:lvlJc w:val="left"/>
      <w:pPr>
        <w:ind w:left="8611" w:hanging="275"/>
      </w:pPr>
      <w:rPr>
        <w:rFonts w:hint="default"/>
        <w:lang w:val="es-ES" w:eastAsia="en-US" w:bidi="ar-SA"/>
      </w:rPr>
    </w:lvl>
  </w:abstractNum>
  <w:abstractNum w:abstractNumId="341" w15:restartNumberingAfterBreak="0">
    <w:nsid w:val="7CD6733A"/>
    <w:multiLevelType w:val="hybridMultilevel"/>
    <w:tmpl w:val="B52CF75A"/>
    <w:lvl w:ilvl="0" w:tplc="C892070C">
      <w:start w:val="1"/>
      <w:numFmt w:val="decimal"/>
      <w:lvlText w:val="%1."/>
      <w:lvlJc w:val="left"/>
      <w:pPr>
        <w:ind w:left="1106" w:hanging="255"/>
        <w:jc w:val="left"/>
      </w:pPr>
      <w:rPr>
        <w:rFonts w:ascii="Arial MT" w:eastAsia="Arial MT" w:hAnsi="Arial MT" w:cs="Arial MT" w:hint="default"/>
        <w:b w:val="0"/>
        <w:bCs w:val="0"/>
        <w:i w:val="0"/>
        <w:iCs w:val="0"/>
        <w:spacing w:val="0"/>
        <w:w w:val="100"/>
        <w:sz w:val="20"/>
        <w:szCs w:val="20"/>
        <w:lang w:val="es-ES" w:eastAsia="en-US" w:bidi="ar-SA"/>
      </w:rPr>
    </w:lvl>
    <w:lvl w:ilvl="1" w:tplc="C96493C6">
      <w:numFmt w:val="bullet"/>
      <w:lvlText w:val="•"/>
      <w:lvlJc w:val="left"/>
      <w:pPr>
        <w:ind w:left="2038" w:hanging="255"/>
      </w:pPr>
      <w:rPr>
        <w:rFonts w:hint="default"/>
        <w:lang w:val="es-ES" w:eastAsia="en-US" w:bidi="ar-SA"/>
      </w:rPr>
    </w:lvl>
    <w:lvl w:ilvl="2" w:tplc="999C8E64">
      <w:numFmt w:val="bullet"/>
      <w:lvlText w:val="•"/>
      <w:lvlJc w:val="left"/>
      <w:pPr>
        <w:ind w:left="2977" w:hanging="255"/>
      </w:pPr>
      <w:rPr>
        <w:rFonts w:hint="default"/>
        <w:lang w:val="es-ES" w:eastAsia="en-US" w:bidi="ar-SA"/>
      </w:rPr>
    </w:lvl>
    <w:lvl w:ilvl="3" w:tplc="09ECF792">
      <w:numFmt w:val="bullet"/>
      <w:lvlText w:val="•"/>
      <w:lvlJc w:val="left"/>
      <w:pPr>
        <w:ind w:left="3916" w:hanging="255"/>
      </w:pPr>
      <w:rPr>
        <w:rFonts w:hint="default"/>
        <w:lang w:val="es-ES" w:eastAsia="en-US" w:bidi="ar-SA"/>
      </w:rPr>
    </w:lvl>
    <w:lvl w:ilvl="4" w:tplc="20FA9B76">
      <w:numFmt w:val="bullet"/>
      <w:lvlText w:val="•"/>
      <w:lvlJc w:val="left"/>
      <w:pPr>
        <w:ind w:left="4855" w:hanging="255"/>
      </w:pPr>
      <w:rPr>
        <w:rFonts w:hint="default"/>
        <w:lang w:val="es-ES" w:eastAsia="en-US" w:bidi="ar-SA"/>
      </w:rPr>
    </w:lvl>
    <w:lvl w:ilvl="5" w:tplc="69D803FC">
      <w:numFmt w:val="bullet"/>
      <w:lvlText w:val="•"/>
      <w:lvlJc w:val="left"/>
      <w:pPr>
        <w:ind w:left="5794" w:hanging="255"/>
      </w:pPr>
      <w:rPr>
        <w:rFonts w:hint="default"/>
        <w:lang w:val="es-ES" w:eastAsia="en-US" w:bidi="ar-SA"/>
      </w:rPr>
    </w:lvl>
    <w:lvl w:ilvl="6" w:tplc="1854D7D2">
      <w:numFmt w:val="bullet"/>
      <w:lvlText w:val="•"/>
      <w:lvlJc w:val="left"/>
      <w:pPr>
        <w:ind w:left="6733" w:hanging="255"/>
      </w:pPr>
      <w:rPr>
        <w:rFonts w:hint="default"/>
        <w:lang w:val="es-ES" w:eastAsia="en-US" w:bidi="ar-SA"/>
      </w:rPr>
    </w:lvl>
    <w:lvl w:ilvl="7" w:tplc="399A3E96">
      <w:numFmt w:val="bullet"/>
      <w:lvlText w:val="•"/>
      <w:lvlJc w:val="left"/>
      <w:pPr>
        <w:ind w:left="7672" w:hanging="255"/>
      </w:pPr>
      <w:rPr>
        <w:rFonts w:hint="default"/>
        <w:lang w:val="es-ES" w:eastAsia="en-US" w:bidi="ar-SA"/>
      </w:rPr>
    </w:lvl>
    <w:lvl w:ilvl="8" w:tplc="8B409458">
      <w:numFmt w:val="bullet"/>
      <w:lvlText w:val="•"/>
      <w:lvlJc w:val="left"/>
      <w:pPr>
        <w:ind w:left="8611" w:hanging="255"/>
      </w:pPr>
      <w:rPr>
        <w:rFonts w:hint="default"/>
        <w:lang w:val="es-ES" w:eastAsia="en-US" w:bidi="ar-SA"/>
      </w:rPr>
    </w:lvl>
  </w:abstractNum>
  <w:abstractNum w:abstractNumId="342" w15:restartNumberingAfterBreak="0">
    <w:nsid w:val="7D27190C"/>
    <w:multiLevelType w:val="hybridMultilevel"/>
    <w:tmpl w:val="514C3A66"/>
    <w:lvl w:ilvl="0" w:tplc="A8683610">
      <w:start w:val="1"/>
      <w:numFmt w:val="decimal"/>
      <w:lvlText w:val="%1."/>
      <w:lvlJc w:val="left"/>
      <w:pPr>
        <w:ind w:left="1106" w:hanging="290"/>
        <w:jc w:val="left"/>
      </w:pPr>
      <w:rPr>
        <w:rFonts w:ascii="Arial MT" w:eastAsia="Arial MT" w:hAnsi="Arial MT" w:cs="Arial MT" w:hint="default"/>
        <w:b w:val="0"/>
        <w:bCs w:val="0"/>
        <w:i w:val="0"/>
        <w:iCs w:val="0"/>
        <w:spacing w:val="0"/>
        <w:w w:val="100"/>
        <w:sz w:val="20"/>
        <w:szCs w:val="20"/>
        <w:lang w:val="es-ES" w:eastAsia="en-US" w:bidi="ar-SA"/>
      </w:rPr>
    </w:lvl>
    <w:lvl w:ilvl="1" w:tplc="542A30A4">
      <w:start w:val="1"/>
      <w:numFmt w:val="lowerLetter"/>
      <w:lvlText w:val="%2)"/>
      <w:lvlJc w:val="left"/>
      <w:pPr>
        <w:ind w:left="1106" w:hanging="279"/>
        <w:jc w:val="left"/>
      </w:pPr>
      <w:rPr>
        <w:rFonts w:ascii="Arial MT" w:eastAsia="Arial MT" w:hAnsi="Arial MT" w:cs="Arial MT" w:hint="default"/>
        <w:b w:val="0"/>
        <w:bCs w:val="0"/>
        <w:i w:val="0"/>
        <w:iCs w:val="0"/>
        <w:spacing w:val="0"/>
        <w:w w:val="100"/>
        <w:sz w:val="20"/>
        <w:szCs w:val="20"/>
        <w:lang w:val="es-ES" w:eastAsia="en-US" w:bidi="ar-SA"/>
      </w:rPr>
    </w:lvl>
    <w:lvl w:ilvl="2" w:tplc="637CEB0E">
      <w:numFmt w:val="bullet"/>
      <w:lvlText w:val="•"/>
      <w:lvlJc w:val="left"/>
      <w:pPr>
        <w:ind w:left="2977" w:hanging="279"/>
      </w:pPr>
      <w:rPr>
        <w:rFonts w:hint="default"/>
        <w:lang w:val="es-ES" w:eastAsia="en-US" w:bidi="ar-SA"/>
      </w:rPr>
    </w:lvl>
    <w:lvl w:ilvl="3" w:tplc="3F4EFC34">
      <w:numFmt w:val="bullet"/>
      <w:lvlText w:val="•"/>
      <w:lvlJc w:val="left"/>
      <w:pPr>
        <w:ind w:left="3916" w:hanging="279"/>
      </w:pPr>
      <w:rPr>
        <w:rFonts w:hint="default"/>
        <w:lang w:val="es-ES" w:eastAsia="en-US" w:bidi="ar-SA"/>
      </w:rPr>
    </w:lvl>
    <w:lvl w:ilvl="4" w:tplc="1B8ABDDC">
      <w:numFmt w:val="bullet"/>
      <w:lvlText w:val="•"/>
      <w:lvlJc w:val="left"/>
      <w:pPr>
        <w:ind w:left="4855" w:hanging="279"/>
      </w:pPr>
      <w:rPr>
        <w:rFonts w:hint="default"/>
        <w:lang w:val="es-ES" w:eastAsia="en-US" w:bidi="ar-SA"/>
      </w:rPr>
    </w:lvl>
    <w:lvl w:ilvl="5" w:tplc="5C5E18E0">
      <w:numFmt w:val="bullet"/>
      <w:lvlText w:val="•"/>
      <w:lvlJc w:val="left"/>
      <w:pPr>
        <w:ind w:left="5794" w:hanging="279"/>
      </w:pPr>
      <w:rPr>
        <w:rFonts w:hint="default"/>
        <w:lang w:val="es-ES" w:eastAsia="en-US" w:bidi="ar-SA"/>
      </w:rPr>
    </w:lvl>
    <w:lvl w:ilvl="6" w:tplc="BB0404A0">
      <w:numFmt w:val="bullet"/>
      <w:lvlText w:val="•"/>
      <w:lvlJc w:val="left"/>
      <w:pPr>
        <w:ind w:left="6733" w:hanging="279"/>
      </w:pPr>
      <w:rPr>
        <w:rFonts w:hint="default"/>
        <w:lang w:val="es-ES" w:eastAsia="en-US" w:bidi="ar-SA"/>
      </w:rPr>
    </w:lvl>
    <w:lvl w:ilvl="7" w:tplc="D2582C9C">
      <w:numFmt w:val="bullet"/>
      <w:lvlText w:val="•"/>
      <w:lvlJc w:val="left"/>
      <w:pPr>
        <w:ind w:left="7672" w:hanging="279"/>
      </w:pPr>
      <w:rPr>
        <w:rFonts w:hint="default"/>
        <w:lang w:val="es-ES" w:eastAsia="en-US" w:bidi="ar-SA"/>
      </w:rPr>
    </w:lvl>
    <w:lvl w:ilvl="8" w:tplc="B060E4AE">
      <w:numFmt w:val="bullet"/>
      <w:lvlText w:val="•"/>
      <w:lvlJc w:val="left"/>
      <w:pPr>
        <w:ind w:left="8611" w:hanging="279"/>
      </w:pPr>
      <w:rPr>
        <w:rFonts w:hint="default"/>
        <w:lang w:val="es-ES" w:eastAsia="en-US" w:bidi="ar-SA"/>
      </w:rPr>
    </w:lvl>
  </w:abstractNum>
  <w:abstractNum w:abstractNumId="343" w15:restartNumberingAfterBreak="0">
    <w:nsid w:val="7DAF67DC"/>
    <w:multiLevelType w:val="hybridMultilevel"/>
    <w:tmpl w:val="65B42EF2"/>
    <w:lvl w:ilvl="0" w:tplc="6D560B98">
      <w:start w:val="1"/>
      <w:numFmt w:val="decimal"/>
      <w:lvlText w:val="%1."/>
      <w:lvlJc w:val="left"/>
      <w:pPr>
        <w:ind w:left="1106" w:hanging="293"/>
        <w:jc w:val="left"/>
      </w:pPr>
      <w:rPr>
        <w:rFonts w:ascii="Arial MT" w:eastAsia="Arial MT" w:hAnsi="Arial MT" w:cs="Arial MT" w:hint="default"/>
        <w:b w:val="0"/>
        <w:bCs w:val="0"/>
        <w:i w:val="0"/>
        <w:iCs w:val="0"/>
        <w:spacing w:val="0"/>
        <w:w w:val="100"/>
        <w:sz w:val="20"/>
        <w:szCs w:val="20"/>
        <w:lang w:val="es-ES" w:eastAsia="en-US" w:bidi="ar-SA"/>
      </w:rPr>
    </w:lvl>
    <w:lvl w:ilvl="1" w:tplc="373A1370">
      <w:start w:val="1"/>
      <w:numFmt w:val="lowerLetter"/>
      <w:lvlText w:val="%2)"/>
      <w:lvlJc w:val="left"/>
      <w:pPr>
        <w:ind w:left="1106" w:hanging="342"/>
        <w:jc w:val="left"/>
      </w:pPr>
      <w:rPr>
        <w:rFonts w:ascii="Arial MT" w:eastAsia="Arial MT" w:hAnsi="Arial MT" w:cs="Arial MT" w:hint="default"/>
        <w:b w:val="0"/>
        <w:bCs w:val="0"/>
        <w:i w:val="0"/>
        <w:iCs w:val="0"/>
        <w:spacing w:val="0"/>
        <w:w w:val="100"/>
        <w:sz w:val="20"/>
        <w:szCs w:val="20"/>
        <w:lang w:val="es-ES" w:eastAsia="en-US" w:bidi="ar-SA"/>
      </w:rPr>
    </w:lvl>
    <w:lvl w:ilvl="2" w:tplc="1F50C80A">
      <w:numFmt w:val="bullet"/>
      <w:lvlText w:val="•"/>
      <w:lvlJc w:val="left"/>
      <w:pPr>
        <w:ind w:left="2977" w:hanging="342"/>
      </w:pPr>
      <w:rPr>
        <w:rFonts w:hint="default"/>
        <w:lang w:val="es-ES" w:eastAsia="en-US" w:bidi="ar-SA"/>
      </w:rPr>
    </w:lvl>
    <w:lvl w:ilvl="3" w:tplc="BEF695B8">
      <w:numFmt w:val="bullet"/>
      <w:lvlText w:val="•"/>
      <w:lvlJc w:val="left"/>
      <w:pPr>
        <w:ind w:left="3916" w:hanging="342"/>
      </w:pPr>
      <w:rPr>
        <w:rFonts w:hint="default"/>
        <w:lang w:val="es-ES" w:eastAsia="en-US" w:bidi="ar-SA"/>
      </w:rPr>
    </w:lvl>
    <w:lvl w:ilvl="4" w:tplc="6150C27C">
      <w:numFmt w:val="bullet"/>
      <w:lvlText w:val="•"/>
      <w:lvlJc w:val="left"/>
      <w:pPr>
        <w:ind w:left="4855" w:hanging="342"/>
      </w:pPr>
      <w:rPr>
        <w:rFonts w:hint="default"/>
        <w:lang w:val="es-ES" w:eastAsia="en-US" w:bidi="ar-SA"/>
      </w:rPr>
    </w:lvl>
    <w:lvl w:ilvl="5" w:tplc="80E07418">
      <w:numFmt w:val="bullet"/>
      <w:lvlText w:val="•"/>
      <w:lvlJc w:val="left"/>
      <w:pPr>
        <w:ind w:left="5794" w:hanging="342"/>
      </w:pPr>
      <w:rPr>
        <w:rFonts w:hint="default"/>
        <w:lang w:val="es-ES" w:eastAsia="en-US" w:bidi="ar-SA"/>
      </w:rPr>
    </w:lvl>
    <w:lvl w:ilvl="6" w:tplc="22C4027C">
      <w:numFmt w:val="bullet"/>
      <w:lvlText w:val="•"/>
      <w:lvlJc w:val="left"/>
      <w:pPr>
        <w:ind w:left="6733" w:hanging="342"/>
      </w:pPr>
      <w:rPr>
        <w:rFonts w:hint="default"/>
        <w:lang w:val="es-ES" w:eastAsia="en-US" w:bidi="ar-SA"/>
      </w:rPr>
    </w:lvl>
    <w:lvl w:ilvl="7" w:tplc="BE881A70">
      <w:numFmt w:val="bullet"/>
      <w:lvlText w:val="•"/>
      <w:lvlJc w:val="left"/>
      <w:pPr>
        <w:ind w:left="7672" w:hanging="342"/>
      </w:pPr>
      <w:rPr>
        <w:rFonts w:hint="default"/>
        <w:lang w:val="es-ES" w:eastAsia="en-US" w:bidi="ar-SA"/>
      </w:rPr>
    </w:lvl>
    <w:lvl w:ilvl="8" w:tplc="79C05F50">
      <w:numFmt w:val="bullet"/>
      <w:lvlText w:val="•"/>
      <w:lvlJc w:val="left"/>
      <w:pPr>
        <w:ind w:left="8611" w:hanging="342"/>
      </w:pPr>
      <w:rPr>
        <w:rFonts w:hint="default"/>
        <w:lang w:val="es-ES" w:eastAsia="en-US" w:bidi="ar-SA"/>
      </w:rPr>
    </w:lvl>
  </w:abstractNum>
  <w:abstractNum w:abstractNumId="344" w15:restartNumberingAfterBreak="0">
    <w:nsid w:val="7DE17EA9"/>
    <w:multiLevelType w:val="hybridMultilevel"/>
    <w:tmpl w:val="DF8CBA9E"/>
    <w:lvl w:ilvl="0" w:tplc="CF08DCBC">
      <w:start w:val="1"/>
      <w:numFmt w:val="decimal"/>
      <w:lvlText w:val="%1."/>
      <w:lvlJc w:val="left"/>
      <w:pPr>
        <w:ind w:left="1106" w:hanging="282"/>
        <w:jc w:val="left"/>
      </w:pPr>
      <w:rPr>
        <w:rFonts w:ascii="Arial MT" w:eastAsia="Arial MT" w:hAnsi="Arial MT" w:cs="Arial MT" w:hint="default"/>
        <w:b w:val="0"/>
        <w:bCs w:val="0"/>
        <w:i w:val="0"/>
        <w:iCs w:val="0"/>
        <w:spacing w:val="0"/>
        <w:w w:val="100"/>
        <w:sz w:val="20"/>
        <w:szCs w:val="20"/>
        <w:lang w:val="es-ES" w:eastAsia="en-US" w:bidi="ar-SA"/>
      </w:rPr>
    </w:lvl>
    <w:lvl w:ilvl="1" w:tplc="AE5212A0">
      <w:start w:val="1"/>
      <w:numFmt w:val="lowerLetter"/>
      <w:lvlText w:val="%2)"/>
      <w:lvlJc w:val="left"/>
      <w:pPr>
        <w:ind w:left="1106" w:hanging="339"/>
        <w:jc w:val="left"/>
      </w:pPr>
      <w:rPr>
        <w:rFonts w:ascii="Arial MT" w:eastAsia="Arial MT" w:hAnsi="Arial MT" w:cs="Arial MT" w:hint="default"/>
        <w:b w:val="0"/>
        <w:bCs w:val="0"/>
        <w:i w:val="0"/>
        <w:iCs w:val="0"/>
        <w:spacing w:val="0"/>
        <w:w w:val="100"/>
        <w:sz w:val="20"/>
        <w:szCs w:val="20"/>
        <w:lang w:val="es-ES" w:eastAsia="en-US" w:bidi="ar-SA"/>
      </w:rPr>
    </w:lvl>
    <w:lvl w:ilvl="2" w:tplc="E1145FA4">
      <w:numFmt w:val="bullet"/>
      <w:lvlText w:val="•"/>
      <w:lvlJc w:val="left"/>
      <w:pPr>
        <w:ind w:left="2977" w:hanging="339"/>
      </w:pPr>
      <w:rPr>
        <w:rFonts w:hint="default"/>
        <w:lang w:val="es-ES" w:eastAsia="en-US" w:bidi="ar-SA"/>
      </w:rPr>
    </w:lvl>
    <w:lvl w:ilvl="3" w:tplc="7EECA580">
      <w:numFmt w:val="bullet"/>
      <w:lvlText w:val="•"/>
      <w:lvlJc w:val="left"/>
      <w:pPr>
        <w:ind w:left="3916" w:hanging="339"/>
      </w:pPr>
      <w:rPr>
        <w:rFonts w:hint="default"/>
        <w:lang w:val="es-ES" w:eastAsia="en-US" w:bidi="ar-SA"/>
      </w:rPr>
    </w:lvl>
    <w:lvl w:ilvl="4" w:tplc="CB586452">
      <w:numFmt w:val="bullet"/>
      <w:lvlText w:val="•"/>
      <w:lvlJc w:val="left"/>
      <w:pPr>
        <w:ind w:left="4855" w:hanging="339"/>
      </w:pPr>
      <w:rPr>
        <w:rFonts w:hint="default"/>
        <w:lang w:val="es-ES" w:eastAsia="en-US" w:bidi="ar-SA"/>
      </w:rPr>
    </w:lvl>
    <w:lvl w:ilvl="5" w:tplc="1DE4F696">
      <w:numFmt w:val="bullet"/>
      <w:lvlText w:val="•"/>
      <w:lvlJc w:val="left"/>
      <w:pPr>
        <w:ind w:left="5794" w:hanging="339"/>
      </w:pPr>
      <w:rPr>
        <w:rFonts w:hint="default"/>
        <w:lang w:val="es-ES" w:eastAsia="en-US" w:bidi="ar-SA"/>
      </w:rPr>
    </w:lvl>
    <w:lvl w:ilvl="6" w:tplc="910ABE18">
      <w:numFmt w:val="bullet"/>
      <w:lvlText w:val="•"/>
      <w:lvlJc w:val="left"/>
      <w:pPr>
        <w:ind w:left="6733" w:hanging="339"/>
      </w:pPr>
      <w:rPr>
        <w:rFonts w:hint="default"/>
        <w:lang w:val="es-ES" w:eastAsia="en-US" w:bidi="ar-SA"/>
      </w:rPr>
    </w:lvl>
    <w:lvl w:ilvl="7" w:tplc="3D7891E2">
      <w:numFmt w:val="bullet"/>
      <w:lvlText w:val="•"/>
      <w:lvlJc w:val="left"/>
      <w:pPr>
        <w:ind w:left="7672" w:hanging="339"/>
      </w:pPr>
      <w:rPr>
        <w:rFonts w:hint="default"/>
        <w:lang w:val="es-ES" w:eastAsia="en-US" w:bidi="ar-SA"/>
      </w:rPr>
    </w:lvl>
    <w:lvl w:ilvl="8" w:tplc="3746D6DE">
      <w:numFmt w:val="bullet"/>
      <w:lvlText w:val="•"/>
      <w:lvlJc w:val="left"/>
      <w:pPr>
        <w:ind w:left="8611" w:hanging="339"/>
      </w:pPr>
      <w:rPr>
        <w:rFonts w:hint="default"/>
        <w:lang w:val="es-ES" w:eastAsia="en-US" w:bidi="ar-SA"/>
      </w:rPr>
    </w:lvl>
  </w:abstractNum>
  <w:abstractNum w:abstractNumId="345" w15:restartNumberingAfterBreak="0">
    <w:nsid w:val="7E4568EE"/>
    <w:multiLevelType w:val="hybridMultilevel"/>
    <w:tmpl w:val="6C2C3A06"/>
    <w:lvl w:ilvl="0" w:tplc="5DEECCBE">
      <w:start w:val="1"/>
      <w:numFmt w:val="decimal"/>
      <w:lvlText w:val="%1."/>
      <w:lvlJc w:val="left"/>
      <w:pPr>
        <w:ind w:left="1106" w:hanging="251"/>
        <w:jc w:val="left"/>
      </w:pPr>
      <w:rPr>
        <w:rFonts w:ascii="Arial MT" w:eastAsia="Arial MT" w:hAnsi="Arial MT" w:cs="Arial MT" w:hint="default"/>
        <w:b w:val="0"/>
        <w:bCs w:val="0"/>
        <w:i w:val="0"/>
        <w:iCs w:val="0"/>
        <w:spacing w:val="0"/>
        <w:w w:val="100"/>
        <w:sz w:val="20"/>
        <w:szCs w:val="20"/>
        <w:lang w:val="es-ES" w:eastAsia="en-US" w:bidi="ar-SA"/>
      </w:rPr>
    </w:lvl>
    <w:lvl w:ilvl="1" w:tplc="4F888BE4">
      <w:numFmt w:val="bullet"/>
      <w:lvlText w:val="•"/>
      <w:lvlJc w:val="left"/>
      <w:pPr>
        <w:ind w:left="2038" w:hanging="251"/>
      </w:pPr>
      <w:rPr>
        <w:rFonts w:hint="default"/>
        <w:lang w:val="es-ES" w:eastAsia="en-US" w:bidi="ar-SA"/>
      </w:rPr>
    </w:lvl>
    <w:lvl w:ilvl="2" w:tplc="50F63D94">
      <w:numFmt w:val="bullet"/>
      <w:lvlText w:val="•"/>
      <w:lvlJc w:val="left"/>
      <w:pPr>
        <w:ind w:left="2977" w:hanging="251"/>
      </w:pPr>
      <w:rPr>
        <w:rFonts w:hint="default"/>
        <w:lang w:val="es-ES" w:eastAsia="en-US" w:bidi="ar-SA"/>
      </w:rPr>
    </w:lvl>
    <w:lvl w:ilvl="3" w:tplc="B8FE7BE0">
      <w:numFmt w:val="bullet"/>
      <w:lvlText w:val="•"/>
      <w:lvlJc w:val="left"/>
      <w:pPr>
        <w:ind w:left="3916" w:hanging="251"/>
      </w:pPr>
      <w:rPr>
        <w:rFonts w:hint="default"/>
        <w:lang w:val="es-ES" w:eastAsia="en-US" w:bidi="ar-SA"/>
      </w:rPr>
    </w:lvl>
    <w:lvl w:ilvl="4" w:tplc="C9EE6408">
      <w:numFmt w:val="bullet"/>
      <w:lvlText w:val="•"/>
      <w:lvlJc w:val="left"/>
      <w:pPr>
        <w:ind w:left="4855" w:hanging="251"/>
      </w:pPr>
      <w:rPr>
        <w:rFonts w:hint="default"/>
        <w:lang w:val="es-ES" w:eastAsia="en-US" w:bidi="ar-SA"/>
      </w:rPr>
    </w:lvl>
    <w:lvl w:ilvl="5" w:tplc="DE7030B0">
      <w:numFmt w:val="bullet"/>
      <w:lvlText w:val="•"/>
      <w:lvlJc w:val="left"/>
      <w:pPr>
        <w:ind w:left="5794" w:hanging="251"/>
      </w:pPr>
      <w:rPr>
        <w:rFonts w:hint="default"/>
        <w:lang w:val="es-ES" w:eastAsia="en-US" w:bidi="ar-SA"/>
      </w:rPr>
    </w:lvl>
    <w:lvl w:ilvl="6" w:tplc="272ADA02">
      <w:numFmt w:val="bullet"/>
      <w:lvlText w:val="•"/>
      <w:lvlJc w:val="left"/>
      <w:pPr>
        <w:ind w:left="6733" w:hanging="251"/>
      </w:pPr>
      <w:rPr>
        <w:rFonts w:hint="default"/>
        <w:lang w:val="es-ES" w:eastAsia="en-US" w:bidi="ar-SA"/>
      </w:rPr>
    </w:lvl>
    <w:lvl w:ilvl="7" w:tplc="1D9A1758">
      <w:numFmt w:val="bullet"/>
      <w:lvlText w:val="•"/>
      <w:lvlJc w:val="left"/>
      <w:pPr>
        <w:ind w:left="7672" w:hanging="251"/>
      </w:pPr>
      <w:rPr>
        <w:rFonts w:hint="default"/>
        <w:lang w:val="es-ES" w:eastAsia="en-US" w:bidi="ar-SA"/>
      </w:rPr>
    </w:lvl>
    <w:lvl w:ilvl="8" w:tplc="E7B234C8">
      <w:numFmt w:val="bullet"/>
      <w:lvlText w:val="•"/>
      <w:lvlJc w:val="left"/>
      <w:pPr>
        <w:ind w:left="8611" w:hanging="251"/>
      </w:pPr>
      <w:rPr>
        <w:rFonts w:hint="default"/>
        <w:lang w:val="es-ES" w:eastAsia="en-US" w:bidi="ar-SA"/>
      </w:rPr>
    </w:lvl>
  </w:abstractNum>
  <w:abstractNum w:abstractNumId="346" w15:restartNumberingAfterBreak="0">
    <w:nsid w:val="7F0423E3"/>
    <w:multiLevelType w:val="hybridMultilevel"/>
    <w:tmpl w:val="02D88D80"/>
    <w:lvl w:ilvl="0" w:tplc="CCC0673E">
      <w:start w:val="1"/>
      <w:numFmt w:val="decimal"/>
      <w:lvlText w:val="%1."/>
      <w:lvlJc w:val="left"/>
      <w:pPr>
        <w:ind w:left="1106" w:hanging="270"/>
        <w:jc w:val="left"/>
      </w:pPr>
      <w:rPr>
        <w:rFonts w:ascii="Arial MT" w:eastAsia="Arial MT" w:hAnsi="Arial MT" w:cs="Arial MT" w:hint="default"/>
        <w:b w:val="0"/>
        <w:bCs w:val="0"/>
        <w:i w:val="0"/>
        <w:iCs w:val="0"/>
        <w:spacing w:val="0"/>
        <w:w w:val="100"/>
        <w:sz w:val="20"/>
        <w:szCs w:val="20"/>
        <w:lang w:val="es-ES" w:eastAsia="en-US" w:bidi="ar-SA"/>
      </w:rPr>
    </w:lvl>
    <w:lvl w:ilvl="1" w:tplc="37922C3A">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F662D042">
      <w:numFmt w:val="bullet"/>
      <w:lvlText w:val="•"/>
      <w:lvlJc w:val="left"/>
      <w:pPr>
        <w:ind w:left="2658" w:hanging="234"/>
      </w:pPr>
      <w:rPr>
        <w:rFonts w:hint="default"/>
        <w:lang w:val="es-ES" w:eastAsia="en-US" w:bidi="ar-SA"/>
      </w:rPr>
    </w:lvl>
    <w:lvl w:ilvl="3" w:tplc="25163D10">
      <w:numFmt w:val="bullet"/>
      <w:lvlText w:val="•"/>
      <w:lvlJc w:val="left"/>
      <w:pPr>
        <w:ind w:left="3637" w:hanging="234"/>
      </w:pPr>
      <w:rPr>
        <w:rFonts w:hint="default"/>
        <w:lang w:val="es-ES" w:eastAsia="en-US" w:bidi="ar-SA"/>
      </w:rPr>
    </w:lvl>
    <w:lvl w:ilvl="4" w:tplc="1D56CA9E">
      <w:numFmt w:val="bullet"/>
      <w:lvlText w:val="•"/>
      <w:lvlJc w:val="left"/>
      <w:pPr>
        <w:ind w:left="4616" w:hanging="234"/>
      </w:pPr>
      <w:rPr>
        <w:rFonts w:hint="default"/>
        <w:lang w:val="es-ES" w:eastAsia="en-US" w:bidi="ar-SA"/>
      </w:rPr>
    </w:lvl>
    <w:lvl w:ilvl="5" w:tplc="C372A0FE">
      <w:numFmt w:val="bullet"/>
      <w:lvlText w:val="•"/>
      <w:lvlJc w:val="left"/>
      <w:pPr>
        <w:ind w:left="5595" w:hanging="234"/>
      </w:pPr>
      <w:rPr>
        <w:rFonts w:hint="default"/>
        <w:lang w:val="es-ES" w:eastAsia="en-US" w:bidi="ar-SA"/>
      </w:rPr>
    </w:lvl>
    <w:lvl w:ilvl="6" w:tplc="D93A0A1E">
      <w:numFmt w:val="bullet"/>
      <w:lvlText w:val="•"/>
      <w:lvlJc w:val="left"/>
      <w:pPr>
        <w:ind w:left="6574" w:hanging="234"/>
      </w:pPr>
      <w:rPr>
        <w:rFonts w:hint="default"/>
        <w:lang w:val="es-ES" w:eastAsia="en-US" w:bidi="ar-SA"/>
      </w:rPr>
    </w:lvl>
    <w:lvl w:ilvl="7" w:tplc="6A5A71F4">
      <w:numFmt w:val="bullet"/>
      <w:lvlText w:val="•"/>
      <w:lvlJc w:val="left"/>
      <w:pPr>
        <w:ind w:left="7553" w:hanging="234"/>
      </w:pPr>
      <w:rPr>
        <w:rFonts w:hint="default"/>
        <w:lang w:val="es-ES" w:eastAsia="en-US" w:bidi="ar-SA"/>
      </w:rPr>
    </w:lvl>
    <w:lvl w:ilvl="8" w:tplc="1C5E9F96">
      <w:numFmt w:val="bullet"/>
      <w:lvlText w:val="•"/>
      <w:lvlJc w:val="left"/>
      <w:pPr>
        <w:ind w:left="8531" w:hanging="234"/>
      </w:pPr>
      <w:rPr>
        <w:rFonts w:hint="default"/>
        <w:lang w:val="es-ES" w:eastAsia="en-US" w:bidi="ar-SA"/>
      </w:rPr>
    </w:lvl>
  </w:abstractNum>
  <w:abstractNum w:abstractNumId="347" w15:restartNumberingAfterBreak="0">
    <w:nsid w:val="7F2D40E2"/>
    <w:multiLevelType w:val="hybridMultilevel"/>
    <w:tmpl w:val="C3EA6AFC"/>
    <w:lvl w:ilvl="0" w:tplc="AC78EE90">
      <w:start w:val="1"/>
      <w:numFmt w:val="decimal"/>
      <w:lvlText w:val="%1."/>
      <w:lvlJc w:val="left"/>
      <w:pPr>
        <w:ind w:left="1106" w:hanging="230"/>
        <w:jc w:val="left"/>
      </w:pPr>
      <w:rPr>
        <w:rFonts w:ascii="Arial MT" w:eastAsia="Arial MT" w:hAnsi="Arial MT" w:cs="Arial MT" w:hint="default"/>
        <w:b w:val="0"/>
        <w:bCs w:val="0"/>
        <w:i w:val="0"/>
        <w:iCs w:val="0"/>
        <w:spacing w:val="0"/>
        <w:w w:val="100"/>
        <w:sz w:val="20"/>
        <w:szCs w:val="20"/>
        <w:lang w:val="es-ES" w:eastAsia="en-US" w:bidi="ar-SA"/>
      </w:rPr>
    </w:lvl>
    <w:lvl w:ilvl="1" w:tplc="BFAA9436">
      <w:start w:val="1"/>
      <w:numFmt w:val="lowerLetter"/>
      <w:lvlText w:val="%2)"/>
      <w:lvlJc w:val="left"/>
      <w:pPr>
        <w:ind w:left="1106" w:hanging="245"/>
        <w:jc w:val="left"/>
      </w:pPr>
      <w:rPr>
        <w:rFonts w:ascii="Arial MT" w:eastAsia="Arial MT" w:hAnsi="Arial MT" w:cs="Arial MT" w:hint="default"/>
        <w:b w:val="0"/>
        <w:bCs w:val="0"/>
        <w:i w:val="0"/>
        <w:iCs w:val="0"/>
        <w:spacing w:val="0"/>
        <w:w w:val="100"/>
        <w:sz w:val="20"/>
        <w:szCs w:val="20"/>
        <w:lang w:val="es-ES" w:eastAsia="en-US" w:bidi="ar-SA"/>
      </w:rPr>
    </w:lvl>
    <w:lvl w:ilvl="2" w:tplc="46C67F32">
      <w:numFmt w:val="bullet"/>
      <w:lvlText w:val="•"/>
      <w:lvlJc w:val="left"/>
      <w:pPr>
        <w:ind w:left="2977" w:hanging="245"/>
      </w:pPr>
      <w:rPr>
        <w:rFonts w:hint="default"/>
        <w:lang w:val="es-ES" w:eastAsia="en-US" w:bidi="ar-SA"/>
      </w:rPr>
    </w:lvl>
    <w:lvl w:ilvl="3" w:tplc="45F067AC">
      <w:numFmt w:val="bullet"/>
      <w:lvlText w:val="•"/>
      <w:lvlJc w:val="left"/>
      <w:pPr>
        <w:ind w:left="3916" w:hanging="245"/>
      </w:pPr>
      <w:rPr>
        <w:rFonts w:hint="default"/>
        <w:lang w:val="es-ES" w:eastAsia="en-US" w:bidi="ar-SA"/>
      </w:rPr>
    </w:lvl>
    <w:lvl w:ilvl="4" w:tplc="BC86EB8A">
      <w:numFmt w:val="bullet"/>
      <w:lvlText w:val="•"/>
      <w:lvlJc w:val="left"/>
      <w:pPr>
        <w:ind w:left="4855" w:hanging="245"/>
      </w:pPr>
      <w:rPr>
        <w:rFonts w:hint="default"/>
        <w:lang w:val="es-ES" w:eastAsia="en-US" w:bidi="ar-SA"/>
      </w:rPr>
    </w:lvl>
    <w:lvl w:ilvl="5" w:tplc="A7BC4926">
      <w:numFmt w:val="bullet"/>
      <w:lvlText w:val="•"/>
      <w:lvlJc w:val="left"/>
      <w:pPr>
        <w:ind w:left="5794" w:hanging="245"/>
      </w:pPr>
      <w:rPr>
        <w:rFonts w:hint="default"/>
        <w:lang w:val="es-ES" w:eastAsia="en-US" w:bidi="ar-SA"/>
      </w:rPr>
    </w:lvl>
    <w:lvl w:ilvl="6" w:tplc="8EA8415A">
      <w:numFmt w:val="bullet"/>
      <w:lvlText w:val="•"/>
      <w:lvlJc w:val="left"/>
      <w:pPr>
        <w:ind w:left="6733" w:hanging="245"/>
      </w:pPr>
      <w:rPr>
        <w:rFonts w:hint="default"/>
        <w:lang w:val="es-ES" w:eastAsia="en-US" w:bidi="ar-SA"/>
      </w:rPr>
    </w:lvl>
    <w:lvl w:ilvl="7" w:tplc="8E32B278">
      <w:numFmt w:val="bullet"/>
      <w:lvlText w:val="•"/>
      <w:lvlJc w:val="left"/>
      <w:pPr>
        <w:ind w:left="7672" w:hanging="245"/>
      </w:pPr>
      <w:rPr>
        <w:rFonts w:hint="default"/>
        <w:lang w:val="es-ES" w:eastAsia="en-US" w:bidi="ar-SA"/>
      </w:rPr>
    </w:lvl>
    <w:lvl w:ilvl="8" w:tplc="57E8BB36">
      <w:numFmt w:val="bullet"/>
      <w:lvlText w:val="•"/>
      <w:lvlJc w:val="left"/>
      <w:pPr>
        <w:ind w:left="8611" w:hanging="245"/>
      </w:pPr>
      <w:rPr>
        <w:rFonts w:hint="default"/>
        <w:lang w:val="es-ES" w:eastAsia="en-US" w:bidi="ar-SA"/>
      </w:rPr>
    </w:lvl>
  </w:abstractNum>
  <w:abstractNum w:abstractNumId="348" w15:restartNumberingAfterBreak="0">
    <w:nsid w:val="7F455C73"/>
    <w:multiLevelType w:val="hybridMultilevel"/>
    <w:tmpl w:val="ECA64718"/>
    <w:lvl w:ilvl="0" w:tplc="CEE0F03C">
      <w:start w:val="1"/>
      <w:numFmt w:val="decimal"/>
      <w:lvlText w:val="%1."/>
      <w:lvlJc w:val="left"/>
      <w:pPr>
        <w:ind w:left="1106" w:hanging="252"/>
        <w:jc w:val="left"/>
      </w:pPr>
      <w:rPr>
        <w:rFonts w:ascii="Arial MT" w:eastAsia="Arial MT" w:hAnsi="Arial MT" w:cs="Arial MT" w:hint="default"/>
        <w:b w:val="0"/>
        <w:bCs w:val="0"/>
        <w:i w:val="0"/>
        <w:iCs w:val="0"/>
        <w:spacing w:val="0"/>
        <w:w w:val="100"/>
        <w:sz w:val="20"/>
        <w:szCs w:val="20"/>
        <w:lang w:val="es-ES" w:eastAsia="en-US" w:bidi="ar-SA"/>
      </w:rPr>
    </w:lvl>
    <w:lvl w:ilvl="1" w:tplc="D8443728">
      <w:start w:val="1"/>
      <w:numFmt w:val="lowerLetter"/>
      <w:lvlText w:val="%2)"/>
      <w:lvlJc w:val="left"/>
      <w:pPr>
        <w:ind w:left="1106" w:hanging="373"/>
        <w:jc w:val="left"/>
      </w:pPr>
      <w:rPr>
        <w:rFonts w:ascii="Arial MT" w:eastAsia="Arial MT" w:hAnsi="Arial MT" w:cs="Arial MT" w:hint="default"/>
        <w:b w:val="0"/>
        <w:bCs w:val="0"/>
        <w:i w:val="0"/>
        <w:iCs w:val="0"/>
        <w:spacing w:val="0"/>
        <w:w w:val="100"/>
        <w:sz w:val="20"/>
        <w:szCs w:val="20"/>
        <w:lang w:val="es-ES" w:eastAsia="en-US" w:bidi="ar-SA"/>
      </w:rPr>
    </w:lvl>
    <w:lvl w:ilvl="2" w:tplc="63726278">
      <w:numFmt w:val="bullet"/>
      <w:lvlText w:val="•"/>
      <w:lvlJc w:val="left"/>
      <w:pPr>
        <w:ind w:left="2658" w:hanging="373"/>
      </w:pPr>
      <w:rPr>
        <w:rFonts w:hint="default"/>
        <w:lang w:val="es-ES" w:eastAsia="en-US" w:bidi="ar-SA"/>
      </w:rPr>
    </w:lvl>
    <w:lvl w:ilvl="3" w:tplc="0C60053E">
      <w:numFmt w:val="bullet"/>
      <w:lvlText w:val="•"/>
      <w:lvlJc w:val="left"/>
      <w:pPr>
        <w:ind w:left="3637" w:hanging="373"/>
      </w:pPr>
      <w:rPr>
        <w:rFonts w:hint="default"/>
        <w:lang w:val="es-ES" w:eastAsia="en-US" w:bidi="ar-SA"/>
      </w:rPr>
    </w:lvl>
    <w:lvl w:ilvl="4" w:tplc="6366B4BC">
      <w:numFmt w:val="bullet"/>
      <w:lvlText w:val="•"/>
      <w:lvlJc w:val="left"/>
      <w:pPr>
        <w:ind w:left="4616" w:hanging="373"/>
      </w:pPr>
      <w:rPr>
        <w:rFonts w:hint="default"/>
        <w:lang w:val="es-ES" w:eastAsia="en-US" w:bidi="ar-SA"/>
      </w:rPr>
    </w:lvl>
    <w:lvl w:ilvl="5" w:tplc="04FA699A">
      <w:numFmt w:val="bullet"/>
      <w:lvlText w:val="•"/>
      <w:lvlJc w:val="left"/>
      <w:pPr>
        <w:ind w:left="5595" w:hanging="373"/>
      </w:pPr>
      <w:rPr>
        <w:rFonts w:hint="default"/>
        <w:lang w:val="es-ES" w:eastAsia="en-US" w:bidi="ar-SA"/>
      </w:rPr>
    </w:lvl>
    <w:lvl w:ilvl="6" w:tplc="D8F0F58E">
      <w:numFmt w:val="bullet"/>
      <w:lvlText w:val="•"/>
      <w:lvlJc w:val="left"/>
      <w:pPr>
        <w:ind w:left="6574" w:hanging="373"/>
      </w:pPr>
      <w:rPr>
        <w:rFonts w:hint="default"/>
        <w:lang w:val="es-ES" w:eastAsia="en-US" w:bidi="ar-SA"/>
      </w:rPr>
    </w:lvl>
    <w:lvl w:ilvl="7" w:tplc="D57EBEAA">
      <w:numFmt w:val="bullet"/>
      <w:lvlText w:val="•"/>
      <w:lvlJc w:val="left"/>
      <w:pPr>
        <w:ind w:left="7553" w:hanging="373"/>
      </w:pPr>
      <w:rPr>
        <w:rFonts w:hint="default"/>
        <w:lang w:val="es-ES" w:eastAsia="en-US" w:bidi="ar-SA"/>
      </w:rPr>
    </w:lvl>
    <w:lvl w:ilvl="8" w:tplc="29A4BD6A">
      <w:numFmt w:val="bullet"/>
      <w:lvlText w:val="•"/>
      <w:lvlJc w:val="left"/>
      <w:pPr>
        <w:ind w:left="8531" w:hanging="373"/>
      </w:pPr>
      <w:rPr>
        <w:rFonts w:hint="default"/>
        <w:lang w:val="es-ES" w:eastAsia="en-US" w:bidi="ar-SA"/>
      </w:rPr>
    </w:lvl>
  </w:abstractNum>
  <w:abstractNum w:abstractNumId="349" w15:restartNumberingAfterBreak="0">
    <w:nsid w:val="7F9B403C"/>
    <w:multiLevelType w:val="hybridMultilevel"/>
    <w:tmpl w:val="183C24DE"/>
    <w:lvl w:ilvl="0" w:tplc="D33C26CC">
      <w:start w:val="1"/>
      <w:numFmt w:val="decimal"/>
      <w:lvlText w:val="%1."/>
      <w:lvlJc w:val="left"/>
      <w:pPr>
        <w:ind w:left="1106" w:hanging="305"/>
        <w:jc w:val="left"/>
      </w:pPr>
      <w:rPr>
        <w:rFonts w:ascii="Arial MT" w:eastAsia="Arial MT" w:hAnsi="Arial MT" w:cs="Arial MT" w:hint="default"/>
        <w:b w:val="0"/>
        <w:bCs w:val="0"/>
        <w:i w:val="0"/>
        <w:iCs w:val="0"/>
        <w:spacing w:val="0"/>
        <w:w w:val="100"/>
        <w:sz w:val="20"/>
        <w:szCs w:val="20"/>
        <w:lang w:val="es-ES" w:eastAsia="en-US" w:bidi="ar-SA"/>
      </w:rPr>
    </w:lvl>
    <w:lvl w:ilvl="1" w:tplc="D5EA2F26">
      <w:start w:val="1"/>
      <w:numFmt w:val="lowerLetter"/>
      <w:lvlText w:val="%2)"/>
      <w:lvlJc w:val="left"/>
      <w:pPr>
        <w:ind w:left="1106" w:hanging="264"/>
        <w:jc w:val="left"/>
      </w:pPr>
      <w:rPr>
        <w:rFonts w:ascii="Arial MT" w:eastAsia="Arial MT" w:hAnsi="Arial MT" w:cs="Arial MT" w:hint="default"/>
        <w:b w:val="0"/>
        <w:bCs w:val="0"/>
        <w:i w:val="0"/>
        <w:iCs w:val="0"/>
        <w:spacing w:val="0"/>
        <w:w w:val="100"/>
        <w:sz w:val="20"/>
        <w:szCs w:val="20"/>
        <w:lang w:val="es-ES" w:eastAsia="en-US" w:bidi="ar-SA"/>
      </w:rPr>
    </w:lvl>
    <w:lvl w:ilvl="2" w:tplc="25D0E182">
      <w:numFmt w:val="bullet"/>
      <w:lvlText w:val="•"/>
      <w:lvlJc w:val="left"/>
      <w:pPr>
        <w:ind w:left="2977" w:hanging="264"/>
      </w:pPr>
      <w:rPr>
        <w:rFonts w:hint="default"/>
        <w:lang w:val="es-ES" w:eastAsia="en-US" w:bidi="ar-SA"/>
      </w:rPr>
    </w:lvl>
    <w:lvl w:ilvl="3" w:tplc="EA08E2FA">
      <w:numFmt w:val="bullet"/>
      <w:lvlText w:val="•"/>
      <w:lvlJc w:val="left"/>
      <w:pPr>
        <w:ind w:left="3916" w:hanging="264"/>
      </w:pPr>
      <w:rPr>
        <w:rFonts w:hint="default"/>
        <w:lang w:val="es-ES" w:eastAsia="en-US" w:bidi="ar-SA"/>
      </w:rPr>
    </w:lvl>
    <w:lvl w:ilvl="4" w:tplc="4D844008">
      <w:numFmt w:val="bullet"/>
      <w:lvlText w:val="•"/>
      <w:lvlJc w:val="left"/>
      <w:pPr>
        <w:ind w:left="4855" w:hanging="264"/>
      </w:pPr>
      <w:rPr>
        <w:rFonts w:hint="default"/>
        <w:lang w:val="es-ES" w:eastAsia="en-US" w:bidi="ar-SA"/>
      </w:rPr>
    </w:lvl>
    <w:lvl w:ilvl="5" w:tplc="E46479DC">
      <w:numFmt w:val="bullet"/>
      <w:lvlText w:val="•"/>
      <w:lvlJc w:val="left"/>
      <w:pPr>
        <w:ind w:left="5794" w:hanging="264"/>
      </w:pPr>
      <w:rPr>
        <w:rFonts w:hint="default"/>
        <w:lang w:val="es-ES" w:eastAsia="en-US" w:bidi="ar-SA"/>
      </w:rPr>
    </w:lvl>
    <w:lvl w:ilvl="6" w:tplc="77789D3A">
      <w:numFmt w:val="bullet"/>
      <w:lvlText w:val="•"/>
      <w:lvlJc w:val="left"/>
      <w:pPr>
        <w:ind w:left="6733" w:hanging="264"/>
      </w:pPr>
      <w:rPr>
        <w:rFonts w:hint="default"/>
        <w:lang w:val="es-ES" w:eastAsia="en-US" w:bidi="ar-SA"/>
      </w:rPr>
    </w:lvl>
    <w:lvl w:ilvl="7" w:tplc="4F1EC584">
      <w:numFmt w:val="bullet"/>
      <w:lvlText w:val="•"/>
      <w:lvlJc w:val="left"/>
      <w:pPr>
        <w:ind w:left="7672" w:hanging="264"/>
      </w:pPr>
      <w:rPr>
        <w:rFonts w:hint="default"/>
        <w:lang w:val="es-ES" w:eastAsia="en-US" w:bidi="ar-SA"/>
      </w:rPr>
    </w:lvl>
    <w:lvl w:ilvl="8" w:tplc="EE0613BC">
      <w:numFmt w:val="bullet"/>
      <w:lvlText w:val="•"/>
      <w:lvlJc w:val="left"/>
      <w:pPr>
        <w:ind w:left="8611" w:hanging="264"/>
      </w:pPr>
      <w:rPr>
        <w:rFonts w:hint="default"/>
        <w:lang w:val="es-ES" w:eastAsia="en-US" w:bidi="ar-SA"/>
      </w:rPr>
    </w:lvl>
  </w:abstractNum>
  <w:abstractNum w:abstractNumId="350" w15:restartNumberingAfterBreak="0">
    <w:nsid w:val="7FE25AAB"/>
    <w:multiLevelType w:val="hybridMultilevel"/>
    <w:tmpl w:val="37260526"/>
    <w:lvl w:ilvl="0" w:tplc="052CD772">
      <w:start w:val="1"/>
      <w:numFmt w:val="decimal"/>
      <w:lvlText w:val="%1."/>
      <w:lvlJc w:val="left"/>
      <w:pPr>
        <w:ind w:left="1106" w:hanging="294"/>
        <w:jc w:val="left"/>
      </w:pPr>
      <w:rPr>
        <w:rFonts w:ascii="Arial MT" w:eastAsia="Arial MT" w:hAnsi="Arial MT" w:cs="Arial MT" w:hint="default"/>
        <w:b w:val="0"/>
        <w:bCs w:val="0"/>
        <w:i w:val="0"/>
        <w:iCs w:val="0"/>
        <w:spacing w:val="0"/>
        <w:w w:val="100"/>
        <w:sz w:val="20"/>
        <w:szCs w:val="20"/>
        <w:lang w:val="es-ES" w:eastAsia="en-US" w:bidi="ar-SA"/>
      </w:rPr>
    </w:lvl>
    <w:lvl w:ilvl="1" w:tplc="C0F03732">
      <w:start w:val="1"/>
      <w:numFmt w:val="lowerLetter"/>
      <w:lvlText w:val="%2)"/>
      <w:lvlJc w:val="left"/>
      <w:pPr>
        <w:ind w:left="1679" w:hanging="234"/>
        <w:jc w:val="left"/>
      </w:pPr>
      <w:rPr>
        <w:rFonts w:ascii="Arial MT" w:eastAsia="Arial MT" w:hAnsi="Arial MT" w:cs="Arial MT" w:hint="default"/>
        <w:b w:val="0"/>
        <w:bCs w:val="0"/>
        <w:i w:val="0"/>
        <w:iCs w:val="0"/>
        <w:spacing w:val="0"/>
        <w:w w:val="100"/>
        <w:sz w:val="20"/>
        <w:szCs w:val="20"/>
        <w:lang w:val="es-ES" w:eastAsia="en-US" w:bidi="ar-SA"/>
      </w:rPr>
    </w:lvl>
    <w:lvl w:ilvl="2" w:tplc="D3CEFF12">
      <w:numFmt w:val="bullet"/>
      <w:lvlText w:val="•"/>
      <w:lvlJc w:val="left"/>
      <w:pPr>
        <w:ind w:left="2658" w:hanging="234"/>
      </w:pPr>
      <w:rPr>
        <w:rFonts w:hint="default"/>
        <w:lang w:val="es-ES" w:eastAsia="en-US" w:bidi="ar-SA"/>
      </w:rPr>
    </w:lvl>
    <w:lvl w:ilvl="3" w:tplc="EB56FD3C">
      <w:numFmt w:val="bullet"/>
      <w:lvlText w:val="•"/>
      <w:lvlJc w:val="left"/>
      <w:pPr>
        <w:ind w:left="3637" w:hanging="234"/>
      </w:pPr>
      <w:rPr>
        <w:rFonts w:hint="default"/>
        <w:lang w:val="es-ES" w:eastAsia="en-US" w:bidi="ar-SA"/>
      </w:rPr>
    </w:lvl>
    <w:lvl w:ilvl="4" w:tplc="7F3A4178">
      <w:numFmt w:val="bullet"/>
      <w:lvlText w:val="•"/>
      <w:lvlJc w:val="left"/>
      <w:pPr>
        <w:ind w:left="4616" w:hanging="234"/>
      </w:pPr>
      <w:rPr>
        <w:rFonts w:hint="default"/>
        <w:lang w:val="es-ES" w:eastAsia="en-US" w:bidi="ar-SA"/>
      </w:rPr>
    </w:lvl>
    <w:lvl w:ilvl="5" w:tplc="1ACEC4C0">
      <w:numFmt w:val="bullet"/>
      <w:lvlText w:val="•"/>
      <w:lvlJc w:val="left"/>
      <w:pPr>
        <w:ind w:left="5595" w:hanging="234"/>
      </w:pPr>
      <w:rPr>
        <w:rFonts w:hint="default"/>
        <w:lang w:val="es-ES" w:eastAsia="en-US" w:bidi="ar-SA"/>
      </w:rPr>
    </w:lvl>
    <w:lvl w:ilvl="6" w:tplc="B25604C0">
      <w:numFmt w:val="bullet"/>
      <w:lvlText w:val="•"/>
      <w:lvlJc w:val="left"/>
      <w:pPr>
        <w:ind w:left="6574" w:hanging="234"/>
      </w:pPr>
      <w:rPr>
        <w:rFonts w:hint="default"/>
        <w:lang w:val="es-ES" w:eastAsia="en-US" w:bidi="ar-SA"/>
      </w:rPr>
    </w:lvl>
    <w:lvl w:ilvl="7" w:tplc="91D04D44">
      <w:numFmt w:val="bullet"/>
      <w:lvlText w:val="•"/>
      <w:lvlJc w:val="left"/>
      <w:pPr>
        <w:ind w:left="7553" w:hanging="234"/>
      </w:pPr>
      <w:rPr>
        <w:rFonts w:hint="default"/>
        <w:lang w:val="es-ES" w:eastAsia="en-US" w:bidi="ar-SA"/>
      </w:rPr>
    </w:lvl>
    <w:lvl w:ilvl="8" w:tplc="A6FCB6F4">
      <w:numFmt w:val="bullet"/>
      <w:lvlText w:val="•"/>
      <w:lvlJc w:val="left"/>
      <w:pPr>
        <w:ind w:left="8531" w:hanging="234"/>
      </w:pPr>
      <w:rPr>
        <w:rFonts w:hint="default"/>
        <w:lang w:val="es-ES" w:eastAsia="en-US" w:bidi="ar-SA"/>
      </w:rPr>
    </w:lvl>
  </w:abstractNum>
  <w:num w:numId="1" w16cid:durableId="1652440072">
    <w:abstractNumId w:val="316"/>
  </w:num>
  <w:num w:numId="2" w16cid:durableId="389305029">
    <w:abstractNumId w:val="217"/>
  </w:num>
  <w:num w:numId="3" w16cid:durableId="916017371">
    <w:abstractNumId w:val="267"/>
  </w:num>
  <w:num w:numId="4" w16cid:durableId="1554197746">
    <w:abstractNumId w:val="324"/>
  </w:num>
  <w:num w:numId="5" w16cid:durableId="907110905">
    <w:abstractNumId w:val="64"/>
  </w:num>
  <w:num w:numId="6" w16cid:durableId="1394348398">
    <w:abstractNumId w:val="235"/>
  </w:num>
  <w:num w:numId="7" w16cid:durableId="1151602903">
    <w:abstractNumId w:val="145"/>
  </w:num>
  <w:num w:numId="8" w16cid:durableId="227962687">
    <w:abstractNumId w:val="337"/>
  </w:num>
  <w:num w:numId="9" w16cid:durableId="104548238">
    <w:abstractNumId w:val="350"/>
  </w:num>
  <w:num w:numId="10" w16cid:durableId="2136294988">
    <w:abstractNumId w:val="242"/>
  </w:num>
  <w:num w:numId="11" w16cid:durableId="599416483">
    <w:abstractNumId w:val="265"/>
  </w:num>
  <w:num w:numId="12" w16cid:durableId="1174145688">
    <w:abstractNumId w:val="134"/>
  </w:num>
  <w:num w:numId="13" w16cid:durableId="209272270">
    <w:abstractNumId w:val="100"/>
  </w:num>
  <w:num w:numId="14" w16cid:durableId="2008895219">
    <w:abstractNumId w:val="32"/>
  </w:num>
  <w:num w:numId="15" w16cid:durableId="1845587478">
    <w:abstractNumId w:val="71"/>
  </w:num>
  <w:num w:numId="16" w16cid:durableId="932711362">
    <w:abstractNumId w:val="109"/>
  </w:num>
  <w:num w:numId="17" w16cid:durableId="1069154889">
    <w:abstractNumId w:val="171"/>
  </w:num>
  <w:num w:numId="18" w16cid:durableId="464470981">
    <w:abstractNumId w:val="136"/>
  </w:num>
  <w:num w:numId="19" w16cid:durableId="1873571719">
    <w:abstractNumId w:val="222"/>
  </w:num>
  <w:num w:numId="20" w16cid:durableId="299457079">
    <w:abstractNumId w:val="302"/>
  </w:num>
  <w:num w:numId="21" w16cid:durableId="1637487395">
    <w:abstractNumId w:val="111"/>
  </w:num>
  <w:num w:numId="22" w16cid:durableId="2020423615">
    <w:abstractNumId w:val="296"/>
  </w:num>
  <w:num w:numId="23" w16cid:durableId="516965232">
    <w:abstractNumId w:val="311"/>
  </w:num>
  <w:num w:numId="24" w16cid:durableId="1802075134">
    <w:abstractNumId w:val="129"/>
  </w:num>
  <w:num w:numId="25" w16cid:durableId="1762293291">
    <w:abstractNumId w:val="114"/>
  </w:num>
  <w:num w:numId="26" w16cid:durableId="1878005850">
    <w:abstractNumId w:val="146"/>
  </w:num>
  <w:num w:numId="27" w16cid:durableId="1984430738">
    <w:abstractNumId w:val="177"/>
  </w:num>
  <w:num w:numId="28" w16cid:durableId="1772584386">
    <w:abstractNumId w:val="49"/>
  </w:num>
  <w:num w:numId="29" w16cid:durableId="1491406156">
    <w:abstractNumId w:val="38"/>
  </w:num>
  <w:num w:numId="30" w16cid:durableId="541406889">
    <w:abstractNumId w:val="14"/>
  </w:num>
  <w:num w:numId="31" w16cid:durableId="1743789569">
    <w:abstractNumId w:val="37"/>
  </w:num>
  <w:num w:numId="32" w16cid:durableId="478963089">
    <w:abstractNumId w:val="162"/>
  </w:num>
  <w:num w:numId="33" w16cid:durableId="1009135879">
    <w:abstractNumId w:val="247"/>
  </w:num>
  <w:num w:numId="34" w16cid:durableId="823395635">
    <w:abstractNumId w:val="206"/>
  </w:num>
  <w:num w:numId="35" w16cid:durableId="749351845">
    <w:abstractNumId w:val="88"/>
  </w:num>
  <w:num w:numId="36" w16cid:durableId="1117141920">
    <w:abstractNumId w:val="256"/>
  </w:num>
  <w:num w:numId="37" w16cid:durableId="879896718">
    <w:abstractNumId w:val="259"/>
  </w:num>
  <w:num w:numId="38" w16cid:durableId="1027875453">
    <w:abstractNumId w:val="108"/>
  </w:num>
  <w:num w:numId="39" w16cid:durableId="953250852">
    <w:abstractNumId w:val="263"/>
  </w:num>
  <w:num w:numId="40" w16cid:durableId="39521518">
    <w:abstractNumId w:val="98"/>
  </w:num>
  <w:num w:numId="41" w16cid:durableId="1757550700">
    <w:abstractNumId w:val="205"/>
  </w:num>
  <w:num w:numId="42" w16cid:durableId="309754084">
    <w:abstractNumId w:val="312"/>
  </w:num>
  <w:num w:numId="43" w16cid:durableId="152912590">
    <w:abstractNumId w:val="44"/>
  </w:num>
  <w:num w:numId="44" w16cid:durableId="2120753611">
    <w:abstractNumId w:val="281"/>
  </w:num>
  <w:num w:numId="45" w16cid:durableId="1643265747">
    <w:abstractNumId w:val="121"/>
  </w:num>
  <w:num w:numId="46" w16cid:durableId="553388437">
    <w:abstractNumId w:val="298"/>
  </w:num>
  <w:num w:numId="47" w16cid:durableId="1098209696">
    <w:abstractNumId w:val="246"/>
  </w:num>
  <w:num w:numId="48" w16cid:durableId="989594276">
    <w:abstractNumId w:val="128"/>
  </w:num>
  <w:num w:numId="49" w16cid:durableId="499269799">
    <w:abstractNumId w:val="10"/>
  </w:num>
  <w:num w:numId="50" w16cid:durableId="1642883925">
    <w:abstractNumId w:val="58"/>
  </w:num>
  <w:num w:numId="51" w16cid:durableId="245000655">
    <w:abstractNumId w:val="251"/>
  </w:num>
  <w:num w:numId="52" w16cid:durableId="908924939">
    <w:abstractNumId w:val="255"/>
  </w:num>
  <w:num w:numId="53" w16cid:durableId="1365709088">
    <w:abstractNumId w:val="331"/>
  </w:num>
  <w:num w:numId="54" w16cid:durableId="186527075">
    <w:abstractNumId w:val="86"/>
  </w:num>
  <w:num w:numId="55" w16cid:durableId="2119524000">
    <w:abstractNumId w:val="225"/>
  </w:num>
  <w:num w:numId="56" w16cid:durableId="1735351538">
    <w:abstractNumId w:val="96"/>
  </w:num>
  <w:num w:numId="57" w16cid:durableId="586309776">
    <w:abstractNumId w:val="55"/>
  </w:num>
  <w:num w:numId="58" w16cid:durableId="283313120">
    <w:abstractNumId w:val="67"/>
  </w:num>
  <w:num w:numId="59" w16cid:durableId="1527675105">
    <w:abstractNumId w:val="231"/>
  </w:num>
  <w:num w:numId="60" w16cid:durableId="1012531600">
    <w:abstractNumId w:val="1"/>
  </w:num>
  <w:num w:numId="61" w16cid:durableId="463667729">
    <w:abstractNumId w:val="138"/>
  </w:num>
  <w:num w:numId="62" w16cid:durableId="706565689">
    <w:abstractNumId w:val="139"/>
  </w:num>
  <w:num w:numId="63" w16cid:durableId="902250967">
    <w:abstractNumId w:val="89"/>
  </w:num>
  <w:num w:numId="64" w16cid:durableId="250432950">
    <w:abstractNumId w:val="102"/>
  </w:num>
  <w:num w:numId="65" w16cid:durableId="1034235601">
    <w:abstractNumId w:val="282"/>
  </w:num>
  <w:num w:numId="66" w16cid:durableId="1107853300">
    <w:abstractNumId w:val="90"/>
  </w:num>
  <w:num w:numId="67" w16cid:durableId="1511525645">
    <w:abstractNumId w:val="161"/>
  </w:num>
  <w:num w:numId="68" w16cid:durableId="806900514">
    <w:abstractNumId w:val="303"/>
  </w:num>
  <w:num w:numId="69" w16cid:durableId="392389952">
    <w:abstractNumId w:val="77"/>
  </w:num>
  <w:num w:numId="70" w16cid:durableId="781726920">
    <w:abstractNumId w:val="345"/>
  </w:num>
  <w:num w:numId="71" w16cid:durableId="1867211108">
    <w:abstractNumId w:val="23"/>
  </w:num>
  <w:num w:numId="72" w16cid:durableId="2042123960">
    <w:abstractNumId w:val="194"/>
  </w:num>
  <w:num w:numId="73" w16cid:durableId="527985930">
    <w:abstractNumId w:val="148"/>
  </w:num>
  <w:num w:numId="74" w16cid:durableId="1642152521">
    <w:abstractNumId w:val="154"/>
  </w:num>
  <w:num w:numId="75" w16cid:durableId="135996018">
    <w:abstractNumId w:val="181"/>
  </w:num>
  <w:num w:numId="76" w16cid:durableId="1472941608">
    <w:abstractNumId w:val="266"/>
  </w:num>
  <w:num w:numId="77" w16cid:durableId="693920102">
    <w:abstractNumId w:val="339"/>
  </w:num>
  <w:num w:numId="78" w16cid:durableId="977951848">
    <w:abstractNumId w:val="318"/>
  </w:num>
  <w:num w:numId="79" w16cid:durableId="322005486">
    <w:abstractNumId w:val="270"/>
  </w:num>
  <w:num w:numId="80" w16cid:durableId="296884420">
    <w:abstractNumId w:val="79"/>
  </w:num>
  <w:num w:numId="81" w16cid:durableId="427045162">
    <w:abstractNumId w:val="144"/>
  </w:num>
  <w:num w:numId="82" w16cid:durableId="293757165">
    <w:abstractNumId w:val="176"/>
  </w:num>
  <w:num w:numId="83" w16cid:durableId="604504847">
    <w:abstractNumId w:val="104"/>
  </w:num>
  <w:num w:numId="84" w16cid:durableId="1760980866">
    <w:abstractNumId w:val="261"/>
  </w:num>
  <w:num w:numId="85" w16cid:durableId="1324627921">
    <w:abstractNumId w:val="85"/>
  </w:num>
  <w:num w:numId="86" w16cid:durableId="1424374795">
    <w:abstractNumId w:val="245"/>
  </w:num>
  <w:num w:numId="87" w16cid:durableId="191497388">
    <w:abstractNumId w:val="142"/>
  </w:num>
  <w:num w:numId="88" w16cid:durableId="841814794">
    <w:abstractNumId w:val="190"/>
  </w:num>
  <w:num w:numId="89" w16cid:durableId="161624018">
    <w:abstractNumId w:val="8"/>
  </w:num>
  <w:num w:numId="90" w16cid:durableId="1905991750">
    <w:abstractNumId w:val="26"/>
  </w:num>
  <w:num w:numId="91" w16cid:durableId="71126166">
    <w:abstractNumId w:val="301"/>
  </w:num>
  <w:num w:numId="92" w16cid:durableId="1279490622">
    <w:abstractNumId w:val="83"/>
  </w:num>
  <w:num w:numId="93" w16cid:durableId="1723945048">
    <w:abstractNumId w:val="151"/>
  </w:num>
  <w:num w:numId="94" w16cid:durableId="1236670221">
    <w:abstractNumId w:val="273"/>
  </w:num>
  <w:num w:numId="95" w16cid:durableId="1436943451">
    <w:abstractNumId w:val="307"/>
  </w:num>
  <w:num w:numId="96" w16cid:durableId="1509979674">
    <w:abstractNumId w:val="99"/>
  </w:num>
  <w:num w:numId="97" w16cid:durableId="975767779">
    <w:abstractNumId w:val="229"/>
  </w:num>
  <w:num w:numId="98" w16cid:durableId="441194337">
    <w:abstractNumId w:val="287"/>
  </w:num>
  <w:num w:numId="99" w16cid:durableId="1656448797">
    <w:abstractNumId w:val="168"/>
  </w:num>
  <w:num w:numId="100" w16cid:durableId="495221481">
    <w:abstractNumId w:val="202"/>
  </w:num>
  <w:num w:numId="101" w16cid:durableId="353965686">
    <w:abstractNumId w:val="343"/>
  </w:num>
  <w:num w:numId="102" w16cid:durableId="1856917121">
    <w:abstractNumId w:val="141"/>
  </w:num>
  <w:num w:numId="103" w16cid:durableId="667293413">
    <w:abstractNumId w:val="33"/>
  </w:num>
  <w:num w:numId="104" w16cid:durableId="1228802801">
    <w:abstractNumId w:val="133"/>
  </w:num>
  <w:num w:numId="105" w16cid:durableId="1223717061">
    <w:abstractNumId w:val="182"/>
  </w:num>
  <w:num w:numId="106" w16cid:durableId="544952181">
    <w:abstractNumId w:val="257"/>
  </w:num>
  <w:num w:numId="107" w16cid:durableId="1765689174">
    <w:abstractNumId w:val="327"/>
  </w:num>
  <w:num w:numId="108" w16cid:durableId="1260483878">
    <w:abstractNumId w:val="48"/>
  </w:num>
  <w:num w:numId="109" w16cid:durableId="970283692">
    <w:abstractNumId w:val="12"/>
  </w:num>
  <w:num w:numId="110" w16cid:durableId="1160268977">
    <w:abstractNumId w:val="201"/>
  </w:num>
  <w:num w:numId="111" w16cid:durableId="1084031372">
    <w:abstractNumId w:val="322"/>
  </w:num>
  <w:num w:numId="112" w16cid:durableId="1806308977">
    <w:abstractNumId w:val="329"/>
  </w:num>
  <w:num w:numId="113" w16cid:durableId="1154488430">
    <w:abstractNumId w:val="81"/>
  </w:num>
  <w:num w:numId="114" w16cid:durableId="106514043">
    <w:abstractNumId w:val="243"/>
  </w:num>
  <w:num w:numId="115" w16cid:durableId="1916477070">
    <w:abstractNumId w:val="53"/>
  </w:num>
  <w:num w:numId="116" w16cid:durableId="967933942">
    <w:abstractNumId w:val="4"/>
  </w:num>
  <w:num w:numId="117" w16cid:durableId="509100247">
    <w:abstractNumId w:val="116"/>
  </w:num>
  <w:num w:numId="118" w16cid:durableId="888103364">
    <w:abstractNumId w:val="321"/>
  </w:num>
  <w:num w:numId="119" w16cid:durableId="429009884">
    <w:abstractNumId w:val="248"/>
  </w:num>
  <w:num w:numId="120" w16cid:durableId="1142237366">
    <w:abstractNumId w:val="239"/>
  </w:num>
  <w:num w:numId="121" w16cid:durableId="971792823">
    <w:abstractNumId w:val="237"/>
  </w:num>
  <w:num w:numId="122" w16cid:durableId="1062800771">
    <w:abstractNumId w:val="76"/>
  </w:num>
  <w:num w:numId="123" w16cid:durableId="1997420249">
    <w:abstractNumId w:val="292"/>
  </w:num>
  <w:num w:numId="124" w16cid:durableId="1674988068">
    <w:abstractNumId w:val="221"/>
  </w:num>
  <w:num w:numId="125" w16cid:durableId="1518619590">
    <w:abstractNumId w:val="16"/>
  </w:num>
  <w:num w:numId="126" w16cid:durableId="753009633">
    <w:abstractNumId w:val="289"/>
  </w:num>
  <w:num w:numId="127" w16cid:durableId="297035801">
    <w:abstractNumId w:val="213"/>
  </w:num>
  <w:num w:numId="128" w16cid:durableId="76831882">
    <w:abstractNumId w:val="15"/>
  </w:num>
  <w:num w:numId="129" w16cid:durableId="969631345">
    <w:abstractNumId w:val="335"/>
  </w:num>
  <w:num w:numId="130" w16cid:durableId="1846552039">
    <w:abstractNumId w:val="191"/>
  </w:num>
  <w:num w:numId="131" w16cid:durableId="748385575">
    <w:abstractNumId w:val="46"/>
  </w:num>
  <w:num w:numId="132" w16cid:durableId="1733039698">
    <w:abstractNumId w:val="215"/>
  </w:num>
  <w:num w:numId="133" w16cid:durableId="662583295">
    <w:abstractNumId w:val="170"/>
  </w:num>
  <w:num w:numId="134" w16cid:durableId="159002999">
    <w:abstractNumId w:val="68"/>
  </w:num>
  <w:num w:numId="135" w16cid:durableId="1590235338">
    <w:abstractNumId w:val="196"/>
  </w:num>
  <w:num w:numId="136" w16cid:durableId="1431315683">
    <w:abstractNumId w:val="187"/>
  </w:num>
  <w:num w:numId="137" w16cid:durableId="1565023547">
    <w:abstractNumId w:val="31"/>
  </w:num>
  <w:num w:numId="138" w16cid:durableId="323316260">
    <w:abstractNumId w:val="189"/>
  </w:num>
  <w:num w:numId="139" w16cid:durableId="1767723141">
    <w:abstractNumId w:val="254"/>
  </w:num>
  <w:num w:numId="140" w16cid:durableId="613369384">
    <w:abstractNumId w:val="346"/>
  </w:num>
  <w:num w:numId="141" w16cid:durableId="1330062351">
    <w:abstractNumId w:val="274"/>
  </w:num>
  <w:num w:numId="142" w16cid:durableId="177428981">
    <w:abstractNumId w:val="25"/>
  </w:num>
  <w:num w:numId="143" w16cid:durableId="2067996230">
    <w:abstractNumId w:val="226"/>
  </w:num>
  <w:num w:numId="144" w16cid:durableId="1783574111">
    <w:abstractNumId w:val="122"/>
  </w:num>
  <w:num w:numId="145" w16cid:durableId="857931944">
    <w:abstractNumId w:val="297"/>
  </w:num>
  <w:num w:numId="146" w16cid:durableId="670448964">
    <w:abstractNumId w:val="308"/>
  </w:num>
  <w:num w:numId="147" w16cid:durableId="273051053">
    <w:abstractNumId w:val="149"/>
  </w:num>
  <w:num w:numId="148" w16cid:durableId="1161191265">
    <w:abstractNumId w:val="249"/>
  </w:num>
  <w:num w:numId="149" w16cid:durableId="117258682">
    <w:abstractNumId w:val="47"/>
  </w:num>
  <w:num w:numId="150" w16cid:durableId="1447893655">
    <w:abstractNumId w:val="45"/>
  </w:num>
  <w:num w:numId="151" w16cid:durableId="2092310001">
    <w:abstractNumId w:val="117"/>
  </w:num>
  <w:num w:numId="152" w16cid:durableId="1883710221">
    <w:abstractNumId w:val="269"/>
  </w:num>
  <w:num w:numId="153" w16cid:durableId="2100756992">
    <w:abstractNumId w:val="305"/>
  </w:num>
  <w:num w:numId="154" w16cid:durableId="493952997">
    <w:abstractNumId w:val="3"/>
  </w:num>
  <w:num w:numId="155" w16cid:durableId="197547508">
    <w:abstractNumId w:val="336"/>
  </w:num>
  <w:num w:numId="156" w16cid:durableId="1567565348">
    <w:abstractNumId w:val="271"/>
  </w:num>
  <w:num w:numId="157" w16cid:durableId="1997685376">
    <w:abstractNumId w:val="75"/>
  </w:num>
  <w:num w:numId="158" w16cid:durableId="32538266">
    <w:abstractNumId w:val="24"/>
  </w:num>
  <w:num w:numId="159" w16cid:durableId="2144419081">
    <w:abstractNumId w:val="207"/>
  </w:num>
  <w:num w:numId="160" w16cid:durableId="1832212389">
    <w:abstractNumId w:val="224"/>
  </w:num>
  <w:num w:numId="161" w16cid:durableId="174618409">
    <w:abstractNumId w:val="238"/>
  </w:num>
  <w:num w:numId="162" w16cid:durableId="766270895">
    <w:abstractNumId w:val="253"/>
  </w:num>
  <w:num w:numId="163" w16cid:durableId="1986663654">
    <w:abstractNumId w:val="268"/>
  </w:num>
  <w:num w:numId="164" w16cid:durableId="1721703507">
    <w:abstractNumId w:val="233"/>
  </w:num>
  <w:num w:numId="165" w16cid:durableId="1630165317">
    <w:abstractNumId w:val="91"/>
  </w:num>
  <w:num w:numId="166" w16cid:durableId="341248266">
    <w:abstractNumId w:val="262"/>
  </w:num>
  <w:num w:numId="167" w16cid:durableId="526600689">
    <w:abstractNumId w:val="82"/>
  </w:num>
  <w:num w:numId="168" w16cid:durableId="1587421527">
    <w:abstractNumId w:val="78"/>
  </w:num>
  <w:num w:numId="169" w16cid:durableId="1371540454">
    <w:abstractNumId w:val="39"/>
  </w:num>
  <w:num w:numId="170" w16cid:durableId="133370918">
    <w:abstractNumId w:val="185"/>
  </w:num>
  <w:num w:numId="171" w16cid:durableId="165749001">
    <w:abstractNumId w:val="30"/>
  </w:num>
  <w:num w:numId="172" w16cid:durableId="839737852">
    <w:abstractNumId w:val="124"/>
  </w:num>
  <w:num w:numId="173" w16cid:durableId="1103957815">
    <w:abstractNumId w:val="219"/>
  </w:num>
  <w:num w:numId="174" w16cid:durableId="594292912">
    <w:abstractNumId w:val="101"/>
  </w:num>
  <w:num w:numId="175" w16cid:durableId="622079635">
    <w:abstractNumId w:val="163"/>
  </w:num>
  <w:num w:numId="176" w16cid:durableId="857814657">
    <w:abstractNumId w:val="295"/>
  </w:num>
  <w:num w:numId="177" w16cid:durableId="358239961">
    <w:abstractNumId w:val="2"/>
  </w:num>
  <w:num w:numId="178" w16cid:durableId="973559129">
    <w:abstractNumId w:val="330"/>
  </w:num>
  <w:num w:numId="179" w16cid:durableId="429670029">
    <w:abstractNumId w:val="50"/>
  </w:num>
  <w:num w:numId="180" w16cid:durableId="1105882070">
    <w:abstractNumId w:val="184"/>
  </w:num>
  <w:num w:numId="181" w16cid:durableId="1387796889">
    <w:abstractNumId w:val="188"/>
  </w:num>
  <w:num w:numId="182" w16cid:durableId="1375930092">
    <w:abstractNumId w:val="180"/>
  </w:num>
  <w:num w:numId="183" w16cid:durableId="1123114701">
    <w:abstractNumId w:val="160"/>
  </w:num>
  <w:num w:numId="184" w16cid:durableId="1203248541">
    <w:abstractNumId w:val="54"/>
  </w:num>
  <w:num w:numId="185" w16cid:durableId="1832405165">
    <w:abstractNumId w:val="199"/>
  </w:num>
  <w:num w:numId="186" w16cid:durableId="1394740786">
    <w:abstractNumId w:val="341"/>
  </w:num>
  <w:num w:numId="187" w16cid:durableId="450368576">
    <w:abstractNumId w:val="236"/>
  </w:num>
  <w:num w:numId="188" w16cid:durableId="671222767">
    <w:abstractNumId w:val="165"/>
  </w:num>
  <w:num w:numId="189" w16cid:durableId="1973824605">
    <w:abstractNumId w:val="103"/>
  </w:num>
  <w:num w:numId="190" w16cid:durableId="1283801475">
    <w:abstractNumId w:val="214"/>
  </w:num>
  <w:num w:numId="191" w16cid:durableId="722411055">
    <w:abstractNumId w:val="17"/>
  </w:num>
  <w:num w:numId="192" w16cid:durableId="142621460">
    <w:abstractNumId w:val="344"/>
  </w:num>
  <w:num w:numId="193" w16cid:durableId="1053508944">
    <w:abstractNumId w:val="107"/>
  </w:num>
  <w:num w:numId="194" w16cid:durableId="959647924">
    <w:abstractNumId w:val="164"/>
  </w:num>
  <w:num w:numId="195" w16cid:durableId="1523207046">
    <w:abstractNumId w:val="92"/>
  </w:num>
  <w:num w:numId="196" w16cid:durableId="1817144532">
    <w:abstractNumId w:val="95"/>
  </w:num>
  <w:num w:numId="197" w16cid:durableId="432407295">
    <w:abstractNumId w:val="200"/>
  </w:num>
  <w:num w:numId="198" w16cid:durableId="1419791910">
    <w:abstractNumId w:val="18"/>
  </w:num>
  <w:num w:numId="199" w16cid:durableId="1200121101">
    <w:abstractNumId w:val="279"/>
  </w:num>
  <w:num w:numId="200" w16cid:durableId="1874616189">
    <w:abstractNumId w:val="241"/>
  </w:num>
  <w:num w:numId="201" w16cid:durableId="1071461838">
    <w:abstractNumId w:val="278"/>
  </w:num>
  <w:num w:numId="202" w16cid:durableId="1830243256">
    <w:abstractNumId w:val="306"/>
  </w:num>
  <w:num w:numId="203" w16cid:durableId="1355182651">
    <w:abstractNumId w:val="288"/>
  </w:num>
  <w:num w:numId="204" w16cid:durableId="1621717727">
    <w:abstractNumId w:val="106"/>
  </w:num>
  <w:num w:numId="205" w16cid:durableId="654529387">
    <w:abstractNumId w:val="166"/>
  </w:num>
  <w:num w:numId="206" w16cid:durableId="2009865490">
    <w:abstractNumId w:val="349"/>
  </w:num>
  <w:num w:numId="207" w16cid:durableId="1770588982">
    <w:abstractNumId w:val="192"/>
  </w:num>
  <w:num w:numId="208" w16cid:durableId="730923661">
    <w:abstractNumId w:val="252"/>
  </w:num>
  <w:num w:numId="209" w16cid:durableId="1490754554">
    <w:abstractNumId w:val="57"/>
  </w:num>
  <w:num w:numId="210" w16cid:durableId="821384854">
    <w:abstractNumId w:val="7"/>
  </w:num>
  <w:num w:numId="211" w16cid:durableId="337394029">
    <w:abstractNumId w:val="294"/>
  </w:num>
  <w:num w:numId="212" w16cid:durableId="19094696">
    <w:abstractNumId w:val="232"/>
  </w:num>
  <w:num w:numId="213" w16cid:durableId="1672176885">
    <w:abstractNumId w:val="277"/>
  </w:num>
  <w:num w:numId="214" w16cid:durableId="267010048">
    <w:abstractNumId w:val="84"/>
  </w:num>
  <w:num w:numId="215" w16cid:durableId="1336883509">
    <w:abstractNumId w:val="36"/>
  </w:num>
  <w:num w:numId="216" w16cid:durableId="1986742137">
    <w:abstractNumId w:val="155"/>
  </w:num>
  <w:num w:numId="217" w16cid:durableId="1915819846">
    <w:abstractNumId w:val="11"/>
  </w:num>
  <w:num w:numId="218" w16cid:durableId="1387096998">
    <w:abstractNumId w:val="63"/>
  </w:num>
  <w:num w:numId="219" w16cid:durableId="1949921546">
    <w:abstractNumId w:val="276"/>
  </w:num>
  <w:num w:numId="220" w16cid:durableId="455880541">
    <w:abstractNumId w:val="325"/>
  </w:num>
  <w:num w:numId="221" w16cid:durableId="700402624">
    <w:abstractNumId w:val="333"/>
  </w:num>
  <w:num w:numId="222" w16cid:durableId="661198833">
    <w:abstractNumId w:val="332"/>
  </w:num>
  <w:num w:numId="223" w16cid:durableId="1277981525">
    <w:abstractNumId w:val="195"/>
  </w:num>
  <w:num w:numId="224" w16cid:durableId="642733792">
    <w:abstractNumId w:val="228"/>
  </w:num>
  <w:num w:numId="225" w16cid:durableId="1470170190">
    <w:abstractNumId w:val="172"/>
  </w:num>
  <w:num w:numId="226" w16cid:durableId="1799446362">
    <w:abstractNumId w:val="264"/>
  </w:num>
  <w:num w:numId="227" w16cid:durableId="17197958">
    <w:abstractNumId w:val="220"/>
  </w:num>
  <w:num w:numId="228" w16cid:durableId="173418026">
    <w:abstractNumId w:val="80"/>
  </w:num>
  <w:num w:numId="229" w16cid:durableId="2054881684">
    <w:abstractNumId w:val="234"/>
  </w:num>
  <w:num w:numId="230" w16cid:durableId="1765569212">
    <w:abstractNumId w:val="348"/>
  </w:num>
  <w:num w:numId="231" w16cid:durableId="1909656613">
    <w:abstractNumId w:val="9"/>
  </w:num>
  <w:num w:numId="232" w16cid:durableId="6949338">
    <w:abstractNumId w:val="299"/>
  </w:num>
  <w:num w:numId="233" w16cid:durableId="376052194">
    <w:abstractNumId w:val="126"/>
  </w:num>
  <w:num w:numId="234" w16cid:durableId="17589462">
    <w:abstractNumId w:val="158"/>
  </w:num>
  <w:num w:numId="235" w16cid:durableId="847449412">
    <w:abstractNumId w:val="125"/>
  </w:num>
  <w:num w:numId="236" w16cid:durableId="472983782">
    <w:abstractNumId w:val="72"/>
  </w:num>
  <w:num w:numId="237" w16cid:durableId="1998260518">
    <w:abstractNumId w:val="167"/>
  </w:num>
  <w:num w:numId="238" w16cid:durableId="461504694">
    <w:abstractNumId w:val="250"/>
  </w:num>
  <w:num w:numId="239" w16cid:durableId="20252888">
    <w:abstractNumId w:val="60"/>
  </w:num>
  <w:num w:numId="240" w16cid:durableId="1953592386">
    <w:abstractNumId w:val="313"/>
  </w:num>
  <w:num w:numId="241" w16cid:durableId="1456099424">
    <w:abstractNumId w:val="315"/>
  </w:num>
  <w:num w:numId="242" w16cid:durableId="696393835">
    <w:abstractNumId w:val="283"/>
  </w:num>
  <w:num w:numId="243" w16cid:durableId="513613578">
    <w:abstractNumId w:val="280"/>
  </w:num>
  <w:num w:numId="244" w16cid:durableId="7299943">
    <w:abstractNumId w:val="275"/>
  </w:num>
  <w:num w:numId="245" w16cid:durableId="527724197">
    <w:abstractNumId w:val="119"/>
  </w:num>
  <w:num w:numId="246" w16cid:durableId="1589266462">
    <w:abstractNumId w:val="66"/>
  </w:num>
  <w:num w:numId="247" w16cid:durableId="1233542902">
    <w:abstractNumId w:val="314"/>
  </w:num>
  <w:num w:numId="248" w16cid:durableId="1867213120">
    <w:abstractNumId w:val="178"/>
  </w:num>
  <w:num w:numId="249" w16cid:durableId="1793329142">
    <w:abstractNumId w:val="260"/>
  </w:num>
  <w:num w:numId="250" w16cid:durableId="423258289">
    <w:abstractNumId w:val="159"/>
  </w:num>
  <w:num w:numId="251" w16cid:durableId="431979748">
    <w:abstractNumId w:val="230"/>
  </w:num>
  <w:num w:numId="252" w16cid:durableId="1196120513">
    <w:abstractNumId w:val="19"/>
  </w:num>
  <w:num w:numId="253" w16cid:durableId="405883636">
    <w:abstractNumId w:val="198"/>
  </w:num>
  <w:num w:numId="254" w16cid:durableId="541792555">
    <w:abstractNumId w:val="186"/>
  </w:num>
  <w:num w:numId="255" w16cid:durableId="1893148878">
    <w:abstractNumId w:val="65"/>
  </w:num>
  <w:num w:numId="256" w16cid:durableId="177039167">
    <w:abstractNumId w:val="272"/>
  </w:num>
  <w:num w:numId="257" w16cid:durableId="752699168">
    <w:abstractNumId w:val="179"/>
  </w:num>
  <w:num w:numId="258" w16cid:durableId="604726459">
    <w:abstractNumId w:val="0"/>
  </w:num>
  <w:num w:numId="259" w16cid:durableId="1115565255">
    <w:abstractNumId w:val="147"/>
  </w:num>
  <w:num w:numId="260" w16cid:durableId="509107868">
    <w:abstractNumId w:val="40"/>
  </w:num>
  <w:num w:numId="261" w16cid:durableId="560137499">
    <w:abstractNumId w:val="157"/>
  </w:num>
  <w:num w:numId="262" w16cid:durableId="271743840">
    <w:abstractNumId w:val="227"/>
  </w:num>
  <w:num w:numId="263" w16cid:durableId="2050061956">
    <w:abstractNumId w:val="132"/>
  </w:num>
  <w:num w:numId="264" w16cid:durableId="1978610597">
    <w:abstractNumId w:val="52"/>
  </w:num>
  <w:num w:numId="265" w16cid:durableId="528448722">
    <w:abstractNumId w:val="173"/>
  </w:num>
  <w:num w:numId="266" w16cid:durableId="150610299">
    <w:abstractNumId w:val="87"/>
  </w:num>
  <w:num w:numId="267" w16cid:durableId="780806737">
    <w:abstractNumId w:val="22"/>
  </w:num>
  <w:num w:numId="268" w16cid:durableId="1168984686">
    <w:abstractNumId w:val="131"/>
  </w:num>
  <w:num w:numId="269" w16cid:durableId="1115757620">
    <w:abstractNumId w:val="309"/>
  </w:num>
  <w:num w:numId="270" w16cid:durableId="407700942">
    <w:abstractNumId w:val="319"/>
  </w:num>
  <w:num w:numId="271" w16cid:durableId="1224174316">
    <w:abstractNumId w:val="310"/>
  </w:num>
  <w:num w:numId="272" w16cid:durableId="1096290612">
    <w:abstractNumId w:val="70"/>
  </w:num>
  <w:num w:numId="273" w16cid:durableId="1505631568">
    <w:abstractNumId w:val="43"/>
  </w:num>
  <w:num w:numId="274" w16cid:durableId="1547982907">
    <w:abstractNumId w:val="338"/>
  </w:num>
  <w:num w:numId="275" w16cid:durableId="556741161">
    <w:abstractNumId w:val="334"/>
  </w:num>
  <w:num w:numId="276" w16cid:durableId="649292653">
    <w:abstractNumId w:val="240"/>
  </w:num>
  <w:num w:numId="277" w16cid:durableId="1995328502">
    <w:abstractNumId w:val="110"/>
  </w:num>
  <w:num w:numId="278" w16cid:durableId="2098936196">
    <w:abstractNumId w:val="340"/>
  </w:num>
  <w:num w:numId="279" w16cid:durableId="258685740">
    <w:abstractNumId w:val="183"/>
  </w:num>
  <w:num w:numId="280" w16cid:durableId="1684672946">
    <w:abstractNumId w:val="130"/>
  </w:num>
  <w:num w:numId="281" w16cid:durableId="1628584633">
    <w:abstractNumId w:val="137"/>
  </w:num>
  <w:num w:numId="282" w16cid:durableId="1799569044">
    <w:abstractNumId w:val="28"/>
  </w:num>
  <w:num w:numId="283" w16cid:durableId="1801655336">
    <w:abstractNumId w:val="123"/>
  </w:num>
  <w:num w:numId="284" w16cid:durableId="2006854964">
    <w:abstractNumId w:val="293"/>
  </w:num>
  <w:num w:numId="285" w16cid:durableId="900823246">
    <w:abstractNumId w:val="59"/>
  </w:num>
  <w:num w:numId="286" w16cid:durableId="1589729210">
    <w:abstractNumId w:val="56"/>
  </w:num>
  <w:num w:numId="287" w16cid:durableId="451436963">
    <w:abstractNumId w:val="74"/>
  </w:num>
  <w:num w:numId="288" w16cid:durableId="2073960224">
    <w:abstractNumId w:val="175"/>
  </w:num>
  <w:num w:numId="289" w16cid:durableId="399249396">
    <w:abstractNumId w:val="112"/>
  </w:num>
  <w:num w:numId="290" w16cid:durableId="1407386413">
    <w:abstractNumId w:val="120"/>
  </w:num>
  <w:num w:numId="291" w16cid:durableId="1628199001">
    <w:abstractNumId w:val="140"/>
  </w:num>
  <w:num w:numId="292" w16cid:durableId="299119916">
    <w:abstractNumId w:val="115"/>
  </w:num>
  <w:num w:numId="293" w16cid:durableId="1398355859">
    <w:abstractNumId w:val="328"/>
  </w:num>
  <w:num w:numId="294" w16cid:durableId="1767772088">
    <w:abstractNumId w:val="203"/>
  </w:num>
  <w:num w:numId="295" w16cid:durableId="40178375">
    <w:abstractNumId w:val="323"/>
  </w:num>
  <w:num w:numId="296" w16cid:durableId="942146587">
    <w:abstractNumId w:val="105"/>
  </w:num>
  <w:num w:numId="297" w16cid:durableId="761223343">
    <w:abstractNumId w:val="169"/>
  </w:num>
  <w:num w:numId="298" w16cid:durableId="1606574272">
    <w:abstractNumId w:val="27"/>
  </w:num>
  <w:num w:numId="299" w16cid:durableId="1327123942">
    <w:abstractNumId w:val="35"/>
  </w:num>
  <w:num w:numId="300" w16cid:durableId="1372995091">
    <w:abstractNumId w:val="73"/>
  </w:num>
  <w:num w:numId="301" w16cid:durableId="133258283">
    <w:abstractNumId w:val="212"/>
  </w:num>
  <w:num w:numId="302" w16cid:durableId="744573743">
    <w:abstractNumId w:val="304"/>
  </w:num>
  <w:num w:numId="303" w16cid:durableId="771129068">
    <w:abstractNumId w:val="51"/>
  </w:num>
  <w:num w:numId="304" w16cid:durableId="1391492211">
    <w:abstractNumId w:val="135"/>
  </w:num>
  <w:num w:numId="305" w16cid:durableId="131681063">
    <w:abstractNumId w:val="5"/>
  </w:num>
  <w:num w:numId="306" w16cid:durableId="1289773329">
    <w:abstractNumId w:val="118"/>
  </w:num>
  <w:num w:numId="307" w16cid:durableId="409809035">
    <w:abstractNumId w:val="342"/>
  </w:num>
  <w:num w:numId="308" w16cid:durableId="1134060069">
    <w:abstractNumId w:val="42"/>
  </w:num>
  <w:num w:numId="309" w16cid:durableId="1735734004">
    <w:abstractNumId w:val="208"/>
  </w:num>
  <w:num w:numId="310" w16cid:durableId="917321738">
    <w:abstractNumId w:val="69"/>
  </w:num>
  <w:num w:numId="311" w16cid:durableId="1854953181">
    <w:abstractNumId w:val="153"/>
  </w:num>
  <w:num w:numId="312" w16cid:durableId="468089457">
    <w:abstractNumId w:val="285"/>
  </w:num>
  <w:num w:numId="313" w16cid:durableId="181941883">
    <w:abstractNumId w:val="13"/>
  </w:num>
  <w:num w:numId="314" w16cid:durableId="888760479">
    <w:abstractNumId w:val="317"/>
  </w:num>
  <w:num w:numId="315" w16cid:durableId="665790900">
    <w:abstractNumId w:val="258"/>
  </w:num>
  <w:num w:numId="316" w16cid:durableId="1861700234">
    <w:abstractNumId w:val="211"/>
  </w:num>
  <w:num w:numId="317" w16cid:durableId="2075009783">
    <w:abstractNumId w:val="218"/>
  </w:num>
  <w:num w:numId="318" w16cid:durableId="269897591">
    <w:abstractNumId w:val="197"/>
  </w:num>
  <w:num w:numId="319" w16cid:durableId="1202208102">
    <w:abstractNumId w:val="156"/>
  </w:num>
  <w:num w:numId="320" w16cid:durableId="1117408738">
    <w:abstractNumId w:val="204"/>
  </w:num>
  <w:num w:numId="321" w16cid:durableId="705058117">
    <w:abstractNumId w:val="61"/>
  </w:num>
  <w:num w:numId="322" w16cid:durableId="1395398185">
    <w:abstractNumId w:val="347"/>
  </w:num>
  <w:num w:numId="323" w16cid:durableId="1791316355">
    <w:abstractNumId w:val="244"/>
  </w:num>
  <w:num w:numId="324" w16cid:durableId="941106266">
    <w:abstractNumId w:val="113"/>
  </w:num>
  <w:num w:numId="325" w16cid:durableId="473567560">
    <w:abstractNumId w:val="6"/>
  </w:num>
  <w:num w:numId="326" w16cid:durableId="147672852">
    <w:abstractNumId w:val="209"/>
  </w:num>
  <w:num w:numId="327" w16cid:durableId="763109507">
    <w:abstractNumId w:val="29"/>
  </w:num>
  <w:num w:numId="328" w16cid:durableId="229124597">
    <w:abstractNumId w:val="290"/>
  </w:num>
  <w:num w:numId="329" w16cid:durableId="254680417">
    <w:abstractNumId w:val="150"/>
  </w:num>
  <w:num w:numId="330" w16cid:durableId="1075276938">
    <w:abstractNumId w:val="34"/>
  </w:num>
  <w:num w:numId="331" w16cid:durableId="420486861">
    <w:abstractNumId w:val="62"/>
  </w:num>
  <w:num w:numId="332" w16cid:durableId="1188718148">
    <w:abstractNumId w:val="286"/>
  </w:num>
  <w:num w:numId="333" w16cid:durableId="932126580">
    <w:abstractNumId w:val="284"/>
  </w:num>
  <w:num w:numId="334" w16cid:durableId="1985545169">
    <w:abstractNumId w:val="174"/>
  </w:num>
  <w:num w:numId="335" w16cid:durableId="237516318">
    <w:abstractNumId w:val="93"/>
  </w:num>
  <w:num w:numId="336" w16cid:durableId="162815091">
    <w:abstractNumId w:val="291"/>
  </w:num>
  <w:num w:numId="337" w16cid:durableId="313921524">
    <w:abstractNumId w:val="94"/>
  </w:num>
  <w:num w:numId="338" w16cid:durableId="851913591">
    <w:abstractNumId w:val="152"/>
  </w:num>
  <w:num w:numId="339" w16cid:durableId="1054155408">
    <w:abstractNumId w:val="216"/>
  </w:num>
  <w:num w:numId="340" w16cid:durableId="1596748484">
    <w:abstractNumId w:val="326"/>
  </w:num>
  <w:num w:numId="341" w16cid:durableId="1687636667">
    <w:abstractNumId w:val="210"/>
  </w:num>
  <w:num w:numId="342" w16cid:durableId="962687859">
    <w:abstractNumId w:val="127"/>
  </w:num>
  <w:num w:numId="343" w16cid:durableId="66731114">
    <w:abstractNumId w:val="193"/>
  </w:num>
  <w:num w:numId="344" w16cid:durableId="1736080406">
    <w:abstractNumId w:val="300"/>
  </w:num>
  <w:num w:numId="345" w16cid:durableId="364210833">
    <w:abstractNumId w:val="21"/>
  </w:num>
  <w:num w:numId="346" w16cid:durableId="1465392140">
    <w:abstractNumId w:val="143"/>
  </w:num>
  <w:num w:numId="347" w16cid:durableId="269163228">
    <w:abstractNumId w:val="41"/>
  </w:num>
  <w:num w:numId="348" w16cid:durableId="1724210117">
    <w:abstractNumId w:val="20"/>
  </w:num>
  <w:num w:numId="349" w16cid:durableId="1151171523">
    <w:abstractNumId w:val="223"/>
  </w:num>
  <w:num w:numId="350" w16cid:durableId="1633442252">
    <w:abstractNumId w:val="97"/>
  </w:num>
  <w:num w:numId="351" w16cid:durableId="13852311">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5B"/>
    <w:rsid w:val="00207E27"/>
    <w:rsid w:val="0092635B"/>
    <w:rsid w:val="00D33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AF7B541-A3BE-BC4B-AAE7-E7E92D48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jc w:val="center"/>
      <w:outlineLvl w:val="0"/>
    </w:pPr>
    <w:rPr>
      <w:rFonts w:ascii="Arial" w:eastAsia="Arial" w:hAnsi="Arial" w:cs="Arial"/>
      <w:b/>
      <w:bCs/>
      <w:sz w:val="20"/>
      <w:szCs w:val="20"/>
    </w:rPr>
  </w:style>
  <w:style w:type="paragraph" w:styleId="Ttulo2">
    <w:name w:val="heading 2"/>
    <w:basedOn w:val="Normal"/>
    <w:uiPriority w:val="9"/>
    <w:unhideWhenUsed/>
    <w:qFormat/>
    <w:pPr>
      <w:spacing w:before="123"/>
      <w:jc w:val="center"/>
      <w:outlineLvl w:val="1"/>
    </w:pPr>
    <w:rPr>
      <w:rFonts w:ascii="Arial" w:eastAsia="Arial" w:hAnsi="Arial" w:cs="Arial"/>
      <w:b/>
      <w:bCs/>
      <w:sz w:val="20"/>
      <w:szCs w:val="20"/>
    </w:rPr>
  </w:style>
  <w:style w:type="paragraph" w:styleId="Ttulo3">
    <w:name w:val="heading 3"/>
    <w:basedOn w:val="Normal"/>
    <w:uiPriority w:val="9"/>
    <w:unhideWhenUsed/>
    <w:qFormat/>
    <w:pPr>
      <w:jc w:val="center"/>
      <w:outlineLvl w:val="2"/>
    </w:pPr>
    <w:rPr>
      <w:rFonts w:ascii="Arial" w:eastAsia="Arial" w:hAnsi="Arial" w:cs="Arial"/>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
      <w:ind w:left="1106" w:firstLine="340"/>
      <w:jc w:val="both"/>
    </w:pPr>
    <w:rPr>
      <w:sz w:val="20"/>
      <w:szCs w:val="20"/>
    </w:rPr>
  </w:style>
  <w:style w:type="paragraph" w:styleId="Ttulo">
    <w:name w:val="Title"/>
    <w:basedOn w:val="Normal"/>
    <w:uiPriority w:val="10"/>
    <w:qFormat/>
    <w:pPr>
      <w:ind w:right="1"/>
      <w:jc w:val="center"/>
    </w:pPr>
    <w:rPr>
      <w:rFonts w:ascii="Arial" w:eastAsia="Arial" w:hAnsi="Arial" w:cs="Arial"/>
      <w:b/>
      <w:bCs/>
      <w:sz w:val="28"/>
      <w:szCs w:val="28"/>
    </w:rPr>
  </w:style>
  <w:style w:type="paragraph" w:styleId="Prrafodelista">
    <w:name w:val="List Paragraph"/>
    <w:basedOn w:val="Normal"/>
    <w:uiPriority w:val="1"/>
    <w:qFormat/>
    <w:pPr>
      <w:spacing w:before="2"/>
      <w:ind w:left="1106" w:right="1103" w:firstLine="3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boe.es/buscar/doc.php?id=BOE-A-2021-6614" TargetMode="External"/><Relationship Id="rId18" Type="http://schemas.openxmlformats.org/officeDocument/2006/relationships/hyperlink" Target="http://www.boe.es/buscar/doc.php?id=BOE-A-2021-6614" TargetMode="External"/><Relationship Id="rId26" Type="http://schemas.openxmlformats.org/officeDocument/2006/relationships/hyperlink" Target="http://www.boe.es/buscar/doc.php?id=BOE-A-2021-6614" TargetMode="External"/><Relationship Id="rId39" Type="http://schemas.openxmlformats.org/officeDocument/2006/relationships/hyperlink" Target="http://www.boe.es/buscar/doc.php?id=BOE-A-2021-6614" TargetMode="External"/><Relationship Id="rId21" Type="http://schemas.openxmlformats.org/officeDocument/2006/relationships/hyperlink" Target="http://www.boe.es/buscar/doc.php?id=BOE-A-2021-6614" TargetMode="External"/><Relationship Id="rId34" Type="http://schemas.openxmlformats.org/officeDocument/2006/relationships/hyperlink" Target="http://www.boe.es/buscar/doc.php?id=BOE-A-2021-6614" TargetMode="External"/><Relationship Id="rId42" Type="http://schemas.openxmlformats.org/officeDocument/2006/relationships/hyperlink" Target="http://www.boe.es/buscar/doc.php?id=BOE-A-2021-6614" TargetMode="External"/><Relationship Id="rId47" Type="http://schemas.openxmlformats.org/officeDocument/2006/relationships/hyperlink" Target="http://www.boe.es/buscar/doc.php?id=BOE-A-2021-6614" TargetMode="External"/><Relationship Id="rId50" Type="http://schemas.openxmlformats.org/officeDocument/2006/relationships/hyperlink" Target="http://www.boe.es/buscar/doc.php?id=BOE-A-2021-6614" TargetMode="External"/><Relationship Id="rId55" Type="http://schemas.openxmlformats.org/officeDocument/2006/relationships/hyperlink" Target="http://www.boe.es/buscar/doc.php?id=BOE-A-2021-6614"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boe.es/buscar/doc.php?id=BOE-A-2021-6614" TargetMode="External"/><Relationship Id="rId29" Type="http://schemas.openxmlformats.org/officeDocument/2006/relationships/hyperlink" Target="http://www.boe.es/buscar/doc.php?id=BOE-A-2021-6614" TargetMode="External"/><Relationship Id="rId11" Type="http://schemas.openxmlformats.org/officeDocument/2006/relationships/hyperlink" Target="http://www.boe.es/buscar/doc.php?id=BOE-A-2021-6614" TargetMode="External"/><Relationship Id="rId24" Type="http://schemas.openxmlformats.org/officeDocument/2006/relationships/hyperlink" Target="http://www.boe.es/buscar/doc.php?id=BOE-A-2021-6614" TargetMode="External"/><Relationship Id="rId32" Type="http://schemas.openxmlformats.org/officeDocument/2006/relationships/hyperlink" Target="http://www.boe.es/buscar/doc.php?id=BOE-A-2021-6614" TargetMode="External"/><Relationship Id="rId37" Type="http://schemas.openxmlformats.org/officeDocument/2006/relationships/hyperlink" Target="http://www.boe.es/buscar/doc.php?id=BOE-A-2021-6614" TargetMode="External"/><Relationship Id="rId40" Type="http://schemas.openxmlformats.org/officeDocument/2006/relationships/hyperlink" Target="http://www.boe.es/buscar/doc.php?id=BOE-A-2021-6614" TargetMode="External"/><Relationship Id="rId45" Type="http://schemas.openxmlformats.org/officeDocument/2006/relationships/hyperlink" Target="http://www.boe.es/buscar/doc.php?id=BOE-A-2021-6614" TargetMode="External"/><Relationship Id="rId53" Type="http://schemas.openxmlformats.org/officeDocument/2006/relationships/hyperlink" Target="http://www.boe.es/buscar/doc.php?id=BOE-A-2021-6614" TargetMode="External"/><Relationship Id="rId58" Type="http://schemas.openxmlformats.org/officeDocument/2006/relationships/hyperlink" Target="http://www.boe.es/buscar/doc.php?id=BOE-A-2021-6614"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www.boe.es/buscar/doc.php?id=BOE-A-2021-6614" TargetMode="External"/><Relationship Id="rId14" Type="http://schemas.openxmlformats.org/officeDocument/2006/relationships/hyperlink" Target="http://www.boe.es/buscar/doc.php?id=BOE-A-2021-6614" TargetMode="External"/><Relationship Id="rId22" Type="http://schemas.openxmlformats.org/officeDocument/2006/relationships/hyperlink" Target="http://www.boe.es/buscar/doc.php?id=BOE-A-2021-6614" TargetMode="External"/><Relationship Id="rId27" Type="http://schemas.openxmlformats.org/officeDocument/2006/relationships/hyperlink" Target="http://www.boe.es/buscar/doc.php?id=BOE-A-2021-6614" TargetMode="External"/><Relationship Id="rId30" Type="http://schemas.openxmlformats.org/officeDocument/2006/relationships/hyperlink" Target="http://www.boe.es/buscar/doc.php?id=BOE-A-2021-6614" TargetMode="External"/><Relationship Id="rId35" Type="http://schemas.openxmlformats.org/officeDocument/2006/relationships/hyperlink" Target="http://www.boe.es/buscar/doc.php?id=BOE-A-2021-6614" TargetMode="External"/><Relationship Id="rId43" Type="http://schemas.openxmlformats.org/officeDocument/2006/relationships/hyperlink" Target="http://www.boe.es/buscar/doc.php?id=BOE-A-2021-6614" TargetMode="External"/><Relationship Id="rId48" Type="http://schemas.openxmlformats.org/officeDocument/2006/relationships/hyperlink" Target="http://www.boe.es/buscar/doc.php?id=BOE-A-2021-6614" TargetMode="External"/><Relationship Id="rId56" Type="http://schemas.openxmlformats.org/officeDocument/2006/relationships/hyperlink" Target="http://www.boe.es/buscar/doc.php?id=BOE-A-2021-6614" TargetMode="External"/><Relationship Id="rId8" Type="http://schemas.openxmlformats.org/officeDocument/2006/relationships/footer" Target="footer1.xml"/><Relationship Id="rId51" Type="http://schemas.openxmlformats.org/officeDocument/2006/relationships/hyperlink" Target="http://www.boe.es/buscar/doc.php?id=BOE-A-2021-6614" TargetMode="External"/><Relationship Id="rId3" Type="http://schemas.openxmlformats.org/officeDocument/2006/relationships/settings" Target="settings.xml"/><Relationship Id="rId12" Type="http://schemas.openxmlformats.org/officeDocument/2006/relationships/hyperlink" Target="http://www.boe.es/buscar/doc.php?id=BOE-A-2021-6614" TargetMode="External"/><Relationship Id="rId17" Type="http://schemas.openxmlformats.org/officeDocument/2006/relationships/hyperlink" Target="http://www.boe.es/buscar/doc.php?id=BOE-A-2021-6614" TargetMode="External"/><Relationship Id="rId25" Type="http://schemas.openxmlformats.org/officeDocument/2006/relationships/hyperlink" Target="http://www.boe.es/buscar/doc.php?id=BOE-A-2021-6614" TargetMode="External"/><Relationship Id="rId33" Type="http://schemas.openxmlformats.org/officeDocument/2006/relationships/hyperlink" Target="http://www.boe.es/buscar/doc.php?id=BOE-A-2021-6614" TargetMode="External"/><Relationship Id="rId38" Type="http://schemas.openxmlformats.org/officeDocument/2006/relationships/hyperlink" Target="http://www.boe.es/buscar/doc.php?id=BOE-A-2021-6614" TargetMode="External"/><Relationship Id="rId46" Type="http://schemas.openxmlformats.org/officeDocument/2006/relationships/hyperlink" Target="http://www.boe.es/buscar/doc.php?id=BOE-A-2021-6614" TargetMode="External"/><Relationship Id="rId59" Type="http://schemas.openxmlformats.org/officeDocument/2006/relationships/hyperlink" Target="http://www.boe.es/buscar/doc.php?id=BOE-A-2021-6614" TargetMode="External"/><Relationship Id="rId20" Type="http://schemas.openxmlformats.org/officeDocument/2006/relationships/hyperlink" Target="http://www.boe.es/buscar/doc.php?id=BOE-A-2021-6614" TargetMode="External"/><Relationship Id="rId41" Type="http://schemas.openxmlformats.org/officeDocument/2006/relationships/hyperlink" Target="http://www.boe.es/buscar/doc.php?id=BOE-A-2021-6614" TargetMode="External"/><Relationship Id="rId54" Type="http://schemas.openxmlformats.org/officeDocument/2006/relationships/hyperlink" Target="http://www.boe.es/buscar/doc.php?id=BOE-A-2021-6614"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boe.es/buscar/doc.php?id=BOE-A-2021-6614" TargetMode="External"/><Relationship Id="rId23" Type="http://schemas.openxmlformats.org/officeDocument/2006/relationships/hyperlink" Target="http://www.boe.es/buscar/doc.php?id=BOE-A-2021-6614" TargetMode="External"/><Relationship Id="rId28" Type="http://schemas.openxmlformats.org/officeDocument/2006/relationships/hyperlink" Target="http://www.boe.es/buscar/doc.php?id=BOE-A-2021-6614" TargetMode="External"/><Relationship Id="rId36" Type="http://schemas.openxmlformats.org/officeDocument/2006/relationships/hyperlink" Target="http://www.boe.es/buscar/doc.php?id=BOE-A-2021-6614" TargetMode="External"/><Relationship Id="rId49" Type="http://schemas.openxmlformats.org/officeDocument/2006/relationships/hyperlink" Target="http://www.boe.es/buscar/doc.php?id=BOE-A-2021-6614" TargetMode="External"/><Relationship Id="rId57" Type="http://schemas.openxmlformats.org/officeDocument/2006/relationships/hyperlink" Target="http://www.boe.es/buscar/doc.php?id=BOE-A-2021-6614" TargetMode="External"/><Relationship Id="rId10" Type="http://schemas.openxmlformats.org/officeDocument/2006/relationships/footer" Target="footer2.xml"/><Relationship Id="rId31" Type="http://schemas.openxmlformats.org/officeDocument/2006/relationships/hyperlink" Target="http://www.boe.es/buscar/doc.php?id=BOE-A-2021-6614" TargetMode="External"/><Relationship Id="rId44" Type="http://schemas.openxmlformats.org/officeDocument/2006/relationships/hyperlink" Target="http://www.boe.es/buscar/doc.php?id=BOE-A-2021-6614" TargetMode="External"/><Relationship Id="rId52" Type="http://schemas.openxmlformats.org/officeDocument/2006/relationships/hyperlink" Target="http://www.boe.es/buscar/doc.php?id=BOE-A-2021-6614" TargetMode="External"/><Relationship Id="rId60" Type="http://schemas.openxmlformats.org/officeDocument/2006/relationships/hyperlink" Target="http://www.boe.es/buscar/doc.php?id=BOE-A-2021-6614"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168496</Words>
  <Characters>926733</Characters>
  <Application>Microsoft Office Word</Application>
  <DocSecurity>0</DocSecurity>
  <Lines>7722</Lines>
  <Paragraphs>2186</Paragraphs>
  <ScaleCrop>false</ScaleCrop>
  <Company/>
  <LinksUpToDate>false</LinksUpToDate>
  <CharactersWithSpaces>1093043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9/2017, de 8 de noviembre, de Contratos del Sector Público, por la que se transponen al ordenamiento jurídico español las Directivas del Parlamento Europeo y del Consejo 2014/23/UE y 2014/24/UE, de 26 de febrero de 2014.</dc:title>
  <dc:subject>BOE-A-2017-12902 actualizado a 23 de enero de 2025</dc:subject>
  <dc:creator>Agencia Estatal Boletín Oficial del Estado</dc:creator>
  <cp:keywords>BOE-A-2017-12902; BOE; Legislación consolidada; Agencia Estatal Boletín Oficial del Estado</cp:keywords>
  <cp:lastModifiedBy>GC CB</cp:lastModifiedBy>
  <cp:revision>2</cp:revision>
  <dcterms:created xsi:type="dcterms:W3CDTF">2025-03-12T12:56:00Z</dcterms:created>
  <dcterms:modified xsi:type="dcterms:W3CDTF">2025-03-12T12:56:00Z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AH XSL Formatter V6.6 MR7 for Linux64 : 6.6.9.39847 (2019-07-29T09:58+09)</vt:lpwstr>
  </property>
  <property fmtid="{D5CDD505-2E9C-101B-9397-08002B2CF9AE}" pid="4" name="LastSaved">
    <vt:filetime>2025-03-12T00:00:00Z</vt:filetime>
  </property>
  <property fmtid="{D5CDD505-2E9C-101B-9397-08002B2CF9AE}" pid="5" name="Producer">
    <vt:lpwstr>Antenna House PDF Output Library 6.6.1477 (Linux64)</vt:lpwstr>
  </property>
</Properties>
</file>